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tblpY="-766"/>
        <w:tblW w:w="9889" w:type="dxa"/>
        <w:tblLayout w:type="fixed"/>
        <w:tblLook w:val="0000" w:firstRow="0" w:lastRow="0" w:firstColumn="0" w:lastColumn="0" w:noHBand="0" w:noVBand="0"/>
      </w:tblPr>
      <w:tblGrid>
        <w:gridCol w:w="6771"/>
        <w:gridCol w:w="3118"/>
      </w:tblGrid>
      <w:tr w:rsidR="00443261" w:rsidRPr="00B433A3" w14:paraId="483FFE14" w14:textId="77777777" w:rsidTr="00443261">
        <w:trPr>
          <w:cantSplit/>
        </w:trPr>
        <w:tc>
          <w:tcPr>
            <w:tcW w:w="6771" w:type="dxa"/>
            <w:vAlign w:val="center"/>
          </w:tcPr>
          <w:p w14:paraId="36A57FB7" w14:textId="77777777" w:rsidR="00443261" w:rsidRPr="00B433A3" w:rsidRDefault="00443261" w:rsidP="00B8343E">
            <w:pPr>
              <w:shd w:val="solid" w:color="FFFFFF" w:fill="FFFFFF"/>
              <w:spacing w:before="360" w:after="240"/>
              <w:rPr>
                <w:rFonts w:ascii="Verdana" w:hAnsi="Verdana"/>
                <w:b/>
                <w:bCs/>
              </w:rPr>
            </w:pPr>
            <w:r w:rsidRPr="00B433A3">
              <w:rPr>
                <w:rFonts w:ascii="Verdana" w:hAnsi="Verdana" w:cs="Times New Roman Bold"/>
                <w:b/>
                <w:sz w:val="25"/>
                <w:szCs w:val="25"/>
              </w:rPr>
              <w:t>Groupe Consultatif des Radiocommunications</w:t>
            </w:r>
            <w:r w:rsidRPr="00B433A3">
              <w:rPr>
                <w:rFonts w:ascii="Verdana" w:hAnsi="Verdana"/>
                <w:b/>
                <w:sz w:val="25"/>
                <w:szCs w:val="25"/>
              </w:rPr>
              <w:br/>
            </w:r>
          </w:p>
        </w:tc>
        <w:tc>
          <w:tcPr>
            <w:tcW w:w="3118" w:type="dxa"/>
          </w:tcPr>
          <w:p w14:paraId="0621582A" w14:textId="77777777" w:rsidR="00443261" w:rsidRPr="00B433A3" w:rsidRDefault="007711EA" w:rsidP="00B8343E">
            <w:pPr>
              <w:shd w:val="solid" w:color="FFFFFF" w:fill="FFFFFF"/>
              <w:spacing w:before="0"/>
            </w:pPr>
            <w:r w:rsidRPr="00B433A3">
              <w:rPr>
                <w:noProof/>
                <w:lang w:val="en-US"/>
              </w:rPr>
              <w:drawing>
                <wp:inline distT="0" distB="0" distL="0" distR="0" wp14:anchorId="492258F6" wp14:editId="45BBB3C7">
                  <wp:extent cx="844492" cy="844492"/>
                  <wp:effectExtent l="0" t="0" r="0" b="0"/>
                  <wp:docPr id="2" name="Picture 2"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50233" cy="850233"/>
                          </a:xfrm>
                          <a:prstGeom prst="rect">
                            <a:avLst/>
                          </a:prstGeom>
                          <a:noFill/>
                          <a:ln>
                            <a:noFill/>
                          </a:ln>
                        </pic:spPr>
                      </pic:pic>
                    </a:graphicData>
                  </a:graphic>
                </wp:inline>
              </w:drawing>
            </w:r>
          </w:p>
        </w:tc>
      </w:tr>
      <w:tr w:rsidR="002D238A" w:rsidRPr="00B433A3" w14:paraId="285AA125" w14:textId="77777777">
        <w:trPr>
          <w:cantSplit/>
        </w:trPr>
        <w:tc>
          <w:tcPr>
            <w:tcW w:w="6771" w:type="dxa"/>
            <w:tcBorders>
              <w:bottom w:val="single" w:sz="12" w:space="0" w:color="auto"/>
            </w:tcBorders>
          </w:tcPr>
          <w:p w14:paraId="5A030F4B" w14:textId="77777777" w:rsidR="002D238A" w:rsidRPr="00B433A3" w:rsidRDefault="002D238A" w:rsidP="00B8343E">
            <w:pPr>
              <w:shd w:val="solid" w:color="FFFFFF" w:fill="FFFFFF"/>
              <w:spacing w:before="0" w:after="48"/>
              <w:rPr>
                <w:rFonts w:ascii="Verdana" w:hAnsi="Verdana" w:cs="Times New Roman Bold"/>
                <w:b/>
                <w:sz w:val="22"/>
                <w:szCs w:val="22"/>
              </w:rPr>
            </w:pPr>
          </w:p>
        </w:tc>
        <w:tc>
          <w:tcPr>
            <w:tcW w:w="3118" w:type="dxa"/>
            <w:tcBorders>
              <w:bottom w:val="single" w:sz="12" w:space="0" w:color="auto"/>
            </w:tcBorders>
          </w:tcPr>
          <w:p w14:paraId="426E9BC5" w14:textId="77777777" w:rsidR="002D238A" w:rsidRPr="00B433A3" w:rsidRDefault="002D238A" w:rsidP="00B8343E">
            <w:pPr>
              <w:shd w:val="solid" w:color="FFFFFF" w:fill="FFFFFF"/>
              <w:spacing w:before="0" w:after="48"/>
              <w:rPr>
                <w:sz w:val="22"/>
                <w:szCs w:val="22"/>
              </w:rPr>
            </w:pPr>
          </w:p>
        </w:tc>
      </w:tr>
      <w:tr w:rsidR="002D238A" w:rsidRPr="00B433A3" w14:paraId="50286FBE" w14:textId="77777777">
        <w:trPr>
          <w:cantSplit/>
        </w:trPr>
        <w:tc>
          <w:tcPr>
            <w:tcW w:w="6771" w:type="dxa"/>
            <w:tcBorders>
              <w:top w:val="single" w:sz="12" w:space="0" w:color="auto"/>
            </w:tcBorders>
          </w:tcPr>
          <w:p w14:paraId="37E4D458" w14:textId="77777777" w:rsidR="002D238A" w:rsidRPr="00B433A3" w:rsidRDefault="002D238A" w:rsidP="00B8343E">
            <w:pPr>
              <w:shd w:val="solid" w:color="FFFFFF" w:fill="FFFFFF"/>
              <w:spacing w:before="0" w:after="48"/>
              <w:rPr>
                <w:rFonts w:ascii="Verdana" w:hAnsi="Verdana" w:cs="Times New Roman Bold"/>
                <w:bCs/>
                <w:sz w:val="22"/>
                <w:szCs w:val="22"/>
              </w:rPr>
            </w:pPr>
          </w:p>
        </w:tc>
        <w:tc>
          <w:tcPr>
            <w:tcW w:w="3118" w:type="dxa"/>
            <w:tcBorders>
              <w:top w:val="single" w:sz="12" w:space="0" w:color="auto"/>
            </w:tcBorders>
          </w:tcPr>
          <w:p w14:paraId="60B30DE2" w14:textId="77777777" w:rsidR="002D238A" w:rsidRPr="00B433A3" w:rsidRDefault="002D238A" w:rsidP="00B8343E">
            <w:pPr>
              <w:shd w:val="solid" w:color="FFFFFF" w:fill="FFFFFF"/>
              <w:spacing w:before="0" w:after="48"/>
              <w:rPr>
                <w:rFonts w:ascii="Verdana" w:hAnsi="Verdana"/>
                <w:sz w:val="22"/>
                <w:szCs w:val="22"/>
              </w:rPr>
            </w:pPr>
          </w:p>
        </w:tc>
      </w:tr>
      <w:tr w:rsidR="002D238A" w:rsidRPr="00B433A3" w14:paraId="2D11B510" w14:textId="77777777">
        <w:trPr>
          <w:cantSplit/>
        </w:trPr>
        <w:tc>
          <w:tcPr>
            <w:tcW w:w="6771" w:type="dxa"/>
            <w:vMerge w:val="restart"/>
          </w:tcPr>
          <w:p w14:paraId="3A53A14B" w14:textId="77777777" w:rsidR="002D238A" w:rsidRPr="00B433A3" w:rsidRDefault="002D238A" w:rsidP="00B8343E">
            <w:pPr>
              <w:shd w:val="solid" w:color="FFFFFF" w:fill="FFFFFF"/>
              <w:spacing w:before="0"/>
              <w:rPr>
                <w:rFonts w:ascii="Verdana" w:hAnsi="Verdana"/>
                <w:sz w:val="20"/>
              </w:rPr>
            </w:pPr>
            <w:bookmarkStart w:id="0" w:name="dnum" w:colFirst="1" w:colLast="1"/>
          </w:p>
        </w:tc>
        <w:tc>
          <w:tcPr>
            <w:tcW w:w="3118" w:type="dxa"/>
          </w:tcPr>
          <w:p w14:paraId="14DCCCF2" w14:textId="4922FDE2" w:rsidR="0063304E" w:rsidRPr="00B433A3" w:rsidRDefault="0063304E" w:rsidP="00B8343E">
            <w:pPr>
              <w:shd w:val="solid" w:color="FFFFFF" w:fill="FFFFFF"/>
              <w:spacing w:before="0"/>
              <w:rPr>
                <w:rFonts w:ascii="Verdana" w:hAnsi="Verdana"/>
                <w:b/>
                <w:sz w:val="20"/>
              </w:rPr>
            </w:pPr>
            <w:r w:rsidRPr="00B433A3">
              <w:rPr>
                <w:rFonts w:ascii="Verdana" w:hAnsi="Verdana"/>
                <w:b/>
                <w:sz w:val="20"/>
              </w:rPr>
              <w:t>Révision 1 du</w:t>
            </w:r>
          </w:p>
          <w:p w14:paraId="355F88D9" w14:textId="4CC0A092" w:rsidR="002D238A" w:rsidRPr="00B433A3" w:rsidRDefault="00B9067C" w:rsidP="00B8343E">
            <w:pPr>
              <w:shd w:val="solid" w:color="FFFFFF" w:fill="FFFFFF"/>
              <w:spacing w:before="0"/>
              <w:rPr>
                <w:rFonts w:ascii="Verdana" w:hAnsi="Verdana"/>
                <w:sz w:val="20"/>
              </w:rPr>
            </w:pPr>
            <w:r w:rsidRPr="00B433A3">
              <w:rPr>
                <w:rFonts w:ascii="Verdana" w:hAnsi="Verdana"/>
                <w:b/>
                <w:sz w:val="20"/>
              </w:rPr>
              <w:t>Document RAG/44-F</w:t>
            </w:r>
          </w:p>
        </w:tc>
      </w:tr>
      <w:tr w:rsidR="00B9067C" w:rsidRPr="00B433A3" w14:paraId="6372DD4F" w14:textId="77777777">
        <w:trPr>
          <w:cantSplit/>
        </w:trPr>
        <w:tc>
          <w:tcPr>
            <w:tcW w:w="6771" w:type="dxa"/>
            <w:vMerge/>
          </w:tcPr>
          <w:p w14:paraId="1B5C048D" w14:textId="77777777" w:rsidR="00B9067C" w:rsidRPr="00B433A3" w:rsidRDefault="00B9067C" w:rsidP="00B8343E">
            <w:pPr>
              <w:spacing w:before="60"/>
              <w:jc w:val="center"/>
              <w:rPr>
                <w:b/>
                <w:smallCaps/>
                <w:sz w:val="32"/>
              </w:rPr>
            </w:pPr>
            <w:bookmarkStart w:id="1" w:name="ddate" w:colFirst="1" w:colLast="1"/>
            <w:bookmarkEnd w:id="0"/>
          </w:p>
        </w:tc>
        <w:tc>
          <w:tcPr>
            <w:tcW w:w="3118" w:type="dxa"/>
          </w:tcPr>
          <w:p w14:paraId="3427519E" w14:textId="7E00A8F1" w:rsidR="00B9067C" w:rsidRPr="00B433A3" w:rsidRDefault="0063304E" w:rsidP="00B8343E">
            <w:pPr>
              <w:shd w:val="solid" w:color="FFFFFF" w:fill="FFFFFF"/>
              <w:spacing w:before="0"/>
              <w:rPr>
                <w:rFonts w:ascii="Verdana" w:hAnsi="Verdana"/>
                <w:sz w:val="20"/>
              </w:rPr>
            </w:pPr>
            <w:r w:rsidRPr="00B433A3">
              <w:rPr>
                <w:rFonts w:ascii="Verdana" w:hAnsi="Verdana"/>
                <w:b/>
                <w:sz w:val="20"/>
              </w:rPr>
              <w:t xml:space="preserve">22 </w:t>
            </w:r>
            <w:r w:rsidR="00F03D61" w:rsidRPr="00B433A3">
              <w:rPr>
                <w:rFonts w:ascii="Verdana" w:hAnsi="Verdana"/>
                <w:b/>
                <w:sz w:val="20"/>
              </w:rPr>
              <w:t>mar</w:t>
            </w:r>
            <w:r w:rsidR="00B9067C" w:rsidRPr="00B433A3">
              <w:rPr>
                <w:rFonts w:ascii="Verdana" w:hAnsi="Verdana"/>
                <w:b/>
                <w:sz w:val="20"/>
              </w:rPr>
              <w:t>s 2022</w:t>
            </w:r>
          </w:p>
        </w:tc>
      </w:tr>
      <w:tr w:rsidR="00B9067C" w:rsidRPr="00B433A3" w14:paraId="4F4ACABF" w14:textId="77777777">
        <w:trPr>
          <w:cantSplit/>
        </w:trPr>
        <w:tc>
          <w:tcPr>
            <w:tcW w:w="6771" w:type="dxa"/>
            <w:vMerge/>
          </w:tcPr>
          <w:p w14:paraId="48A10168" w14:textId="77777777" w:rsidR="00B9067C" w:rsidRPr="00B433A3" w:rsidRDefault="00B9067C" w:rsidP="00B8343E">
            <w:pPr>
              <w:spacing w:before="60"/>
              <w:jc w:val="center"/>
              <w:rPr>
                <w:b/>
                <w:smallCaps/>
                <w:sz w:val="32"/>
              </w:rPr>
            </w:pPr>
            <w:bookmarkStart w:id="2" w:name="dorlang" w:colFirst="1" w:colLast="1"/>
            <w:bookmarkEnd w:id="1"/>
          </w:p>
        </w:tc>
        <w:tc>
          <w:tcPr>
            <w:tcW w:w="3118" w:type="dxa"/>
          </w:tcPr>
          <w:p w14:paraId="63BFC739" w14:textId="0A4140FB" w:rsidR="00B9067C" w:rsidRPr="00B433A3" w:rsidRDefault="00B9067C" w:rsidP="00B8343E">
            <w:pPr>
              <w:shd w:val="solid" w:color="FFFFFF" w:fill="FFFFFF"/>
              <w:spacing w:before="0" w:after="120"/>
              <w:rPr>
                <w:rFonts w:ascii="Verdana" w:hAnsi="Verdana"/>
                <w:sz w:val="20"/>
              </w:rPr>
            </w:pPr>
            <w:proofErr w:type="gramStart"/>
            <w:r w:rsidRPr="00B433A3">
              <w:rPr>
                <w:rFonts w:ascii="Verdana" w:hAnsi="Verdana"/>
                <w:b/>
                <w:sz w:val="20"/>
              </w:rPr>
              <w:t>Original:</w:t>
            </w:r>
            <w:proofErr w:type="gramEnd"/>
            <w:r w:rsidRPr="00B433A3">
              <w:rPr>
                <w:rFonts w:ascii="Verdana" w:hAnsi="Verdana"/>
                <w:b/>
                <w:sz w:val="20"/>
              </w:rPr>
              <w:t xml:space="preserve"> anglais</w:t>
            </w:r>
          </w:p>
        </w:tc>
      </w:tr>
      <w:tr w:rsidR="002D238A" w:rsidRPr="00B433A3" w14:paraId="4E5EE41B" w14:textId="77777777">
        <w:trPr>
          <w:cantSplit/>
        </w:trPr>
        <w:tc>
          <w:tcPr>
            <w:tcW w:w="9889" w:type="dxa"/>
            <w:gridSpan w:val="2"/>
          </w:tcPr>
          <w:p w14:paraId="0350D097" w14:textId="7DC83787" w:rsidR="002D238A" w:rsidRPr="00B433A3" w:rsidRDefault="00B9067C" w:rsidP="00B8343E">
            <w:pPr>
              <w:pStyle w:val="Source"/>
            </w:pPr>
            <w:bookmarkStart w:id="3" w:name="dsource" w:colFirst="0" w:colLast="0"/>
            <w:bookmarkEnd w:id="2"/>
            <w:r w:rsidRPr="00B433A3">
              <w:t>Directeur du Bureau des radiocommunications</w:t>
            </w:r>
          </w:p>
        </w:tc>
      </w:tr>
      <w:tr w:rsidR="002D238A" w:rsidRPr="00B433A3" w14:paraId="26806DF2" w14:textId="77777777">
        <w:trPr>
          <w:cantSplit/>
        </w:trPr>
        <w:tc>
          <w:tcPr>
            <w:tcW w:w="9889" w:type="dxa"/>
            <w:gridSpan w:val="2"/>
          </w:tcPr>
          <w:p w14:paraId="2961C2F1" w14:textId="1B9622EE" w:rsidR="002D238A" w:rsidRPr="00B433A3" w:rsidRDefault="00B9067C" w:rsidP="00B8343E">
            <w:pPr>
              <w:pStyle w:val="Title1"/>
            </w:pPr>
            <w:bookmarkStart w:id="4" w:name="dtitle1" w:colFirst="0" w:colLast="0"/>
            <w:bookmarkEnd w:id="3"/>
            <w:r w:rsidRPr="00B433A3">
              <w:t>RAPPORT À LA VINGT-neuvIÈME RÉUNION DU GROUPE</w:t>
            </w:r>
            <w:r w:rsidRPr="00B433A3">
              <w:br/>
              <w:t>CONSULTATIF DES RADIOCOMMUNICATIONS</w:t>
            </w:r>
          </w:p>
        </w:tc>
      </w:tr>
    </w:tbl>
    <w:p w14:paraId="4E35F149" w14:textId="77777777" w:rsidR="00B9067C" w:rsidRPr="00B433A3" w:rsidRDefault="00B9067C" w:rsidP="00B8343E">
      <w:pPr>
        <w:pStyle w:val="Heading1"/>
      </w:pPr>
      <w:bookmarkStart w:id="5" w:name="_Toc446060751"/>
      <w:bookmarkEnd w:id="4"/>
      <w:r w:rsidRPr="00B433A3">
        <w:t>1</w:t>
      </w:r>
      <w:r w:rsidRPr="00B433A3">
        <w:tab/>
      </w:r>
      <w:bookmarkStart w:id="6" w:name="lt_pId010"/>
      <w:bookmarkEnd w:id="5"/>
      <w:r w:rsidRPr="00B433A3">
        <w:t>Introduction</w:t>
      </w:r>
      <w:bookmarkEnd w:id="6"/>
    </w:p>
    <w:p w14:paraId="067653B1" w14:textId="0174A70D" w:rsidR="00B9067C" w:rsidRPr="00B433A3" w:rsidRDefault="00B9067C" w:rsidP="00B8343E">
      <w:bookmarkStart w:id="7" w:name="lt_pId011"/>
      <w:r w:rsidRPr="00B433A3">
        <w:t xml:space="preserve">Le présent document vise à faire le point et à </w:t>
      </w:r>
      <w:proofErr w:type="gramStart"/>
      <w:r w:rsidRPr="00B433A3">
        <w:t>donner</w:t>
      </w:r>
      <w:proofErr w:type="gramEnd"/>
      <w:r w:rsidRPr="00B433A3">
        <w:t xml:space="preserve"> des informations sur certaines questions inscrites à l'ordre du jour provisoire de la 2</w:t>
      </w:r>
      <w:r w:rsidR="00E64F6F" w:rsidRPr="00B433A3">
        <w:t>9</w:t>
      </w:r>
      <w:r w:rsidRPr="00B433A3">
        <w:t>ème réunion du GCR (voir la Circulaire administrative</w:t>
      </w:r>
      <w:r w:rsidR="005B6A9C" w:rsidRPr="00B433A3">
        <w:t> </w:t>
      </w:r>
      <w:hyperlink r:id="rId8" w:history="1">
        <w:r w:rsidRPr="00B433A3">
          <w:rPr>
            <w:rStyle w:val="Hyperlink"/>
          </w:rPr>
          <w:t>CA/25</w:t>
        </w:r>
        <w:r w:rsidR="00E64F6F" w:rsidRPr="00B433A3">
          <w:rPr>
            <w:rStyle w:val="Hyperlink"/>
          </w:rPr>
          <w:t>9</w:t>
        </w:r>
        <w:r w:rsidRPr="00B433A3">
          <w:t xml:space="preserve"> du 17 décembre 20</w:t>
        </w:r>
        <w:r w:rsidR="00E64F6F" w:rsidRPr="00B433A3">
          <w:t>21</w:t>
        </w:r>
      </w:hyperlink>
      <w:r w:rsidRPr="00B433A3">
        <w:t>)</w:t>
      </w:r>
      <w:bookmarkEnd w:id="7"/>
      <w:r w:rsidRPr="00B433A3">
        <w:t>, afin d'aider les participants lorsqu'ils examineront les points correspondants de l'ordre du jour.</w:t>
      </w:r>
    </w:p>
    <w:p w14:paraId="04755C6F" w14:textId="77777777" w:rsidR="00B9067C" w:rsidRPr="00B433A3" w:rsidRDefault="00B9067C" w:rsidP="00B8343E">
      <w:bookmarkStart w:id="8" w:name="lt_pId013"/>
      <w:r w:rsidRPr="00B433A3">
        <w:t>Des rapports distincts seront soumis pour certains des points de l'ordre du jour.</w:t>
      </w:r>
      <w:bookmarkEnd w:id="8"/>
    </w:p>
    <w:p w14:paraId="2567CB78" w14:textId="77777777" w:rsidR="00B9067C" w:rsidRPr="00B433A3" w:rsidRDefault="00B9067C" w:rsidP="00B8343E">
      <w:pPr>
        <w:pStyle w:val="Heading1"/>
      </w:pPr>
      <w:bookmarkStart w:id="9" w:name="_Toc446060752"/>
      <w:r w:rsidRPr="00B433A3">
        <w:t>2</w:t>
      </w:r>
      <w:r w:rsidRPr="00B433A3">
        <w:tab/>
      </w:r>
      <w:bookmarkStart w:id="10" w:name="lt_pId015"/>
      <w:bookmarkEnd w:id="9"/>
      <w:r w:rsidRPr="00B433A3">
        <w:t>Questions relatives au Conseil</w:t>
      </w:r>
      <w:bookmarkEnd w:id="10"/>
    </w:p>
    <w:p w14:paraId="19F57677" w14:textId="0E8E4C42" w:rsidR="00B9067C" w:rsidRPr="00B433A3" w:rsidRDefault="00B9067C" w:rsidP="00B8343E">
      <w:r w:rsidRPr="00B433A3">
        <w:t xml:space="preserve">En raison des restrictions dues au COVID-19, le Conseil de l'UIT n'a pas organisé de réunion en présentiel en </w:t>
      </w:r>
      <w:r w:rsidR="00576C49" w:rsidRPr="00B433A3">
        <w:t>2021</w:t>
      </w:r>
      <w:r w:rsidRPr="00B433A3">
        <w:t xml:space="preserve">. À la place, </w:t>
      </w:r>
      <w:r w:rsidR="00576C49" w:rsidRPr="00B433A3">
        <w:t xml:space="preserve">une </w:t>
      </w:r>
      <w:r w:rsidRPr="00B433A3">
        <w:t xml:space="preserve">consultation virtuelle des Conseillers </w:t>
      </w:r>
      <w:r w:rsidR="00576C49" w:rsidRPr="00B433A3">
        <w:t>s'est</w:t>
      </w:r>
      <w:r w:rsidRPr="00B433A3">
        <w:t xml:space="preserve"> déroulée du </w:t>
      </w:r>
      <w:r w:rsidR="00576C49" w:rsidRPr="00B433A3">
        <w:t>8</w:t>
      </w:r>
      <w:r w:rsidR="005B6A9C" w:rsidRPr="00B433A3">
        <w:t> </w:t>
      </w:r>
      <w:r w:rsidR="00576C49" w:rsidRPr="00B433A3">
        <w:t>au</w:t>
      </w:r>
      <w:r w:rsidR="005B6A9C" w:rsidRPr="00B433A3">
        <w:t> </w:t>
      </w:r>
      <w:r w:rsidR="00576C49" w:rsidRPr="00B433A3">
        <w:t>18</w:t>
      </w:r>
      <w:r w:rsidR="005B6A9C" w:rsidRPr="00B433A3">
        <w:t> </w:t>
      </w:r>
      <w:r w:rsidR="00576C49" w:rsidRPr="00B433A3">
        <w:t>juin 2021</w:t>
      </w:r>
      <w:r w:rsidRPr="00B433A3">
        <w:t xml:space="preserve">. </w:t>
      </w:r>
      <w:r w:rsidR="00A776EF" w:rsidRPr="00B433A3">
        <w:t>Elle</w:t>
      </w:r>
      <w:r w:rsidRPr="00B433A3">
        <w:t xml:space="preserve"> a été suivie d'une consultation par correspondance relative aux résultats des discussions </w:t>
      </w:r>
      <w:r w:rsidR="008B2FB0" w:rsidRPr="00B433A3">
        <w:t xml:space="preserve">de la </w:t>
      </w:r>
      <w:r w:rsidRPr="00B433A3">
        <w:t>consultation virtuelle des Conseillers. Cette procédure a permis au Conseil de</w:t>
      </w:r>
      <w:r w:rsidR="005B6A9C" w:rsidRPr="00B433A3">
        <w:t> </w:t>
      </w:r>
      <w:r w:rsidRPr="00B433A3">
        <w:t xml:space="preserve">l'UIT de prendre des décisions sans se réunir en présentiel. </w:t>
      </w:r>
    </w:p>
    <w:p w14:paraId="78CE6BB9" w14:textId="2CB790F8" w:rsidR="00B9067C" w:rsidRPr="00B433A3" w:rsidRDefault="00B9067C" w:rsidP="00B8343E">
      <w:r w:rsidRPr="00B433A3">
        <w:t xml:space="preserve">La présente section porte sur les questions relatives au Conseil de l'UIT et comprend des informations actualisées sur les questions examinées par </w:t>
      </w:r>
      <w:r w:rsidR="00A776EF" w:rsidRPr="00B433A3">
        <w:t>la</w:t>
      </w:r>
      <w:r w:rsidRPr="00B433A3">
        <w:t xml:space="preserve"> consult</w:t>
      </w:r>
      <w:r w:rsidR="007E7CB7">
        <w:t>ation virtuelle des Conseillers </w:t>
      </w:r>
      <w:r w:rsidRPr="00B433A3">
        <w:t>organisée en ainsi que sur les consultations par corresp</w:t>
      </w:r>
      <w:r w:rsidR="007E7CB7">
        <w:t>ondance menées par la suite sur </w:t>
      </w:r>
      <w:r w:rsidRPr="00B433A3">
        <w:t xml:space="preserve">les résultats des discussions tenues, et les mesures connexes (voir </w:t>
      </w:r>
      <w:hyperlink r:id="rId9" w:history="1">
        <w:r w:rsidR="00F93F1C" w:rsidRPr="00B433A3">
          <w:rPr>
            <w:rStyle w:val="Hyperlink"/>
          </w:rPr>
          <w:t>https://www.itu.int/en/council/2021/Pages/default.aspx</w:t>
        </w:r>
      </w:hyperlink>
      <w:r w:rsidRPr="00B433A3">
        <w:t xml:space="preserve">). Les discussions relatives à l'examen, par le Conseil, </w:t>
      </w:r>
      <w:r w:rsidR="00A776EF" w:rsidRPr="00B433A3">
        <w:t>du lieu et des dates</w:t>
      </w:r>
      <w:r w:rsidRPr="00B433A3">
        <w:t xml:space="preserve"> de la Conférence mondiale des radiocommunications de 2023 (CMR</w:t>
      </w:r>
      <w:r w:rsidR="005B6A9C" w:rsidRPr="00B433A3">
        <w:noBreakHyphen/>
      </w:r>
      <w:r w:rsidRPr="00B433A3">
        <w:t xml:space="preserve">23) sont reproduites dans la section 5 du présent rapport. </w:t>
      </w:r>
    </w:p>
    <w:p w14:paraId="220796C3" w14:textId="77777777" w:rsidR="00B9067C" w:rsidRPr="00B433A3" w:rsidRDefault="00B9067C" w:rsidP="00B8343E">
      <w:pPr>
        <w:pStyle w:val="Heading2"/>
      </w:pPr>
      <w:r w:rsidRPr="00B433A3">
        <w:t>2.1</w:t>
      </w:r>
      <w:r w:rsidRPr="00B433A3">
        <w:tab/>
      </w:r>
      <w:bookmarkStart w:id="11" w:name="lt_pId018"/>
      <w:r w:rsidRPr="00B433A3">
        <w:t>Accès en ligne gratuit aux publications de l'UIT-R</w:t>
      </w:r>
      <w:bookmarkEnd w:id="11"/>
    </w:p>
    <w:p w14:paraId="182F88BD" w14:textId="6FD99CE2" w:rsidR="00B9067C" w:rsidRPr="00B433A3" w:rsidRDefault="00B9067C" w:rsidP="00B8343E">
      <w:bookmarkStart w:id="12" w:name="lt_pId019"/>
      <w:r w:rsidRPr="00B433A3">
        <w:t xml:space="preserve">L'UIT continue de publier des publications phares et plusieurs autres publications, en version </w:t>
      </w:r>
      <w:proofErr w:type="gramStart"/>
      <w:r w:rsidRPr="00B433A3">
        <w:t>imprimée</w:t>
      </w:r>
      <w:proofErr w:type="gramEnd"/>
      <w:r w:rsidRPr="00B433A3">
        <w:t xml:space="preserve"> et en version numérique/électronique.</w:t>
      </w:r>
      <w:bookmarkEnd w:id="12"/>
      <w:r w:rsidRPr="00B433A3">
        <w:t xml:space="preserve"> </w:t>
      </w:r>
      <w:bookmarkStart w:id="13" w:name="lt_pId020"/>
      <w:r w:rsidRPr="00B433A3">
        <w:t>Par sa Décision 12 (Guadalajara, 2010), la PP-10 a adopté une politique d'accès en ligne gratuit, applicable notamment aux Recommandations et aux Rapports de l'UIT-R.</w:t>
      </w:r>
      <w:bookmarkEnd w:id="13"/>
      <w:r w:rsidRPr="00B433A3">
        <w:t xml:space="preserve"> </w:t>
      </w:r>
      <w:bookmarkStart w:id="14" w:name="lt_pId021"/>
      <w:r w:rsidRPr="00B433A3">
        <w:t>Le Conseil à sa session de 2012 a élargi le cadre de cette politique en vertu de sa Décision 571, qui a été modifiée par le Conseil à ses sessions de 2013 et 2014 et confirmée par la PP-14 en vertu de la Décision 12 révisée, par laquelle il a été décidé de fournir au grand public un accès en ligne gratuit, à titre permanent.</w:t>
      </w:r>
      <w:bookmarkEnd w:id="14"/>
      <w:r w:rsidRPr="00B433A3">
        <w:t xml:space="preserve"> </w:t>
      </w:r>
      <w:bookmarkStart w:id="15" w:name="lt_pId022"/>
      <w:r w:rsidRPr="00B433A3">
        <w:t>De nombreuses publications sont désormais accessibles en ligne gratuitement de façon à diffuser des informations et à toucher un plus large public.</w:t>
      </w:r>
      <w:bookmarkEnd w:id="15"/>
      <w:r w:rsidRPr="00B433A3">
        <w:t xml:space="preserve"> </w:t>
      </w:r>
      <w:bookmarkStart w:id="16" w:name="lt_pId023"/>
      <w:r w:rsidRPr="00B433A3">
        <w:t xml:space="preserve">On citera </w:t>
      </w:r>
      <w:r w:rsidRPr="00B433A3">
        <w:lastRenderedPageBreak/>
        <w:t>par exemple les publications de référence de l'UIT telles que le Règlement des radiocommunications, les Règles de procédure, les Recommandations, les textes fondamentaux de l'Union, les Actes finals de la CMTI, les Résolutions et Décisions du Conseil et les Manuels de</w:t>
      </w:r>
      <w:r w:rsidR="005B6A9C" w:rsidRPr="00B433A3">
        <w:t> </w:t>
      </w:r>
      <w:r w:rsidRPr="00B433A3">
        <w:t>l'UIT. De fait, seules les publications relatives au service maritime et quelques autres ouvrages sont encore payants.</w:t>
      </w:r>
      <w:bookmarkEnd w:id="16"/>
    </w:p>
    <w:p w14:paraId="729D8297" w14:textId="77777777" w:rsidR="00B9067C" w:rsidRPr="00B433A3" w:rsidRDefault="00B9067C" w:rsidP="00B8343E">
      <w:r w:rsidRPr="00B433A3">
        <w:t>En outre, en réponse aux demandes d'États Membres, en particulier de pays en développement, la politique d'accès gratuit a été élargie par le Directeur du BR en janvier 2017 pour inclure tous les Manuels de l'UIT-R.</w:t>
      </w:r>
    </w:p>
    <w:p w14:paraId="1FA7C315" w14:textId="77777777" w:rsidR="00B9067C" w:rsidRPr="00B433A3" w:rsidRDefault="00B9067C" w:rsidP="00B8343E">
      <w:bookmarkStart w:id="17" w:name="lt_pId025"/>
      <w:r w:rsidRPr="00B433A3">
        <w:t>Les incidences de ces Décisions transparaissent clairement dans le nombre important de publications téléchargées</w:t>
      </w:r>
      <w:bookmarkEnd w:id="17"/>
      <w:r w:rsidRPr="00B433A3">
        <w:t>, comme indiqué au § 8.1.4.</w:t>
      </w:r>
    </w:p>
    <w:p w14:paraId="01F3C996" w14:textId="77777777" w:rsidR="00B9067C" w:rsidRPr="00B433A3" w:rsidRDefault="00B9067C" w:rsidP="00B8343E">
      <w:pPr>
        <w:pStyle w:val="Heading2"/>
      </w:pPr>
      <w:bookmarkStart w:id="18" w:name="_Toc446060754"/>
      <w:r w:rsidRPr="00B433A3">
        <w:t>2.2</w:t>
      </w:r>
      <w:r w:rsidRPr="00B433A3">
        <w:tab/>
      </w:r>
      <w:bookmarkStart w:id="19" w:name="lt_pId027"/>
      <w:bookmarkEnd w:id="18"/>
      <w:r w:rsidRPr="00B433A3">
        <w:t>Recouvrement des coûts pour le traitement des fiches de notification des réseaux à satellite</w:t>
      </w:r>
      <w:bookmarkEnd w:id="19"/>
    </w:p>
    <w:p w14:paraId="44D542D8" w14:textId="72BC132B" w:rsidR="00816200" w:rsidRPr="00B433A3" w:rsidRDefault="00A776EF" w:rsidP="00B8343E">
      <w:bookmarkStart w:id="20" w:name="_Toc446060757"/>
      <w:r w:rsidRPr="00B433A3">
        <w:t xml:space="preserve">En 2021, le rapport annuel habituel sur la mise en </w:t>
      </w:r>
      <w:r w:rsidR="008006E3" w:rsidRPr="00B433A3">
        <w:t>œuvre</w:t>
      </w:r>
      <w:r w:rsidRPr="00B433A3">
        <w:t xml:space="preserve"> de la Décision 482 a été soumis au Conseil </w:t>
      </w:r>
      <w:r w:rsidR="00816200" w:rsidRPr="00B433A3">
        <w:t>(</w:t>
      </w:r>
      <w:r w:rsidRPr="00B433A3">
        <w:t xml:space="preserve">voir le </w:t>
      </w:r>
      <w:hyperlink r:id="rId10" w:history="1">
        <w:r w:rsidR="00816200" w:rsidRPr="00B433A3">
          <w:rPr>
            <w:rStyle w:val="Hyperlink"/>
          </w:rPr>
          <w:t>Document C21/16</w:t>
        </w:r>
      </w:hyperlink>
      <w:r w:rsidR="00816200" w:rsidRPr="00B433A3">
        <w:t xml:space="preserve">). </w:t>
      </w:r>
      <w:r w:rsidR="005623E5" w:rsidRPr="00B433A3">
        <w:t xml:space="preserve">Étant donné </w:t>
      </w:r>
      <w:r w:rsidR="00816200" w:rsidRPr="00B433A3">
        <w:t xml:space="preserve">que la mise en œuvre de la Décision 482 </w:t>
      </w:r>
      <w:r w:rsidR="00242886" w:rsidRPr="00B433A3">
        <w:t>(modifiée en </w:t>
      </w:r>
      <w:r w:rsidR="005623E5" w:rsidRPr="00B433A3">
        <w:t xml:space="preserve">2020) </w:t>
      </w:r>
      <w:r w:rsidR="00816200" w:rsidRPr="00B433A3">
        <w:t>par le Bureau des radiocommunications n'a soulevé aucune difficulté d'ordre administratif ou opérationnel</w:t>
      </w:r>
      <w:r w:rsidR="005623E5" w:rsidRPr="00B433A3">
        <w:t xml:space="preserve"> touchant à des questions de fond</w:t>
      </w:r>
      <w:r w:rsidR="00816200" w:rsidRPr="00B433A3">
        <w:t>, aussi bien en interne qu'avec les administrations présentant des fiches de notification de réseaux à satellite</w:t>
      </w:r>
      <w:r w:rsidR="005623E5" w:rsidRPr="00B433A3">
        <w:t>, le Conseil a été invité à prendre note du présent rapport</w:t>
      </w:r>
      <w:r w:rsidR="00816200" w:rsidRPr="00B433A3">
        <w:t>.</w:t>
      </w:r>
    </w:p>
    <w:p w14:paraId="0182227D" w14:textId="00399E94" w:rsidR="00816200" w:rsidRPr="00B433A3" w:rsidRDefault="00816200" w:rsidP="00B8343E">
      <w:proofErr w:type="gramStart"/>
      <w:r w:rsidRPr="00B433A3">
        <w:t>Suite à</w:t>
      </w:r>
      <w:proofErr w:type="gramEnd"/>
      <w:r w:rsidRPr="00B433A3">
        <w:t xml:space="preserve"> la consultation par correspondance sur les résultats des discussions de la consultation virtuelle des Conseillers de 2021, il a été pris note officiellement des rapports sur la mise en œuvre de la Décision 482 </w:t>
      </w:r>
      <w:r w:rsidRPr="00B433A3">
        <w:rPr>
          <w:color w:val="000000"/>
        </w:rPr>
        <w:t xml:space="preserve">soumis </w:t>
      </w:r>
      <w:r w:rsidRPr="00B433A3">
        <w:t>au Conseil à ses sessions de 2020 et 2021 (voir la Lettre circulaire </w:t>
      </w:r>
      <w:hyperlink r:id="rId11" w:history="1">
        <w:r w:rsidRPr="00B433A3">
          <w:rPr>
            <w:rStyle w:val="Hyperlink"/>
          </w:rPr>
          <w:t>DM</w:t>
        </w:r>
        <w:r w:rsidRPr="00B433A3">
          <w:rPr>
            <w:rStyle w:val="Hyperlink"/>
          </w:rPr>
          <w:noBreakHyphen/>
          <w:t>21/1017</w:t>
        </w:r>
      </w:hyperlink>
      <w:r w:rsidRPr="00B433A3">
        <w:t>).</w:t>
      </w:r>
    </w:p>
    <w:p w14:paraId="3D854C1D" w14:textId="79CDED40" w:rsidR="00816200" w:rsidRPr="00B433A3" w:rsidRDefault="001C5BA7" w:rsidP="00B8343E">
      <w:r w:rsidRPr="00B433A3">
        <w:rPr>
          <w:szCs w:val="24"/>
        </w:rPr>
        <w:t>Le rapport annuel sur la mise en œuvre de la Décision 482 à l'intention du Conseil à sa session de</w:t>
      </w:r>
      <w:r w:rsidR="00BB6D34" w:rsidRPr="00B433A3">
        <w:rPr>
          <w:szCs w:val="24"/>
        </w:rPr>
        <w:t> </w:t>
      </w:r>
      <w:r w:rsidRPr="00B433A3">
        <w:rPr>
          <w:szCs w:val="24"/>
        </w:rPr>
        <w:t xml:space="preserve">2022 est reproduit dans le </w:t>
      </w:r>
      <w:hyperlink r:id="rId12" w:history="1">
        <w:r w:rsidR="00816200" w:rsidRPr="00B433A3">
          <w:rPr>
            <w:rStyle w:val="Hyperlink"/>
            <w:szCs w:val="24"/>
          </w:rPr>
          <w:t>Document C22/16</w:t>
        </w:r>
      </w:hyperlink>
      <w:r w:rsidR="00816200" w:rsidRPr="00B433A3">
        <w:rPr>
          <w:szCs w:val="24"/>
        </w:rPr>
        <w:t>.</w:t>
      </w:r>
    </w:p>
    <w:p w14:paraId="0C477DE3" w14:textId="6B26A6AE" w:rsidR="00B9067C" w:rsidRPr="00B433A3" w:rsidRDefault="00B9067C" w:rsidP="00B8343E">
      <w:pPr>
        <w:pStyle w:val="Heading2"/>
      </w:pPr>
      <w:r w:rsidRPr="00B433A3">
        <w:t>2.3</w:t>
      </w:r>
      <w:r w:rsidRPr="00B433A3">
        <w:tab/>
        <w:t>Budget pour 2020-2021 et projet de budget pour 2022-2023</w:t>
      </w:r>
      <w:bookmarkEnd w:id="20"/>
    </w:p>
    <w:p w14:paraId="2DB51691" w14:textId="480C5EFE" w:rsidR="00B9067C" w:rsidRPr="00B433A3" w:rsidRDefault="00456E47" w:rsidP="00B8343E">
      <w:bookmarkStart w:id="21" w:name="lt_pId038"/>
      <w:r w:rsidRPr="00B433A3">
        <w:t xml:space="preserve">Les participants à la </w:t>
      </w:r>
      <w:r w:rsidR="008006E3" w:rsidRPr="00B433A3">
        <w:t>c</w:t>
      </w:r>
      <w:r w:rsidRPr="00B433A3">
        <w:t>onsultation virtuelle des Conseillers de 2021 ont adopté,</w:t>
      </w:r>
      <w:r w:rsidR="00B9067C" w:rsidRPr="00B433A3">
        <w:t xml:space="preserve"> par </w:t>
      </w:r>
      <w:r w:rsidRPr="00B433A3">
        <w:t xml:space="preserve">la </w:t>
      </w:r>
      <w:r w:rsidR="00B9067C" w:rsidRPr="00B433A3">
        <w:t>Résolution</w:t>
      </w:r>
      <w:r w:rsidR="00BB6D34" w:rsidRPr="00B433A3">
        <w:t> </w:t>
      </w:r>
      <w:r w:rsidRPr="00B433A3">
        <w:t>1405</w:t>
      </w:r>
      <w:r w:rsidR="00B9067C" w:rsidRPr="00B433A3">
        <w:t>, le budget suivant pour l'UIT-R pour la période </w:t>
      </w:r>
      <w:r w:rsidRPr="00B433A3">
        <w:t>2022-2023</w:t>
      </w:r>
      <w:r w:rsidR="00B9067C" w:rsidRPr="00B433A3">
        <w:t>.</w:t>
      </w:r>
      <w:bookmarkEnd w:id="21"/>
    </w:p>
    <w:p w14:paraId="172F7123" w14:textId="4D40213E" w:rsidR="00B9067C" w:rsidRPr="00B433A3" w:rsidRDefault="00B9067C" w:rsidP="00B8343E">
      <w:r w:rsidRPr="00B433A3">
        <w:t xml:space="preserve">Le budget biennal de l'Union pour 2022-2023 a été présenté par le secrétariat sur la base de la Décision 5 (Rév. Dubaï, 2018) de la Conférence de plénipotentiaires et des lignes directrices associées lors de la </w:t>
      </w:r>
      <w:r w:rsidR="008006E3" w:rsidRPr="00B433A3">
        <w:t>c</w:t>
      </w:r>
      <w:r w:rsidR="00456E47" w:rsidRPr="00B433A3">
        <w:t xml:space="preserve">onsultation virtuelle </w:t>
      </w:r>
      <w:r w:rsidR="008006E3" w:rsidRPr="00B433A3">
        <w:t>organisée</w:t>
      </w:r>
      <w:r w:rsidR="00456E47" w:rsidRPr="00B433A3">
        <w:t xml:space="preserve"> en juin</w:t>
      </w:r>
      <w:r w:rsidRPr="00B433A3">
        <w:t xml:space="preserve"> 2021.</w:t>
      </w:r>
    </w:p>
    <w:p w14:paraId="4A696A5D" w14:textId="28492D30" w:rsidR="008069E9" w:rsidRPr="00B433A3" w:rsidRDefault="009E4C7E" w:rsidP="00B8343E">
      <w:pPr>
        <w:pStyle w:val="Figure"/>
      </w:pPr>
      <w:r w:rsidRPr="00B433A3">
        <w:rPr>
          <w:noProof/>
          <w:lang w:val="en-US"/>
        </w:rPr>
        <w:lastRenderedPageBreak/>
        <w:drawing>
          <wp:inline distT="0" distB="0" distL="0" distR="0" wp14:anchorId="73A1F52A" wp14:editId="2747342F">
            <wp:extent cx="5664530" cy="3131028"/>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671181" cy="3134705"/>
                    </a:xfrm>
                    <a:prstGeom prst="rect">
                      <a:avLst/>
                    </a:prstGeom>
                  </pic:spPr>
                </pic:pic>
              </a:graphicData>
            </a:graphic>
          </wp:inline>
        </w:drawing>
      </w:r>
    </w:p>
    <w:p w14:paraId="1FFE14D9" w14:textId="77777777" w:rsidR="009E4C7E" w:rsidRPr="00B433A3" w:rsidRDefault="009E4C7E" w:rsidP="00B8343E">
      <w:pPr>
        <w:pStyle w:val="Figurelegend"/>
      </w:pPr>
      <w:r w:rsidRPr="00B433A3">
        <w:t xml:space="preserve">Légende de la </w:t>
      </w:r>
      <w:proofErr w:type="gramStart"/>
      <w:r w:rsidRPr="00B433A3">
        <w:t>figure:</w:t>
      </w:r>
      <w:proofErr w:type="gramEnd"/>
    </w:p>
    <w:p w14:paraId="71727ABB" w14:textId="77777777" w:rsidR="009E4C7E" w:rsidRPr="00B433A3" w:rsidRDefault="009E4C7E" w:rsidP="00B8343E">
      <w:pPr>
        <w:pStyle w:val="Figurelegend"/>
      </w:pPr>
      <w:r w:rsidRPr="00B433A3">
        <w:t>En milliers CHF</w:t>
      </w:r>
    </w:p>
    <w:p w14:paraId="4FDB5716" w14:textId="77777777" w:rsidR="009E4C7E" w:rsidRPr="00B433A3" w:rsidRDefault="009E4C7E" w:rsidP="00B8343E">
      <w:pPr>
        <w:pStyle w:val="Figurelegend"/>
      </w:pPr>
      <w:r w:rsidRPr="00B433A3">
        <w:t xml:space="preserve">Secteur des radiocommunications </w:t>
      </w:r>
    </w:p>
    <w:p w14:paraId="2CA8CA46" w14:textId="5B936EAE" w:rsidR="009E4C7E" w:rsidRPr="00B433A3" w:rsidRDefault="009E4C7E" w:rsidP="00B8343E">
      <w:pPr>
        <w:pStyle w:val="Figurelegend"/>
      </w:pPr>
      <w:r w:rsidRPr="00B433A3">
        <w:t xml:space="preserve">Charges </w:t>
      </w:r>
      <w:r w:rsidR="008A6F4F" w:rsidRPr="00B433A3">
        <w:t xml:space="preserve">prévues </w:t>
      </w:r>
      <w:r w:rsidRPr="00B433A3">
        <w:t>par chapitre//</w:t>
      </w:r>
      <w:r w:rsidR="008A6F4F" w:rsidRPr="00B433A3">
        <w:t>Montants effectifs//</w:t>
      </w:r>
      <w:r w:rsidRPr="00B433A3">
        <w:t>Budget//Estimations//</w:t>
      </w:r>
      <w:r w:rsidR="008A6F4F" w:rsidRPr="00B433A3">
        <w:t>Total</w:t>
      </w:r>
    </w:p>
    <w:p w14:paraId="6264ACC1" w14:textId="77777777" w:rsidR="009E4C7E" w:rsidRPr="00B433A3" w:rsidRDefault="009E4C7E" w:rsidP="00B8343E">
      <w:pPr>
        <w:pStyle w:val="Figurelegend"/>
      </w:pPr>
      <w:r w:rsidRPr="00B433A3">
        <w:t xml:space="preserve">3.1 Conférence mondiale des radiocommunications </w:t>
      </w:r>
    </w:p>
    <w:p w14:paraId="4B445356" w14:textId="487ABA12" w:rsidR="009E4C7E" w:rsidRPr="00B433A3" w:rsidRDefault="009E4C7E" w:rsidP="00B8343E">
      <w:pPr>
        <w:pStyle w:val="Figurelegend"/>
      </w:pPr>
      <w:r w:rsidRPr="00B433A3">
        <w:t>3.2 Assemblée des radiocommunications</w:t>
      </w:r>
    </w:p>
    <w:p w14:paraId="274110BF" w14:textId="31E406F6" w:rsidR="001475CB" w:rsidRPr="00B433A3" w:rsidRDefault="001475CB" w:rsidP="00B8343E">
      <w:pPr>
        <w:pStyle w:val="Figurelegend"/>
      </w:pPr>
      <w:r w:rsidRPr="00B433A3">
        <w:t>4.1 Conférences régionales des radiocommunications</w:t>
      </w:r>
    </w:p>
    <w:p w14:paraId="173DE150" w14:textId="77777777" w:rsidR="009E4C7E" w:rsidRPr="00B433A3" w:rsidRDefault="009E4C7E" w:rsidP="00B8343E">
      <w:pPr>
        <w:pStyle w:val="Figurelegend"/>
      </w:pPr>
      <w:r w:rsidRPr="00B433A3">
        <w:t>5.1 Comité du Règlement des radiocommunications</w:t>
      </w:r>
    </w:p>
    <w:p w14:paraId="3BF97016" w14:textId="77777777" w:rsidR="009E4C7E" w:rsidRPr="00B433A3" w:rsidRDefault="009E4C7E" w:rsidP="00B8343E">
      <w:pPr>
        <w:pStyle w:val="Figurelegend"/>
      </w:pPr>
      <w:r w:rsidRPr="00B433A3">
        <w:t>5.2 Groupe consultatif des radiocommunications</w:t>
      </w:r>
    </w:p>
    <w:p w14:paraId="6B4DD468" w14:textId="77777777" w:rsidR="009E4C7E" w:rsidRPr="00B433A3" w:rsidRDefault="009E4C7E" w:rsidP="00B8343E">
      <w:pPr>
        <w:pStyle w:val="Figurelegend"/>
      </w:pPr>
      <w:r w:rsidRPr="00B433A3">
        <w:t>6 Réunions des Commissions d'études</w:t>
      </w:r>
    </w:p>
    <w:p w14:paraId="23DA8083" w14:textId="77777777" w:rsidR="009E4C7E" w:rsidRPr="00B433A3" w:rsidRDefault="009E4C7E" w:rsidP="00B8343E">
      <w:pPr>
        <w:pStyle w:val="Figurelegend"/>
      </w:pPr>
      <w:r w:rsidRPr="00B433A3">
        <w:t>7 Activités et programmes</w:t>
      </w:r>
    </w:p>
    <w:p w14:paraId="1080D645" w14:textId="77777777" w:rsidR="009E4C7E" w:rsidRPr="00B433A3" w:rsidRDefault="009E4C7E" w:rsidP="00B8343E">
      <w:pPr>
        <w:pStyle w:val="Figurelegend"/>
      </w:pPr>
      <w:r w:rsidRPr="00B433A3">
        <w:t>8 Séminaires et ateliers</w:t>
      </w:r>
    </w:p>
    <w:p w14:paraId="1F53FCA4" w14:textId="498CF1C0" w:rsidR="001475CB" w:rsidRPr="00B433A3" w:rsidRDefault="009E4C7E" w:rsidP="00B8343E">
      <w:pPr>
        <w:pStyle w:val="Figurelegend"/>
      </w:pPr>
      <w:r w:rsidRPr="00B433A3">
        <w:t xml:space="preserve">9 </w:t>
      </w:r>
      <w:proofErr w:type="gramStart"/>
      <w:r w:rsidRPr="00B433A3">
        <w:t>Bureau</w:t>
      </w:r>
      <w:r w:rsidR="001475CB" w:rsidRPr="00B433A3">
        <w:t>:</w:t>
      </w:r>
      <w:proofErr w:type="gramEnd"/>
      <w:r w:rsidR="001475CB" w:rsidRPr="00B433A3">
        <w:t xml:space="preserve"> Charges communes, Bureau du Directeur, Départements</w:t>
      </w:r>
    </w:p>
    <w:p w14:paraId="1D94E962" w14:textId="77777777" w:rsidR="009E4C7E" w:rsidRPr="00B433A3" w:rsidRDefault="009E4C7E" w:rsidP="00B8343E">
      <w:r w:rsidRPr="00B433A3">
        <w:t>Le montant de l'unité contributive que doivent verser les États Membres, qui est de 318 000 CHF, a été maintenu, ce qui correspond à une croissance nominale zéro depuis 2016. Les charges et les produits sont alignés sans qu'il ne soit nécessaire de faire un prélèvement sur le Fonds de réserve.</w:t>
      </w:r>
    </w:p>
    <w:p w14:paraId="74CA1B55" w14:textId="4209DE8E" w:rsidR="009E4C7E" w:rsidRPr="00B433A3" w:rsidRDefault="009E4C7E" w:rsidP="00B8343E">
      <w:r w:rsidRPr="00B433A3">
        <w:t>Comme dans les budgets précédents, un taux de vacance d'emploi de 5% a été appliqué, ce qui suppose des reports dans le recrutement, du travail à temps partiel et des congés sans solde. Néanmoins, la mise en œuvre du taux de vacance d'emploi posera des difficultés considérables dans la gestion des postes vacants et le processus de recrutement. Le budget pour 2022-2023 a été basé sur le programme d'activités de l'Union, qui inclut l'organisation de la CMR-23.</w:t>
      </w:r>
    </w:p>
    <w:p w14:paraId="5007F68D" w14:textId="43323601" w:rsidR="009E4C7E" w:rsidRPr="00B433A3" w:rsidRDefault="009E4C7E" w:rsidP="00B8343E">
      <w:r w:rsidRPr="00B433A3">
        <w:t xml:space="preserve">Le secrétariat a indiqué qu'il n'est pas prévu de faire des économies importantes, si tant est qu'il y en ait, durant cette période. Si des fonds sont disponibles, ceux-ci seraient utilisés en priorité pour satisfaire les dépenses indiquées dans la Décision 619 pour </w:t>
      </w:r>
      <w:r w:rsidR="00DA3655" w:rsidRPr="00B433A3">
        <w:t>2022</w:t>
      </w:r>
      <w:r w:rsidRPr="00B433A3">
        <w:t>, qui se montent à </w:t>
      </w:r>
      <w:r w:rsidR="00DA3655" w:rsidRPr="00B433A3">
        <w:t>785 </w:t>
      </w:r>
      <w:r w:rsidRPr="00B433A3">
        <w:t xml:space="preserve">000 CHF. Le résultat final de la mise en œuvre du budget pour </w:t>
      </w:r>
      <w:r w:rsidR="00DA3655" w:rsidRPr="00B433A3">
        <w:t xml:space="preserve">2021 </w:t>
      </w:r>
      <w:r w:rsidRPr="00B433A3">
        <w:t xml:space="preserve">sera présenté à la session </w:t>
      </w:r>
      <w:r w:rsidR="00DA3655" w:rsidRPr="00B433A3">
        <w:t>spéciale</w:t>
      </w:r>
      <w:r w:rsidRPr="00B433A3">
        <w:t xml:space="preserve"> du Conseil</w:t>
      </w:r>
      <w:r w:rsidR="00DA3655" w:rsidRPr="00B433A3">
        <w:t xml:space="preserve"> qui aura lieu à Bucarest</w:t>
      </w:r>
      <w:r w:rsidR="0003352F" w:rsidRPr="00B433A3">
        <w:t>,</w:t>
      </w:r>
      <w:r w:rsidR="00DA3655" w:rsidRPr="00B433A3">
        <w:t xml:space="preserve"> </w:t>
      </w:r>
      <w:r w:rsidR="0003352F" w:rsidRPr="00B433A3">
        <w:t>tout comme</w:t>
      </w:r>
      <w:r w:rsidR="00DA3655" w:rsidRPr="00B433A3">
        <w:t xml:space="preserve"> le rapport du Vérificateur extérieur des comptes sur les états financiers</w:t>
      </w:r>
      <w:r w:rsidRPr="00B433A3">
        <w:t>.</w:t>
      </w:r>
    </w:p>
    <w:p w14:paraId="39445782" w14:textId="77777777" w:rsidR="009E4C7E" w:rsidRPr="00B433A3" w:rsidRDefault="009E4C7E" w:rsidP="00B8343E">
      <w:pPr>
        <w:pStyle w:val="Heading2"/>
        <w:rPr>
          <w:bCs/>
        </w:rPr>
      </w:pPr>
      <w:r w:rsidRPr="00B433A3">
        <w:t>2.4</w:t>
      </w:r>
      <w:r w:rsidRPr="00B433A3">
        <w:tab/>
        <w:t xml:space="preserve">Demande du Groupe de travail du Conseil sur l'utilisation des langues (GTC-LANG) soumise au GCR pour examen et mise à jour du Document </w:t>
      </w:r>
      <w:r w:rsidRPr="00B433A3">
        <w:rPr>
          <w:bCs/>
        </w:rPr>
        <w:t>C14/INF/4</w:t>
      </w:r>
    </w:p>
    <w:p w14:paraId="0DDDED12" w14:textId="77777777" w:rsidR="009E4C7E" w:rsidRPr="00B433A3" w:rsidRDefault="009E4C7E" w:rsidP="00B8343E">
      <w:r w:rsidRPr="00B433A3">
        <w:t xml:space="preserve">En 2008, dans le souci de mettre en œuvre l'utilisation des six langues officielles sur un pied d'égalité dans les limites du budget à disposition, conformément à la Résolution 154 de la Conférence de plénipotentiaires, les groupes consultatifs des Secteurs et le Secrétariat général ont </w:t>
      </w:r>
      <w:r w:rsidRPr="00B433A3">
        <w:lastRenderedPageBreak/>
        <w:t xml:space="preserve">identifié en détail les documents et les publications qui seraient élaborés dans les différentes langues, comme il ressort des tableaux reproduits dans l'Annexe 1 du Document </w:t>
      </w:r>
      <w:hyperlink r:id="rId14" w:history="1">
        <w:r w:rsidRPr="00B433A3">
          <w:rPr>
            <w:rStyle w:val="Hyperlink"/>
          </w:rPr>
          <w:t>C08/56</w:t>
        </w:r>
      </w:hyperlink>
      <w:r w:rsidRPr="00B433A3">
        <w:t>, qui ont été soumis au Conseil pour approbation.</w:t>
      </w:r>
    </w:p>
    <w:p w14:paraId="15DC9306" w14:textId="77777777" w:rsidR="009E4C7E" w:rsidRPr="00B433A3" w:rsidRDefault="009E4C7E" w:rsidP="00B8343E">
      <w:r w:rsidRPr="00B433A3">
        <w:t xml:space="preserve">En 2014, un examen approfondi de ces tableaux a été réalisé et a abouti à la publication du Document </w:t>
      </w:r>
      <w:hyperlink r:id="rId15" w:history="1">
        <w:r w:rsidRPr="00B433A3">
          <w:rPr>
            <w:rStyle w:val="Hyperlink"/>
          </w:rPr>
          <w:t>C14/INF/4</w:t>
        </w:r>
      </w:hyperlink>
      <w:r w:rsidRPr="00B433A3">
        <w:t>, qui a orienté les travaux du Secrétariat pour ce qui concerne la traduction et l'interprétation à l'UIT.</w:t>
      </w:r>
    </w:p>
    <w:p w14:paraId="4A010B98" w14:textId="77777777" w:rsidR="009E4C7E" w:rsidRPr="00B433A3" w:rsidRDefault="009E4C7E" w:rsidP="00B8343E">
      <w:r w:rsidRPr="00B433A3">
        <w:t xml:space="preserve">À sa 10ème réunion (octobre 2020), le Groupe chargé de l'étude et de l'évaluation des méthodes de traduction, où siègent des représentants de tous les Secteurs et du Secrétariat général, est convenu de la nécessité de mener un examen des mesures et des principes régissant l'interprétation et la traduction (Document </w:t>
      </w:r>
      <w:hyperlink r:id="rId16" w:history="1">
        <w:r w:rsidRPr="00B433A3">
          <w:rPr>
            <w:rStyle w:val="Hyperlink"/>
          </w:rPr>
          <w:t>C14/INF/4</w:t>
        </w:r>
      </w:hyperlink>
      <w:r w:rsidRPr="00B433A3">
        <w:t xml:space="preserve">), </w:t>
      </w:r>
      <w:proofErr w:type="gramStart"/>
      <w:r w:rsidRPr="00B433A3">
        <w:t>pour:</w:t>
      </w:r>
      <w:proofErr w:type="gramEnd"/>
    </w:p>
    <w:p w14:paraId="2526ABD3" w14:textId="77777777" w:rsidR="009E4C7E" w:rsidRPr="00B433A3" w:rsidRDefault="009E4C7E" w:rsidP="00B8343E">
      <w:pPr>
        <w:pStyle w:val="enumlev1"/>
      </w:pPr>
      <w:r w:rsidRPr="00B433A3">
        <w:t>1)</w:t>
      </w:r>
      <w:r w:rsidRPr="00B433A3">
        <w:tab/>
        <w:t xml:space="preserve">actualiser la section du Document </w:t>
      </w:r>
      <w:hyperlink r:id="rId17" w:history="1">
        <w:r w:rsidRPr="00B433A3">
          <w:rPr>
            <w:rStyle w:val="Hyperlink"/>
          </w:rPr>
          <w:t>C14/INF/4</w:t>
        </w:r>
      </w:hyperlink>
      <w:r w:rsidRPr="00B433A3">
        <w:t xml:space="preserve"> relative aux publications, dans la mesure où certaines des publications ont été suspendues ou remplacées par d'autres </w:t>
      </w:r>
      <w:proofErr w:type="gramStart"/>
      <w:r w:rsidRPr="00B433A3">
        <w:t>publications;</w:t>
      </w:r>
      <w:proofErr w:type="gramEnd"/>
    </w:p>
    <w:p w14:paraId="579A7CD1" w14:textId="464FE9A2" w:rsidR="009E4C7E" w:rsidRPr="00B433A3" w:rsidRDefault="009E4C7E" w:rsidP="00B8343E">
      <w:pPr>
        <w:pStyle w:val="enumlev1"/>
      </w:pPr>
      <w:r w:rsidRPr="00B433A3">
        <w:t>2)</w:t>
      </w:r>
      <w:r w:rsidRPr="00B433A3">
        <w:tab/>
        <w:t xml:space="preserve">mettre en œuvre une politique commune en matière de langues pour le site web de l'UIT, dès qu'elle sera </w:t>
      </w:r>
      <w:proofErr w:type="gramStart"/>
      <w:r w:rsidRPr="00B433A3">
        <w:t>disponible;</w:t>
      </w:r>
      <w:proofErr w:type="gramEnd"/>
    </w:p>
    <w:p w14:paraId="5CB33C7C" w14:textId="77777777" w:rsidR="009E4C7E" w:rsidRPr="00B433A3" w:rsidRDefault="009E4C7E" w:rsidP="00B8343E">
      <w:pPr>
        <w:pStyle w:val="enumlev1"/>
      </w:pPr>
      <w:r w:rsidRPr="00B433A3">
        <w:t>3)</w:t>
      </w:r>
      <w:r w:rsidRPr="00B433A3">
        <w:tab/>
        <w:t xml:space="preserve">examiner les possibilités qu'offrent la traduction automatique et l'interprétation à </w:t>
      </w:r>
      <w:proofErr w:type="gramStart"/>
      <w:r w:rsidRPr="00B433A3">
        <w:t>distance;</w:t>
      </w:r>
      <w:proofErr w:type="gramEnd"/>
    </w:p>
    <w:p w14:paraId="632443BA" w14:textId="77777777" w:rsidR="009E4C7E" w:rsidRPr="00B433A3" w:rsidRDefault="009E4C7E" w:rsidP="00B8343E">
      <w:pPr>
        <w:pStyle w:val="enumlev1"/>
      </w:pPr>
      <w:r w:rsidRPr="00B433A3">
        <w:t>4)</w:t>
      </w:r>
      <w:r w:rsidRPr="00B433A3">
        <w:tab/>
        <w:t>rechercher pour ainsi dire des corrélations entre les services de traduction et d'interprétation, selon le cas.</w:t>
      </w:r>
    </w:p>
    <w:p w14:paraId="014718E1" w14:textId="02C2CD90" w:rsidR="009E4C7E" w:rsidRPr="00B433A3" w:rsidRDefault="009E4C7E" w:rsidP="00B8343E">
      <w:r w:rsidRPr="00B433A3">
        <w:t xml:space="preserve">À cette fin, le groupe a approuvé un plan d'action en vue de soumettre les mesures et les principes révisés pour la traduction et l'interprétation à la réunion de 2022 du GTC-LANG. Ce plan d'action est décrit au § 5 du Document </w:t>
      </w:r>
      <w:hyperlink r:id="rId18" w:history="1">
        <w:r w:rsidRPr="00B433A3">
          <w:rPr>
            <w:rStyle w:val="Hyperlink"/>
          </w:rPr>
          <w:t>CWG-LANG/11/2</w:t>
        </w:r>
      </w:hyperlink>
      <w:r w:rsidRPr="00B433A3">
        <w:t>, qui est le rapport du Secrétaire général à la 11ème réunion du GTC-LANG qui a eu lieu le 5 février 2020.</w:t>
      </w:r>
    </w:p>
    <w:p w14:paraId="1F922F34" w14:textId="0A86099B" w:rsidR="009E4C7E" w:rsidRPr="00B433A3" w:rsidRDefault="009E4C7E" w:rsidP="00B8343E">
      <w:r w:rsidRPr="00B433A3">
        <w:t xml:space="preserve">Conformément à ce plan d'action, il a été demandé aux Bureaux et au Secrétariat général d'élaborer un projet de proposition à soumettre au groupe consultatif concerné. Les propositions telles qu'approuvées seraient regroupées dans une Annexe du rapport du Secrétaire général présenté à la réunion de 2022 du GTC-LANG, en vue de son approbation et de sa soumission à la session de 2022 du Conseil. </w:t>
      </w:r>
    </w:p>
    <w:p w14:paraId="20EEB8CB" w14:textId="77777777" w:rsidR="009E4C7E" w:rsidRPr="00B433A3" w:rsidRDefault="009E4C7E" w:rsidP="00B8343E">
      <w:pPr>
        <w:pStyle w:val="Heading1"/>
      </w:pPr>
      <w:r w:rsidRPr="00B433A3">
        <w:t>3</w:t>
      </w:r>
      <w:r w:rsidRPr="00B433A3">
        <w:tab/>
        <w:t>Mise en œuvre des décisions de la CMR-19</w:t>
      </w:r>
    </w:p>
    <w:p w14:paraId="5C3DC5E4" w14:textId="26AE0E9F" w:rsidR="009E4C7E" w:rsidRPr="00B433A3" w:rsidRDefault="009E4C7E" w:rsidP="00B8343E">
      <w:pPr>
        <w:pStyle w:val="Heading2"/>
      </w:pPr>
      <w:bookmarkStart w:id="22" w:name="_Toc446060764"/>
      <w:r w:rsidRPr="00B433A3">
        <w:t>3.</w:t>
      </w:r>
      <w:r w:rsidR="00193D62" w:rsidRPr="00B433A3">
        <w:t>1</w:t>
      </w:r>
      <w:r w:rsidRPr="00B433A3">
        <w:tab/>
      </w:r>
      <w:bookmarkStart w:id="23" w:name="lt_pId353"/>
      <w:bookmarkEnd w:id="22"/>
      <w:r w:rsidRPr="00B433A3">
        <w:t>Élaboration de logiciels en application des décisions de la CMR-19</w:t>
      </w:r>
      <w:bookmarkEnd w:id="23"/>
    </w:p>
    <w:p w14:paraId="48DDA45A" w14:textId="77777777" w:rsidR="009E4C7E" w:rsidRPr="00B433A3" w:rsidRDefault="009E4C7E" w:rsidP="00B8343E">
      <w:bookmarkStart w:id="24" w:name="lt_pId354"/>
      <w:r w:rsidRPr="00B433A3">
        <w:t>Le BR procède actuellement aux derniers travaux de conception et de développement de logiciels en application des décisions de la CMR-19.</w:t>
      </w:r>
      <w:bookmarkEnd w:id="24"/>
    </w:p>
    <w:p w14:paraId="79F6F971" w14:textId="77777777" w:rsidR="009E4C7E" w:rsidRPr="00B433A3" w:rsidRDefault="009E4C7E" w:rsidP="00B8343E">
      <w:r w:rsidRPr="00B433A3">
        <w:t>On trouvera ci-dessous un résumé des tâches principales qui ont été achevées depuis le dernier rapport ou qui restent à achever.</w:t>
      </w:r>
    </w:p>
    <w:p w14:paraId="4ACC9F5F" w14:textId="312649AE" w:rsidR="00193D62" w:rsidRPr="00B433A3" w:rsidRDefault="00193D62" w:rsidP="00B8343E">
      <w:pPr>
        <w:pStyle w:val="Heading3"/>
      </w:pPr>
      <w:r w:rsidRPr="00B433A3">
        <w:t>3.1.1</w:t>
      </w:r>
      <w:r w:rsidRPr="00B433A3">
        <w:tab/>
        <w:t>Mise en œuvre des décisions de la CMR-19 se rapportant aux services de Terre</w:t>
      </w:r>
    </w:p>
    <w:p w14:paraId="6601E636" w14:textId="79469546" w:rsidR="00193D62" w:rsidRPr="00B433A3" w:rsidRDefault="00BB6D34" w:rsidP="00B8343E">
      <w:pPr>
        <w:pStyle w:val="enumlev1"/>
      </w:pPr>
      <w:bookmarkStart w:id="25" w:name="lt_pId361"/>
      <w:r w:rsidRPr="00B433A3">
        <w:t>–</w:t>
      </w:r>
      <w:r w:rsidR="00193D62" w:rsidRPr="00B433A3">
        <w:tab/>
        <w:t>Élaboration de modules logiciels pour le traitement des notifications de stations HAPS (outils de validation, d'examen et de publication).</w:t>
      </w:r>
      <w:bookmarkEnd w:id="25"/>
      <w:r w:rsidR="00193D62" w:rsidRPr="00B433A3">
        <w:t xml:space="preserve"> </w:t>
      </w:r>
      <w:bookmarkStart w:id="26" w:name="lt_pId362"/>
      <w:r w:rsidR="00193D62" w:rsidRPr="00B433A3">
        <w:t xml:space="preserve">Cette tâche comprend aussi l'élaboration de modules de calcul permettant de vérifier le respect des conditions techniques qui sont précisées dans les Résolutions </w:t>
      </w:r>
      <w:r w:rsidR="00193D62" w:rsidRPr="00B433A3">
        <w:rPr>
          <w:b/>
          <w:bCs/>
        </w:rPr>
        <w:t>122 (Rév.CMR-19)</w:t>
      </w:r>
      <w:r w:rsidR="00193D62" w:rsidRPr="00B433A3">
        <w:t xml:space="preserve">, </w:t>
      </w:r>
      <w:r w:rsidR="00193D62" w:rsidRPr="00B433A3">
        <w:rPr>
          <w:b/>
          <w:bCs/>
        </w:rPr>
        <w:t>145 (Rév.CMR-19)</w:t>
      </w:r>
      <w:r w:rsidR="00193D62" w:rsidRPr="00B433A3">
        <w:t xml:space="preserve">, </w:t>
      </w:r>
      <w:r w:rsidR="00193D62" w:rsidRPr="00B433A3">
        <w:rPr>
          <w:b/>
          <w:bCs/>
        </w:rPr>
        <w:t>165 (CMR-19)</w:t>
      </w:r>
      <w:r w:rsidR="00193D62" w:rsidRPr="00B433A3">
        <w:t xml:space="preserve">, </w:t>
      </w:r>
      <w:r w:rsidR="00193D62" w:rsidRPr="00B433A3">
        <w:rPr>
          <w:b/>
          <w:bCs/>
        </w:rPr>
        <w:t>166 (CMR-19)</w:t>
      </w:r>
      <w:r w:rsidR="00193D62" w:rsidRPr="00B433A3">
        <w:t xml:space="preserve">, </w:t>
      </w:r>
      <w:r w:rsidR="00193D62" w:rsidRPr="00B433A3">
        <w:rPr>
          <w:b/>
          <w:bCs/>
        </w:rPr>
        <w:t>167 (CMR-19)</w:t>
      </w:r>
      <w:r w:rsidR="00193D62" w:rsidRPr="00B433A3">
        <w:t xml:space="preserve"> et </w:t>
      </w:r>
      <w:r w:rsidR="00193D62" w:rsidRPr="00B433A3">
        <w:rPr>
          <w:b/>
          <w:bCs/>
        </w:rPr>
        <w:t>168 (CMR-19)</w:t>
      </w:r>
      <w:r w:rsidR="00193D62" w:rsidRPr="00B433A3">
        <w:t>, ainsi que les changements correspondants dans la base de données et la structure des notifications.</w:t>
      </w:r>
      <w:bookmarkEnd w:id="26"/>
    </w:p>
    <w:p w14:paraId="71E98CF1" w14:textId="6AE769CA" w:rsidR="00193D62" w:rsidRPr="00B433A3" w:rsidRDefault="00BB6D34" w:rsidP="00B8343E">
      <w:pPr>
        <w:pStyle w:val="enumlev1"/>
      </w:pPr>
      <w:bookmarkStart w:id="27" w:name="lt_pId363"/>
      <w:r w:rsidRPr="00B433A3">
        <w:t>–</w:t>
      </w:r>
      <w:r w:rsidR="00193D62" w:rsidRPr="00B433A3">
        <w:tab/>
        <w:t>Développement du logiciel d'examen pour l'identification des administrations affectées, au moyen de modèles numériques d'élévation (DEM) pour diverses bandes de fréquences et divers services.</w:t>
      </w:r>
      <w:bookmarkEnd w:id="27"/>
    </w:p>
    <w:p w14:paraId="14107536" w14:textId="62CCB042" w:rsidR="00193D62" w:rsidRPr="00B433A3" w:rsidRDefault="00193D62" w:rsidP="00B8343E">
      <w:pPr>
        <w:pStyle w:val="Heading3"/>
        <w:rPr>
          <w:rFonts w:eastAsia="Verdana"/>
        </w:rPr>
      </w:pPr>
      <w:r w:rsidRPr="00B433A3">
        <w:rPr>
          <w:rFonts w:eastAsia="Verdana"/>
        </w:rPr>
        <w:lastRenderedPageBreak/>
        <w:t>3.1.2</w:t>
      </w:r>
      <w:r w:rsidRPr="00B433A3">
        <w:rPr>
          <w:rFonts w:eastAsia="Verdana"/>
        </w:rPr>
        <w:tab/>
        <w:t>Mise en œuvre des décisions de la CMR-19 se rapportant aux services spatiaux</w:t>
      </w:r>
    </w:p>
    <w:p w14:paraId="566D4520" w14:textId="0597AAEF" w:rsidR="00193D62" w:rsidRPr="00B433A3" w:rsidRDefault="00BB6D34" w:rsidP="00B8343E">
      <w:pPr>
        <w:pStyle w:val="enumlev1"/>
      </w:pPr>
      <w:bookmarkStart w:id="28" w:name="lt_pId368"/>
      <w:r w:rsidRPr="00B433A3">
        <w:t>–</w:t>
      </w:r>
      <w:r w:rsidR="00193D62" w:rsidRPr="00B433A3">
        <w:tab/>
        <w:t>Étant donné que certaines modifications adoptées à la CMR-19 sont entrées en vigueur immédiatement, une version intermédiaire des logiciels pour les services spatiaux (version 9) a été publiée dans la BR IFIC 2926 (4 août 2020)</w:t>
      </w:r>
      <w:bookmarkStart w:id="29" w:name="lt_pId369"/>
      <w:bookmarkEnd w:id="28"/>
      <w:r w:rsidR="00193D62" w:rsidRPr="00B433A3">
        <w:t xml:space="preserve">. La totalité des changements apportés en vue d'appliquer les décisions de la CMR-19 seront disponibles au </w:t>
      </w:r>
      <w:r w:rsidR="0002050B" w:rsidRPr="00B433A3">
        <w:t xml:space="preserve">dernier </w:t>
      </w:r>
      <w:r w:rsidR="00193D62" w:rsidRPr="00B433A3">
        <w:t>trimestre de 2022 dans la version 9.1 des logiciels du BR pour les systèmes spatiaux.</w:t>
      </w:r>
      <w:bookmarkEnd w:id="29"/>
      <w:r w:rsidR="00193D62" w:rsidRPr="00B433A3">
        <w:t xml:space="preserve"> </w:t>
      </w:r>
      <w:r w:rsidR="0002050B" w:rsidRPr="00B433A3">
        <w:t>L'indication de constellations qui s'excluent mutuellement constituera la principale diffé</w:t>
      </w:r>
      <w:r w:rsidR="00F95D60" w:rsidRPr="00B433A3">
        <w:t xml:space="preserve">rence par rapport à la version </w:t>
      </w:r>
      <w:r w:rsidR="0002050B" w:rsidRPr="00B433A3">
        <w:t>9 de la base de données.</w:t>
      </w:r>
    </w:p>
    <w:p w14:paraId="0ED15537" w14:textId="63A45599" w:rsidR="00193D62" w:rsidRPr="00B433A3" w:rsidRDefault="00BB6D34" w:rsidP="00B8343E">
      <w:pPr>
        <w:pStyle w:val="enumlev1"/>
      </w:pPr>
      <w:bookmarkStart w:id="30" w:name="lt_pId370"/>
      <w:r w:rsidRPr="00B433A3">
        <w:t>–</w:t>
      </w:r>
      <w:r w:rsidR="00193D62" w:rsidRPr="00B433A3">
        <w:tab/>
        <w:t>Voici une liste non exhaustive des modifications des logiciels pour les services spatiaux</w:t>
      </w:r>
      <w:r w:rsidR="00D56C5B" w:rsidRPr="00B433A3">
        <w:t xml:space="preserve"> </w:t>
      </w:r>
      <w:r w:rsidR="00F95D60" w:rsidRPr="00B433A3">
        <w:t>apportées en vue de mettre en œuvre l</w:t>
      </w:r>
      <w:r w:rsidR="00D56C5B" w:rsidRPr="00B433A3">
        <w:t xml:space="preserve">es </w:t>
      </w:r>
      <w:r w:rsidR="00F95D60" w:rsidRPr="00B433A3">
        <w:t>décisions</w:t>
      </w:r>
      <w:r w:rsidR="00D56C5B" w:rsidRPr="00B433A3">
        <w:t xml:space="preserve"> de la CMR-19 en </w:t>
      </w:r>
      <w:proofErr w:type="gramStart"/>
      <w:r w:rsidR="00D56C5B" w:rsidRPr="00B433A3">
        <w:t>2021</w:t>
      </w:r>
      <w:r w:rsidR="00193D62" w:rsidRPr="00B433A3">
        <w:t>:</w:t>
      </w:r>
      <w:bookmarkEnd w:id="30"/>
      <w:proofErr w:type="gramEnd"/>
    </w:p>
    <w:p w14:paraId="0FBED8FA" w14:textId="425F5288" w:rsidR="00193D62" w:rsidRPr="00B433A3" w:rsidRDefault="00BB6D34" w:rsidP="00B8343E">
      <w:pPr>
        <w:pStyle w:val="enumlev2"/>
        <w:rPr>
          <w:szCs w:val="24"/>
        </w:rPr>
      </w:pPr>
      <w:r w:rsidRPr="00B433A3">
        <w:t>•</w:t>
      </w:r>
      <w:r w:rsidR="00193D62" w:rsidRPr="00B433A3">
        <w:tab/>
        <w:t xml:space="preserve">Mise en exploitation de la première phase de la mise en œuvre de la Résolution </w:t>
      </w:r>
      <w:r w:rsidR="00193D62" w:rsidRPr="00B433A3">
        <w:rPr>
          <w:b/>
        </w:rPr>
        <w:t>35 (CMR-19)</w:t>
      </w:r>
      <w:r w:rsidR="00193D62" w:rsidRPr="00B433A3">
        <w:t xml:space="preserve"> en janvier 2021 dans le cadre des mises à jour régulières de l'application web de soumission électronique (voir la description dans la section 7.3.2).</w:t>
      </w:r>
    </w:p>
    <w:p w14:paraId="2796B8ED" w14:textId="118E67CE" w:rsidR="00193D62" w:rsidRPr="00B433A3" w:rsidRDefault="00BB6D34" w:rsidP="00B8343E">
      <w:pPr>
        <w:pStyle w:val="enumlev2"/>
        <w:rPr>
          <w:rFonts w:eastAsia="SimSun" w:cs="Arial"/>
          <w:szCs w:val="24"/>
        </w:rPr>
      </w:pPr>
      <w:r w:rsidRPr="00B433A3">
        <w:t>•</w:t>
      </w:r>
      <w:r w:rsidR="00193D62" w:rsidRPr="00B433A3">
        <w:tab/>
      </w:r>
      <w:r w:rsidR="00D56C5B" w:rsidRPr="00B433A3">
        <w:t xml:space="preserve">Mise au point d'un outil permettant d'aider les administrations à communiquer au Bureau </w:t>
      </w:r>
      <w:r w:rsidR="005B5157" w:rsidRPr="00B433A3">
        <w:t>le statut</w:t>
      </w:r>
      <w:r w:rsidR="00D56C5B" w:rsidRPr="00B433A3">
        <w:t xml:space="preserve"> de la coordination </w:t>
      </w:r>
      <w:r w:rsidR="005B5157" w:rsidRPr="00B433A3">
        <w:t>vis-à-vis des</w:t>
      </w:r>
      <w:r w:rsidR="00D56C5B" w:rsidRPr="00B433A3">
        <w:t xml:space="preserve"> administrations concernées </w:t>
      </w:r>
      <w:r w:rsidR="005B5157" w:rsidRPr="00B433A3">
        <w:t>lors de la première notification</w:t>
      </w:r>
      <w:r w:rsidR="00D56C5B" w:rsidRPr="00B433A3">
        <w:t xml:space="preserve"> et </w:t>
      </w:r>
      <w:r w:rsidR="005B5157" w:rsidRPr="00B433A3">
        <w:t>lors de la nouvelle soumission d'une notification</w:t>
      </w:r>
      <w:r w:rsidR="00D56C5B" w:rsidRPr="00B433A3">
        <w:t xml:space="preserve"> (</w:t>
      </w:r>
      <w:r w:rsidR="006E467F" w:rsidRPr="00B433A3">
        <w:t>dans le logiciel</w:t>
      </w:r>
      <w:r w:rsidR="005B5157" w:rsidRPr="00B433A3">
        <w:t xml:space="preserve"> </w:t>
      </w:r>
      <w:proofErr w:type="spellStart"/>
      <w:r w:rsidR="005B5157" w:rsidRPr="00B433A3">
        <w:t>SpaceCap</w:t>
      </w:r>
      <w:proofErr w:type="spellEnd"/>
      <w:r w:rsidR="00D56C5B" w:rsidRPr="00B433A3">
        <w:t xml:space="preserve">, </w:t>
      </w:r>
      <w:r w:rsidR="006E467F" w:rsidRPr="00B433A3">
        <w:t xml:space="preserve">le système </w:t>
      </w:r>
      <w:r w:rsidR="005B5157" w:rsidRPr="00B433A3">
        <w:t xml:space="preserve">BR SIS, </w:t>
      </w:r>
      <w:r w:rsidR="006E467F" w:rsidRPr="00B433A3">
        <w:t xml:space="preserve">le système de </w:t>
      </w:r>
      <w:r w:rsidR="00D56C5B" w:rsidRPr="00B433A3">
        <w:t xml:space="preserve">soumission électronique, </w:t>
      </w:r>
      <w:r w:rsidR="006E467F" w:rsidRPr="00B433A3">
        <w:t xml:space="preserve">le logiciel </w:t>
      </w:r>
      <w:proofErr w:type="spellStart"/>
      <w:r w:rsidR="005B5157" w:rsidRPr="00B433A3">
        <w:t>SpacePub</w:t>
      </w:r>
      <w:proofErr w:type="spellEnd"/>
      <w:r w:rsidR="005B5157" w:rsidRPr="00B433A3">
        <w:t xml:space="preserve"> </w:t>
      </w:r>
      <w:r w:rsidR="00D56C5B" w:rsidRPr="00B433A3">
        <w:t xml:space="preserve">et </w:t>
      </w:r>
      <w:r w:rsidR="006E467F" w:rsidRPr="00B433A3">
        <w:t xml:space="preserve">le </w:t>
      </w:r>
      <w:r w:rsidR="00D56C5B" w:rsidRPr="00B433A3">
        <w:t xml:space="preserve">système de traitement interne au BR) </w:t>
      </w:r>
      <w:r w:rsidR="00193D62" w:rsidRPr="00B433A3">
        <w:rPr>
          <w:rFonts w:eastAsia="SimSun" w:cs="Arial"/>
          <w:szCs w:val="24"/>
        </w:rPr>
        <w:t>(</w:t>
      </w:r>
      <w:r w:rsidR="00193D62" w:rsidRPr="00B433A3">
        <w:t xml:space="preserve">voir la description dans la section </w:t>
      </w:r>
      <w:r w:rsidR="00193D62" w:rsidRPr="00B433A3">
        <w:rPr>
          <w:rFonts w:eastAsia="SimSun" w:cs="Arial"/>
          <w:szCs w:val="24"/>
        </w:rPr>
        <w:t>7.3.3).</w:t>
      </w:r>
    </w:p>
    <w:p w14:paraId="21A251DE" w14:textId="746CBFAD" w:rsidR="005A368C" w:rsidRPr="00B433A3" w:rsidRDefault="005A368C" w:rsidP="00B8343E">
      <w:pPr>
        <w:pStyle w:val="Heading2"/>
      </w:pPr>
      <w:bookmarkStart w:id="31" w:name="_Toc446060765"/>
      <w:r w:rsidRPr="00B433A3">
        <w:t>3.2</w:t>
      </w:r>
      <w:r w:rsidRPr="00B433A3">
        <w:tab/>
      </w:r>
      <w:bookmarkStart w:id="32" w:name="lt_pId379"/>
      <w:bookmarkEnd w:id="31"/>
      <w:r w:rsidRPr="00B433A3">
        <w:t>Autres mesures en application des décisions de la CMR-19</w:t>
      </w:r>
      <w:bookmarkEnd w:id="32"/>
    </w:p>
    <w:p w14:paraId="1A57604F" w14:textId="5BABD871" w:rsidR="009E4C7E" w:rsidRPr="00B433A3" w:rsidRDefault="005A368C" w:rsidP="00B8343E">
      <w:r w:rsidRPr="00B433A3">
        <w:t xml:space="preserve">Le Bureau a </w:t>
      </w:r>
      <w:r w:rsidR="000D5D26" w:rsidRPr="00B433A3">
        <w:t>examiné</w:t>
      </w:r>
      <w:r w:rsidRPr="00B433A3">
        <w:t xml:space="preserve"> les conclusions relatives aux assignations de fréquences inscrites dans le Fichier de référence dans les bandes de fréquences pour lesquelles la situation concernant les attributions a changé par suite des décisions de la CMR-19 entrées en vigueur le 1er janvier 2021.</w:t>
      </w:r>
    </w:p>
    <w:p w14:paraId="007659D1" w14:textId="77777777" w:rsidR="005A368C" w:rsidRPr="00B433A3" w:rsidRDefault="005A368C" w:rsidP="00B8343E">
      <w:pPr>
        <w:pStyle w:val="Heading1"/>
      </w:pPr>
      <w:bookmarkStart w:id="33" w:name="_Toc446060766"/>
      <w:r w:rsidRPr="00B433A3">
        <w:t>4</w:t>
      </w:r>
      <w:r w:rsidRPr="00B433A3">
        <w:tab/>
      </w:r>
      <w:bookmarkStart w:id="34" w:name="lt_pId387"/>
      <w:bookmarkEnd w:id="33"/>
      <w:r w:rsidRPr="00B433A3">
        <w:t>Activités des commissions d'études</w:t>
      </w:r>
      <w:bookmarkEnd w:id="34"/>
    </w:p>
    <w:p w14:paraId="57605694" w14:textId="77777777" w:rsidR="005A368C" w:rsidRPr="00B433A3" w:rsidRDefault="005A368C" w:rsidP="00B8343E">
      <w:bookmarkStart w:id="35" w:name="lt_pId388"/>
      <w:r w:rsidRPr="00B433A3">
        <w:t>Cette question fait l'objet de l'Addendum 1 au présent document.</w:t>
      </w:r>
      <w:bookmarkEnd w:id="35"/>
    </w:p>
    <w:p w14:paraId="25E659B0" w14:textId="77777777" w:rsidR="005A368C" w:rsidRPr="00B433A3" w:rsidRDefault="005A368C" w:rsidP="00B8343E">
      <w:pPr>
        <w:pStyle w:val="Heading1"/>
      </w:pPr>
      <w:bookmarkStart w:id="36" w:name="_Toc446060767"/>
      <w:r w:rsidRPr="00B433A3">
        <w:t>5</w:t>
      </w:r>
      <w:r w:rsidRPr="00B433A3">
        <w:tab/>
        <w:t>Ordre du jour, dates et lieu de la CMR-23, et travaux préparatoires connexes</w:t>
      </w:r>
      <w:bookmarkEnd w:id="36"/>
    </w:p>
    <w:p w14:paraId="389498C2" w14:textId="28968146" w:rsidR="005A368C" w:rsidRPr="00B433A3" w:rsidRDefault="00E64F6F" w:rsidP="00B8343E">
      <w:r w:rsidRPr="00B433A3">
        <w:t>Par suite de</w:t>
      </w:r>
      <w:r w:rsidR="007042BC" w:rsidRPr="00B433A3">
        <w:t xml:space="preserve"> l'approbation par les États Membres de l'UIT, le 3 août 2020, de l'ordre </w:t>
      </w:r>
      <w:r w:rsidR="005A368C" w:rsidRPr="00B433A3">
        <w:t>du jour de la</w:t>
      </w:r>
      <w:r w:rsidR="00DC0D75" w:rsidRPr="00B433A3">
        <w:t> </w:t>
      </w:r>
      <w:r w:rsidR="005A368C" w:rsidRPr="00B433A3">
        <w:t xml:space="preserve">CMR-23, tel </w:t>
      </w:r>
      <w:r w:rsidRPr="00B433A3">
        <w:t>qu</w:t>
      </w:r>
      <w:r w:rsidR="006D4AC5" w:rsidRPr="00B433A3">
        <w:t>'</w:t>
      </w:r>
      <w:r w:rsidRPr="00B433A3">
        <w:t xml:space="preserve">il figure à présent </w:t>
      </w:r>
      <w:r w:rsidR="005A368C" w:rsidRPr="00B433A3">
        <w:t xml:space="preserve">dans la </w:t>
      </w:r>
      <w:hyperlink r:id="rId19" w:history="1">
        <w:r w:rsidR="005A368C" w:rsidRPr="00B433A3">
          <w:rPr>
            <w:rStyle w:val="Hyperlink"/>
          </w:rPr>
          <w:t xml:space="preserve">Résolution </w:t>
        </w:r>
        <w:r w:rsidR="007042BC" w:rsidRPr="00B433A3">
          <w:rPr>
            <w:rStyle w:val="Hyperlink"/>
          </w:rPr>
          <w:t>1399 du Conseil (C-20)</w:t>
        </w:r>
      </w:hyperlink>
      <w:r w:rsidR="005A368C" w:rsidRPr="00B433A3">
        <w:t xml:space="preserve">, la consultation virtuelle des Conseillers qui s'est </w:t>
      </w:r>
      <w:r w:rsidR="007042BC" w:rsidRPr="00B433A3">
        <w:t>tenue du 8 au 18 juin</w:t>
      </w:r>
      <w:r w:rsidR="005A368C" w:rsidRPr="00B433A3">
        <w:t xml:space="preserve"> </w:t>
      </w:r>
      <w:r w:rsidR="00054BDB" w:rsidRPr="00B433A3">
        <w:t>2021</w:t>
      </w:r>
      <w:r w:rsidR="007042BC" w:rsidRPr="00B433A3">
        <w:t xml:space="preserve"> a été invitée</w:t>
      </w:r>
      <w:r w:rsidR="005A368C" w:rsidRPr="00B433A3">
        <w:t xml:space="preserve"> à adopter une nouvelle </w:t>
      </w:r>
      <w:r w:rsidR="007042BC" w:rsidRPr="00B433A3">
        <w:t xml:space="preserve">Décision </w:t>
      </w:r>
      <w:r w:rsidR="005A368C" w:rsidRPr="00B433A3">
        <w:t xml:space="preserve">contenant </w:t>
      </w:r>
      <w:r w:rsidR="007042BC" w:rsidRPr="00B433A3">
        <w:t>les dates de l'AR-23 et de la CMR-23 et deux lieux possibles aux Émirats arabes unis pouvant accueillir ces manifestations</w:t>
      </w:r>
      <w:r w:rsidR="005A368C" w:rsidRPr="00B433A3">
        <w:t xml:space="preserve">. </w:t>
      </w:r>
      <w:r w:rsidR="007042BC" w:rsidRPr="00B433A3">
        <w:t xml:space="preserve">Le Conseil a adopté la </w:t>
      </w:r>
      <w:hyperlink r:id="rId20" w:history="1">
        <w:r w:rsidR="007042BC" w:rsidRPr="00B433A3">
          <w:rPr>
            <w:rStyle w:val="Hyperlink"/>
          </w:rPr>
          <w:t>Décision 623 (C-21)</w:t>
        </w:r>
      </w:hyperlink>
      <w:r w:rsidR="007042BC" w:rsidRPr="00B433A3">
        <w:t xml:space="preserve">, </w:t>
      </w:r>
      <w:r w:rsidR="00054BDB" w:rsidRPr="00B433A3">
        <w:t>dans laquelle il est indiqué</w:t>
      </w:r>
      <w:r w:rsidR="007042BC" w:rsidRPr="00B433A3">
        <w:t xml:space="preserve"> que la </w:t>
      </w:r>
      <w:r w:rsidR="005A368C" w:rsidRPr="00B433A3">
        <w:t>CMR-23</w:t>
      </w:r>
      <w:r w:rsidR="007042BC" w:rsidRPr="00B433A3">
        <w:t xml:space="preserve"> se déroulera soit à Abu Dhabi, soit à Dubaï (Émirats</w:t>
      </w:r>
      <w:r w:rsidR="00A06349" w:rsidRPr="00B433A3">
        <w:t> </w:t>
      </w:r>
      <w:r w:rsidR="007042BC" w:rsidRPr="00B433A3">
        <w:t>arabes</w:t>
      </w:r>
      <w:r w:rsidR="00A06349" w:rsidRPr="00B433A3">
        <w:t> </w:t>
      </w:r>
      <w:r w:rsidR="007042BC" w:rsidRPr="00B433A3">
        <w:t>unis) du 20 novembre au 15 décembre 2023, précédée de l'AR-23 qui se tiendra du</w:t>
      </w:r>
      <w:r w:rsidR="00A06349" w:rsidRPr="00B433A3">
        <w:t> </w:t>
      </w:r>
      <w:r w:rsidR="007042BC" w:rsidRPr="00B433A3">
        <w:t>13</w:t>
      </w:r>
      <w:r w:rsidR="00A06349" w:rsidRPr="00B433A3">
        <w:t> </w:t>
      </w:r>
      <w:r w:rsidR="007042BC" w:rsidRPr="00B433A3">
        <w:t>au</w:t>
      </w:r>
      <w:r w:rsidR="00A06349" w:rsidRPr="00B433A3">
        <w:t> </w:t>
      </w:r>
      <w:r w:rsidR="007042BC" w:rsidRPr="00B433A3">
        <w:t>17</w:t>
      </w:r>
      <w:r w:rsidR="00710978" w:rsidRPr="00B433A3">
        <w:t> </w:t>
      </w:r>
      <w:r w:rsidR="007042BC" w:rsidRPr="00B433A3">
        <w:t xml:space="preserve">novembre 2023. Cette Décision </w:t>
      </w:r>
      <w:r w:rsidR="005A368C" w:rsidRPr="00B433A3">
        <w:t>a été par la suite approuvé</w:t>
      </w:r>
      <w:r w:rsidR="007042BC" w:rsidRPr="00B433A3">
        <w:t>e</w:t>
      </w:r>
      <w:r w:rsidR="005A368C" w:rsidRPr="00B433A3">
        <w:t xml:space="preserve"> par correspondance</w:t>
      </w:r>
      <w:r w:rsidR="007042BC" w:rsidRPr="00B433A3">
        <w:t xml:space="preserve">, comme indiqué dans </w:t>
      </w:r>
      <w:r w:rsidR="005A368C" w:rsidRPr="00B433A3">
        <w:t xml:space="preserve">les Lettres circulaires </w:t>
      </w:r>
      <w:hyperlink r:id="rId21" w:history="1">
        <w:r w:rsidR="007042BC" w:rsidRPr="00B433A3">
          <w:rPr>
            <w:rStyle w:val="Hyperlink"/>
          </w:rPr>
          <w:t>DM21/1017</w:t>
        </w:r>
      </w:hyperlink>
      <w:r w:rsidR="007042BC" w:rsidRPr="00B433A3">
        <w:t xml:space="preserve"> du 4 août 2021 et </w:t>
      </w:r>
      <w:hyperlink r:id="rId22" w:history="1">
        <w:r w:rsidR="007042BC" w:rsidRPr="00B433A3">
          <w:rPr>
            <w:rStyle w:val="Hyperlink"/>
          </w:rPr>
          <w:t>CL-21/049</w:t>
        </w:r>
      </w:hyperlink>
      <w:r w:rsidR="007042BC" w:rsidRPr="00B433A3">
        <w:t xml:space="preserve"> du</w:t>
      </w:r>
      <w:r w:rsidR="00A06349" w:rsidRPr="00B433A3">
        <w:t> </w:t>
      </w:r>
      <w:r w:rsidR="007042BC" w:rsidRPr="00B433A3">
        <w:t>19</w:t>
      </w:r>
      <w:r w:rsidR="00A06349" w:rsidRPr="00B433A3">
        <w:t> </w:t>
      </w:r>
      <w:r w:rsidR="007042BC" w:rsidRPr="00B433A3">
        <w:t>octobre</w:t>
      </w:r>
      <w:r w:rsidR="00A06349" w:rsidRPr="00B433A3">
        <w:t> </w:t>
      </w:r>
      <w:r w:rsidR="007042BC" w:rsidRPr="00B433A3">
        <w:t>2021 du Secrétariat général de l'UIT</w:t>
      </w:r>
      <w:r w:rsidR="005A368C" w:rsidRPr="00B433A3">
        <w:t>.</w:t>
      </w:r>
    </w:p>
    <w:p w14:paraId="06DEEC6B" w14:textId="2DCC8B9E" w:rsidR="005A368C" w:rsidRPr="00B433A3" w:rsidRDefault="00054BDB" w:rsidP="00B8343E">
      <w:pPr>
        <w:jc w:val="both"/>
      </w:pPr>
      <w:r w:rsidRPr="00B433A3">
        <w:rPr>
          <w:szCs w:val="24"/>
        </w:rPr>
        <w:t>Bien que</w:t>
      </w:r>
      <w:r w:rsidR="002A5885" w:rsidRPr="00B433A3">
        <w:rPr>
          <w:szCs w:val="24"/>
        </w:rPr>
        <w:t xml:space="preserve"> les dates de la CMR-23</w:t>
      </w:r>
      <w:r w:rsidRPr="00B433A3">
        <w:rPr>
          <w:szCs w:val="24"/>
        </w:rPr>
        <w:t xml:space="preserve"> aient été </w:t>
      </w:r>
      <w:r w:rsidR="00745892" w:rsidRPr="00B433A3">
        <w:rPr>
          <w:szCs w:val="24"/>
        </w:rPr>
        <w:t>arrêtées</w:t>
      </w:r>
      <w:r w:rsidR="002A5885" w:rsidRPr="00B433A3">
        <w:rPr>
          <w:szCs w:val="24"/>
        </w:rPr>
        <w:t>, il n'a pa</w:t>
      </w:r>
      <w:r w:rsidR="00234D97" w:rsidRPr="00B433A3">
        <w:rPr>
          <w:szCs w:val="24"/>
        </w:rPr>
        <w:t>s été possible de modifier la ré</w:t>
      </w:r>
      <w:r w:rsidR="002A5885" w:rsidRPr="00B433A3">
        <w:rPr>
          <w:szCs w:val="24"/>
        </w:rPr>
        <w:t>servation initiale du CICG du 27 mars au 6 avril 202</w:t>
      </w:r>
      <w:r w:rsidR="00234D97" w:rsidRPr="00B433A3">
        <w:rPr>
          <w:szCs w:val="24"/>
        </w:rPr>
        <w:t>2</w:t>
      </w:r>
      <w:r w:rsidR="002A5885" w:rsidRPr="00B433A3">
        <w:rPr>
          <w:szCs w:val="24"/>
        </w:rPr>
        <w:t xml:space="preserve"> pour reporter la seconde session de la Réunion de préparation à la Conférence en vue de la CMR-23 (RPC23-2) à des dates ultérieures</w:t>
      </w:r>
      <w:r w:rsidR="00234D97" w:rsidRPr="00B433A3">
        <w:rPr>
          <w:szCs w:val="24"/>
        </w:rPr>
        <w:t>,</w:t>
      </w:r>
      <w:r w:rsidR="002A5885" w:rsidRPr="00B433A3">
        <w:rPr>
          <w:szCs w:val="24"/>
        </w:rPr>
        <w:t xml:space="preserve"> compte tenu du</w:t>
      </w:r>
      <w:r w:rsidR="00DC0D75" w:rsidRPr="00B433A3">
        <w:rPr>
          <w:szCs w:val="24"/>
        </w:rPr>
        <w:t> </w:t>
      </w:r>
      <w:r w:rsidR="002A5885" w:rsidRPr="00B433A3">
        <w:rPr>
          <w:szCs w:val="24"/>
        </w:rPr>
        <w:t>§</w:t>
      </w:r>
      <w:r w:rsidR="007A586C" w:rsidRPr="00B433A3">
        <w:rPr>
          <w:szCs w:val="24"/>
        </w:rPr>
        <w:t> </w:t>
      </w:r>
      <w:r w:rsidR="002A5885" w:rsidRPr="00B433A3">
        <w:rPr>
          <w:szCs w:val="24"/>
        </w:rPr>
        <w:t xml:space="preserve">A1.2.3 de la Résolution UIT-R 2-8. Cependant, des </w:t>
      </w:r>
      <w:r w:rsidR="007A586C" w:rsidRPr="00B433A3">
        <w:rPr>
          <w:szCs w:val="24"/>
        </w:rPr>
        <w:t>initiatives</w:t>
      </w:r>
      <w:r w:rsidR="00234D97" w:rsidRPr="00B433A3">
        <w:rPr>
          <w:szCs w:val="24"/>
        </w:rPr>
        <w:t xml:space="preserve"> </w:t>
      </w:r>
      <w:r w:rsidR="007A586C" w:rsidRPr="00B433A3">
        <w:rPr>
          <w:szCs w:val="24"/>
        </w:rPr>
        <w:t xml:space="preserve">ont été menées afin d'encourager les pays à </w:t>
      </w:r>
      <w:r w:rsidR="003B2FC1" w:rsidRPr="00B433A3">
        <w:rPr>
          <w:szCs w:val="24"/>
        </w:rPr>
        <w:t xml:space="preserve">proposer un lieu de remplacement en vue d'accueillir </w:t>
      </w:r>
      <w:r w:rsidR="00234D97" w:rsidRPr="00B433A3">
        <w:rPr>
          <w:szCs w:val="24"/>
        </w:rPr>
        <w:t xml:space="preserve">la RPC23-2, qui </w:t>
      </w:r>
      <w:r w:rsidR="007A586C" w:rsidRPr="00B433A3">
        <w:rPr>
          <w:szCs w:val="24"/>
        </w:rPr>
        <w:t>se tiendra</w:t>
      </w:r>
      <w:r w:rsidR="00234D97" w:rsidRPr="00B433A3">
        <w:rPr>
          <w:szCs w:val="24"/>
        </w:rPr>
        <w:t xml:space="preserve"> pendant la première quinzaine de mai 2023. Les résultats de ces </w:t>
      </w:r>
      <w:r w:rsidR="007A586C" w:rsidRPr="00B433A3">
        <w:rPr>
          <w:szCs w:val="24"/>
        </w:rPr>
        <w:t>initiatives</w:t>
      </w:r>
      <w:r w:rsidR="00234D97" w:rsidRPr="00B433A3">
        <w:rPr>
          <w:szCs w:val="24"/>
        </w:rPr>
        <w:t xml:space="preserve"> n'étaient pas disponibles au moment de la rédaction du présent </w:t>
      </w:r>
      <w:r w:rsidR="007A586C" w:rsidRPr="00B433A3">
        <w:rPr>
          <w:szCs w:val="24"/>
        </w:rPr>
        <w:t>rapport</w:t>
      </w:r>
      <w:r w:rsidR="00234D97" w:rsidRPr="00B433A3">
        <w:rPr>
          <w:szCs w:val="24"/>
        </w:rPr>
        <w:t>.</w:t>
      </w:r>
    </w:p>
    <w:p w14:paraId="00C83585" w14:textId="0EABDA35" w:rsidR="005A368C" w:rsidRPr="00B433A3" w:rsidRDefault="005A368C" w:rsidP="00B8343E">
      <w:r w:rsidRPr="00B433A3">
        <w:lastRenderedPageBreak/>
        <w:t>Sur la base des résultats de la première session de la Réunion de préparation à la CMR-</w:t>
      </w:r>
      <w:r w:rsidR="00177141" w:rsidRPr="00B433A3">
        <w:t xml:space="preserve">23 </w:t>
      </w:r>
      <w:r w:rsidRPr="00B433A3">
        <w:t>(RPC-</w:t>
      </w:r>
      <w:r w:rsidR="00177141" w:rsidRPr="00B433A3">
        <w:t>23</w:t>
      </w:r>
      <w:r w:rsidRPr="00B433A3">
        <w:t>) et compte tenu des délais fixés pour l'établissement du projet de Rapport de la RPC à la CMR-</w:t>
      </w:r>
      <w:r w:rsidR="00177141" w:rsidRPr="00B433A3">
        <w:t xml:space="preserve">23 </w:t>
      </w:r>
      <w:r w:rsidRPr="00B433A3">
        <w:t xml:space="preserve">(voir la </w:t>
      </w:r>
      <w:hyperlink r:id="rId23" w:history="1">
        <w:r w:rsidR="00177141" w:rsidRPr="00B433A3">
          <w:rPr>
            <w:rStyle w:val="Hyperlink"/>
          </w:rPr>
          <w:t>Circulaire administrative CA/251 du BR</w:t>
        </w:r>
      </w:hyperlink>
      <w:r w:rsidRPr="00B433A3">
        <w:t xml:space="preserve"> en date du </w:t>
      </w:r>
      <w:r w:rsidR="00177141" w:rsidRPr="00B433A3">
        <w:t>28 janvier 2020</w:t>
      </w:r>
      <w:r w:rsidRPr="00B433A3">
        <w:t xml:space="preserve"> et son Addendum 1 en date du </w:t>
      </w:r>
      <w:r w:rsidR="00177141" w:rsidRPr="00B433A3">
        <w:t xml:space="preserve">17 </w:t>
      </w:r>
      <w:r w:rsidRPr="00B433A3">
        <w:t xml:space="preserve">septembre </w:t>
      </w:r>
      <w:r w:rsidR="00177141" w:rsidRPr="00B433A3">
        <w:t>2020</w:t>
      </w:r>
      <w:r w:rsidRPr="00B433A3">
        <w:t xml:space="preserve">, ainsi que les </w:t>
      </w:r>
      <w:proofErr w:type="spellStart"/>
      <w:r w:rsidRPr="00B433A3">
        <w:t>corrigenda</w:t>
      </w:r>
      <w:proofErr w:type="spellEnd"/>
      <w:r w:rsidRPr="00B433A3">
        <w:t xml:space="preserve"> qui y sont associés), d'importants progrès ont été réalisés au cours de la période couverte par le présent rapport, par les groupes de travail et le groupe d'action de l'UIT-R chargés des études préparatoires sur les points de l'ordre du jour </w:t>
      </w:r>
      <w:r w:rsidR="00177141" w:rsidRPr="00B433A3">
        <w:t xml:space="preserve">et les thèmes </w:t>
      </w:r>
      <w:r w:rsidRPr="00B433A3">
        <w:t>de la CMR-</w:t>
      </w:r>
      <w:r w:rsidR="00177141" w:rsidRPr="00B433A3">
        <w:t>23</w:t>
      </w:r>
      <w:r w:rsidRPr="00B433A3">
        <w:t>. On trouvera des informations détaillées sur les études préparatoires de l'UIT</w:t>
      </w:r>
      <w:r w:rsidR="00DC0D75" w:rsidRPr="00B433A3">
        <w:noBreakHyphen/>
      </w:r>
      <w:r w:rsidRPr="00B433A3">
        <w:t>R en vue de la CMR-</w:t>
      </w:r>
      <w:r w:rsidR="00177141" w:rsidRPr="00B433A3">
        <w:t xml:space="preserve">23 </w:t>
      </w:r>
      <w:r w:rsidRPr="00B433A3">
        <w:t xml:space="preserve">sur la page web actualisée de l'UIT </w:t>
      </w:r>
      <w:proofErr w:type="gramStart"/>
      <w:r w:rsidRPr="00B433A3">
        <w:t>suivante:</w:t>
      </w:r>
      <w:proofErr w:type="gramEnd"/>
      <w:r w:rsidRPr="00B433A3">
        <w:rPr>
          <w:rFonts w:eastAsia="SimSun"/>
          <w:szCs w:val="24"/>
          <w:lang w:eastAsia="zh-CN"/>
        </w:rPr>
        <w:t xml:space="preserve"> </w:t>
      </w:r>
      <w:hyperlink r:id="rId24" w:history="1">
        <w:r w:rsidR="00177141" w:rsidRPr="00B433A3">
          <w:rPr>
            <w:rStyle w:val="Hyperlink"/>
          </w:rPr>
          <w:t>https://www.itu.int/en/ITU-R/study-groups/rcpm/Pages/wrc-23-studies.aspx</w:t>
        </w:r>
      </w:hyperlink>
      <w:r w:rsidRPr="00B433A3">
        <w:rPr>
          <w:rFonts w:eastAsia="SimSun"/>
          <w:szCs w:val="24"/>
          <w:lang w:eastAsia="zh-CN"/>
        </w:rPr>
        <w:t xml:space="preserve">. </w:t>
      </w:r>
      <w:r w:rsidRPr="00B433A3">
        <w:t>L'achèvement de ces activités conformément aux programmes de travail préalablement établis devrait en particulier garantir la mise à disposition en temps utile du projet de Rapport de la RPC à la CMR-</w:t>
      </w:r>
      <w:r w:rsidR="00177141" w:rsidRPr="00B433A3">
        <w:t>23</w:t>
      </w:r>
      <w:r w:rsidRPr="00B433A3">
        <w:t>, en vue de son examen à la seconde session de la RPC-</w:t>
      </w:r>
      <w:r w:rsidR="00177141" w:rsidRPr="00B433A3">
        <w:t>23</w:t>
      </w:r>
      <w:r w:rsidRPr="00B433A3">
        <w:t>.</w:t>
      </w:r>
    </w:p>
    <w:p w14:paraId="74479ED2" w14:textId="1B5FEC94" w:rsidR="00F91636" w:rsidRPr="00B433A3" w:rsidRDefault="00F91636" w:rsidP="00B8343E">
      <w:r w:rsidRPr="00B433A3">
        <w:t xml:space="preserve">Compte tenu de la Résolution 80 (Rév. Marrakech, 2002) de la Conférence de plénipotentiaires et de la Résolution </w:t>
      </w:r>
      <w:r w:rsidRPr="00B433A3">
        <w:rPr>
          <w:b/>
          <w:bCs/>
        </w:rPr>
        <w:t>72 (Rév.CMR-19)</w:t>
      </w:r>
      <w:r w:rsidRPr="00B433A3">
        <w:t xml:space="preserve">, </w:t>
      </w:r>
      <w:r w:rsidR="00177141" w:rsidRPr="00B433A3">
        <w:t xml:space="preserve">d'importants </w:t>
      </w:r>
      <w:r w:rsidRPr="00B433A3">
        <w:t xml:space="preserve">travaux préparatoires en vue de la CMR-23 se sont poursuivis également au niveau régional, grâce à la participation active du BR aux réunions des groupes régionaux </w:t>
      </w:r>
      <w:r w:rsidR="004018FE" w:rsidRPr="00B433A3">
        <w:t xml:space="preserve">et des organisations régionales de télécommunication </w:t>
      </w:r>
      <w:r w:rsidRPr="00B433A3">
        <w:t>(à savoir APT, ASMG, UAT, CEPT, CITEL et RCC), chaque fois que possible.</w:t>
      </w:r>
    </w:p>
    <w:p w14:paraId="73B6038E" w14:textId="77777777" w:rsidR="00F91636" w:rsidRPr="00B433A3" w:rsidRDefault="00F91636" w:rsidP="00B8343E">
      <w:r w:rsidRPr="00B433A3">
        <w:rPr>
          <w:color w:val="000000"/>
        </w:rPr>
        <w:t xml:space="preserve">Des informations sur les travaux préparatoires des groupes régionaux en vue de la CMR-23 sont disponibles à </w:t>
      </w:r>
      <w:proofErr w:type="gramStart"/>
      <w:r w:rsidRPr="00B433A3">
        <w:rPr>
          <w:color w:val="000000"/>
        </w:rPr>
        <w:t>l'adresse:</w:t>
      </w:r>
      <w:proofErr w:type="gramEnd"/>
      <w:r w:rsidRPr="00B433A3">
        <w:t xml:space="preserve"> </w:t>
      </w:r>
      <w:hyperlink r:id="rId25" w:history="1">
        <w:r w:rsidRPr="00B433A3">
          <w:rPr>
            <w:rStyle w:val="Hyperlink"/>
            <w:szCs w:val="24"/>
          </w:rPr>
          <w:t>www.itu.int/go/wrc-23-regional</w:t>
        </w:r>
      </w:hyperlink>
      <w:r w:rsidRPr="00B433A3">
        <w:t>.</w:t>
      </w:r>
    </w:p>
    <w:p w14:paraId="2DA977C2" w14:textId="24A7E578" w:rsidR="005A368C" w:rsidRPr="00B433A3" w:rsidRDefault="00F91636" w:rsidP="00B8343E">
      <w:r w:rsidRPr="00B433A3">
        <w:t xml:space="preserve">Afin de commencer à dégager un consensus sur les positions et propositions élaborées par les diverses organisations régionales de télécommunication, le Bureau des radiocommunications a organisé le </w:t>
      </w:r>
      <w:hyperlink r:id="rId26" w:history="1">
        <w:r w:rsidR="004018FE" w:rsidRPr="00B433A3">
          <w:rPr>
            <w:rStyle w:val="Hyperlink"/>
          </w:rPr>
          <w:t>premier Atelier interrégional de l'UIT sur la préparation de la CMR-23</w:t>
        </w:r>
      </w:hyperlink>
      <w:r w:rsidR="004018FE" w:rsidRPr="00B433A3">
        <w:t>, qui s'est tenu en ligne du 13 au 15 décembre 2021</w:t>
      </w:r>
      <w:r w:rsidRPr="00B433A3">
        <w:t xml:space="preserve">. Cet atelier a été suivi par </w:t>
      </w:r>
      <w:r w:rsidR="004018FE" w:rsidRPr="00B433A3">
        <w:t xml:space="preserve">692 </w:t>
      </w:r>
      <w:r w:rsidRPr="00B433A3">
        <w:t xml:space="preserve">participants représentant </w:t>
      </w:r>
      <w:r w:rsidR="004018FE" w:rsidRPr="00B433A3">
        <w:t xml:space="preserve">82 </w:t>
      </w:r>
      <w:r w:rsidRPr="00B433A3">
        <w:t>pays et </w:t>
      </w:r>
      <w:r w:rsidR="004018FE" w:rsidRPr="00B433A3">
        <w:t>78 </w:t>
      </w:r>
      <w:r w:rsidRPr="00B433A3">
        <w:t xml:space="preserve">entreprises, organisations et établissements universitaires, y compris des représentants des organisations régionales de télécommunication susmentionnées (le </w:t>
      </w:r>
      <w:hyperlink r:id="rId27" w:history="1">
        <w:r w:rsidR="004018FE" w:rsidRPr="00B433A3">
          <w:rPr>
            <w:rStyle w:val="Hyperlink"/>
          </w:rPr>
          <w:t>Document 28 relatif à l'Atelier</w:t>
        </w:r>
      </w:hyperlink>
      <w:r w:rsidRPr="00B433A3">
        <w:t xml:space="preserve"> </w:t>
      </w:r>
      <w:r w:rsidR="004018FE" w:rsidRPr="00B433A3">
        <w:t>contient</w:t>
      </w:r>
      <w:r w:rsidRPr="00B433A3">
        <w:t xml:space="preserve"> de plus amples détails sur la participation des </w:t>
      </w:r>
      <w:r w:rsidR="004018FE" w:rsidRPr="00B433A3">
        <w:t>É</w:t>
      </w:r>
      <w:r w:rsidRPr="00B433A3">
        <w:t xml:space="preserve">tats Membres). Les renseignements fournis pendant cet atelier et les échanges de vues entre les parties prenantes au cours des tables rondes ont été très appréciés. Les </w:t>
      </w:r>
      <w:hyperlink r:id="rId28" w:history="1">
        <w:r w:rsidRPr="00B433A3">
          <w:rPr>
            <w:rStyle w:val="Hyperlink"/>
          </w:rPr>
          <w:t>archives web</w:t>
        </w:r>
      </w:hyperlink>
      <w:r w:rsidRPr="00B433A3">
        <w:t xml:space="preserve"> des débats dans les six langues officielles de l'Union et les </w:t>
      </w:r>
      <w:hyperlink r:id="rId29" w:history="1">
        <w:r w:rsidRPr="00B433A3">
          <w:rPr>
            <w:rStyle w:val="Hyperlink"/>
          </w:rPr>
          <w:t>documents relatifs à l'Atelier</w:t>
        </w:r>
      </w:hyperlink>
      <w:r w:rsidRPr="00B433A3">
        <w:t xml:space="preserve"> sont toujours disponibles en ligne. La </w:t>
      </w:r>
      <w:r w:rsidR="00283F99" w:rsidRPr="00B433A3">
        <w:t>mise à disposition</w:t>
      </w:r>
      <w:r w:rsidR="004018FE" w:rsidRPr="00B433A3">
        <w:t xml:space="preserve"> de la </w:t>
      </w:r>
      <w:r w:rsidRPr="00B433A3">
        <w:t>version préliminaire de l'</w:t>
      </w:r>
      <w:r w:rsidR="004018FE" w:rsidRPr="00B433A3">
        <w:t>Interface pour les propositions aux conférences (CPI) en vue de la CMR-23</w:t>
      </w:r>
      <w:r w:rsidRPr="00B433A3">
        <w:t xml:space="preserve"> </w:t>
      </w:r>
      <w:r w:rsidR="004018FE" w:rsidRPr="00B433A3">
        <w:t>(</w:t>
      </w:r>
      <w:hyperlink r:id="rId30" w:history="1">
        <w:r w:rsidR="004018FE" w:rsidRPr="00B433A3">
          <w:rPr>
            <w:rStyle w:val="Hyperlink"/>
          </w:rPr>
          <w:t>www.itu.int/net4/Proposals/CPI/WRC23</w:t>
        </w:r>
      </w:hyperlink>
      <w:r w:rsidR="004018FE" w:rsidRPr="00B433A3">
        <w:t xml:space="preserve">) </w:t>
      </w:r>
      <w:r w:rsidRPr="00B433A3">
        <w:t xml:space="preserve">a également été </w:t>
      </w:r>
      <w:r w:rsidR="004018FE" w:rsidRPr="00B433A3">
        <w:t xml:space="preserve">mentionnée brièvement </w:t>
      </w:r>
      <w:r w:rsidRPr="00B433A3">
        <w:t xml:space="preserve">pendant l'atelier. Deux autres ateliers interrégionaux </w:t>
      </w:r>
      <w:r w:rsidR="004018FE" w:rsidRPr="00B433A3">
        <w:t xml:space="preserve">de l'UIT </w:t>
      </w:r>
      <w:r w:rsidRPr="00B433A3">
        <w:t xml:space="preserve">sont prévus sur ce sujet, l'un </w:t>
      </w:r>
      <w:r w:rsidR="004018FE" w:rsidRPr="00B433A3">
        <w:t>avant la RPC23-2</w:t>
      </w:r>
      <w:r w:rsidRPr="00B433A3">
        <w:t xml:space="preserve"> et l'autre avant la CMR-</w:t>
      </w:r>
      <w:r w:rsidR="004018FE" w:rsidRPr="00B433A3">
        <w:t>23</w:t>
      </w:r>
      <w:r w:rsidRPr="00B433A3">
        <w:t>.</w:t>
      </w:r>
    </w:p>
    <w:p w14:paraId="3F876DCE" w14:textId="2618E842" w:rsidR="00F91636" w:rsidRPr="00B433A3" w:rsidRDefault="00101A1E" w:rsidP="00B8343E">
      <w:r w:rsidRPr="00B433A3">
        <w:rPr>
          <w:rFonts w:eastAsia="SimSun"/>
          <w:lang w:eastAsia="zh-CN"/>
        </w:rPr>
        <w:t>Le site</w:t>
      </w:r>
      <w:r w:rsidR="00F91636" w:rsidRPr="00B433A3">
        <w:rPr>
          <w:rFonts w:eastAsia="SimSun"/>
          <w:lang w:eastAsia="zh-CN"/>
        </w:rPr>
        <w:t xml:space="preserve"> web de l'UIT pour la CMR-</w:t>
      </w:r>
      <w:r w:rsidR="00C35BB2" w:rsidRPr="00B433A3">
        <w:rPr>
          <w:rFonts w:eastAsia="SimSun"/>
          <w:lang w:eastAsia="zh-CN"/>
        </w:rPr>
        <w:t xml:space="preserve">23 </w:t>
      </w:r>
      <w:r w:rsidR="00F91636" w:rsidRPr="00B433A3">
        <w:rPr>
          <w:rFonts w:eastAsia="SimSun"/>
          <w:lang w:eastAsia="zh-CN"/>
        </w:rPr>
        <w:t>(</w:t>
      </w:r>
      <w:hyperlink r:id="rId31" w:history="1">
        <w:r w:rsidR="004E4D61" w:rsidRPr="00B433A3">
          <w:rPr>
            <w:rStyle w:val="Hyperlink"/>
          </w:rPr>
          <w:t>www.itu.int/wrc-23/</w:t>
        </w:r>
      </w:hyperlink>
      <w:r w:rsidR="00F91636" w:rsidRPr="00B433A3">
        <w:rPr>
          <w:rFonts w:eastAsia="SimSun"/>
          <w:szCs w:val="24"/>
          <w:lang w:eastAsia="zh-CN"/>
        </w:rPr>
        <w:t xml:space="preserve">) a été </w:t>
      </w:r>
      <w:r w:rsidR="00C35BB2" w:rsidRPr="00B433A3">
        <w:rPr>
          <w:rFonts w:eastAsia="SimSun"/>
          <w:szCs w:val="24"/>
          <w:lang w:eastAsia="zh-CN"/>
        </w:rPr>
        <w:t>créé</w:t>
      </w:r>
      <w:r w:rsidR="00F91636" w:rsidRPr="00B433A3">
        <w:rPr>
          <w:rFonts w:eastAsia="SimSun"/>
          <w:lang w:eastAsia="zh-CN"/>
        </w:rPr>
        <w:t xml:space="preserve"> et permet d'avoir directement accès aux informations susmentionnées</w:t>
      </w:r>
      <w:r w:rsidR="00C35BB2" w:rsidRPr="00B433A3">
        <w:rPr>
          <w:rFonts w:eastAsia="SimSun"/>
          <w:lang w:eastAsia="zh-CN"/>
        </w:rPr>
        <w:t xml:space="preserve"> et à beaucoup d'autres</w:t>
      </w:r>
      <w:r w:rsidR="00F91636" w:rsidRPr="00B433A3">
        <w:rPr>
          <w:rFonts w:eastAsia="SimSun"/>
          <w:lang w:eastAsia="zh-CN"/>
        </w:rPr>
        <w:t xml:space="preserve">. </w:t>
      </w:r>
      <w:r w:rsidR="00C35BB2" w:rsidRPr="00B433A3">
        <w:rPr>
          <w:rFonts w:eastAsia="SimSun"/>
          <w:lang w:eastAsia="zh-CN"/>
        </w:rPr>
        <w:t xml:space="preserve">Par exemple, </w:t>
      </w:r>
      <w:r w:rsidRPr="00B433A3">
        <w:rPr>
          <w:rFonts w:eastAsia="SimSun"/>
          <w:lang w:eastAsia="zh-CN"/>
        </w:rPr>
        <w:t>il</w:t>
      </w:r>
      <w:r w:rsidR="00C35BB2" w:rsidRPr="00B433A3">
        <w:rPr>
          <w:rFonts w:eastAsia="SimSun"/>
          <w:lang w:eastAsia="zh-CN"/>
        </w:rPr>
        <w:t xml:space="preserve"> contient un lien vers le nouveau Manuel de la CMR-23 </w:t>
      </w:r>
      <w:r w:rsidR="00F91636" w:rsidRPr="00B433A3">
        <w:t>(</w:t>
      </w:r>
      <w:hyperlink r:id="rId32" w:history="1">
        <w:r w:rsidR="00F91636" w:rsidRPr="00B433A3">
          <w:rPr>
            <w:rStyle w:val="Hyperlink"/>
          </w:rPr>
          <w:t>www.itu.int/wrc-23/booklet-wrc-23</w:t>
        </w:r>
      </w:hyperlink>
      <w:r w:rsidR="00F91636" w:rsidRPr="00B433A3">
        <w:t xml:space="preserve">). </w:t>
      </w:r>
      <w:r w:rsidRPr="00B433A3">
        <w:t>Ce site web sera mis à jour régulièrement avant la CMR-23.</w:t>
      </w:r>
    </w:p>
    <w:p w14:paraId="7306D804" w14:textId="77777777" w:rsidR="00F91636" w:rsidRPr="00B433A3" w:rsidRDefault="00F91636" w:rsidP="00B8343E">
      <w:pPr>
        <w:pStyle w:val="Heading1"/>
      </w:pPr>
      <w:r w:rsidRPr="00B433A3">
        <w:t>6</w:t>
      </w:r>
      <w:r w:rsidRPr="00B433A3">
        <w:tab/>
        <w:t>Planification opérationnelle</w:t>
      </w:r>
    </w:p>
    <w:p w14:paraId="6899F3FB" w14:textId="77777777" w:rsidR="00F91636" w:rsidRPr="00B433A3" w:rsidRDefault="00F91636" w:rsidP="00B8343E">
      <w:bookmarkStart w:id="37" w:name="lt_pId402"/>
      <w:r w:rsidRPr="00B433A3">
        <w:t>Le Plan opérationnel de l'UIT-R a été structuré sur la base de la méthode de gestion axée sur les résultats mise en œuvre à l'UIT, afin d'assurer une parfaite coordination avec le budget et les autres outils financiers de l'Union.</w:t>
      </w:r>
      <w:bookmarkEnd w:id="37"/>
    </w:p>
    <w:p w14:paraId="7531DEFD" w14:textId="77777777" w:rsidR="00F91636" w:rsidRPr="00B433A3" w:rsidRDefault="00F91636" w:rsidP="00B8343E">
      <w:bookmarkStart w:id="38" w:name="lt_pId404"/>
      <w:r w:rsidRPr="00B433A3">
        <w:t>Le projet de Plan opérationnel de l'UIT-R pour la période 2022-2025 est reproduit dans le Document 27, qui est soumis au GCR pour examen et commentaires.</w:t>
      </w:r>
      <w:bookmarkEnd w:id="38"/>
    </w:p>
    <w:p w14:paraId="154484F3" w14:textId="77777777" w:rsidR="00F91636" w:rsidRPr="00B433A3" w:rsidRDefault="00F91636" w:rsidP="00B8343E">
      <w:pPr>
        <w:pStyle w:val="Heading1"/>
      </w:pPr>
      <w:bookmarkStart w:id="39" w:name="_Toc446060769"/>
      <w:r w:rsidRPr="00B433A3">
        <w:lastRenderedPageBreak/>
        <w:t>7</w:t>
      </w:r>
      <w:r w:rsidRPr="00B433A3">
        <w:tab/>
      </w:r>
      <w:bookmarkStart w:id="40" w:name="lt_pId406"/>
      <w:bookmarkEnd w:id="39"/>
      <w:r w:rsidRPr="00B433A3">
        <w:t>Système d'information du BR</w:t>
      </w:r>
      <w:bookmarkEnd w:id="40"/>
    </w:p>
    <w:p w14:paraId="00AD2DA1" w14:textId="77777777" w:rsidR="00F91636" w:rsidRPr="00B433A3" w:rsidRDefault="00F91636" w:rsidP="00B8343E">
      <w:pPr>
        <w:pStyle w:val="Heading2"/>
      </w:pPr>
      <w:r w:rsidRPr="00B433A3">
        <w:t>7.1</w:t>
      </w:r>
      <w:r w:rsidRPr="00B433A3">
        <w:tab/>
      </w:r>
      <w:bookmarkStart w:id="41" w:name="lt_pId408"/>
      <w:r w:rsidRPr="00B433A3">
        <w:t>Outils et logiciels pour les services de Terre</w:t>
      </w:r>
      <w:bookmarkEnd w:id="41"/>
    </w:p>
    <w:p w14:paraId="50F29283" w14:textId="392CD7DD" w:rsidR="00F91636" w:rsidRPr="00B433A3" w:rsidRDefault="00F91636" w:rsidP="00B8343E">
      <w:pPr>
        <w:pStyle w:val="Heading3"/>
      </w:pPr>
      <w:bookmarkStart w:id="42" w:name="lt_pId413"/>
      <w:r w:rsidRPr="00B433A3">
        <w:t>7.1.1</w:t>
      </w:r>
      <w:r w:rsidRPr="00B433A3">
        <w:tab/>
        <w:t>Traitement des demandes de coordination au titre du numéro 9.21 du RR</w:t>
      </w:r>
      <w:bookmarkEnd w:id="42"/>
    </w:p>
    <w:p w14:paraId="04EB897B" w14:textId="4EC9EF06" w:rsidR="00F91636" w:rsidRPr="00B433A3" w:rsidRDefault="00F91636" w:rsidP="00B8343E">
      <w:bookmarkStart w:id="43" w:name="lt_pId414"/>
      <w:r w:rsidRPr="00B433A3">
        <w:t xml:space="preserve">L'élaboration des modules logiciels et des outils associés pour le traitement des demandes de coordination au titre du numéro </w:t>
      </w:r>
      <w:r w:rsidRPr="00B433A3">
        <w:rPr>
          <w:b/>
        </w:rPr>
        <w:t xml:space="preserve">9.21 </w:t>
      </w:r>
      <w:r w:rsidRPr="00B433A3">
        <w:t>du RR s'est poursuivie en 2021.</w:t>
      </w:r>
      <w:bookmarkEnd w:id="43"/>
      <w:r w:rsidRPr="00B433A3">
        <w:t xml:space="preserve"> </w:t>
      </w:r>
      <w:bookmarkStart w:id="44" w:name="lt_pId415"/>
      <w:r w:rsidRPr="00B433A3">
        <w:t xml:space="preserve">Les algorithmes et les modules logiciels utilisés pour les examens techniques au titre du numéro </w:t>
      </w:r>
      <w:r w:rsidRPr="00B433A3">
        <w:rPr>
          <w:b/>
        </w:rPr>
        <w:t xml:space="preserve">9.21 </w:t>
      </w:r>
      <w:r w:rsidRPr="00B433A3">
        <w:rPr>
          <w:bCs/>
        </w:rPr>
        <w:t xml:space="preserve">du RR </w:t>
      </w:r>
      <w:r w:rsidRPr="00B433A3">
        <w:t xml:space="preserve">ont été examinés conformément aux Règles de procédure </w:t>
      </w:r>
      <w:proofErr w:type="gramStart"/>
      <w:r w:rsidRPr="00B433A3">
        <w:t>correspondantes:</w:t>
      </w:r>
      <w:proofErr w:type="gramEnd"/>
      <w:r w:rsidRPr="00B433A3">
        <w:t xml:space="preserve"> les algorithmes existants ont été révisés et de nouveaux algorithmes ont été ajoutés, en particulier concernant la Règle de procédure relative à la section B6. </w:t>
      </w:r>
      <w:bookmarkStart w:id="45" w:name="lt_pId416"/>
      <w:bookmarkEnd w:id="44"/>
      <w:r w:rsidRPr="00B433A3">
        <w:t xml:space="preserve">On procède actuellement aux tests de ces algorithmes. Il est prévu d'achever, au quatrième trimestre de 2022, </w:t>
      </w:r>
      <w:r w:rsidR="00B30F18" w:rsidRPr="00B433A3">
        <w:t>dans le contexte de la migration d</w:t>
      </w:r>
      <w:r w:rsidR="00F62F42" w:rsidRPr="00B433A3">
        <w:t xml:space="preserve">e l'ensemble du système, </w:t>
      </w:r>
      <w:r w:rsidRPr="00B433A3">
        <w:t>l'élaboration du logiciel pour la vérification des assignations correspondantes (visées au numéro </w:t>
      </w:r>
      <w:r w:rsidRPr="00B433A3">
        <w:rPr>
          <w:b/>
        </w:rPr>
        <w:t xml:space="preserve">9.21 </w:t>
      </w:r>
      <w:r w:rsidRPr="00B433A3">
        <w:rPr>
          <w:bCs/>
        </w:rPr>
        <w:t>du RR</w:t>
      </w:r>
      <w:r w:rsidRPr="00B433A3">
        <w:t xml:space="preserve">) notifiées au titre de l'Article </w:t>
      </w:r>
      <w:r w:rsidRPr="00B433A3">
        <w:rPr>
          <w:b/>
        </w:rPr>
        <w:t xml:space="preserve">11 </w:t>
      </w:r>
      <w:r w:rsidRPr="00B433A3">
        <w:t xml:space="preserve">du RR en vue de leur inscription dans le Fichier de référence ainsi que l'intégration du logiciel dans le système </w:t>
      </w:r>
      <w:proofErr w:type="spellStart"/>
      <w:r w:rsidRPr="00B433A3">
        <w:t>TerRaSys</w:t>
      </w:r>
      <w:proofErr w:type="spellEnd"/>
      <w:r w:rsidRPr="00B433A3">
        <w:t>.</w:t>
      </w:r>
      <w:bookmarkEnd w:id="45"/>
    </w:p>
    <w:p w14:paraId="79A9FED8" w14:textId="102ACFB7" w:rsidR="00F91636" w:rsidRPr="00B433A3" w:rsidRDefault="00F91636" w:rsidP="00B8343E">
      <w:pPr>
        <w:pStyle w:val="Heading3"/>
      </w:pPr>
      <w:r w:rsidRPr="00B433A3">
        <w:t>7.1.</w:t>
      </w:r>
      <w:r w:rsidR="00DC0D75" w:rsidRPr="00B433A3">
        <w:t>2</w:t>
      </w:r>
      <w:r w:rsidRPr="00B433A3">
        <w:tab/>
      </w:r>
      <w:bookmarkStart w:id="46" w:name="lt_pId423"/>
      <w:r w:rsidRPr="00B433A3">
        <w:t xml:space="preserve">Migration d'Ingres vers </w:t>
      </w:r>
      <w:bookmarkEnd w:id="46"/>
      <w:r w:rsidRPr="00B433A3">
        <w:t>SQL Server</w:t>
      </w:r>
    </w:p>
    <w:p w14:paraId="09A29C82" w14:textId="0E4B5223" w:rsidR="00F91636" w:rsidRPr="00B433A3" w:rsidRDefault="00F91636" w:rsidP="00B8343E">
      <w:bookmarkStart w:id="47" w:name="lt_pId424"/>
      <w:r w:rsidRPr="00B433A3">
        <w:t xml:space="preserve">Les travaux concernant la migration de la base de données </w:t>
      </w:r>
      <w:proofErr w:type="spellStart"/>
      <w:r w:rsidRPr="00B433A3">
        <w:t>TerRaSys</w:t>
      </w:r>
      <w:proofErr w:type="spellEnd"/>
      <w:r w:rsidRPr="00B433A3">
        <w:t xml:space="preserve"> d'Ingres vers SQL </w:t>
      </w:r>
      <w:bookmarkStart w:id="48" w:name="lt_pId425"/>
      <w:bookmarkEnd w:id="47"/>
      <w:r w:rsidRPr="00B433A3">
        <w:t xml:space="preserve">Server se sont poursuivis en 2021, notamment en ce qui </w:t>
      </w:r>
      <w:proofErr w:type="gramStart"/>
      <w:r w:rsidRPr="00B433A3">
        <w:t>concerne:</w:t>
      </w:r>
      <w:bookmarkEnd w:id="48"/>
      <w:proofErr w:type="gramEnd"/>
    </w:p>
    <w:p w14:paraId="3E5ADA67" w14:textId="2DC53089" w:rsidR="00F91636" w:rsidRPr="00B433A3" w:rsidRDefault="00DC0D75" w:rsidP="00B8343E">
      <w:pPr>
        <w:pStyle w:val="enumlev1"/>
      </w:pPr>
      <w:bookmarkStart w:id="49" w:name="lt_pId426"/>
      <w:r w:rsidRPr="00B433A3">
        <w:t>–</w:t>
      </w:r>
      <w:r w:rsidR="00F91636" w:rsidRPr="00B433A3">
        <w:tab/>
      </w:r>
      <w:r w:rsidR="007C0AA9" w:rsidRPr="00B433A3">
        <w:t>l</w:t>
      </w:r>
      <w:r w:rsidR="00F62F42" w:rsidRPr="00B433A3">
        <w:t xml:space="preserve">a conception finale des nouvelles structures de bases de données nécessaires pour </w:t>
      </w:r>
      <w:r w:rsidR="00E114AD" w:rsidRPr="00B433A3">
        <w:t>prendre en charge</w:t>
      </w:r>
      <w:r w:rsidR="007C0AA9" w:rsidRPr="00B433A3">
        <w:t xml:space="preserve"> le</w:t>
      </w:r>
      <w:r w:rsidR="00F62F42" w:rsidRPr="00B433A3">
        <w:t xml:space="preserve"> traitement des stations HAPS, à la suite des décisions de la CMR-19. L</w:t>
      </w:r>
      <w:r w:rsidR="00F91636" w:rsidRPr="00B433A3">
        <w:t>'examen final et la stabilisation des structures, des schémas et des procédures (y compris pour l'archivage) de la base de données, afin de les mettre à jour et de tirer parti de la technologie moderne qu'offre le nouveau système de gestion de base de données (DBMS</w:t>
      </w:r>
      <w:proofErr w:type="gramStart"/>
      <w:r w:rsidR="00F91636" w:rsidRPr="00B433A3">
        <w:t>);</w:t>
      </w:r>
      <w:bookmarkEnd w:id="49"/>
      <w:proofErr w:type="gramEnd"/>
    </w:p>
    <w:p w14:paraId="3E797D95" w14:textId="17509A32" w:rsidR="00F91636" w:rsidRPr="00B433A3" w:rsidRDefault="00DC0D75" w:rsidP="00B8343E">
      <w:pPr>
        <w:pStyle w:val="enumlev1"/>
      </w:pPr>
      <w:bookmarkStart w:id="50" w:name="lt_pId427"/>
      <w:r w:rsidRPr="00B433A3">
        <w:t>–</w:t>
      </w:r>
      <w:r w:rsidR="00F91636" w:rsidRPr="00B433A3">
        <w:tab/>
        <w:t xml:space="preserve">l'examen et la redéfinition des types de données utilisés et l'ajout de nouveaux types de données géographiques fournis par le nouveau système DBMS, qui offre des techniques efficaces pour effectuer rapidement des requêtes complexes concernant la localisation </w:t>
      </w:r>
      <w:proofErr w:type="gramStart"/>
      <w:r w:rsidR="00F91636" w:rsidRPr="00B433A3">
        <w:t>géographique;</w:t>
      </w:r>
      <w:bookmarkEnd w:id="50"/>
      <w:proofErr w:type="gramEnd"/>
    </w:p>
    <w:p w14:paraId="55D380A3" w14:textId="3B802729" w:rsidR="00F91636" w:rsidRPr="00B433A3" w:rsidRDefault="00DC0D75" w:rsidP="00B8343E">
      <w:pPr>
        <w:pStyle w:val="enumlev1"/>
      </w:pPr>
      <w:bookmarkStart w:id="51" w:name="lt_pId428"/>
      <w:r w:rsidRPr="00B433A3">
        <w:t>–</w:t>
      </w:r>
      <w:r w:rsidR="00F91636" w:rsidRPr="00B433A3">
        <w:tab/>
        <w:t xml:space="preserve">la redéfinition continue de diverses applications et de divers composants logiciels du système </w:t>
      </w:r>
      <w:proofErr w:type="spellStart"/>
      <w:r w:rsidR="00F91636" w:rsidRPr="00B433A3">
        <w:t>TerRaSys</w:t>
      </w:r>
      <w:proofErr w:type="spellEnd"/>
      <w:r w:rsidR="00F91636" w:rsidRPr="00B433A3">
        <w:t xml:space="preserve"> utilisés pour accéder à la base de données, en vue de tirer parti de la technologie moderne qu'offre le nouveau système DBMS et d'utiliser les applications web et les technologies modernes en matière de développement de logiciels.</w:t>
      </w:r>
      <w:bookmarkEnd w:id="51"/>
    </w:p>
    <w:p w14:paraId="132ADBD1" w14:textId="1763B027" w:rsidR="00F91636" w:rsidRPr="00B433A3" w:rsidRDefault="00F91636" w:rsidP="00B8343E">
      <w:r w:rsidRPr="00B433A3">
        <w:t xml:space="preserve">Le nouveau système de base de données ainsi que les nouveaux modules logiciels pour le traitement et la validation initiale des fiches de notification électroniques pour les services de Terre ont été élaborés dans leur version définitive et font actuellement l'objet de tests bêta. Les travaux relatifs à la migration des modules logiciels à des fins d'examen </w:t>
      </w:r>
      <w:r w:rsidR="00750943" w:rsidRPr="00B433A3">
        <w:t>sont achevés</w:t>
      </w:r>
      <w:r w:rsidRPr="00B433A3">
        <w:t xml:space="preserve">. </w:t>
      </w:r>
      <w:r w:rsidR="00750943" w:rsidRPr="00B433A3">
        <w:t xml:space="preserve">Les travaux relatifs à la présentation des résultats </w:t>
      </w:r>
      <w:r w:rsidR="0072456E" w:rsidRPr="00B433A3">
        <w:t>de l'examen</w:t>
      </w:r>
      <w:r w:rsidR="00750943" w:rsidRPr="00B433A3">
        <w:t xml:space="preserve"> ont débuté et </w:t>
      </w:r>
      <w:r w:rsidR="007B3864" w:rsidRPr="00B433A3">
        <w:t>la version bêta</w:t>
      </w:r>
      <w:r w:rsidR="0045585A" w:rsidRPr="00B433A3">
        <w:t xml:space="preserve"> </w:t>
      </w:r>
      <w:r w:rsidR="0072456E" w:rsidRPr="00B433A3">
        <w:t>devrait être mise à disposition</w:t>
      </w:r>
      <w:r w:rsidR="0045585A" w:rsidRPr="00B433A3">
        <w:t xml:space="preserve"> début mai 2022. Les travaux relatifs </w:t>
      </w:r>
      <w:r w:rsidR="009261E4" w:rsidRPr="00B433A3">
        <w:t xml:space="preserve">à </w:t>
      </w:r>
      <w:r w:rsidR="0045585A" w:rsidRPr="00B433A3">
        <w:t xml:space="preserve">la publication et à la préparation des nouvelles versions complètes de la BR IFIC sont en cours de finalisation et font l'objet de tests avant la </w:t>
      </w:r>
      <w:r w:rsidR="007B3864" w:rsidRPr="00B433A3">
        <w:t>mise à disposition de la version bêta</w:t>
      </w:r>
      <w:r w:rsidR="0072456E" w:rsidRPr="00B433A3">
        <w:t xml:space="preserve">. La distribution est </w:t>
      </w:r>
      <w:r w:rsidR="0045585A" w:rsidRPr="00B433A3">
        <w:t xml:space="preserve">prévue </w:t>
      </w:r>
      <w:r w:rsidR="0072456E" w:rsidRPr="00B433A3">
        <w:t>courant</w:t>
      </w:r>
      <w:r w:rsidR="0045585A" w:rsidRPr="00B433A3">
        <w:t xml:space="preserve"> mai 2022.</w:t>
      </w:r>
    </w:p>
    <w:p w14:paraId="7B16F9E6" w14:textId="0EC56DB3" w:rsidR="00F91636" w:rsidRPr="00B433A3" w:rsidRDefault="002A069A" w:rsidP="00B8343E">
      <w:r w:rsidRPr="00B433A3">
        <w:t>Diverses</w:t>
      </w:r>
      <w:r w:rsidR="00940148" w:rsidRPr="00B433A3">
        <w:t xml:space="preserve"> applications web sont actuellement conçues et mises en œuvre pour </w:t>
      </w:r>
      <w:r w:rsidR="0072456E" w:rsidRPr="00B433A3">
        <w:t>permettre un accès en ligne aux requêtes de la base</w:t>
      </w:r>
      <w:r w:rsidR="00940148" w:rsidRPr="00B433A3">
        <w:t xml:space="preserve"> de données et à d'autres outils logiciels, y compris pour valider et examiner en ligne les notifications d'assignations de fréquence </w:t>
      </w:r>
      <w:r w:rsidR="00924F21" w:rsidRPr="00B433A3">
        <w:t>aux</w:t>
      </w:r>
      <w:r w:rsidR="00940148" w:rsidRPr="00B433A3">
        <w:t xml:space="preserve"> services de Terre.</w:t>
      </w:r>
    </w:p>
    <w:p w14:paraId="18C5E0D4" w14:textId="666984DC" w:rsidR="00F91636" w:rsidRPr="00B433A3" w:rsidRDefault="00F91636" w:rsidP="00B8343E">
      <w:pPr>
        <w:rPr>
          <w:color w:val="000000" w:themeColor="text1"/>
          <w:szCs w:val="24"/>
        </w:rPr>
      </w:pPr>
      <w:bookmarkStart w:id="52" w:name="lt_pId429"/>
      <w:r w:rsidRPr="00B433A3">
        <w:t>Il est prévu de mener à bien la migration et la restructuration totales du système existant d'ici à la fin </w:t>
      </w:r>
      <w:r w:rsidR="00924F21" w:rsidRPr="00B433A3">
        <w:t>novembre</w:t>
      </w:r>
      <w:r w:rsidRPr="00B433A3">
        <w:t xml:space="preserve"> 2022.</w:t>
      </w:r>
      <w:bookmarkEnd w:id="52"/>
      <w:r w:rsidRPr="00B433A3">
        <w:t xml:space="preserve"> </w:t>
      </w:r>
      <w:r w:rsidR="003562AC" w:rsidRPr="00B433A3">
        <w:t xml:space="preserve">Une lettre circulaire décrivant </w:t>
      </w:r>
      <w:r w:rsidR="002A069A" w:rsidRPr="00B433A3">
        <w:t xml:space="preserve">les nouveautés et les modifications concernant </w:t>
      </w:r>
      <w:r w:rsidR="003562AC" w:rsidRPr="00B433A3">
        <w:t xml:space="preserve">la structure et les outils de la base de données </w:t>
      </w:r>
      <w:r w:rsidR="00924F21" w:rsidRPr="00B433A3">
        <w:t xml:space="preserve">pour les services de Terre </w:t>
      </w:r>
      <w:r w:rsidR="002A069A" w:rsidRPr="00B433A3">
        <w:t xml:space="preserve">dans </w:t>
      </w:r>
      <w:r w:rsidR="00924F21" w:rsidRPr="00B433A3">
        <w:t>la BR IFIC est en cours de rédaction et sera envoyée aux administrations et aux autres utilisateurs.</w:t>
      </w:r>
    </w:p>
    <w:p w14:paraId="38CBD612" w14:textId="302D470A" w:rsidR="00F91636" w:rsidRPr="00B433A3" w:rsidRDefault="00F91636" w:rsidP="00B8343E">
      <w:bookmarkStart w:id="53" w:name="lt_pId430"/>
      <w:r w:rsidRPr="00B433A3">
        <w:lastRenderedPageBreak/>
        <w:t>Des copies de la base de données existante pour les services de Terre dans la nouvelle plate</w:t>
      </w:r>
      <w:r w:rsidR="00DC0D75" w:rsidRPr="00B433A3">
        <w:noBreakHyphen/>
      </w:r>
      <w:r w:rsidRPr="00B433A3">
        <w:t>forme</w:t>
      </w:r>
      <w:r w:rsidR="00DC0D75" w:rsidRPr="00B433A3">
        <w:t> </w:t>
      </w:r>
      <w:r w:rsidRPr="00B433A3">
        <w:t>DBMS sont maintenant disponibles et sont utilisées à l'heure actuelle par diverses applications web du BR, afin d'afficher, de valider et de traiter les notifications d'assignations de fréquence aux services de Terre.</w:t>
      </w:r>
      <w:bookmarkEnd w:id="53"/>
    </w:p>
    <w:p w14:paraId="4A77942C" w14:textId="77777777" w:rsidR="00F91636" w:rsidRPr="00B433A3" w:rsidRDefault="00F91636" w:rsidP="00B8343E">
      <w:pPr>
        <w:pStyle w:val="Heading2"/>
      </w:pPr>
      <w:r w:rsidRPr="00B433A3">
        <w:t>7.2</w:t>
      </w:r>
      <w:r w:rsidRPr="00B433A3">
        <w:tab/>
      </w:r>
      <w:bookmarkStart w:id="54" w:name="lt_pId439"/>
      <w:r w:rsidRPr="00B433A3">
        <w:t>Progrès accomplis dans la mise en œuvre de la feuille de route sur les systèmes informatiques du BR pour les services spatiaux (19ème réunion du GCR, 2012)</w:t>
      </w:r>
      <w:bookmarkEnd w:id="54"/>
    </w:p>
    <w:p w14:paraId="687C2E54" w14:textId="77777777" w:rsidR="00F91636" w:rsidRPr="00B433A3" w:rsidRDefault="00F91636" w:rsidP="00B8343E">
      <w:r w:rsidRPr="00B433A3">
        <w:t xml:space="preserve">À sa 19ème réunion (2012), le GCR avait invité le Directeur à mettre en œuvre les mesures recommandées dans les délais proposés, comme indiqué dans la feuille de route approuvée, comprenant les phases </w:t>
      </w:r>
      <w:proofErr w:type="gramStart"/>
      <w:r w:rsidRPr="00B433A3">
        <w:t>suivantes:</w:t>
      </w:r>
      <w:proofErr w:type="gramEnd"/>
      <w:r w:rsidRPr="00B433A3">
        <w:t xml:space="preserve"> Phase 1 (Mise en œuvre des décisions de la CMR-12); Phase 2 (Réécriture de certains logiciels existants) et Phase 3 (Création d'une équipe de projet chargée de mettre en place un cadre commun, un système de sécurité et une base de données centralisée sur les services spatiaux). </w:t>
      </w:r>
      <w:bookmarkStart w:id="55" w:name="lt_pId441"/>
      <w:r w:rsidRPr="00B433A3">
        <w:t>Le GCR a encouragé les États Membres et les Membres de Secteur à soumettre leurs observations concernant la Phase 3.</w:t>
      </w:r>
      <w:bookmarkEnd w:id="55"/>
    </w:p>
    <w:p w14:paraId="7F0A3E41" w14:textId="571BA398" w:rsidR="00F91636" w:rsidRPr="00B433A3" w:rsidRDefault="00F91636" w:rsidP="00B8343E">
      <w:bookmarkStart w:id="56" w:name="lt_pId442"/>
      <w:r w:rsidRPr="00B433A3">
        <w:t>En 2021, le BR a continué de maintenir les logiciels existants, tout en s'appliquant à mettre en œuvre de nouvelles versions d'applications logicielles pertinentes.</w:t>
      </w:r>
      <w:bookmarkEnd w:id="56"/>
      <w:r w:rsidRPr="00B433A3">
        <w:t xml:space="preserve"> Il a été nécessaire de déployer ces efforts en parallèle, compte tenu des besoins opérationnels, raison pour laquelle certains projets de modernisation sont encore en cours.</w:t>
      </w:r>
    </w:p>
    <w:p w14:paraId="4703397A" w14:textId="77777777" w:rsidR="00F91636" w:rsidRPr="00B433A3" w:rsidRDefault="00F91636" w:rsidP="00B8343E">
      <w:pPr>
        <w:pStyle w:val="Heading3"/>
      </w:pPr>
      <w:r w:rsidRPr="00B433A3">
        <w:t>7.2.1</w:t>
      </w:r>
      <w:r w:rsidRPr="00B433A3">
        <w:tab/>
        <w:t xml:space="preserve">Progrès accomplis en vue de la réalisation des objectifs de la Phase 2 de la feuille de route </w:t>
      </w:r>
    </w:p>
    <w:p w14:paraId="296C24B5" w14:textId="0C4AB6F4" w:rsidR="00F91636" w:rsidRPr="00B433A3" w:rsidRDefault="00F91636" w:rsidP="00B8343E">
      <w:pPr>
        <w:pStyle w:val="Heading4"/>
      </w:pPr>
      <w:r w:rsidRPr="00B433A3">
        <w:t>7.2.1.1</w:t>
      </w:r>
      <w:r w:rsidRPr="00B433A3">
        <w:tab/>
      </w:r>
      <w:bookmarkStart w:id="57" w:name="lt_pId451"/>
      <w:r w:rsidRPr="00B433A3">
        <w:t>Réécriture des logiciels existants pour les examens techniques</w:t>
      </w:r>
      <w:bookmarkEnd w:id="57"/>
    </w:p>
    <w:p w14:paraId="34C8EA27" w14:textId="47BA27B4" w:rsidR="00F91636" w:rsidRPr="00B433A3" w:rsidRDefault="00DC0D75" w:rsidP="00B8343E">
      <w:pPr>
        <w:pStyle w:val="enumlev1"/>
      </w:pPr>
      <w:r w:rsidRPr="00B433A3">
        <w:t>–</w:t>
      </w:r>
      <w:r w:rsidR="00F91636" w:rsidRPr="00B433A3">
        <w:tab/>
        <w:t xml:space="preserve">Réécriture du logiciel de calcul de la puissance surfacique pour la protection des services </w:t>
      </w:r>
      <w:proofErr w:type="gramStart"/>
      <w:r w:rsidR="00F91636" w:rsidRPr="00B433A3">
        <w:t>spatiaux:</w:t>
      </w:r>
      <w:proofErr w:type="gramEnd"/>
      <w:r w:rsidR="00F91636" w:rsidRPr="00B433A3">
        <w:t xml:space="preserve"> en cours.</w:t>
      </w:r>
    </w:p>
    <w:p w14:paraId="1ACBAF10" w14:textId="3AA2C43A" w:rsidR="00F91636" w:rsidRPr="00B433A3" w:rsidRDefault="00DC0D75" w:rsidP="00B8343E">
      <w:pPr>
        <w:pStyle w:val="enumlev1"/>
      </w:pPr>
      <w:bookmarkStart w:id="58" w:name="lt_pId455"/>
      <w:r w:rsidRPr="00B433A3">
        <w:t>–</w:t>
      </w:r>
      <w:r w:rsidR="00F91636" w:rsidRPr="00B433A3">
        <w:tab/>
        <w:t xml:space="preserve">Migration du logiciel pour les examens techniques écrit en Fortran du compilateur </w:t>
      </w:r>
      <w:proofErr w:type="spellStart"/>
      <w:r w:rsidR="00F91636" w:rsidRPr="00B433A3">
        <w:t>CompaqVisualFortran</w:t>
      </w:r>
      <w:proofErr w:type="spellEnd"/>
      <w:r w:rsidR="00F91636" w:rsidRPr="00B433A3">
        <w:t xml:space="preserve"> au compilateur </w:t>
      </w:r>
      <w:proofErr w:type="spellStart"/>
      <w:proofErr w:type="gramStart"/>
      <w:r w:rsidR="00F91636" w:rsidRPr="00B433A3">
        <w:t>IntelFortran</w:t>
      </w:r>
      <w:proofErr w:type="spellEnd"/>
      <w:r w:rsidR="00F91636" w:rsidRPr="00B433A3">
        <w:t>:</w:t>
      </w:r>
      <w:bookmarkEnd w:id="58"/>
      <w:proofErr w:type="gramEnd"/>
      <w:r w:rsidR="00F91636" w:rsidRPr="00B433A3">
        <w:t xml:space="preserve"> </w:t>
      </w:r>
      <w:r w:rsidR="00924F21" w:rsidRPr="00B433A3">
        <w:t>achevée</w:t>
      </w:r>
      <w:r w:rsidR="00F91636" w:rsidRPr="00B433A3">
        <w:t>.</w:t>
      </w:r>
    </w:p>
    <w:p w14:paraId="1307CAF0" w14:textId="1571BD25" w:rsidR="00F91636" w:rsidRPr="00B433A3" w:rsidRDefault="00DC0D75" w:rsidP="00B8343E">
      <w:pPr>
        <w:pStyle w:val="enumlev1"/>
      </w:pPr>
      <w:bookmarkStart w:id="59" w:name="lt_pId456"/>
      <w:r w:rsidRPr="00B433A3">
        <w:t>–</w:t>
      </w:r>
      <w:r w:rsidR="00F91636" w:rsidRPr="00B433A3">
        <w:tab/>
        <w:t xml:space="preserve">Migration des éléments du logiciel GIMS en </w:t>
      </w:r>
      <w:proofErr w:type="gramStart"/>
      <w:r w:rsidR="00F91636" w:rsidRPr="00B433A3">
        <w:t>Fortran:</w:t>
      </w:r>
      <w:proofErr w:type="gramEnd"/>
      <w:r w:rsidR="00F91636" w:rsidRPr="00B433A3">
        <w:t xml:space="preserve"> les travaux n'ont pas encore commencé.</w:t>
      </w:r>
      <w:bookmarkEnd w:id="59"/>
    </w:p>
    <w:p w14:paraId="2D010FA9" w14:textId="47720271" w:rsidR="00F91636" w:rsidRPr="00B433A3" w:rsidRDefault="00F91636" w:rsidP="00B8343E">
      <w:pPr>
        <w:pStyle w:val="enumlev1"/>
      </w:pPr>
      <w:bookmarkStart w:id="60" w:name="lt_pId457"/>
      <w:r w:rsidRPr="00B433A3">
        <w:t>•</w:t>
      </w:r>
      <w:r w:rsidR="00DC0D75" w:rsidRPr="00B433A3">
        <w:t>–</w:t>
      </w:r>
      <w:r w:rsidRPr="00B433A3">
        <w:tab/>
      </w:r>
      <w:proofErr w:type="spellStart"/>
      <w:r w:rsidRPr="00B433A3">
        <w:t>Mspace</w:t>
      </w:r>
      <w:proofErr w:type="spellEnd"/>
      <w:r w:rsidRPr="00B433A3">
        <w:t xml:space="preserve"> – Migration des éléments du langage Visual Basic 6 au </w:t>
      </w:r>
      <w:proofErr w:type="gramStart"/>
      <w:r w:rsidRPr="00B433A3">
        <w:t>langage.NET:</w:t>
      </w:r>
      <w:proofErr w:type="gramEnd"/>
      <w:r w:rsidRPr="00B433A3">
        <w:t xml:space="preserve"> en cours.</w:t>
      </w:r>
      <w:bookmarkEnd w:id="60"/>
    </w:p>
    <w:p w14:paraId="78DFBAFE" w14:textId="77777777" w:rsidR="00B57BF5" w:rsidRPr="00B433A3" w:rsidRDefault="00B57BF5" w:rsidP="00B8343E">
      <w:pPr>
        <w:pStyle w:val="Heading4"/>
      </w:pPr>
      <w:bookmarkStart w:id="61" w:name="lt_pId459"/>
      <w:r w:rsidRPr="00B433A3">
        <w:t>7.2.1.2</w:t>
      </w:r>
      <w:r w:rsidRPr="00B433A3">
        <w:tab/>
        <w:t>Conception et élaboration du système d'information du BR pour les systèmes spatiaux (BR SIS)</w:t>
      </w:r>
      <w:bookmarkEnd w:id="61"/>
    </w:p>
    <w:p w14:paraId="3A15961E" w14:textId="472FF30B" w:rsidR="00B57BF5" w:rsidRPr="00B433A3" w:rsidRDefault="00DC0D75" w:rsidP="00B8343E">
      <w:pPr>
        <w:pStyle w:val="enumlev1"/>
      </w:pPr>
      <w:r w:rsidRPr="00B433A3">
        <w:t>–</w:t>
      </w:r>
      <w:r w:rsidR="00B57BF5" w:rsidRPr="00B433A3">
        <w:tab/>
        <w:t xml:space="preserve">Réécriture du logiciel </w:t>
      </w:r>
      <w:proofErr w:type="spellStart"/>
      <w:r w:rsidR="00B57BF5" w:rsidRPr="00B433A3">
        <w:t>SpaceCap</w:t>
      </w:r>
      <w:proofErr w:type="spellEnd"/>
      <w:r w:rsidR="00B57BF5" w:rsidRPr="00B433A3">
        <w:t xml:space="preserve"> en langage Visual Basic </w:t>
      </w:r>
      <w:proofErr w:type="gramStart"/>
      <w:r w:rsidR="00B57BF5" w:rsidRPr="00B433A3">
        <w:t>6:</w:t>
      </w:r>
      <w:proofErr w:type="gramEnd"/>
      <w:r w:rsidR="00B57BF5" w:rsidRPr="00B433A3">
        <w:t xml:space="preserve"> en cours. </w:t>
      </w:r>
      <w:r w:rsidR="00924F21" w:rsidRPr="00B433A3">
        <w:t>Lors du premier trimestre de 2022</w:t>
      </w:r>
      <w:r w:rsidR="00B57BF5" w:rsidRPr="00B433A3">
        <w:t xml:space="preserve">, les premiers modules du logiciel </w:t>
      </w:r>
      <w:proofErr w:type="spellStart"/>
      <w:r w:rsidR="00B57BF5" w:rsidRPr="00B433A3">
        <w:t>SpaceCap</w:t>
      </w:r>
      <w:proofErr w:type="spellEnd"/>
      <w:r w:rsidR="00B57BF5" w:rsidRPr="00B433A3">
        <w:t xml:space="preserve"> mis en œuvre dans le système BRSIS seront</w:t>
      </w:r>
      <w:r w:rsidR="00924F21" w:rsidRPr="00B433A3">
        <w:t xml:space="preserve"> </w:t>
      </w:r>
      <w:r w:rsidR="00994ED2" w:rsidRPr="00B433A3">
        <w:t>intégrés dans</w:t>
      </w:r>
      <w:r w:rsidR="00041389" w:rsidRPr="00B433A3">
        <w:t xml:space="preserve"> </w:t>
      </w:r>
      <w:r w:rsidR="00924F21" w:rsidRPr="00B433A3">
        <w:t>la fonction de saisie des accords de coordination</w:t>
      </w:r>
      <w:r w:rsidR="00B57BF5" w:rsidRPr="00B433A3">
        <w:t>.</w:t>
      </w:r>
    </w:p>
    <w:p w14:paraId="692CC068" w14:textId="3BF2ECAC" w:rsidR="00B57BF5" w:rsidRPr="00B433A3" w:rsidRDefault="00DC0D75" w:rsidP="00B8343E">
      <w:pPr>
        <w:pStyle w:val="enumlev1"/>
      </w:pPr>
      <w:r w:rsidRPr="00B433A3">
        <w:t>–</w:t>
      </w:r>
      <w:r w:rsidR="00B57BF5" w:rsidRPr="00B433A3">
        <w:tab/>
      </w:r>
      <w:r w:rsidR="00B57BF5" w:rsidRPr="00B433A3">
        <w:rPr>
          <w:color w:val="000000"/>
        </w:rPr>
        <w:t xml:space="preserve">Migration de la base de données SRS au format MDB vers une technologie plus </w:t>
      </w:r>
      <w:proofErr w:type="gramStart"/>
      <w:r w:rsidR="00B57BF5" w:rsidRPr="00B433A3">
        <w:rPr>
          <w:color w:val="000000"/>
        </w:rPr>
        <w:t>moderne</w:t>
      </w:r>
      <w:r w:rsidR="00B57BF5" w:rsidRPr="00B433A3">
        <w:t>:</w:t>
      </w:r>
      <w:proofErr w:type="gramEnd"/>
      <w:r w:rsidR="00B57BF5" w:rsidRPr="00B433A3">
        <w:t xml:space="preserve"> bien que le choix de la technologie appelée à remplacer les fichiers MDB soit clair, la </w:t>
      </w:r>
      <w:r w:rsidR="00041389" w:rsidRPr="00B433A3">
        <w:t xml:space="preserve">migration va produire des effets importants sur le </w:t>
      </w:r>
      <w:r w:rsidR="00B57BF5" w:rsidRPr="00B433A3">
        <w:t>traitement interne du BR pour les services spatiaux</w:t>
      </w:r>
      <w:r w:rsidR="00041389" w:rsidRPr="00B433A3">
        <w:t>. Par conséquent,</w:t>
      </w:r>
      <w:r w:rsidR="00B57BF5" w:rsidRPr="00B433A3">
        <w:t xml:space="preserve"> la migration vers les bases de données SQLite ne sera pas achevée avant la CMR-23</w:t>
      </w:r>
      <w:r w:rsidR="00F62294" w:rsidRPr="00B433A3">
        <w:t xml:space="preserve">, </w:t>
      </w:r>
      <w:r w:rsidR="001F3EF1" w:rsidRPr="00B433A3">
        <w:t xml:space="preserve">de sorte que </w:t>
      </w:r>
      <w:r w:rsidR="00F62294" w:rsidRPr="00B433A3">
        <w:t xml:space="preserve">les bases de données </w:t>
      </w:r>
      <w:r w:rsidR="001F3EF1" w:rsidRPr="00B433A3">
        <w:t xml:space="preserve">ne pourront pas être </w:t>
      </w:r>
      <w:r w:rsidR="001F0F80" w:rsidRPr="00B433A3">
        <w:t>exploitées</w:t>
      </w:r>
      <w:r w:rsidR="00F62294" w:rsidRPr="00B433A3">
        <w:t xml:space="preserve"> avant cette échéance</w:t>
      </w:r>
      <w:r w:rsidR="00B57BF5" w:rsidRPr="00B433A3">
        <w:t xml:space="preserve">. Même lorsque l'on aura opéré la migration des applications logicielles du BR pour les services spatiaux vers SQLite, la rétrocompatibilité avec le format MDB, ainsi que les outils de conversion, </w:t>
      </w:r>
      <w:r w:rsidR="00B57BF5" w:rsidRPr="00B433A3">
        <w:rPr>
          <w:color w:val="000000"/>
        </w:rPr>
        <w:t>seront maintenus dans un avenir prévisible.</w:t>
      </w:r>
    </w:p>
    <w:p w14:paraId="74DE48DE" w14:textId="297C64E5" w:rsidR="00B57BF5" w:rsidRPr="00B433A3" w:rsidRDefault="00DC0D75" w:rsidP="00B8343E">
      <w:pPr>
        <w:pStyle w:val="enumlev1"/>
      </w:pPr>
      <w:r w:rsidRPr="00B433A3">
        <w:t>–</w:t>
      </w:r>
      <w:r w:rsidR="00B57BF5" w:rsidRPr="00B433A3">
        <w:tab/>
        <w:t xml:space="preserve">Migration de la base de données SNS d'Ingres vers SQL </w:t>
      </w:r>
      <w:proofErr w:type="gramStart"/>
      <w:r w:rsidR="00B57BF5" w:rsidRPr="00B433A3">
        <w:t>Server:</w:t>
      </w:r>
      <w:proofErr w:type="gramEnd"/>
      <w:r w:rsidR="00B57BF5" w:rsidRPr="00B433A3">
        <w:t xml:space="preserve"> la migration d'applications de traitement interne propres à l'environnement Ingres s'est poursuivie en </w:t>
      </w:r>
      <w:r w:rsidR="00041389" w:rsidRPr="00B433A3">
        <w:t>2021</w:t>
      </w:r>
      <w:r w:rsidR="00B57BF5" w:rsidRPr="00B433A3">
        <w:t xml:space="preserve">. Les applications de traitement interne restantes doivent être réécrites ou adaptées en </w:t>
      </w:r>
      <w:r w:rsidR="00041389" w:rsidRPr="00B433A3">
        <w:t>2022</w:t>
      </w:r>
      <w:r w:rsidR="00B57BF5" w:rsidRPr="00B433A3">
        <w:t xml:space="preserve">, en vue de leur exploitation au </w:t>
      </w:r>
      <w:r w:rsidR="00041389" w:rsidRPr="00B433A3">
        <w:t xml:space="preserve">dernier </w:t>
      </w:r>
      <w:r w:rsidR="00B57BF5" w:rsidRPr="00B433A3">
        <w:t>trimestre de 2022 au plus tard.</w:t>
      </w:r>
    </w:p>
    <w:p w14:paraId="0E9E6CDB" w14:textId="716E5846" w:rsidR="00B57BF5" w:rsidRPr="00B433A3" w:rsidRDefault="00DC0D75" w:rsidP="00B8343E">
      <w:pPr>
        <w:pStyle w:val="enumlev1"/>
      </w:pPr>
      <w:r w:rsidRPr="00B433A3">
        <w:lastRenderedPageBreak/>
        <w:t>–</w:t>
      </w:r>
      <w:r w:rsidR="00B57BF5" w:rsidRPr="00B433A3">
        <w:tab/>
        <w:t xml:space="preserve">Réexamen de </w:t>
      </w:r>
      <w:proofErr w:type="spellStart"/>
      <w:proofErr w:type="gramStart"/>
      <w:r w:rsidR="00B57BF5" w:rsidRPr="00B433A3">
        <w:t>SNTrack</w:t>
      </w:r>
      <w:proofErr w:type="spellEnd"/>
      <w:r w:rsidR="00B57BF5" w:rsidRPr="00B433A3">
        <w:t>:</w:t>
      </w:r>
      <w:proofErr w:type="gramEnd"/>
      <w:r w:rsidR="00B57BF5" w:rsidRPr="00B433A3">
        <w:t xml:space="preserve"> </w:t>
      </w:r>
      <w:r w:rsidR="0078151A" w:rsidRPr="00B433A3">
        <w:t xml:space="preserve">en cours. En 2021, le module de recouvrement des coûts dans </w:t>
      </w:r>
      <w:proofErr w:type="spellStart"/>
      <w:r w:rsidR="0078151A" w:rsidRPr="00B433A3">
        <w:t>SNTrack</w:t>
      </w:r>
      <w:proofErr w:type="spellEnd"/>
      <w:r w:rsidR="0078151A" w:rsidRPr="00B433A3">
        <w:t xml:space="preserve"> a fait l'objet d'une</w:t>
      </w:r>
      <w:r w:rsidR="00562F59" w:rsidRPr="00B433A3">
        <w:t xml:space="preserve"> migration vers une application</w:t>
      </w:r>
      <w:r w:rsidR="0078151A" w:rsidRPr="00B433A3">
        <w:t xml:space="preserve"> WPF </w:t>
      </w:r>
      <w:r w:rsidR="00562F59" w:rsidRPr="00B433A3">
        <w:t xml:space="preserve">au langage.NET </w:t>
      </w:r>
      <w:r w:rsidR="0078151A" w:rsidRPr="00B433A3">
        <w:t xml:space="preserve">moderne fonctionnant sur SQL Server. D'autres </w:t>
      </w:r>
      <w:r w:rsidR="00B57BF5" w:rsidRPr="00B433A3">
        <w:t xml:space="preserve">parties de </w:t>
      </w:r>
      <w:proofErr w:type="spellStart"/>
      <w:r w:rsidR="00B57BF5" w:rsidRPr="00B433A3">
        <w:t>SNTrack</w:t>
      </w:r>
      <w:proofErr w:type="spellEnd"/>
      <w:r w:rsidR="00B57BF5" w:rsidRPr="00B433A3">
        <w:t xml:space="preserve"> seront remplacées </w:t>
      </w:r>
      <w:r w:rsidR="0078151A" w:rsidRPr="00B433A3">
        <w:t xml:space="preserve">progressivement </w:t>
      </w:r>
      <w:r w:rsidR="00B57BF5" w:rsidRPr="00B433A3">
        <w:t>par un système informatique de gestion des systèmes spatiaux, afin de compléter la fonctionnalité administrative du système de soumission électronique.</w:t>
      </w:r>
    </w:p>
    <w:p w14:paraId="6EC2B8F1" w14:textId="791ACAB4" w:rsidR="00B57BF5" w:rsidRPr="00B433A3" w:rsidRDefault="00DC0D75" w:rsidP="00B8343E">
      <w:pPr>
        <w:pStyle w:val="enumlev1"/>
      </w:pPr>
      <w:r w:rsidRPr="00B433A3">
        <w:t>–</w:t>
      </w:r>
      <w:r w:rsidR="00B57BF5" w:rsidRPr="00B433A3">
        <w:tab/>
        <w:t>Réexamen du système SNS en ligne (et fusion avec le système SNL en ligne</w:t>
      </w:r>
      <w:proofErr w:type="gramStart"/>
      <w:r w:rsidR="00B57BF5" w:rsidRPr="00B433A3">
        <w:t>):</w:t>
      </w:r>
      <w:proofErr w:type="gramEnd"/>
      <w:r w:rsidR="00B57BF5" w:rsidRPr="00B433A3">
        <w:t xml:space="preserve"> en cours. Mise au point de l'application web</w:t>
      </w:r>
      <w:proofErr w:type="gramStart"/>
      <w:r w:rsidR="00B57BF5" w:rsidRPr="00B433A3">
        <w:t xml:space="preserve"> «ITU</w:t>
      </w:r>
      <w:proofErr w:type="gramEnd"/>
      <w:r w:rsidR="00B57BF5" w:rsidRPr="00B433A3">
        <w:t xml:space="preserve"> </w:t>
      </w:r>
      <w:proofErr w:type="spellStart"/>
      <w:r w:rsidR="00B57BF5" w:rsidRPr="00B433A3">
        <w:t>Space</w:t>
      </w:r>
      <w:proofErr w:type="spellEnd"/>
      <w:r w:rsidR="00B57BF5" w:rsidRPr="00B433A3">
        <w:t xml:space="preserve"> Explorer» en vue de remplacer le système d'exploration des données qui figurait précédemment dans le système SNS Online. Le système SNL en ligne fait partie du projet visant à mettre en œuvre la Résolution 908 et à appliquer le point 4 du </w:t>
      </w:r>
      <w:r w:rsidR="0078151A" w:rsidRPr="00B433A3">
        <w:rPr>
          <w:i/>
          <w:iCs/>
        </w:rPr>
        <w:t xml:space="preserve">charge le Directeur du Bureau des radiocommunications </w:t>
      </w:r>
      <w:r w:rsidR="00B57BF5" w:rsidRPr="00B433A3">
        <w:t xml:space="preserve">de la Résolution 186 (Rév. Dubaï, 2018) de la Conférence de plénipotentiaires. </w:t>
      </w:r>
      <w:r w:rsidR="0078151A" w:rsidRPr="00B433A3">
        <w:t xml:space="preserve">Des progrès ont été accomplis dans </w:t>
      </w:r>
      <w:r w:rsidR="00B57BF5" w:rsidRPr="00B433A3">
        <w:t xml:space="preserve">la Phase 1 </w:t>
      </w:r>
      <w:r w:rsidR="0078151A" w:rsidRPr="00B433A3">
        <w:t>du projet</w:t>
      </w:r>
      <w:r w:rsidR="00B57BF5" w:rsidRPr="00B433A3">
        <w:t xml:space="preserve"> en 2021 et les </w:t>
      </w:r>
      <w:r w:rsidR="0078151A" w:rsidRPr="00B433A3">
        <w:t xml:space="preserve">testeurs </w:t>
      </w:r>
      <w:r w:rsidR="00B57BF5" w:rsidRPr="00B433A3">
        <w:t xml:space="preserve">externes devraient bénéficier d'un accès </w:t>
      </w:r>
      <w:r w:rsidR="0078151A" w:rsidRPr="00B433A3">
        <w:t xml:space="preserve">au premier trimestre de </w:t>
      </w:r>
      <w:r w:rsidR="00B57BF5" w:rsidRPr="00B433A3">
        <w:t xml:space="preserve">2022. </w:t>
      </w:r>
      <w:r w:rsidR="0078151A" w:rsidRPr="00B433A3">
        <w:t xml:space="preserve">La première version </w:t>
      </w:r>
      <w:r w:rsidR="006C1F88" w:rsidRPr="00B433A3">
        <w:t xml:space="preserve">opérationnelle </w:t>
      </w:r>
      <w:r w:rsidR="00060500" w:rsidRPr="00B433A3">
        <w:t>est attendue en juin 2022.</w:t>
      </w:r>
    </w:p>
    <w:p w14:paraId="73CF1049" w14:textId="77777777" w:rsidR="00B57BF5" w:rsidRPr="00B433A3" w:rsidRDefault="00B57BF5" w:rsidP="00B8343E">
      <w:pPr>
        <w:pStyle w:val="Heading3"/>
      </w:pPr>
      <w:r w:rsidRPr="00B433A3">
        <w:t>7.2.2</w:t>
      </w:r>
      <w:r w:rsidRPr="00B433A3">
        <w:tab/>
        <w:t>Progrès accomplis en vue de la réalisation des objectifs de la Phase 3 de la feuille de route</w:t>
      </w:r>
    </w:p>
    <w:p w14:paraId="69B0A8E4" w14:textId="77777777" w:rsidR="00B57BF5" w:rsidRPr="00B433A3" w:rsidRDefault="00B57BF5" w:rsidP="00B8343E">
      <w:r w:rsidRPr="00B433A3">
        <w:t>Les travaux menés au cours des phases précédentes, ainsi que les choix de conception et les choix techniques effectués, constituent une excellente base pour la mise en œuvre avec succès de la Phase </w:t>
      </w:r>
      <w:proofErr w:type="gramStart"/>
      <w:r w:rsidRPr="00B433A3">
        <w:t>3:</w:t>
      </w:r>
      <w:proofErr w:type="gramEnd"/>
    </w:p>
    <w:p w14:paraId="3B76C9C5" w14:textId="13DF52FB" w:rsidR="00B57BF5" w:rsidRPr="00B433A3" w:rsidRDefault="00DC0D75" w:rsidP="00B8343E">
      <w:pPr>
        <w:pStyle w:val="enumlev1"/>
      </w:pPr>
      <w:bookmarkStart w:id="62" w:name="lt_pId473"/>
      <w:r w:rsidRPr="00B433A3">
        <w:t>–</w:t>
      </w:r>
      <w:r w:rsidR="00B57BF5" w:rsidRPr="00B433A3">
        <w:tab/>
        <w:t>Une nouvelle conception de la structure, qui préservera l'équivalence des données, mais aura pour objectif de supprimer certaines redondances,</w:t>
      </w:r>
      <w:bookmarkEnd w:id="62"/>
      <w:r w:rsidR="00B57BF5" w:rsidRPr="00B433A3">
        <w:t xml:space="preserve"> sera déployée </w:t>
      </w:r>
      <w:r w:rsidR="00060500" w:rsidRPr="00B433A3">
        <w:t xml:space="preserve">au moment de la mise en œuvre des décisions de la CMR-23, de façon à ne pas </w:t>
      </w:r>
      <w:r w:rsidR="001F3EF1" w:rsidRPr="00B433A3">
        <w:t xml:space="preserve">obliger à un changement trop fréquent de la </w:t>
      </w:r>
      <w:r w:rsidR="00060500" w:rsidRPr="00B433A3">
        <w:t>structure de base de données.</w:t>
      </w:r>
    </w:p>
    <w:p w14:paraId="572750A0" w14:textId="589E58E7" w:rsidR="00B57BF5" w:rsidRPr="00B433A3" w:rsidRDefault="00DC0D75" w:rsidP="00B8343E">
      <w:pPr>
        <w:pStyle w:val="enumlev1"/>
      </w:pPr>
      <w:r w:rsidRPr="00B433A3">
        <w:t>–</w:t>
      </w:r>
      <w:r w:rsidR="00B57BF5" w:rsidRPr="00B433A3">
        <w:tab/>
        <w:t>Des activités visant à centraliser et à rationaliser la gestion des risques, de la reprise des activités et de la sécurité sont en cours.</w:t>
      </w:r>
    </w:p>
    <w:p w14:paraId="6A4A8F25" w14:textId="77777777" w:rsidR="00C8036F" w:rsidRPr="00B433A3" w:rsidRDefault="00C8036F" w:rsidP="00B8343E">
      <w:pPr>
        <w:pStyle w:val="Heading2"/>
      </w:pPr>
      <w:r w:rsidRPr="00B433A3">
        <w:t>7.3</w:t>
      </w:r>
      <w:r w:rsidRPr="00B433A3">
        <w:tab/>
        <w:t>Développement de logiciels relatifs aux services spatiaux</w:t>
      </w:r>
    </w:p>
    <w:p w14:paraId="49625BA7" w14:textId="77777777" w:rsidR="00C8036F" w:rsidRPr="00B433A3" w:rsidRDefault="00C8036F" w:rsidP="00B8343E">
      <w:pPr>
        <w:pStyle w:val="Heading3"/>
      </w:pPr>
      <w:r w:rsidRPr="00B433A3">
        <w:t>7.3.1</w:t>
      </w:r>
      <w:r w:rsidRPr="00B433A3">
        <w:tab/>
      </w:r>
      <w:bookmarkStart w:id="63" w:name="lt_pId478"/>
      <w:r w:rsidRPr="00B433A3">
        <w:t>Mise en œuvre de la Résolution 907 (Rév.CMR-15) – Utilisat</w:t>
      </w:r>
      <w:bookmarkEnd w:id="63"/>
      <w:r w:rsidRPr="00B433A3">
        <w:t>ion de moyens modernes de communication électroniques pour la correspondance administrative concernant les réseaux à satellite</w:t>
      </w:r>
    </w:p>
    <w:p w14:paraId="09265274" w14:textId="6AA78483" w:rsidR="00C8036F" w:rsidRPr="00B433A3" w:rsidRDefault="00C8036F" w:rsidP="00B8343E">
      <w:pPr>
        <w:rPr>
          <w:szCs w:val="24"/>
        </w:rPr>
      </w:pPr>
      <w:bookmarkStart w:id="64" w:name="lt_pId479"/>
      <w:r w:rsidRPr="00B433A3">
        <w:t xml:space="preserve">En </w:t>
      </w:r>
      <w:r w:rsidR="008D642D" w:rsidRPr="00B433A3">
        <w:t>2021</w:t>
      </w:r>
      <w:r w:rsidRPr="00B433A3">
        <w:t xml:space="preserve">, les travaux visant à mettre en œuvre </w:t>
      </w:r>
      <w:r w:rsidR="008D642D" w:rsidRPr="00B433A3">
        <w:t xml:space="preserve">et à tenir à jour le système en ligne de communications électroniques conformément à </w:t>
      </w:r>
      <w:r w:rsidRPr="00B433A3">
        <w:t xml:space="preserve">la Résolution </w:t>
      </w:r>
      <w:r w:rsidRPr="00B433A3">
        <w:rPr>
          <w:b/>
          <w:bCs/>
        </w:rPr>
        <w:t>907 (Rév.CMR-15)</w:t>
      </w:r>
      <w:r w:rsidRPr="00B433A3">
        <w:t xml:space="preserve"> se sont poursuivis.</w:t>
      </w:r>
      <w:bookmarkEnd w:id="64"/>
    </w:p>
    <w:p w14:paraId="4B74680C" w14:textId="797F16C3" w:rsidR="00C8036F" w:rsidRPr="00B433A3" w:rsidRDefault="008D642D" w:rsidP="00B8343E">
      <w:pPr>
        <w:rPr>
          <w:rFonts w:eastAsia="Calibri"/>
        </w:rPr>
      </w:pPr>
      <w:r w:rsidRPr="00B433A3">
        <w:t>De nouvelles fonctionnalités de filtrage (traité</w:t>
      </w:r>
      <w:r w:rsidR="0097083D" w:rsidRPr="00B433A3">
        <w:t>e</w:t>
      </w:r>
      <w:r w:rsidRPr="00B433A3">
        <w:t>/non traité</w:t>
      </w:r>
      <w:r w:rsidR="0097083D" w:rsidRPr="00B433A3">
        <w:t>e</w:t>
      </w:r>
      <w:r w:rsidRPr="00B433A3">
        <w:t>, lu</w:t>
      </w:r>
      <w:r w:rsidR="0097083D" w:rsidRPr="00B433A3">
        <w:t>e</w:t>
      </w:r>
      <w:r w:rsidRPr="00B433A3">
        <w:t>/non lu</w:t>
      </w:r>
      <w:r w:rsidR="0097083D" w:rsidRPr="00B433A3">
        <w:t>e</w:t>
      </w:r>
      <w:r w:rsidRPr="00B433A3">
        <w:t xml:space="preserve">) ont été appliquées à la boîte de réception et à la boîte d'envoi. Des </w:t>
      </w:r>
      <w:r w:rsidR="0097083D" w:rsidRPr="00B433A3">
        <w:t>amé</w:t>
      </w:r>
      <w:r w:rsidRPr="00B433A3">
        <w:t>liorations notables ont été apportées en ce qui concerne la gestion des correspondances au sein du système interne du BR pour améliorer la sécurité et la fiabilité. Un nouveau rôle d'utilisateur, à savoir</w:t>
      </w:r>
      <w:proofErr w:type="gramStart"/>
      <w:r w:rsidRPr="00B433A3">
        <w:t xml:space="preserve"> </w:t>
      </w:r>
      <w:r w:rsidR="006D4AC5" w:rsidRPr="00B433A3">
        <w:t>«</w:t>
      </w:r>
      <w:r w:rsidRPr="00B433A3">
        <w:t>une</w:t>
      </w:r>
      <w:proofErr w:type="gramEnd"/>
      <w:r w:rsidRPr="00B433A3">
        <w:t xml:space="preserve"> administration agissant au nom d'une organisation intergouvernementale de télécommunications par satellite</w:t>
      </w:r>
      <w:r w:rsidR="006D4AC5" w:rsidRPr="00B433A3">
        <w:t>»</w:t>
      </w:r>
      <w:r w:rsidRPr="00B433A3">
        <w:t xml:space="preserve"> est actuellement </w:t>
      </w:r>
      <w:r w:rsidR="0097083D" w:rsidRPr="00B433A3">
        <w:t>conçu et devrait être disponible au premier trimestre de 2022.</w:t>
      </w:r>
    </w:p>
    <w:p w14:paraId="48EDFE65" w14:textId="3B6B78F8" w:rsidR="00C8036F" w:rsidRPr="00B433A3" w:rsidRDefault="00F55293" w:rsidP="00B8343E">
      <w:r w:rsidRPr="00B433A3">
        <w:t xml:space="preserve">Au 1er mars 2022, </w:t>
      </w:r>
      <w:r w:rsidR="0097083D" w:rsidRPr="00B433A3">
        <w:t xml:space="preserve">144 administrations sont enregistrées dans le système de communications électroniques, </w:t>
      </w:r>
      <w:r w:rsidRPr="00B433A3">
        <w:t>et</w:t>
      </w:r>
      <w:r w:rsidR="0097083D" w:rsidRPr="00B433A3">
        <w:t xml:space="preserve"> 112 </w:t>
      </w:r>
      <w:r w:rsidRPr="00B433A3">
        <w:t xml:space="preserve">d'entre elles </w:t>
      </w:r>
      <w:r w:rsidR="0097083D" w:rsidRPr="00B433A3">
        <w:t>ont envoyé des correspondances vi</w:t>
      </w:r>
      <w:r w:rsidRPr="00B433A3">
        <w:t>a le système</w:t>
      </w:r>
      <w:r w:rsidR="0097083D" w:rsidRPr="00B433A3">
        <w:t>.</w:t>
      </w:r>
    </w:p>
    <w:p w14:paraId="40BD6E9C" w14:textId="77777777" w:rsidR="00C8036F" w:rsidRPr="00B433A3" w:rsidRDefault="00C8036F" w:rsidP="00B8343E">
      <w:pPr>
        <w:pStyle w:val="Heading3"/>
      </w:pPr>
      <w:r w:rsidRPr="00B433A3">
        <w:lastRenderedPageBreak/>
        <w:t>7.3.2</w:t>
      </w:r>
      <w:r w:rsidRPr="00B433A3">
        <w:tab/>
        <w:t>Mise en œuvre de la Résolution 908 (Rév.CMR-15</w:t>
      </w:r>
      <w:proofErr w:type="gramStart"/>
      <w:r w:rsidRPr="00B433A3">
        <w:t>):</w:t>
      </w:r>
      <w:proofErr w:type="gramEnd"/>
      <w:r w:rsidRPr="00B433A3">
        <w:t xml:space="preserve"> soumission par voie électronique des fiches de notification des réseaux à satellite</w:t>
      </w:r>
    </w:p>
    <w:p w14:paraId="725EDA52" w14:textId="5C18BE66" w:rsidR="00C8036F" w:rsidRPr="00B433A3" w:rsidRDefault="00215F00" w:rsidP="00B8343E">
      <w:pPr>
        <w:keepNext/>
        <w:keepLines/>
      </w:pPr>
      <w:bookmarkStart w:id="65" w:name="lt_pId486"/>
      <w:r w:rsidRPr="00B433A3">
        <w:t>En 2021, le système de soumission par voie électronique était accessible 24 heures sur 24 pour les administrations et les opérateurs souhaitant soumettr</w:t>
      </w:r>
      <w:r w:rsidR="002B007D" w:rsidRPr="00B433A3">
        <w:t>e des fiches de notification de</w:t>
      </w:r>
      <w:r w:rsidRPr="00B433A3">
        <w:t xml:space="preserve"> réseaux à satellite. Au 1er mars 2022, le nombre d'administrations enregistrées </w:t>
      </w:r>
      <w:r w:rsidR="001C0AB1" w:rsidRPr="00B433A3">
        <w:t>était en hausse</w:t>
      </w:r>
      <w:r w:rsidRPr="00B433A3">
        <w:t xml:space="preserve"> </w:t>
      </w:r>
      <w:r w:rsidR="00F43A26" w:rsidRPr="00B433A3">
        <w:t>e</w:t>
      </w:r>
      <w:r w:rsidR="004173D6" w:rsidRPr="00B433A3">
        <w:t>t s'éle</w:t>
      </w:r>
      <w:r w:rsidR="00F43A26" w:rsidRPr="00B433A3">
        <w:t>vait</w:t>
      </w:r>
      <w:r w:rsidRPr="00B433A3">
        <w:t xml:space="preserve"> à</w:t>
      </w:r>
      <w:r w:rsidR="00624C8E" w:rsidRPr="00B433A3">
        <w:t> </w:t>
      </w:r>
      <w:r w:rsidRPr="00B433A3">
        <w:t>150.</w:t>
      </w:r>
    </w:p>
    <w:p w14:paraId="3BEA5F38" w14:textId="5F3F1440" w:rsidR="00C8036F" w:rsidRPr="00B433A3" w:rsidRDefault="00215F00" w:rsidP="00B8343E">
      <w:r w:rsidRPr="00B433A3">
        <w:t xml:space="preserve">En 2021, un nouveau type de fiche de notification, à savoir la fiche de notification concernant les informations de déploiement soumises au titre de la Résolution </w:t>
      </w:r>
      <w:r w:rsidRPr="00B433A3">
        <w:rPr>
          <w:b/>
        </w:rPr>
        <w:t>35</w:t>
      </w:r>
      <w:r w:rsidRPr="00B433A3">
        <w:t xml:space="preserve"> (</w:t>
      </w:r>
      <w:r w:rsidRPr="00B433A3">
        <w:rPr>
          <w:b/>
        </w:rPr>
        <w:t>CMR-2019</w:t>
      </w:r>
      <w:r w:rsidRPr="00B433A3">
        <w:t xml:space="preserve">), a été mise en œuvre dans le système de soumission par voie électronique. </w:t>
      </w:r>
      <w:r w:rsidR="004173D6" w:rsidRPr="00B433A3">
        <w:t>La section 7.3.4 contient d</w:t>
      </w:r>
      <w:r w:rsidRPr="00B433A3">
        <w:t xml:space="preserve">e plus amples renseignements. </w:t>
      </w:r>
      <w:r w:rsidR="008C721E" w:rsidRPr="00B433A3">
        <w:t>Il s'agit du premier type de fiche de notification pouvant être saisi à l'aide de l'interface en ligne dans le système de soumission par voie électronique.</w:t>
      </w:r>
    </w:p>
    <w:p w14:paraId="2953C2AF" w14:textId="302089DF" w:rsidR="00C8036F" w:rsidRPr="00B433A3" w:rsidRDefault="005B64F1" w:rsidP="00B8343E">
      <w:pPr>
        <w:rPr>
          <w:szCs w:val="24"/>
        </w:rPr>
      </w:pPr>
      <w:r w:rsidRPr="00B433A3">
        <w:rPr>
          <w:szCs w:val="24"/>
        </w:rPr>
        <w:t xml:space="preserve">En outre, diverses améliorations </w:t>
      </w:r>
      <w:r w:rsidR="003271AE" w:rsidRPr="00B433A3">
        <w:rPr>
          <w:szCs w:val="24"/>
        </w:rPr>
        <w:t xml:space="preserve">concernant la </w:t>
      </w:r>
      <w:r w:rsidR="004173D6" w:rsidRPr="00B433A3">
        <w:rPr>
          <w:szCs w:val="24"/>
        </w:rPr>
        <w:t>qualité de fonctionnement</w:t>
      </w:r>
      <w:r w:rsidRPr="00B433A3">
        <w:rPr>
          <w:szCs w:val="24"/>
        </w:rPr>
        <w:t xml:space="preserve"> et </w:t>
      </w:r>
      <w:r w:rsidR="003271AE" w:rsidRPr="00B433A3">
        <w:rPr>
          <w:szCs w:val="24"/>
        </w:rPr>
        <w:t xml:space="preserve">la </w:t>
      </w:r>
      <w:r w:rsidRPr="00B433A3">
        <w:rPr>
          <w:szCs w:val="24"/>
        </w:rPr>
        <w:t>facilité d'utilisation ont été apportées dans le système.</w:t>
      </w:r>
    </w:p>
    <w:p w14:paraId="0D60772A" w14:textId="70A76C9C" w:rsidR="00C8036F" w:rsidRPr="00B433A3" w:rsidRDefault="00C457CA" w:rsidP="00B8343E">
      <w:pPr>
        <w:rPr>
          <w:szCs w:val="24"/>
        </w:rPr>
      </w:pPr>
      <w:r w:rsidRPr="00B433A3">
        <w:rPr>
          <w:szCs w:val="24"/>
        </w:rPr>
        <w:t xml:space="preserve">Il est prévu que le système de soumission par voie électronique fasse l'objet de nouvelles évolutions en 2022, notamment </w:t>
      </w:r>
      <w:r w:rsidR="004867CF" w:rsidRPr="00B433A3">
        <w:rPr>
          <w:szCs w:val="24"/>
        </w:rPr>
        <w:t xml:space="preserve">des suivantes: </w:t>
      </w:r>
      <w:r w:rsidRPr="00B433A3">
        <w:rPr>
          <w:szCs w:val="24"/>
        </w:rPr>
        <w:t xml:space="preserve">extension du système interne au BR pour le traitement des fiches de notification, </w:t>
      </w:r>
      <w:r w:rsidR="00915ADE" w:rsidRPr="00B433A3">
        <w:rPr>
          <w:szCs w:val="24"/>
        </w:rPr>
        <w:t xml:space="preserve">création d'un nouveau statut </w:t>
      </w:r>
      <w:r w:rsidR="006D4AC5" w:rsidRPr="00B433A3">
        <w:t>«</w:t>
      </w:r>
      <w:r w:rsidR="00915ADE" w:rsidRPr="00B433A3">
        <w:rPr>
          <w:szCs w:val="24"/>
        </w:rPr>
        <w:t>Publiée dans la BR IFIC</w:t>
      </w:r>
      <w:r w:rsidR="006D4AC5" w:rsidRPr="00B433A3">
        <w:rPr>
          <w:szCs w:val="24"/>
        </w:rPr>
        <w:t>»</w:t>
      </w:r>
      <w:r w:rsidR="00915ADE" w:rsidRPr="00B433A3">
        <w:rPr>
          <w:szCs w:val="24"/>
        </w:rPr>
        <w:t xml:space="preserve"> pour</w:t>
      </w:r>
      <w:r w:rsidR="004867CF" w:rsidRPr="00B433A3">
        <w:rPr>
          <w:szCs w:val="24"/>
        </w:rPr>
        <w:t xml:space="preserve"> les fiches de notification, </w:t>
      </w:r>
      <w:r w:rsidR="00915ADE" w:rsidRPr="00B433A3">
        <w:rPr>
          <w:szCs w:val="24"/>
        </w:rPr>
        <w:t xml:space="preserve">outil en ligne pour la soumission d'observations d'ordre réglementaire et mise à disposition d'outils d'examen technique en ligne </w:t>
      </w:r>
      <w:r w:rsidR="004867CF" w:rsidRPr="00B433A3">
        <w:rPr>
          <w:szCs w:val="24"/>
        </w:rPr>
        <w:t>pour les</w:t>
      </w:r>
      <w:r w:rsidR="00915ADE" w:rsidRPr="00B433A3">
        <w:rPr>
          <w:szCs w:val="24"/>
        </w:rPr>
        <w:t xml:space="preserve"> administrations </w:t>
      </w:r>
      <w:r w:rsidR="004867CF" w:rsidRPr="00B433A3">
        <w:rPr>
          <w:szCs w:val="24"/>
        </w:rPr>
        <w:t>permettant de</w:t>
      </w:r>
      <w:r w:rsidR="00915ADE" w:rsidRPr="00B433A3">
        <w:rPr>
          <w:szCs w:val="24"/>
        </w:rPr>
        <w:t xml:space="preserve"> vérifier les fiches de notification avant leur soumission.</w:t>
      </w:r>
    </w:p>
    <w:p w14:paraId="2B84B00E" w14:textId="013E3322" w:rsidR="00C8036F" w:rsidRPr="00B433A3" w:rsidRDefault="00C8036F" w:rsidP="00B8343E">
      <w:r w:rsidRPr="00B433A3">
        <w:t>Afin de faciliter les activités de développement et de tests, l'Administration du Japon a contribué financièrement et a aussi mis à disposition à Genève un expert technique et en réglementation dans le domaine des réseaux à satellite.</w:t>
      </w:r>
      <w:bookmarkEnd w:id="65"/>
      <w:r w:rsidRPr="00B433A3">
        <w:t xml:space="preserve"> Le Bureau des radiocommunications remercie à nouveau l'Administration du Japon </w:t>
      </w:r>
      <w:bookmarkStart w:id="66" w:name="lt_pId487"/>
      <w:r w:rsidRPr="00B433A3">
        <w:t>d'avoir bien voulu fournir une assistance concrète aux fins de l'élaboration de ce projet.</w:t>
      </w:r>
      <w:bookmarkEnd w:id="66"/>
    </w:p>
    <w:p w14:paraId="1C62DBBC" w14:textId="583225E5" w:rsidR="00C8036F" w:rsidRPr="00B433A3" w:rsidRDefault="00C8036F" w:rsidP="00B8343E">
      <w:pPr>
        <w:pStyle w:val="Heading3"/>
      </w:pPr>
      <w:r w:rsidRPr="00B433A3">
        <w:t>7.3.3</w:t>
      </w:r>
      <w:r w:rsidRPr="00B433A3">
        <w:tab/>
      </w:r>
      <w:r w:rsidR="00162435" w:rsidRPr="00B433A3">
        <w:t xml:space="preserve">Mise au point d'un outil permettant d'aider les administrations à </w:t>
      </w:r>
      <w:r w:rsidR="004E031C" w:rsidRPr="00B433A3">
        <w:t>indiquer</w:t>
      </w:r>
      <w:r w:rsidR="00162435" w:rsidRPr="00B433A3">
        <w:t xml:space="preserve"> au Bureau le statut de la coordination vis-à-vis des administrations </w:t>
      </w:r>
      <w:r w:rsidR="003271AE" w:rsidRPr="00B433A3">
        <w:t>concernées</w:t>
      </w:r>
      <w:r w:rsidR="00162435" w:rsidRPr="00B433A3">
        <w:t xml:space="preserve"> lors de la notification </w:t>
      </w:r>
    </w:p>
    <w:p w14:paraId="61512BB4" w14:textId="44A093D7" w:rsidR="00F91636" w:rsidRPr="00B433A3" w:rsidRDefault="004E031C" w:rsidP="00B8343E">
      <w:pPr>
        <w:rPr>
          <w:rFonts w:eastAsia="SimSun"/>
        </w:rPr>
      </w:pPr>
      <w:r w:rsidRPr="00B433A3">
        <w:rPr>
          <w:rFonts w:eastAsia="SimSun"/>
        </w:rPr>
        <w:t xml:space="preserve">La mise au point de l'outil permettant d'aider les administrations à indiquer le statut de la coordination a débuté en juin 2021, et l'outil devrait être lancé en avril 2022. Celui-ci </w:t>
      </w:r>
      <w:r w:rsidR="004867CF" w:rsidRPr="00B433A3">
        <w:rPr>
          <w:rFonts w:eastAsia="SimSun"/>
        </w:rPr>
        <w:t>sera mis en œuvre en tant qu</w:t>
      </w:r>
      <w:proofErr w:type="gramStart"/>
      <w:r w:rsidRPr="00B433A3">
        <w:rPr>
          <w:rFonts w:eastAsia="SimSun"/>
        </w:rPr>
        <w:t>'</w:t>
      </w:r>
      <w:r w:rsidR="006D4AC5" w:rsidRPr="00B433A3">
        <w:t>«</w:t>
      </w:r>
      <w:r w:rsidRPr="00B433A3">
        <w:rPr>
          <w:rFonts w:eastAsia="SimSun"/>
        </w:rPr>
        <w:t>assistant</w:t>
      </w:r>
      <w:proofErr w:type="gramEnd"/>
      <w:r w:rsidR="006D4AC5" w:rsidRPr="00B433A3">
        <w:rPr>
          <w:rFonts w:eastAsia="SimSun"/>
        </w:rPr>
        <w:t>»</w:t>
      </w:r>
      <w:r w:rsidRPr="00B433A3">
        <w:rPr>
          <w:rFonts w:eastAsia="SimSun"/>
        </w:rPr>
        <w:t xml:space="preserve"> convivial dans le logiciel </w:t>
      </w:r>
      <w:proofErr w:type="spellStart"/>
      <w:r w:rsidRPr="00B433A3">
        <w:rPr>
          <w:rFonts w:eastAsia="SimSun"/>
        </w:rPr>
        <w:t>SpaceCap</w:t>
      </w:r>
      <w:proofErr w:type="spellEnd"/>
      <w:r w:rsidR="00C747B8" w:rsidRPr="00B433A3">
        <w:rPr>
          <w:rFonts w:eastAsia="SimSun"/>
        </w:rPr>
        <w:t xml:space="preserve">, qui sera doté d'une interface présentant les exigences de coordination du réseau à satellite notifié et qui permettra à l'utilisateur de naviguer facilement dans la fiche de notification pour obtenir des informations sur </w:t>
      </w:r>
      <w:r w:rsidR="007F3502" w:rsidRPr="00B433A3">
        <w:t xml:space="preserve">le statut de la coordination vis-à-vis des administrations </w:t>
      </w:r>
      <w:r w:rsidR="003271AE" w:rsidRPr="00B433A3">
        <w:t xml:space="preserve">concernées </w:t>
      </w:r>
      <w:r w:rsidR="00C747B8" w:rsidRPr="00B433A3">
        <w:t>au niveau du groupe d'une fiche de notification</w:t>
      </w:r>
      <w:r w:rsidR="007F3502" w:rsidRPr="00B433A3">
        <w:rPr>
          <w:color w:val="000000"/>
        </w:rPr>
        <w:t xml:space="preserve">. </w:t>
      </w:r>
      <w:r w:rsidR="00C747B8" w:rsidRPr="00B433A3">
        <w:rPr>
          <w:color w:val="000000"/>
        </w:rPr>
        <w:t>Parmi les nouvelles fonctionnalités du logiciel figureront des</w:t>
      </w:r>
      <w:proofErr w:type="gramStart"/>
      <w:r w:rsidR="00C747B8" w:rsidRPr="00B433A3">
        <w:rPr>
          <w:color w:val="000000"/>
        </w:rPr>
        <w:t xml:space="preserve"> </w:t>
      </w:r>
      <w:r w:rsidR="006D4AC5" w:rsidRPr="00B433A3">
        <w:t>«</w:t>
      </w:r>
      <w:r w:rsidR="00C747B8" w:rsidRPr="00B433A3">
        <w:rPr>
          <w:color w:val="000000"/>
        </w:rPr>
        <w:t>assistants</w:t>
      </w:r>
      <w:proofErr w:type="gramEnd"/>
      <w:r w:rsidR="006D4AC5" w:rsidRPr="00B433A3">
        <w:rPr>
          <w:color w:val="000000"/>
        </w:rPr>
        <w:t>»</w:t>
      </w:r>
      <w:r w:rsidR="00C747B8" w:rsidRPr="00B433A3">
        <w:rPr>
          <w:color w:val="000000"/>
        </w:rPr>
        <w:t xml:space="preserve"> qui aideront à créer des fiches de notification pour les soumissions </w:t>
      </w:r>
      <w:r w:rsidR="00B87220" w:rsidRPr="00B433A3">
        <w:rPr>
          <w:color w:val="000000"/>
        </w:rPr>
        <w:t>de</w:t>
      </w:r>
      <w:r w:rsidR="00C747B8" w:rsidRPr="00B433A3">
        <w:rPr>
          <w:color w:val="000000"/>
        </w:rPr>
        <w:t xml:space="preserve"> notifications </w:t>
      </w:r>
      <w:r w:rsidR="00B87220" w:rsidRPr="00B433A3">
        <w:rPr>
          <w:color w:val="000000"/>
        </w:rPr>
        <w:t xml:space="preserve">relatives à des stations spatiales </w:t>
      </w:r>
      <w:r w:rsidR="00C747B8" w:rsidRPr="00B433A3">
        <w:rPr>
          <w:color w:val="000000"/>
        </w:rPr>
        <w:t>dans le</w:t>
      </w:r>
      <w:r w:rsidR="00E7658D" w:rsidRPr="00B433A3">
        <w:rPr>
          <w:color w:val="000000"/>
        </w:rPr>
        <w:t>s</w:t>
      </w:r>
      <w:r w:rsidR="00C747B8" w:rsidRPr="00B433A3">
        <w:rPr>
          <w:color w:val="000000"/>
        </w:rPr>
        <w:t xml:space="preserve"> cas suivants:</w:t>
      </w:r>
    </w:p>
    <w:p w14:paraId="7201CAF4" w14:textId="4E898F8C" w:rsidR="007F3502" w:rsidRPr="00B433A3" w:rsidRDefault="00DC0D75" w:rsidP="00B8343E">
      <w:pPr>
        <w:pStyle w:val="enumlev1"/>
        <w:rPr>
          <w:rFonts w:eastAsia="SimSun"/>
        </w:rPr>
      </w:pPr>
      <w:r w:rsidRPr="00B433A3">
        <w:rPr>
          <w:rFonts w:eastAsia="SimSun"/>
        </w:rPr>
        <w:t>–</w:t>
      </w:r>
      <w:r w:rsidR="007F3502" w:rsidRPr="00B433A3">
        <w:rPr>
          <w:rFonts w:eastAsia="SimSun"/>
        </w:rPr>
        <w:tab/>
      </w:r>
      <w:r w:rsidR="00390816" w:rsidRPr="00B433A3">
        <w:rPr>
          <w:rFonts w:eastAsia="SimSun"/>
        </w:rPr>
        <w:t xml:space="preserve">Première notification au titre du numéro </w:t>
      </w:r>
      <w:r w:rsidR="00390816" w:rsidRPr="00B433A3">
        <w:rPr>
          <w:rFonts w:eastAsia="SimSun"/>
          <w:b/>
        </w:rPr>
        <w:t>11.2</w:t>
      </w:r>
      <w:r w:rsidR="00390816" w:rsidRPr="00B433A3">
        <w:rPr>
          <w:rFonts w:eastAsia="SimSun"/>
        </w:rPr>
        <w:t xml:space="preserve"> pour les assignations de fréquence soumises à la coordination</w:t>
      </w:r>
      <w:r w:rsidR="00141818" w:rsidRPr="00B433A3">
        <w:rPr>
          <w:rFonts w:eastAsia="SimSun"/>
        </w:rPr>
        <w:t>.</w:t>
      </w:r>
    </w:p>
    <w:p w14:paraId="49D3F8B0" w14:textId="665E3C9D" w:rsidR="007F3502" w:rsidRPr="00B433A3" w:rsidRDefault="00DC0D75" w:rsidP="00B8343E">
      <w:pPr>
        <w:pStyle w:val="enumlev1"/>
        <w:rPr>
          <w:rFonts w:eastAsia="SimSun"/>
        </w:rPr>
      </w:pPr>
      <w:r w:rsidRPr="00B433A3">
        <w:rPr>
          <w:rFonts w:eastAsia="SimSun"/>
        </w:rPr>
        <w:t>–</w:t>
      </w:r>
      <w:r w:rsidR="007F3502" w:rsidRPr="00B433A3">
        <w:rPr>
          <w:rFonts w:eastAsia="SimSun"/>
        </w:rPr>
        <w:tab/>
      </w:r>
      <w:r w:rsidR="00390816" w:rsidRPr="00B433A3">
        <w:rPr>
          <w:rFonts w:eastAsia="SimSun"/>
        </w:rPr>
        <w:t xml:space="preserve">Nouvelle soumission de notification après qu'une fiche de notification ait été retournée au titre du numéro </w:t>
      </w:r>
      <w:r w:rsidR="00390816" w:rsidRPr="00B433A3">
        <w:rPr>
          <w:rFonts w:eastAsia="SimSun"/>
          <w:b/>
        </w:rPr>
        <w:t>11.37</w:t>
      </w:r>
      <w:r w:rsidR="00390816" w:rsidRPr="00B433A3">
        <w:rPr>
          <w:rFonts w:eastAsia="SimSun"/>
        </w:rPr>
        <w:t xml:space="preserve"> ou </w:t>
      </w:r>
      <w:r w:rsidR="00390816" w:rsidRPr="00B433A3">
        <w:rPr>
          <w:rFonts w:eastAsia="SimSun"/>
          <w:b/>
        </w:rPr>
        <w:t>11.38</w:t>
      </w:r>
      <w:r w:rsidR="00141818" w:rsidRPr="00B433A3">
        <w:rPr>
          <w:rFonts w:eastAsia="SimSun"/>
        </w:rPr>
        <w:t>.</w:t>
      </w:r>
    </w:p>
    <w:p w14:paraId="4DD3E5B7" w14:textId="4E67A66B" w:rsidR="007F3502" w:rsidRPr="00B433A3" w:rsidRDefault="00DC0D75" w:rsidP="00B8343E">
      <w:pPr>
        <w:pStyle w:val="enumlev1"/>
      </w:pPr>
      <w:r w:rsidRPr="00B433A3">
        <w:rPr>
          <w:rFonts w:eastAsia="SimSun"/>
        </w:rPr>
        <w:t>–</w:t>
      </w:r>
      <w:r w:rsidR="007F3502" w:rsidRPr="00B433A3">
        <w:rPr>
          <w:rFonts w:eastAsia="SimSun"/>
        </w:rPr>
        <w:tab/>
      </w:r>
      <w:r w:rsidR="00390816" w:rsidRPr="00B433A3">
        <w:rPr>
          <w:rFonts w:eastAsia="SimSun"/>
        </w:rPr>
        <w:t xml:space="preserve">Première notification au titre du numéro </w:t>
      </w:r>
      <w:r w:rsidR="00390816" w:rsidRPr="00B433A3">
        <w:rPr>
          <w:rFonts w:eastAsia="SimSun"/>
          <w:b/>
        </w:rPr>
        <w:t>11.2</w:t>
      </w:r>
      <w:r w:rsidR="00390816" w:rsidRPr="00B433A3">
        <w:rPr>
          <w:rFonts w:eastAsia="SimSun"/>
        </w:rPr>
        <w:t xml:space="preserve"> pour les assignations de fréquence non soumises à la coordination.</w:t>
      </w:r>
    </w:p>
    <w:p w14:paraId="4A4F9F9A" w14:textId="5A037976" w:rsidR="005B0C1A" w:rsidRPr="00B433A3" w:rsidRDefault="00E7658D" w:rsidP="00B8343E">
      <w:pPr>
        <w:rPr>
          <w:rFonts w:eastAsia="SimSun"/>
        </w:rPr>
      </w:pPr>
      <w:r w:rsidRPr="00B433A3">
        <w:rPr>
          <w:rFonts w:eastAsia="SimSun"/>
        </w:rPr>
        <w:t xml:space="preserve">En outre, une nouvelle interface dédiée à la nouvelle soumission d'une notification sera créée sur le portail web des soumissions par voie électronique pour faciliter davantage la mise à jour du statut de </w:t>
      </w:r>
      <w:r w:rsidR="004867CF" w:rsidRPr="00B433A3">
        <w:rPr>
          <w:rFonts w:eastAsia="SimSun"/>
        </w:rPr>
        <w:t>la coordination vis-à-vis des</w:t>
      </w:r>
      <w:r w:rsidRPr="00B433A3">
        <w:rPr>
          <w:rFonts w:eastAsia="SimSun"/>
        </w:rPr>
        <w:t xml:space="preserve"> administration</w:t>
      </w:r>
      <w:r w:rsidR="004867CF" w:rsidRPr="00B433A3">
        <w:rPr>
          <w:rFonts w:eastAsia="SimSun"/>
        </w:rPr>
        <w:t>s</w:t>
      </w:r>
      <w:r w:rsidRPr="00B433A3">
        <w:rPr>
          <w:rFonts w:eastAsia="SimSun"/>
        </w:rPr>
        <w:t xml:space="preserve"> </w:t>
      </w:r>
      <w:r w:rsidR="003271AE" w:rsidRPr="00B433A3">
        <w:rPr>
          <w:rFonts w:eastAsia="SimSun"/>
        </w:rPr>
        <w:t>concernées</w:t>
      </w:r>
      <w:r w:rsidRPr="00B433A3">
        <w:rPr>
          <w:rFonts w:eastAsia="SimSun"/>
        </w:rPr>
        <w:t xml:space="preserve"> lorsqu'une notification est soumise une nouvelle fois.</w:t>
      </w:r>
    </w:p>
    <w:p w14:paraId="18D62DD7" w14:textId="48483B2F" w:rsidR="005B6A9C" w:rsidRPr="00B433A3" w:rsidRDefault="005B6A9C" w:rsidP="00B8343E">
      <w:pPr>
        <w:pStyle w:val="Heading1"/>
      </w:pPr>
      <w:r w:rsidRPr="00B433A3">
        <w:rPr>
          <w:szCs w:val="24"/>
        </w:rPr>
        <w:lastRenderedPageBreak/>
        <w:t>7.3.4</w:t>
      </w:r>
      <w:r w:rsidRPr="00B433A3">
        <w:tab/>
      </w:r>
      <w:r w:rsidRPr="00B433A3">
        <w:rPr>
          <w:szCs w:val="24"/>
        </w:rPr>
        <w:t>Mise en œuvre de la Résolution 35 (CMR-19</w:t>
      </w:r>
      <w:proofErr w:type="gramStart"/>
      <w:r w:rsidRPr="00B433A3">
        <w:rPr>
          <w:szCs w:val="24"/>
        </w:rPr>
        <w:t>):</w:t>
      </w:r>
      <w:proofErr w:type="gramEnd"/>
      <w:r w:rsidRPr="00B433A3">
        <w:rPr>
          <w:szCs w:val="24"/>
        </w:rPr>
        <w:t xml:space="preserve"> </w:t>
      </w:r>
      <w:r w:rsidRPr="00B433A3">
        <w:t>Méthode par étape relative à la mise en œuvre des assignations de fréquence à des stations spatiales d'un système à satellites non géostationnaires dans certaines bandes de fréquences et certains services</w:t>
      </w:r>
    </w:p>
    <w:p w14:paraId="6BA9469A" w14:textId="77777777" w:rsidR="005B6A9C" w:rsidRPr="00B433A3" w:rsidRDefault="005B6A9C" w:rsidP="00B8343E">
      <w:r w:rsidRPr="00B433A3">
        <w:t xml:space="preserve">Le Bureau a mis en place un système en ligne pour la soumission des renseignements relatifs au déploiement requis au titre de la Résolution </w:t>
      </w:r>
      <w:r w:rsidRPr="00B433A3">
        <w:rPr>
          <w:b/>
        </w:rPr>
        <w:t>35 (CMR-19)</w:t>
      </w:r>
      <w:r w:rsidRPr="00B433A3">
        <w:t xml:space="preserve">. Une structure de base de données a été élaborée pour le stockage de ces renseignements et une interface en ligne conviviale a été créée dans le cadre du système de soumission électronique existant pour la saisie des renseignements relatifs au déploiement. En outre, un fichier au format XML a été créé afin de permettre aux administrations de saisir les renseignements dans un format normalisé au moyen d'outils en ligne et de les soumettre via le système de soumission électronique. Les administrations ont la possibilité de valider les renseignements en utilisant l'outil de validation en ligne intégré dans le système de soumission électronique, afin de vérifier que les renseignements sont complets et exacts. </w:t>
      </w:r>
    </w:p>
    <w:p w14:paraId="014A29DF" w14:textId="51664BAC" w:rsidR="00141818" w:rsidRPr="00B433A3" w:rsidRDefault="005B6A9C" w:rsidP="00B8343E">
      <w:r w:rsidRPr="00B433A3">
        <w:t xml:space="preserve">Conformément aux points 5a) et 10a) du </w:t>
      </w:r>
      <w:r w:rsidRPr="00B433A3">
        <w:rPr>
          <w:i/>
          <w:iCs/>
        </w:rPr>
        <w:t>décide</w:t>
      </w:r>
      <w:r w:rsidRPr="00B433A3">
        <w:t xml:space="preserve"> de la Résolution </w:t>
      </w:r>
      <w:r w:rsidRPr="00B433A3">
        <w:rPr>
          <w:bCs/>
        </w:rPr>
        <w:t>35 (CMR-19)</w:t>
      </w:r>
      <w:r w:rsidRPr="00B433A3">
        <w:t>, lorsque les renseignements requis relatifs au déploiement sont reçus, ils sont rapidement mis à disposition</w:t>
      </w:r>
      <w:proofErr w:type="gramStart"/>
      <w:r w:rsidRPr="00B433A3">
        <w:t xml:space="preserve"> «tels</w:t>
      </w:r>
      <w:proofErr w:type="gramEnd"/>
      <w:r w:rsidRPr="00B433A3">
        <w:t xml:space="preserve"> qu'ils ont été reçus» sur le site web suivant:</w:t>
      </w:r>
      <w:r w:rsidR="00141818" w:rsidRPr="00B433A3">
        <w:t xml:space="preserve"> </w:t>
      </w:r>
      <w:r w:rsidR="00141818" w:rsidRPr="00B433A3">
        <w:br/>
      </w:r>
      <w:hyperlink r:id="rId33" w:history="1">
        <w:r w:rsidR="00141818" w:rsidRPr="00B433A3">
          <w:rPr>
            <w:rStyle w:val="Hyperlink"/>
            <w:szCs w:val="24"/>
          </w:rPr>
          <w:t>https://www.itu.int/ITU-R/space/asreceived/Publication/AsReceived</w:t>
        </w:r>
      </w:hyperlink>
      <w:r w:rsidR="00141818" w:rsidRPr="00B433A3">
        <w:t>.</w:t>
      </w:r>
    </w:p>
    <w:p w14:paraId="0AF591FD" w14:textId="16136659" w:rsidR="005B6A9C" w:rsidRPr="00B433A3" w:rsidRDefault="005B6A9C" w:rsidP="00B8343E">
      <w:r w:rsidRPr="00B433A3">
        <w:t>Après avoir traité les renseignements, le Bureau les publie dans les sections spéciales RES 35 du DVD BR IFIC et sur son site web.</w:t>
      </w:r>
    </w:p>
    <w:p w14:paraId="09EE4FDC" w14:textId="77777777" w:rsidR="005B6A9C" w:rsidRPr="00B433A3" w:rsidRDefault="005B6A9C" w:rsidP="00B8343E">
      <w:r w:rsidRPr="00B433A3">
        <w:t>Le perfectionnement du système se poursuivra en 2022 pour aider au traitement interne et à la publication des renseignements, qui sont effectués actuellement au moyen d'une solution temporaire.</w:t>
      </w:r>
    </w:p>
    <w:p w14:paraId="167A6033" w14:textId="77777777" w:rsidR="005B6A9C" w:rsidRPr="00B433A3" w:rsidRDefault="005B6A9C" w:rsidP="00B8343E">
      <w:r w:rsidRPr="00B433A3">
        <w:t xml:space="preserve">La mise en œuvre de la Résolution </w:t>
      </w:r>
      <w:r w:rsidRPr="00B433A3">
        <w:rPr>
          <w:b/>
          <w:bCs/>
        </w:rPr>
        <w:t>35 (CMR-19)</w:t>
      </w:r>
      <w:r w:rsidRPr="00B433A3">
        <w:t xml:space="preserve"> est décrite dans la </w:t>
      </w:r>
      <w:hyperlink r:id="rId34" w:history="1">
        <w:r w:rsidRPr="00B433A3">
          <w:rPr>
            <w:rStyle w:val="Hyperlink"/>
          </w:rPr>
          <w:t xml:space="preserve">Lettre circulaire </w:t>
        </w:r>
        <w:r w:rsidRPr="00B433A3">
          <w:rPr>
            <w:rStyle w:val="Hyperlink"/>
            <w:szCs w:val="24"/>
          </w:rPr>
          <w:t>CR/475</w:t>
        </w:r>
      </w:hyperlink>
      <w:r w:rsidRPr="00B433A3">
        <w:t xml:space="preserve"> en date du 17 mai 2021 et le Bureau tient à jour une page web pour fournir des renseignements détaillés et actualisés sur la mise en œuvre de cette Résolution, à l'adresse </w:t>
      </w:r>
      <w:proofErr w:type="gramStart"/>
      <w:r w:rsidRPr="00B433A3">
        <w:t>suivante:</w:t>
      </w:r>
      <w:proofErr w:type="gramEnd"/>
      <w:r w:rsidRPr="00B433A3">
        <w:t xml:space="preserve"> </w:t>
      </w:r>
      <w:hyperlink r:id="rId35" w:history="1">
        <w:r w:rsidRPr="00B433A3">
          <w:rPr>
            <w:rStyle w:val="Hyperlink"/>
            <w:szCs w:val="24"/>
          </w:rPr>
          <w:t>http://www.itu.int/go/space/res35</w:t>
        </w:r>
      </w:hyperlink>
      <w:r w:rsidRPr="00B433A3">
        <w:t>.</w:t>
      </w:r>
    </w:p>
    <w:p w14:paraId="6FC93D9F" w14:textId="6ABD87CF" w:rsidR="005B6A9C" w:rsidRPr="00B433A3" w:rsidRDefault="005B6A9C" w:rsidP="00B8343E">
      <w:pPr>
        <w:pStyle w:val="Heading3"/>
      </w:pPr>
      <w:r w:rsidRPr="00B433A3">
        <w:t>7.3.5</w:t>
      </w:r>
      <w:r w:rsidRPr="00B433A3">
        <w:tab/>
      </w:r>
      <w:r w:rsidRPr="00B433A3">
        <w:rPr>
          <w:szCs w:val="24"/>
        </w:rPr>
        <w:t>Mise en œuvre de la Résolution 32 (CMR-19</w:t>
      </w:r>
      <w:proofErr w:type="gramStart"/>
      <w:r w:rsidRPr="00B433A3">
        <w:rPr>
          <w:szCs w:val="24"/>
        </w:rPr>
        <w:t>)</w:t>
      </w:r>
      <w:r w:rsidRPr="00B433A3">
        <w:t>:</w:t>
      </w:r>
      <w:proofErr w:type="gramEnd"/>
      <w:r w:rsidRPr="00B433A3">
        <w:t xml:space="preserve"> Procédures réglementaires à suivre pour les assignations de fréquence aux réseaux à satellite non géostationnaire ou aux systèmes à satellites non géostationnaires identifiés en tant que mission de courte durée non assujetties à l'application de la Section II de l'Article 9</w:t>
      </w:r>
    </w:p>
    <w:p w14:paraId="164DE657" w14:textId="7A542643" w:rsidR="005B6A9C" w:rsidRPr="00B433A3" w:rsidRDefault="005B6A9C" w:rsidP="00B8343E">
      <w:r w:rsidRPr="00B433A3">
        <w:t xml:space="preserve">Dans le cadre de la mise en œuvre de la Résolution </w:t>
      </w:r>
      <w:r w:rsidRPr="00B433A3">
        <w:rPr>
          <w:b/>
          <w:bCs/>
        </w:rPr>
        <w:t>32 (CMR-19)</w:t>
      </w:r>
      <w:r w:rsidRPr="00B433A3">
        <w:t xml:space="preserve">, en vertu de laquelle le Bureau est tenu de publier, dans la Circulaire internationale d'information du BR sur les fréquences (BR IFIC) et sur son site web, les caractéristiques du système assorties des conclusions relativement au </w:t>
      </w:r>
      <w:r w:rsidR="00624C8E" w:rsidRPr="00B433A3">
        <w:t>N</w:t>
      </w:r>
      <w:r w:rsidRPr="00B433A3">
        <w:t xml:space="preserve">uméro </w:t>
      </w:r>
      <w:r w:rsidRPr="00B433A3">
        <w:rPr>
          <w:b/>
          <w:bCs/>
        </w:rPr>
        <w:t>11.31</w:t>
      </w:r>
      <w:r w:rsidRPr="00B433A3">
        <w:t xml:space="preserve">, le Bureau tient à jour une page web qui contient certains renseignements généraux sur cette Résolution ainsi qu'un lien vers les publications relatives aux notifications des réseaux à satellite soumises pour des missions de courte durée conformément à la Résolution </w:t>
      </w:r>
      <w:r w:rsidRPr="00B433A3">
        <w:rPr>
          <w:b/>
          <w:bCs/>
        </w:rPr>
        <w:t>32 (CMR-19)</w:t>
      </w:r>
      <w:r w:rsidRPr="00B433A3">
        <w:t xml:space="preserve">. Elle est disponible à l'adresse </w:t>
      </w:r>
      <w:proofErr w:type="gramStart"/>
      <w:r w:rsidRPr="00B433A3">
        <w:t>suivante:</w:t>
      </w:r>
      <w:proofErr w:type="gramEnd"/>
      <w:r w:rsidRPr="00B433A3">
        <w:t xml:space="preserve"> </w:t>
      </w:r>
      <w:hyperlink r:id="rId36" w:history="1">
        <w:r w:rsidR="00DC0D75" w:rsidRPr="00B433A3">
          <w:rPr>
            <w:rStyle w:val="Hyperlink"/>
            <w:szCs w:val="24"/>
          </w:rPr>
          <w:t>https://www.itu.int/en/ITU</w:t>
        </w:r>
        <w:r w:rsidR="00DC0D75" w:rsidRPr="00B433A3">
          <w:rPr>
            <w:rStyle w:val="Hyperlink"/>
            <w:szCs w:val="24"/>
          </w:rPr>
          <w:noBreakHyphen/>
          <w:t>R/space/support/nonGSO/RES32/Pages/default.aspx</w:t>
        </w:r>
      </w:hyperlink>
      <w:r w:rsidR="00141818" w:rsidRPr="00B433A3">
        <w:t>.</w:t>
      </w:r>
    </w:p>
    <w:p w14:paraId="458A4889" w14:textId="22065D6A" w:rsidR="005B6A9C" w:rsidRPr="00B433A3" w:rsidRDefault="005B6A9C" w:rsidP="00B8343E">
      <w:pPr>
        <w:pStyle w:val="Heading3"/>
        <w:keepNext w:val="0"/>
        <w:keepLines w:val="0"/>
      </w:pPr>
      <w:r w:rsidRPr="00B433A3">
        <w:rPr>
          <w:szCs w:val="24"/>
        </w:rPr>
        <w:t>7.3.6</w:t>
      </w:r>
      <w:r w:rsidRPr="00B433A3">
        <w:tab/>
        <w:t>Passage de la Circulaire BR IFIC (services spatiaux) du support DVD à un mécanisme en ligne</w:t>
      </w:r>
    </w:p>
    <w:p w14:paraId="6F91E080" w14:textId="77777777" w:rsidR="00B8343E" w:rsidRDefault="005B6A9C" w:rsidP="00B8343E">
      <w:r w:rsidRPr="00B433A3">
        <w:t xml:space="preserve">Compte tenu de l'obsolescence de l'une des technologies logicielles utilisées actuellement pour la mise en œuvre du DVD de la BR IFIC (services spatiaux), le Bureau travaille sur un projet visant à faire passer la BR IFIC (services spatiaux) du support DVD à un mécanisme de distribution en ligne. Une étude préliminaire a été menée en 2021 et un prototype est en cours d'élaboration. Mettre la BR IFIC (services spatiaux) à disposition en ligne permettra de consulter et de télécharger ses </w:t>
      </w:r>
      <w:r w:rsidR="00B8343E">
        <w:br w:type="page"/>
      </w:r>
    </w:p>
    <w:p w14:paraId="650D7AB2" w14:textId="29710321" w:rsidR="005B6A9C" w:rsidRPr="00B433A3" w:rsidRDefault="005B6A9C" w:rsidP="00B8343E">
      <w:proofErr w:type="gramStart"/>
      <w:r w:rsidRPr="00B433A3">
        <w:lastRenderedPageBreak/>
        <w:t>sections</w:t>
      </w:r>
      <w:proofErr w:type="gramEnd"/>
      <w:r w:rsidRPr="00B433A3">
        <w:t xml:space="preserve"> spéciales et ses parties au format PDF et d'interroger les données relatives à toutes les publications qu'elle contient via une interface en ligne conviviale. En outre, un serveur sécurisé sera utilisé pour offrir des niveaux d'accès distincts aux différentes catégories d'utilisateurs.</w:t>
      </w:r>
    </w:p>
    <w:p w14:paraId="5128F114" w14:textId="77777777" w:rsidR="005B6A9C" w:rsidRPr="00B433A3" w:rsidRDefault="005B6A9C" w:rsidP="00B8343E">
      <w:pPr>
        <w:pStyle w:val="Heading3"/>
      </w:pPr>
      <w:r w:rsidRPr="00B433A3">
        <w:t>7.3.7</w:t>
      </w:r>
      <w:r w:rsidRPr="00B433A3">
        <w:tab/>
        <w:t>Améliorations relatives à l'installation du logiciel du BR pour les services spatiaux sur les ordinateurs des utilisateurs finals</w:t>
      </w:r>
    </w:p>
    <w:p w14:paraId="2AB5741E" w14:textId="77777777" w:rsidR="005B6A9C" w:rsidRPr="00B433A3" w:rsidRDefault="005B6A9C" w:rsidP="00B8343E">
      <w:r w:rsidRPr="00B433A3">
        <w:t xml:space="preserve">Sur la base des retours d'information fournis par plusieurs administrations, le BR a amélioré les modalités d'installation du logiciel du BR pour les services spatiaux sur les ordinateurs des utilisateurs finals, comme </w:t>
      </w:r>
      <w:proofErr w:type="gramStart"/>
      <w:r w:rsidRPr="00B433A3">
        <w:t>suit:</w:t>
      </w:r>
      <w:proofErr w:type="gramEnd"/>
    </w:p>
    <w:p w14:paraId="0E34734D" w14:textId="77777777" w:rsidR="005B6A9C" w:rsidRPr="00B433A3" w:rsidRDefault="005B6A9C" w:rsidP="00B8343E">
      <w:pPr>
        <w:pStyle w:val="enumlev1"/>
      </w:pPr>
      <w:r w:rsidRPr="00B433A3">
        <w:t>–</w:t>
      </w:r>
      <w:r w:rsidRPr="00B433A3">
        <w:tab/>
        <w:t>La signature numérique UIT est appliquée à toutes les composantes logicielles développées en interne.</w:t>
      </w:r>
    </w:p>
    <w:p w14:paraId="0D3800A1" w14:textId="77777777" w:rsidR="005B6A9C" w:rsidRPr="00B433A3" w:rsidRDefault="005B6A9C" w:rsidP="00B8343E">
      <w:pPr>
        <w:pStyle w:val="enumlev1"/>
      </w:pPr>
      <w:r w:rsidRPr="00B433A3">
        <w:t>–</w:t>
      </w:r>
      <w:r w:rsidRPr="00B433A3">
        <w:tab/>
        <w:t>Toutes les composantes logicielles sont régulièrement analysées pour détecter les virus.</w:t>
      </w:r>
    </w:p>
    <w:p w14:paraId="387CE80C" w14:textId="77777777" w:rsidR="005B6A9C" w:rsidRPr="00B433A3" w:rsidRDefault="005B6A9C" w:rsidP="00B8343E">
      <w:pPr>
        <w:pStyle w:val="enumlev1"/>
      </w:pPr>
      <w:r w:rsidRPr="00B433A3">
        <w:t>–</w:t>
      </w:r>
      <w:r w:rsidRPr="00B433A3">
        <w:tab/>
        <w:t>Toutes les composantes logicielles qui n'ont pas été développées par l'UIT sont soit signées numériquement par le fournisseur tiers, soit elles sont enregistrées et il est proposé qu'elles soient inscrites sur une liste blanche par le département informatique du côté de l'utilisateur final.</w:t>
      </w:r>
    </w:p>
    <w:p w14:paraId="2ADED9BF" w14:textId="77777777" w:rsidR="005B6A9C" w:rsidRPr="00B433A3" w:rsidRDefault="005B6A9C" w:rsidP="00B8343E">
      <w:pPr>
        <w:pStyle w:val="enumlev1"/>
      </w:pPr>
      <w:r w:rsidRPr="00B433A3">
        <w:t>–</w:t>
      </w:r>
      <w:r w:rsidRPr="00B433A3">
        <w:tab/>
        <w:t>Le programme d'installation respecte les conventions définies par Microsoft pour la dénomination des dossiers dans Windows.</w:t>
      </w:r>
    </w:p>
    <w:p w14:paraId="42542F81" w14:textId="693A6520" w:rsidR="005B6A9C" w:rsidRPr="00B433A3" w:rsidRDefault="005B6A9C" w:rsidP="00B8343E">
      <w:pPr>
        <w:pStyle w:val="enumlev1"/>
      </w:pPr>
      <w:r w:rsidRPr="00B433A3">
        <w:t>–</w:t>
      </w:r>
      <w:r w:rsidRPr="00B433A3">
        <w:tab/>
        <w:t>Le programme d'installation comprend un mode</w:t>
      </w:r>
      <w:proofErr w:type="gramStart"/>
      <w:r w:rsidRPr="00B433A3">
        <w:t xml:space="preserve"> «silencieux</w:t>
      </w:r>
      <w:proofErr w:type="gramEnd"/>
      <w:r w:rsidRPr="00B433A3">
        <w:t>» pour permettre aux départements informatiques des utilisateurs final d'automatiser l'installation.</w:t>
      </w:r>
    </w:p>
    <w:p w14:paraId="32AF4DC4" w14:textId="77777777" w:rsidR="005B6A9C" w:rsidRPr="00B433A3" w:rsidRDefault="005B6A9C" w:rsidP="00B8343E">
      <w:pPr>
        <w:pStyle w:val="Heading2"/>
      </w:pPr>
      <w:r w:rsidRPr="00B433A3">
        <w:t>7.4</w:t>
      </w:r>
      <w:r w:rsidRPr="00B433A3">
        <w:tab/>
      </w:r>
      <w:bookmarkStart w:id="67" w:name="lt_pId495"/>
      <w:r w:rsidRPr="00B433A3">
        <w:t>Développement de logiciels liés aux services de Terre et autres outils et logiciels du BR</w:t>
      </w:r>
      <w:bookmarkEnd w:id="67"/>
    </w:p>
    <w:p w14:paraId="0A47333F" w14:textId="77777777" w:rsidR="005B6A9C" w:rsidRPr="00B433A3" w:rsidRDefault="005B6A9C" w:rsidP="00B8343E">
      <w:pPr>
        <w:pStyle w:val="Heading3"/>
      </w:pPr>
      <w:r w:rsidRPr="00B433A3">
        <w:t>7.4.1</w:t>
      </w:r>
      <w:r w:rsidRPr="00B433A3">
        <w:tab/>
      </w:r>
      <w:bookmarkStart w:id="68" w:name="lt_pId497"/>
      <w:r w:rsidRPr="00B433A3">
        <w:t>Outils concernant le Règlement des radiocommunications</w:t>
      </w:r>
      <w:bookmarkEnd w:id="68"/>
    </w:p>
    <w:p w14:paraId="68859F99" w14:textId="77777777" w:rsidR="005B6A9C" w:rsidRPr="00B433A3" w:rsidRDefault="005B6A9C" w:rsidP="00B8343E">
      <w:bookmarkStart w:id="69" w:name="lt_pId498"/>
      <w:r w:rsidRPr="00B433A3">
        <w:t xml:space="preserve">Le Bureau continue d'actualiser et de tenir à jour les outils logiciels pour faciliter l'utilisation et l'analyse du </w:t>
      </w:r>
      <w:proofErr w:type="gramStart"/>
      <w:r w:rsidRPr="00B433A3">
        <w:t>RR:</w:t>
      </w:r>
      <w:bookmarkEnd w:id="69"/>
      <w:proofErr w:type="gramEnd"/>
    </w:p>
    <w:p w14:paraId="694894C2" w14:textId="77777777" w:rsidR="005B6A9C" w:rsidRPr="00B433A3" w:rsidRDefault="005B6A9C" w:rsidP="00B8343E">
      <w:pPr>
        <w:pStyle w:val="enumlev1"/>
      </w:pPr>
      <w:r w:rsidRPr="00B433A3">
        <w:t>a)</w:t>
      </w:r>
      <w:r w:rsidRPr="00B433A3">
        <w:tab/>
        <w:t>L'outil de navigation dans le Règlement des radiocommunications, rendu disponible au cours du deuxième trimestre de 2017, qui s'appuie sur la version actuellement utilisée du RR et des Recommandations UIT</w:t>
      </w:r>
      <w:r w:rsidRPr="00B433A3">
        <w:noBreakHyphen/>
        <w:t xml:space="preserve">R. </w:t>
      </w:r>
      <w:bookmarkStart w:id="70" w:name="_Hlk65228551"/>
      <w:r w:rsidRPr="00B433A3">
        <w:t>La version mise à jour comprenant les résultats de la CMR-19 et harmonisée avec les corpus de textes les plus récents (</w:t>
      </w:r>
      <w:bookmarkEnd w:id="70"/>
      <w:r w:rsidRPr="00B433A3">
        <w:rPr>
          <w:szCs w:val="24"/>
        </w:rPr>
        <w:t xml:space="preserve">édition de 2020 du RR, Recommandations UIT-R, Règles de procédure, etc.) a été achevée. Elle a été publiée durant le dernier trimestre de 2021 et est désormais disponible au téléchargement et à la vente sur le site web du Service des ventes de l'UIT. </w:t>
      </w:r>
      <w:bookmarkStart w:id="71" w:name="lt_pId501"/>
      <w:r w:rsidRPr="00B433A3">
        <w:t>Chaque année, des mises à jour gratuites seront proposées pour tenir compte de la dernière version disponible des Règles de procédure, le cas échéant.</w:t>
      </w:r>
      <w:bookmarkEnd w:id="71"/>
    </w:p>
    <w:p w14:paraId="207FD110" w14:textId="77777777" w:rsidR="005B6A9C" w:rsidRPr="00B433A3" w:rsidRDefault="005B6A9C" w:rsidP="00B8343E">
      <w:pPr>
        <w:pStyle w:val="enumlev1"/>
      </w:pPr>
      <w:r w:rsidRPr="00B433A3">
        <w:t>b)</w:t>
      </w:r>
      <w:r w:rsidRPr="00B433A3">
        <w:tab/>
        <w:t xml:space="preserve">L'outil logiciel permettant d'effectuer des recherches et </w:t>
      </w:r>
      <w:proofErr w:type="gramStart"/>
      <w:r w:rsidRPr="00B433A3">
        <w:t>une analyse détaillées</w:t>
      </w:r>
      <w:proofErr w:type="gramEnd"/>
      <w:r w:rsidRPr="00B433A3">
        <w:t xml:space="preserve"> dans le Tableau d'attribution des bandes de fréquences de l'Article 5 du Règlement des radiocommunications, avec filtrage et reformatage en fonction de la gamme de fréquences, du service, de la catégorie de service, du renvoi, du pays, etc. </w:t>
      </w:r>
      <w:bookmarkStart w:id="72" w:name="lt_pId503"/>
      <w:r w:rsidRPr="00B433A3">
        <w:t>Cet outil a été mis à jour compte tenu des résultats de la CMR-19 et de l'édition de 2020 du RR, afin d'apporter les changements concernant les attributions de fréquences, les renvois relatifs à des pays et les références connexes aux Résolutions et aux Recommandations concernées.</w:t>
      </w:r>
      <w:bookmarkEnd w:id="72"/>
      <w:r w:rsidRPr="00B433A3">
        <w:rPr>
          <w:szCs w:val="24"/>
        </w:rPr>
        <w:t xml:space="preserve"> La version mise à jour inclut désormais des liens renvoyant vers les Recommandations UIT-R pertinentes dont il est fait mention dans l'Article 5 du RR, ainsi que vers les Règles de procédure qui s'appliquent. Elle est également équipée d'un utilitaire permettant d'extraire le Tableau national d'attribution des bandes de fréquences pour un pays donné, dans la mesure où ce tableau résulte d'une combinaison des diverses dispositions de l'Article 5 du RR. Tout au long de 2021, cet outil a fait l'objet de démonstrations durant plusieurs séminaires </w:t>
      </w:r>
      <w:r w:rsidRPr="00B433A3">
        <w:rPr>
          <w:szCs w:val="24"/>
        </w:rPr>
        <w:lastRenderedPageBreak/>
        <w:t>régionaux sur les radiocommunications. Il est disponible à la vente sur le site web du Service des ventes de l'UIT</w:t>
      </w:r>
      <w:bookmarkStart w:id="73" w:name="lt_pId505"/>
      <w:r w:rsidRPr="00B433A3">
        <w:rPr>
          <w:szCs w:val="24"/>
        </w:rPr>
        <w:t xml:space="preserve">. </w:t>
      </w:r>
      <w:r w:rsidRPr="00B433A3">
        <w:t>Toutes les mises à jour logicielles et de données seront proposées aux abonnés gratuitement et à intervalles réguliers, jusqu'à la CMR-23.</w:t>
      </w:r>
      <w:bookmarkEnd w:id="73"/>
    </w:p>
    <w:p w14:paraId="62840C95" w14:textId="77777777" w:rsidR="005B6A9C" w:rsidRPr="00B433A3" w:rsidRDefault="005B6A9C" w:rsidP="00B8343E">
      <w:pPr>
        <w:pStyle w:val="Heading3"/>
      </w:pPr>
      <w:r w:rsidRPr="00B433A3">
        <w:t>7.4.2</w:t>
      </w:r>
      <w:r w:rsidRPr="00B433A3">
        <w:tab/>
      </w:r>
      <w:bookmarkStart w:id="74" w:name="lt_pId507"/>
      <w:r w:rsidRPr="00B433A3">
        <w:t>Nouvelles améliorations apportées aux outils web</w:t>
      </w:r>
      <w:bookmarkEnd w:id="74"/>
    </w:p>
    <w:p w14:paraId="7EE38BB0" w14:textId="2F02A26E" w:rsidR="005B6A9C" w:rsidRPr="00B433A3" w:rsidRDefault="005B6A9C" w:rsidP="00B8343E">
      <w:pPr>
        <w:rPr>
          <w:szCs w:val="24"/>
        </w:rPr>
      </w:pPr>
      <w:r w:rsidRPr="00B433A3">
        <w:rPr>
          <w:szCs w:val="24"/>
        </w:rPr>
        <w:t xml:space="preserve">Les outils en ligne </w:t>
      </w:r>
      <w:proofErr w:type="spellStart"/>
      <w:r w:rsidRPr="00B433A3">
        <w:rPr>
          <w:szCs w:val="24"/>
        </w:rPr>
        <w:t>eBroadcasting</w:t>
      </w:r>
      <w:proofErr w:type="spellEnd"/>
      <w:r w:rsidRPr="00B433A3">
        <w:rPr>
          <w:szCs w:val="24"/>
        </w:rPr>
        <w:t xml:space="preserve"> (anciennement eBCD2.0) et </w:t>
      </w:r>
      <w:proofErr w:type="spellStart"/>
      <w:r w:rsidRPr="00B433A3">
        <w:rPr>
          <w:color w:val="000000"/>
        </w:rPr>
        <w:t>eMIFR</w:t>
      </w:r>
      <w:proofErr w:type="spellEnd"/>
      <w:r w:rsidRPr="00B433A3">
        <w:rPr>
          <w:szCs w:val="24"/>
        </w:rPr>
        <w:t xml:space="preserve"> ont été intégrés dans le portail des services de Terre en ligne, mis en œuvre au moyen des toutes dernières technologies web, et mis en exploitation en décembre 2020. L'outil de validation en ligne (rebaptisé </w:t>
      </w:r>
      <w:proofErr w:type="spellStart"/>
      <w:r w:rsidRPr="00B433A3">
        <w:rPr>
          <w:szCs w:val="24"/>
        </w:rPr>
        <w:t>eValidation</w:t>
      </w:r>
      <w:proofErr w:type="spellEnd"/>
      <w:r w:rsidRPr="00B433A3">
        <w:rPr>
          <w:szCs w:val="24"/>
        </w:rPr>
        <w:t xml:space="preserve">) a été intégré au dernier trimestre de 2021 et de nouvelles fonctionnalités ont été introduites, notamment un tableau de bord, pour permettre au BR et aux utilisateurs de suivre leurs activités. Les outils </w:t>
      </w:r>
      <w:proofErr w:type="spellStart"/>
      <w:r w:rsidRPr="00B433A3">
        <w:rPr>
          <w:szCs w:val="24"/>
        </w:rPr>
        <w:t>eBroadcasting</w:t>
      </w:r>
      <w:proofErr w:type="spellEnd"/>
      <w:r w:rsidRPr="00B433A3">
        <w:rPr>
          <w:szCs w:val="24"/>
        </w:rPr>
        <w:t xml:space="preserve"> développés pour prendre en charge le processus d'optimisation du Plan</w:t>
      </w:r>
      <w:r w:rsidR="00DC0D75" w:rsidRPr="00B433A3">
        <w:rPr>
          <w:szCs w:val="24"/>
        </w:rPr>
        <w:t> </w:t>
      </w:r>
      <w:r w:rsidRPr="00B433A3">
        <w:rPr>
          <w:szCs w:val="24"/>
        </w:rPr>
        <w:t xml:space="preserve">GE84 ont contribué au succès de cette activité. Des cartes sont utilisées grâce à la bibliothèque à code source ouvert </w:t>
      </w:r>
      <w:proofErr w:type="spellStart"/>
      <w:r w:rsidRPr="00B433A3">
        <w:rPr>
          <w:szCs w:val="24"/>
        </w:rPr>
        <w:t>OpenLayers</w:t>
      </w:r>
      <w:proofErr w:type="spellEnd"/>
      <w:r w:rsidRPr="00B433A3">
        <w:rPr>
          <w:szCs w:val="24"/>
        </w:rPr>
        <w:t>, qui a été choisie par le Groupe d'action du BR (voir la section</w:t>
      </w:r>
      <w:r w:rsidR="00DC0D75" w:rsidRPr="00B433A3">
        <w:rPr>
          <w:szCs w:val="24"/>
        </w:rPr>
        <w:t> </w:t>
      </w:r>
      <w:r w:rsidRPr="00B433A3">
        <w:rPr>
          <w:szCs w:val="24"/>
        </w:rPr>
        <w:t>7.4.4).</w:t>
      </w:r>
    </w:p>
    <w:p w14:paraId="7A72DDCA" w14:textId="77777777" w:rsidR="005B6A9C" w:rsidRPr="00B433A3" w:rsidRDefault="005B6A9C" w:rsidP="00B8343E">
      <w:pPr>
        <w:pStyle w:val="Heading3"/>
      </w:pPr>
      <w:r w:rsidRPr="00B433A3">
        <w:t>7.4.3</w:t>
      </w:r>
      <w:r w:rsidRPr="00B433A3">
        <w:tab/>
      </w:r>
      <w:bookmarkStart w:id="75" w:name="lt_pId512"/>
      <w:r w:rsidRPr="00B433A3">
        <w:t>Logiciel d'analyse de compatibilité pour la radiodiffusion sonore à modulation de fréquence – Optimisation du Plan GE84</w:t>
      </w:r>
      <w:bookmarkEnd w:id="75"/>
    </w:p>
    <w:p w14:paraId="23B37C28" w14:textId="77777777" w:rsidR="005B6A9C" w:rsidRPr="00B433A3" w:rsidRDefault="005B6A9C" w:rsidP="00B8343E">
      <w:bookmarkStart w:id="76" w:name="_Hlk65228843"/>
      <w:bookmarkStart w:id="77" w:name="lt_pId513"/>
      <w:r w:rsidRPr="00B433A3">
        <w:t xml:space="preserve">En 2021, le BR a déployé un outil en ligne </w:t>
      </w:r>
      <w:proofErr w:type="spellStart"/>
      <w:r w:rsidRPr="00B433A3">
        <w:t>eBroadcasting</w:t>
      </w:r>
      <w:proofErr w:type="spellEnd"/>
      <w:r w:rsidRPr="00B433A3">
        <w:t xml:space="preserve"> pour l'optimisation du Plan GE84 (radiodiffusion à modulation de fréquence) en Afrique</w:t>
      </w:r>
      <w:bookmarkEnd w:id="76"/>
      <w:r w:rsidRPr="00B433A3">
        <w:t>, dans la bande de fréquences 87,5-108 MHz</w:t>
      </w:r>
      <w:bookmarkEnd w:id="77"/>
      <w:r w:rsidRPr="00B433A3">
        <w:t>, à savoir l'outil d'optimisation du Plan GE84. Cet outil permet d'effectuer des calculs de compatibilité sur la base de l'Accord GE84 et d'évaluer les incompatibilités s'agissant de toutes les fréquences comprises dans la bande relevant du Plan GE84. L'objectif est d'identifier d'éventuels nouveaux canaux compte tenu des calculs relatifs aux brouillages subis et causés vis-à-vis des inscriptions dans le Plan GE84 et de tout autre besoin de fréquences qui pourrait être soumis à des fins d'analyse. Cet outil, qui intègre de puissantes capacités de mise en correspondance, sert de base à l'optimisation de la bande FM en Afrique. Il a été mis à la disposition de toutes les administrations parties à l'Accord GE84.</w:t>
      </w:r>
    </w:p>
    <w:p w14:paraId="37AEC20E" w14:textId="77777777" w:rsidR="005B6A9C" w:rsidRPr="00B433A3" w:rsidRDefault="005B6A9C" w:rsidP="00B8343E">
      <w:pPr>
        <w:rPr>
          <w:sz w:val="22"/>
          <w:lang w:eastAsia="zh-CN"/>
        </w:rPr>
      </w:pPr>
      <w:r w:rsidRPr="00B433A3">
        <w:t>En 2021, les outils d'optimisation du Plan GE84 et d'analyse de compatibilité ont été améliorés afin d'offrir une nouvelle fonctionnalité permettant d'évaluer la prévision des brouillages de point à point en utilisant la méthode décrite dans la Recommandation UIT-R P.1812, associée à une carte topographique numérique (SRTM3) dotée d'une résolution de 90 m.</w:t>
      </w:r>
    </w:p>
    <w:p w14:paraId="46575D6A" w14:textId="77777777" w:rsidR="005B6A9C" w:rsidRPr="00B433A3" w:rsidRDefault="005B6A9C" w:rsidP="00B8343E">
      <w:pPr>
        <w:pStyle w:val="Heading3"/>
      </w:pPr>
      <w:r w:rsidRPr="00B433A3">
        <w:t>7.4.4</w:t>
      </w:r>
      <w:r w:rsidRPr="00B433A3">
        <w:tab/>
      </w:r>
      <w:bookmarkStart w:id="78" w:name="lt_pId519"/>
      <w:r w:rsidRPr="00B433A3">
        <w:rPr>
          <w:lang w:eastAsia="zh-CN"/>
        </w:rPr>
        <w:t>Systèmes d'information géographique du BR</w:t>
      </w:r>
      <w:bookmarkEnd w:id="78"/>
    </w:p>
    <w:p w14:paraId="20A78C8B" w14:textId="77777777" w:rsidR="005B6A9C" w:rsidRPr="00B433A3" w:rsidRDefault="005B6A9C" w:rsidP="00B8343E">
      <w:bookmarkStart w:id="79" w:name="lt_pId520"/>
      <w:r w:rsidRPr="00B433A3">
        <w:t>Le Groupe d'action du BR sur les systèmes d'information géographique (GIS), composé de fonctionnaires issus de tous les départements du BR, a été mis sur pied afin d'harmoniser les activités relatives à ces systèmes au sein du BR.</w:t>
      </w:r>
      <w:bookmarkEnd w:id="79"/>
      <w:r w:rsidRPr="00B433A3">
        <w:t xml:space="preserve"> </w:t>
      </w:r>
      <w:bookmarkStart w:id="80" w:name="lt_pId521"/>
      <w:r w:rsidRPr="00B433A3">
        <w:t xml:space="preserve">L'un des premiers travaux du groupe consistait à mettre en œuvre la plate-forme GIS du BR en utilisant </w:t>
      </w:r>
      <w:proofErr w:type="spellStart"/>
      <w:r w:rsidRPr="00B433A3">
        <w:t>GeoServer</w:t>
      </w:r>
      <w:proofErr w:type="spellEnd"/>
      <w:r w:rsidRPr="00B433A3">
        <w:t>.</w:t>
      </w:r>
      <w:bookmarkEnd w:id="80"/>
      <w:r w:rsidRPr="00B433A3">
        <w:t xml:space="preserve"> </w:t>
      </w:r>
      <w:bookmarkStart w:id="81" w:name="lt_pId522"/>
      <w:r w:rsidRPr="00B433A3">
        <w:t xml:space="preserve">Actuellement, le groupe a pour tâche d'assurer le transfert, vers ce serveur, de toutes les données </w:t>
      </w:r>
      <w:proofErr w:type="spellStart"/>
      <w:r w:rsidRPr="00B433A3">
        <w:t>radiométéorologiques</w:t>
      </w:r>
      <w:proofErr w:type="spellEnd"/>
      <w:r w:rsidRPr="00B433A3">
        <w:t xml:space="preserve"> pertinentes (catalogue des données géospatiales) et d'autres ensembles de données pertinents qui sont en ce moment dans la Carte mondiale numérisée de l'UIT (IDWM).</w:t>
      </w:r>
      <w:bookmarkEnd w:id="81"/>
      <w:r w:rsidRPr="00B433A3">
        <w:t xml:space="preserve"> </w:t>
      </w:r>
      <w:bookmarkStart w:id="82" w:name="lt_pId523"/>
      <w:r w:rsidRPr="00B433A3">
        <w:t xml:space="preserve">Ces données seront mises à la disposition des utilisateurs via des services web homologués par l'Open </w:t>
      </w:r>
      <w:proofErr w:type="spellStart"/>
      <w:r w:rsidRPr="00B433A3">
        <w:t>Geospatial</w:t>
      </w:r>
      <w:proofErr w:type="spellEnd"/>
      <w:r w:rsidRPr="00B433A3">
        <w:t xml:space="preserve"> Consortium (OGC).</w:t>
      </w:r>
      <w:bookmarkEnd w:id="82"/>
      <w:r w:rsidRPr="00B433A3">
        <w:t xml:space="preserve"> </w:t>
      </w:r>
      <w:bookmarkStart w:id="83" w:name="lt_pId524"/>
      <w:r w:rsidRPr="00B433A3">
        <w:t xml:space="preserve">À l'heure actuelle, le BR met en œuvre des fonctionnalités GIS dans ses outils web au moyen de la bibliothèque à code source ouvert </w:t>
      </w:r>
      <w:proofErr w:type="spellStart"/>
      <w:r w:rsidRPr="00B433A3">
        <w:t>OpenLayers</w:t>
      </w:r>
      <w:proofErr w:type="spellEnd"/>
      <w:r w:rsidRPr="00B433A3">
        <w:t>.</w:t>
      </w:r>
      <w:bookmarkStart w:id="84" w:name="lt_pId525"/>
      <w:bookmarkEnd w:id="83"/>
    </w:p>
    <w:p w14:paraId="56C76C96" w14:textId="61BD9974" w:rsidR="005B6A9C" w:rsidRPr="00B433A3" w:rsidRDefault="005B6A9C" w:rsidP="00B8343E">
      <w:r w:rsidRPr="00B433A3">
        <w:t>L'UIT est membre du réseau du système des Nations Unies pour les questions géospatiales, une coalition de diverses entités du système des Nations Unies dont la tâche est de renforcer la coordination et la cohérence dans la gestion de l'information géospatiale à l'échelle des Nations</w:t>
      </w:r>
      <w:r w:rsidR="00624C8E" w:rsidRPr="00B433A3">
        <w:t> </w:t>
      </w:r>
      <w:r w:rsidRPr="00B433A3">
        <w:t>Unies.</w:t>
      </w:r>
      <w:bookmarkEnd w:id="84"/>
      <w:r w:rsidRPr="00B433A3">
        <w:t xml:space="preserve"> </w:t>
      </w:r>
      <w:bookmarkStart w:id="85" w:name="lt_pId526"/>
      <w:r w:rsidRPr="00B433A3">
        <w:t>Le BR participe à la commission de direction de ce réseau et dirige le Groupe d'action intersectoriel de l'UIT sur la gestion de l'information géospatiale.</w:t>
      </w:r>
      <w:bookmarkEnd w:id="85"/>
    </w:p>
    <w:p w14:paraId="3B9DAA42" w14:textId="77777777" w:rsidR="005B6A9C" w:rsidRPr="00B433A3" w:rsidRDefault="005B6A9C" w:rsidP="00B8343E">
      <w:pPr>
        <w:pStyle w:val="Heading2"/>
      </w:pPr>
      <w:r w:rsidRPr="00B433A3">
        <w:lastRenderedPageBreak/>
        <w:t>7.5</w:t>
      </w:r>
      <w:r w:rsidRPr="00B433A3">
        <w:tab/>
      </w:r>
      <w:bookmarkStart w:id="86" w:name="lt_pId447"/>
      <w:r w:rsidRPr="00B433A3">
        <w:t>Continuité des activités et rétablissement après une catastrophe (pour les services spatiaux et les services de Terre)</w:t>
      </w:r>
      <w:bookmarkEnd w:id="86"/>
    </w:p>
    <w:p w14:paraId="2A9971CE" w14:textId="77777777" w:rsidR="005B6A9C" w:rsidRPr="00B433A3" w:rsidRDefault="005B6A9C" w:rsidP="00B8343E">
      <w:bookmarkStart w:id="87" w:name="lt_pId449"/>
      <w:r w:rsidRPr="00B433A3">
        <w:t>Les travaux visant à renforcer davantage le cadre UIT de gestion des risques se sont poursuivis en 2021, et le BR a participé pleinement aux activités du Groupe de travail du Groupe d'action intersectoriel sur la gestion des risques.</w:t>
      </w:r>
      <w:bookmarkEnd w:id="87"/>
      <w:r w:rsidRPr="00B433A3">
        <w:t xml:space="preserve"> En outre, la direction du BR a participé à plusieurs réunions d'atelier organisées par le Coordonnateur pour le Système de gestion de la résilience de l'organisation (ORMS) de l'UIT et faisant intervenir un cabinet de conseil indépendant spécialisé dans la modélisation des relations entre les fonctions essentielles pour les opérations au moyen d'une version augmentée sur mesure de la notation de modélisation de processus administratif (BPM). Cette activité se poursuivra avec des réunions de formation en mai 2022.</w:t>
      </w:r>
    </w:p>
    <w:p w14:paraId="5BAFBEC8" w14:textId="77777777" w:rsidR="005B6A9C" w:rsidRPr="00B433A3" w:rsidRDefault="005B6A9C" w:rsidP="00B8343E">
      <w:pPr>
        <w:pStyle w:val="Heading1"/>
        <w:rPr>
          <w:i/>
          <w:iCs/>
        </w:rPr>
      </w:pPr>
      <w:bookmarkStart w:id="88" w:name="_Toc446060776"/>
      <w:r w:rsidRPr="00B433A3">
        <w:t>8</w:t>
      </w:r>
      <w:r w:rsidRPr="00B433A3">
        <w:tab/>
      </w:r>
      <w:bookmarkEnd w:id="88"/>
      <w:r w:rsidRPr="00B433A3">
        <w:t>Sensibilisation des membres</w:t>
      </w:r>
    </w:p>
    <w:p w14:paraId="0036DB6C" w14:textId="77777777" w:rsidR="005B6A9C" w:rsidRPr="00B433A3" w:rsidRDefault="005B6A9C" w:rsidP="00B8343E">
      <w:bookmarkStart w:id="89" w:name="lt_pId530"/>
      <w:r w:rsidRPr="00B433A3">
        <w:t xml:space="preserve">Au nombre des activités d'ouverture sur l'extérieur figurent la diffusion d'informations et l'assistance aux membres, la publication des produits de l'UIT-R, l'organisation de séminaires et d'ateliers et la participation à ces manifestations ainsi que l'élaboration et la tenue à jour d'outils de communication et de promotion. </w:t>
      </w:r>
      <w:bookmarkEnd w:id="89"/>
      <w:r w:rsidRPr="00B433A3">
        <w:t>L'objectif de ces activités est de faire en sorte que les produits résultant des activités menées par le Secteur de l'UIT-R (dispositions réglementaires, Recommandations, Rapports et Manuels) soient diffusés dans le monde entier afin de pouvoir servir de base à la formulation de politiques générales et à la prise de décisions aux niveaux national et régional concernant l'utilisation du spectre radioélectrique. Pour mener à bien ces activités, le BR assure une collaboration étroite avec les autres Bureaux et Secteurs, les bureaux régionaux et les bureaux de zone de l'UIT, ainsi que les organisations internationales ou les autorités nationales concernées.</w:t>
      </w:r>
    </w:p>
    <w:p w14:paraId="538C6CC4" w14:textId="77777777" w:rsidR="005B6A9C" w:rsidRPr="00B433A3" w:rsidRDefault="005B6A9C" w:rsidP="00B8343E">
      <w:pPr>
        <w:pStyle w:val="Heading2"/>
      </w:pPr>
      <w:bookmarkStart w:id="90" w:name="_Toc446060777"/>
      <w:bookmarkStart w:id="91" w:name="_Toc424047595"/>
      <w:bookmarkStart w:id="92" w:name="_Toc418232294"/>
      <w:bookmarkStart w:id="93" w:name="_Toc418163376"/>
      <w:r w:rsidRPr="00B433A3">
        <w:t>8.1</w:t>
      </w:r>
      <w:r w:rsidRPr="00B433A3">
        <w:tab/>
      </w:r>
      <w:bookmarkStart w:id="94" w:name="lt_pId533"/>
      <w:r w:rsidRPr="00B433A3">
        <w:t>Publications</w:t>
      </w:r>
      <w:bookmarkEnd w:id="90"/>
      <w:bookmarkEnd w:id="91"/>
      <w:bookmarkEnd w:id="92"/>
      <w:bookmarkEnd w:id="93"/>
      <w:bookmarkEnd w:id="94"/>
    </w:p>
    <w:p w14:paraId="4D356D53" w14:textId="77777777" w:rsidR="005B6A9C" w:rsidRPr="00B433A3" w:rsidRDefault="005B6A9C" w:rsidP="00B8343E">
      <w:pPr>
        <w:pStyle w:val="Heading3"/>
      </w:pPr>
      <w:bookmarkStart w:id="95" w:name="_Toc424047596"/>
      <w:bookmarkStart w:id="96" w:name="_Toc446060778"/>
      <w:r w:rsidRPr="00B433A3">
        <w:t>8.1.1</w:t>
      </w:r>
      <w:r w:rsidRPr="00B433A3">
        <w:tab/>
      </w:r>
      <w:bookmarkEnd w:id="95"/>
      <w:bookmarkEnd w:id="96"/>
      <w:r w:rsidRPr="00B433A3">
        <w:t>Publications réglementaires</w:t>
      </w:r>
    </w:p>
    <w:p w14:paraId="15AFF461" w14:textId="77777777" w:rsidR="005B6A9C" w:rsidRPr="00B433A3" w:rsidRDefault="005B6A9C" w:rsidP="00B8343E">
      <w:pPr>
        <w:rPr>
          <w:bCs/>
          <w:i/>
          <w:iCs/>
        </w:rPr>
      </w:pPr>
      <w:r w:rsidRPr="00B433A3">
        <w:rPr>
          <w:bCs/>
          <w:i/>
          <w:iCs/>
        </w:rPr>
        <w:t>Règlement des radiocommunications et Règles de procédures</w:t>
      </w:r>
    </w:p>
    <w:p w14:paraId="1A3EDDF2" w14:textId="77777777" w:rsidR="005B6A9C" w:rsidRPr="00B433A3" w:rsidRDefault="005B6A9C" w:rsidP="00B8343E">
      <w:pPr>
        <w:rPr>
          <w:rFonts w:cs="Segoe UI"/>
          <w:b/>
          <w:bCs/>
          <w:color w:val="000000" w:themeColor="text1"/>
        </w:rPr>
      </w:pPr>
      <w:bookmarkStart w:id="97" w:name="lt_pId537"/>
      <w:r w:rsidRPr="00B433A3">
        <w:t>L'édition de 2020 du Règlement des radiocommunications a été publiée en septembre 2020. Après la Conférence mondiale des radiocommunications de 2019, une édition de 2021 des Règles de procédure a été publiée. Une version mise à jour a été publiée depuis (en octobre 2021).</w:t>
      </w:r>
      <w:bookmarkEnd w:id="97"/>
      <w:r w:rsidRPr="00B433A3">
        <w:t xml:space="preserve"> </w:t>
      </w:r>
    </w:p>
    <w:p w14:paraId="78D542EF" w14:textId="77777777" w:rsidR="005B6A9C" w:rsidRPr="00B433A3" w:rsidRDefault="005B6A9C" w:rsidP="00B8343E">
      <w:pPr>
        <w:rPr>
          <w:bCs/>
        </w:rPr>
      </w:pPr>
      <w:bookmarkStart w:id="98" w:name="lt_pId539"/>
      <w:r w:rsidRPr="00B433A3">
        <w:rPr>
          <w:bCs/>
        </w:rPr>
        <w:t xml:space="preserve">Le BR a aussi publié, chaque année, 11 </w:t>
      </w:r>
      <w:r w:rsidRPr="00B433A3">
        <w:rPr>
          <w:color w:val="000000"/>
        </w:rPr>
        <w:t>horaires saisonniers de radiodiffusion en ondes décamétriques (HFBC)</w:t>
      </w:r>
      <w:r w:rsidRPr="00B433A3">
        <w:rPr>
          <w:bCs/>
        </w:rPr>
        <w:t xml:space="preserve">, conformément à l'Article </w:t>
      </w:r>
      <w:r w:rsidRPr="00B433A3">
        <w:rPr>
          <w:b/>
        </w:rPr>
        <w:t>12</w:t>
      </w:r>
      <w:bookmarkEnd w:id="98"/>
      <w:r w:rsidRPr="00B433A3">
        <w:rPr>
          <w:bCs/>
        </w:rPr>
        <w:t xml:space="preserve"> du RR.</w:t>
      </w:r>
    </w:p>
    <w:p w14:paraId="2875C99B" w14:textId="77777777" w:rsidR="005B6A9C" w:rsidRPr="00B433A3" w:rsidRDefault="005B6A9C" w:rsidP="00B8343E">
      <w:pPr>
        <w:pStyle w:val="Heading3"/>
      </w:pPr>
      <w:bookmarkStart w:id="99" w:name="_Toc424047597"/>
      <w:bookmarkStart w:id="100" w:name="_Toc446060779"/>
      <w:r w:rsidRPr="00B433A3">
        <w:t>8.1.2</w:t>
      </w:r>
      <w:r w:rsidRPr="00B433A3">
        <w:tab/>
      </w:r>
      <w:bookmarkEnd w:id="99"/>
      <w:bookmarkEnd w:id="100"/>
      <w:r w:rsidRPr="00B433A3">
        <w:t>Publications de service</w:t>
      </w:r>
    </w:p>
    <w:p w14:paraId="49C3FFAC" w14:textId="77777777" w:rsidR="005B6A9C" w:rsidRPr="00B433A3" w:rsidRDefault="005B6A9C" w:rsidP="00B8343E">
      <w:pPr>
        <w:pStyle w:val="Heading4"/>
        <w:rPr>
          <w:i/>
          <w:iCs/>
        </w:rPr>
      </w:pPr>
      <w:r w:rsidRPr="00B433A3">
        <w:t>8.1.2.1</w:t>
      </w:r>
      <w:r w:rsidRPr="00B433A3">
        <w:tab/>
      </w:r>
      <w:r w:rsidRPr="00B433A3">
        <w:rPr>
          <w:color w:val="000000"/>
        </w:rPr>
        <w:t>Rappel et observations générales</w:t>
      </w:r>
    </w:p>
    <w:p w14:paraId="7F344472" w14:textId="77777777" w:rsidR="005B6A9C" w:rsidRPr="00B433A3" w:rsidRDefault="005B6A9C" w:rsidP="00B8343E">
      <w:r w:rsidRPr="00B433A3">
        <w:t>Le Bureau élabore et publie diverses publications de service, comme indiqué dans l'Article 20 du Règlement des radiocommunications.</w:t>
      </w:r>
    </w:p>
    <w:p w14:paraId="1332B6E3" w14:textId="14030330" w:rsidR="005B6A9C" w:rsidRPr="00B433A3" w:rsidRDefault="0063237C" w:rsidP="00B8343E">
      <w:pPr>
        <w:pStyle w:val="enumlev1"/>
      </w:pPr>
      <w:r w:rsidRPr="00B433A3">
        <w:t>–</w:t>
      </w:r>
      <w:r w:rsidR="005B6A9C" w:rsidRPr="00B433A3">
        <w:tab/>
      </w:r>
      <w:r w:rsidR="005B6A9C" w:rsidRPr="00B433A3">
        <w:rPr>
          <w:szCs w:val="24"/>
        </w:rPr>
        <w:t xml:space="preserve">BR IFIC – </w:t>
      </w:r>
      <w:r w:rsidR="005B6A9C" w:rsidRPr="00B433A3">
        <w:rPr>
          <w:color w:val="000000"/>
        </w:rPr>
        <w:t>Circulaire internationale d'information sur les fréquences</w:t>
      </w:r>
      <w:r w:rsidR="005B6A9C" w:rsidRPr="00B433A3">
        <w:rPr>
          <w:szCs w:val="24"/>
        </w:rPr>
        <w:t>.</w:t>
      </w:r>
    </w:p>
    <w:p w14:paraId="1B9EE47B" w14:textId="39AF222D" w:rsidR="005B6A9C" w:rsidRPr="00B433A3" w:rsidRDefault="0063237C" w:rsidP="00B8343E">
      <w:pPr>
        <w:pStyle w:val="enumlev1"/>
      </w:pPr>
      <w:r w:rsidRPr="00B433A3">
        <w:t>–</w:t>
      </w:r>
      <w:r w:rsidR="005B6A9C" w:rsidRPr="00B433A3">
        <w:tab/>
        <w:t>Liste IV – Nomenclature des stations côtières et des stations effectuant des services spéciaux.</w:t>
      </w:r>
    </w:p>
    <w:p w14:paraId="39AFF722" w14:textId="4DE81269" w:rsidR="005B6A9C" w:rsidRPr="00B433A3" w:rsidRDefault="0063237C" w:rsidP="00B8343E">
      <w:pPr>
        <w:pStyle w:val="enumlev1"/>
      </w:pPr>
      <w:r w:rsidRPr="00B433A3">
        <w:t>–</w:t>
      </w:r>
      <w:r w:rsidR="005B6A9C" w:rsidRPr="00B433A3">
        <w:tab/>
        <w:t>Liste V – Nomenclature des stations de navire et des identités du service mobile maritime assignées.</w:t>
      </w:r>
    </w:p>
    <w:p w14:paraId="2EA8B2E3" w14:textId="3F03569F" w:rsidR="005B6A9C" w:rsidRPr="00B433A3" w:rsidRDefault="0063237C" w:rsidP="00B8343E">
      <w:pPr>
        <w:pStyle w:val="enumlev1"/>
      </w:pPr>
      <w:r w:rsidRPr="00B433A3">
        <w:t>–</w:t>
      </w:r>
      <w:r w:rsidR="005B6A9C" w:rsidRPr="00B433A3">
        <w:tab/>
        <w:t>Liste VIII – Nomenclature des stations de contrôle international des émissions.</w:t>
      </w:r>
    </w:p>
    <w:p w14:paraId="18E378A6" w14:textId="03D0FE28" w:rsidR="005B6A9C" w:rsidRPr="00B433A3" w:rsidRDefault="0063237C" w:rsidP="00B8343E">
      <w:pPr>
        <w:pStyle w:val="enumlev1"/>
        <w:rPr>
          <w:b/>
        </w:rPr>
      </w:pPr>
      <w:r w:rsidRPr="00B433A3">
        <w:t>–</w:t>
      </w:r>
      <w:r w:rsidR="005B6A9C" w:rsidRPr="00B433A3">
        <w:tab/>
        <w:t>Manuel à l'usage des services mobile maritime et mobile maritime par satellite.</w:t>
      </w:r>
    </w:p>
    <w:p w14:paraId="69982509" w14:textId="77777777" w:rsidR="005B6A9C" w:rsidRPr="00B433A3" w:rsidRDefault="005B6A9C" w:rsidP="00B8343E">
      <w:pPr>
        <w:pStyle w:val="Heading4"/>
        <w:rPr>
          <w:i/>
          <w:iCs/>
        </w:rPr>
      </w:pPr>
      <w:r w:rsidRPr="00B433A3">
        <w:lastRenderedPageBreak/>
        <w:t>8.1.2.2</w:t>
      </w:r>
      <w:r w:rsidRPr="00B433A3">
        <w:tab/>
        <w:t>Nomenclature des stations côtières et des stations effectuant des services spéciaux – Liste IV</w:t>
      </w:r>
    </w:p>
    <w:p w14:paraId="0CD1B4F9" w14:textId="77777777" w:rsidR="005B6A9C" w:rsidRPr="00B433A3" w:rsidRDefault="005B6A9C" w:rsidP="00B8343E">
      <w:bookmarkStart w:id="101" w:name="lt_pId552"/>
      <w:r w:rsidRPr="00B433A3">
        <w:t>Cette Liste contient les informations communiquées à l'UIT (indicatif d'appel, MMSI, coordonnées géographiques, fréquences d'émission et de réception, etc.) concernant les stations côtières qui assurent une veille en utilisant les techniques d'appel sélectif numérique, le service de correspondance publique, les avis médicaux, les avertissements concernant la navigation et la météorologie, les avis aux navigateurs et les signaux horaires, etc.</w:t>
      </w:r>
      <w:bookmarkEnd w:id="101"/>
    </w:p>
    <w:p w14:paraId="64185ABE" w14:textId="77777777" w:rsidR="005B6A9C" w:rsidRPr="00B433A3" w:rsidRDefault="005B6A9C" w:rsidP="00B8343E">
      <w:bookmarkStart w:id="102" w:name="lt_pId553"/>
      <w:r w:rsidRPr="00B433A3">
        <w:t>La Nomenclature des stations côtières et des stations effectuant des services spéciaux (Liste IV) est publiée tous les deux ans sur CD-ROM.</w:t>
      </w:r>
      <w:bookmarkEnd w:id="102"/>
      <w:r w:rsidRPr="00B433A3">
        <w:t xml:space="preserve"> </w:t>
      </w:r>
      <w:bookmarkStart w:id="103" w:name="lt_pId554"/>
      <w:r w:rsidRPr="00B433A3">
        <w:t>Une édition de la Liste IV a été publiée en décembre 2021.</w:t>
      </w:r>
      <w:bookmarkEnd w:id="103"/>
    </w:p>
    <w:p w14:paraId="155E2443" w14:textId="77777777" w:rsidR="005B6A9C" w:rsidRPr="00B433A3" w:rsidRDefault="005B6A9C" w:rsidP="00B8343E">
      <w:bookmarkStart w:id="104" w:name="lt_pId555"/>
      <w:r w:rsidRPr="00B433A3">
        <w:t xml:space="preserve">Les renseignements relatifs à cette Liste sont mis à disposition via le système d'information en ligne MARS (système d'accès et de consultation de la base de données du service mobile maritime) de l'UIT. </w:t>
      </w:r>
      <w:bookmarkStart w:id="105" w:name="lt_pId556"/>
      <w:bookmarkEnd w:id="104"/>
      <w:r w:rsidRPr="00B433A3">
        <w:t>Une compilation de tous les changements communiqués à l'UIT est fournie tous les six mois sur le web.</w:t>
      </w:r>
      <w:bookmarkEnd w:id="105"/>
    </w:p>
    <w:p w14:paraId="57A1CDC5" w14:textId="77777777" w:rsidR="005B6A9C" w:rsidRPr="00B433A3" w:rsidRDefault="005B6A9C" w:rsidP="00B8343E">
      <w:pPr>
        <w:pStyle w:val="Heading4"/>
        <w:jc w:val="both"/>
        <w:rPr>
          <w:i/>
          <w:iCs/>
        </w:rPr>
      </w:pPr>
      <w:r w:rsidRPr="00B433A3">
        <w:t>8.1.2.3</w:t>
      </w:r>
      <w:bookmarkStart w:id="106" w:name="lt_pId558"/>
      <w:r w:rsidRPr="00B433A3">
        <w:tab/>
        <w:t>Nomenclature des stations de navire et des identités du service mobile maritime assignées (Liste V)</w:t>
      </w:r>
      <w:bookmarkEnd w:id="106"/>
    </w:p>
    <w:p w14:paraId="755FD794" w14:textId="77777777" w:rsidR="005B6A9C" w:rsidRPr="00B433A3" w:rsidRDefault="005B6A9C" w:rsidP="00B8343E">
      <w:bookmarkStart w:id="107" w:name="lt_pId559"/>
      <w:r w:rsidRPr="00B433A3">
        <w:t>Cette Liste contient les informations communiquées à l'UIT concernant les stations de navire, les stations côtières et les stations d'aéronef de recherche et de sauvetage (SAR), les codes d'identification de l'autorité comptable (CIAC) et les coordonnées (point de contact) des administrations notificatrices.</w:t>
      </w:r>
      <w:bookmarkEnd w:id="107"/>
    </w:p>
    <w:p w14:paraId="78DE40DF" w14:textId="5484F388" w:rsidR="005B6A9C" w:rsidRPr="00B433A3" w:rsidRDefault="005B6A9C" w:rsidP="00B8343E">
      <w:bookmarkStart w:id="108" w:name="lt_pId560"/>
      <w:r w:rsidRPr="00B433A3">
        <w:t>La Nomenclature des stations de navire et des identités du service mobile maritime assignées (Liste V) est publiée chaque année sur CD-ROM.</w:t>
      </w:r>
      <w:bookmarkEnd w:id="108"/>
      <w:r w:rsidRPr="00B433A3">
        <w:t xml:space="preserve"> </w:t>
      </w:r>
      <w:bookmarkStart w:id="109" w:name="lt_pId561"/>
      <w:r w:rsidRPr="00B433A3">
        <w:t>Une édition de la Liste V a été publiée en</w:t>
      </w:r>
      <w:r w:rsidR="00624C8E" w:rsidRPr="00B433A3">
        <w:t> </w:t>
      </w:r>
      <w:r w:rsidRPr="00B433A3">
        <w:t>avril 2021.</w:t>
      </w:r>
      <w:bookmarkEnd w:id="109"/>
    </w:p>
    <w:p w14:paraId="016BB1D0" w14:textId="77777777" w:rsidR="005B6A9C" w:rsidRPr="00B433A3" w:rsidRDefault="005B6A9C" w:rsidP="00B8343E">
      <w:bookmarkStart w:id="110" w:name="lt_pId562"/>
      <w:r w:rsidRPr="00B433A3">
        <w:t>Les renseignements relatifs à cette Liste sont également mis à disposition via le système d'information en ligne MARS.</w:t>
      </w:r>
      <w:bookmarkEnd w:id="110"/>
      <w:r w:rsidRPr="00B433A3">
        <w:t xml:space="preserve"> </w:t>
      </w:r>
      <w:bookmarkStart w:id="111" w:name="lt_pId563"/>
      <w:r w:rsidRPr="00B433A3">
        <w:t>Une compilation de tous les changements communiqués à l'UIT est fournie tous les trois mois sur le web.</w:t>
      </w:r>
      <w:bookmarkEnd w:id="111"/>
    </w:p>
    <w:p w14:paraId="1B912359" w14:textId="77777777" w:rsidR="005B6A9C" w:rsidRPr="00B433A3" w:rsidRDefault="005B6A9C" w:rsidP="00B8343E">
      <w:pPr>
        <w:pStyle w:val="Heading4"/>
        <w:rPr>
          <w:i/>
          <w:iCs/>
        </w:rPr>
      </w:pPr>
      <w:r w:rsidRPr="00B433A3">
        <w:t>8.1.2.4</w:t>
      </w:r>
      <w:bookmarkStart w:id="112" w:name="lt_pId565"/>
      <w:r w:rsidRPr="00B433A3">
        <w:tab/>
        <w:t>Nomenclature des stations de contrôle international des émissions (Liste VIII)</w:t>
      </w:r>
      <w:bookmarkEnd w:id="112"/>
    </w:p>
    <w:p w14:paraId="2A05DC4F" w14:textId="77777777" w:rsidR="005B6A9C" w:rsidRPr="00B433A3" w:rsidRDefault="005B6A9C" w:rsidP="00B8343E">
      <w:bookmarkStart w:id="113" w:name="lt_pId566"/>
      <w:r w:rsidRPr="00B433A3">
        <w:t>La Nomenclature des stations de contrôle international des émissions (Liste VIII) contient les adresses et d'autres informations pertinentes des bureaux centralisateurs, y compris des informations détaillées concernant les stations de contrôle mesurant les émissions des stations de Terre et des stations spatiales.</w:t>
      </w:r>
      <w:bookmarkEnd w:id="113"/>
      <w:r w:rsidRPr="00B433A3">
        <w:t xml:space="preserve"> </w:t>
      </w:r>
      <w:bookmarkStart w:id="114" w:name="lt_pId567"/>
      <w:r w:rsidRPr="00B433A3">
        <w:t>Un service de téléchargement direct est offert gratuitement aux titulaires d'un compte TIES.</w:t>
      </w:r>
      <w:bookmarkEnd w:id="114"/>
    </w:p>
    <w:p w14:paraId="3DE192E9" w14:textId="77777777" w:rsidR="005B6A9C" w:rsidRPr="00B433A3" w:rsidRDefault="005B6A9C" w:rsidP="00B8343E">
      <w:bookmarkStart w:id="115" w:name="lt_pId568"/>
      <w:r w:rsidRPr="00B433A3">
        <w:t>Une édition de cette Liste a été publiée en décembre 2019.</w:t>
      </w:r>
      <w:bookmarkEnd w:id="115"/>
    </w:p>
    <w:p w14:paraId="11CDCC6D" w14:textId="77777777" w:rsidR="005B6A9C" w:rsidRPr="00B433A3" w:rsidRDefault="005B6A9C" w:rsidP="00B8343E">
      <w:pPr>
        <w:pStyle w:val="Heading4"/>
      </w:pPr>
      <w:r w:rsidRPr="00B433A3">
        <w:t>8.1.2.5</w:t>
      </w:r>
      <w:bookmarkStart w:id="116" w:name="lt_pId570"/>
      <w:r w:rsidRPr="00B433A3">
        <w:tab/>
        <w:t>Liste des publications de service diffusées</w:t>
      </w:r>
      <w:bookmarkEnd w:id="116"/>
    </w:p>
    <w:p w14:paraId="1F28303D" w14:textId="77777777" w:rsidR="005B6A9C" w:rsidRPr="00B433A3" w:rsidRDefault="005B6A9C" w:rsidP="00B8343E">
      <w:bookmarkStart w:id="117" w:name="lt_pId571"/>
      <w:r w:rsidRPr="00B433A3">
        <w:t>Les différentes publications diffusées pendant la période 2018-2021 sont récapitulées dans le Tableau 8.1.2.5-1 ci-</w:t>
      </w:r>
      <w:proofErr w:type="gramStart"/>
      <w:r w:rsidRPr="00B433A3">
        <w:t>dessous:</w:t>
      </w:r>
      <w:bookmarkEnd w:id="117"/>
      <w:proofErr w:type="gramEnd"/>
    </w:p>
    <w:p w14:paraId="63CF684E" w14:textId="77777777" w:rsidR="005B6A9C" w:rsidRPr="00B433A3" w:rsidRDefault="005B6A9C" w:rsidP="00B8343E">
      <w:pPr>
        <w:pStyle w:val="TableNoBR"/>
        <w:rPr>
          <w:b/>
        </w:rPr>
      </w:pPr>
      <w:r w:rsidRPr="00B433A3">
        <w:lastRenderedPageBreak/>
        <w:t>TABLEAU 8.1.2.5-1</w:t>
      </w:r>
    </w:p>
    <w:p w14:paraId="26E15181" w14:textId="77777777" w:rsidR="005B6A9C" w:rsidRPr="00B433A3" w:rsidRDefault="005B6A9C" w:rsidP="00B8343E">
      <w:pPr>
        <w:pStyle w:val="Tabletitle"/>
        <w:rPr>
          <w:rFonts w:ascii="Times New Roman" w:hAnsi="Times New Roman"/>
          <w:sz w:val="24"/>
          <w:szCs w:val="24"/>
          <w:lang w:val="fr-FR"/>
        </w:rPr>
      </w:pPr>
      <w:bookmarkStart w:id="118" w:name="lt_pId573"/>
      <w:r w:rsidRPr="00B433A3">
        <w:rPr>
          <w:rFonts w:ascii="Times New Roman" w:hAnsi="Times New Roman"/>
          <w:sz w:val="24"/>
          <w:szCs w:val="24"/>
          <w:lang w:val="fr-FR"/>
        </w:rPr>
        <w:t>Récapitulatif concernant les publications de service diffusées pendant la période 2018-20</w:t>
      </w:r>
      <w:bookmarkEnd w:id="118"/>
      <w:r w:rsidRPr="00B433A3">
        <w:rPr>
          <w:rFonts w:ascii="Times New Roman" w:hAnsi="Times New Roman"/>
          <w:sz w:val="24"/>
          <w:szCs w:val="24"/>
          <w:lang w:val="fr-FR"/>
        </w:rPr>
        <w:t>21</w:t>
      </w:r>
    </w:p>
    <w:tbl>
      <w:tblPr>
        <w:tblW w:w="9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44"/>
        <w:gridCol w:w="1440"/>
        <w:gridCol w:w="1313"/>
        <w:gridCol w:w="1349"/>
        <w:gridCol w:w="1349"/>
      </w:tblGrid>
      <w:tr w:rsidR="005B6A9C" w:rsidRPr="00B433A3" w14:paraId="443EDD40" w14:textId="77777777" w:rsidTr="00624C8E">
        <w:trPr>
          <w:jc w:val="center"/>
        </w:trPr>
        <w:tc>
          <w:tcPr>
            <w:tcW w:w="4045" w:type="dxa"/>
            <w:tcBorders>
              <w:top w:val="single" w:sz="4" w:space="0" w:color="auto"/>
              <w:left w:val="single" w:sz="4" w:space="0" w:color="auto"/>
              <w:bottom w:val="single" w:sz="4" w:space="0" w:color="auto"/>
              <w:right w:val="single" w:sz="4" w:space="0" w:color="auto"/>
            </w:tcBorders>
          </w:tcPr>
          <w:p w14:paraId="2D007B2F" w14:textId="77777777" w:rsidR="005B6A9C" w:rsidRPr="00B433A3" w:rsidRDefault="005B6A9C" w:rsidP="00B8343E">
            <w:pPr>
              <w:pStyle w:val="Tabletext"/>
              <w:keepNext/>
              <w:keepLines/>
              <w:jc w:val="center"/>
              <w:rPr>
                <w:lang w:eastAsia="zh-CN"/>
              </w:rPr>
            </w:pPr>
          </w:p>
        </w:tc>
        <w:tc>
          <w:tcPr>
            <w:tcW w:w="1440" w:type="dxa"/>
            <w:tcBorders>
              <w:top w:val="single" w:sz="4" w:space="0" w:color="auto"/>
              <w:left w:val="single" w:sz="4" w:space="0" w:color="auto"/>
              <w:bottom w:val="single" w:sz="4" w:space="0" w:color="auto"/>
              <w:right w:val="single" w:sz="4" w:space="0" w:color="auto"/>
            </w:tcBorders>
            <w:vAlign w:val="center"/>
            <w:hideMark/>
          </w:tcPr>
          <w:p w14:paraId="06829232" w14:textId="77777777" w:rsidR="005B6A9C" w:rsidRPr="00B433A3" w:rsidRDefault="005B6A9C" w:rsidP="00B8343E">
            <w:pPr>
              <w:pStyle w:val="Tabletext"/>
              <w:keepNext/>
              <w:keepLines/>
              <w:jc w:val="center"/>
              <w:rPr>
                <w:lang w:eastAsia="zh-CN"/>
              </w:rPr>
            </w:pPr>
            <w:r w:rsidRPr="00B433A3">
              <w:rPr>
                <w:lang w:eastAsia="zh-CN"/>
              </w:rPr>
              <w:t>2018</w:t>
            </w:r>
          </w:p>
        </w:tc>
        <w:tc>
          <w:tcPr>
            <w:tcW w:w="1314" w:type="dxa"/>
            <w:tcBorders>
              <w:top w:val="single" w:sz="4" w:space="0" w:color="auto"/>
              <w:left w:val="single" w:sz="4" w:space="0" w:color="auto"/>
              <w:bottom w:val="single" w:sz="4" w:space="0" w:color="auto"/>
              <w:right w:val="single" w:sz="4" w:space="0" w:color="auto"/>
            </w:tcBorders>
            <w:vAlign w:val="center"/>
            <w:hideMark/>
          </w:tcPr>
          <w:p w14:paraId="5A2F2CA7" w14:textId="77777777" w:rsidR="005B6A9C" w:rsidRPr="00B433A3" w:rsidRDefault="005B6A9C" w:rsidP="00B8343E">
            <w:pPr>
              <w:pStyle w:val="Tabletext"/>
              <w:keepNext/>
              <w:keepLines/>
              <w:jc w:val="center"/>
              <w:rPr>
                <w:lang w:eastAsia="zh-CN"/>
              </w:rPr>
            </w:pPr>
            <w:r w:rsidRPr="00B433A3">
              <w:rPr>
                <w:lang w:eastAsia="zh-CN"/>
              </w:rPr>
              <w:t>2019</w:t>
            </w:r>
          </w:p>
        </w:tc>
        <w:tc>
          <w:tcPr>
            <w:tcW w:w="1350" w:type="dxa"/>
            <w:tcBorders>
              <w:top w:val="single" w:sz="4" w:space="0" w:color="auto"/>
              <w:left w:val="single" w:sz="4" w:space="0" w:color="auto"/>
              <w:bottom w:val="single" w:sz="4" w:space="0" w:color="auto"/>
              <w:right w:val="single" w:sz="4" w:space="0" w:color="auto"/>
            </w:tcBorders>
            <w:vAlign w:val="center"/>
            <w:hideMark/>
          </w:tcPr>
          <w:p w14:paraId="5ED0EE1D" w14:textId="77777777" w:rsidR="005B6A9C" w:rsidRPr="00B433A3" w:rsidRDefault="005B6A9C" w:rsidP="00B8343E">
            <w:pPr>
              <w:pStyle w:val="Tabletext"/>
              <w:keepNext/>
              <w:keepLines/>
              <w:jc w:val="center"/>
              <w:rPr>
                <w:lang w:eastAsia="zh-CN"/>
              </w:rPr>
            </w:pPr>
            <w:r w:rsidRPr="00B433A3">
              <w:rPr>
                <w:lang w:eastAsia="zh-CN"/>
              </w:rPr>
              <w:t>2020</w:t>
            </w:r>
          </w:p>
        </w:tc>
        <w:tc>
          <w:tcPr>
            <w:tcW w:w="1350" w:type="dxa"/>
            <w:tcBorders>
              <w:top w:val="single" w:sz="4" w:space="0" w:color="auto"/>
              <w:left w:val="single" w:sz="4" w:space="0" w:color="auto"/>
              <w:bottom w:val="single" w:sz="4" w:space="0" w:color="auto"/>
              <w:right w:val="single" w:sz="4" w:space="0" w:color="auto"/>
            </w:tcBorders>
            <w:vAlign w:val="center"/>
            <w:hideMark/>
          </w:tcPr>
          <w:p w14:paraId="104BBA83" w14:textId="77777777" w:rsidR="005B6A9C" w:rsidRPr="00B433A3" w:rsidRDefault="005B6A9C" w:rsidP="00B8343E">
            <w:pPr>
              <w:pStyle w:val="Tabletext"/>
              <w:keepNext/>
              <w:keepLines/>
              <w:jc w:val="center"/>
              <w:rPr>
                <w:lang w:eastAsia="zh-CN"/>
              </w:rPr>
            </w:pPr>
            <w:r w:rsidRPr="00B433A3">
              <w:rPr>
                <w:lang w:eastAsia="zh-CN"/>
              </w:rPr>
              <w:t>2021</w:t>
            </w:r>
          </w:p>
        </w:tc>
      </w:tr>
      <w:tr w:rsidR="005B6A9C" w:rsidRPr="00B433A3" w14:paraId="0DEC14AD" w14:textId="77777777" w:rsidTr="00624C8E">
        <w:trPr>
          <w:jc w:val="center"/>
        </w:trPr>
        <w:tc>
          <w:tcPr>
            <w:tcW w:w="4045" w:type="dxa"/>
            <w:tcBorders>
              <w:top w:val="single" w:sz="4" w:space="0" w:color="auto"/>
              <w:left w:val="single" w:sz="4" w:space="0" w:color="auto"/>
              <w:bottom w:val="single" w:sz="4" w:space="0" w:color="auto"/>
              <w:right w:val="single" w:sz="4" w:space="0" w:color="auto"/>
            </w:tcBorders>
            <w:vAlign w:val="center"/>
            <w:hideMark/>
          </w:tcPr>
          <w:p w14:paraId="3ABAB9CA" w14:textId="77777777" w:rsidR="005B6A9C" w:rsidRPr="00B433A3" w:rsidRDefault="005B6A9C" w:rsidP="00B8343E">
            <w:pPr>
              <w:pStyle w:val="Tabletext"/>
              <w:keepNext/>
              <w:keepLines/>
              <w:jc w:val="center"/>
              <w:rPr>
                <w:lang w:eastAsia="zh-CN"/>
              </w:rPr>
            </w:pPr>
            <w:r w:rsidRPr="00B433A3">
              <w:rPr>
                <w:lang w:eastAsia="zh-CN"/>
              </w:rPr>
              <w:t>BR IFIC (Circulaire internationale d'information sur les fréquences)</w:t>
            </w:r>
          </w:p>
        </w:tc>
        <w:tc>
          <w:tcPr>
            <w:tcW w:w="1440" w:type="dxa"/>
            <w:tcBorders>
              <w:top w:val="single" w:sz="4" w:space="0" w:color="auto"/>
              <w:left w:val="single" w:sz="4" w:space="0" w:color="auto"/>
              <w:bottom w:val="single" w:sz="4" w:space="0" w:color="auto"/>
              <w:right w:val="single" w:sz="4" w:space="0" w:color="auto"/>
            </w:tcBorders>
            <w:vAlign w:val="center"/>
            <w:hideMark/>
          </w:tcPr>
          <w:p w14:paraId="2876568C" w14:textId="77777777" w:rsidR="005B6A9C" w:rsidRPr="00B433A3" w:rsidRDefault="005B6A9C" w:rsidP="00B8343E">
            <w:pPr>
              <w:pStyle w:val="Tabletext"/>
              <w:keepNext/>
              <w:keepLines/>
              <w:jc w:val="center"/>
              <w:rPr>
                <w:lang w:eastAsia="zh-CN"/>
              </w:rPr>
            </w:pPr>
            <w:r w:rsidRPr="00B433A3">
              <w:rPr>
                <w:lang w:eastAsia="zh-CN"/>
              </w:rPr>
              <w:t>25</w:t>
            </w:r>
          </w:p>
        </w:tc>
        <w:tc>
          <w:tcPr>
            <w:tcW w:w="1314" w:type="dxa"/>
            <w:tcBorders>
              <w:top w:val="single" w:sz="4" w:space="0" w:color="auto"/>
              <w:left w:val="single" w:sz="4" w:space="0" w:color="auto"/>
              <w:bottom w:val="single" w:sz="4" w:space="0" w:color="auto"/>
              <w:right w:val="single" w:sz="4" w:space="0" w:color="auto"/>
            </w:tcBorders>
            <w:vAlign w:val="center"/>
            <w:hideMark/>
          </w:tcPr>
          <w:p w14:paraId="5EE2FC5E" w14:textId="77777777" w:rsidR="005B6A9C" w:rsidRPr="00B433A3" w:rsidRDefault="005B6A9C" w:rsidP="00B8343E">
            <w:pPr>
              <w:pStyle w:val="Tabletext"/>
              <w:keepNext/>
              <w:keepLines/>
              <w:jc w:val="center"/>
              <w:rPr>
                <w:lang w:eastAsia="zh-CN"/>
              </w:rPr>
            </w:pPr>
            <w:r w:rsidRPr="00B433A3">
              <w:rPr>
                <w:lang w:eastAsia="zh-CN"/>
              </w:rPr>
              <w:t>25</w:t>
            </w:r>
          </w:p>
        </w:tc>
        <w:tc>
          <w:tcPr>
            <w:tcW w:w="1350" w:type="dxa"/>
            <w:tcBorders>
              <w:top w:val="single" w:sz="4" w:space="0" w:color="auto"/>
              <w:left w:val="single" w:sz="4" w:space="0" w:color="auto"/>
              <w:bottom w:val="single" w:sz="4" w:space="0" w:color="auto"/>
              <w:right w:val="single" w:sz="4" w:space="0" w:color="auto"/>
            </w:tcBorders>
            <w:vAlign w:val="center"/>
            <w:hideMark/>
          </w:tcPr>
          <w:p w14:paraId="44F8953D" w14:textId="77777777" w:rsidR="005B6A9C" w:rsidRPr="00B433A3" w:rsidRDefault="005B6A9C" w:rsidP="00B8343E">
            <w:pPr>
              <w:pStyle w:val="Tabletext"/>
              <w:keepNext/>
              <w:keepLines/>
              <w:jc w:val="center"/>
              <w:rPr>
                <w:lang w:eastAsia="zh-CN"/>
              </w:rPr>
            </w:pPr>
            <w:r w:rsidRPr="00B433A3">
              <w:rPr>
                <w:lang w:eastAsia="zh-CN"/>
              </w:rPr>
              <w:t>26</w:t>
            </w:r>
          </w:p>
        </w:tc>
        <w:tc>
          <w:tcPr>
            <w:tcW w:w="1350" w:type="dxa"/>
            <w:tcBorders>
              <w:top w:val="single" w:sz="4" w:space="0" w:color="auto"/>
              <w:left w:val="single" w:sz="4" w:space="0" w:color="auto"/>
              <w:bottom w:val="single" w:sz="4" w:space="0" w:color="auto"/>
              <w:right w:val="single" w:sz="4" w:space="0" w:color="auto"/>
            </w:tcBorders>
            <w:vAlign w:val="center"/>
            <w:hideMark/>
          </w:tcPr>
          <w:p w14:paraId="0F821F01" w14:textId="77777777" w:rsidR="005B6A9C" w:rsidRPr="00B433A3" w:rsidRDefault="005B6A9C" w:rsidP="00B8343E">
            <w:pPr>
              <w:pStyle w:val="Tabletext"/>
              <w:keepNext/>
              <w:keepLines/>
              <w:jc w:val="center"/>
              <w:rPr>
                <w:lang w:eastAsia="zh-CN"/>
              </w:rPr>
            </w:pPr>
            <w:r w:rsidRPr="00B433A3">
              <w:rPr>
                <w:lang w:eastAsia="zh-CN"/>
              </w:rPr>
              <w:t>25</w:t>
            </w:r>
          </w:p>
        </w:tc>
      </w:tr>
      <w:tr w:rsidR="005B6A9C" w:rsidRPr="00B433A3" w14:paraId="472DB868" w14:textId="77777777" w:rsidTr="00624C8E">
        <w:trPr>
          <w:jc w:val="center"/>
        </w:trPr>
        <w:tc>
          <w:tcPr>
            <w:tcW w:w="4045" w:type="dxa"/>
            <w:tcBorders>
              <w:top w:val="single" w:sz="4" w:space="0" w:color="auto"/>
              <w:left w:val="single" w:sz="4" w:space="0" w:color="auto"/>
              <w:bottom w:val="single" w:sz="4" w:space="0" w:color="auto"/>
              <w:right w:val="single" w:sz="4" w:space="0" w:color="auto"/>
            </w:tcBorders>
            <w:vAlign w:val="center"/>
            <w:hideMark/>
          </w:tcPr>
          <w:p w14:paraId="34E1E3E0" w14:textId="77777777" w:rsidR="005B6A9C" w:rsidRPr="00B433A3" w:rsidRDefault="005B6A9C" w:rsidP="00B8343E">
            <w:pPr>
              <w:pStyle w:val="Tabletext"/>
              <w:keepNext/>
              <w:keepLines/>
              <w:jc w:val="center"/>
              <w:rPr>
                <w:lang w:eastAsia="zh-CN"/>
              </w:rPr>
            </w:pPr>
            <w:bookmarkStart w:id="119" w:name="lt_pId583"/>
            <w:r w:rsidRPr="00B433A3">
              <w:rPr>
                <w:lang w:eastAsia="zh-CN"/>
              </w:rPr>
              <w:t>Liste IV (Nomenclature des stations côtières et des stations effectuant des services spéciaux)</w:t>
            </w:r>
            <w:bookmarkEnd w:id="119"/>
          </w:p>
        </w:tc>
        <w:tc>
          <w:tcPr>
            <w:tcW w:w="1440" w:type="dxa"/>
            <w:tcBorders>
              <w:top w:val="single" w:sz="4" w:space="0" w:color="auto"/>
              <w:left w:val="single" w:sz="4" w:space="0" w:color="auto"/>
              <w:bottom w:val="single" w:sz="4" w:space="0" w:color="auto"/>
              <w:right w:val="single" w:sz="4" w:space="0" w:color="auto"/>
            </w:tcBorders>
            <w:vAlign w:val="center"/>
          </w:tcPr>
          <w:p w14:paraId="58EFD699" w14:textId="77777777" w:rsidR="005B6A9C" w:rsidRPr="00B433A3" w:rsidRDefault="005B6A9C" w:rsidP="00B8343E">
            <w:pPr>
              <w:pStyle w:val="Tabletext"/>
              <w:keepNext/>
              <w:keepLines/>
              <w:jc w:val="center"/>
              <w:rPr>
                <w:lang w:eastAsia="zh-CN"/>
              </w:rPr>
            </w:pPr>
          </w:p>
        </w:tc>
        <w:tc>
          <w:tcPr>
            <w:tcW w:w="1314" w:type="dxa"/>
            <w:tcBorders>
              <w:top w:val="single" w:sz="4" w:space="0" w:color="auto"/>
              <w:left w:val="single" w:sz="4" w:space="0" w:color="auto"/>
              <w:bottom w:val="single" w:sz="4" w:space="0" w:color="auto"/>
              <w:right w:val="single" w:sz="4" w:space="0" w:color="auto"/>
            </w:tcBorders>
            <w:vAlign w:val="center"/>
            <w:hideMark/>
          </w:tcPr>
          <w:p w14:paraId="04089DB4" w14:textId="77777777" w:rsidR="005B6A9C" w:rsidRPr="00B433A3" w:rsidRDefault="005B6A9C" w:rsidP="00B8343E">
            <w:pPr>
              <w:pStyle w:val="Tabletext"/>
              <w:keepNext/>
              <w:keepLines/>
              <w:jc w:val="center"/>
              <w:rPr>
                <w:lang w:eastAsia="zh-CN"/>
              </w:rPr>
            </w:pPr>
            <w:r w:rsidRPr="00B433A3">
              <w:rPr>
                <w:lang w:eastAsia="zh-CN"/>
              </w:rPr>
              <w:t>Édition de 2019</w:t>
            </w:r>
            <w:r w:rsidRPr="00B433A3">
              <w:rPr>
                <w:lang w:eastAsia="zh-CN"/>
              </w:rPr>
              <w:br/>
              <w:t>(décembre)</w:t>
            </w:r>
          </w:p>
        </w:tc>
        <w:tc>
          <w:tcPr>
            <w:tcW w:w="1350" w:type="dxa"/>
            <w:tcBorders>
              <w:top w:val="single" w:sz="4" w:space="0" w:color="auto"/>
              <w:left w:val="single" w:sz="4" w:space="0" w:color="auto"/>
              <w:bottom w:val="single" w:sz="4" w:space="0" w:color="auto"/>
              <w:right w:val="single" w:sz="4" w:space="0" w:color="auto"/>
            </w:tcBorders>
            <w:vAlign w:val="center"/>
          </w:tcPr>
          <w:p w14:paraId="5996A801" w14:textId="77777777" w:rsidR="005B6A9C" w:rsidRPr="00B433A3" w:rsidRDefault="005B6A9C" w:rsidP="00B8343E">
            <w:pPr>
              <w:pStyle w:val="Tabletext"/>
              <w:keepNext/>
              <w:keepLines/>
              <w:jc w:val="center"/>
              <w:rPr>
                <w:lang w:eastAsia="zh-CN"/>
              </w:rPr>
            </w:pPr>
          </w:p>
        </w:tc>
        <w:tc>
          <w:tcPr>
            <w:tcW w:w="1350" w:type="dxa"/>
            <w:tcBorders>
              <w:top w:val="single" w:sz="4" w:space="0" w:color="auto"/>
              <w:left w:val="single" w:sz="4" w:space="0" w:color="auto"/>
              <w:bottom w:val="single" w:sz="4" w:space="0" w:color="auto"/>
              <w:right w:val="single" w:sz="4" w:space="0" w:color="auto"/>
            </w:tcBorders>
            <w:vAlign w:val="center"/>
            <w:hideMark/>
          </w:tcPr>
          <w:p w14:paraId="03B80F40" w14:textId="77777777" w:rsidR="005B6A9C" w:rsidRPr="00B433A3" w:rsidRDefault="005B6A9C" w:rsidP="00B8343E">
            <w:pPr>
              <w:pStyle w:val="Tabletext"/>
              <w:keepNext/>
              <w:keepLines/>
              <w:jc w:val="center"/>
              <w:rPr>
                <w:lang w:eastAsia="zh-CN"/>
              </w:rPr>
            </w:pPr>
            <w:r w:rsidRPr="00B433A3">
              <w:rPr>
                <w:lang w:eastAsia="zh-CN"/>
              </w:rPr>
              <w:t>Édition de 2021</w:t>
            </w:r>
            <w:r w:rsidRPr="00B433A3">
              <w:rPr>
                <w:lang w:eastAsia="zh-CN"/>
              </w:rPr>
              <w:br/>
              <w:t>(décembre)</w:t>
            </w:r>
          </w:p>
        </w:tc>
      </w:tr>
      <w:tr w:rsidR="005B6A9C" w:rsidRPr="00B433A3" w14:paraId="70526471" w14:textId="77777777" w:rsidTr="00624C8E">
        <w:trPr>
          <w:jc w:val="center"/>
        </w:trPr>
        <w:tc>
          <w:tcPr>
            <w:tcW w:w="4045" w:type="dxa"/>
            <w:tcBorders>
              <w:top w:val="single" w:sz="4" w:space="0" w:color="auto"/>
              <w:left w:val="single" w:sz="4" w:space="0" w:color="auto"/>
              <w:bottom w:val="single" w:sz="4" w:space="0" w:color="auto"/>
              <w:right w:val="single" w:sz="4" w:space="0" w:color="auto"/>
            </w:tcBorders>
            <w:vAlign w:val="center"/>
            <w:hideMark/>
          </w:tcPr>
          <w:p w14:paraId="4008436D" w14:textId="77777777" w:rsidR="005B6A9C" w:rsidRPr="00B433A3" w:rsidRDefault="005B6A9C" w:rsidP="00B8343E">
            <w:pPr>
              <w:pStyle w:val="Tabletext"/>
              <w:keepNext/>
              <w:keepLines/>
              <w:jc w:val="center"/>
              <w:rPr>
                <w:lang w:eastAsia="zh-CN"/>
              </w:rPr>
            </w:pPr>
            <w:bookmarkStart w:id="120" w:name="lt_pId588"/>
            <w:r w:rsidRPr="00B433A3">
              <w:rPr>
                <w:lang w:eastAsia="zh-CN"/>
              </w:rPr>
              <w:t>Liste V (Nomenclature des stations de navire et des identités du service mobile maritime assignées)</w:t>
            </w:r>
            <w:bookmarkEnd w:id="120"/>
          </w:p>
        </w:tc>
        <w:tc>
          <w:tcPr>
            <w:tcW w:w="1440" w:type="dxa"/>
            <w:tcBorders>
              <w:top w:val="single" w:sz="4" w:space="0" w:color="auto"/>
              <w:left w:val="single" w:sz="4" w:space="0" w:color="auto"/>
              <w:bottom w:val="single" w:sz="4" w:space="0" w:color="auto"/>
              <w:right w:val="single" w:sz="4" w:space="0" w:color="auto"/>
            </w:tcBorders>
            <w:vAlign w:val="center"/>
            <w:hideMark/>
          </w:tcPr>
          <w:p w14:paraId="180F77AE" w14:textId="77777777" w:rsidR="005B6A9C" w:rsidRPr="00B433A3" w:rsidRDefault="005B6A9C" w:rsidP="00B8343E">
            <w:pPr>
              <w:pStyle w:val="Tabletext"/>
              <w:keepNext/>
              <w:keepLines/>
              <w:jc w:val="center"/>
              <w:rPr>
                <w:lang w:eastAsia="zh-CN"/>
              </w:rPr>
            </w:pPr>
            <w:bookmarkStart w:id="121" w:name="lt_pId591"/>
            <w:r w:rsidRPr="00B433A3">
              <w:rPr>
                <w:lang w:eastAsia="zh-CN"/>
              </w:rPr>
              <w:t>Édition de 201</w:t>
            </w:r>
            <w:bookmarkEnd w:id="121"/>
            <w:r w:rsidRPr="00B433A3">
              <w:rPr>
                <w:lang w:eastAsia="zh-CN"/>
              </w:rPr>
              <w:t>8</w:t>
            </w:r>
            <w:r w:rsidRPr="00B433A3">
              <w:rPr>
                <w:lang w:eastAsia="zh-CN"/>
              </w:rPr>
              <w:br/>
            </w:r>
            <w:bookmarkStart w:id="122" w:name="lt_pId592"/>
            <w:r w:rsidRPr="00B433A3">
              <w:rPr>
                <w:lang w:eastAsia="zh-CN"/>
              </w:rPr>
              <w:t>(avril)</w:t>
            </w:r>
            <w:bookmarkEnd w:id="122"/>
          </w:p>
        </w:tc>
        <w:tc>
          <w:tcPr>
            <w:tcW w:w="1314" w:type="dxa"/>
            <w:tcBorders>
              <w:top w:val="single" w:sz="4" w:space="0" w:color="auto"/>
              <w:left w:val="single" w:sz="4" w:space="0" w:color="auto"/>
              <w:bottom w:val="single" w:sz="4" w:space="0" w:color="auto"/>
              <w:right w:val="single" w:sz="4" w:space="0" w:color="auto"/>
            </w:tcBorders>
            <w:vAlign w:val="center"/>
            <w:hideMark/>
          </w:tcPr>
          <w:p w14:paraId="246F01D7" w14:textId="77777777" w:rsidR="005B6A9C" w:rsidRPr="00B433A3" w:rsidRDefault="005B6A9C" w:rsidP="00B8343E">
            <w:pPr>
              <w:pStyle w:val="Tabletext"/>
              <w:keepNext/>
              <w:keepLines/>
              <w:jc w:val="center"/>
              <w:rPr>
                <w:lang w:eastAsia="zh-CN"/>
              </w:rPr>
            </w:pPr>
            <w:bookmarkStart w:id="123" w:name="lt_pId593"/>
            <w:r w:rsidRPr="00B433A3">
              <w:rPr>
                <w:lang w:eastAsia="zh-CN"/>
              </w:rPr>
              <w:t>Édition de 201</w:t>
            </w:r>
            <w:bookmarkEnd w:id="123"/>
            <w:r w:rsidRPr="00B433A3">
              <w:rPr>
                <w:lang w:eastAsia="zh-CN"/>
              </w:rPr>
              <w:t>9</w:t>
            </w:r>
            <w:r w:rsidRPr="00B433A3">
              <w:rPr>
                <w:lang w:eastAsia="zh-CN"/>
              </w:rPr>
              <w:br/>
            </w:r>
            <w:bookmarkStart w:id="124" w:name="lt_pId594"/>
            <w:r w:rsidRPr="00B433A3">
              <w:rPr>
                <w:lang w:eastAsia="zh-CN"/>
              </w:rPr>
              <w:t>(avril)</w:t>
            </w:r>
            <w:bookmarkEnd w:id="124"/>
          </w:p>
        </w:tc>
        <w:tc>
          <w:tcPr>
            <w:tcW w:w="1350" w:type="dxa"/>
            <w:tcBorders>
              <w:top w:val="single" w:sz="4" w:space="0" w:color="auto"/>
              <w:left w:val="single" w:sz="4" w:space="0" w:color="auto"/>
              <w:bottom w:val="single" w:sz="4" w:space="0" w:color="auto"/>
              <w:right w:val="single" w:sz="4" w:space="0" w:color="auto"/>
            </w:tcBorders>
            <w:vAlign w:val="center"/>
            <w:hideMark/>
          </w:tcPr>
          <w:p w14:paraId="51A64E5A" w14:textId="77777777" w:rsidR="005B6A9C" w:rsidRPr="00B433A3" w:rsidRDefault="005B6A9C" w:rsidP="00B8343E">
            <w:pPr>
              <w:pStyle w:val="Tabletext"/>
              <w:keepNext/>
              <w:keepLines/>
              <w:jc w:val="center"/>
              <w:rPr>
                <w:lang w:eastAsia="zh-CN"/>
              </w:rPr>
            </w:pPr>
            <w:bookmarkStart w:id="125" w:name="lt_pId595"/>
            <w:r w:rsidRPr="00B433A3">
              <w:rPr>
                <w:lang w:eastAsia="zh-CN"/>
              </w:rPr>
              <w:t>Édition de 20</w:t>
            </w:r>
            <w:bookmarkEnd w:id="125"/>
            <w:r w:rsidRPr="00B433A3">
              <w:rPr>
                <w:lang w:eastAsia="zh-CN"/>
              </w:rPr>
              <w:t>20</w:t>
            </w:r>
            <w:r w:rsidRPr="00B433A3">
              <w:rPr>
                <w:lang w:eastAsia="zh-CN"/>
              </w:rPr>
              <w:br/>
            </w:r>
            <w:bookmarkStart w:id="126" w:name="lt_pId596"/>
            <w:r w:rsidRPr="00B433A3">
              <w:rPr>
                <w:lang w:eastAsia="zh-CN"/>
              </w:rPr>
              <w:t>(avril)</w:t>
            </w:r>
            <w:bookmarkEnd w:id="126"/>
          </w:p>
        </w:tc>
        <w:tc>
          <w:tcPr>
            <w:tcW w:w="1350" w:type="dxa"/>
            <w:tcBorders>
              <w:top w:val="single" w:sz="4" w:space="0" w:color="auto"/>
              <w:left w:val="single" w:sz="4" w:space="0" w:color="auto"/>
              <w:bottom w:val="single" w:sz="4" w:space="0" w:color="auto"/>
              <w:right w:val="single" w:sz="4" w:space="0" w:color="auto"/>
            </w:tcBorders>
            <w:vAlign w:val="center"/>
            <w:hideMark/>
          </w:tcPr>
          <w:p w14:paraId="7418A3D7" w14:textId="77777777" w:rsidR="005B6A9C" w:rsidRPr="00B433A3" w:rsidRDefault="005B6A9C" w:rsidP="00B8343E">
            <w:pPr>
              <w:pStyle w:val="Tabletext"/>
              <w:keepNext/>
              <w:keepLines/>
              <w:jc w:val="center"/>
              <w:rPr>
                <w:lang w:eastAsia="zh-CN"/>
              </w:rPr>
            </w:pPr>
            <w:r w:rsidRPr="00B433A3">
              <w:rPr>
                <w:lang w:eastAsia="zh-CN"/>
              </w:rPr>
              <w:t>Édition de 2021</w:t>
            </w:r>
            <w:r w:rsidRPr="00B433A3">
              <w:rPr>
                <w:lang w:eastAsia="zh-CN"/>
              </w:rPr>
              <w:br/>
              <w:t>(avril)</w:t>
            </w:r>
          </w:p>
        </w:tc>
      </w:tr>
      <w:tr w:rsidR="005B6A9C" w:rsidRPr="00B433A3" w14:paraId="47079DBF" w14:textId="77777777" w:rsidTr="00624C8E">
        <w:trPr>
          <w:jc w:val="center"/>
        </w:trPr>
        <w:tc>
          <w:tcPr>
            <w:tcW w:w="4045" w:type="dxa"/>
            <w:tcBorders>
              <w:top w:val="single" w:sz="4" w:space="0" w:color="auto"/>
              <w:left w:val="single" w:sz="4" w:space="0" w:color="auto"/>
              <w:bottom w:val="single" w:sz="4" w:space="0" w:color="auto"/>
              <w:right w:val="single" w:sz="4" w:space="0" w:color="auto"/>
            </w:tcBorders>
            <w:vAlign w:val="center"/>
            <w:hideMark/>
          </w:tcPr>
          <w:p w14:paraId="23E42E46" w14:textId="77777777" w:rsidR="005B6A9C" w:rsidRPr="00B433A3" w:rsidRDefault="005B6A9C" w:rsidP="00B8343E">
            <w:pPr>
              <w:pStyle w:val="Tabletext"/>
              <w:keepNext/>
              <w:keepLines/>
              <w:jc w:val="center"/>
              <w:rPr>
                <w:lang w:eastAsia="zh-CN"/>
              </w:rPr>
            </w:pPr>
            <w:bookmarkStart w:id="127" w:name="lt_pId597"/>
            <w:r w:rsidRPr="00B433A3">
              <w:rPr>
                <w:lang w:eastAsia="zh-CN"/>
              </w:rPr>
              <w:t>Liste VIII (Nomenclature des stations de contrôle international des émissions)</w:t>
            </w:r>
            <w:bookmarkEnd w:id="127"/>
          </w:p>
        </w:tc>
        <w:tc>
          <w:tcPr>
            <w:tcW w:w="1440" w:type="dxa"/>
            <w:tcBorders>
              <w:top w:val="single" w:sz="4" w:space="0" w:color="auto"/>
              <w:left w:val="single" w:sz="4" w:space="0" w:color="auto"/>
              <w:bottom w:val="single" w:sz="4" w:space="0" w:color="auto"/>
              <w:right w:val="single" w:sz="4" w:space="0" w:color="auto"/>
            </w:tcBorders>
            <w:vAlign w:val="center"/>
          </w:tcPr>
          <w:p w14:paraId="03D00A93" w14:textId="77777777" w:rsidR="005B6A9C" w:rsidRPr="00B433A3" w:rsidRDefault="005B6A9C" w:rsidP="00B8343E">
            <w:pPr>
              <w:pStyle w:val="Tabletext"/>
              <w:keepNext/>
              <w:keepLines/>
              <w:jc w:val="center"/>
              <w:rPr>
                <w:lang w:eastAsia="zh-CN"/>
              </w:rPr>
            </w:pPr>
          </w:p>
        </w:tc>
        <w:tc>
          <w:tcPr>
            <w:tcW w:w="1314" w:type="dxa"/>
            <w:tcBorders>
              <w:top w:val="single" w:sz="4" w:space="0" w:color="auto"/>
              <w:left w:val="single" w:sz="4" w:space="0" w:color="auto"/>
              <w:bottom w:val="single" w:sz="4" w:space="0" w:color="auto"/>
              <w:right w:val="single" w:sz="4" w:space="0" w:color="auto"/>
            </w:tcBorders>
            <w:vAlign w:val="center"/>
            <w:hideMark/>
          </w:tcPr>
          <w:p w14:paraId="5F326664" w14:textId="77777777" w:rsidR="005B6A9C" w:rsidRPr="00B433A3" w:rsidRDefault="005B6A9C" w:rsidP="00B8343E">
            <w:pPr>
              <w:pStyle w:val="Tabletext"/>
              <w:keepNext/>
              <w:keepLines/>
              <w:jc w:val="center"/>
              <w:rPr>
                <w:lang w:eastAsia="zh-CN"/>
              </w:rPr>
            </w:pPr>
            <w:bookmarkStart w:id="128" w:name="lt_pId600"/>
            <w:r w:rsidRPr="00B433A3">
              <w:rPr>
                <w:lang w:eastAsia="zh-CN"/>
              </w:rPr>
              <w:t>Édition de 2019</w:t>
            </w:r>
            <w:bookmarkEnd w:id="128"/>
            <w:r w:rsidRPr="00B433A3">
              <w:rPr>
                <w:lang w:eastAsia="zh-CN"/>
              </w:rPr>
              <w:br/>
            </w:r>
            <w:bookmarkStart w:id="129" w:name="lt_pId601"/>
            <w:r w:rsidRPr="00B433A3">
              <w:rPr>
                <w:lang w:eastAsia="zh-CN"/>
              </w:rPr>
              <w:t>(décembre)</w:t>
            </w:r>
            <w:bookmarkEnd w:id="129"/>
          </w:p>
        </w:tc>
        <w:tc>
          <w:tcPr>
            <w:tcW w:w="1350" w:type="dxa"/>
            <w:tcBorders>
              <w:top w:val="single" w:sz="4" w:space="0" w:color="auto"/>
              <w:left w:val="single" w:sz="4" w:space="0" w:color="auto"/>
              <w:bottom w:val="single" w:sz="4" w:space="0" w:color="auto"/>
              <w:right w:val="single" w:sz="4" w:space="0" w:color="auto"/>
            </w:tcBorders>
            <w:vAlign w:val="center"/>
          </w:tcPr>
          <w:p w14:paraId="2B8F04FD" w14:textId="77777777" w:rsidR="005B6A9C" w:rsidRPr="00B433A3" w:rsidRDefault="005B6A9C" w:rsidP="00B8343E">
            <w:pPr>
              <w:pStyle w:val="Tabletext"/>
              <w:keepNext/>
              <w:keepLines/>
              <w:jc w:val="center"/>
              <w:rPr>
                <w:lang w:eastAsia="zh-CN"/>
              </w:rPr>
            </w:pPr>
          </w:p>
        </w:tc>
        <w:tc>
          <w:tcPr>
            <w:tcW w:w="1350" w:type="dxa"/>
            <w:tcBorders>
              <w:top w:val="single" w:sz="4" w:space="0" w:color="auto"/>
              <w:left w:val="single" w:sz="4" w:space="0" w:color="auto"/>
              <w:bottom w:val="single" w:sz="4" w:space="0" w:color="auto"/>
              <w:right w:val="single" w:sz="4" w:space="0" w:color="auto"/>
            </w:tcBorders>
            <w:vAlign w:val="center"/>
          </w:tcPr>
          <w:p w14:paraId="28BF1EA6" w14:textId="77777777" w:rsidR="005B6A9C" w:rsidRPr="00B433A3" w:rsidRDefault="005B6A9C" w:rsidP="00B8343E">
            <w:pPr>
              <w:pStyle w:val="Tabletext"/>
              <w:keepNext/>
              <w:keepLines/>
              <w:jc w:val="center"/>
              <w:rPr>
                <w:lang w:eastAsia="zh-CN"/>
              </w:rPr>
            </w:pPr>
          </w:p>
        </w:tc>
      </w:tr>
      <w:tr w:rsidR="005B6A9C" w:rsidRPr="00B433A3" w14:paraId="1A5396CA" w14:textId="77777777" w:rsidTr="00624C8E">
        <w:trPr>
          <w:jc w:val="center"/>
        </w:trPr>
        <w:tc>
          <w:tcPr>
            <w:tcW w:w="4045" w:type="dxa"/>
            <w:tcBorders>
              <w:top w:val="single" w:sz="4" w:space="0" w:color="auto"/>
              <w:left w:val="single" w:sz="4" w:space="0" w:color="auto"/>
              <w:bottom w:val="single" w:sz="4" w:space="0" w:color="auto"/>
              <w:right w:val="single" w:sz="4" w:space="0" w:color="auto"/>
            </w:tcBorders>
            <w:vAlign w:val="center"/>
            <w:hideMark/>
          </w:tcPr>
          <w:p w14:paraId="0A3B8141" w14:textId="77777777" w:rsidR="005B6A9C" w:rsidRPr="00B433A3" w:rsidRDefault="005B6A9C" w:rsidP="00B8343E">
            <w:pPr>
              <w:pStyle w:val="Tabletext"/>
              <w:keepNext/>
              <w:keepLines/>
              <w:jc w:val="center"/>
              <w:rPr>
                <w:lang w:eastAsia="zh-CN"/>
              </w:rPr>
            </w:pPr>
            <w:bookmarkStart w:id="130" w:name="lt_pId602"/>
            <w:r w:rsidRPr="00B433A3">
              <w:rPr>
                <w:lang w:eastAsia="zh-CN"/>
              </w:rPr>
              <w:t>Manuel sur le service maritime</w:t>
            </w:r>
            <w:bookmarkEnd w:id="130"/>
          </w:p>
        </w:tc>
        <w:tc>
          <w:tcPr>
            <w:tcW w:w="1440" w:type="dxa"/>
            <w:tcBorders>
              <w:top w:val="single" w:sz="4" w:space="0" w:color="auto"/>
              <w:left w:val="single" w:sz="4" w:space="0" w:color="auto"/>
              <w:bottom w:val="single" w:sz="4" w:space="0" w:color="auto"/>
              <w:right w:val="single" w:sz="4" w:space="0" w:color="auto"/>
            </w:tcBorders>
            <w:vAlign w:val="center"/>
          </w:tcPr>
          <w:p w14:paraId="27DA5E6D" w14:textId="77777777" w:rsidR="005B6A9C" w:rsidRPr="00B433A3" w:rsidRDefault="005B6A9C" w:rsidP="00B8343E">
            <w:pPr>
              <w:pStyle w:val="Tabletext"/>
              <w:keepNext/>
              <w:keepLines/>
              <w:jc w:val="center"/>
              <w:rPr>
                <w:lang w:eastAsia="zh-CN"/>
              </w:rPr>
            </w:pPr>
          </w:p>
        </w:tc>
        <w:tc>
          <w:tcPr>
            <w:tcW w:w="1314" w:type="dxa"/>
            <w:tcBorders>
              <w:top w:val="single" w:sz="4" w:space="0" w:color="auto"/>
              <w:left w:val="single" w:sz="4" w:space="0" w:color="auto"/>
              <w:bottom w:val="single" w:sz="4" w:space="0" w:color="auto"/>
              <w:right w:val="single" w:sz="4" w:space="0" w:color="auto"/>
            </w:tcBorders>
            <w:vAlign w:val="center"/>
          </w:tcPr>
          <w:p w14:paraId="7F653DD5" w14:textId="77777777" w:rsidR="005B6A9C" w:rsidRPr="00B433A3" w:rsidRDefault="005B6A9C" w:rsidP="00B8343E">
            <w:pPr>
              <w:pStyle w:val="Tabletext"/>
              <w:keepNext/>
              <w:keepLines/>
              <w:jc w:val="center"/>
              <w:rPr>
                <w:lang w:eastAsia="zh-CN"/>
              </w:rPr>
            </w:pPr>
          </w:p>
        </w:tc>
        <w:tc>
          <w:tcPr>
            <w:tcW w:w="1350" w:type="dxa"/>
            <w:tcBorders>
              <w:top w:val="single" w:sz="4" w:space="0" w:color="auto"/>
              <w:left w:val="single" w:sz="4" w:space="0" w:color="auto"/>
              <w:bottom w:val="single" w:sz="4" w:space="0" w:color="auto"/>
              <w:right w:val="single" w:sz="4" w:space="0" w:color="auto"/>
            </w:tcBorders>
            <w:vAlign w:val="center"/>
            <w:hideMark/>
          </w:tcPr>
          <w:p w14:paraId="6A020418" w14:textId="77777777" w:rsidR="005B6A9C" w:rsidRPr="00B433A3" w:rsidRDefault="005B6A9C" w:rsidP="00B8343E">
            <w:pPr>
              <w:pStyle w:val="Tabletext"/>
              <w:keepNext/>
              <w:keepLines/>
              <w:jc w:val="center"/>
              <w:rPr>
                <w:lang w:eastAsia="zh-CN"/>
              </w:rPr>
            </w:pPr>
            <w:r w:rsidRPr="00B433A3">
              <w:rPr>
                <w:lang w:eastAsia="zh-CN"/>
              </w:rPr>
              <w:t>Édition de 2020</w:t>
            </w:r>
            <w:r w:rsidRPr="00B433A3">
              <w:rPr>
                <w:lang w:eastAsia="zh-CN"/>
              </w:rPr>
              <w:br/>
              <w:t>(novembre)</w:t>
            </w:r>
          </w:p>
        </w:tc>
        <w:tc>
          <w:tcPr>
            <w:tcW w:w="1350" w:type="dxa"/>
            <w:tcBorders>
              <w:top w:val="single" w:sz="4" w:space="0" w:color="auto"/>
              <w:left w:val="single" w:sz="4" w:space="0" w:color="auto"/>
              <w:bottom w:val="single" w:sz="4" w:space="0" w:color="auto"/>
              <w:right w:val="single" w:sz="4" w:space="0" w:color="auto"/>
            </w:tcBorders>
            <w:vAlign w:val="center"/>
          </w:tcPr>
          <w:p w14:paraId="6A640653" w14:textId="77777777" w:rsidR="005B6A9C" w:rsidRPr="00B433A3" w:rsidRDefault="005B6A9C" w:rsidP="00B8343E">
            <w:pPr>
              <w:pStyle w:val="Tabletext"/>
              <w:keepNext/>
              <w:keepLines/>
              <w:jc w:val="center"/>
              <w:rPr>
                <w:lang w:eastAsia="zh-CN"/>
              </w:rPr>
            </w:pPr>
          </w:p>
        </w:tc>
      </w:tr>
    </w:tbl>
    <w:p w14:paraId="13CC87CC" w14:textId="03B2E953" w:rsidR="005B6A9C" w:rsidRPr="00B433A3" w:rsidRDefault="0063237C" w:rsidP="00B8343E">
      <w:pPr>
        <w:pStyle w:val="Heading3"/>
      </w:pPr>
      <w:r w:rsidRPr="00B433A3">
        <w:t>8</w:t>
      </w:r>
      <w:r w:rsidR="005B6A9C" w:rsidRPr="00B433A3">
        <w:t>.1.3</w:t>
      </w:r>
      <w:r w:rsidR="005B6A9C" w:rsidRPr="00B433A3">
        <w:tab/>
      </w:r>
      <w:bookmarkStart w:id="131" w:name="lt_pId606"/>
      <w:r w:rsidR="005B6A9C" w:rsidRPr="00B433A3">
        <w:t>Publications des commissions d'études</w:t>
      </w:r>
      <w:bookmarkEnd w:id="131"/>
    </w:p>
    <w:p w14:paraId="28824A5E" w14:textId="77777777" w:rsidR="005B6A9C" w:rsidRPr="00B433A3" w:rsidRDefault="005B6A9C" w:rsidP="00B8343E">
      <w:pPr>
        <w:rPr>
          <w:szCs w:val="24"/>
        </w:rPr>
      </w:pPr>
      <w:bookmarkStart w:id="132" w:name="lt_pId607"/>
      <w:r w:rsidRPr="00B433A3">
        <w:rPr>
          <w:szCs w:val="24"/>
        </w:rPr>
        <w:t>Depuis la réunion de 2021 du GCR, l'élaboration des publications des Commissions d'études de l'UIT-R s'est poursuivie conformément à la Résolution UIT</w:t>
      </w:r>
      <w:r w:rsidRPr="00B433A3">
        <w:rPr>
          <w:szCs w:val="24"/>
        </w:rPr>
        <w:noBreakHyphen/>
        <w:t>R 1-8.</w:t>
      </w:r>
      <w:bookmarkEnd w:id="132"/>
    </w:p>
    <w:p w14:paraId="296BC6E6" w14:textId="77777777" w:rsidR="005B6A9C" w:rsidRPr="00B433A3" w:rsidRDefault="005B6A9C" w:rsidP="00B8343E">
      <w:pPr>
        <w:rPr>
          <w:szCs w:val="24"/>
        </w:rPr>
      </w:pPr>
      <w:r w:rsidRPr="00B433A3">
        <w:rPr>
          <w:szCs w:val="24"/>
        </w:rPr>
        <w:t>La liste complète des Questions, des Recommandations et des Rapports de l'UIT-R approuvés depuis la réunion de 2021 du GCR est reproduite dans l'Addendum 1 au présent document.</w:t>
      </w:r>
    </w:p>
    <w:p w14:paraId="26BA3BB9" w14:textId="77777777" w:rsidR="005B6A9C" w:rsidRPr="00B433A3" w:rsidRDefault="005B6A9C" w:rsidP="00B8343E">
      <w:pPr>
        <w:pStyle w:val="Headingb"/>
      </w:pPr>
      <w:r w:rsidRPr="00B433A3">
        <w:t>•</w:t>
      </w:r>
      <w:r w:rsidRPr="00B433A3">
        <w:tab/>
        <w:t>Questions de l'UIT-R</w:t>
      </w:r>
    </w:p>
    <w:p w14:paraId="5191FDB3" w14:textId="3B473DBA" w:rsidR="005B6A9C" w:rsidRPr="00B433A3" w:rsidRDefault="005B6A9C" w:rsidP="00B8343E">
      <w:pPr>
        <w:rPr>
          <w:szCs w:val="24"/>
        </w:rPr>
      </w:pPr>
      <w:r w:rsidRPr="00B433A3">
        <w:rPr>
          <w:szCs w:val="24"/>
        </w:rPr>
        <w:t>Depuis la réunion de 2021 du GCR, quatre nouvelles Questions de l'UIT-R et une Question de l'UIT-R révisée ont été approuvées conformément aux</w:t>
      </w:r>
      <w:bookmarkStart w:id="133" w:name="lt_pId610"/>
      <w:r w:rsidRPr="00B433A3">
        <w:rPr>
          <w:szCs w:val="24"/>
        </w:rPr>
        <w:t xml:space="preserve"> procédures établies dans la Résolution</w:t>
      </w:r>
      <w:r w:rsidR="006E707D" w:rsidRPr="00B433A3">
        <w:rPr>
          <w:szCs w:val="24"/>
        </w:rPr>
        <w:t> </w:t>
      </w:r>
      <w:r w:rsidRPr="00B433A3">
        <w:rPr>
          <w:szCs w:val="24"/>
        </w:rPr>
        <w:t>UIT</w:t>
      </w:r>
      <w:r w:rsidR="0063237C" w:rsidRPr="00B433A3">
        <w:rPr>
          <w:szCs w:val="24"/>
        </w:rPr>
        <w:noBreakHyphen/>
      </w:r>
      <w:r w:rsidRPr="00B433A3">
        <w:rPr>
          <w:szCs w:val="24"/>
        </w:rPr>
        <w:t>R 1-8, et publiées.</w:t>
      </w:r>
      <w:bookmarkEnd w:id="133"/>
    </w:p>
    <w:p w14:paraId="68BE9F88" w14:textId="77777777" w:rsidR="005B6A9C" w:rsidRPr="00B433A3" w:rsidRDefault="005B6A9C" w:rsidP="00B8343E">
      <w:pPr>
        <w:pStyle w:val="Headingb"/>
      </w:pPr>
      <w:r w:rsidRPr="00B433A3">
        <w:t>•</w:t>
      </w:r>
      <w:r w:rsidRPr="00B433A3">
        <w:tab/>
        <w:t>Recommandations UIT-R</w:t>
      </w:r>
    </w:p>
    <w:p w14:paraId="73FB06A2" w14:textId="36E7AF4F" w:rsidR="005B6A9C" w:rsidRPr="00B433A3" w:rsidRDefault="005B6A9C" w:rsidP="00B8343E">
      <w:r w:rsidRPr="00B433A3">
        <w:t>Depuis la réunion de 2021 du GCR, cinq nouvelles Recommandations UIT-R et</w:t>
      </w:r>
      <w:r w:rsidR="00624C8E" w:rsidRPr="00B433A3">
        <w:t> </w:t>
      </w:r>
      <w:r w:rsidRPr="00B433A3">
        <w:t>46 Recommandations UIT-R révisées ont été approuvées conformément aux procédures établies dans la Résolution UIT-R 1-8, et publiées sur le site web de l'UIT (en anglais).</w:t>
      </w:r>
      <w:r w:rsidRPr="00B433A3">
        <w:rPr>
          <w:color w:val="000000"/>
        </w:rPr>
        <w:t xml:space="preserve"> Quelques-unes de ces Recommandations UIT-R seront publiées dans les six langues prochainement.</w:t>
      </w:r>
    </w:p>
    <w:p w14:paraId="003A7A14" w14:textId="77777777" w:rsidR="005B6A9C" w:rsidRPr="00B433A3" w:rsidRDefault="005B6A9C" w:rsidP="00B8343E">
      <w:pPr>
        <w:pStyle w:val="Headingb"/>
      </w:pPr>
      <w:r w:rsidRPr="00B433A3">
        <w:t>•</w:t>
      </w:r>
      <w:r w:rsidRPr="00B433A3">
        <w:tab/>
        <w:t>Rapports UIT-R</w:t>
      </w:r>
    </w:p>
    <w:p w14:paraId="5E6A033E" w14:textId="77777777" w:rsidR="005B6A9C" w:rsidRPr="00B433A3" w:rsidRDefault="005B6A9C" w:rsidP="00B8343E">
      <w:bookmarkStart w:id="134" w:name="lt_pId702"/>
      <w:r w:rsidRPr="00B433A3">
        <w:t xml:space="preserve">Depuis la </w:t>
      </w:r>
      <w:r w:rsidRPr="00B433A3">
        <w:rPr>
          <w:szCs w:val="24"/>
        </w:rPr>
        <w:t>réunion de 2021 du GCR</w:t>
      </w:r>
      <w:r w:rsidRPr="00B433A3">
        <w:t>, 17 nouveaux Rapports UIT-R et 31 Rapports UIT-R révisés ont été publiés sur le site web de l'UIT (en anglais).</w:t>
      </w:r>
      <w:bookmarkEnd w:id="134"/>
    </w:p>
    <w:p w14:paraId="240B4149" w14:textId="77777777" w:rsidR="005B6A9C" w:rsidRPr="00B433A3" w:rsidRDefault="005B6A9C" w:rsidP="00B8343E">
      <w:pPr>
        <w:pStyle w:val="Headingb"/>
      </w:pPr>
      <w:r w:rsidRPr="00B433A3">
        <w:t>•</w:t>
      </w:r>
      <w:r w:rsidRPr="00B433A3">
        <w:tab/>
        <w:t>Manuels de l'UIT-R</w:t>
      </w:r>
    </w:p>
    <w:p w14:paraId="5ED454A0" w14:textId="77777777" w:rsidR="005B6A9C" w:rsidRPr="00B433A3" w:rsidRDefault="005B6A9C" w:rsidP="00B8343E">
      <w:r w:rsidRPr="00B433A3">
        <w:t>Depuis la réunion de 2021 du GCR, le GT 5A a révisé et approuvé le Manuel sur les communications mobiles terrestres (y compris accès hertzien) – Volume 4</w:t>
      </w:r>
      <w:proofErr w:type="gramStart"/>
      <w:r w:rsidRPr="00B433A3">
        <w:t xml:space="preserve"> «Systèmes</w:t>
      </w:r>
      <w:proofErr w:type="gramEnd"/>
      <w:r w:rsidRPr="00B433A3">
        <w:t xml:space="preserve"> de transport intelligents». En outre, la CE 6 a approuvé le Manuel sur la mise en œuvre des réseaux et systèmes de radiodiffusion télévisuelle numérique de Terre et, afin d'inclure les interfaces radioélectriques des IMT-2020, le GT 5D a mis à jour le Manuel sur l'évolution des IMT à l'échelle mondiale, qui va être renommé</w:t>
      </w:r>
      <w:proofErr w:type="gramStart"/>
      <w:r w:rsidRPr="00B433A3">
        <w:t xml:space="preserve"> «Manuel</w:t>
      </w:r>
      <w:proofErr w:type="gramEnd"/>
      <w:r w:rsidRPr="00B433A3">
        <w:t xml:space="preserve"> sur les IMT».</w:t>
      </w:r>
    </w:p>
    <w:p w14:paraId="12BF666E" w14:textId="77777777" w:rsidR="005B6A9C" w:rsidRPr="00B433A3" w:rsidRDefault="005B6A9C" w:rsidP="00B8343E">
      <w:pPr>
        <w:pStyle w:val="Heading3"/>
      </w:pPr>
      <w:r w:rsidRPr="00B433A3">
        <w:lastRenderedPageBreak/>
        <w:t>8.1.4</w:t>
      </w:r>
      <w:r w:rsidRPr="00B433A3">
        <w:tab/>
      </w:r>
      <w:bookmarkStart w:id="135" w:name="lt_pId760"/>
      <w:r w:rsidRPr="00B433A3">
        <w:t>Téléchargement des publications de l'UIT-R</w:t>
      </w:r>
      <w:bookmarkEnd w:id="135"/>
    </w:p>
    <w:p w14:paraId="53C93771" w14:textId="77777777" w:rsidR="005B6A9C" w:rsidRPr="00B433A3" w:rsidRDefault="005B6A9C" w:rsidP="00B8343E">
      <w:pPr>
        <w:pStyle w:val="Heading4"/>
      </w:pPr>
      <w:r w:rsidRPr="00B433A3">
        <w:t>8.1.4.1</w:t>
      </w:r>
      <w:bookmarkStart w:id="136" w:name="lt_pId762"/>
      <w:r w:rsidRPr="00B433A3">
        <w:tab/>
        <w:t>Règlement des radiocommunications et Règles de procédure</w:t>
      </w:r>
      <w:bookmarkEnd w:id="136"/>
      <w:r w:rsidRPr="00B433A3">
        <w:t xml:space="preserve"> </w:t>
      </w:r>
    </w:p>
    <w:p w14:paraId="6960CDB4" w14:textId="781687C5" w:rsidR="005B6A9C" w:rsidRPr="00B433A3" w:rsidRDefault="005B6A9C" w:rsidP="00B8343E">
      <w:bookmarkStart w:id="137" w:name="lt_pId763"/>
      <w:r w:rsidRPr="00B433A3">
        <w:t>En ce qui concerne ces documents réglementaires, on trouvera dans le Tableau 8.1.4.1-1 le nombre de livraisons des éditions de 2016 et de 2020 du RR.</w:t>
      </w:r>
      <w:bookmarkEnd w:id="137"/>
      <w:r w:rsidRPr="00B433A3">
        <w:t xml:space="preserve"> </w:t>
      </w:r>
      <w:r w:rsidR="005B64C8" w:rsidRPr="00B433A3">
        <w:t xml:space="preserve">Suite </w:t>
      </w:r>
      <w:r w:rsidRPr="00B433A3">
        <w:t>à une demande formulée à la réunion de</w:t>
      </w:r>
      <w:r w:rsidR="00624C8E" w:rsidRPr="00B433A3">
        <w:t> </w:t>
      </w:r>
      <w:r w:rsidRPr="00B433A3">
        <w:t xml:space="preserve">2021 du GCR, les versions </w:t>
      </w:r>
      <w:proofErr w:type="spellStart"/>
      <w:r w:rsidRPr="00B433A3">
        <w:t>pdf</w:t>
      </w:r>
      <w:proofErr w:type="spellEnd"/>
      <w:r w:rsidRPr="00B433A3">
        <w:t xml:space="preserve"> et Word de l</w:t>
      </w:r>
      <w:r w:rsidR="006D4AC5" w:rsidRPr="00B433A3">
        <w:t>'</w:t>
      </w:r>
      <w:r w:rsidRPr="00B433A3">
        <w:t>édition de 2020 du RR sont accessibles en téléchargement gratuit sur le site web de l</w:t>
      </w:r>
      <w:r w:rsidR="006D4AC5" w:rsidRPr="00B433A3">
        <w:t>'</w:t>
      </w:r>
      <w:r w:rsidRPr="00B433A3">
        <w:t>UIT</w:t>
      </w:r>
      <w:r w:rsidR="005B64C8" w:rsidRPr="00B433A3">
        <w:t xml:space="preserve"> </w:t>
      </w:r>
      <w:hyperlink r:id="rId37" w:history="1">
        <w:r w:rsidR="005B64C8" w:rsidRPr="00B433A3">
          <w:rPr>
            <w:rStyle w:val="Hyperlink"/>
          </w:rPr>
          <w:t>ici</w:t>
        </w:r>
      </w:hyperlink>
      <w:r w:rsidRPr="00B433A3">
        <w:t xml:space="preserve">, les versions Word étant également accessibles en téléchargement gratuit </w:t>
      </w:r>
      <w:hyperlink r:id="rId38" w:history="1">
        <w:r w:rsidR="005B64C8" w:rsidRPr="007E7CB7">
          <w:rPr>
            <w:rStyle w:val="Hyperlink"/>
          </w:rPr>
          <w:t>ici</w:t>
        </w:r>
      </w:hyperlink>
      <w:r w:rsidR="007E7CB7">
        <w:t xml:space="preserve">. </w:t>
      </w:r>
      <w:r w:rsidRPr="00B433A3">
        <w:t>On trouvera dans le Tableau</w:t>
      </w:r>
      <w:r w:rsidR="0063237C" w:rsidRPr="00B433A3">
        <w:t> </w:t>
      </w:r>
      <w:r w:rsidRPr="00B433A3">
        <w:t>8.1.4.1-2 le nombre total de téléchargements des Règles de procédure pendant la même période. L'édition de 2021 des Règles de procédure, qui tient compte des décisions de la CMR-19, a été publiée en juin 2021. Cette édition a ultérieurement fait l'objet d'une mise à jour pour tenir compte des Règles de procédure nouvelles ou modifiées qui ont été approuvées par le Comité du Règlement des radiocommunications.</w:t>
      </w:r>
    </w:p>
    <w:p w14:paraId="41C0628F" w14:textId="77777777" w:rsidR="005B6A9C" w:rsidRPr="00B433A3" w:rsidRDefault="005B6A9C" w:rsidP="00B8343E">
      <w:pPr>
        <w:pStyle w:val="TableNoBR"/>
        <w:rPr>
          <w:rFonts w:eastAsiaTheme="minorEastAsia"/>
        </w:rPr>
      </w:pPr>
      <w:bookmarkStart w:id="138" w:name="lt_pId765"/>
      <w:bookmarkStart w:id="139" w:name="_Hlk65231203"/>
      <w:r w:rsidRPr="00B433A3">
        <w:rPr>
          <w:rFonts w:eastAsiaTheme="minorEastAsia"/>
        </w:rPr>
        <w:t>Tableau 8.1.4.1-1</w:t>
      </w:r>
      <w:bookmarkEnd w:id="138"/>
    </w:p>
    <w:p w14:paraId="0C91DE92" w14:textId="77777777" w:rsidR="005B6A9C" w:rsidRPr="00B433A3" w:rsidRDefault="005B6A9C" w:rsidP="00B8343E">
      <w:pPr>
        <w:pStyle w:val="Tabletitle"/>
        <w:rPr>
          <w:sz w:val="24"/>
          <w:szCs w:val="24"/>
          <w:lang w:val="fr-FR"/>
        </w:rPr>
      </w:pPr>
      <w:bookmarkStart w:id="140" w:name="lt_pId766"/>
      <w:r w:rsidRPr="00B433A3">
        <w:rPr>
          <w:sz w:val="24"/>
          <w:szCs w:val="24"/>
          <w:lang w:val="fr-FR"/>
        </w:rPr>
        <w:t xml:space="preserve">Nombre de livraisons du Règlement des radiocommunications </w:t>
      </w:r>
      <w:bookmarkEnd w:id="139"/>
      <w:bookmarkEnd w:id="140"/>
    </w:p>
    <w:tbl>
      <w:tblPr>
        <w:tblStyle w:val="GridTable5Dark-Accent11"/>
        <w:tblW w:w="9629" w:type="dxa"/>
        <w:jc w:val="center"/>
        <w:tblLook w:val="04A0" w:firstRow="1" w:lastRow="0" w:firstColumn="1" w:lastColumn="0" w:noHBand="0" w:noVBand="1"/>
      </w:tblPr>
      <w:tblGrid>
        <w:gridCol w:w="2386"/>
        <w:gridCol w:w="1409"/>
        <w:gridCol w:w="1729"/>
        <w:gridCol w:w="2409"/>
        <w:gridCol w:w="1696"/>
      </w:tblGrid>
      <w:tr w:rsidR="005B6A9C" w:rsidRPr="00B433A3" w14:paraId="06FBEE56" w14:textId="77777777" w:rsidTr="0063237C">
        <w:trPr>
          <w:cnfStyle w:val="100000000000" w:firstRow="1" w:lastRow="0" w:firstColumn="0" w:lastColumn="0" w:oddVBand="0" w:evenVBand="0" w:oddHBand="0" w:evenHBand="0" w:firstRowFirstColumn="0" w:firstRowLastColumn="0" w:lastRowFirstColumn="0" w:lastRowLastColumn="0"/>
          <w:trHeight w:val="525"/>
          <w:jc w:val="center"/>
        </w:trPr>
        <w:tc>
          <w:tcPr>
            <w:cnfStyle w:val="001000000000" w:firstRow="0" w:lastRow="0" w:firstColumn="1" w:lastColumn="0" w:oddVBand="0" w:evenVBand="0" w:oddHBand="0" w:evenHBand="0" w:firstRowFirstColumn="0" w:firstRowLastColumn="0" w:lastRowFirstColumn="0" w:lastRowLastColumn="0"/>
            <w:tcW w:w="2386" w:type="dxa"/>
            <w:tcBorders>
              <w:bottom w:val="single" w:sz="4" w:space="0" w:color="FFFFFF" w:themeColor="background1"/>
            </w:tcBorders>
            <w:vAlign w:val="center"/>
            <w:hideMark/>
          </w:tcPr>
          <w:p w14:paraId="5314399D" w14:textId="77777777" w:rsidR="005B6A9C" w:rsidRPr="00B433A3" w:rsidRDefault="005B6A9C" w:rsidP="00B8343E">
            <w:pPr>
              <w:pStyle w:val="Tabletext"/>
              <w:jc w:val="center"/>
              <w:rPr>
                <w:lang w:eastAsia="zh-CN"/>
              </w:rPr>
            </w:pPr>
            <w:bookmarkStart w:id="141" w:name="lt_pId767"/>
            <w:r w:rsidRPr="00B433A3">
              <w:rPr>
                <w:lang w:eastAsia="zh-CN"/>
              </w:rPr>
              <w:t>RR-16</w:t>
            </w:r>
            <w:bookmarkEnd w:id="141"/>
          </w:p>
        </w:tc>
        <w:tc>
          <w:tcPr>
            <w:tcW w:w="1409" w:type="dxa"/>
            <w:tcBorders>
              <w:bottom w:val="single" w:sz="4" w:space="0" w:color="FFFFFF" w:themeColor="background1"/>
            </w:tcBorders>
            <w:vAlign w:val="center"/>
            <w:hideMark/>
          </w:tcPr>
          <w:p w14:paraId="49F32D2D" w14:textId="77777777" w:rsidR="005B6A9C" w:rsidRPr="00B433A3" w:rsidRDefault="005B6A9C" w:rsidP="00B8343E">
            <w:pPr>
              <w:pStyle w:val="Tabletext"/>
              <w:jc w:val="center"/>
              <w:cnfStyle w:val="100000000000" w:firstRow="1" w:lastRow="0" w:firstColumn="0" w:lastColumn="0" w:oddVBand="0" w:evenVBand="0" w:oddHBand="0" w:evenHBand="0" w:firstRowFirstColumn="0" w:firstRowLastColumn="0" w:lastRowFirstColumn="0" w:lastRowLastColumn="0"/>
              <w:rPr>
                <w:lang w:eastAsia="zh-CN"/>
              </w:rPr>
            </w:pPr>
            <w:r w:rsidRPr="00B433A3">
              <w:rPr>
                <w:lang w:eastAsia="zh-CN"/>
              </w:rPr>
              <w:t>2018</w:t>
            </w:r>
          </w:p>
        </w:tc>
        <w:tc>
          <w:tcPr>
            <w:tcW w:w="1729" w:type="dxa"/>
            <w:tcBorders>
              <w:bottom w:val="single" w:sz="4" w:space="0" w:color="FFFFFF" w:themeColor="background1"/>
            </w:tcBorders>
            <w:vAlign w:val="center"/>
            <w:hideMark/>
          </w:tcPr>
          <w:p w14:paraId="1118FBD4" w14:textId="77777777" w:rsidR="005B6A9C" w:rsidRPr="00B433A3" w:rsidRDefault="005B6A9C" w:rsidP="00B8343E">
            <w:pPr>
              <w:pStyle w:val="Tabletext"/>
              <w:jc w:val="center"/>
              <w:cnfStyle w:val="100000000000" w:firstRow="1" w:lastRow="0" w:firstColumn="0" w:lastColumn="0" w:oddVBand="0" w:evenVBand="0" w:oddHBand="0" w:evenHBand="0" w:firstRowFirstColumn="0" w:firstRowLastColumn="0" w:lastRowFirstColumn="0" w:lastRowLastColumn="0"/>
              <w:rPr>
                <w:lang w:eastAsia="zh-CN"/>
              </w:rPr>
            </w:pPr>
            <w:r w:rsidRPr="00B433A3">
              <w:rPr>
                <w:lang w:eastAsia="zh-CN"/>
              </w:rPr>
              <w:t>2019</w:t>
            </w:r>
          </w:p>
        </w:tc>
        <w:tc>
          <w:tcPr>
            <w:tcW w:w="2409" w:type="dxa"/>
            <w:tcBorders>
              <w:bottom w:val="single" w:sz="4" w:space="0" w:color="FFFFFF" w:themeColor="background1"/>
            </w:tcBorders>
            <w:vAlign w:val="center"/>
            <w:hideMark/>
          </w:tcPr>
          <w:p w14:paraId="0681BDC0" w14:textId="77777777" w:rsidR="005B6A9C" w:rsidRPr="00B433A3" w:rsidRDefault="005B6A9C" w:rsidP="00B8343E">
            <w:pPr>
              <w:pStyle w:val="Tabletext"/>
              <w:jc w:val="center"/>
              <w:cnfStyle w:val="100000000000" w:firstRow="1" w:lastRow="0" w:firstColumn="0" w:lastColumn="0" w:oddVBand="0" w:evenVBand="0" w:oddHBand="0" w:evenHBand="0" w:firstRowFirstColumn="0" w:firstRowLastColumn="0" w:lastRowFirstColumn="0" w:lastRowLastColumn="0"/>
              <w:rPr>
                <w:lang w:eastAsia="zh-CN"/>
              </w:rPr>
            </w:pPr>
            <w:r w:rsidRPr="00B433A3">
              <w:rPr>
                <w:color w:val="FFFFFF"/>
                <w:lang w:eastAsia="zh-CN"/>
              </w:rPr>
              <w:t>2020*</w:t>
            </w:r>
            <w:r w:rsidRPr="00B433A3">
              <w:rPr>
                <w:color w:val="FFFFFF"/>
                <w:lang w:eastAsia="zh-CN"/>
              </w:rPr>
              <w:br/>
              <w:t>(Éditions de 2016 et de 2020)</w:t>
            </w:r>
          </w:p>
        </w:tc>
        <w:tc>
          <w:tcPr>
            <w:tcW w:w="1696" w:type="dxa"/>
            <w:tcBorders>
              <w:bottom w:val="single" w:sz="4" w:space="0" w:color="FFFFFF" w:themeColor="background1"/>
            </w:tcBorders>
            <w:vAlign w:val="center"/>
            <w:hideMark/>
          </w:tcPr>
          <w:p w14:paraId="3A591809" w14:textId="77777777" w:rsidR="005B6A9C" w:rsidRPr="00B433A3" w:rsidRDefault="005B6A9C" w:rsidP="00B8343E">
            <w:pPr>
              <w:pStyle w:val="Tabletext"/>
              <w:jc w:val="center"/>
              <w:cnfStyle w:val="100000000000" w:firstRow="1" w:lastRow="0" w:firstColumn="0" w:lastColumn="0" w:oddVBand="0" w:evenVBand="0" w:oddHBand="0" w:evenHBand="0" w:firstRowFirstColumn="0" w:firstRowLastColumn="0" w:lastRowFirstColumn="0" w:lastRowLastColumn="0"/>
              <w:rPr>
                <w:color w:val="FFFFFF"/>
                <w:lang w:eastAsia="zh-CN"/>
              </w:rPr>
            </w:pPr>
            <w:r w:rsidRPr="00B433A3">
              <w:rPr>
                <w:color w:val="FFFFFF"/>
                <w:lang w:eastAsia="zh-CN"/>
              </w:rPr>
              <w:t>2021</w:t>
            </w:r>
            <w:r w:rsidRPr="00B433A3">
              <w:rPr>
                <w:color w:val="FFFFFF"/>
                <w:lang w:eastAsia="zh-CN"/>
              </w:rPr>
              <w:br/>
              <w:t>RR-20</w:t>
            </w:r>
          </w:p>
        </w:tc>
      </w:tr>
      <w:tr w:rsidR="005B6A9C" w:rsidRPr="00B433A3" w14:paraId="2B81C45D" w14:textId="77777777" w:rsidTr="0063237C">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2386" w:type="dxa"/>
            <w:tcBorders>
              <w:top w:val="single" w:sz="4" w:space="0" w:color="FFFFFF" w:themeColor="background1"/>
              <w:bottom w:val="single" w:sz="4" w:space="0" w:color="FFFFFF" w:themeColor="background1"/>
              <w:right w:val="single" w:sz="4" w:space="0" w:color="FFFFFF" w:themeColor="background1"/>
            </w:tcBorders>
            <w:vAlign w:val="center"/>
            <w:hideMark/>
          </w:tcPr>
          <w:p w14:paraId="09F2FD49" w14:textId="638B2410" w:rsidR="005B6A9C" w:rsidRPr="00B433A3" w:rsidRDefault="005B6A9C" w:rsidP="00B8343E">
            <w:pPr>
              <w:pStyle w:val="Tabletext"/>
              <w:jc w:val="center"/>
              <w:rPr>
                <w:lang w:eastAsia="zh-CN"/>
              </w:rPr>
            </w:pPr>
            <w:bookmarkStart w:id="142" w:name="lt_pId770"/>
            <w:r w:rsidRPr="00B433A3">
              <w:rPr>
                <w:lang w:eastAsia="zh-CN"/>
              </w:rPr>
              <w:t>Exemplaires papier vendus</w:t>
            </w:r>
            <w:bookmarkEnd w:id="142"/>
          </w:p>
        </w:tc>
        <w:tc>
          <w:tcPr>
            <w:tcW w:w="140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49EB9B28" w14:textId="77777777" w:rsidR="005B6A9C" w:rsidRPr="00B433A3" w:rsidRDefault="005B6A9C" w:rsidP="00B8343E">
            <w:pPr>
              <w:pStyle w:val="Tabletext"/>
              <w:jc w:val="center"/>
              <w:cnfStyle w:val="000000100000" w:firstRow="0" w:lastRow="0" w:firstColumn="0" w:lastColumn="0" w:oddVBand="0" w:evenVBand="0" w:oddHBand="1" w:evenHBand="0" w:firstRowFirstColumn="0" w:firstRowLastColumn="0" w:lastRowFirstColumn="0" w:lastRowLastColumn="0"/>
              <w:rPr>
                <w:color w:val="000000"/>
                <w:lang w:eastAsia="zh-CN"/>
              </w:rPr>
            </w:pPr>
            <w:r w:rsidRPr="00B433A3">
              <w:rPr>
                <w:color w:val="000000"/>
                <w:lang w:eastAsia="zh-CN"/>
              </w:rPr>
              <w:t>257</w:t>
            </w:r>
          </w:p>
        </w:tc>
        <w:tc>
          <w:tcPr>
            <w:tcW w:w="17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6EAC2BDD" w14:textId="77777777" w:rsidR="005B6A9C" w:rsidRPr="00B433A3" w:rsidRDefault="005B6A9C" w:rsidP="00B8343E">
            <w:pPr>
              <w:pStyle w:val="Tabletext"/>
              <w:jc w:val="center"/>
              <w:cnfStyle w:val="000000100000" w:firstRow="0" w:lastRow="0" w:firstColumn="0" w:lastColumn="0" w:oddVBand="0" w:evenVBand="0" w:oddHBand="1" w:evenHBand="0" w:firstRowFirstColumn="0" w:firstRowLastColumn="0" w:lastRowFirstColumn="0" w:lastRowLastColumn="0"/>
              <w:rPr>
                <w:color w:val="000000"/>
                <w:lang w:eastAsia="zh-CN"/>
              </w:rPr>
            </w:pPr>
            <w:r w:rsidRPr="00B433A3">
              <w:rPr>
                <w:color w:val="000000"/>
                <w:lang w:eastAsia="zh-CN"/>
              </w:rPr>
              <w:t>182</w:t>
            </w:r>
          </w:p>
        </w:tc>
        <w:tc>
          <w:tcPr>
            <w:tcW w:w="240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5E1BB16C" w14:textId="77777777" w:rsidR="005B6A9C" w:rsidRPr="00B433A3" w:rsidRDefault="005B6A9C" w:rsidP="00B8343E">
            <w:pPr>
              <w:pStyle w:val="Tabletext"/>
              <w:jc w:val="center"/>
              <w:cnfStyle w:val="000000100000" w:firstRow="0" w:lastRow="0" w:firstColumn="0" w:lastColumn="0" w:oddVBand="0" w:evenVBand="0" w:oddHBand="1" w:evenHBand="0" w:firstRowFirstColumn="0" w:firstRowLastColumn="0" w:lastRowFirstColumn="0" w:lastRowLastColumn="0"/>
              <w:rPr>
                <w:color w:val="000000"/>
                <w:lang w:eastAsia="zh-CN"/>
              </w:rPr>
            </w:pPr>
            <w:r w:rsidRPr="00B433A3">
              <w:rPr>
                <w:color w:val="000000"/>
                <w:lang w:eastAsia="zh-CN"/>
              </w:rPr>
              <w:t xml:space="preserve">Édition de </w:t>
            </w:r>
            <w:proofErr w:type="gramStart"/>
            <w:r w:rsidRPr="00B433A3">
              <w:rPr>
                <w:color w:val="000000"/>
                <w:lang w:eastAsia="zh-CN"/>
              </w:rPr>
              <w:t>2016:</w:t>
            </w:r>
            <w:proofErr w:type="gramEnd"/>
            <w:r w:rsidRPr="00B433A3">
              <w:rPr>
                <w:color w:val="000000"/>
                <w:lang w:eastAsia="zh-CN"/>
              </w:rPr>
              <w:t xml:space="preserve"> 59</w:t>
            </w:r>
            <w:r w:rsidRPr="00B433A3">
              <w:rPr>
                <w:color w:val="000000"/>
                <w:lang w:eastAsia="zh-CN"/>
              </w:rPr>
              <w:br/>
              <w:t>Édition de 2020: 1 170</w:t>
            </w:r>
          </w:p>
        </w:tc>
        <w:tc>
          <w:tcPr>
            <w:tcW w:w="169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67726B0D" w14:textId="77777777" w:rsidR="005B6A9C" w:rsidRPr="00B433A3" w:rsidRDefault="005B6A9C" w:rsidP="00B8343E">
            <w:pPr>
              <w:pStyle w:val="Tabletext"/>
              <w:jc w:val="center"/>
              <w:cnfStyle w:val="000000100000" w:firstRow="0" w:lastRow="0" w:firstColumn="0" w:lastColumn="0" w:oddVBand="0" w:evenVBand="0" w:oddHBand="1" w:evenHBand="0" w:firstRowFirstColumn="0" w:firstRowLastColumn="0" w:lastRowFirstColumn="0" w:lastRowLastColumn="0"/>
              <w:rPr>
                <w:color w:val="000000"/>
                <w:lang w:eastAsia="zh-CN"/>
              </w:rPr>
            </w:pPr>
            <w:r w:rsidRPr="00B433A3">
              <w:rPr>
                <w:color w:val="000000" w:themeColor="text1"/>
                <w:lang w:eastAsia="zh-CN"/>
              </w:rPr>
              <w:t>274</w:t>
            </w:r>
          </w:p>
        </w:tc>
      </w:tr>
      <w:tr w:rsidR="005B6A9C" w:rsidRPr="00B433A3" w14:paraId="4C863C6F" w14:textId="77777777" w:rsidTr="0063237C">
        <w:trPr>
          <w:trHeight w:val="315"/>
          <w:jc w:val="center"/>
        </w:trPr>
        <w:tc>
          <w:tcPr>
            <w:cnfStyle w:val="001000000000" w:firstRow="0" w:lastRow="0" w:firstColumn="1" w:lastColumn="0" w:oddVBand="0" w:evenVBand="0" w:oddHBand="0" w:evenHBand="0" w:firstRowFirstColumn="0" w:firstRowLastColumn="0" w:lastRowFirstColumn="0" w:lastRowLastColumn="0"/>
            <w:tcW w:w="2386" w:type="dxa"/>
            <w:tcBorders>
              <w:top w:val="single" w:sz="4" w:space="0" w:color="FFFFFF" w:themeColor="background1"/>
              <w:bottom w:val="single" w:sz="4" w:space="0" w:color="FFFFFF" w:themeColor="background1"/>
              <w:right w:val="single" w:sz="4" w:space="0" w:color="FFFFFF" w:themeColor="background1"/>
            </w:tcBorders>
            <w:vAlign w:val="center"/>
            <w:hideMark/>
          </w:tcPr>
          <w:p w14:paraId="2C56FA2E" w14:textId="77777777" w:rsidR="005B6A9C" w:rsidRPr="00B433A3" w:rsidRDefault="005B6A9C" w:rsidP="00B8343E">
            <w:pPr>
              <w:pStyle w:val="Tabletext"/>
              <w:jc w:val="center"/>
              <w:rPr>
                <w:lang w:eastAsia="zh-CN"/>
              </w:rPr>
            </w:pPr>
            <w:r w:rsidRPr="00B433A3">
              <w:rPr>
                <w:lang w:eastAsia="zh-CN"/>
              </w:rPr>
              <w:t>DVD vendus</w:t>
            </w:r>
          </w:p>
        </w:tc>
        <w:tc>
          <w:tcPr>
            <w:tcW w:w="140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1FC87AC0" w14:textId="77777777" w:rsidR="005B6A9C" w:rsidRPr="00B433A3" w:rsidRDefault="005B6A9C" w:rsidP="00B8343E">
            <w:pPr>
              <w:pStyle w:val="Tabletext"/>
              <w:jc w:val="center"/>
              <w:cnfStyle w:val="000000000000" w:firstRow="0" w:lastRow="0" w:firstColumn="0" w:lastColumn="0" w:oddVBand="0" w:evenVBand="0" w:oddHBand="0" w:evenHBand="0" w:firstRowFirstColumn="0" w:firstRowLastColumn="0" w:lastRowFirstColumn="0" w:lastRowLastColumn="0"/>
              <w:rPr>
                <w:color w:val="000000"/>
                <w:lang w:eastAsia="zh-CN"/>
              </w:rPr>
            </w:pPr>
            <w:r w:rsidRPr="00B433A3">
              <w:rPr>
                <w:color w:val="000000" w:themeColor="text1"/>
                <w:lang w:eastAsia="zh-CN"/>
              </w:rPr>
              <w:t>1 264</w:t>
            </w:r>
          </w:p>
        </w:tc>
        <w:tc>
          <w:tcPr>
            <w:tcW w:w="17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6919C887" w14:textId="77777777" w:rsidR="005B6A9C" w:rsidRPr="00B433A3" w:rsidRDefault="005B6A9C" w:rsidP="00B8343E">
            <w:pPr>
              <w:pStyle w:val="Tabletext"/>
              <w:jc w:val="center"/>
              <w:cnfStyle w:val="000000000000" w:firstRow="0" w:lastRow="0" w:firstColumn="0" w:lastColumn="0" w:oddVBand="0" w:evenVBand="0" w:oddHBand="0" w:evenHBand="0" w:firstRowFirstColumn="0" w:firstRowLastColumn="0" w:lastRowFirstColumn="0" w:lastRowLastColumn="0"/>
              <w:rPr>
                <w:color w:val="000000"/>
                <w:lang w:eastAsia="zh-CN"/>
              </w:rPr>
            </w:pPr>
            <w:r w:rsidRPr="00B433A3">
              <w:rPr>
                <w:color w:val="000000" w:themeColor="text1"/>
                <w:lang w:eastAsia="zh-CN"/>
              </w:rPr>
              <w:t>1 063</w:t>
            </w:r>
          </w:p>
        </w:tc>
        <w:tc>
          <w:tcPr>
            <w:tcW w:w="240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1D2EC666" w14:textId="77777777" w:rsidR="005B6A9C" w:rsidRPr="00B433A3" w:rsidRDefault="005B6A9C" w:rsidP="00B8343E">
            <w:pPr>
              <w:pStyle w:val="Tabletext"/>
              <w:jc w:val="center"/>
              <w:cnfStyle w:val="000000000000" w:firstRow="0" w:lastRow="0" w:firstColumn="0" w:lastColumn="0" w:oddVBand="0" w:evenVBand="0" w:oddHBand="0" w:evenHBand="0" w:firstRowFirstColumn="0" w:firstRowLastColumn="0" w:lastRowFirstColumn="0" w:lastRowLastColumn="0"/>
              <w:rPr>
                <w:color w:val="000000"/>
                <w:lang w:eastAsia="zh-CN"/>
              </w:rPr>
            </w:pPr>
            <w:r w:rsidRPr="00B433A3">
              <w:rPr>
                <w:color w:val="000000"/>
                <w:lang w:eastAsia="zh-CN"/>
              </w:rPr>
              <w:t xml:space="preserve">Édition de </w:t>
            </w:r>
            <w:proofErr w:type="gramStart"/>
            <w:r w:rsidRPr="00B433A3">
              <w:rPr>
                <w:color w:val="000000"/>
                <w:lang w:eastAsia="zh-CN"/>
              </w:rPr>
              <w:t>2016:</w:t>
            </w:r>
            <w:proofErr w:type="gramEnd"/>
            <w:r w:rsidRPr="00B433A3">
              <w:rPr>
                <w:color w:val="000000"/>
                <w:lang w:eastAsia="zh-CN"/>
              </w:rPr>
              <w:t xml:space="preserve"> 482</w:t>
            </w:r>
            <w:r w:rsidRPr="00B433A3">
              <w:rPr>
                <w:color w:val="000000"/>
                <w:lang w:eastAsia="zh-CN"/>
              </w:rPr>
              <w:br/>
              <w:t>Édition de 2020: 5 061</w:t>
            </w:r>
          </w:p>
        </w:tc>
        <w:tc>
          <w:tcPr>
            <w:tcW w:w="169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267E0B5A" w14:textId="77777777" w:rsidR="005B6A9C" w:rsidRPr="00B433A3" w:rsidRDefault="005B6A9C" w:rsidP="00B8343E">
            <w:pPr>
              <w:pStyle w:val="Tabletext"/>
              <w:jc w:val="center"/>
              <w:cnfStyle w:val="000000000000" w:firstRow="0" w:lastRow="0" w:firstColumn="0" w:lastColumn="0" w:oddVBand="0" w:evenVBand="0" w:oddHBand="0" w:evenHBand="0" w:firstRowFirstColumn="0" w:firstRowLastColumn="0" w:lastRowFirstColumn="0" w:lastRowLastColumn="0"/>
              <w:rPr>
                <w:color w:val="000000"/>
                <w:lang w:eastAsia="zh-CN"/>
              </w:rPr>
            </w:pPr>
            <w:r w:rsidRPr="00B433A3">
              <w:rPr>
                <w:color w:val="000000" w:themeColor="text1"/>
                <w:lang w:eastAsia="zh-CN"/>
              </w:rPr>
              <w:t>3 855</w:t>
            </w:r>
          </w:p>
        </w:tc>
      </w:tr>
      <w:tr w:rsidR="005B6A9C" w:rsidRPr="00B433A3" w14:paraId="56763EE1" w14:textId="77777777" w:rsidTr="0063237C">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2386" w:type="dxa"/>
            <w:tcBorders>
              <w:top w:val="single" w:sz="4" w:space="0" w:color="FFFFFF" w:themeColor="background1"/>
              <w:right w:val="single" w:sz="4" w:space="0" w:color="FFFFFF" w:themeColor="background1"/>
            </w:tcBorders>
            <w:vAlign w:val="center"/>
            <w:hideMark/>
          </w:tcPr>
          <w:p w14:paraId="54C945C4" w14:textId="7E88975F" w:rsidR="005B6A9C" w:rsidRPr="00B433A3" w:rsidRDefault="005B6A9C" w:rsidP="00B8343E">
            <w:pPr>
              <w:pStyle w:val="Tabletext"/>
              <w:jc w:val="center"/>
              <w:rPr>
                <w:lang w:eastAsia="zh-CN"/>
              </w:rPr>
            </w:pPr>
            <w:bookmarkStart w:id="143" w:name="lt_pId773"/>
            <w:r w:rsidRPr="00B433A3">
              <w:rPr>
                <w:lang w:eastAsia="zh-CN"/>
              </w:rPr>
              <w:t>Téléchargements gratuit</w:t>
            </w:r>
            <w:bookmarkEnd w:id="143"/>
            <w:r w:rsidRPr="00B433A3">
              <w:rPr>
                <w:lang w:eastAsia="zh-CN"/>
              </w:rPr>
              <w:t>s</w:t>
            </w:r>
          </w:p>
        </w:tc>
        <w:tc>
          <w:tcPr>
            <w:tcW w:w="140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48864911" w14:textId="01B1CBAB" w:rsidR="005B6A9C" w:rsidRPr="00B433A3" w:rsidRDefault="005B6A9C" w:rsidP="00B8343E">
            <w:pPr>
              <w:pStyle w:val="Tabletext"/>
              <w:jc w:val="center"/>
              <w:cnfStyle w:val="000000100000" w:firstRow="0" w:lastRow="0" w:firstColumn="0" w:lastColumn="0" w:oddVBand="0" w:evenVBand="0" w:oddHBand="1" w:evenHBand="0" w:firstRowFirstColumn="0" w:firstRowLastColumn="0" w:lastRowFirstColumn="0" w:lastRowLastColumn="0"/>
              <w:rPr>
                <w:color w:val="000000"/>
                <w:lang w:eastAsia="zh-CN"/>
              </w:rPr>
            </w:pPr>
            <w:r w:rsidRPr="00B433A3">
              <w:rPr>
                <w:color w:val="000000"/>
                <w:lang w:eastAsia="zh-CN"/>
              </w:rPr>
              <w:t>39</w:t>
            </w:r>
            <w:r w:rsidR="0063237C" w:rsidRPr="00B433A3">
              <w:rPr>
                <w:color w:val="000000"/>
                <w:lang w:eastAsia="zh-CN"/>
              </w:rPr>
              <w:t xml:space="preserve"> </w:t>
            </w:r>
            <w:r w:rsidRPr="00B433A3">
              <w:rPr>
                <w:color w:val="000000"/>
                <w:lang w:eastAsia="zh-CN"/>
              </w:rPr>
              <w:t>766</w:t>
            </w:r>
          </w:p>
        </w:tc>
        <w:tc>
          <w:tcPr>
            <w:tcW w:w="17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62ADFB59" w14:textId="77777777" w:rsidR="005B6A9C" w:rsidRPr="00B433A3" w:rsidRDefault="005B6A9C" w:rsidP="00B8343E">
            <w:pPr>
              <w:pStyle w:val="Tabletext"/>
              <w:jc w:val="center"/>
              <w:cnfStyle w:val="000000100000" w:firstRow="0" w:lastRow="0" w:firstColumn="0" w:lastColumn="0" w:oddVBand="0" w:evenVBand="0" w:oddHBand="1" w:evenHBand="0" w:firstRowFirstColumn="0" w:firstRowLastColumn="0" w:lastRowFirstColumn="0" w:lastRowLastColumn="0"/>
              <w:rPr>
                <w:color w:val="000000"/>
                <w:lang w:eastAsia="zh-CN"/>
              </w:rPr>
            </w:pPr>
            <w:r w:rsidRPr="00B433A3">
              <w:rPr>
                <w:color w:val="000000"/>
                <w:lang w:eastAsia="zh-CN"/>
              </w:rPr>
              <w:t>47 974</w:t>
            </w:r>
          </w:p>
        </w:tc>
        <w:tc>
          <w:tcPr>
            <w:tcW w:w="240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47906DEF" w14:textId="77777777" w:rsidR="005B6A9C" w:rsidRPr="00B433A3" w:rsidRDefault="005B6A9C" w:rsidP="00B8343E">
            <w:pPr>
              <w:pStyle w:val="Tabletext"/>
              <w:jc w:val="center"/>
              <w:cnfStyle w:val="000000100000" w:firstRow="0" w:lastRow="0" w:firstColumn="0" w:lastColumn="0" w:oddVBand="0" w:evenVBand="0" w:oddHBand="1" w:evenHBand="0" w:firstRowFirstColumn="0" w:firstRowLastColumn="0" w:lastRowFirstColumn="0" w:lastRowLastColumn="0"/>
              <w:rPr>
                <w:color w:val="000000"/>
                <w:lang w:eastAsia="zh-CN"/>
              </w:rPr>
            </w:pPr>
            <w:r w:rsidRPr="00B433A3">
              <w:rPr>
                <w:color w:val="000000"/>
                <w:lang w:eastAsia="zh-CN"/>
              </w:rPr>
              <w:t xml:space="preserve">Édition de </w:t>
            </w:r>
            <w:proofErr w:type="gramStart"/>
            <w:r w:rsidRPr="00B433A3">
              <w:rPr>
                <w:color w:val="000000"/>
                <w:lang w:eastAsia="zh-CN"/>
              </w:rPr>
              <w:t>2016:</w:t>
            </w:r>
            <w:proofErr w:type="gramEnd"/>
            <w:r w:rsidRPr="00B433A3">
              <w:rPr>
                <w:color w:val="000000"/>
                <w:lang w:eastAsia="zh-CN"/>
              </w:rPr>
              <w:t xml:space="preserve"> 36 416</w:t>
            </w:r>
            <w:r w:rsidRPr="00B433A3">
              <w:rPr>
                <w:color w:val="000000"/>
                <w:lang w:eastAsia="zh-CN"/>
              </w:rPr>
              <w:br/>
              <w:t>Édition de 2020: 4 236</w:t>
            </w:r>
          </w:p>
        </w:tc>
        <w:tc>
          <w:tcPr>
            <w:tcW w:w="169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0AD6332F" w14:textId="77777777" w:rsidR="005B6A9C" w:rsidRPr="00B433A3" w:rsidRDefault="005B6A9C" w:rsidP="00B8343E">
            <w:pPr>
              <w:pStyle w:val="Tabletext"/>
              <w:jc w:val="center"/>
              <w:cnfStyle w:val="000000100000" w:firstRow="0" w:lastRow="0" w:firstColumn="0" w:lastColumn="0" w:oddVBand="0" w:evenVBand="0" w:oddHBand="1" w:evenHBand="0" w:firstRowFirstColumn="0" w:firstRowLastColumn="0" w:lastRowFirstColumn="0" w:lastRowLastColumn="0"/>
              <w:rPr>
                <w:color w:val="000000"/>
                <w:lang w:eastAsia="zh-CN"/>
              </w:rPr>
            </w:pPr>
            <w:r w:rsidRPr="00B433A3">
              <w:rPr>
                <w:color w:val="000000" w:themeColor="text1"/>
                <w:lang w:eastAsia="zh-CN"/>
              </w:rPr>
              <w:t>18 092</w:t>
            </w:r>
          </w:p>
        </w:tc>
      </w:tr>
    </w:tbl>
    <w:p w14:paraId="11572F68" w14:textId="77777777" w:rsidR="005B6A9C" w:rsidRPr="00B433A3" w:rsidRDefault="005B6A9C" w:rsidP="00B8343E">
      <w:pPr>
        <w:pStyle w:val="TableNo"/>
        <w:rPr>
          <w:lang w:val="fr-FR"/>
        </w:rPr>
      </w:pPr>
      <w:r w:rsidRPr="00B433A3">
        <w:rPr>
          <w:lang w:val="fr-FR"/>
        </w:rPr>
        <w:t>TableAU 8.1.4.1-2</w:t>
      </w:r>
    </w:p>
    <w:p w14:paraId="58C27150" w14:textId="77777777" w:rsidR="005B6A9C" w:rsidRPr="00B433A3" w:rsidRDefault="005B6A9C" w:rsidP="00B8343E">
      <w:pPr>
        <w:pStyle w:val="TabletitleBR"/>
      </w:pPr>
      <w:r w:rsidRPr="00B433A3">
        <w:t>Téléchargements des Règles de procédure</w:t>
      </w:r>
    </w:p>
    <w:tbl>
      <w:tblPr>
        <w:tblW w:w="9619" w:type="dxa"/>
        <w:jc w:val="center"/>
        <w:tblCellMar>
          <w:left w:w="0" w:type="dxa"/>
          <w:right w:w="0" w:type="dxa"/>
        </w:tblCellMar>
        <w:tblLook w:val="04A0" w:firstRow="1" w:lastRow="0" w:firstColumn="1" w:lastColumn="0" w:noHBand="0" w:noVBand="1"/>
      </w:tblPr>
      <w:tblGrid>
        <w:gridCol w:w="2293"/>
        <w:gridCol w:w="1370"/>
        <w:gridCol w:w="1435"/>
        <w:gridCol w:w="2318"/>
        <w:gridCol w:w="2203"/>
      </w:tblGrid>
      <w:tr w:rsidR="005B6A9C" w:rsidRPr="00B433A3" w14:paraId="338EEC37" w14:textId="77777777" w:rsidTr="0063237C">
        <w:trPr>
          <w:trHeight w:val="525"/>
          <w:jc w:val="center"/>
        </w:trPr>
        <w:tc>
          <w:tcPr>
            <w:tcW w:w="2293" w:type="dxa"/>
            <w:tcBorders>
              <w:top w:val="single" w:sz="8" w:space="0" w:color="FFFFFF" w:themeColor="background1"/>
              <w:left w:val="single" w:sz="8" w:space="0" w:color="FFFFFF" w:themeColor="background1"/>
              <w:bottom w:val="single" w:sz="8" w:space="0" w:color="FFFFFF" w:themeColor="background1"/>
              <w:right w:val="nil"/>
            </w:tcBorders>
            <w:shd w:val="clear" w:color="auto" w:fill="4472C4"/>
            <w:tcMar>
              <w:top w:w="0" w:type="dxa"/>
              <w:left w:w="108" w:type="dxa"/>
              <w:bottom w:w="0" w:type="dxa"/>
              <w:right w:w="108" w:type="dxa"/>
            </w:tcMar>
            <w:vAlign w:val="center"/>
            <w:hideMark/>
          </w:tcPr>
          <w:p w14:paraId="2F13F1F9" w14:textId="77777777" w:rsidR="005B6A9C" w:rsidRPr="00B433A3" w:rsidRDefault="005B6A9C" w:rsidP="00B8343E">
            <w:pPr>
              <w:pStyle w:val="Tabletext"/>
              <w:jc w:val="center"/>
            </w:pPr>
          </w:p>
        </w:tc>
        <w:tc>
          <w:tcPr>
            <w:tcW w:w="1370" w:type="dxa"/>
            <w:tcBorders>
              <w:top w:val="single" w:sz="8" w:space="0" w:color="FFFFFF" w:themeColor="background1"/>
              <w:left w:val="nil"/>
              <w:bottom w:val="single" w:sz="8" w:space="0" w:color="FFFFFF" w:themeColor="background1"/>
              <w:right w:val="nil"/>
            </w:tcBorders>
            <w:shd w:val="clear" w:color="auto" w:fill="4472C4"/>
            <w:tcMar>
              <w:top w:w="0" w:type="dxa"/>
              <w:left w:w="108" w:type="dxa"/>
              <w:bottom w:w="0" w:type="dxa"/>
              <w:right w:w="108" w:type="dxa"/>
            </w:tcMar>
            <w:vAlign w:val="center"/>
            <w:hideMark/>
          </w:tcPr>
          <w:p w14:paraId="2B36A1DE" w14:textId="77777777" w:rsidR="005B6A9C" w:rsidRPr="00B433A3" w:rsidRDefault="005B6A9C" w:rsidP="00B8343E">
            <w:pPr>
              <w:pStyle w:val="Tabletext"/>
              <w:jc w:val="center"/>
              <w:rPr>
                <w:b/>
                <w:bCs/>
                <w:color w:val="FFFFFF"/>
                <w:sz w:val="20"/>
                <w:lang w:eastAsia="zh-CN"/>
              </w:rPr>
            </w:pPr>
            <w:r w:rsidRPr="00B433A3">
              <w:rPr>
                <w:b/>
                <w:bCs/>
                <w:color w:val="FFFFFF"/>
                <w:sz w:val="20"/>
                <w:lang w:eastAsia="zh-CN"/>
              </w:rPr>
              <w:t>2018</w:t>
            </w:r>
          </w:p>
        </w:tc>
        <w:tc>
          <w:tcPr>
            <w:tcW w:w="1435" w:type="dxa"/>
            <w:tcBorders>
              <w:top w:val="single" w:sz="8" w:space="0" w:color="FFFFFF" w:themeColor="background1"/>
              <w:left w:val="nil"/>
              <w:bottom w:val="single" w:sz="8" w:space="0" w:color="FFFFFF" w:themeColor="background1"/>
              <w:right w:val="nil"/>
            </w:tcBorders>
            <w:shd w:val="clear" w:color="auto" w:fill="4472C4"/>
            <w:tcMar>
              <w:top w:w="0" w:type="dxa"/>
              <w:left w:w="108" w:type="dxa"/>
              <w:bottom w:w="0" w:type="dxa"/>
              <w:right w:w="108" w:type="dxa"/>
            </w:tcMar>
            <w:vAlign w:val="center"/>
            <w:hideMark/>
          </w:tcPr>
          <w:p w14:paraId="69EC9544" w14:textId="77777777" w:rsidR="005B6A9C" w:rsidRPr="00B433A3" w:rsidRDefault="005B6A9C" w:rsidP="00B8343E">
            <w:pPr>
              <w:pStyle w:val="Tabletext"/>
              <w:jc w:val="center"/>
              <w:rPr>
                <w:rFonts w:ascii="Calibri" w:hAnsi="Calibri" w:cs="Calibri"/>
                <w:b/>
                <w:bCs/>
                <w:color w:val="FFFFFF"/>
                <w:sz w:val="20"/>
                <w:lang w:eastAsia="zh-CN"/>
              </w:rPr>
            </w:pPr>
            <w:r w:rsidRPr="00B433A3">
              <w:rPr>
                <w:b/>
                <w:bCs/>
                <w:color w:val="FFFFFF"/>
                <w:sz w:val="20"/>
                <w:lang w:eastAsia="zh-CN"/>
              </w:rPr>
              <w:t>2019</w:t>
            </w:r>
          </w:p>
        </w:tc>
        <w:tc>
          <w:tcPr>
            <w:tcW w:w="2318" w:type="dxa"/>
            <w:tcBorders>
              <w:top w:val="single" w:sz="8" w:space="0" w:color="FFFFFF" w:themeColor="background1"/>
              <w:left w:val="nil"/>
              <w:bottom w:val="single" w:sz="8" w:space="0" w:color="FFFFFF" w:themeColor="background1"/>
              <w:right w:val="nil"/>
            </w:tcBorders>
            <w:shd w:val="clear" w:color="auto" w:fill="4472C4"/>
            <w:tcMar>
              <w:top w:w="0" w:type="dxa"/>
              <w:left w:w="108" w:type="dxa"/>
              <w:bottom w:w="0" w:type="dxa"/>
              <w:right w:w="108" w:type="dxa"/>
            </w:tcMar>
            <w:vAlign w:val="center"/>
            <w:hideMark/>
          </w:tcPr>
          <w:p w14:paraId="342746D1" w14:textId="77777777" w:rsidR="005B6A9C" w:rsidRPr="00B433A3" w:rsidRDefault="005B6A9C" w:rsidP="00B8343E">
            <w:pPr>
              <w:pStyle w:val="Tabletext"/>
              <w:jc w:val="center"/>
              <w:rPr>
                <w:b/>
                <w:bCs/>
                <w:color w:val="FFFFFF"/>
                <w:sz w:val="20"/>
                <w:lang w:eastAsia="zh-CN"/>
              </w:rPr>
            </w:pPr>
            <w:r w:rsidRPr="00B433A3">
              <w:rPr>
                <w:b/>
                <w:bCs/>
                <w:color w:val="FFFFFF"/>
                <w:sz w:val="20"/>
                <w:lang w:eastAsia="zh-CN"/>
              </w:rPr>
              <w:t>2020</w:t>
            </w:r>
          </w:p>
        </w:tc>
        <w:tc>
          <w:tcPr>
            <w:tcW w:w="2203" w:type="dxa"/>
            <w:tcBorders>
              <w:top w:val="single" w:sz="8" w:space="0" w:color="FFFFFF" w:themeColor="background1"/>
              <w:left w:val="nil"/>
              <w:bottom w:val="single" w:sz="8" w:space="0" w:color="FFFFFF" w:themeColor="background1"/>
              <w:right w:val="single" w:sz="8" w:space="0" w:color="FFFFFF" w:themeColor="background1"/>
            </w:tcBorders>
            <w:shd w:val="clear" w:color="auto" w:fill="4472C4"/>
            <w:vAlign w:val="center"/>
            <w:hideMark/>
          </w:tcPr>
          <w:p w14:paraId="61D49617" w14:textId="77777777" w:rsidR="005B6A9C" w:rsidRPr="00B433A3" w:rsidRDefault="005B6A9C" w:rsidP="00B8343E">
            <w:pPr>
              <w:pStyle w:val="Tabletext"/>
              <w:jc w:val="center"/>
              <w:rPr>
                <w:b/>
                <w:bCs/>
                <w:color w:val="FFFFFF"/>
                <w:sz w:val="20"/>
                <w:lang w:eastAsia="zh-CN"/>
              </w:rPr>
            </w:pPr>
            <w:r w:rsidRPr="00B433A3">
              <w:rPr>
                <w:b/>
                <w:bCs/>
                <w:color w:val="FFFFFF"/>
                <w:sz w:val="20"/>
                <w:lang w:eastAsia="zh-CN"/>
              </w:rPr>
              <w:t>2021</w:t>
            </w:r>
          </w:p>
        </w:tc>
      </w:tr>
      <w:tr w:rsidR="005B6A9C" w:rsidRPr="00B433A3" w14:paraId="63D42D40" w14:textId="77777777" w:rsidTr="0063237C">
        <w:trPr>
          <w:trHeight w:val="315"/>
          <w:jc w:val="center"/>
        </w:trPr>
        <w:tc>
          <w:tcPr>
            <w:tcW w:w="2293" w:type="dxa"/>
            <w:tcBorders>
              <w:top w:val="nil"/>
              <w:left w:val="single" w:sz="8" w:space="0" w:color="FFFFFF" w:themeColor="background1"/>
              <w:bottom w:val="single" w:sz="8" w:space="0" w:color="FFFFFF" w:themeColor="background1"/>
              <w:right w:val="single" w:sz="8" w:space="0" w:color="FFFFFF" w:themeColor="background1"/>
            </w:tcBorders>
            <w:shd w:val="clear" w:color="auto" w:fill="4472C4"/>
            <w:tcMar>
              <w:top w:w="0" w:type="dxa"/>
              <w:left w:w="108" w:type="dxa"/>
              <w:bottom w:w="0" w:type="dxa"/>
              <w:right w:w="108" w:type="dxa"/>
            </w:tcMar>
            <w:vAlign w:val="center"/>
            <w:hideMark/>
          </w:tcPr>
          <w:p w14:paraId="0D08B720" w14:textId="77777777" w:rsidR="005B6A9C" w:rsidRPr="00B433A3" w:rsidRDefault="005B6A9C" w:rsidP="00B8343E">
            <w:pPr>
              <w:pStyle w:val="Tabletext"/>
              <w:jc w:val="center"/>
              <w:rPr>
                <w:b/>
                <w:bCs/>
                <w:color w:val="FFFFFF"/>
                <w:sz w:val="20"/>
                <w:lang w:eastAsia="zh-CN"/>
              </w:rPr>
            </w:pPr>
            <w:r w:rsidRPr="00B433A3">
              <w:rPr>
                <w:b/>
                <w:bCs/>
                <w:color w:val="FFFFFF"/>
                <w:sz w:val="20"/>
                <w:lang w:eastAsia="zh-CN"/>
              </w:rPr>
              <w:t>Règles de procédure</w:t>
            </w:r>
          </w:p>
        </w:tc>
        <w:tc>
          <w:tcPr>
            <w:tcW w:w="1370" w:type="dxa"/>
            <w:tcBorders>
              <w:top w:val="nil"/>
              <w:left w:val="nil"/>
              <w:bottom w:val="single" w:sz="8" w:space="0" w:color="FFFFFF" w:themeColor="background1"/>
              <w:right w:val="single" w:sz="8" w:space="0" w:color="FFFFFF" w:themeColor="background1"/>
            </w:tcBorders>
            <w:shd w:val="clear" w:color="auto" w:fill="B4C6E7"/>
            <w:tcMar>
              <w:top w:w="0" w:type="dxa"/>
              <w:left w:w="108" w:type="dxa"/>
              <w:bottom w:w="0" w:type="dxa"/>
              <w:right w:w="108" w:type="dxa"/>
            </w:tcMar>
            <w:vAlign w:val="center"/>
            <w:hideMark/>
          </w:tcPr>
          <w:p w14:paraId="2266027F" w14:textId="77777777" w:rsidR="005B6A9C" w:rsidRPr="00B433A3" w:rsidRDefault="005B6A9C" w:rsidP="00B8343E">
            <w:pPr>
              <w:pStyle w:val="Tabletext"/>
              <w:jc w:val="center"/>
              <w:rPr>
                <w:color w:val="000000" w:themeColor="text1"/>
                <w:szCs w:val="24"/>
                <w:lang w:eastAsia="zh-CN"/>
              </w:rPr>
            </w:pPr>
            <w:r w:rsidRPr="00B433A3">
              <w:rPr>
                <w:color w:val="000000" w:themeColor="text1"/>
                <w:szCs w:val="24"/>
                <w:lang w:eastAsia="zh-CN"/>
              </w:rPr>
              <w:t>7 501</w:t>
            </w:r>
          </w:p>
        </w:tc>
        <w:tc>
          <w:tcPr>
            <w:tcW w:w="1435" w:type="dxa"/>
            <w:tcBorders>
              <w:top w:val="nil"/>
              <w:left w:val="nil"/>
              <w:bottom w:val="single" w:sz="8" w:space="0" w:color="FFFFFF" w:themeColor="background1"/>
              <w:right w:val="single" w:sz="8" w:space="0" w:color="FFFFFF" w:themeColor="background1"/>
            </w:tcBorders>
            <w:shd w:val="clear" w:color="auto" w:fill="B4C6E7"/>
            <w:tcMar>
              <w:top w:w="0" w:type="dxa"/>
              <w:left w:w="108" w:type="dxa"/>
              <w:bottom w:w="0" w:type="dxa"/>
              <w:right w:w="108" w:type="dxa"/>
            </w:tcMar>
            <w:vAlign w:val="center"/>
            <w:hideMark/>
          </w:tcPr>
          <w:p w14:paraId="3E7A7AA2" w14:textId="77777777" w:rsidR="005B6A9C" w:rsidRPr="00B433A3" w:rsidRDefault="005B6A9C" w:rsidP="00B8343E">
            <w:pPr>
              <w:pStyle w:val="Tabletext"/>
              <w:jc w:val="center"/>
              <w:rPr>
                <w:color w:val="000000" w:themeColor="text1"/>
                <w:szCs w:val="24"/>
                <w:lang w:eastAsia="zh-CN"/>
              </w:rPr>
            </w:pPr>
            <w:r w:rsidRPr="00B433A3">
              <w:rPr>
                <w:color w:val="000000" w:themeColor="text1"/>
                <w:sz w:val="20"/>
                <w:lang w:eastAsia="zh-CN"/>
              </w:rPr>
              <w:t>10 014</w:t>
            </w:r>
          </w:p>
        </w:tc>
        <w:tc>
          <w:tcPr>
            <w:tcW w:w="2318" w:type="dxa"/>
            <w:tcBorders>
              <w:top w:val="nil"/>
              <w:left w:val="nil"/>
              <w:bottom w:val="single" w:sz="8" w:space="0" w:color="FFFFFF" w:themeColor="background1"/>
              <w:right w:val="single" w:sz="8" w:space="0" w:color="FFFFFF" w:themeColor="background1"/>
            </w:tcBorders>
            <w:shd w:val="clear" w:color="auto" w:fill="B4C6E7"/>
            <w:tcMar>
              <w:top w:w="0" w:type="dxa"/>
              <w:left w:w="108" w:type="dxa"/>
              <w:bottom w:w="0" w:type="dxa"/>
              <w:right w:w="108" w:type="dxa"/>
            </w:tcMar>
            <w:vAlign w:val="center"/>
            <w:hideMark/>
          </w:tcPr>
          <w:p w14:paraId="7BBF710A" w14:textId="77777777" w:rsidR="005B6A9C" w:rsidRPr="00B433A3" w:rsidRDefault="005B6A9C" w:rsidP="00B8343E">
            <w:pPr>
              <w:pStyle w:val="Tabletext"/>
              <w:jc w:val="center"/>
              <w:rPr>
                <w:color w:val="000000"/>
                <w:sz w:val="20"/>
                <w:lang w:eastAsia="zh-CN"/>
              </w:rPr>
            </w:pPr>
            <w:r w:rsidRPr="00B433A3">
              <w:rPr>
                <w:color w:val="000000"/>
                <w:sz w:val="20"/>
                <w:lang w:eastAsia="zh-CN"/>
              </w:rPr>
              <w:t>10 882</w:t>
            </w:r>
          </w:p>
        </w:tc>
        <w:tc>
          <w:tcPr>
            <w:tcW w:w="2203" w:type="dxa"/>
            <w:tcBorders>
              <w:top w:val="nil"/>
              <w:left w:val="nil"/>
              <w:bottom w:val="single" w:sz="8" w:space="0" w:color="FFFFFF" w:themeColor="background1"/>
              <w:right w:val="single" w:sz="8" w:space="0" w:color="FFFFFF" w:themeColor="background1"/>
            </w:tcBorders>
            <w:shd w:val="clear" w:color="auto" w:fill="B4C6E7"/>
            <w:vAlign w:val="center"/>
            <w:hideMark/>
          </w:tcPr>
          <w:p w14:paraId="7A6084D1" w14:textId="77777777" w:rsidR="005B6A9C" w:rsidRPr="00B433A3" w:rsidRDefault="005B6A9C" w:rsidP="00B8343E">
            <w:pPr>
              <w:pStyle w:val="Tabletext"/>
              <w:jc w:val="center"/>
              <w:rPr>
                <w:color w:val="000000" w:themeColor="text1"/>
                <w:sz w:val="20"/>
                <w:lang w:eastAsia="zh-CN"/>
              </w:rPr>
            </w:pPr>
            <w:r w:rsidRPr="00B433A3">
              <w:rPr>
                <w:color w:val="000000" w:themeColor="text1"/>
                <w:sz w:val="20"/>
                <w:lang w:eastAsia="zh-CN"/>
              </w:rPr>
              <w:t>10 539</w:t>
            </w:r>
          </w:p>
        </w:tc>
      </w:tr>
    </w:tbl>
    <w:p w14:paraId="5DD8DCAB" w14:textId="77777777" w:rsidR="005B6A9C" w:rsidRPr="00B433A3" w:rsidRDefault="005B6A9C" w:rsidP="00B8343E">
      <w:pPr>
        <w:pStyle w:val="Heading4"/>
      </w:pPr>
      <w:bookmarkStart w:id="144" w:name="lt_pId778"/>
      <w:r w:rsidRPr="00B433A3">
        <w:t>8.1.4.2</w:t>
      </w:r>
      <w:r w:rsidRPr="00B433A3">
        <w:tab/>
        <w:t>Recommandations UIT-R</w:t>
      </w:r>
      <w:bookmarkEnd w:id="144"/>
    </w:p>
    <w:p w14:paraId="0356EF60" w14:textId="77777777" w:rsidR="006E707D" w:rsidRPr="00B433A3" w:rsidRDefault="005B6A9C" w:rsidP="00B8343E">
      <w:bookmarkStart w:id="145" w:name="lt_pId779"/>
      <w:r w:rsidRPr="00B433A3">
        <w:t>Grâce à la politique d'accès en ligne gratuit, des utilisateurs du monde entier ont accès aux Recommandations UIT-R et peuvent les télécharger.</w:t>
      </w:r>
      <w:bookmarkEnd w:id="145"/>
      <w:r w:rsidRPr="00B433A3">
        <w:t xml:space="preserve"> Entre janvier 2018 et décembre 2021, plus de sept millions de téléchargements de Recommandations UIT-R depuis le site web de l'UIT ont été enregistrés. </w:t>
      </w:r>
      <w:bookmarkStart w:id="146" w:name="lt_pId781"/>
      <w:r w:rsidRPr="00B433A3">
        <w:t>Le Tableau 8.1.4.2-1 illustre la répartition de ces téléchargements par année et par série.</w:t>
      </w:r>
      <w:bookmarkEnd w:id="146"/>
      <w:r w:rsidRPr="00B433A3">
        <w:t xml:space="preserve"> </w:t>
      </w:r>
      <w:bookmarkStart w:id="147" w:name="lt_pId782"/>
      <w:r w:rsidRPr="00B433A3">
        <w:t>On recense actuellement 1 178 Recommandations UIT-R en vigueur.</w:t>
      </w:r>
      <w:bookmarkEnd w:id="147"/>
    </w:p>
    <w:p w14:paraId="639685F4" w14:textId="0F9C8996" w:rsidR="005B6A9C" w:rsidRPr="00B433A3" w:rsidRDefault="005B6A9C" w:rsidP="00B8343E">
      <w:r w:rsidRPr="00B433A3">
        <w:br w:type="page"/>
      </w:r>
    </w:p>
    <w:p w14:paraId="209DC8D2" w14:textId="77777777" w:rsidR="005B6A9C" w:rsidRPr="00B433A3" w:rsidRDefault="005B6A9C" w:rsidP="00B8343E">
      <w:pPr>
        <w:pStyle w:val="TableNoBR"/>
      </w:pPr>
      <w:bookmarkStart w:id="148" w:name="lt_pId783"/>
      <w:r w:rsidRPr="00B433A3">
        <w:lastRenderedPageBreak/>
        <w:t>Tableau 8.1.4.2-1</w:t>
      </w:r>
      <w:bookmarkEnd w:id="148"/>
    </w:p>
    <w:p w14:paraId="602DD855" w14:textId="77777777" w:rsidR="005B6A9C" w:rsidRPr="00B433A3" w:rsidRDefault="005B6A9C" w:rsidP="00B8343E">
      <w:pPr>
        <w:pStyle w:val="Tabletitle"/>
        <w:rPr>
          <w:sz w:val="24"/>
          <w:szCs w:val="24"/>
          <w:lang w:val="fr-FR"/>
        </w:rPr>
      </w:pPr>
      <w:bookmarkStart w:id="149" w:name="lt_pId784"/>
      <w:r w:rsidRPr="00B433A3">
        <w:rPr>
          <w:sz w:val="24"/>
          <w:szCs w:val="24"/>
          <w:lang w:val="fr-FR"/>
        </w:rPr>
        <w:t>Répartition des téléchargements des Recommandations UIT-R</w:t>
      </w:r>
      <w:bookmarkEnd w:id="149"/>
    </w:p>
    <w:tbl>
      <w:tblPr>
        <w:tblStyle w:val="GridTable5Dark-Accent1"/>
        <w:tblW w:w="9629" w:type="dxa"/>
        <w:jc w:val="center"/>
        <w:tblLook w:val="04A0" w:firstRow="1" w:lastRow="0" w:firstColumn="1" w:lastColumn="0" w:noHBand="0" w:noVBand="1"/>
      </w:tblPr>
      <w:tblGrid>
        <w:gridCol w:w="9629"/>
      </w:tblGrid>
      <w:tr w:rsidR="005B6A9C" w:rsidRPr="00B433A3" w14:paraId="7367957B" w14:textId="77777777" w:rsidTr="005B6A9C">
        <w:trPr>
          <w:cnfStyle w:val="100000000000" w:firstRow="1" w:lastRow="0" w:firstColumn="0" w:lastColumn="0" w:oddVBand="0" w:evenVBand="0" w:oddHBand="0"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9629" w:type="dxa"/>
            <w:noWrap/>
            <w:hideMark/>
          </w:tcPr>
          <w:tbl>
            <w:tblPr>
              <w:tblStyle w:val="GridTable5Dark-Accent1"/>
              <w:tblW w:w="9426" w:type="dxa"/>
              <w:tblInd w:w="90" w:type="dxa"/>
              <w:tblLook w:val="04A0" w:firstRow="1" w:lastRow="0" w:firstColumn="1" w:lastColumn="0" w:noHBand="0" w:noVBand="1"/>
            </w:tblPr>
            <w:tblGrid>
              <w:gridCol w:w="1217"/>
              <w:gridCol w:w="1547"/>
              <w:gridCol w:w="1276"/>
              <w:gridCol w:w="1276"/>
              <w:gridCol w:w="1275"/>
              <w:gridCol w:w="1418"/>
              <w:gridCol w:w="1417"/>
            </w:tblGrid>
            <w:tr w:rsidR="005B6A9C" w:rsidRPr="00B433A3" w14:paraId="3ED12B5C" w14:textId="77777777" w:rsidTr="0063237C">
              <w:trPr>
                <w:cnfStyle w:val="100000000000" w:firstRow="1" w:lastRow="0" w:firstColumn="0" w:lastColumn="0" w:oddVBand="0" w:evenVBand="0" w:oddHBand="0"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217" w:type="dxa"/>
                  <w:tcBorders>
                    <w:top w:val="single" w:sz="8" w:space="0" w:color="FFFFFF" w:themeColor="background1"/>
                    <w:left w:val="single" w:sz="8" w:space="0" w:color="FFFFFF" w:themeColor="background1"/>
                    <w:bottom w:val="single" w:sz="8" w:space="0" w:color="FFFFFF" w:themeColor="background1"/>
                  </w:tcBorders>
                  <w:vAlign w:val="center"/>
                  <w:hideMark/>
                </w:tcPr>
                <w:p w14:paraId="59D12FFC" w14:textId="77777777" w:rsidR="005B6A9C" w:rsidRPr="00B433A3" w:rsidRDefault="005B6A9C" w:rsidP="00B8343E">
                  <w:pPr>
                    <w:pStyle w:val="Tabletext"/>
                    <w:jc w:val="center"/>
                    <w:rPr>
                      <w:lang w:eastAsia="zh-CN"/>
                    </w:rPr>
                  </w:pPr>
                  <w:r w:rsidRPr="00B433A3">
                    <w:rPr>
                      <w:lang w:eastAsia="zh-CN"/>
                    </w:rPr>
                    <w:t>SÉRIE</w:t>
                  </w:r>
                </w:p>
              </w:tc>
              <w:tc>
                <w:tcPr>
                  <w:tcW w:w="1547" w:type="dxa"/>
                  <w:tcBorders>
                    <w:top w:val="single" w:sz="8" w:space="0" w:color="FFFFFF" w:themeColor="background1"/>
                    <w:bottom w:val="single" w:sz="8" w:space="0" w:color="FFFFFF" w:themeColor="background1"/>
                  </w:tcBorders>
                  <w:vAlign w:val="center"/>
                  <w:hideMark/>
                </w:tcPr>
                <w:p w14:paraId="492AC118" w14:textId="77777777" w:rsidR="005B6A9C" w:rsidRPr="00B433A3" w:rsidRDefault="005B6A9C" w:rsidP="00B8343E">
                  <w:pPr>
                    <w:pStyle w:val="Tabletext"/>
                    <w:jc w:val="center"/>
                    <w:cnfStyle w:val="100000000000" w:firstRow="1" w:lastRow="0" w:firstColumn="0" w:lastColumn="0" w:oddVBand="0" w:evenVBand="0" w:oddHBand="0" w:evenHBand="0" w:firstRowFirstColumn="0" w:firstRowLastColumn="0" w:lastRowFirstColumn="0" w:lastRowLastColumn="0"/>
                    <w:rPr>
                      <w:lang w:eastAsia="zh-CN"/>
                    </w:rPr>
                  </w:pPr>
                  <w:r w:rsidRPr="00B433A3">
                    <w:rPr>
                      <w:lang w:eastAsia="zh-CN"/>
                    </w:rPr>
                    <w:t>2018</w:t>
                  </w:r>
                </w:p>
              </w:tc>
              <w:tc>
                <w:tcPr>
                  <w:tcW w:w="1276" w:type="dxa"/>
                  <w:tcBorders>
                    <w:top w:val="single" w:sz="8" w:space="0" w:color="FFFFFF" w:themeColor="background1"/>
                    <w:bottom w:val="single" w:sz="8" w:space="0" w:color="FFFFFF" w:themeColor="background1"/>
                  </w:tcBorders>
                  <w:vAlign w:val="center"/>
                  <w:hideMark/>
                </w:tcPr>
                <w:p w14:paraId="083E9ACD" w14:textId="77777777" w:rsidR="005B6A9C" w:rsidRPr="00B433A3" w:rsidRDefault="005B6A9C" w:rsidP="00B8343E">
                  <w:pPr>
                    <w:pStyle w:val="Tabletext"/>
                    <w:jc w:val="center"/>
                    <w:cnfStyle w:val="100000000000" w:firstRow="1" w:lastRow="0" w:firstColumn="0" w:lastColumn="0" w:oddVBand="0" w:evenVBand="0" w:oddHBand="0" w:evenHBand="0" w:firstRowFirstColumn="0" w:firstRowLastColumn="0" w:lastRowFirstColumn="0" w:lastRowLastColumn="0"/>
                    <w:rPr>
                      <w:lang w:eastAsia="zh-CN"/>
                    </w:rPr>
                  </w:pPr>
                  <w:r w:rsidRPr="00B433A3">
                    <w:rPr>
                      <w:lang w:eastAsia="zh-CN"/>
                    </w:rPr>
                    <w:t>2019</w:t>
                  </w:r>
                </w:p>
              </w:tc>
              <w:tc>
                <w:tcPr>
                  <w:tcW w:w="1276" w:type="dxa"/>
                  <w:tcBorders>
                    <w:top w:val="single" w:sz="8" w:space="0" w:color="FFFFFF" w:themeColor="background1"/>
                    <w:bottom w:val="single" w:sz="8" w:space="0" w:color="FFFFFF" w:themeColor="background1"/>
                  </w:tcBorders>
                  <w:vAlign w:val="center"/>
                  <w:hideMark/>
                </w:tcPr>
                <w:p w14:paraId="64C55F38" w14:textId="77777777" w:rsidR="005B6A9C" w:rsidRPr="00B433A3" w:rsidRDefault="005B6A9C" w:rsidP="00B8343E">
                  <w:pPr>
                    <w:pStyle w:val="Tabletext"/>
                    <w:jc w:val="center"/>
                    <w:cnfStyle w:val="100000000000" w:firstRow="1" w:lastRow="0" w:firstColumn="0" w:lastColumn="0" w:oddVBand="0" w:evenVBand="0" w:oddHBand="0" w:evenHBand="0" w:firstRowFirstColumn="0" w:firstRowLastColumn="0" w:lastRowFirstColumn="0" w:lastRowLastColumn="0"/>
                    <w:rPr>
                      <w:lang w:eastAsia="zh-CN"/>
                    </w:rPr>
                  </w:pPr>
                  <w:r w:rsidRPr="00B433A3">
                    <w:rPr>
                      <w:lang w:eastAsia="zh-CN"/>
                    </w:rPr>
                    <w:t>2020</w:t>
                  </w:r>
                </w:p>
              </w:tc>
              <w:tc>
                <w:tcPr>
                  <w:tcW w:w="1275" w:type="dxa"/>
                  <w:tcBorders>
                    <w:top w:val="single" w:sz="8" w:space="0" w:color="FFFFFF" w:themeColor="background1"/>
                    <w:bottom w:val="single" w:sz="8" w:space="0" w:color="FFFFFF" w:themeColor="background1"/>
                  </w:tcBorders>
                  <w:vAlign w:val="center"/>
                  <w:hideMark/>
                </w:tcPr>
                <w:p w14:paraId="02E2E2C1" w14:textId="77777777" w:rsidR="005B6A9C" w:rsidRPr="00B433A3" w:rsidRDefault="005B6A9C" w:rsidP="00B8343E">
                  <w:pPr>
                    <w:pStyle w:val="Tabletext"/>
                    <w:jc w:val="center"/>
                    <w:cnfStyle w:val="100000000000" w:firstRow="1" w:lastRow="0" w:firstColumn="0" w:lastColumn="0" w:oddVBand="0" w:evenVBand="0" w:oddHBand="0" w:evenHBand="0" w:firstRowFirstColumn="0" w:firstRowLastColumn="0" w:lastRowFirstColumn="0" w:lastRowLastColumn="0"/>
                    <w:rPr>
                      <w:lang w:eastAsia="zh-CN"/>
                    </w:rPr>
                  </w:pPr>
                  <w:r w:rsidRPr="00B433A3">
                    <w:rPr>
                      <w:lang w:eastAsia="zh-CN"/>
                    </w:rPr>
                    <w:t>2021</w:t>
                  </w:r>
                </w:p>
              </w:tc>
              <w:tc>
                <w:tcPr>
                  <w:tcW w:w="1418" w:type="dxa"/>
                  <w:tcBorders>
                    <w:top w:val="single" w:sz="8" w:space="0" w:color="FFFFFF" w:themeColor="background1"/>
                    <w:bottom w:val="single" w:sz="8" w:space="0" w:color="FFFFFF" w:themeColor="background1"/>
                  </w:tcBorders>
                  <w:vAlign w:val="center"/>
                  <w:hideMark/>
                </w:tcPr>
                <w:p w14:paraId="5521BFCF" w14:textId="77777777" w:rsidR="005B6A9C" w:rsidRPr="00B433A3" w:rsidRDefault="005B6A9C" w:rsidP="00B8343E">
                  <w:pPr>
                    <w:pStyle w:val="Tabletext"/>
                    <w:jc w:val="center"/>
                    <w:cnfStyle w:val="100000000000" w:firstRow="1" w:lastRow="0" w:firstColumn="0" w:lastColumn="0" w:oddVBand="0" w:evenVBand="0" w:oddHBand="0" w:evenHBand="0" w:firstRowFirstColumn="0" w:firstRowLastColumn="0" w:lastRowFirstColumn="0" w:lastRowLastColumn="0"/>
                    <w:rPr>
                      <w:lang w:eastAsia="zh-CN"/>
                    </w:rPr>
                  </w:pPr>
                  <w:r w:rsidRPr="00B433A3">
                    <w:rPr>
                      <w:lang w:eastAsia="zh-CN"/>
                    </w:rPr>
                    <w:t>TOTAL</w:t>
                  </w:r>
                </w:p>
              </w:tc>
              <w:tc>
                <w:tcPr>
                  <w:tcW w:w="1417" w:type="dxa"/>
                  <w:tcBorders>
                    <w:top w:val="single" w:sz="8" w:space="0" w:color="FFFFFF" w:themeColor="background1"/>
                    <w:bottom w:val="single" w:sz="8" w:space="0" w:color="FFFFFF" w:themeColor="background1"/>
                    <w:right w:val="single" w:sz="8" w:space="0" w:color="FFFFFF" w:themeColor="background1"/>
                  </w:tcBorders>
                  <w:vAlign w:val="center"/>
                  <w:hideMark/>
                </w:tcPr>
                <w:p w14:paraId="0AC83CCD" w14:textId="77777777" w:rsidR="005B6A9C" w:rsidRPr="00B433A3" w:rsidRDefault="005B6A9C" w:rsidP="00B8343E">
                  <w:pPr>
                    <w:pStyle w:val="Tabletext"/>
                    <w:jc w:val="center"/>
                    <w:cnfStyle w:val="100000000000" w:firstRow="1" w:lastRow="0" w:firstColumn="0" w:lastColumn="0" w:oddVBand="0" w:evenVBand="0" w:oddHBand="0" w:evenHBand="0" w:firstRowFirstColumn="0" w:firstRowLastColumn="0" w:lastRowFirstColumn="0" w:lastRowLastColumn="0"/>
                    <w:rPr>
                      <w:lang w:eastAsia="zh-CN"/>
                    </w:rPr>
                  </w:pPr>
                  <w:r w:rsidRPr="00B433A3">
                    <w:rPr>
                      <w:lang w:eastAsia="zh-CN"/>
                    </w:rPr>
                    <w:t>%</w:t>
                  </w:r>
                </w:p>
              </w:tc>
            </w:tr>
            <w:tr w:rsidR="005B6A9C" w:rsidRPr="00B433A3" w14:paraId="1104DB03" w14:textId="77777777" w:rsidTr="0063237C">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21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hideMark/>
                </w:tcPr>
                <w:p w14:paraId="79794CAC" w14:textId="77777777" w:rsidR="005B6A9C" w:rsidRPr="00B433A3" w:rsidRDefault="005B6A9C" w:rsidP="00B8343E">
                  <w:pPr>
                    <w:pStyle w:val="Tabletext"/>
                    <w:jc w:val="center"/>
                    <w:rPr>
                      <w:lang w:eastAsia="zh-CN"/>
                    </w:rPr>
                  </w:pPr>
                  <w:r w:rsidRPr="00B433A3">
                    <w:rPr>
                      <w:szCs w:val="22"/>
                      <w:lang w:eastAsia="zh-CN"/>
                    </w:rPr>
                    <w:t>P</w:t>
                  </w:r>
                </w:p>
              </w:tc>
              <w:tc>
                <w:tcPr>
                  <w:tcW w:w="154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hideMark/>
                </w:tcPr>
                <w:p w14:paraId="3D7F6409" w14:textId="090385E1" w:rsidR="005B6A9C" w:rsidRPr="00B433A3" w:rsidRDefault="005B6A9C" w:rsidP="00B8343E">
                  <w:pPr>
                    <w:pStyle w:val="Tabletext"/>
                    <w:jc w:val="center"/>
                    <w:cnfStyle w:val="000000100000" w:firstRow="0" w:lastRow="0" w:firstColumn="0" w:lastColumn="0" w:oddVBand="0" w:evenVBand="0" w:oddHBand="1" w:evenHBand="0" w:firstRowFirstColumn="0" w:firstRowLastColumn="0" w:lastRowFirstColumn="0" w:lastRowLastColumn="0"/>
                    <w:rPr>
                      <w:lang w:eastAsia="zh-CN"/>
                    </w:rPr>
                  </w:pPr>
                  <w:r w:rsidRPr="00B433A3">
                    <w:rPr>
                      <w:szCs w:val="22"/>
                      <w:lang w:eastAsia="zh-CN"/>
                    </w:rPr>
                    <w:t>411</w:t>
                  </w:r>
                  <w:r w:rsidR="0063237C" w:rsidRPr="00B433A3">
                    <w:rPr>
                      <w:szCs w:val="22"/>
                      <w:lang w:eastAsia="zh-CN"/>
                    </w:rPr>
                    <w:t xml:space="preserve"> </w:t>
                  </w:r>
                  <w:r w:rsidRPr="00B433A3">
                    <w:rPr>
                      <w:szCs w:val="22"/>
                      <w:lang w:eastAsia="zh-CN"/>
                    </w:rPr>
                    <w:t>176</w:t>
                  </w:r>
                </w:p>
              </w:tc>
              <w:tc>
                <w:tcPr>
                  <w:tcW w:w="127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hideMark/>
                </w:tcPr>
                <w:p w14:paraId="5B2D895B" w14:textId="7A2143AF" w:rsidR="005B6A9C" w:rsidRPr="00B433A3" w:rsidRDefault="005B6A9C" w:rsidP="00B8343E">
                  <w:pPr>
                    <w:pStyle w:val="Tabletext"/>
                    <w:jc w:val="center"/>
                    <w:cnfStyle w:val="000000100000" w:firstRow="0" w:lastRow="0" w:firstColumn="0" w:lastColumn="0" w:oddVBand="0" w:evenVBand="0" w:oddHBand="1" w:evenHBand="0" w:firstRowFirstColumn="0" w:firstRowLastColumn="0" w:lastRowFirstColumn="0" w:lastRowLastColumn="0"/>
                    <w:rPr>
                      <w:lang w:eastAsia="zh-CN"/>
                    </w:rPr>
                  </w:pPr>
                  <w:r w:rsidRPr="00B433A3">
                    <w:rPr>
                      <w:szCs w:val="22"/>
                      <w:lang w:eastAsia="zh-CN"/>
                    </w:rPr>
                    <w:t>402</w:t>
                  </w:r>
                  <w:r w:rsidR="0063237C" w:rsidRPr="00B433A3">
                    <w:rPr>
                      <w:szCs w:val="22"/>
                      <w:lang w:eastAsia="zh-CN"/>
                    </w:rPr>
                    <w:t xml:space="preserve"> </w:t>
                  </w:r>
                  <w:r w:rsidRPr="00B433A3">
                    <w:rPr>
                      <w:szCs w:val="22"/>
                      <w:lang w:eastAsia="zh-CN"/>
                    </w:rPr>
                    <w:t>898</w:t>
                  </w:r>
                </w:p>
              </w:tc>
              <w:tc>
                <w:tcPr>
                  <w:tcW w:w="127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hideMark/>
                </w:tcPr>
                <w:p w14:paraId="7CFB4AF6" w14:textId="39D8BEB6" w:rsidR="005B6A9C" w:rsidRPr="00B433A3" w:rsidRDefault="005B6A9C" w:rsidP="00B8343E">
                  <w:pPr>
                    <w:pStyle w:val="Tabletext"/>
                    <w:jc w:val="center"/>
                    <w:cnfStyle w:val="000000100000" w:firstRow="0" w:lastRow="0" w:firstColumn="0" w:lastColumn="0" w:oddVBand="0" w:evenVBand="0" w:oddHBand="1" w:evenHBand="0" w:firstRowFirstColumn="0" w:firstRowLastColumn="0" w:lastRowFirstColumn="0" w:lastRowLastColumn="0"/>
                    <w:rPr>
                      <w:lang w:eastAsia="zh-CN"/>
                    </w:rPr>
                  </w:pPr>
                  <w:r w:rsidRPr="00B433A3">
                    <w:rPr>
                      <w:szCs w:val="22"/>
                      <w:lang w:eastAsia="zh-CN"/>
                    </w:rPr>
                    <w:t>385</w:t>
                  </w:r>
                  <w:r w:rsidR="0063237C" w:rsidRPr="00B433A3">
                    <w:rPr>
                      <w:szCs w:val="22"/>
                      <w:lang w:eastAsia="zh-CN"/>
                    </w:rPr>
                    <w:t xml:space="preserve"> </w:t>
                  </w:r>
                  <w:r w:rsidRPr="00B433A3">
                    <w:rPr>
                      <w:szCs w:val="22"/>
                      <w:lang w:eastAsia="zh-CN"/>
                    </w:rPr>
                    <w:t>614</w:t>
                  </w:r>
                </w:p>
              </w:tc>
              <w:tc>
                <w:tcPr>
                  <w:tcW w:w="127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hideMark/>
                </w:tcPr>
                <w:p w14:paraId="4F77B694" w14:textId="5D4538B5" w:rsidR="005B6A9C" w:rsidRPr="00B433A3" w:rsidRDefault="005B6A9C" w:rsidP="00B8343E">
                  <w:pPr>
                    <w:pStyle w:val="Tabletext"/>
                    <w:jc w:val="center"/>
                    <w:cnfStyle w:val="000000100000" w:firstRow="0" w:lastRow="0" w:firstColumn="0" w:lastColumn="0" w:oddVBand="0" w:evenVBand="0" w:oddHBand="1" w:evenHBand="0" w:firstRowFirstColumn="0" w:firstRowLastColumn="0" w:lastRowFirstColumn="0" w:lastRowLastColumn="0"/>
                    <w:rPr>
                      <w:color w:val="000000" w:themeColor="text1"/>
                      <w:szCs w:val="24"/>
                      <w:lang w:eastAsia="zh-CN"/>
                    </w:rPr>
                  </w:pPr>
                  <w:r w:rsidRPr="00B433A3">
                    <w:rPr>
                      <w:szCs w:val="22"/>
                      <w:lang w:eastAsia="zh-CN"/>
                    </w:rPr>
                    <w:t>400</w:t>
                  </w:r>
                  <w:r w:rsidR="0063237C" w:rsidRPr="00B433A3">
                    <w:rPr>
                      <w:szCs w:val="22"/>
                      <w:lang w:eastAsia="zh-CN"/>
                    </w:rPr>
                    <w:t xml:space="preserve"> </w:t>
                  </w:r>
                  <w:r w:rsidRPr="00B433A3">
                    <w:rPr>
                      <w:szCs w:val="22"/>
                      <w:lang w:eastAsia="zh-CN"/>
                    </w:rPr>
                    <w:t>114</w:t>
                  </w:r>
                </w:p>
              </w:tc>
              <w:tc>
                <w:tcPr>
                  <w:tcW w:w="141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hideMark/>
                </w:tcPr>
                <w:p w14:paraId="3EA4254E" w14:textId="56BD4BF1" w:rsidR="005B6A9C" w:rsidRPr="00B433A3" w:rsidRDefault="005B6A9C" w:rsidP="00B8343E">
                  <w:pPr>
                    <w:pStyle w:val="Tabletext"/>
                    <w:jc w:val="center"/>
                    <w:cnfStyle w:val="000000100000" w:firstRow="0" w:lastRow="0" w:firstColumn="0" w:lastColumn="0" w:oddVBand="0" w:evenVBand="0" w:oddHBand="1" w:evenHBand="0" w:firstRowFirstColumn="0" w:firstRowLastColumn="0" w:lastRowFirstColumn="0" w:lastRowLastColumn="0"/>
                    <w:rPr>
                      <w:b/>
                      <w:bCs/>
                      <w:lang w:eastAsia="zh-CN"/>
                    </w:rPr>
                  </w:pPr>
                  <w:r w:rsidRPr="00B433A3">
                    <w:rPr>
                      <w:b/>
                      <w:bCs/>
                      <w:szCs w:val="22"/>
                      <w:lang w:eastAsia="zh-CN"/>
                    </w:rPr>
                    <w:t>1</w:t>
                  </w:r>
                  <w:r w:rsidR="0063237C" w:rsidRPr="00B433A3">
                    <w:rPr>
                      <w:b/>
                      <w:bCs/>
                      <w:szCs w:val="22"/>
                      <w:lang w:eastAsia="zh-CN"/>
                    </w:rPr>
                    <w:t xml:space="preserve"> </w:t>
                  </w:r>
                  <w:r w:rsidRPr="00B433A3">
                    <w:rPr>
                      <w:b/>
                      <w:bCs/>
                      <w:szCs w:val="22"/>
                      <w:lang w:eastAsia="zh-CN"/>
                    </w:rPr>
                    <w:t>599</w:t>
                  </w:r>
                  <w:r w:rsidR="0063237C" w:rsidRPr="00B433A3">
                    <w:rPr>
                      <w:b/>
                      <w:bCs/>
                      <w:szCs w:val="22"/>
                      <w:lang w:eastAsia="zh-CN"/>
                    </w:rPr>
                    <w:t xml:space="preserve"> </w:t>
                  </w:r>
                  <w:r w:rsidRPr="00B433A3">
                    <w:rPr>
                      <w:b/>
                      <w:bCs/>
                      <w:szCs w:val="22"/>
                      <w:lang w:eastAsia="zh-CN"/>
                    </w:rPr>
                    <w:t>802</w:t>
                  </w:r>
                </w:p>
              </w:tc>
              <w:tc>
                <w:tcPr>
                  <w:tcW w:w="141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hideMark/>
                </w:tcPr>
                <w:p w14:paraId="3A37FD80" w14:textId="0D5F6ED4" w:rsidR="005B6A9C" w:rsidRPr="00B433A3" w:rsidRDefault="005B6A9C" w:rsidP="00B8343E">
                  <w:pPr>
                    <w:pStyle w:val="Tabletext"/>
                    <w:jc w:val="center"/>
                    <w:cnfStyle w:val="000000100000" w:firstRow="0" w:lastRow="0" w:firstColumn="0" w:lastColumn="0" w:oddVBand="0" w:evenVBand="0" w:oddHBand="1" w:evenHBand="0" w:firstRowFirstColumn="0" w:firstRowLastColumn="0" w:lastRowFirstColumn="0" w:lastRowLastColumn="0"/>
                    <w:rPr>
                      <w:lang w:eastAsia="zh-CN"/>
                    </w:rPr>
                  </w:pPr>
                  <w:r w:rsidRPr="00B433A3">
                    <w:rPr>
                      <w:szCs w:val="22"/>
                      <w:lang w:eastAsia="zh-CN"/>
                    </w:rPr>
                    <w:t>21</w:t>
                  </w:r>
                  <w:r w:rsidR="0063237C" w:rsidRPr="00B433A3">
                    <w:rPr>
                      <w:szCs w:val="22"/>
                      <w:lang w:eastAsia="zh-CN"/>
                    </w:rPr>
                    <w:t>,</w:t>
                  </w:r>
                  <w:r w:rsidRPr="00B433A3">
                    <w:rPr>
                      <w:szCs w:val="22"/>
                      <w:lang w:eastAsia="zh-CN"/>
                    </w:rPr>
                    <w:t>00%</w:t>
                  </w:r>
                </w:p>
              </w:tc>
            </w:tr>
            <w:tr w:rsidR="005B6A9C" w:rsidRPr="00B433A3" w14:paraId="54C5BAAB" w14:textId="77777777" w:rsidTr="0063237C">
              <w:trPr>
                <w:trHeight w:val="330"/>
              </w:trPr>
              <w:tc>
                <w:tcPr>
                  <w:cnfStyle w:val="001000000000" w:firstRow="0" w:lastRow="0" w:firstColumn="1" w:lastColumn="0" w:oddVBand="0" w:evenVBand="0" w:oddHBand="0" w:evenHBand="0" w:firstRowFirstColumn="0" w:firstRowLastColumn="0" w:lastRowFirstColumn="0" w:lastRowLastColumn="0"/>
                  <w:tcW w:w="121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hideMark/>
                </w:tcPr>
                <w:p w14:paraId="0252CED2" w14:textId="77777777" w:rsidR="005B6A9C" w:rsidRPr="00B433A3" w:rsidRDefault="005B6A9C" w:rsidP="00B8343E">
                  <w:pPr>
                    <w:pStyle w:val="Tabletext"/>
                    <w:jc w:val="center"/>
                    <w:rPr>
                      <w:lang w:eastAsia="zh-CN"/>
                    </w:rPr>
                  </w:pPr>
                  <w:r w:rsidRPr="00B433A3">
                    <w:rPr>
                      <w:szCs w:val="22"/>
                      <w:lang w:eastAsia="zh-CN"/>
                    </w:rPr>
                    <w:t>M</w:t>
                  </w:r>
                </w:p>
              </w:tc>
              <w:tc>
                <w:tcPr>
                  <w:tcW w:w="154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hideMark/>
                </w:tcPr>
                <w:p w14:paraId="3DD501C4" w14:textId="6733B4CB" w:rsidR="005B6A9C" w:rsidRPr="00B433A3" w:rsidRDefault="005B6A9C" w:rsidP="00B8343E">
                  <w:pPr>
                    <w:pStyle w:val="Tabletext"/>
                    <w:jc w:val="center"/>
                    <w:cnfStyle w:val="000000000000" w:firstRow="0" w:lastRow="0" w:firstColumn="0" w:lastColumn="0" w:oddVBand="0" w:evenVBand="0" w:oddHBand="0" w:evenHBand="0" w:firstRowFirstColumn="0" w:firstRowLastColumn="0" w:lastRowFirstColumn="0" w:lastRowLastColumn="0"/>
                    <w:rPr>
                      <w:lang w:eastAsia="zh-CN"/>
                    </w:rPr>
                  </w:pPr>
                  <w:r w:rsidRPr="00B433A3">
                    <w:rPr>
                      <w:szCs w:val="22"/>
                      <w:lang w:eastAsia="zh-CN"/>
                    </w:rPr>
                    <w:t>405</w:t>
                  </w:r>
                  <w:r w:rsidR="0063237C" w:rsidRPr="00B433A3">
                    <w:rPr>
                      <w:szCs w:val="22"/>
                      <w:lang w:eastAsia="zh-CN"/>
                    </w:rPr>
                    <w:t xml:space="preserve"> </w:t>
                  </w:r>
                  <w:r w:rsidRPr="00B433A3">
                    <w:rPr>
                      <w:szCs w:val="22"/>
                      <w:lang w:eastAsia="zh-CN"/>
                    </w:rPr>
                    <w:t>769</w:t>
                  </w:r>
                </w:p>
              </w:tc>
              <w:tc>
                <w:tcPr>
                  <w:tcW w:w="127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hideMark/>
                </w:tcPr>
                <w:p w14:paraId="2FB18DE1" w14:textId="692E878F" w:rsidR="005B6A9C" w:rsidRPr="00B433A3" w:rsidRDefault="005B6A9C" w:rsidP="00B8343E">
                  <w:pPr>
                    <w:pStyle w:val="Tabletext"/>
                    <w:jc w:val="center"/>
                    <w:cnfStyle w:val="000000000000" w:firstRow="0" w:lastRow="0" w:firstColumn="0" w:lastColumn="0" w:oddVBand="0" w:evenVBand="0" w:oddHBand="0" w:evenHBand="0" w:firstRowFirstColumn="0" w:firstRowLastColumn="0" w:lastRowFirstColumn="0" w:lastRowLastColumn="0"/>
                    <w:rPr>
                      <w:lang w:eastAsia="zh-CN"/>
                    </w:rPr>
                  </w:pPr>
                  <w:r w:rsidRPr="00B433A3">
                    <w:rPr>
                      <w:szCs w:val="22"/>
                      <w:lang w:eastAsia="zh-CN"/>
                    </w:rPr>
                    <w:t>374</w:t>
                  </w:r>
                  <w:r w:rsidR="0063237C" w:rsidRPr="00B433A3">
                    <w:rPr>
                      <w:szCs w:val="22"/>
                      <w:lang w:eastAsia="zh-CN"/>
                    </w:rPr>
                    <w:t xml:space="preserve"> </w:t>
                  </w:r>
                  <w:r w:rsidRPr="00B433A3">
                    <w:rPr>
                      <w:szCs w:val="22"/>
                      <w:lang w:eastAsia="zh-CN"/>
                    </w:rPr>
                    <w:t>486</w:t>
                  </w:r>
                </w:p>
              </w:tc>
              <w:tc>
                <w:tcPr>
                  <w:tcW w:w="127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hideMark/>
                </w:tcPr>
                <w:p w14:paraId="499CBAC4" w14:textId="4B190D87" w:rsidR="005B6A9C" w:rsidRPr="00B433A3" w:rsidRDefault="005B6A9C" w:rsidP="00B8343E">
                  <w:pPr>
                    <w:pStyle w:val="Tabletext"/>
                    <w:jc w:val="center"/>
                    <w:cnfStyle w:val="000000000000" w:firstRow="0" w:lastRow="0" w:firstColumn="0" w:lastColumn="0" w:oddVBand="0" w:evenVBand="0" w:oddHBand="0" w:evenHBand="0" w:firstRowFirstColumn="0" w:firstRowLastColumn="0" w:lastRowFirstColumn="0" w:lastRowLastColumn="0"/>
                    <w:rPr>
                      <w:lang w:eastAsia="zh-CN"/>
                    </w:rPr>
                  </w:pPr>
                  <w:r w:rsidRPr="00B433A3">
                    <w:rPr>
                      <w:szCs w:val="22"/>
                      <w:lang w:eastAsia="zh-CN"/>
                    </w:rPr>
                    <w:t>327</w:t>
                  </w:r>
                  <w:r w:rsidR="0063237C" w:rsidRPr="00B433A3">
                    <w:rPr>
                      <w:szCs w:val="22"/>
                      <w:lang w:eastAsia="zh-CN"/>
                    </w:rPr>
                    <w:t xml:space="preserve"> </w:t>
                  </w:r>
                  <w:r w:rsidRPr="00B433A3">
                    <w:rPr>
                      <w:szCs w:val="22"/>
                      <w:lang w:eastAsia="zh-CN"/>
                    </w:rPr>
                    <w:t>720</w:t>
                  </w:r>
                </w:p>
              </w:tc>
              <w:tc>
                <w:tcPr>
                  <w:tcW w:w="127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hideMark/>
                </w:tcPr>
                <w:p w14:paraId="1CB5DCBA" w14:textId="439D50C5" w:rsidR="005B6A9C" w:rsidRPr="00B433A3" w:rsidRDefault="005B6A9C" w:rsidP="00B8343E">
                  <w:pPr>
                    <w:pStyle w:val="Tabletext"/>
                    <w:jc w:val="center"/>
                    <w:cnfStyle w:val="000000000000" w:firstRow="0" w:lastRow="0" w:firstColumn="0" w:lastColumn="0" w:oddVBand="0" w:evenVBand="0" w:oddHBand="0" w:evenHBand="0" w:firstRowFirstColumn="0" w:firstRowLastColumn="0" w:lastRowFirstColumn="0" w:lastRowLastColumn="0"/>
                    <w:rPr>
                      <w:color w:val="000000" w:themeColor="text1"/>
                      <w:szCs w:val="24"/>
                      <w:lang w:eastAsia="zh-CN"/>
                    </w:rPr>
                  </w:pPr>
                  <w:r w:rsidRPr="00B433A3">
                    <w:rPr>
                      <w:szCs w:val="22"/>
                      <w:lang w:eastAsia="zh-CN"/>
                    </w:rPr>
                    <w:t>354</w:t>
                  </w:r>
                  <w:r w:rsidR="0063237C" w:rsidRPr="00B433A3">
                    <w:rPr>
                      <w:szCs w:val="22"/>
                      <w:lang w:eastAsia="zh-CN"/>
                    </w:rPr>
                    <w:t xml:space="preserve"> </w:t>
                  </w:r>
                  <w:r w:rsidRPr="00B433A3">
                    <w:rPr>
                      <w:szCs w:val="22"/>
                      <w:lang w:eastAsia="zh-CN"/>
                    </w:rPr>
                    <w:t>232</w:t>
                  </w:r>
                </w:p>
              </w:tc>
              <w:tc>
                <w:tcPr>
                  <w:tcW w:w="141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hideMark/>
                </w:tcPr>
                <w:p w14:paraId="07E19827" w14:textId="0FF612DC" w:rsidR="005B6A9C" w:rsidRPr="00B433A3" w:rsidRDefault="005B6A9C" w:rsidP="00B8343E">
                  <w:pPr>
                    <w:pStyle w:val="Tabletext"/>
                    <w:jc w:val="center"/>
                    <w:cnfStyle w:val="000000000000" w:firstRow="0" w:lastRow="0" w:firstColumn="0" w:lastColumn="0" w:oddVBand="0" w:evenVBand="0" w:oddHBand="0" w:evenHBand="0" w:firstRowFirstColumn="0" w:firstRowLastColumn="0" w:lastRowFirstColumn="0" w:lastRowLastColumn="0"/>
                    <w:rPr>
                      <w:b/>
                      <w:bCs/>
                      <w:lang w:eastAsia="zh-CN"/>
                    </w:rPr>
                  </w:pPr>
                  <w:r w:rsidRPr="00B433A3">
                    <w:rPr>
                      <w:b/>
                      <w:bCs/>
                      <w:szCs w:val="22"/>
                      <w:lang w:eastAsia="zh-CN"/>
                    </w:rPr>
                    <w:t>1</w:t>
                  </w:r>
                  <w:r w:rsidR="0063237C" w:rsidRPr="00B433A3">
                    <w:rPr>
                      <w:b/>
                      <w:bCs/>
                      <w:szCs w:val="22"/>
                      <w:lang w:eastAsia="zh-CN"/>
                    </w:rPr>
                    <w:t xml:space="preserve"> </w:t>
                  </w:r>
                  <w:r w:rsidRPr="00B433A3">
                    <w:rPr>
                      <w:b/>
                      <w:bCs/>
                      <w:szCs w:val="22"/>
                      <w:lang w:eastAsia="zh-CN"/>
                    </w:rPr>
                    <w:t>462</w:t>
                  </w:r>
                  <w:r w:rsidR="0063237C" w:rsidRPr="00B433A3">
                    <w:rPr>
                      <w:b/>
                      <w:bCs/>
                      <w:szCs w:val="22"/>
                      <w:lang w:eastAsia="zh-CN"/>
                    </w:rPr>
                    <w:t xml:space="preserve"> </w:t>
                  </w:r>
                  <w:r w:rsidRPr="00B433A3">
                    <w:rPr>
                      <w:b/>
                      <w:bCs/>
                      <w:szCs w:val="22"/>
                      <w:lang w:eastAsia="zh-CN"/>
                    </w:rPr>
                    <w:t>207</w:t>
                  </w:r>
                </w:p>
              </w:tc>
              <w:tc>
                <w:tcPr>
                  <w:tcW w:w="141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hideMark/>
                </w:tcPr>
                <w:p w14:paraId="7496B5B4" w14:textId="1AC7831C" w:rsidR="005B6A9C" w:rsidRPr="00B433A3" w:rsidRDefault="005B6A9C" w:rsidP="00B8343E">
                  <w:pPr>
                    <w:pStyle w:val="Tabletext"/>
                    <w:jc w:val="center"/>
                    <w:cnfStyle w:val="000000000000" w:firstRow="0" w:lastRow="0" w:firstColumn="0" w:lastColumn="0" w:oddVBand="0" w:evenVBand="0" w:oddHBand="0" w:evenHBand="0" w:firstRowFirstColumn="0" w:firstRowLastColumn="0" w:lastRowFirstColumn="0" w:lastRowLastColumn="0"/>
                    <w:rPr>
                      <w:lang w:eastAsia="zh-CN"/>
                    </w:rPr>
                  </w:pPr>
                  <w:r w:rsidRPr="00B433A3">
                    <w:rPr>
                      <w:szCs w:val="22"/>
                      <w:lang w:eastAsia="zh-CN"/>
                    </w:rPr>
                    <w:t>19</w:t>
                  </w:r>
                  <w:r w:rsidR="0063237C" w:rsidRPr="00B433A3">
                    <w:rPr>
                      <w:szCs w:val="22"/>
                      <w:lang w:eastAsia="zh-CN"/>
                    </w:rPr>
                    <w:t>,</w:t>
                  </w:r>
                  <w:r w:rsidRPr="00B433A3">
                    <w:rPr>
                      <w:szCs w:val="22"/>
                      <w:lang w:eastAsia="zh-CN"/>
                    </w:rPr>
                    <w:t>20%</w:t>
                  </w:r>
                </w:p>
              </w:tc>
            </w:tr>
            <w:tr w:rsidR="005B6A9C" w:rsidRPr="00B433A3" w14:paraId="79AB1B2F" w14:textId="77777777" w:rsidTr="0063237C">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21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hideMark/>
                </w:tcPr>
                <w:p w14:paraId="40970AC3" w14:textId="77777777" w:rsidR="005B6A9C" w:rsidRPr="00B433A3" w:rsidRDefault="005B6A9C" w:rsidP="00B8343E">
                  <w:pPr>
                    <w:pStyle w:val="Tabletext"/>
                    <w:jc w:val="center"/>
                    <w:rPr>
                      <w:lang w:eastAsia="zh-CN"/>
                    </w:rPr>
                  </w:pPr>
                  <w:r w:rsidRPr="00B433A3">
                    <w:rPr>
                      <w:szCs w:val="22"/>
                      <w:lang w:eastAsia="zh-CN"/>
                    </w:rPr>
                    <w:t>BT</w:t>
                  </w:r>
                </w:p>
              </w:tc>
              <w:tc>
                <w:tcPr>
                  <w:tcW w:w="154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hideMark/>
                </w:tcPr>
                <w:p w14:paraId="7D84B01B" w14:textId="45ABC875" w:rsidR="005B6A9C" w:rsidRPr="00B433A3" w:rsidRDefault="005B6A9C" w:rsidP="00B8343E">
                  <w:pPr>
                    <w:pStyle w:val="Tabletext"/>
                    <w:jc w:val="center"/>
                    <w:cnfStyle w:val="000000100000" w:firstRow="0" w:lastRow="0" w:firstColumn="0" w:lastColumn="0" w:oddVBand="0" w:evenVBand="0" w:oddHBand="1" w:evenHBand="0" w:firstRowFirstColumn="0" w:firstRowLastColumn="0" w:lastRowFirstColumn="0" w:lastRowLastColumn="0"/>
                    <w:rPr>
                      <w:lang w:eastAsia="zh-CN"/>
                    </w:rPr>
                  </w:pPr>
                  <w:r w:rsidRPr="00B433A3">
                    <w:rPr>
                      <w:szCs w:val="22"/>
                      <w:lang w:eastAsia="zh-CN"/>
                    </w:rPr>
                    <w:t>281</w:t>
                  </w:r>
                  <w:r w:rsidR="0063237C" w:rsidRPr="00B433A3">
                    <w:rPr>
                      <w:szCs w:val="22"/>
                      <w:lang w:eastAsia="zh-CN"/>
                    </w:rPr>
                    <w:t xml:space="preserve"> </w:t>
                  </w:r>
                  <w:r w:rsidRPr="00B433A3">
                    <w:rPr>
                      <w:szCs w:val="22"/>
                      <w:lang w:eastAsia="zh-CN"/>
                    </w:rPr>
                    <w:t>431</w:t>
                  </w:r>
                </w:p>
              </w:tc>
              <w:tc>
                <w:tcPr>
                  <w:tcW w:w="127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hideMark/>
                </w:tcPr>
                <w:p w14:paraId="6664F0C5" w14:textId="391363DF" w:rsidR="005B6A9C" w:rsidRPr="00B433A3" w:rsidRDefault="005B6A9C" w:rsidP="00B8343E">
                  <w:pPr>
                    <w:pStyle w:val="Tabletext"/>
                    <w:jc w:val="center"/>
                    <w:cnfStyle w:val="000000100000" w:firstRow="0" w:lastRow="0" w:firstColumn="0" w:lastColumn="0" w:oddVBand="0" w:evenVBand="0" w:oddHBand="1" w:evenHBand="0" w:firstRowFirstColumn="0" w:firstRowLastColumn="0" w:lastRowFirstColumn="0" w:lastRowLastColumn="0"/>
                    <w:rPr>
                      <w:lang w:eastAsia="zh-CN"/>
                    </w:rPr>
                  </w:pPr>
                  <w:r w:rsidRPr="00B433A3">
                    <w:rPr>
                      <w:szCs w:val="22"/>
                      <w:lang w:eastAsia="zh-CN"/>
                    </w:rPr>
                    <w:t>264</w:t>
                  </w:r>
                  <w:r w:rsidR="0063237C" w:rsidRPr="00B433A3">
                    <w:rPr>
                      <w:szCs w:val="22"/>
                      <w:lang w:eastAsia="zh-CN"/>
                    </w:rPr>
                    <w:t xml:space="preserve"> </w:t>
                  </w:r>
                  <w:r w:rsidRPr="00B433A3">
                    <w:rPr>
                      <w:szCs w:val="22"/>
                      <w:lang w:eastAsia="zh-CN"/>
                    </w:rPr>
                    <w:t>701</w:t>
                  </w:r>
                </w:p>
              </w:tc>
              <w:tc>
                <w:tcPr>
                  <w:tcW w:w="127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hideMark/>
                </w:tcPr>
                <w:p w14:paraId="4975A43C" w14:textId="1B28E3D7" w:rsidR="005B6A9C" w:rsidRPr="00B433A3" w:rsidRDefault="005B6A9C" w:rsidP="00B8343E">
                  <w:pPr>
                    <w:pStyle w:val="Tabletext"/>
                    <w:jc w:val="center"/>
                    <w:cnfStyle w:val="000000100000" w:firstRow="0" w:lastRow="0" w:firstColumn="0" w:lastColumn="0" w:oddVBand="0" w:evenVBand="0" w:oddHBand="1" w:evenHBand="0" w:firstRowFirstColumn="0" w:firstRowLastColumn="0" w:lastRowFirstColumn="0" w:lastRowLastColumn="0"/>
                    <w:rPr>
                      <w:lang w:eastAsia="zh-CN"/>
                    </w:rPr>
                  </w:pPr>
                  <w:r w:rsidRPr="00B433A3">
                    <w:rPr>
                      <w:szCs w:val="22"/>
                      <w:lang w:eastAsia="zh-CN"/>
                    </w:rPr>
                    <w:t>226</w:t>
                  </w:r>
                  <w:r w:rsidR="0063237C" w:rsidRPr="00B433A3">
                    <w:rPr>
                      <w:szCs w:val="22"/>
                      <w:lang w:eastAsia="zh-CN"/>
                    </w:rPr>
                    <w:t xml:space="preserve"> </w:t>
                  </w:r>
                  <w:r w:rsidRPr="00B433A3">
                    <w:rPr>
                      <w:szCs w:val="22"/>
                      <w:lang w:eastAsia="zh-CN"/>
                    </w:rPr>
                    <w:t>737</w:t>
                  </w:r>
                </w:p>
              </w:tc>
              <w:tc>
                <w:tcPr>
                  <w:tcW w:w="127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hideMark/>
                </w:tcPr>
                <w:p w14:paraId="412A7680" w14:textId="05306751" w:rsidR="005B6A9C" w:rsidRPr="00B433A3" w:rsidRDefault="005B6A9C" w:rsidP="00B8343E">
                  <w:pPr>
                    <w:pStyle w:val="Tabletext"/>
                    <w:jc w:val="center"/>
                    <w:cnfStyle w:val="000000100000" w:firstRow="0" w:lastRow="0" w:firstColumn="0" w:lastColumn="0" w:oddVBand="0" w:evenVBand="0" w:oddHBand="1" w:evenHBand="0" w:firstRowFirstColumn="0" w:firstRowLastColumn="0" w:lastRowFirstColumn="0" w:lastRowLastColumn="0"/>
                    <w:rPr>
                      <w:color w:val="000000" w:themeColor="text1"/>
                      <w:szCs w:val="24"/>
                      <w:lang w:eastAsia="zh-CN"/>
                    </w:rPr>
                  </w:pPr>
                  <w:r w:rsidRPr="00B433A3">
                    <w:rPr>
                      <w:szCs w:val="22"/>
                      <w:lang w:eastAsia="zh-CN"/>
                    </w:rPr>
                    <w:t>228</w:t>
                  </w:r>
                  <w:r w:rsidR="0063237C" w:rsidRPr="00B433A3">
                    <w:rPr>
                      <w:szCs w:val="22"/>
                      <w:lang w:eastAsia="zh-CN"/>
                    </w:rPr>
                    <w:t xml:space="preserve"> </w:t>
                  </w:r>
                  <w:r w:rsidRPr="00B433A3">
                    <w:rPr>
                      <w:szCs w:val="22"/>
                      <w:lang w:eastAsia="zh-CN"/>
                    </w:rPr>
                    <w:t>103</w:t>
                  </w:r>
                </w:p>
              </w:tc>
              <w:tc>
                <w:tcPr>
                  <w:tcW w:w="141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hideMark/>
                </w:tcPr>
                <w:p w14:paraId="1510EB23" w14:textId="61BED0CE" w:rsidR="005B6A9C" w:rsidRPr="00B433A3" w:rsidRDefault="005B6A9C" w:rsidP="00B8343E">
                  <w:pPr>
                    <w:pStyle w:val="Tabletext"/>
                    <w:jc w:val="center"/>
                    <w:cnfStyle w:val="000000100000" w:firstRow="0" w:lastRow="0" w:firstColumn="0" w:lastColumn="0" w:oddVBand="0" w:evenVBand="0" w:oddHBand="1" w:evenHBand="0" w:firstRowFirstColumn="0" w:firstRowLastColumn="0" w:lastRowFirstColumn="0" w:lastRowLastColumn="0"/>
                    <w:rPr>
                      <w:b/>
                      <w:bCs/>
                      <w:lang w:eastAsia="zh-CN"/>
                    </w:rPr>
                  </w:pPr>
                  <w:r w:rsidRPr="00B433A3">
                    <w:rPr>
                      <w:b/>
                      <w:bCs/>
                      <w:szCs w:val="22"/>
                      <w:lang w:eastAsia="zh-CN"/>
                    </w:rPr>
                    <w:t>1</w:t>
                  </w:r>
                  <w:r w:rsidR="0063237C" w:rsidRPr="00B433A3">
                    <w:rPr>
                      <w:b/>
                      <w:bCs/>
                      <w:szCs w:val="22"/>
                      <w:lang w:eastAsia="zh-CN"/>
                    </w:rPr>
                    <w:t xml:space="preserve"> </w:t>
                  </w:r>
                  <w:r w:rsidRPr="00B433A3">
                    <w:rPr>
                      <w:b/>
                      <w:bCs/>
                      <w:szCs w:val="22"/>
                      <w:lang w:eastAsia="zh-CN"/>
                    </w:rPr>
                    <w:t>000</w:t>
                  </w:r>
                  <w:r w:rsidR="0063237C" w:rsidRPr="00B433A3">
                    <w:rPr>
                      <w:b/>
                      <w:bCs/>
                      <w:szCs w:val="22"/>
                      <w:lang w:eastAsia="zh-CN"/>
                    </w:rPr>
                    <w:t xml:space="preserve"> </w:t>
                  </w:r>
                  <w:r w:rsidRPr="00B433A3">
                    <w:rPr>
                      <w:b/>
                      <w:bCs/>
                      <w:szCs w:val="22"/>
                      <w:lang w:eastAsia="zh-CN"/>
                    </w:rPr>
                    <w:t>972</w:t>
                  </w:r>
                </w:p>
              </w:tc>
              <w:tc>
                <w:tcPr>
                  <w:tcW w:w="141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hideMark/>
                </w:tcPr>
                <w:p w14:paraId="45196100" w14:textId="05CE2E00" w:rsidR="005B6A9C" w:rsidRPr="00B433A3" w:rsidRDefault="005B6A9C" w:rsidP="00B8343E">
                  <w:pPr>
                    <w:pStyle w:val="Tabletext"/>
                    <w:jc w:val="center"/>
                    <w:cnfStyle w:val="000000100000" w:firstRow="0" w:lastRow="0" w:firstColumn="0" w:lastColumn="0" w:oddVBand="0" w:evenVBand="0" w:oddHBand="1" w:evenHBand="0" w:firstRowFirstColumn="0" w:firstRowLastColumn="0" w:lastRowFirstColumn="0" w:lastRowLastColumn="0"/>
                    <w:rPr>
                      <w:lang w:eastAsia="zh-CN"/>
                    </w:rPr>
                  </w:pPr>
                  <w:r w:rsidRPr="00B433A3">
                    <w:rPr>
                      <w:szCs w:val="22"/>
                      <w:lang w:eastAsia="zh-CN"/>
                    </w:rPr>
                    <w:t>13</w:t>
                  </w:r>
                  <w:r w:rsidR="0063237C" w:rsidRPr="00B433A3">
                    <w:rPr>
                      <w:szCs w:val="22"/>
                      <w:lang w:eastAsia="zh-CN"/>
                    </w:rPr>
                    <w:t>,</w:t>
                  </w:r>
                  <w:r w:rsidRPr="00B433A3">
                    <w:rPr>
                      <w:szCs w:val="22"/>
                      <w:lang w:eastAsia="zh-CN"/>
                    </w:rPr>
                    <w:t>14%</w:t>
                  </w:r>
                </w:p>
              </w:tc>
            </w:tr>
            <w:tr w:rsidR="005B6A9C" w:rsidRPr="00B433A3" w14:paraId="4CB499EA" w14:textId="77777777" w:rsidTr="0063237C">
              <w:trPr>
                <w:trHeight w:val="330"/>
              </w:trPr>
              <w:tc>
                <w:tcPr>
                  <w:cnfStyle w:val="001000000000" w:firstRow="0" w:lastRow="0" w:firstColumn="1" w:lastColumn="0" w:oddVBand="0" w:evenVBand="0" w:oddHBand="0" w:evenHBand="0" w:firstRowFirstColumn="0" w:firstRowLastColumn="0" w:lastRowFirstColumn="0" w:lastRowLastColumn="0"/>
                  <w:tcW w:w="121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hideMark/>
                </w:tcPr>
                <w:p w14:paraId="343EC047" w14:textId="77777777" w:rsidR="005B6A9C" w:rsidRPr="00B433A3" w:rsidRDefault="005B6A9C" w:rsidP="00B8343E">
                  <w:pPr>
                    <w:pStyle w:val="Tabletext"/>
                    <w:jc w:val="center"/>
                    <w:rPr>
                      <w:lang w:eastAsia="zh-CN"/>
                    </w:rPr>
                  </w:pPr>
                  <w:r w:rsidRPr="00B433A3">
                    <w:rPr>
                      <w:szCs w:val="22"/>
                      <w:lang w:eastAsia="zh-CN"/>
                    </w:rPr>
                    <w:t>SM</w:t>
                  </w:r>
                </w:p>
              </w:tc>
              <w:tc>
                <w:tcPr>
                  <w:tcW w:w="154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hideMark/>
                </w:tcPr>
                <w:p w14:paraId="66633457" w14:textId="6A35FBE1" w:rsidR="005B6A9C" w:rsidRPr="00B433A3" w:rsidRDefault="005B6A9C" w:rsidP="00B8343E">
                  <w:pPr>
                    <w:pStyle w:val="Tabletext"/>
                    <w:jc w:val="center"/>
                    <w:cnfStyle w:val="000000000000" w:firstRow="0" w:lastRow="0" w:firstColumn="0" w:lastColumn="0" w:oddVBand="0" w:evenVBand="0" w:oddHBand="0" w:evenHBand="0" w:firstRowFirstColumn="0" w:firstRowLastColumn="0" w:lastRowFirstColumn="0" w:lastRowLastColumn="0"/>
                    <w:rPr>
                      <w:lang w:eastAsia="zh-CN"/>
                    </w:rPr>
                  </w:pPr>
                  <w:r w:rsidRPr="00B433A3">
                    <w:rPr>
                      <w:szCs w:val="22"/>
                      <w:lang w:eastAsia="zh-CN"/>
                    </w:rPr>
                    <w:t>199</w:t>
                  </w:r>
                  <w:r w:rsidR="0063237C" w:rsidRPr="00B433A3">
                    <w:rPr>
                      <w:szCs w:val="22"/>
                      <w:lang w:eastAsia="zh-CN"/>
                    </w:rPr>
                    <w:t xml:space="preserve"> </w:t>
                  </w:r>
                  <w:r w:rsidRPr="00B433A3">
                    <w:rPr>
                      <w:szCs w:val="22"/>
                      <w:lang w:eastAsia="zh-CN"/>
                    </w:rPr>
                    <w:t>430</w:t>
                  </w:r>
                </w:p>
              </w:tc>
              <w:tc>
                <w:tcPr>
                  <w:tcW w:w="127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hideMark/>
                </w:tcPr>
                <w:p w14:paraId="06DBD190" w14:textId="37EB4392" w:rsidR="005B6A9C" w:rsidRPr="00B433A3" w:rsidRDefault="005B6A9C" w:rsidP="00B8343E">
                  <w:pPr>
                    <w:pStyle w:val="Tabletext"/>
                    <w:jc w:val="center"/>
                    <w:cnfStyle w:val="000000000000" w:firstRow="0" w:lastRow="0" w:firstColumn="0" w:lastColumn="0" w:oddVBand="0" w:evenVBand="0" w:oddHBand="0" w:evenHBand="0" w:firstRowFirstColumn="0" w:firstRowLastColumn="0" w:lastRowFirstColumn="0" w:lastRowLastColumn="0"/>
                    <w:rPr>
                      <w:lang w:eastAsia="zh-CN"/>
                    </w:rPr>
                  </w:pPr>
                  <w:r w:rsidRPr="00B433A3">
                    <w:rPr>
                      <w:szCs w:val="22"/>
                      <w:lang w:eastAsia="zh-CN"/>
                    </w:rPr>
                    <w:t>175</w:t>
                  </w:r>
                  <w:r w:rsidR="0063237C" w:rsidRPr="00B433A3">
                    <w:rPr>
                      <w:szCs w:val="22"/>
                      <w:lang w:eastAsia="zh-CN"/>
                    </w:rPr>
                    <w:t xml:space="preserve"> </w:t>
                  </w:r>
                  <w:r w:rsidRPr="00B433A3">
                    <w:rPr>
                      <w:szCs w:val="22"/>
                      <w:lang w:eastAsia="zh-CN"/>
                    </w:rPr>
                    <w:t>154</w:t>
                  </w:r>
                </w:p>
              </w:tc>
              <w:tc>
                <w:tcPr>
                  <w:tcW w:w="127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hideMark/>
                </w:tcPr>
                <w:p w14:paraId="3A0340A1" w14:textId="0AB962E2" w:rsidR="005B6A9C" w:rsidRPr="00B433A3" w:rsidRDefault="005B6A9C" w:rsidP="00B8343E">
                  <w:pPr>
                    <w:pStyle w:val="Tabletext"/>
                    <w:jc w:val="center"/>
                    <w:cnfStyle w:val="000000000000" w:firstRow="0" w:lastRow="0" w:firstColumn="0" w:lastColumn="0" w:oddVBand="0" w:evenVBand="0" w:oddHBand="0" w:evenHBand="0" w:firstRowFirstColumn="0" w:firstRowLastColumn="0" w:lastRowFirstColumn="0" w:lastRowLastColumn="0"/>
                    <w:rPr>
                      <w:lang w:eastAsia="zh-CN"/>
                    </w:rPr>
                  </w:pPr>
                  <w:r w:rsidRPr="00B433A3">
                    <w:rPr>
                      <w:szCs w:val="22"/>
                      <w:lang w:eastAsia="zh-CN"/>
                    </w:rPr>
                    <w:t>171</w:t>
                  </w:r>
                  <w:r w:rsidR="0063237C" w:rsidRPr="00B433A3">
                    <w:rPr>
                      <w:szCs w:val="22"/>
                      <w:lang w:eastAsia="zh-CN"/>
                    </w:rPr>
                    <w:t xml:space="preserve"> </w:t>
                  </w:r>
                  <w:r w:rsidRPr="00B433A3">
                    <w:rPr>
                      <w:szCs w:val="22"/>
                      <w:lang w:eastAsia="zh-CN"/>
                    </w:rPr>
                    <w:t>165</w:t>
                  </w:r>
                </w:p>
              </w:tc>
              <w:tc>
                <w:tcPr>
                  <w:tcW w:w="127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hideMark/>
                </w:tcPr>
                <w:p w14:paraId="29D3269F" w14:textId="2CF8486C" w:rsidR="005B6A9C" w:rsidRPr="00B433A3" w:rsidRDefault="005B6A9C" w:rsidP="00B8343E">
                  <w:pPr>
                    <w:pStyle w:val="Tabletext"/>
                    <w:jc w:val="center"/>
                    <w:cnfStyle w:val="000000000000" w:firstRow="0" w:lastRow="0" w:firstColumn="0" w:lastColumn="0" w:oddVBand="0" w:evenVBand="0" w:oddHBand="0" w:evenHBand="0" w:firstRowFirstColumn="0" w:firstRowLastColumn="0" w:lastRowFirstColumn="0" w:lastRowLastColumn="0"/>
                    <w:rPr>
                      <w:color w:val="000000" w:themeColor="text1"/>
                      <w:szCs w:val="24"/>
                      <w:lang w:eastAsia="zh-CN"/>
                    </w:rPr>
                  </w:pPr>
                  <w:r w:rsidRPr="00B433A3">
                    <w:rPr>
                      <w:szCs w:val="22"/>
                      <w:lang w:eastAsia="zh-CN"/>
                    </w:rPr>
                    <w:t>191</w:t>
                  </w:r>
                  <w:r w:rsidR="0063237C" w:rsidRPr="00B433A3">
                    <w:rPr>
                      <w:szCs w:val="22"/>
                      <w:lang w:eastAsia="zh-CN"/>
                    </w:rPr>
                    <w:t xml:space="preserve"> </w:t>
                  </w:r>
                  <w:r w:rsidRPr="00B433A3">
                    <w:rPr>
                      <w:szCs w:val="22"/>
                      <w:lang w:eastAsia="zh-CN"/>
                    </w:rPr>
                    <w:t>538</w:t>
                  </w:r>
                </w:p>
              </w:tc>
              <w:tc>
                <w:tcPr>
                  <w:tcW w:w="141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hideMark/>
                </w:tcPr>
                <w:p w14:paraId="247D7C34" w14:textId="705D5BDB" w:rsidR="005B6A9C" w:rsidRPr="00B433A3" w:rsidRDefault="005B6A9C" w:rsidP="00B8343E">
                  <w:pPr>
                    <w:pStyle w:val="Tabletext"/>
                    <w:jc w:val="center"/>
                    <w:cnfStyle w:val="000000000000" w:firstRow="0" w:lastRow="0" w:firstColumn="0" w:lastColumn="0" w:oddVBand="0" w:evenVBand="0" w:oddHBand="0" w:evenHBand="0" w:firstRowFirstColumn="0" w:firstRowLastColumn="0" w:lastRowFirstColumn="0" w:lastRowLastColumn="0"/>
                    <w:rPr>
                      <w:b/>
                      <w:bCs/>
                      <w:lang w:eastAsia="zh-CN"/>
                    </w:rPr>
                  </w:pPr>
                  <w:r w:rsidRPr="00B433A3">
                    <w:rPr>
                      <w:b/>
                      <w:bCs/>
                      <w:szCs w:val="22"/>
                      <w:lang w:eastAsia="zh-CN"/>
                    </w:rPr>
                    <w:t>737</w:t>
                  </w:r>
                  <w:r w:rsidR="0063237C" w:rsidRPr="00B433A3">
                    <w:rPr>
                      <w:b/>
                      <w:bCs/>
                      <w:szCs w:val="22"/>
                      <w:lang w:eastAsia="zh-CN"/>
                    </w:rPr>
                    <w:t xml:space="preserve"> </w:t>
                  </w:r>
                  <w:r w:rsidRPr="00B433A3">
                    <w:rPr>
                      <w:b/>
                      <w:bCs/>
                      <w:szCs w:val="22"/>
                      <w:lang w:eastAsia="zh-CN"/>
                    </w:rPr>
                    <w:t>287</w:t>
                  </w:r>
                </w:p>
              </w:tc>
              <w:tc>
                <w:tcPr>
                  <w:tcW w:w="141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hideMark/>
                </w:tcPr>
                <w:p w14:paraId="7D129394" w14:textId="6AEF75F0" w:rsidR="005B6A9C" w:rsidRPr="00B433A3" w:rsidRDefault="005B6A9C" w:rsidP="00B8343E">
                  <w:pPr>
                    <w:pStyle w:val="Tabletext"/>
                    <w:jc w:val="center"/>
                    <w:cnfStyle w:val="000000000000" w:firstRow="0" w:lastRow="0" w:firstColumn="0" w:lastColumn="0" w:oddVBand="0" w:evenVBand="0" w:oddHBand="0" w:evenHBand="0" w:firstRowFirstColumn="0" w:firstRowLastColumn="0" w:lastRowFirstColumn="0" w:lastRowLastColumn="0"/>
                    <w:rPr>
                      <w:lang w:eastAsia="zh-CN"/>
                    </w:rPr>
                  </w:pPr>
                  <w:r w:rsidRPr="00B433A3">
                    <w:rPr>
                      <w:szCs w:val="22"/>
                      <w:lang w:eastAsia="zh-CN"/>
                    </w:rPr>
                    <w:t>9</w:t>
                  </w:r>
                  <w:r w:rsidR="0063237C" w:rsidRPr="00B433A3">
                    <w:rPr>
                      <w:szCs w:val="22"/>
                      <w:lang w:eastAsia="zh-CN"/>
                    </w:rPr>
                    <w:t>,</w:t>
                  </w:r>
                  <w:r w:rsidRPr="00B433A3">
                    <w:rPr>
                      <w:szCs w:val="22"/>
                      <w:lang w:eastAsia="zh-CN"/>
                    </w:rPr>
                    <w:t>68%</w:t>
                  </w:r>
                </w:p>
              </w:tc>
            </w:tr>
            <w:tr w:rsidR="005B6A9C" w:rsidRPr="00B433A3" w14:paraId="5CCF09DD" w14:textId="77777777" w:rsidTr="0063237C">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21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hideMark/>
                </w:tcPr>
                <w:p w14:paraId="4781774E" w14:textId="77777777" w:rsidR="005B6A9C" w:rsidRPr="00B433A3" w:rsidRDefault="005B6A9C" w:rsidP="00B8343E">
                  <w:pPr>
                    <w:pStyle w:val="Tabletext"/>
                    <w:jc w:val="center"/>
                    <w:rPr>
                      <w:lang w:eastAsia="zh-CN"/>
                    </w:rPr>
                  </w:pPr>
                  <w:r w:rsidRPr="00B433A3">
                    <w:rPr>
                      <w:szCs w:val="22"/>
                      <w:lang w:eastAsia="zh-CN"/>
                    </w:rPr>
                    <w:t>F</w:t>
                  </w:r>
                </w:p>
              </w:tc>
              <w:tc>
                <w:tcPr>
                  <w:tcW w:w="154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hideMark/>
                </w:tcPr>
                <w:p w14:paraId="4CCAC83F" w14:textId="340CDC9A" w:rsidR="005B6A9C" w:rsidRPr="00B433A3" w:rsidRDefault="005B6A9C" w:rsidP="00B8343E">
                  <w:pPr>
                    <w:pStyle w:val="Tabletext"/>
                    <w:jc w:val="center"/>
                    <w:cnfStyle w:val="000000100000" w:firstRow="0" w:lastRow="0" w:firstColumn="0" w:lastColumn="0" w:oddVBand="0" w:evenVBand="0" w:oddHBand="1" w:evenHBand="0" w:firstRowFirstColumn="0" w:firstRowLastColumn="0" w:lastRowFirstColumn="0" w:lastRowLastColumn="0"/>
                    <w:rPr>
                      <w:lang w:eastAsia="zh-CN"/>
                    </w:rPr>
                  </w:pPr>
                  <w:r w:rsidRPr="00B433A3">
                    <w:rPr>
                      <w:szCs w:val="22"/>
                      <w:lang w:eastAsia="zh-CN"/>
                    </w:rPr>
                    <w:t>229</w:t>
                  </w:r>
                  <w:r w:rsidR="0063237C" w:rsidRPr="00B433A3">
                    <w:rPr>
                      <w:szCs w:val="22"/>
                      <w:lang w:eastAsia="zh-CN"/>
                    </w:rPr>
                    <w:t xml:space="preserve"> </w:t>
                  </w:r>
                  <w:r w:rsidRPr="00B433A3">
                    <w:rPr>
                      <w:szCs w:val="22"/>
                      <w:lang w:eastAsia="zh-CN"/>
                    </w:rPr>
                    <w:t>326</w:t>
                  </w:r>
                </w:p>
              </w:tc>
              <w:tc>
                <w:tcPr>
                  <w:tcW w:w="127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hideMark/>
                </w:tcPr>
                <w:p w14:paraId="1A70FBB8" w14:textId="578BFE8C" w:rsidR="005B6A9C" w:rsidRPr="00B433A3" w:rsidRDefault="005B6A9C" w:rsidP="00B8343E">
                  <w:pPr>
                    <w:pStyle w:val="Tabletext"/>
                    <w:jc w:val="center"/>
                    <w:cnfStyle w:val="000000100000" w:firstRow="0" w:lastRow="0" w:firstColumn="0" w:lastColumn="0" w:oddVBand="0" w:evenVBand="0" w:oddHBand="1" w:evenHBand="0" w:firstRowFirstColumn="0" w:firstRowLastColumn="0" w:lastRowFirstColumn="0" w:lastRowLastColumn="0"/>
                    <w:rPr>
                      <w:lang w:eastAsia="zh-CN"/>
                    </w:rPr>
                  </w:pPr>
                  <w:r w:rsidRPr="00B433A3">
                    <w:rPr>
                      <w:szCs w:val="22"/>
                      <w:lang w:eastAsia="zh-CN"/>
                    </w:rPr>
                    <w:t>189</w:t>
                  </w:r>
                  <w:r w:rsidR="0063237C" w:rsidRPr="00B433A3">
                    <w:rPr>
                      <w:szCs w:val="22"/>
                      <w:lang w:eastAsia="zh-CN"/>
                    </w:rPr>
                    <w:t xml:space="preserve"> </w:t>
                  </w:r>
                  <w:r w:rsidRPr="00B433A3">
                    <w:rPr>
                      <w:szCs w:val="22"/>
                      <w:lang w:eastAsia="zh-CN"/>
                    </w:rPr>
                    <w:t>609</w:t>
                  </w:r>
                </w:p>
              </w:tc>
              <w:tc>
                <w:tcPr>
                  <w:tcW w:w="127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hideMark/>
                </w:tcPr>
                <w:p w14:paraId="7B758BB8" w14:textId="05133F4A" w:rsidR="005B6A9C" w:rsidRPr="00B433A3" w:rsidRDefault="005B6A9C" w:rsidP="00B8343E">
                  <w:pPr>
                    <w:pStyle w:val="Tabletext"/>
                    <w:jc w:val="center"/>
                    <w:cnfStyle w:val="000000100000" w:firstRow="0" w:lastRow="0" w:firstColumn="0" w:lastColumn="0" w:oddVBand="0" w:evenVBand="0" w:oddHBand="1" w:evenHBand="0" w:firstRowFirstColumn="0" w:firstRowLastColumn="0" w:lastRowFirstColumn="0" w:lastRowLastColumn="0"/>
                    <w:rPr>
                      <w:lang w:eastAsia="zh-CN"/>
                    </w:rPr>
                  </w:pPr>
                  <w:r w:rsidRPr="00B433A3">
                    <w:rPr>
                      <w:szCs w:val="22"/>
                      <w:lang w:eastAsia="zh-CN"/>
                    </w:rPr>
                    <w:t>154</w:t>
                  </w:r>
                  <w:r w:rsidR="0063237C" w:rsidRPr="00B433A3">
                    <w:rPr>
                      <w:szCs w:val="22"/>
                      <w:lang w:eastAsia="zh-CN"/>
                    </w:rPr>
                    <w:t xml:space="preserve"> </w:t>
                  </w:r>
                  <w:r w:rsidRPr="00B433A3">
                    <w:rPr>
                      <w:szCs w:val="22"/>
                      <w:lang w:eastAsia="zh-CN"/>
                    </w:rPr>
                    <w:t>672</w:t>
                  </w:r>
                </w:p>
              </w:tc>
              <w:tc>
                <w:tcPr>
                  <w:tcW w:w="127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hideMark/>
                </w:tcPr>
                <w:p w14:paraId="677E15CA" w14:textId="4BFF2157" w:rsidR="005B6A9C" w:rsidRPr="00B433A3" w:rsidRDefault="005B6A9C" w:rsidP="00B8343E">
                  <w:pPr>
                    <w:pStyle w:val="Tabletext"/>
                    <w:jc w:val="center"/>
                    <w:cnfStyle w:val="000000100000" w:firstRow="0" w:lastRow="0" w:firstColumn="0" w:lastColumn="0" w:oddVBand="0" w:evenVBand="0" w:oddHBand="1" w:evenHBand="0" w:firstRowFirstColumn="0" w:firstRowLastColumn="0" w:lastRowFirstColumn="0" w:lastRowLastColumn="0"/>
                    <w:rPr>
                      <w:color w:val="000000" w:themeColor="text1"/>
                      <w:szCs w:val="24"/>
                      <w:lang w:eastAsia="zh-CN"/>
                    </w:rPr>
                  </w:pPr>
                  <w:r w:rsidRPr="00B433A3">
                    <w:rPr>
                      <w:szCs w:val="22"/>
                      <w:lang w:eastAsia="zh-CN"/>
                    </w:rPr>
                    <w:t>144</w:t>
                  </w:r>
                  <w:r w:rsidR="0063237C" w:rsidRPr="00B433A3">
                    <w:rPr>
                      <w:szCs w:val="22"/>
                      <w:lang w:eastAsia="zh-CN"/>
                    </w:rPr>
                    <w:t xml:space="preserve"> </w:t>
                  </w:r>
                  <w:r w:rsidRPr="00B433A3">
                    <w:rPr>
                      <w:szCs w:val="22"/>
                      <w:lang w:eastAsia="zh-CN"/>
                    </w:rPr>
                    <w:t>499</w:t>
                  </w:r>
                </w:p>
              </w:tc>
              <w:tc>
                <w:tcPr>
                  <w:tcW w:w="141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hideMark/>
                </w:tcPr>
                <w:p w14:paraId="6B16E1A3" w14:textId="4899C569" w:rsidR="005B6A9C" w:rsidRPr="00B433A3" w:rsidRDefault="005B6A9C" w:rsidP="00B8343E">
                  <w:pPr>
                    <w:pStyle w:val="Tabletext"/>
                    <w:jc w:val="center"/>
                    <w:cnfStyle w:val="000000100000" w:firstRow="0" w:lastRow="0" w:firstColumn="0" w:lastColumn="0" w:oddVBand="0" w:evenVBand="0" w:oddHBand="1" w:evenHBand="0" w:firstRowFirstColumn="0" w:firstRowLastColumn="0" w:lastRowFirstColumn="0" w:lastRowLastColumn="0"/>
                    <w:rPr>
                      <w:b/>
                      <w:bCs/>
                      <w:lang w:eastAsia="zh-CN"/>
                    </w:rPr>
                  </w:pPr>
                  <w:r w:rsidRPr="00B433A3">
                    <w:rPr>
                      <w:b/>
                      <w:bCs/>
                      <w:szCs w:val="22"/>
                      <w:lang w:eastAsia="zh-CN"/>
                    </w:rPr>
                    <w:t>718</w:t>
                  </w:r>
                  <w:r w:rsidR="0063237C" w:rsidRPr="00B433A3">
                    <w:rPr>
                      <w:b/>
                      <w:bCs/>
                      <w:szCs w:val="22"/>
                      <w:lang w:eastAsia="zh-CN"/>
                    </w:rPr>
                    <w:t xml:space="preserve"> </w:t>
                  </w:r>
                  <w:r w:rsidRPr="00B433A3">
                    <w:rPr>
                      <w:b/>
                      <w:bCs/>
                      <w:szCs w:val="22"/>
                      <w:lang w:eastAsia="zh-CN"/>
                    </w:rPr>
                    <w:t>106</w:t>
                  </w:r>
                </w:p>
              </w:tc>
              <w:tc>
                <w:tcPr>
                  <w:tcW w:w="141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hideMark/>
                </w:tcPr>
                <w:p w14:paraId="67DB22B3" w14:textId="47E58940" w:rsidR="005B6A9C" w:rsidRPr="00B433A3" w:rsidRDefault="005B6A9C" w:rsidP="00B8343E">
                  <w:pPr>
                    <w:pStyle w:val="Tabletext"/>
                    <w:jc w:val="center"/>
                    <w:cnfStyle w:val="000000100000" w:firstRow="0" w:lastRow="0" w:firstColumn="0" w:lastColumn="0" w:oddVBand="0" w:evenVBand="0" w:oddHBand="1" w:evenHBand="0" w:firstRowFirstColumn="0" w:firstRowLastColumn="0" w:lastRowFirstColumn="0" w:lastRowLastColumn="0"/>
                    <w:rPr>
                      <w:lang w:eastAsia="zh-CN"/>
                    </w:rPr>
                  </w:pPr>
                  <w:r w:rsidRPr="00B433A3">
                    <w:rPr>
                      <w:szCs w:val="22"/>
                      <w:lang w:eastAsia="zh-CN"/>
                    </w:rPr>
                    <w:t>9</w:t>
                  </w:r>
                  <w:r w:rsidR="0063237C" w:rsidRPr="00B433A3">
                    <w:rPr>
                      <w:szCs w:val="22"/>
                      <w:lang w:eastAsia="zh-CN"/>
                    </w:rPr>
                    <w:t>,</w:t>
                  </w:r>
                  <w:r w:rsidRPr="00B433A3">
                    <w:rPr>
                      <w:szCs w:val="22"/>
                      <w:lang w:eastAsia="zh-CN"/>
                    </w:rPr>
                    <w:t>43%</w:t>
                  </w:r>
                </w:p>
              </w:tc>
            </w:tr>
            <w:tr w:rsidR="005B6A9C" w:rsidRPr="00B433A3" w14:paraId="11079E29" w14:textId="77777777" w:rsidTr="0063237C">
              <w:trPr>
                <w:trHeight w:val="330"/>
              </w:trPr>
              <w:tc>
                <w:tcPr>
                  <w:cnfStyle w:val="001000000000" w:firstRow="0" w:lastRow="0" w:firstColumn="1" w:lastColumn="0" w:oddVBand="0" w:evenVBand="0" w:oddHBand="0" w:evenHBand="0" w:firstRowFirstColumn="0" w:firstRowLastColumn="0" w:lastRowFirstColumn="0" w:lastRowLastColumn="0"/>
                  <w:tcW w:w="121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hideMark/>
                </w:tcPr>
                <w:p w14:paraId="0DBA3F27" w14:textId="77777777" w:rsidR="005B6A9C" w:rsidRPr="00B433A3" w:rsidRDefault="005B6A9C" w:rsidP="00B8343E">
                  <w:pPr>
                    <w:pStyle w:val="Tabletext"/>
                    <w:jc w:val="center"/>
                    <w:rPr>
                      <w:lang w:eastAsia="zh-CN"/>
                    </w:rPr>
                  </w:pPr>
                  <w:r w:rsidRPr="00B433A3">
                    <w:rPr>
                      <w:szCs w:val="22"/>
                      <w:lang w:eastAsia="zh-CN"/>
                    </w:rPr>
                    <w:t>BS</w:t>
                  </w:r>
                </w:p>
              </w:tc>
              <w:tc>
                <w:tcPr>
                  <w:tcW w:w="154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hideMark/>
                </w:tcPr>
                <w:p w14:paraId="3D1562CE" w14:textId="6C77CF11" w:rsidR="005B6A9C" w:rsidRPr="00B433A3" w:rsidRDefault="005B6A9C" w:rsidP="00B8343E">
                  <w:pPr>
                    <w:pStyle w:val="Tabletext"/>
                    <w:jc w:val="center"/>
                    <w:cnfStyle w:val="000000000000" w:firstRow="0" w:lastRow="0" w:firstColumn="0" w:lastColumn="0" w:oddVBand="0" w:evenVBand="0" w:oddHBand="0" w:evenHBand="0" w:firstRowFirstColumn="0" w:firstRowLastColumn="0" w:lastRowFirstColumn="0" w:lastRowLastColumn="0"/>
                    <w:rPr>
                      <w:lang w:eastAsia="zh-CN"/>
                    </w:rPr>
                  </w:pPr>
                  <w:r w:rsidRPr="00B433A3">
                    <w:rPr>
                      <w:szCs w:val="22"/>
                      <w:lang w:eastAsia="zh-CN"/>
                    </w:rPr>
                    <w:t>160</w:t>
                  </w:r>
                  <w:r w:rsidR="0063237C" w:rsidRPr="00B433A3">
                    <w:rPr>
                      <w:szCs w:val="22"/>
                      <w:lang w:eastAsia="zh-CN"/>
                    </w:rPr>
                    <w:t xml:space="preserve"> </w:t>
                  </w:r>
                  <w:r w:rsidRPr="00B433A3">
                    <w:rPr>
                      <w:szCs w:val="22"/>
                      <w:lang w:eastAsia="zh-CN"/>
                    </w:rPr>
                    <w:t>218</w:t>
                  </w:r>
                </w:p>
              </w:tc>
              <w:tc>
                <w:tcPr>
                  <w:tcW w:w="127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hideMark/>
                </w:tcPr>
                <w:p w14:paraId="787C560B" w14:textId="30B117C7" w:rsidR="005B6A9C" w:rsidRPr="00B433A3" w:rsidRDefault="005B6A9C" w:rsidP="00B8343E">
                  <w:pPr>
                    <w:pStyle w:val="Tabletext"/>
                    <w:jc w:val="center"/>
                    <w:cnfStyle w:val="000000000000" w:firstRow="0" w:lastRow="0" w:firstColumn="0" w:lastColumn="0" w:oddVBand="0" w:evenVBand="0" w:oddHBand="0" w:evenHBand="0" w:firstRowFirstColumn="0" w:firstRowLastColumn="0" w:lastRowFirstColumn="0" w:lastRowLastColumn="0"/>
                    <w:rPr>
                      <w:lang w:eastAsia="zh-CN"/>
                    </w:rPr>
                  </w:pPr>
                  <w:r w:rsidRPr="00B433A3">
                    <w:rPr>
                      <w:szCs w:val="22"/>
                      <w:lang w:eastAsia="zh-CN"/>
                    </w:rPr>
                    <w:t>153</w:t>
                  </w:r>
                  <w:r w:rsidR="0063237C" w:rsidRPr="00B433A3">
                    <w:rPr>
                      <w:szCs w:val="22"/>
                      <w:lang w:eastAsia="zh-CN"/>
                    </w:rPr>
                    <w:t xml:space="preserve"> </w:t>
                  </w:r>
                  <w:r w:rsidRPr="00B433A3">
                    <w:rPr>
                      <w:szCs w:val="22"/>
                      <w:lang w:eastAsia="zh-CN"/>
                    </w:rPr>
                    <w:t>757</w:t>
                  </w:r>
                </w:p>
              </w:tc>
              <w:tc>
                <w:tcPr>
                  <w:tcW w:w="127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hideMark/>
                </w:tcPr>
                <w:p w14:paraId="54FDE2B3" w14:textId="4E6F9C6D" w:rsidR="005B6A9C" w:rsidRPr="00B433A3" w:rsidRDefault="005B6A9C" w:rsidP="00B8343E">
                  <w:pPr>
                    <w:pStyle w:val="Tabletext"/>
                    <w:jc w:val="center"/>
                    <w:cnfStyle w:val="000000000000" w:firstRow="0" w:lastRow="0" w:firstColumn="0" w:lastColumn="0" w:oddVBand="0" w:evenVBand="0" w:oddHBand="0" w:evenHBand="0" w:firstRowFirstColumn="0" w:firstRowLastColumn="0" w:lastRowFirstColumn="0" w:lastRowLastColumn="0"/>
                    <w:rPr>
                      <w:lang w:eastAsia="zh-CN"/>
                    </w:rPr>
                  </w:pPr>
                  <w:r w:rsidRPr="00B433A3">
                    <w:rPr>
                      <w:szCs w:val="22"/>
                      <w:lang w:eastAsia="zh-CN"/>
                    </w:rPr>
                    <w:t>142</w:t>
                  </w:r>
                  <w:r w:rsidR="0063237C" w:rsidRPr="00B433A3">
                    <w:rPr>
                      <w:szCs w:val="22"/>
                      <w:lang w:eastAsia="zh-CN"/>
                    </w:rPr>
                    <w:t xml:space="preserve"> </w:t>
                  </w:r>
                  <w:r w:rsidRPr="00B433A3">
                    <w:rPr>
                      <w:szCs w:val="22"/>
                      <w:lang w:eastAsia="zh-CN"/>
                    </w:rPr>
                    <w:t>699</w:t>
                  </w:r>
                </w:p>
              </w:tc>
              <w:tc>
                <w:tcPr>
                  <w:tcW w:w="127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hideMark/>
                </w:tcPr>
                <w:p w14:paraId="2AEECCDD" w14:textId="15AED2BC" w:rsidR="005B6A9C" w:rsidRPr="00B433A3" w:rsidRDefault="005B6A9C" w:rsidP="00B8343E">
                  <w:pPr>
                    <w:pStyle w:val="Tabletext"/>
                    <w:jc w:val="center"/>
                    <w:cnfStyle w:val="000000000000" w:firstRow="0" w:lastRow="0" w:firstColumn="0" w:lastColumn="0" w:oddVBand="0" w:evenVBand="0" w:oddHBand="0" w:evenHBand="0" w:firstRowFirstColumn="0" w:firstRowLastColumn="0" w:lastRowFirstColumn="0" w:lastRowLastColumn="0"/>
                    <w:rPr>
                      <w:color w:val="000000" w:themeColor="text1"/>
                      <w:szCs w:val="24"/>
                      <w:lang w:eastAsia="zh-CN"/>
                    </w:rPr>
                  </w:pPr>
                  <w:r w:rsidRPr="00B433A3">
                    <w:rPr>
                      <w:szCs w:val="22"/>
                      <w:lang w:eastAsia="zh-CN"/>
                    </w:rPr>
                    <w:t>162</w:t>
                  </w:r>
                  <w:r w:rsidR="0063237C" w:rsidRPr="00B433A3">
                    <w:rPr>
                      <w:szCs w:val="22"/>
                      <w:lang w:eastAsia="zh-CN"/>
                    </w:rPr>
                    <w:t xml:space="preserve"> </w:t>
                  </w:r>
                  <w:r w:rsidRPr="00B433A3">
                    <w:rPr>
                      <w:szCs w:val="22"/>
                      <w:lang w:eastAsia="zh-CN"/>
                    </w:rPr>
                    <w:t>225</w:t>
                  </w:r>
                </w:p>
              </w:tc>
              <w:tc>
                <w:tcPr>
                  <w:tcW w:w="141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hideMark/>
                </w:tcPr>
                <w:p w14:paraId="2635F9FA" w14:textId="4E3739DD" w:rsidR="005B6A9C" w:rsidRPr="00B433A3" w:rsidRDefault="005B6A9C" w:rsidP="00B8343E">
                  <w:pPr>
                    <w:pStyle w:val="Tabletext"/>
                    <w:jc w:val="center"/>
                    <w:cnfStyle w:val="000000000000" w:firstRow="0" w:lastRow="0" w:firstColumn="0" w:lastColumn="0" w:oddVBand="0" w:evenVBand="0" w:oddHBand="0" w:evenHBand="0" w:firstRowFirstColumn="0" w:firstRowLastColumn="0" w:lastRowFirstColumn="0" w:lastRowLastColumn="0"/>
                    <w:rPr>
                      <w:b/>
                      <w:bCs/>
                      <w:lang w:eastAsia="zh-CN"/>
                    </w:rPr>
                  </w:pPr>
                  <w:r w:rsidRPr="00B433A3">
                    <w:rPr>
                      <w:b/>
                      <w:bCs/>
                      <w:szCs w:val="22"/>
                      <w:lang w:eastAsia="zh-CN"/>
                    </w:rPr>
                    <w:t>618</w:t>
                  </w:r>
                  <w:r w:rsidR="0063237C" w:rsidRPr="00B433A3">
                    <w:rPr>
                      <w:b/>
                      <w:bCs/>
                      <w:szCs w:val="22"/>
                      <w:lang w:eastAsia="zh-CN"/>
                    </w:rPr>
                    <w:t xml:space="preserve"> </w:t>
                  </w:r>
                  <w:r w:rsidRPr="00B433A3">
                    <w:rPr>
                      <w:b/>
                      <w:bCs/>
                      <w:szCs w:val="22"/>
                      <w:lang w:eastAsia="zh-CN"/>
                    </w:rPr>
                    <w:t>899</w:t>
                  </w:r>
                </w:p>
              </w:tc>
              <w:tc>
                <w:tcPr>
                  <w:tcW w:w="141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hideMark/>
                </w:tcPr>
                <w:p w14:paraId="7FC3AE6E" w14:textId="6999C829" w:rsidR="005B6A9C" w:rsidRPr="00B433A3" w:rsidRDefault="005B6A9C" w:rsidP="00B8343E">
                  <w:pPr>
                    <w:pStyle w:val="Tabletext"/>
                    <w:jc w:val="center"/>
                    <w:cnfStyle w:val="000000000000" w:firstRow="0" w:lastRow="0" w:firstColumn="0" w:lastColumn="0" w:oddVBand="0" w:evenVBand="0" w:oddHBand="0" w:evenHBand="0" w:firstRowFirstColumn="0" w:firstRowLastColumn="0" w:lastRowFirstColumn="0" w:lastRowLastColumn="0"/>
                    <w:rPr>
                      <w:lang w:eastAsia="zh-CN"/>
                    </w:rPr>
                  </w:pPr>
                  <w:r w:rsidRPr="00B433A3">
                    <w:rPr>
                      <w:szCs w:val="22"/>
                      <w:lang w:eastAsia="zh-CN"/>
                    </w:rPr>
                    <w:t>8</w:t>
                  </w:r>
                  <w:r w:rsidR="0063237C" w:rsidRPr="00B433A3">
                    <w:rPr>
                      <w:szCs w:val="22"/>
                      <w:lang w:eastAsia="zh-CN"/>
                    </w:rPr>
                    <w:t>,</w:t>
                  </w:r>
                  <w:r w:rsidRPr="00B433A3">
                    <w:rPr>
                      <w:szCs w:val="22"/>
                      <w:lang w:eastAsia="zh-CN"/>
                    </w:rPr>
                    <w:t>12%</w:t>
                  </w:r>
                </w:p>
              </w:tc>
            </w:tr>
            <w:tr w:rsidR="005B6A9C" w:rsidRPr="00B433A3" w14:paraId="526FE6D8" w14:textId="77777777" w:rsidTr="0063237C">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21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hideMark/>
                </w:tcPr>
                <w:p w14:paraId="6C4B4975" w14:textId="77777777" w:rsidR="005B6A9C" w:rsidRPr="00B433A3" w:rsidRDefault="005B6A9C" w:rsidP="00B8343E">
                  <w:pPr>
                    <w:pStyle w:val="Tabletext"/>
                    <w:jc w:val="center"/>
                    <w:rPr>
                      <w:lang w:eastAsia="zh-CN"/>
                    </w:rPr>
                  </w:pPr>
                  <w:r w:rsidRPr="00B433A3">
                    <w:rPr>
                      <w:szCs w:val="22"/>
                      <w:lang w:eastAsia="zh-CN"/>
                    </w:rPr>
                    <w:t>S</w:t>
                  </w:r>
                </w:p>
              </w:tc>
              <w:tc>
                <w:tcPr>
                  <w:tcW w:w="154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hideMark/>
                </w:tcPr>
                <w:p w14:paraId="1F4E010C" w14:textId="4B4FB82F" w:rsidR="005B6A9C" w:rsidRPr="00B433A3" w:rsidRDefault="005B6A9C" w:rsidP="00B8343E">
                  <w:pPr>
                    <w:pStyle w:val="Tabletext"/>
                    <w:jc w:val="center"/>
                    <w:cnfStyle w:val="000000100000" w:firstRow="0" w:lastRow="0" w:firstColumn="0" w:lastColumn="0" w:oddVBand="0" w:evenVBand="0" w:oddHBand="1" w:evenHBand="0" w:firstRowFirstColumn="0" w:firstRowLastColumn="0" w:lastRowFirstColumn="0" w:lastRowLastColumn="0"/>
                    <w:rPr>
                      <w:lang w:eastAsia="zh-CN"/>
                    </w:rPr>
                  </w:pPr>
                  <w:r w:rsidRPr="00B433A3">
                    <w:rPr>
                      <w:szCs w:val="22"/>
                      <w:lang w:eastAsia="zh-CN"/>
                    </w:rPr>
                    <w:t>146</w:t>
                  </w:r>
                  <w:r w:rsidR="0063237C" w:rsidRPr="00B433A3">
                    <w:rPr>
                      <w:szCs w:val="22"/>
                      <w:lang w:eastAsia="zh-CN"/>
                    </w:rPr>
                    <w:t xml:space="preserve"> </w:t>
                  </w:r>
                  <w:r w:rsidRPr="00B433A3">
                    <w:rPr>
                      <w:szCs w:val="22"/>
                      <w:lang w:eastAsia="zh-CN"/>
                    </w:rPr>
                    <w:t>531</w:t>
                  </w:r>
                </w:p>
              </w:tc>
              <w:tc>
                <w:tcPr>
                  <w:tcW w:w="127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hideMark/>
                </w:tcPr>
                <w:p w14:paraId="0E8AE06F" w14:textId="14E9FBBF" w:rsidR="005B6A9C" w:rsidRPr="00B433A3" w:rsidRDefault="005B6A9C" w:rsidP="00B8343E">
                  <w:pPr>
                    <w:pStyle w:val="Tabletext"/>
                    <w:jc w:val="center"/>
                    <w:cnfStyle w:val="000000100000" w:firstRow="0" w:lastRow="0" w:firstColumn="0" w:lastColumn="0" w:oddVBand="0" w:evenVBand="0" w:oddHBand="1" w:evenHBand="0" w:firstRowFirstColumn="0" w:firstRowLastColumn="0" w:lastRowFirstColumn="0" w:lastRowLastColumn="0"/>
                    <w:rPr>
                      <w:lang w:eastAsia="zh-CN"/>
                    </w:rPr>
                  </w:pPr>
                  <w:r w:rsidRPr="00B433A3">
                    <w:rPr>
                      <w:szCs w:val="22"/>
                      <w:lang w:eastAsia="zh-CN"/>
                    </w:rPr>
                    <w:t>131</w:t>
                  </w:r>
                  <w:r w:rsidR="0063237C" w:rsidRPr="00B433A3">
                    <w:rPr>
                      <w:szCs w:val="22"/>
                      <w:lang w:eastAsia="zh-CN"/>
                    </w:rPr>
                    <w:t xml:space="preserve"> </w:t>
                  </w:r>
                  <w:r w:rsidRPr="00B433A3">
                    <w:rPr>
                      <w:szCs w:val="22"/>
                      <w:lang w:eastAsia="zh-CN"/>
                    </w:rPr>
                    <w:t>723</w:t>
                  </w:r>
                </w:p>
              </w:tc>
              <w:tc>
                <w:tcPr>
                  <w:tcW w:w="127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hideMark/>
                </w:tcPr>
                <w:p w14:paraId="00D0C936" w14:textId="2AD0D153" w:rsidR="005B6A9C" w:rsidRPr="00B433A3" w:rsidRDefault="005B6A9C" w:rsidP="00B8343E">
                  <w:pPr>
                    <w:pStyle w:val="Tabletext"/>
                    <w:jc w:val="center"/>
                    <w:cnfStyle w:val="000000100000" w:firstRow="0" w:lastRow="0" w:firstColumn="0" w:lastColumn="0" w:oddVBand="0" w:evenVBand="0" w:oddHBand="1" w:evenHBand="0" w:firstRowFirstColumn="0" w:firstRowLastColumn="0" w:lastRowFirstColumn="0" w:lastRowLastColumn="0"/>
                    <w:rPr>
                      <w:lang w:eastAsia="zh-CN"/>
                    </w:rPr>
                  </w:pPr>
                  <w:r w:rsidRPr="00B433A3">
                    <w:rPr>
                      <w:szCs w:val="22"/>
                      <w:lang w:eastAsia="zh-CN"/>
                    </w:rPr>
                    <w:t>108</w:t>
                  </w:r>
                  <w:r w:rsidR="0063237C" w:rsidRPr="00B433A3">
                    <w:rPr>
                      <w:szCs w:val="22"/>
                      <w:lang w:eastAsia="zh-CN"/>
                    </w:rPr>
                    <w:t xml:space="preserve"> </w:t>
                  </w:r>
                  <w:r w:rsidRPr="00B433A3">
                    <w:rPr>
                      <w:szCs w:val="22"/>
                      <w:lang w:eastAsia="zh-CN"/>
                    </w:rPr>
                    <w:t>174</w:t>
                  </w:r>
                </w:p>
              </w:tc>
              <w:tc>
                <w:tcPr>
                  <w:tcW w:w="127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hideMark/>
                </w:tcPr>
                <w:p w14:paraId="64C3C9A6" w14:textId="6ED73EC0" w:rsidR="005B6A9C" w:rsidRPr="00B433A3" w:rsidRDefault="005B6A9C" w:rsidP="00B8343E">
                  <w:pPr>
                    <w:pStyle w:val="Tabletext"/>
                    <w:jc w:val="center"/>
                    <w:cnfStyle w:val="000000100000" w:firstRow="0" w:lastRow="0" w:firstColumn="0" w:lastColumn="0" w:oddVBand="0" w:evenVBand="0" w:oddHBand="1" w:evenHBand="0" w:firstRowFirstColumn="0" w:firstRowLastColumn="0" w:lastRowFirstColumn="0" w:lastRowLastColumn="0"/>
                    <w:rPr>
                      <w:color w:val="000000" w:themeColor="text1"/>
                      <w:szCs w:val="24"/>
                      <w:lang w:eastAsia="zh-CN"/>
                    </w:rPr>
                  </w:pPr>
                  <w:r w:rsidRPr="00B433A3">
                    <w:rPr>
                      <w:szCs w:val="22"/>
                      <w:lang w:eastAsia="zh-CN"/>
                    </w:rPr>
                    <w:t>121</w:t>
                  </w:r>
                  <w:r w:rsidR="0063237C" w:rsidRPr="00B433A3">
                    <w:rPr>
                      <w:szCs w:val="22"/>
                      <w:lang w:eastAsia="zh-CN"/>
                    </w:rPr>
                    <w:t xml:space="preserve"> </w:t>
                  </w:r>
                  <w:r w:rsidRPr="00B433A3">
                    <w:rPr>
                      <w:szCs w:val="22"/>
                      <w:lang w:eastAsia="zh-CN"/>
                    </w:rPr>
                    <w:t>407</w:t>
                  </w:r>
                </w:p>
              </w:tc>
              <w:tc>
                <w:tcPr>
                  <w:tcW w:w="141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hideMark/>
                </w:tcPr>
                <w:p w14:paraId="461BC584" w14:textId="37B3C2A1" w:rsidR="005B6A9C" w:rsidRPr="00B433A3" w:rsidRDefault="005B6A9C" w:rsidP="00B8343E">
                  <w:pPr>
                    <w:pStyle w:val="Tabletext"/>
                    <w:jc w:val="center"/>
                    <w:cnfStyle w:val="000000100000" w:firstRow="0" w:lastRow="0" w:firstColumn="0" w:lastColumn="0" w:oddVBand="0" w:evenVBand="0" w:oddHBand="1" w:evenHBand="0" w:firstRowFirstColumn="0" w:firstRowLastColumn="0" w:lastRowFirstColumn="0" w:lastRowLastColumn="0"/>
                    <w:rPr>
                      <w:b/>
                      <w:bCs/>
                      <w:lang w:eastAsia="zh-CN"/>
                    </w:rPr>
                  </w:pPr>
                  <w:r w:rsidRPr="00B433A3">
                    <w:rPr>
                      <w:b/>
                      <w:bCs/>
                      <w:szCs w:val="22"/>
                      <w:lang w:eastAsia="zh-CN"/>
                    </w:rPr>
                    <w:t>507</w:t>
                  </w:r>
                  <w:r w:rsidR="0063237C" w:rsidRPr="00B433A3">
                    <w:rPr>
                      <w:b/>
                      <w:bCs/>
                      <w:szCs w:val="22"/>
                      <w:lang w:eastAsia="zh-CN"/>
                    </w:rPr>
                    <w:t xml:space="preserve"> </w:t>
                  </w:r>
                  <w:r w:rsidRPr="00B433A3">
                    <w:rPr>
                      <w:b/>
                      <w:bCs/>
                      <w:szCs w:val="22"/>
                      <w:lang w:eastAsia="zh-CN"/>
                    </w:rPr>
                    <w:t>835</w:t>
                  </w:r>
                </w:p>
              </w:tc>
              <w:tc>
                <w:tcPr>
                  <w:tcW w:w="141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hideMark/>
                </w:tcPr>
                <w:p w14:paraId="32752096" w14:textId="700EEA9A" w:rsidR="005B6A9C" w:rsidRPr="00B433A3" w:rsidRDefault="005B6A9C" w:rsidP="00B8343E">
                  <w:pPr>
                    <w:pStyle w:val="Tabletext"/>
                    <w:jc w:val="center"/>
                    <w:cnfStyle w:val="000000100000" w:firstRow="0" w:lastRow="0" w:firstColumn="0" w:lastColumn="0" w:oddVBand="0" w:evenVBand="0" w:oddHBand="1" w:evenHBand="0" w:firstRowFirstColumn="0" w:firstRowLastColumn="0" w:lastRowFirstColumn="0" w:lastRowLastColumn="0"/>
                    <w:rPr>
                      <w:lang w:eastAsia="zh-CN"/>
                    </w:rPr>
                  </w:pPr>
                  <w:r w:rsidRPr="00B433A3">
                    <w:rPr>
                      <w:szCs w:val="22"/>
                      <w:lang w:eastAsia="zh-CN"/>
                    </w:rPr>
                    <w:t>6</w:t>
                  </w:r>
                  <w:r w:rsidR="0063237C" w:rsidRPr="00B433A3">
                    <w:rPr>
                      <w:szCs w:val="22"/>
                      <w:lang w:eastAsia="zh-CN"/>
                    </w:rPr>
                    <w:t>,</w:t>
                  </w:r>
                  <w:r w:rsidRPr="00B433A3">
                    <w:rPr>
                      <w:szCs w:val="22"/>
                      <w:lang w:eastAsia="zh-CN"/>
                    </w:rPr>
                    <w:t>67%</w:t>
                  </w:r>
                </w:p>
              </w:tc>
            </w:tr>
            <w:tr w:rsidR="005B6A9C" w:rsidRPr="00B433A3" w14:paraId="49694C5E" w14:textId="77777777" w:rsidTr="0063237C">
              <w:trPr>
                <w:trHeight w:val="330"/>
              </w:trPr>
              <w:tc>
                <w:tcPr>
                  <w:cnfStyle w:val="001000000000" w:firstRow="0" w:lastRow="0" w:firstColumn="1" w:lastColumn="0" w:oddVBand="0" w:evenVBand="0" w:oddHBand="0" w:evenHBand="0" w:firstRowFirstColumn="0" w:firstRowLastColumn="0" w:lastRowFirstColumn="0" w:lastRowLastColumn="0"/>
                  <w:tcW w:w="121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hideMark/>
                </w:tcPr>
                <w:p w14:paraId="29F7C9D5" w14:textId="77777777" w:rsidR="005B6A9C" w:rsidRPr="00B433A3" w:rsidRDefault="005B6A9C" w:rsidP="00B8343E">
                  <w:pPr>
                    <w:pStyle w:val="Tabletext"/>
                    <w:jc w:val="center"/>
                    <w:rPr>
                      <w:lang w:eastAsia="zh-CN"/>
                    </w:rPr>
                  </w:pPr>
                  <w:r w:rsidRPr="00B433A3">
                    <w:rPr>
                      <w:szCs w:val="22"/>
                      <w:lang w:eastAsia="zh-CN"/>
                    </w:rPr>
                    <w:t>SA</w:t>
                  </w:r>
                </w:p>
              </w:tc>
              <w:tc>
                <w:tcPr>
                  <w:tcW w:w="154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hideMark/>
                </w:tcPr>
                <w:p w14:paraId="2206B04B" w14:textId="4C59CA66" w:rsidR="005B6A9C" w:rsidRPr="00B433A3" w:rsidRDefault="005B6A9C" w:rsidP="00B8343E">
                  <w:pPr>
                    <w:pStyle w:val="Tabletext"/>
                    <w:jc w:val="center"/>
                    <w:cnfStyle w:val="000000000000" w:firstRow="0" w:lastRow="0" w:firstColumn="0" w:lastColumn="0" w:oddVBand="0" w:evenVBand="0" w:oddHBand="0" w:evenHBand="0" w:firstRowFirstColumn="0" w:firstRowLastColumn="0" w:lastRowFirstColumn="0" w:lastRowLastColumn="0"/>
                    <w:rPr>
                      <w:lang w:eastAsia="zh-CN"/>
                    </w:rPr>
                  </w:pPr>
                  <w:r w:rsidRPr="00B433A3">
                    <w:rPr>
                      <w:szCs w:val="22"/>
                      <w:lang w:eastAsia="zh-CN"/>
                    </w:rPr>
                    <w:t>65</w:t>
                  </w:r>
                  <w:r w:rsidR="0063237C" w:rsidRPr="00B433A3">
                    <w:rPr>
                      <w:szCs w:val="22"/>
                      <w:lang w:eastAsia="zh-CN"/>
                    </w:rPr>
                    <w:t xml:space="preserve"> </w:t>
                  </w:r>
                  <w:r w:rsidRPr="00B433A3">
                    <w:rPr>
                      <w:szCs w:val="22"/>
                      <w:lang w:eastAsia="zh-CN"/>
                    </w:rPr>
                    <w:t>514</w:t>
                  </w:r>
                </w:p>
              </w:tc>
              <w:tc>
                <w:tcPr>
                  <w:tcW w:w="127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hideMark/>
                </w:tcPr>
                <w:p w14:paraId="75A604C2" w14:textId="6F6B88AE" w:rsidR="005B6A9C" w:rsidRPr="00B433A3" w:rsidRDefault="005B6A9C" w:rsidP="00B8343E">
                  <w:pPr>
                    <w:pStyle w:val="Tabletext"/>
                    <w:jc w:val="center"/>
                    <w:cnfStyle w:val="000000000000" w:firstRow="0" w:lastRow="0" w:firstColumn="0" w:lastColumn="0" w:oddVBand="0" w:evenVBand="0" w:oddHBand="0" w:evenHBand="0" w:firstRowFirstColumn="0" w:firstRowLastColumn="0" w:lastRowFirstColumn="0" w:lastRowLastColumn="0"/>
                    <w:rPr>
                      <w:lang w:eastAsia="zh-CN"/>
                    </w:rPr>
                  </w:pPr>
                  <w:r w:rsidRPr="00B433A3">
                    <w:rPr>
                      <w:szCs w:val="22"/>
                      <w:lang w:eastAsia="zh-CN"/>
                    </w:rPr>
                    <w:t>57</w:t>
                  </w:r>
                  <w:r w:rsidR="0063237C" w:rsidRPr="00B433A3">
                    <w:rPr>
                      <w:szCs w:val="22"/>
                      <w:lang w:eastAsia="zh-CN"/>
                    </w:rPr>
                    <w:t xml:space="preserve"> </w:t>
                  </w:r>
                  <w:r w:rsidRPr="00B433A3">
                    <w:rPr>
                      <w:szCs w:val="22"/>
                      <w:lang w:eastAsia="zh-CN"/>
                    </w:rPr>
                    <w:t>009</w:t>
                  </w:r>
                </w:p>
              </w:tc>
              <w:tc>
                <w:tcPr>
                  <w:tcW w:w="127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hideMark/>
                </w:tcPr>
                <w:p w14:paraId="7D118CAB" w14:textId="27FB1AD2" w:rsidR="005B6A9C" w:rsidRPr="00B433A3" w:rsidRDefault="005B6A9C" w:rsidP="00B8343E">
                  <w:pPr>
                    <w:pStyle w:val="Tabletext"/>
                    <w:jc w:val="center"/>
                    <w:cnfStyle w:val="000000000000" w:firstRow="0" w:lastRow="0" w:firstColumn="0" w:lastColumn="0" w:oddVBand="0" w:evenVBand="0" w:oddHBand="0" w:evenHBand="0" w:firstRowFirstColumn="0" w:firstRowLastColumn="0" w:lastRowFirstColumn="0" w:lastRowLastColumn="0"/>
                    <w:rPr>
                      <w:lang w:eastAsia="zh-CN"/>
                    </w:rPr>
                  </w:pPr>
                  <w:r w:rsidRPr="00B433A3">
                    <w:rPr>
                      <w:szCs w:val="22"/>
                      <w:lang w:eastAsia="zh-CN"/>
                    </w:rPr>
                    <w:t>46</w:t>
                  </w:r>
                  <w:r w:rsidR="0063237C" w:rsidRPr="00B433A3">
                    <w:rPr>
                      <w:szCs w:val="22"/>
                      <w:lang w:eastAsia="zh-CN"/>
                    </w:rPr>
                    <w:t xml:space="preserve"> </w:t>
                  </w:r>
                  <w:r w:rsidRPr="00B433A3">
                    <w:rPr>
                      <w:szCs w:val="22"/>
                      <w:lang w:eastAsia="zh-CN"/>
                    </w:rPr>
                    <w:t>718</w:t>
                  </w:r>
                </w:p>
              </w:tc>
              <w:tc>
                <w:tcPr>
                  <w:tcW w:w="127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hideMark/>
                </w:tcPr>
                <w:p w14:paraId="254E889D" w14:textId="528F3E64" w:rsidR="005B6A9C" w:rsidRPr="00B433A3" w:rsidRDefault="005B6A9C" w:rsidP="00B8343E">
                  <w:pPr>
                    <w:pStyle w:val="Tabletext"/>
                    <w:jc w:val="center"/>
                    <w:cnfStyle w:val="000000000000" w:firstRow="0" w:lastRow="0" w:firstColumn="0" w:lastColumn="0" w:oddVBand="0" w:evenVBand="0" w:oddHBand="0" w:evenHBand="0" w:firstRowFirstColumn="0" w:firstRowLastColumn="0" w:lastRowFirstColumn="0" w:lastRowLastColumn="0"/>
                    <w:rPr>
                      <w:color w:val="000000" w:themeColor="text1"/>
                      <w:szCs w:val="24"/>
                      <w:lang w:eastAsia="zh-CN"/>
                    </w:rPr>
                  </w:pPr>
                  <w:r w:rsidRPr="00B433A3">
                    <w:rPr>
                      <w:szCs w:val="22"/>
                      <w:lang w:eastAsia="zh-CN"/>
                    </w:rPr>
                    <w:t>42</w:t>
                  </w:r>
                  <w:r w:rsidR="0063237C" w:rsidRPr="00B433A3">
                    <w:rPr>
                      <w:szCs w:val="22"/>
                      <w:lang w:eastAsia="zh-CN"/>
                    </w:rPr>
                    <w:t xml:space="preserve"> </w:t>
                  </w:r>
                  <w:r w:rsidRPr="00B433A3">
                    <w:rPr>
                      <w:szCs w:val="22"/>
                      <w:lang w:eastAsia="zh-CN"/>
                    </w:rPr>
                    <w:t>129</w:t>
                  </w:r>
                </w:p>
              </w:tc>
              <w:tc>
                <w:tcPr>
                  <w:tcW w:w="141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hideMark/>
                </w:tcPr>
                <w:p w14:paraId="50DBB8B0" w14:textId="063E712F" w:rsidR="005B6A9C" w:rsidRPr="00B433A3" w:rsidRDefault="005B6A9C" w:rsidP="00B8343E">
                  <w:pPr>
                    <w:pStyle w:val="Tabletext"/>
                    <w:jc w:val="center"/>
                    <w:cnfStyle w:val="000000000000" w:firstRow="0" w:lastRow="0" w:firstColumn="0" w:lastColumn="0" w:oddVBand="0" w:evenVBand="0" w:oddHBand="0" w:evenHBand="0" w:firstRowFirstColumn="0" w:firstRowLastColumn="0" w:lastRowFirstColumn="0" w:lastRowLastColumn="0"/>
                    <w:rPr>
                      <w:b/>
                      <w:bCs/>
                      <w:lang w:eastAsia="zh-CN"/>
                    </w:rPr>
                  </w:pPr>
                  <w:r w:rsidRPr="00B433A3">
                    <w:rPr>
                      <w:b/>
                      <w:bCs/>
                      <w:szCs w:val="22"/>
                      <w:lang w:eastAsia="zh-CN"/>
                    </w:rPr>
                    <w:t>211</w:t>
                  </w:r>
                  <w:r w:rsidR="0063237C" w:rsidRPr="00B433A3">
                    <w:rPr>
                      <w:b/>
                      <w:bCs/>
                      <w:szCs w:val="22"/>
                      <w:lang w:eastAsia="zh-CN"/>
                    </w:rPr>
                    <w:t xml:space="preserve"> </w:t>
                  </w:r>
                  <w:r w:rsidRPr="00B433A3">
                    <w:rPr>
                      <w:b/>
                      <w:bCs/>
                      <w:szCs w:val="22"/>
                      <w:lang w:eastAsia="zh-CN"/>
                    </w:rPr>
                    <w:t>370</w:t>
                  </w:r>
                </w:p>
              </w:tc>
              <w:tc>
                <w:tcPr>
                  <w:tcW w:w="141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hideMark/>
                </w:tcPr>
                <w:p w14:paraId="184926FC" w14:textId="627031A9" w:rsidR="005B6A9C" w:rsidRPr="00B433A3" w:rsidRDefault="005B6A9C" w:rsidP="00B8343E">
                  <w:pPr>
                    <w:pStyle w:val="Tabletext"/>
                    <w:jc w:val="center"/>
                    <w:cnfStyle w:val="000000000000" w:firstRow="0" w:lastRow="0" w:firstColumn="0" w:lastColumn="0" w:oddVBand="0" w:evenVBand="0" w:oddHBand="0" w:evenHBand="0" w:firstRowFirstColumn="0" w:firstRowLastColumn="0" w:lastRowFirstColumn="0" w:lastRowLastColumn="0"/>
                    <w:rPr>
                      <w:lang w:eastAsia="zh-CN"/>
                    </w:rPr>
                  </w:pPr>
                  <w:r w:rsidRPr="00B433A3">
                    <w:rPr>
                      <w:szCs w:val="22"/>
                      <w:lang w:eastAsia="zh-CN"/>
                    </w:rPr>
                    <w:t>2</w:t>
                  </w:r>
                  <w:r w:rsidR="0063237C" w:rsidRPr="00B433A3">
                    <w:rPr>
                      <w:szCs w:val="22"/>
                      <w:lang w:eastAsia="zh-CN"/>
                    </w:rPr>
                    <w:t>,</w:t>
                  </w:r>
                  <w:r w:rsidRPr="00B433A3">
                    <w:rPr>
                      <w:szCs w:val="22"/>
                      <w:lang w:eastAsia="zh-CN"/>
                    </w:rPr>
                    <w:t>77%</w:t>
                  </w:r>
                </w:p>
              </w:tc>
            </w:tr>
            <w:tr w:rsidR="005B6A9C" w:rsidRPr="00B433A3" w14:paraId="7B6E8596" w14:textId="77777777" w:rsidTr="0063237C">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21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hideMark/>
                </w:tcPr>
                <w:p w14:paraId="67A37C2D" w14:textId="77777777" w:rsidR="005B6A9C" w:rsidRPr="00B433A3" w:rsidRDefault="005B6A9C" w:rsidP="00B8343E">
                  <w:pPr>
                    <w:pStyle w:val="Tabletext"/>
                    <w:jc w:val="center"/>
                    <w:rPr>
                      <w:lang w:eastAsia="zh-CN"/>
                    </w:rPr>
                  </w:pPr>
                  <w:r w:rsidRPr="00B433A3">
                    <w:rPr>
                      <w:szCs w:val="22"/>
                      <w:lang w:eastAsia="zh-CN"/>
                    </w:rPr>
                    <w:t>V</w:t>
                  </w:r>
                </w:p>
              </w:tc>
              <w:tc>
                <w:tcPr>
                  <w:tcW w:w="154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hideMark/>
                </w:tcPr>
                <w:p w14:paraId="05DFB5E0" w14:textId="2BB69767" w:rsidR="005B6A9C" w:rsidRPr="00B433A3" w:rsidRDefault="005B6A9C" w:rsidP="00B8343E">
                  <w:pPr>
                    <w:pStyle w:val="Tabletext"/>
                    <w:jc w:val="center"/>
                    <w:cnfStyle w:val="000000100000" w:firstRow="0" w:lastRow="0" w:firstColumn="0" w:lastColumn="0" w:oddVBand="0" w:evenVBand="0" w:oddHBand="1" w:evenHBand="0" w:firstRowFirstColumn="0" w:firstRowLastColumn="0" w:lastRowFirstColumn="0" w:lastRowLastColumn="0"/>
                    <w:rPr>
                      <w:lang w:eastAsia="zh-CN"/>
                    </w:rPr>
                  </w:pPr>
                  <w:r w:rsidRPr="00B433A3">
                    <w:rPr>
                      <w:szCs w:val="22"/>
                      <w:lang w:eastAsia="zh-CN"/>
                    </w:rPr>
                    <w:t>39</w:t>
                  </w:r>
                  <w:r w:rsidR="0063237C" w:rsidRPr="00B433A3">
                    <w:rPr>
                      <w:szCs w:val="22"/>
                      <w:lang w:eastAsia="zh-CN"/>
                    </w:rPr>
                    <w:t xml:space="preserve"> </w:t>
                  </w:r>
                  <w:r w:rsidRPr="00B433A3">
                    <w:rPr>
                      <w:szCs w:val="22"/>
                      <w:lang w:eastAsia="zh-CN"/>
                    </w:rPr>
                    <w:t>066</w:t>
                  </w:r>
                </w:p>
              </w:tc>
              <w:tc>
                <w:tcPr>
                  <w:tcW w:w="127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hideMark/>
                </w:tcPr>
                <w:p w14:paraId="7250F896" w14:textId="0B676131" w:rsidR="005B6A9C" w:rsidRPr="00B433A3" w:rsidRDefault="005B6A9C" w:rsidP="00B8343E">
                  <w:pPr>
                    <w:pStyle w:val="Tabletext"/>
                    <w:jc w:val="center"/>
                    <w:cnfStyle w:val="000000100000" w:firstRow="0" w:lastRow="0" w:firstColumn="0" w:lastColumn="0" w:oddVBand="0" w:evenVBand="0" w:oddHBand="1" w:evenHBand="0" w:firstRowFirstColumn="0" w:firstRowLastColumn="0" w:lastRowFirstColumn="0" w:lastRowLastColumn="0"/>
                    <w:rPr>
                      <w:lang w:eastAsia="zh-CN"/>
                    </w:rPr>
                  </w:pPr>
                  <w:r w:rsidRPr="00B433A3">
                    <w:rPr>
                      <w:szCs w:val="22"/>
                      <w:lang w:eastAsia="zh-CN"/>
                    </w:rPr>
                    <w:t>39</w:t>
                  </w:r>
                  <w:r w:rsidR="0063237C" w:rsidRPr="00B433A3">
                    <w:rPr>
                      <w:szCs w:val="22"/>
                      <w:lang w:eastAsia="zh-CN"/>
                    </w:rPr>
                    <w:t xml:space="preserve"> </w:t>
                  </w:r>
                  <w:r w:rsidRPr="00B433A3">
                    <w:rPr>
                      <w:szCs w:val="22"/>
                      <w:lang w:eastAsia="zh-CN"/>
                    </w:rPr>
                    <w:t>807</w:t>
                  </w:r>
                </w:p>
              </w:tc>
              <w:tc>
                <w:tcPr>
                  <w:tcW w:w="127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hideMark/>
                </w:tcPr>
                <w:p w14:paraId="275D84C2" w14:textId="6740B092" w:rsidR="005B6A9C" w:rsidRPr="00B433A3" w:rsidRDefault="005B6A9C" w:rsidP="00B8343E">
                  <w:pPr>
                    <w:pStyle w:val="Tabletext"/>
                    <w:jc w:val="center"/>
                    <w:cnfStyle w:val="000000100000" w:firstRow="0" w:lastRow="0" w:firstColumn="0" w:lastColumn="0" w:oddVBand="0" w:evenVBand="0" w:oddHBand="1" w:evenHBand="0" w:firstRowFirstColumn="0" w:firstRowLastColumn="0" w:lastRowFirstColumn="0" w:lastRowLastColumn="0"/>
                    <w:rPr>
                      <w:lang w:eastAsia="zh-CN"/>
                    </w:rPr>
                  </w:pPr>
                  <w:r w:rsidRPr="00B433A3">
                    <w:rPr>
                      <w:szCs w:val="22"/>
                      <w:lang w:eastAsia="zh-CN"/>
                    </w:rPr>
                    <w:t>40</w:t>
                  </w:r>
                  <w:r w:rsidR="0063237C" w:rsidRPr="00B433A3">
                    <w:rPr>
                      <w:szCs w:val="22"/>
                      <w:lang w:eastAsia="zh-CN"/>
                    </w:rPr>
                    <w:t xml:space="preserve"> </w:t>
                  </w:r>
                  <w:r w:rsidRPr="00B433A3">
                    <w:rPr>
                      <w:szCs w:val="22"/>
                      <w:lang w:eastAsia="zh-CN"/>
                    </w:rPr>
                    <w:t>634</w:t>
                  </w:r>
                </w:p>
              </w:tc>
              <w:tc>
                <w:tcPr>
                  <w:tcW w:w="127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hideMark/>
                </w:tcPr>
                <w:p w14:paraId="49BAE077" w14:textId="5C5958DE" w:rsidR="005B6A9C" w:rsidRPr="00B433A3" w:rsidRDefault="005B6A9C" w:rsidP="00B8343E">
                  <w:pPr>
                    <w:pStyle w:val="Tabletext"/>
                    <w:jc w:val="center"/>
                    <w:cnfStyle w:val="000000100000" w:firstRow="0" w:lastRow="0" w:firstColumn="0" w:lastColumn="0" w:oddVBand="0" w:evenVBand="0" w:oddHBand="1" w:evenHBand="0" w:firstRowFirstColumn="0" w:firstRowLastColumn="0" w:lastRowFirstColumn="0" w:lastRowLastColumn="0"/>
                    <w:rPr>
                      <w:color w:val="000000" w:themeColor="text1"/>
                      <w:szCs w:val="24"/>
                      <w:lang w:eastAsia="zh-CN"/>
                    </w:rPr>
                  </w:pPr>
                  <w:r w:rsidRPr="00B433A3">
                    <w:rPr>
                      <w:szCs w:val="22"/>
                      <w:lang w:eastAsia="zh-CN"/>
                    </w:rPr>
                    <w:t>46</w:t>
                  </w:r>
                  <w:r w:rsidR="0063237C" w:rsidRPr="00B433A3">
                    <w:rPr>
                      <w:szCs w:val="22"/>
                      <w:lang w:eastAsia="zh-CN"/>
                    </w:rPr>
                    <w:t xml:space="preserve"> </w:t>
                  </w:r>
                  <w:r w:rsidRPr="00B433A3">
                    <w:rPr>
                      <w:szCs w:val="22"/>
                      <w:lang w:eastAsia="zh-CN"/>
                    </w:rPr>
                    <w:t>534</w:t>
                  </w:r>
                </w:p>
              </w:tc>
              <w:tc>
                <w:tcPr>
                  <w:tcW w:w="141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hideMark/>
                </w:tcPr>
                <w:p w14:paraId="214214D7" w14:textId="2488D19F" w:rsidR="005B6A9C" w:rsidRPr="00B433A3" w:rsidRDefault="005B6A9C" w:rsidP="00B8343E">
                  <w:pPr>
                    <w:pStyle w:val="Tabletext"/>
                    <w:jc w:val="center"/>
                    <w:cnfStyle w:val="000000100000" w:firstRow="0" w:lastRow="0" w:firstColumn="0" w:lastColumn="0" w:oddVBand="0" w:evenVBand="0" w:oddHBand="1" w:evenHBand="0" w:firstRowFirstColumn="0" w:firstRowLastColumn="0" w:lastRowFirstColumn="0" w:lastRowLastColumn="0"/>
                    <w:rPr>
                      <w:b/>
                      <w:bCs/>
                      <w:lang w:eastAsia="zh-CN"/>
                    </w:rPr>
                  </w:pPr>
                  <w:r w:rsidRPr="00B433A3">
                    <w:rPr>
                      <w:b/>
                      <w:bCs/>
                      <w:szCs w:val="22"/>
                      <w:lang w:eastAsia="zh-CN"/>
                    </w:rPr>
                    <w:t>166</w:t>
                  </w:r>
                  <w:r w:rsidR="0063237C" w:rsidRPr="00B433A3">
                    <w:rPr>
                      <w:b/>
                      <w:bCs/>
                      <w:szCs w:val="22"/>
                      <w:lang w:eastAsia="zh-CN"/>
                    </w:rPr>
                    <w:t xml:space="preserve"> </w:t>
                  </w:r>
                  <w:r w:rsidRPr="00B433A3">
                    <w:rPr>
                      <w:b/>
                      <w:bCs/>
                      <w:szCs w:val="22"/>
                      <w:lang w:eastAsia="zh-CN"/>
                    </w:rPr>
                    <w:t>041</w:t>
                  </w:r>
                </w:p>
              </w:tc>
              <w:tc>
                <w:tcPr>
                  <w:tcW w:w="141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hideMark/>
                </w:tcPr>
                <w:p w14:paraId="7F264D40" w14:textId="50A638CE" w:rsidR="005B6A9C" w:rsidRPr="00B433A3" w:rsidRDefault="005B6A9C" w:rsidP="00B8343E">
                  <w:pPr>
                    <w:pStyle w:val="Tabletext"/>
                    <w:jc w:val="center"/>
                    <w:cnfStyle w:val="000000100000" w:firstRow="0" w:lastRow="0" w:firstColumn="0" w:lastColumn="0" w:oddVBand="0" w:evenVBand="0" w:oddHBand="1" w:evenHBand="0" w:firstRowFirstColumn="0" w:firstRowLastColumn="0" w:lastRowFirstColumn="0" w:lastRowLastColumn="0"/>
                    <w:rPr>
                      <w:lang w:eastAsia="zh-CN"/>
                    </w:rPr>
                  </w:pPr>
                  <w:r w:rsidRPr="00B433A3">
                    <w:rPr>
                      <w:szCs w:val="22"/>
                      <w:lang w:eastAsia="zh-CN"/>
                    </w:rPr>
                    <w:t>2</w:t>
                  </w:r>
                  <w:r w:rsidR="0063237C" w:rsidRPr="00B433A3">
                    <w:rPr>
                      <w:szCs w:val="22"/>
                      <w:lang w:eastAsia="zh-CN"/>
                    </w:rPr>
                    <w:t>,</w:t>
                  </w:r>
                  <w:r w:rsidRPr="00B433A3">
                    <w:rPr>
                      <w:szCs w:val="22"/>
                      <w:lang w:eastAsia="zh-CN"/>
                    </w:rPr>
                    <w:t>18%</w:t>
                  </w:r>
                </w:p>
              </w:tc>
            </w:tr>
            <w:tr w:rsidR="005B6A9C" w:rsidRPr="00B433A3" w14:paraId="6EA11D6E" w14:textId="77777777" w:rsidTr="0063237C">
              <w:trPr>
                <w:trHeight w:val="330"/>
              </w:trPr>
              <w:tc>
                <w:tcPr>
                  <w:cnfStyle w:val="001000000000" w:firstRow="0" w:lastRow="0" w:firstColumn="1" w:lastColumn="0" w:oddVBand="0" w:evenVBand="0" w:oddHBand="0" w:evenHBand="0" w:firstRowFirstColumn="0" w:firstRowLastColumn="0" w:lastRowFirstColumn="0" w:lastRowLastColumn="0"/>
                  <w:tcW w:w="121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hideMark/>
                </w:tcPr>
                <w:p w14:paraId="5A07B6B7" w14:textId="77777777" w:rsidR="005B6A9C" w:rsidRPr="00B433A3" w:rsidRDefault="005B6A9C" w:rsidP="00B8343E">
                  <w:pPr>
                    <w:pStyle w:val="Tabletext"/>
                    <w:jc w:val="center"/>
                    <w:rPr>
                      <w:lang w:eastAsia="zh-CN"/>
                    </w:rPr>
                  </w:pPr>
                  <w:r w:rsidRPr="00B433A3">
                    <w:rPr>
                      <w:szCs w:val="22"/>
                      <w:lang w:eastAsia="zh-CN"/>
                    </w:rPr>
                    <w:t>BO</w:t>
                  </w:r>
                </w:p>
              </w:tc>
              <w:tc>
                <w:tcPr>
                  <w:tcW w:w="154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hideMark/>
                </w:tcPr>
                <w:p w14:paraId="74F9619F" w14:textId="16DB16EC" w:rsidR="005B6A9C" w:rsidRPr="00B433A3" w:rsidRDefault="005B6A9C" w:rsidP="00B8343E">
                  <w:pPr>
                    <w:pStyle w:val="Tabletext"/>
                    <w:jc w:val="center"/>
                    <w:cnfStyle w:val="000000000000" w:firstRow="0" w:lastRow="0" w:firstColumn="0" w:lastColumn="0" w:oddVBand="0" w:evenVBand="0" w:oddHBand="0" w:evenHBand="0" w:firstRowFirstColumn="0" w:firstRowLastColumn="0" w:lastRowFirstColumn="0" w:lastRowLastColumn="0"/>
                    <w:rPr>
                      <w:lang w:eastAsia="zh-CN"/>
                    </w:rPr>
                  </w:pPr>
                  <w:r w:rsidRPr="00B433A3">
                    <w:rPr>
                      <w:szCs w:val="22"/>
                      <w:lang w:eastAsia="zh-CN"/>
                    </w:rPr>
                    <w:t>41</w:t>
                  </w:r>
                  <w:r w:rsidR="0063237C" w:rsidRPr="00B433A3">
                    <w:rPr>
                      <w:szCs w:val="22"/>
                      <w:lang w:eastAsia="zh-CN"/>
                    </w:rPr>
                    <w:t xml:space="preserve"> </w:t>
                  </w:r>
                  <w:r w:rsidRPr="00B433A3">
                    <w:rPr>
                      <w:szCs w:val="22"/>
                      <w:lang w:eastAsia="zh-CN"/>
                    </w:rPr>
                    <w:t>999</w:t>
                  </w:r>
                </w:p>
              </w:tc>
              <w:tc>
                <w:tcPr>
                  <w:tcW w:w="127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hideMark/>
                </w:tcPr>
                <w:p w14:paraId="1E22F41E" w14:textId="18085085" w:rsidR="005B6A9C" w:rsidRPr="00B433A3" w:rsidRDefault="005B6A9C" w:rsidP="00B8343E">
                  <w:pPr>
                    <w:pStyle w:val="Tabletext"/>
                    <w:jc w:val="center"/>
                    <w:cnfStyle w:val="000000000000" w:firstRow="0" w:lastRow="0" w:firstColumn="0" w:lastColumn="0" w:oddVBand="0" w:evenVBand="0" w:oddHBand="0" w:evenHBand="0" w:firstRowFirstColumn="0" w:firstRowLastColumn="0" w:lastRowFirstColumn="0" w:lastRowLastColumn="0"/>
                    <w:rPr>
                      <w:lang w:eastAsia="zh-CN"/>
                    </w:rPr>
                  </w:pPr>
                  <w:r w:rsidRPr="00B433A3">
                    <w:rPr>
                      <w:szCs w:val="22"/>
                      <w:lang w:eastAsia="zh-CN"/>
                    </w:rPr>
                    <w:t>35</w:t>
                  </w:r>
                  <w:r w:rsidR="0063237C" w:rsidRPr="00B433A3">
                    <w:rPr>
                      <w:szCs w:val="22"/>
                      <w:lang w:eastAsia="zh-CN"/>
                    </w:rPr>
                    <w:t xml:space="preserve"> </w:t>
                  </w:r>
                  <w:r w:rsidRPr="00B433A3">
                    <w:rPr>
                      <w:szCs w:val="22"/>
                      <w:lang w:eastAsia="zh-CN"/>
                    </w:rPr>
                    <w:t>531</w:t>
                  </w:r>
                </w:p>
              </w:tc>
              <w:tc>
                <w:tcPr>
                  <w:tcW w:w="127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hideMark/>
                </w:tcPr>
                <w:p w14:paraId="3DFBF758" w14:textId="37C2B96A" w:rsidR="005B6A9C" w:rsidRPr="00B433A3" w:rsidRDefault="005B6A9C" w:rsidP="00B8343E">
                  <w:pPr>
                    <w:pStyle w:val="Tabletext"/>
                    <w:jc w:val="center"/>
                    <w:cnfStyle w:val="000000000000" w:firstRow="0" w:lastRow="0" w:firstColumn="0" w:lastColumn="0" w:oddVBand="0" w:evenVBand="0" w:oddHBand="0" w:evenHBand="0" w:firstRowFirstColumn="0" w:firstRowLastColumn="0" w:lastRowFirstColumn="0" w:lastRowLastColumn="0"/>
                    <w:rPr>
                      <w:lang w:eastAsia="zh-CN"/>
                    </w:rPr>
                  </w:pPr>
                  <w:r w:rsidRPr="00B433A3">
                    <w:rPr>
                      <w:szCs w:val="22"/>
                      <w:lang w:eastAsia="zh-CN"/>
                    </w:rPr>
                    <w:t>26</w:t>
                  </w:r>
                  <w:r w:rsidR="0063237C" w:rsidRPr="00B433A3">
                    <w:rPr>
                      <w:szCs w:val="22"/>
                      <w:lang w:eastAsia="zh-CN"/>
                    </w:rPr>
                    <w:t xml:space="preserve"> </w:t>
                  </w:r>
                  <w:r w:rsidRPr="00B433A3">
                    <w:rPr>
                      <w:szCs w:val="22"/>
                      <w:lang w:eastAsia="zh-CN"/>
                    </w:rPr>
                    <w:t>816</w:t>
                  </w:r>
                </w:p>
              </w:tc>
              <w:tc>
                <w:tcPr>
                  <w:tcW w:w="127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hideMark/>
                </w:tcPr>
                <w:p w14:paraId="064CB9A6" w14:textId="6AB334FB" w:rsidR="005B6A9C" w:rsidRPr="00B433A3" w:rsidRDefault="005B6A9C" w:rsidP="00B8343E">
                  <w:pPr>
                    <w:pStyle w:val="Tabletext"/>
                    <w:jc w:val="center"/>
                    <w:cnfStyle w:val="000000000000" w:firstRow="0" w:lastRow="0" w:firstColumn="0" w:lastColumn="0" w:oddVBand="0" w:evenVBand="0" w:oddHBand="0" w:evenHBand="0" w:firstRowFirstColumn="0" w:firstRowLastColumn="0" w:lastRowFirstColumn="0" w:lastRowLastColumn="0"/>
                    <w:rPr>
                      <w:color w:val="000000" w:themeColor="text1"/>
                      <w:szCs w:val="24"/>
                      <w:lang w:eastAsia="zh-CN"/>
                    </w:rPr>
                  </w:pPr>
                  <w:r w:rsidRPr="00B433A3">
                    <w:rPr>
                      <w:szCs w:val="22"/>
                      <w:lang w:eastAsia="zh-CN"/>
                    </w:rPr>
                    <w:t>22</w:t>
                  </w:r>
                  <w:r w:rsidR="0063237C" w:rsidRPr="00B433A3">
                    <w:rPr>
                      <w:szCs w:val="22"/>
                      <w:lang w:eastAsia="zh-CN"/>
                    </w:rPr>
                    <w:t xml:space="preserve"> </w:t>
                  </w:r>
                  <w:r w:rsidRPr="00B433A3">
                    <w:rPr>
                      <w:szCs w:val="22"/>
                      <w:lang w:eastAsia="zh-CN"/>
                    </w:rPr>
                    <w:t>679</w:t>
                  </w:r>
                </w:p>
              </w:tc>
              <w:tc>
                <w:tcPr>
                  <w:tcW w:w="141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hideMark/>
                </w:tcPr>
                <w:p w14:paraId="487ABE24" w14:textId="2FDE876C" w:rsidR="005B6A9C" w:rsidRPr="00B433A3" w:rsidRDefault="005B6A9C" w:rsidP="00B8343E">
                  <w:pPr>
                    <w:pStyle w:val="Tabletext"/>
                    <w:jc w:val="center"/>
                    <w:cnfStyle w:val="000000000000" w:firstRow="0" w:lastRow="0" w:firstColumn="0" w:lastColumn="0" w:oddVBand="0" w:evenVBand="0" w:oddHBand="0" w:evenHBand="0" w:firstRowFirstColumn="0" w:firstRowLastColumn="0" w:lastRowFirstColumn="0" w:lastRowLastColumn="0"/>
                    <w:rPr>
                      <w:b/>
                      <w:bCs/>
                      <w:lang w:eastAsia="zh-CN"/>
                    </w:rPr>
                  </w:pPr>
                  <w:r w:rsidRPr="00B433A3">
                    <w:rPr>
                      <w:b/>
                      <w:bCs/>
                      <w:szCs w:val="22"/>
                      <w:lang w:eastAsia="zh-CN"/>
                    </w:rPr>
                    <w:t>127</w:t>
                  </w:r>
                  <w:r w:rsidR="0063237C" w:rsidRPr="00B433A3">
                    <w:rPr>
                      <w:b/>
                      <w:bCs/>
                      <w:szCs w:val="22"/>
                      <w:lang w:eastAsia="zh-CN"/>
                    </w:rPr>
                    <w:t xml:space="preserve"> </w:t>
                  </w:r>
                  <w:r w:rsidRPr="00B433A3">
                    <w:rPr>
                      <w:b/>
                      <w:bCs/>
                      <w:szCs w:val="22"/>
                      <w:lang w:eastAsia="zh-CN"/>
                    </w:rPr>
                    <w:t>025</w:t>
                  </w:r>
                </w:p>
              </w:tc>
              <w:tc>
                <w:tcPr>
                  <w:tcW w:w="141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hideMark/>
                </w:tcPr>
                <w:p w14:paraId="27DD44B2" w14:textId="47FEFC5B" w:rsidR="005B6A9C" w:rsidRPr="00B433A3" w:rsidRDefault="005B6A9C" w:rsidP="00B8343E">
                  <w:pPr>
                    <w:pStyle w:val="Tabletext"/>
                    <w:jc w:val="center"/>
                    <w:cnfStyle w:val="000000000000" w:firstRow="0" w:lastRow="0" w:firstColumn="0" w:lastColumn="0" w:oddVBand="0" w:evenVBand="0" w:oddHBand="0" w:evenHBand="0" w:firstRowFirstColumn="0" w:firstRowLastColumn="0" w:lastRowFirstColumn="0" w:lastRowLastColumn="0"/>
                    <w:rPr>
                      <w:lang w:eastAsia="zh-CN"/>
                    </w:rPr>
                  </w:pPr>
                  <w:r w:rsidRPr="00B433A3">
                    <w:rPr>
                      <w:szCs w:val="22"/>
                      <w:lang w:eastAsia="zh-CN"/>
                    </w:rPr>
                    <w:t>1</w:t>
                  </w:r>
                  <w:r w:rsidR="0063237C" w:rsidRPr="00B433A3">
                    <w:rPr>
                      <w:szCs w:val="22"/>
                      <w:lang w:eastAsia="zh-CN"/>
                    </w:rPr>
                    <w:t>,</w:t>
                  </w:r>
                  <w:r w:rsidRPr="00B433A3">
                    <w:rPr>
                      <w:szCs w:val="22"/>
                      <w:lang w:eastAsia="zh-CN"/>
                    </w:rPr>
                    <w:t>67%</w:t>
                  </w:r>
                </w:p>
              </w:tc>
            </w:tr>
            <w:tr w:rsidR="005B6A9C" w:rsidRPr="00B433A3" w14:paraId="0A067E2E" w14:textId="77777777" w:rsidTr="0063237C">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21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hideMark/>
                </w:tcPr>
                <w:p w14:paraId="35F2EAB7" w14:textId="77777777" w:rsidR="005B6A9C" w:rsidRPr="00B433A3" w:rsidRDefault="005B6A9C" w:rsidP="00B8343E">
                  <w:pPr>
                    <w:pStyle w:val="Tabletext"/>
                    <w:jc w:val="center"/>
                    <w:rPr>
                      <w:lang w:eastAsia="zh-CN"/>
                    </w:rPr>
                  </w:pPr>
                  <w:r w:rsidRPr="00B433A3">
                    <w:rPr>
                      <w:szCs w:val="22"/>
                      <w:lang w:eastAsia="zh-CN"/>
                    </w:rPr>
                    <w:t>RS</w:t>
                  </w:r>
                </w:p>
              </w:tc>
              <w:tc>
                <w:tcPr>
                  <w:tcW w:w="154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hideMark/>
                </w:tcPr>
                <w:p w14:paraId="43233BBB" w14:textId="6E0B20AA" w:rsidR="005B6A9C" w:rsidRPr="00B433A3" w:rsidRDefault="005B6A9C" w:rsidP="00B8343E">
                  <w:pPr>
                    <w:pStyle w:val="Tabletext"/>
                    <w:jc w:val="center"/>
                    <w:cnfStyle w:val="000000100000" w:firstRow="0" w:lastRow="0" w:firstColumn="0" w:lastColumn="0" w:oddVBand="0" w:evenVBand="0" w:oddHBand="1" w:evenHBand="0" w:firstRowFirstColumn="0" w:firstRowLastColumn="0" w:lastRowFirstColumn="0" w:lastRowLastColumn="0"/>
                    <w:rPr>
                      <w:lang w:eastAsia="zh-CN"/>
                    </w:rPr>
                  </w:pPr>
                  <w:r w:rsidRPr="00B433A3">
                    <w:rPr>
                      <w:szCs w:val="22"/>
                      <w:lang w:eastAsia="zh-CN"/>
                    </w:rPr>
                    <w:t>33</w:t>
                  </w:r>
                  <w:r w:rsidR="0063237C" w:rsidRPr="00B433A3">
                    <w:rPr>
                      <w:szCs w:val="22"/>
                      <w:lang w:eastAsia="zh-CN"/>
                    </w:rPr>
                    <w:t xml:space="preserve"> </w:t>
                  </w:r>
                  <w:r w:rsidRPr="00B433A3">
                    <w:rPr>
                      <w:szCs w:val="22"/>
                      <w:lang w:eastAsia="zh-CN"/>
                    </w:rPr>
                    <w:t>523</w:t>
                  </w:r>
                </w:p>
              </w:tc>
              <w:tc>
                <w:tcPr>
                  <w:tcW w:w="127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hideMark/>
                </w:tcPr>
                <w:p w14:paraId="39B75930" w14:textId="1205CF3E" w:rsidR="005B6A9C" w:rsidRPr="00B433A3" w:rsidRDefault="005B6A9C" w:rsidP="00B8343E">
                  <w:pPr>
                    <w:pStyle w:val="Tabletext"/>
                    <w:jc w:val="center"/>
                    <w:cnfStyle w:val="000000100000" w:firstRow="0" w:lastRow="0" w:firstColumn="0" w:lastColumn="0" w:oddVBand="0" w:evenVBand="0" w:oddHBand="1" w:evenHBand="0" w:firstRowFirstColumn="0" w:firstRowLastColumn="0" w:lastRowFirstColumn="0" w:lastRowLastColumn="0"/>
                    <w:rPr>
                      <w:lang w:eastAsia="zh-CN"/>
                    </w:rPr>
                  </w:pPr>
                  <w:r w:rsidRPr="00B433A3">
                    <w:rPr>
                      <w:szCs w:val="22"/>
                      <w:lang w:eastAsia="zh-CN"/>
                    </w:rPr>
                    <w:t>31</w:t>
                  </w:r>
                  <w:r w:rsidR="0063237C" w:rsidRPr="00B433A3">
                    <w:rPr>
                      <w:szCs w:val="22"/>
                      <w:lang w:eastAsia="zh-CN"/>
                    </w:rPr>
                    <w:t xml:space="preserve"> </w:t>
                  </w:r>
                  <w:r w:rsidRPr="00B433A3">
                    <w:rPr>
                      <w:szCs w:val="22"/>
                      <w:lang w:eastAsia="zh-CN"/>
                    </w:rPr>
                    <w:t>459</w:t>
                  </w:r>
                </w:p>
              </w:tc>
              <w:tc>
                <w:tcPr>
                  <w:tcW w:w="127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hideMark/>
                </w:tcPr>
                <w:p w14:paraId="49E561A0" w14:textId="444FF252" w:rsidR="005B6A9C" w:rsidRPr="00B433A3" w:rsidRDefault="005B6A9C" w:rsidP="00B8343E">
                  <w:pPr>
                    <w:pStyle w:val="Tabletext"/>
                    <w:jc w:val="center"/>
                    <w:cnfStyle w:val="000000100000" w:firstRow="0" w:lastRow="0" w:firstColumn="0" w:lastColumn="0" w:oddVBand="0" w:evenVBand="0" w:oddHBand="1" w:evenHBand="0" w:firstRowFirstColumn="0" w:firstRowLastColumn="0" w:lastRowFirstColumn="0" w:lastRowLastColumn="0"/>
                    <w:rPr>
                      <w:lang w:eastAsia="zh-CN"/>
                    </w:rPr>
                  </w:pPr>
                  <w:r w:rsidRPr="00B433A3">
                    <w:rPr>
                      <w:szCs w:val="22"/>
                      <w:lang w:eastAsia="zh-CN"/>
                    </w:rPr>
                    <w:t>26</w:t>
                  </w:r>
                  <w:r w:rsidR="0063237C" w:rsidRPr="00B433A3">
                    <w:rPr>
                      <w:szCs w:val="22"/>
                      <w:lang w:eastAsia="zh-CN"/>
                    </w:rPr>
                    <w:t xml:space="preserve"> </w:t>
                  </w:r>
                  <w:r w:rsidRPr="00B433A3">
                    <w:rPr>
                      <w:szCs w:val="22"/>
                      <w:lang w:eastAsia="zh-CN"/>
                    </w:rPr>
                    <w:t>823</w:t>
                  </w:r>
                </w:p>
              </w:tc>
              <w:tc>
                <w:tcPr>
                  <w:tcW w:w="127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hideMark/>
                </w:tcPr>
                <w:p w14:paraId="7FDF1322" w14:textId="78047671" w:rsidR="005B6A9C" w:rsidRPr="00B433A3" w:rsidRDefault="005B6A9C" w:rsidP="00B8343E">
                  <w:pPr>
                    <w:pStyle w:val="Tabletext"/>
                    <w:jc w:val="center"/>
                    <w:cnfStyle w:val="000000100000" w:firstRow="0" w:lastRow="0" w:firstColumn="0" w:lastColumn="0" w:oddVBand="0" w:evenVBand="0" w:oddHBand="1" w:evenHBand="0" w:firstRowFirstColumn="0" w:firstRowLastColumn="0" w:lastRowFirstColumn="0" w:lastRowLastColumn="0"/>
                    <w:rPr>
                      <w:color w:val="000000" w:themeColor="text1"/>
                      <w:szCs w:val="24"/>
                      <w:lang w:eastAsia="zh-CN"/>
                    </w:rPr>
                  </w:pPr>
                  <w:r w:rsidRPr="00B433A3">
                    <w:rPr>
                      <w:szCs w:val="22"/>
                      <w:lang w:eastAsia="zh-CN"/>
                    </w:rPr>
                    <w:t>22</w:t>
                  </w:r>
                  <w:r w:rsidR="0063237C" w:rsidRPr="00B433A3">
                    <w:rPr>
                      <w:szCs w:val="22"/>
                      <w:lang w:eastAsia="zh-CN"/>
                    </w:rPr>
                    <w:t xml:space="preserve"> </w:t>
                  </w:r>
                  <w:r w:rsidRPr="00B433A3">
                    <w:rPr>
                      <w:szCs w:val="22"/>
                      <w:lang w:eastAsia="zh-CN"/>
                    </w:rPr>
                    <w:t>468</w:t>
                  </w:r>
                </w:p>
              </w:tc>
              <w:tc>
                <w:tcPr>
                  <w:tcW w:w="141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hideMark/>
                </w:tcPr>
                <w:p w14:paraId="2BEE01A7" w14:textId="06FDF8BA" w:rsidR="005B6A9C" w:rsidRPr="00B433A3" w:rsidRDefault="005B6A9C" w:rsidP="00B8343E">
                  <w:pPr>
                    <w:pStyle w:val="Tabletext"/>
                    <w:jc w:val="center"/>
                    <w:cnfStyle w:val="000000100000" w:firstRow="0" w:lastRow="0" w:firstColumn="0" w:lastColumn="0" w:oddVBand="0" w:evenVBand="0" w:oddHBand="1" w:evenHBand="0" w:firstRowFirstColumn="0" w:firstRowLastColumn="0" w:lastRowFirstColumn="0" w:lastRowLastColumn="0"/>
                    <w:rPr>
                      <w:b/>
                      <w:bCs/>
                      <w:lang w:eastAsia="zh-CN"/>
                    </w:rPr>
                  </w:pPr>
                  <w:r w:rsidRPr="00B433A3">
                    <w:rPr>
                      <w:b/>
                      <w:bCs/>
                      <w:szCs w:val="22"/>
                      <w:lang w:eastAsia="zh-CN"/>
                    </w:rPr>
                    <w:t>114</w:t>
                  </w:r>
                  <w:r w:rsidR="0063237C" w:rsidRPr="00B433A3">
                    <w:rPr>
                      <w:b/>
                      <w:bCs/>
                      <w:szCs w:val="22"/>
                      <w:lang w:eastAsia="zh-CN"/>
                    </w:rPr>
                    <w:t xml:space="preserve"> </w:t>
                  </w:r>
                  <w:r w:rsidRPr="00B433A3">
                    <w:rPr>
                      <w:b/>
                      <w:bCs/>
                      <w:szCs w:val="22"/>
                      <w:lang w:eastAsia="zh-CN"/>
                    </w:rPr>
                    <w:t>273</w:t>
                  </w:r>
                </w:p>
              </w:tc>
              <w:tc>
                <w:tcPr>
                  <w:tcW w:w="141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hideMark/>
                </w:tcPr>
                <w:p w14:paraId="64C238B6" w14:textId="303C3149" w:rsidR="005B6A9C" w:rsidRPr="00B433A3" w:rsidRDefault="005B6A9C" w:rsidP="00B8343E">
                  <w:pPr>
                    <w:pStyle w:val="Tabletext"/>
                    <w:jc w:val="center"/>
                    <w:cnfStyle w:val="000000100000" w:firstRow="0" w:lastRow="0" w:firstColumn="0" w:lastColumn="0" w:oddVBand="0" w:evenVBand="0" w:oddHBand="1" w:evenHBand="0" w:firstRowFirstColumn="0" w:firstRowLastColumn="0" w:lastRowFirstColumn="0" w:lastRowLastColumn="0"/>
                    <w:rPr>
                      <w:lang w:eastAsia="zh-CN"/>
                    </w:rPr>
                  </w:pPr>
                  <w:r w:rsidRPr="00B433A3">
                    <w:rPr>
                      <w:szCs w:val="22"/>
                      <w:lang w:eastAsia="zh-CN"/>
                    </w:rPr>
                    <w:t>1</w:t>
                  </w:r>
                  <w:r w:rsidR="0063237C" w:rsidRPr="00B433A3">
                    <w:rPr>
                      <w:szCs w:val="22"/>
                      <w:lang w:eastAsia="zh-CN"/>
                    </w:rPr>
                    <w:t>,</w:t>
                  </w:r>
                  <w:r w:rsidRPr="00B433A3">
                    <w:rPr>
                      <w:szCs w:val="22"/>
                      <w:lang w:eastAsia="zh-CN"/>
                    </w:rPr>
                    <w:t>50%</w:t>
                  </w:r>
                </w:p>
              </w:tc>
            </w:tr>
            <w:tr w:rsidR="005B6A9C" w:rsidRPr="00B433A3" w14:paraId="2C713E75" w14:textId="77777777" w:rsidTr="0063237C">
              <w:trPr>
                <w:trHeight w:val="330"/>
              </w:trPr>
              <w:tc>
                <w:tcPr>
                  <w:cnfStyle w:val="001000000000" w:firstRow="0" w:lastRow="0" w:firstColumn="1" w:lastColumn="0" w:oddVBand="0" w:evenVBand="0" w:oddHBand="0" w:evenHBand="0" w:firstRowFirstColumn="0" w:firstRowLastColumn="0" w:lastRowFirstColumn="0" w:lastRowLastColumn="0"/>
                  <w:tcW w:w="121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hideMark/>
                </w:tcPr>
                <w:p w14:paraId="362358F1" w14:textId="77777777" w:rsidR="005B6A9C" w:rsidRPr="00B433A3" w:rsidRDefault="005B6A9C" w:rsidP="00B8343E">
                  <w:pPr>
                    <w:pStyle w:val="Tabletext"/>
                    <w:jc w:val="center"/>
                    <w:rPr>
                      <w:lang w:eastAsia="zh-CN"/>
                    </w:rPr>
                  </w:pPr>
                  <w:r w:rsidRPr="00B433A3">
                    <w:rPr>
                      <w:szCs w:val="22"/>
                      <w:lang w:eastAsia="zh-CN"/>
                    </w:rPr>
                    <w:t>TF</w:t>
                  </w:r>
                </w:p>
              </w:tc>
              <w:tc>
                <w:tcPr>
                  <w:tcW w:w="154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hideMark/>
                </w:tcPr>
                <w:p w14:paraId="0517F22B" w14:textId="3BF11E28" w:rsidR="005B6A9C" w:rsidRPr="00B433A3" w:rsidRDefault="005B6A9C" w:rsidP="00B8343E">
                  <w:pPr>
                    <w:pStyle w:val="Tabletext"/>
                    <w:jc w:val="center"/>
                    <w:cnfStyle w:val="000000000000" w:firstRow="0" w:lastRow="0" w:firstColumn="0" w:lastColumn="0" w:oddVBand="0" w:evenVBand="0" w:oddHBand="0" w:evenHBand="0" w:firstRowFirstColumn="0" w:firstRowLastColumn="0" w:lastRowFirstColumn="0" w:lastRowLastColumn="0"/>
                    <w:rPr>
                      <w:lang w:eastAsia="zh-CN"/>
                    </w:rPr>
                  </w:pPr>
                  <w:r w:rsidRPr="00B433A3">
                    <w:rPr>
                      <w:szCs w:val="22"/>
                      <w:lang w:eastAsia="zh-CN"/>
                    </w:rPr>
                    <w:t>29</w:t>
                  </w:r>
                  <w:r w:rsidR="0063237C" w:rsidRPr="00B433A3">
                    <w:rPr>
                      <w:szCs w:val="22"/>
                      <w:lang w:eastAsia="zh-CN"/>
                    </w:rPr>
                    <w:t xml:space="preserve"> </w:t>
                  </w:r>
                  <w:r w:rsidRPr="00B433A3">
                    <w:rPr>
                      <w:szCs w:val="22"/>
                      <w:lang w:eastAsia="zh-CN"/>
                    </w:rPr>
                    <w:t>038</w:t>
                  </w:r>
                </w:p>
              </w:tc>
              <w:tc>
                <w:tcPr>
                  <w:tcW w:w="127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hideMark/>
                </w:tcPr>
                <w:p w14:paraId="02B1FC38" w14:textId="03EC3799" w:rsidR="005B6A9C" w:rsidRPr="00B433A3" w:rsidRDefault="005B6A9C" w:rsidP="00B8343E">
                  <w:pPr>
                    <w:pStyle w:val="Tabletext"/>
                    <w:jc w:val="center"/>
                    <w:cnfStyle w:val="000000000000" w:firstRow="0" w:lastRow="0" w:firstColumn="0" w:lastColumn="0" w:oddVBand="0" w:evenVBand="0" w:oddHBand="0" w:evenHBand="0" w:firstRowFirstColumn="0" w:firstRowLastColumn="0" w:lastRowFirstColumn="0" w:lastRowLastColumn="0"/>
                    <w:rPr>
                      <w:lang w:eastAsia="zh-CN"/>
                    </w:rPr>
                  </w:pPr>
                  <w:r w:rsidRPr="00B433A3">
                    <w:rPr>
                      <w:szCs w:val="22"/>
                      <w:lang w:eastAsia="zh-CN"/>
                    </w:rPr>
                    <w:t>24</w:t>
                  </w:r>
                  <w:r w:rsidR="0063237C" w:rsidRPr="00B433A3">
                    <w:rPr>
                      <w:szCs w:val="22"/>
                      <w:lang w:eastAsia="zh-CN"/>
                    </w:rPr>
                    <w:t xml:space="preserve"> </w:t>
                  </w:r>
                  <w:r w:rsidRPr="00B433A3">
                    <w:rPr>
                      <w:szCs w:val="22"/>
                      <w:lang w:eastAsia="zh-CN"/>
                    </w:rPr>
                    <w:t>546</w:t>
                  </w:r>
                </w:p>
              </w:tc>
              <w:tc>
                <w:tcPr>
                  <w:tcW w:w="127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hideMark/>
                </w:tcPr>
                <w:p w14:paraId="0125A459" w14:textId="4A101353" w:rsidR="005B6A9C" w:rsidRPr="00B433A3" w:rsidRDefault="005B6A9C" w:rsidP="00B8343E">
                  <w:pPr>
                    <w:pStyle w:val="Tabletext"/>
                    <w:jc w:val="center"/>
                    <w:cnfStyle w:val="000000000000" w:firstRow="0" w:lastRow="0" w:firstColumn="0" w:lastColumn="0" w:oddVBand="0" w:evenVBand="0" w:oddHBand="0" w:evenHBand="0" w:firstRowFirstColumn="0" w:firstRowLastColumn="0" w:lastRowFirstColumn="0" w:lastRowLastColumn="0"/>
                    <w:rPr>
                      <w:lang w:eastAsia="zh-CN"/>
                    </w:rPr>
                  </w:pPr>
                  <w:r w:rsidRPr="00B433A3">
                    <w:rPr>
                      <w:szCs w:val="22"/>
                      <w:lang w:eastAsia="zh-CN"/>
                    </w:rPr>
                    <w:t>24</w:t>
                  </w:r>
                  <w:r w:rsidR="0063237C" w:rsidRPr="00B433A3">
                    <w:rPr>
                      <w:szCs w:val="22"/>
                      <w:lang w:eastAsia="zh-CN"/>
                    </w:rPr>
                    <w:t xml:space="preserve"> </w:t>
                  </w:r>
                  <w:r w:rsidRPr="00B433A3">
                    <w:rPr>
                      <w:szCs w:val="22"/>
                      <w:lang w:eastAsia="zh-CN"/>
                    </w:rPr>
                    <w:t>077</w:t>
                  </w:r>
                </w:p>
              </w:tc>
              <w:tc>
                <w:tcPr>
                  <w:tcW w:w="127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hideMark/>
                </w:tcPr>
                <w:p w14:paraId="1C1EA00F" w14:textId="5E40D784" w:rsidR="005B6A9C" w:rsidRPr="00B433A3" w:rsidRDefault="005B6A9C" w:rsidP="00B8343E">
                  <w:pPr>
                    <w:pStyle w:val="Tabletext"/>
                    <w:jc w:val="center"/>
                    <w:cnfStyle w:val="000000000000" w:firstRow="0" w:lastRow="0" w:firstColumn="0" w:lastColumn="0" w:oddVBand="0" w:evenVBand="0" w:oddHBand="0" w:evenHBand="0" w:firstRowFirstColumn="0" w:firstRowLastColumn="0" w:lastRowFirstColumn="0" w:lastRowLastColumn="0"/>
                    <w:rPr>
                      <w:color w:val="000000" w:themeColor="text1"/>
                      <w:szCs w:val="24"/>
                      <w:lang w:eastAsia="zh-CN"/>
                    </w:rPr>
                  </w:pPr>
                  <w:r w:rsidRPr="00B433A3">
                    <w:rPr>
                      <w:szCs w:val="22"/>
                      <w:lang w:eastAsia="zh-CN"/>
                    </w:rPr>
                    <w:t>22</w:t>
                  </w:r>
                  <w:r w:rsidR="0063237C" w:rsidRPr="00B433A3">
                    <w:rPr>
                      <w:szCs w:val="22"/>
                      <w:lang w:eastAsia="zh-CN"/>
                    </w:rPr>
                    <w:t xml:space="preserve"> </w:t>
                  </w:r>
                  <w:r w:rsidRPr="00B433A3">
                    <w:rPr>
                      <w:szCs w:val="22"/>
                      <w:lang w:eastAsia="zh-CN"/>
                    </w:rPr>
                    <w:t>264</w:t>
                  </w:r>
                </w:p>
              </w:tc>
              <w:tc>
                <w:tcPr>
                  <w:tcW w:w="141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hideMark/>
                </w:tcPr>
                <w:p w14:paraId="5DEF32FD" w14:textId="583BBDC7" w:rsidR="005B6A9C" w:rsidRPr="00B433A3" w:rsidRDefault="005B6A9C" w:rsidP="00B8343E">
                  <w:pPr>
                    <w:pStyle w:val="Tabletext"/>
                    <w:jc w:val="center"/>
                    <w:cnfStyle w:val="000000000000" w:firstRow="0" w:lastRow="0" w:firstColumn="0" w:lastColumn="0" w:oddVBand="0" w:evenVBand="0" w:oddHBand="0" w:evenHBand="0" w:firstRowFirstColumn="0" w:firstRowLastColumn="0" w:lastRowFirstColumn="0" w:lastRowLastColumn="0"/>
                    <w:rPr>
                      <w:b/>
                      <w:bCs/>
                      <w:lang w:eastAsia="zh-CN"/>
                    </w:rPr>
                  </w:pPr>
                  <w:r w:rsidRPr="00B433A3">
                    <w:rPr>
                      <w:b/>
                      <w:bCs/>
                      <w:szCs w:val="22"/>
                      <w:lang w:eastAsia="zh-CN"/>
                    </w:rPr>
                    <w:t>99</w:t>
                  </w:r>
                  <w:r w:rsidR="0063237C" w:rsidRPr="00B433A3">
                    <w:rPr>
                      <w:b/>
                      <w:bCs/>
                      <w:szCs w:val="22"/>
                      <w:lang w:eastAsia="zh-CN"/>
                    </w:rPr>
                    <w:t xml:space="preserve"> </w:t>
                  </w:r>
                  <w:r w:rsidRPr="00B433A3">
                    <w:rPr>
                      <w:b/>
                      <w:bCs/>
                      <w:szCs w:val="22"/>
                      <w:lang w:eastAsia="zh-CN"/>
                    </w:rPr>
                    <w:t>925</w:t>
                  </w:r>
                </w:p>
              </w:tc>
              <w:tc>
                <w:tcPr>
                  <w:tcW w:w="141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hideMark/>
                </w:tcPr>
                <w:p w14:paraId="3C83EEE9" w14:textId="56087A2D" w:rsidR="005B6A9C" w:rsidRPr="00B433A3" w:rsidRDefault="005B6A9C" w:rsidP="00B8343E">
                  <w:pPr>
                    <w:pStyle w:val="Tabletext"/>
                    <w:jc w:val="center"/>
                    <w:cnfStyle w:val="000000000000" w:firstRow="0" w:lastRow="0" w:firstColumn="0" w:lastColumn="0" w:oddVBand="0" w:evenVBand="0" w:oddHBand="0" w:evenHBand="0" w:firstRowFirstColumn="0" w:firstRowLastColumn="0" w:lastRowFirstColumn="0" w:lastRowLastColumn="0"/>
                    <w:rPr>
                      <w:lang w:eastAsia="zh-CN"/>
                    </w:rPr>
                  </w:pPr>
                  <w:r w:rsidRPr="00B433A3">
                    <w:rPr>
                      <w:szCs w:val="22"/>
                      <w:lang w:eastAsia="zh-CN"/>
                    </w:rPr>
                    <w:t>1</w:t>
                  </w:r>
                  <w:r w:rsidR="0063237C" w:rsidRPr="00B433A3">
                    <w:rPr>
                      <w:szCs w:val="22"/>
                      <w:lang w:eastAsia="zh-CN"/>
                    </w:rPr>
                    <w:t>,</w:t>
                  </w:r>
                  <w:r w:rsidRPr="00B433A3">
                    <w:rPr>
                      <w:szCs w:val="22"/>
                      <w:lang w:eastAsia="zh-CN"/>
                    </w:rPr>
                    <w:t>31%</w:t>
                  </w:r>
                </w:p>
              </w:tc>
            </w:tr>
            <w:tr w:rsidR="005B6A9C" w:rsidRPr="00B433A3" w14:paraId="4EF0BFB1" w14:textId="77777777" w:rsidTr="0063237C">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21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hideMark/>
                </w:tcPr>
                <w:p w14:paraId="0F75D1DE" w14:textId="77777777" w:rsidR="005B6A9C" w:rsidRPr="00B433A3" w:rsidRDefault="005B6A9C" w:rsidP="00B8343E">
                  <w:pPr>
                    <w:pStyle w:val="Tabletext"/>
                    <w:jc w:val="center"/>
                    <w:rPr>
                      <w:lang w:eastAsia="zh-CN"/>
                    </w:rPr>
                  </w:pPr>
                  <w:r w:rsidRPr="00B433A3">
                    <w:rPr>
                      <w:szCs w:val="22"/>
                      <w:lang w:eastAsia="zh-CN"/>
                    </w:rPr>
                    <w:t>SF</w:t>
                  </w:r>
                </w:p>
              </w:tc>
              <w:tc>
                <w:tcPr>
                  <w:tcW w:w="154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hideMark/>
                </w:tcPr>
                <w:p w14:paraId="3600F070" w14:textId="2C1EBCE0" w:rsidR="005B6A9C" w:rsidRPr="00B433A3" w:rsidRDefault="005B6A9C" w:rsidP="00B8343E">
                  <w:pPr>
                    <w:pStyle w:val="Tabletext"/>
                    <w:jc w:val="center"/>
                    <w:cnfStyle w:val="000000100000" w:firstRow="0" w:lastRow="0" w:firstColumn="0" w:lastColumn="0" w:oddVBand="0" w:evenVBand="0" w:oddHBand="1" w:evenHBand="0" w:firstRowFirstColumn="0" w:firstRowLastColumn="0" w:lastRowFirstColumn="0" w:lastRowLastColumn="0"/>
                    <w:rPr>
                      <w:lang w:eastAsia="zh-CN"/>
                    </w:rPr>
                  </w:pPr>
                  <w:r w:rsidRPr="00B433A3">
                    <w:rPr>
                      <w:szCs w:val="22"/>
                      <w:lang w:eastAsia="zh-CN"/>
                    </w:rPr>
                    <w:t>29</w:t>
                  </w:r>
                  <w:r w:rsidR="0063237C" w:rsidRPr="00B433A3">
                    <w:rPr>
                      <w:szCs w:val="22"/>
                      <w:lang w:eastAsia="zh-CN"/>
                    </w:rPr>
                    <w:t xml:space="preserve"> </w:t>
                  </w:r>
                  <w:r w:rsidRPr="00B433A3">
                    <w:rPr>
                      <w:szCs w:val="22"/>
                      <w:lang w:eastAsia="zh-CN"/>
                    </w:rPr>
                    <w:t>677</w:t>
                  </w:r>
                </w:p>
              </w:tc>
              <w:tc>
                <w:tcPr>
                  <w:tcW w:w="127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hideMark/>
                </w:tcPr>
                <w:p w14:paraId="5D14DAC4" w14:textId="181D934B" w:rsidR="005B6A9C" w:rsidRPr="00B433A3" w:rsidRDefault="005B6A9C" w:rsidP="00B8343E">
                  <w:pPr>
                    <w:pStyle w:val="Tabletext"/>
                    <w:jc w:val="center"/>
                    <w:cnfStyle w:val="000000100000" w:firstRow="0" w:lastRow="0" w:firstColumn="0" w:lastColumn="0" w:oddVBand="0" w:evenVBand="0" w:oddHBand="1" w:evenHBand="0" w:firstRowFirstColumn="0" w:firstRowLastColumn="0" w:lastRowFirstColumn="0" w:lastRowLastColumn="0"/>
                    <w:rPr>
                      <w:lang w:eastAsia="zh-CN"/>
                    </w:rPr>
                  </w:pPr>
                  <w:r w:rsidRPr="00B433A3">
                    <w:rPr>
                      <w:szCs w:val="22"/>
                      <w:lang w:eastAsia="zh-CN"/>
                    </w:rPr>
                    <w:t>23</w:t>
                  </w:r>
                  <w:r w:rsidR="0063237C" w:rsidRPr="00B433A3">
                    <w:rPr>
                      <w:szCs w:val="22"/>
                      <w:lang w:eastAsia="zh-CN"/>
                    </w:rPr>
                    <w:t xml:space="preserve"> </w:t>
                  </w:r>
                  <w:r w:rsidRPr="00B433A3">
                    <w:rPr>
                      <w:szCs w:val="22"/>
                      <w:lang w:eastAsia="zh-CN"/>
                    </w:rPr>
                    <w:t>507</w:t>
                  </w:r>
                </w:p>
              </w:tc>
              <w:tc>
                <w:tcPr>
                  <w:tcW w:w="127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hideMark/>
                </w:tcPr>
                <w:p w14:paraId="0419887E" w14:textId="65C22154" w:rsidR="005B6A9C" w:rsidRPr="00B433A3" w:rsidRDefault="005B6A9C" w:rsidP="00B8343E">
                  <w:pPr>
                    <w:pStyle w:val="Tabletext"/>
                    <w:jc w:val="center"/>
                    <w:cnfStyle w:val="000000100000" w:firstRow="0" w:lastRow="0" w:firstColumn="0" w:lastColumn="0" w:oddVBand="0" w:evenVBand="0" w:oddHBand="1" w:evenHBand="0" w:firstRowFirstColumn="0" w:firstRowLastColumn="0" w:lastRowFirstColumn="0" w:lastRowLastColumn="0"/>
                    <w:rPr>
                      <w:lang w:eastAsia="zh-CN"/>
                    </w:rPr>
                  </w:pPr>
                  <w:r w:rsidRPr="00B433A3">
                    <w:rPr>
                      <w:szCs w:val="22"/>
                      <w:lang w:eastAsia="zh-CN"/>
                    </w:rPr>
                    <w:t>19</w:t>
                  </w:r>
                  <w:r w:rsidR="0063237C" w:rsidRPr="00B433A3">
                    <w:rPr>
                      <w:szCs w:val="22"/>
                      <w:lang w:eastAsia="zh-CN"/>
                    </w:rPr>
                    <w:t xml:space="preserve"> </w:t>
                  </w:r>
                  <w:r w:rsidRPr="00B433A3">
                    <w:rPr>
                      <w:szCs w:val="22"/>
                      <w:lang w:eastAsia="zh-CN"/>
                    </w:rPr>
                    <w:t>381</w:t>
                  </w:r>
                </w:p>
              </w:tc>
              <w:tc>
                <w:tcPr>
                  <w:tcW w:w="127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hideMark/>
                </w:tcPr>
                <w:p w14:paraId="629603D7" w14:textId="7898D690" w:rsidR="005B6A9C" w:rsidRPr="00B433A3" w:rsidRDefault="005B6A9C" w:rsidP="00B8343E">
                  <w:pPr>
                    <w:pStyle w:val="Tabletext"/>
                    <w:jc w:val="center"/>
                    <w:cnfStyle w:val="000000100000" w:firstRow="0" w:lastRow="0" w:firstColumn="0" w:lastColumn="0" w:oddVBand="0" w:evenVBand="0" w:oddHBand="1" w:evenHBand="0" w:firstRowFirstColumn="0" w:firstRowLastColumn="0" w:lastRowFirstColumn="0" w:lastRowLastColumn="0"/>
                    <w:rPr>
                      <w:color w:val="000000" w:themeColor="text1"/>
                      <w:szCs w:val="24"/>
                      <w:lang w:eastAsia="zh-CN"/>
                    </w:rPr>
                  </w:pPr>
                  <w:r w:rsidRPr="00B433A3">
                    <w:rPr>
                      <w:szCs w:val="22"/>
                      <w:lang w:eastAsia="zh-CN"/>
                    </w:rPr>
                    <w:t>16</w:t>
                  </w:r>
                  <w:r w:rsidR="0063237C" w:rsidRPr="00B433A3">
                    <w:rPr>
                      <w:szCs w:val="22"/>
                      <w:lang w:eastAsia="zh-CN"/>
                    </w:rPr>
                    <w:t xml:space="preserve"> </w:t>
                  </w:r>
                  <w:r w:rsidRPr="00B433A3">
                    <w:rPr>
                      <w:szCs w:val="22"/>
                      <w:lang w:eastAsia="zh-CN"/>
                    </w:rPr>
                    <w:t>436</w:t>
                  </w:r>
                </w:p>
              </w:tc>
              <w:tc>
                <w:tcPr>
                  <w:tcW w:w="141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hideMark/>
                </w:tcPr>
                <w:p w14:paraId="301E468B" w14:textId="06EC5CB4" w:rsidR="005B6A9C" w:rsidRPr="00B433A3" w:rsidRDefault="005B6A9C" w:rsidP="00B8343E">
                  <w:pPr>
                    <w:pStyle w:val="Tabletext"/>
                    <w:jc w:val="center"/>
                    <w:cnfStyle w:val="000000100000" w:firstRow="0" w:lastRow="0" w:firstColumn="0" w:lastColumn="0" w:oddVBand="0" w:evenVBand="0" w:oddHBand="1" w:evenHBand="0" w:firstRowFirstColumn="0" w:firstRowLastColumn="0" w:lastRowFirstColumn="0" w:lastRowLastColumn="0"/>
                    <w:rPr>
                      <w:b/>
                      <w:bCs/>
                      <w:lang w:eastAsia="zh-CN"/>
                    </w:rPr>
                  </w:pPr>
                  <w:r w:rsidRPr="00B433A3">
                    <w:rPr>
                      <w:b/>
                      <w:bCs/>
                      <w:szCs w:val="22"/>
                      <w:lang w:eastAsia="zh-CN"/>
                    </w:rPr>
                    <w:t>89</w:t>
                  </w:r>
                  <w:r w:rsidR="0063237C" w:rsidRPr="00B433A3">
                    <w:rPr>
                      <w:b/>
                      <w:bCs/>
                      <w:szCs w:val="22"/>
                      <w:lang w:eastAsia="zh-CN"/>
                    </w:rPr>
                    <w:t xml:space="preserve"> </w:t>
                  </w:r>
                  <w:r w:rsidRPr="00B433A3">
                    <w:rPr>
                      <w:b/>
                      <w:bCs/>
                      <w:szCs w:val="22"/>
                      <w:lang w:eastAsia="zh-CN"/>
                    </w:rPr>
                    <w:t>001</w:t>
                  </w:r>
                </w:p>
              </w:tc>
              <w:tc>
                <w:tcPr>
                  <w:tcW w:w="141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hideMark/>
                </w:tcPr>
                <w:p w14:paraId="14850A81" w14:textId="7CC3BA47" w:rsidR="005B6A9C" w:rsidRPr="00B433A3" w:rsidRDefault="005B6A9C" w:rsidP="00B8343E">
                  <w:pPr>
                    <w:pStyle w:val="Tabletext"/>
                    <w:jc w:val="center"/>
                    <w:cnfStyle w:val="000000100000" w:firstRow="0" w:lastRow="0" w:firstColumn="0" w:lastColumn="0" w:oddVBand="0" w:evenVBand="0" w:oddHBand="1" w:evenHBand="0" w:firstRowFirstColumn="0" w:firstRowLastColumn="0" w:lastRowFirstColumn="0" w:lastRowLastColumn="0"/>
                    <w:rPr>
                      <w:lang w:eastAsia="zh-CN"/>
                    </w:rPr>
                  </w:pPr>
                  <w:r w:rsidRPr="00B433A3">
                    <w:rPr>
                      <w:szCs w:val="22"/>
                      <w:lang w:eastAsia="zh-CN"/>
                    </w:rPr>
                    <w:t>1</w:t>
                  </w:r>
                  <w:r w:rsidR="0063237C" w:rsidRPr="00B433A3">
                    <w:rPr>
                      <w:szCs w:val="22"/>
                      <w:lang w:eastAsia="zh-CN"/>
                    </w:rPr>
                    <w:t>,</w:t>
                  </w:r>
                  <w:r w:rsidRPr="00B433A3">
                    <w:rPr>
                      <w:szCs w:val="22"/>
                      <w:lang w:eastAsia="zh-CN"/>
                    </w:rPr>
                    <w:t>17%</w:t>
                  </w:r>
                </w:p>
              </w:tc>
            </w:tr>
            <w:tr w:rsidR="005B6A9C" w:rsidRPr="00B433A3" w14:paraId="03CA2186" w14:textId="77777777" w:rsidTr="0063237C">
              <w:trPr>
                <w:trHeight w:val="330"/>
              </w:trPr>
              <w:tc>
                <w:tcPr>
                  <w:cnfStyle w:val="001000000000" w:firstRow="0" w:lastRow="0" w:firstColumn="1" w:lastColumn="0" w:oddVBand="0" w:evenVBand="0" w:oddHBand="0" w:evenHBand="0" w:firstRowFirstColumn="0" w:firstRowLastColumn="0" w:lastRowFirstColumn="0" w:lastRowLastColumn="0"/>
                  <w:tcW w:w="121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hideMark/>
                </w:tcPr>
                <w:p w14:paraId="04F6D86C" w14:textId="77777777" w:rsidR="005B6A9C" w:rsidRPr="00B433A3" w:rsidRDefault="005B6A9C" w:rsidP="00B8343E">
                  <w:pPr>
                    <w:pStyle w:val="Tabletext"/>
                    <w:jc w:val="center"/>
                    <w:rPr>
                      <w:lang w:eastAsia="zh-CN"/>
                    </w:rPr>
                  </w:pPr>
                  <w:r w:rsidRPr="00B433A3">
                    <w:rPr>
                      <w:szCs w:val="22"/>
                      <w:lang w:eastAsia="zh-CN"/>
                    </w:rPr>
                    <w:t>BR</w:t>
                  </w:r>
                </w:p>
              </w:tc>
              <w:tc>
                <w:tcPr>
                  <w:tcW w:w="154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hideMark/>
                </w:tcPr>
                <w:p w14:paraId="0CD96906" w14:textId="324096C5" w:rsidR="005B6A9C" w:rsidRPr="00B433A3" w:rsidRDefault="005B6A9C" w:rsidP="00B8343E">
                  <w:pPr>
                    <w:pStyle w:val="Tabletext"/>
                    <w:jc w:val="center"/>
                    <w:cnfStyle w:val="000000000000" w:firstRow="0" w:lastRow="0" w:firstColumn="0" w:lastColumn="0" w:oddVBand="0" w:evenVBand="0" w:oddHBand="0" w:evenHBand="0" w:firstRowFirstColumn="0" w:firstRowLastColumn="0" w:lastRowFirstColumn="0" w:lastRowLastColumn="0"/>
                    <w:rPr>
                      <w:lang w:eastAsia="zh-CN"/>
                    </w:rPr>
                  </w:pPr>
                  <w:r w:rsidRPr="00B433A3">
                    <w:rPr>
                      <w:szCs w:val="22"/>
                      <w:lang w:eastAsia="zh-CN"/>
                    </w:rPr>
                    <w:t>30</w:t>
                  </w:r>
                  <w:r w:rsidR="0063237C" w:rsidRPr="00B433A3">
                    <w:rPr>
                      <w:szCs w:val="22"/>
                      <w:lang w:eastAsia="zh-CN"/>
                    </w:rPr>
                    <w:t xml:space="preserve"> </w:t>
                  </w:r>
                  <w:r w:rsidRPr="00B433A3">
                    <w:rPr>
                      <w:szCs w:val="22"/>
                      <w:lang w:eastAsia="zh-CN"/>
                    </w:rPr>
                    <w:t>271</w:t>
                  </w:r>
                </w:p>
              </w:tc>
              <w:tc>
                <w:tcPr>
                  <w:tcW w:w="127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hideMark/>
                </w:tcPr>
                <w:p w14:paraId="0B9ED117" w14:textId="41A86C41" w:rsidR="005B6A9C" w:rsidRPr="00B433A3" w:rsidRDefault="005B6A9C" w:rsidP="00B8343E">
                  <w:pPr>
                    <w:pStyle w:val="Tabletext"/>
                    <w:jc w:val="center"/>
                    <w:cnfStyle w:val="000000000000" w:firstRow="0" w:lastRow="0" w:firstColumn="0" w:lastColumn="0" w:oddVBand="0" w:evenVBand="0" w:oddHBand="0" w:evenHBand="0" w:firstRowFirstColumn="0" w:firstRowLastColumn="0" w:lastRowFirstColumn="0" w:lastRowLastColumn="0"/>
                    <w:rPr>
                      <w:lang w:eastAsia="zh-CN"/>
                    </w:rPr>
                  </w:pPr>
                  <w:r w:rsidRPr="00B433A3">
                    <w:rPr>
                      <w:szCs w:val="22"/>
                      <w:lang w:eastAsia="zh-CN"/>
                    </w:rPr>
                    <w:t>21</w:t>
                  </w:r>
                  <w:r w:rsidR="0063237C" w:rsidRPr="00B433A3">
                    <w:rPr>
                      <w:szCs w:val="22"/>
                      <w:lang w:eastAsia="zh-CN"/>
                    </w:rPr>
                    <w:t xml:space="preserve"> </w:t>
                  </w:r>
                  <w:r w:rsidRPr="00B433A3">
                    <w:rPr>
                      <w:szCs w:val="22"/>
                      <w:lang w:eastAsia="zh-CN"/>
                    </w:rPr>
                    <w:t>989</w:t>
                  </w:r>
                </w:p>
              </w:tc>
              <w:tc>
                <w:tcPr>
                  <w:tcW w:w="127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hideMark/>
                </w:tcPr>
                <w:p w14:paraId="66C824E3" w14:textId="63858CF9" w:rsidR="005B6A9C" w:rsidRPr="00B433A3" w:rsidRDefault="005B6A9C" w:rsidP="00B8343E">
                  <w:pPr>
                    <w:pStyle w:val="Tabletext"/>
                    <w:jc w:val="center"/>
                    <w:cnfStyle w:val="000000000000" w:firstRow="0" w:lastRow="0" w:firstColumn="0" w:lastColumn="0" w:oddVBand="0" w:evenVBand="0" w:oddHBand="0" w:evenHBand="0" w:firstRowFirstColumn="0" w:firstRowLastColumn="0" w:lastRowFirstColumn="0" w:lastRowLastColumn="0"/>
                    <w:rPr>
                      <w:lang w:eastAsia="zh-CN"/>
                    </w:rPr>
                  </w:pPr>
                  <w:r w:rsidRPr="00B433A3">
                    <w:rPr>
                      <w:szCs w:val="22"/>
                      <w:lang w:eastAsia="zh-CN"/>
                    </w:rPr>
                    <w:t>17</w:t>
                  </w:r>
                  <w:r w:rsidR="0063237C" w:rsidRPr="00B433A3">
                    <w:rPr>
                      <w:szCs w:val="22"/>
                      <w:lang w:eastAsia="zh-CN"/>
                    </w:rPr>
                    <w:t xml:space="preserve"> </w:t>
                  </w:r>
                  <w:r w:rsidRPr="00B433A3">
                    <w:rPr>
                      <w:szCs w:val="22"/>
                      <w:lang w:eastAsia="zh-CN"/>
                    </w:rPr>
                    <w:t>101</w:t>
                  </w:r>
                </w:p>
              </w:tc>
              <w:tc>
                <w:tcPr>
                  <w:tcW w:w="127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hideMark/>
                </w:tcPr>
                <w:p w14:paraId="273C07E3" w14:textId="1A6C5CEF" w:rsidR="005B6A9C" w:rsidRPr="00B433A3" w:rsidRDefault="005B6A9C" w:rsidP="00B8343E">
                  <w:pPr>
                    <w:pStyle w:val="Tabletext"/>
                    <w:jc w:val="center"/>
                    <w:cnfStyle w:val="000000000000" w:firstRow="0" w:lastRow="0" w:firstColumn="0" w:lastColumn="0" w:oddVBand="0" w:evenVBand="0" w:oddHBand="0" w:evenHBand="0" w:firstRowFirstColumn="0" w:firstRowLastColumn="0" w:lastRowFirstColumn="0" w:lastRowLastColumn="0"/>
                    <w:rPr>
                      <w:color w:val="000000" w:themeColor="text1"/>
                      <w:szCs w:val="24"/>
                      <w:lang w:eastAsia="zh-CN"/>
                    </w:rPr>
                  </w:pPr>
                  <w:r w:rsidRPr="00B433A3">
                    <w:rPr>
                      <w:szCs w:val="22"/>
                      <w:lang w:eastAsia="zh-CN"/>
                    </w:rPr>
                    <w:t>14</w:t>
                  </w:r>
                  <w:r w:rsidR="0063237C" w:rsidRPr="00B433A3">
                    <w:rPr>
                      <w:szCs w:val="22"/>
                      <w:lang w:eastAsia="zh-CN"/>
                    </w:rPr>
                    <w:t xml:space="preserve"> </w:t>
                  </w:r>
                  <w:r w:rsidRPr="00B433A3">
                    <w:rPr>
                      <w:szCs w:val="22"/>
                      <w:lang w:eastAsia="zh-CN"/>
                    </w:rPr>
                    <w:t>703</w:t>
                  </w:r>
                </w:p>
              </w:tc>
              <w:tc>
                <w:tcPr>
                  <w:tcW w:w="141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hideMark/>
                </w:tcPr>
                <w:p w14:paraId="450746C3" w14:textId="34AD1DF6" w:rsidR="005B6A9C" w:rsidRPr="00B433A3" w:rsidRDefault="005B6A9C" w:rsidP="00B8343E">
                  <w:pPr>
                    <w:pStyle w:val="Tabletext"/>
                    <w:jc w:val="center"/>
                    <w:cnfStyle w:val="000000000000" w:firstRow="0" w:lastRow="0" w:firstColumn="0" w:lastColumn="0" w:oddVBand="0" w:evenVBand="0" w:oddHBand="0" w:evenHBand="0" w:firstRowFirstColumn="0" w:firstRowLastColumn="0" w:lastRowFirstColumn="0" w:lastRowLastColumn="0"/>
                    <w:rPr>
                      <w:b/>
                      <w:bCs/>
                      <w:lang w:eastAsia="zh-CN"/>
                    </w:rPr>
                  </w:pPr>
                  <w:r w:rsidRPr="00B433A3">
                    <w:rPr>
                      <w:b/>
                      <w:bCs/>
                      <w:szCs w:val="22"/>
                      <w:lang w:eastAsia="zh-CN"/>
                    </w:rPr>
                    <w:t>84</w:t>
                  </w:r>
                  <w:r w:rsidR="0063237C" w:rsidRPr="00B433A3">
                    <w:rPr>
                      <w:b/>
                      <w:bCs/>
                      <w:szCs w:val="22"/>
                      <w:lang w:eastAsia="zh-CN"/>
                    </w:rPr>
                    <w:t xml:space="preserve"> </w:t>
                  </w:r>
                  <w:r w:rsidRPr="00B433A3">
                    <w:rPr>
                      <w:b/>
                      <w:bCs/>
                      <w:szCs w:val="22"/>
                      <w:lang w:eastAsia="zh-CN"/>
                    </w:rPr>
                    <w:t>064</w:t>
                  </w:r>
                </w:p>
              </w:tc>
              <w:tc>
                <w:tcPr>
                  <w:tcW w:w="141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hideMark/>
                </w:tcPr>
                <w:p w14:paraId="433282A1" w14:textId="2E73868F" w:rsidR="005B6A9C" w:rsidRPr="00B433A3" w:rsidRDefault="005B6A9C" w:rsidP="00B8343E">
                  <w:pPr>
                    <w:pStyle w:val="Tabletext"/>
                    <w:jc w:val="center"/>
                    <w:cnfStyle w:val="000000000000" w:firstRow="0" w:lastRow="0" w:firstColumn="0" w:lastColumn="0" w:oddVBand="0" w:evenVBand="0" w:oddHBand="0" w:evenHBand="0" w:firstRowFirstColumn="0" w:firstRowLastColumn="0" w:lastRowFirstColumn="0" w:lastRowLastColumn="0"/>
                    <w:rPr>
                      <w:lang w:eastAsia="zh-CN"/>
                    </w:rPr>
                  </w:pPr>
                  <w:r w:rsidRPr="00B433A3">
                    <w:rPr>
                      <w:szCs w:val="22"/>
                      <w:lang w:eastAsia="zh-CN"/>
                    </w:rPr>
                    <w:t>1</w:t>
                  </w:r>
                  <w:r w:rsidR="0063237C" w:rsidRPr="00B433A3">
                    <w:rPr>
                      <w:szCs w:val="22"/>
                      <w:lang w:eastAsia="zh-CN"/>
                    </w:rPr>
                    <w:t>,</w:t>
                  </w:r>
                  <w:r w:rsidRPr="00B433A3">
                    <w:rPr>
                      <w:szCs w:val="22"/>
                      <w:lang w:eastAsia="zh-CN"/>
                    </w:rPr>
                    <w:t>10%</w:t>
                  </w:r>
                </w:p>
              </w:tc>
            </w:tr>
            <w:tr w:rsidR="005B6A9C" w:rsidRPr="00B433A3" w14:paraId="7747C3CF" w14:textId="77777777" w:rsidTr="0063237C">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21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hideMark/>
                </w:tcPr>
                <w:p w14:paraId="7C74CCA5" w14:textId="77777777" w:rsidR="005B6A9C" w:rsidRPr="00B433A3" w:rsidRDefault="005B6A9C" w:rsidP="00B8343E">
                  <w:pPr>
                    <w:pStyle w:val="Tabletext"/>
                    <w:jc w:val="center"/>
                    <w:rPr>
                      <w:lang w:eastAsia="zh-CN"/>
                    </w:rPr>
                  </w:pPr>
                  <w:r w:rsidRPr="00B433A3">
                    <w:rPr>
                      <w:szCs w:val="22"/>
                      <w:lang w:eastAsia="zh-CN"/>
                    </w:rPr>
                    <w:t>RA</w:t>
                  </w:r>
                </w:p>
              </w:tc>
              <w:tc>
                <w:tcPr>
                  <w:tcW w:w="154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hideMark/>
                </w:tcPr>
                <w:p w14:paraId="27DBD446" w14:textId="72E4E2A6" w:rsidR="005B6A9C" w:rsidRPr="00B433A3" w:rsidRDefault="005B6A9C" w:rsidP="00B8343E">
                  <w:pPr>
                    <w:pStyle w:val="Tabletext"/>
                    <w:jc w:val="center"/>
                    <w:cnfStyle w:val="000000100000" w:firstRow="0" w:lastRow="0" w:firstColumn="0" w:lastColumn="0" w:oddVBand="0" w:evenVBand="0" w:oddHBand="1" w:evenHBand="0" w:firstRowFirstColumn="0" w:firstRowLastColumn="0" w:lastRowFirstColumn="0" w:lastRowLastColumn="0"/>
                    <w:rPr>
                      <w:lang w:eastAsia="zh-CN"/>
                    </w:rPr>
                  </w:pPr>
                  <w:r w:rsidRPr="00B433A3">
                    <w:rPr>
                      <w:szCs w:val="22"/>
                      <w:lang w:eastAsia="zh-CN"/>
                    </w:rPr>
                    <w:t>17</w:t>
                  </w:r>
                  <w:r w:rsidR="0063237C" w:rsidRPr="00B433A3">
                    <w:rPr>
                      <w:szCs w:val="22"/>
                      <w:lang w:eastAsia="zh-CN"/>
                    </w:rPr>
                    <w:t xml:space="preserve"> </w:t>
                  </w:r>
                  <w:r w:rsidRPr="00B433A3">
                    <w:rPr>
                      <w:szCs w:val="22"/>
                      <w:lang w:eastAsia="zh-CN"/>
                    </w:rPr>
                    <w:t>450</w:t>
                  </w:r>
                </w:p>
              </w:tc>
              <w:tc>
                <w:tcPr>
                  <w:tcW w:w="127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hideMark/>
                </w:tcPr>
                <w:p w14:paraId="376B3E7F" w14:textId="754DC271" w:rsidR="005B6A9C" w:rsidRPr="00B433A3" w:rsidRDefault="005B6A9C" w:rsidP="00B8343E">
                  <w:pPr>
                    <w:pStyle w:val="Tabletext"/>
                    <w:jc w:val="center"/>
                    <w:cnfStyle w:val="000000100000" w:firstRow="0" w:lastRow="0" w:firstColumn="0" w:lastColumn="0" w:oddVBand="0" w:evenVBand="0" w:oddHBand="1" w:evenHBand="0" w:firstRowFirstColumn="0" w:firstRowLastColumn="0" w:lastRowFirstColumn="0" w:lastRowLastColumn="0"/>
                    <w:rPr>
                      <w:lang w:eastAsia="zh-CN"/>
                    </w:rPr>
                  </w:pPr>
                  <w:r w:rsidRPr="00B433A3">
                    <w:rPr>
                      <w:szCs w:val="22"/>
                      <w:lang w:eastAsia="zh-CN"/>
                    </w:rPr>
                    <w:t>15</w:t>
                  </w:r>
                  <w:r w:rsidR="0063237C" w:rsidRPr="00B433A3">
                    <w:rPr>
                      <w:szCs w:val="22"/>
                      <w:lang w:eastAsia="zh-CN"/>
                    </w:rPr>
                    <w:t xml:space="preserve"> </w:t>
                  </w:r>
                  <w:r w:rsidRPr="00B433A3">
                    <w:rPr>
                      <w:szCs w:val="22"/>
                      <w:lang w:eastAsia="zh-CN"/>
                    </w:rPr>
                    <w:t>165</w:t>
                  </w:r>
                </w:p>
              </w:tc>
              <w:tc>
                <w:tcPr>
                  <w:tcW w:w="127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hideMark/>
                </w:tcPr>
                <w:p w14:paraId="28496967" w14:textId="157E1728" w:rsidR="005B6A9C" w:rsidRPr="00B433A3" w:rsidRDefault="005B6A9C" w:rsidP="00B8343E">
                  <w:pPr>
                    <w:pStyle w:val="Tabletext"/>
                    <w:jc w:val="center"/>
                    <w:cnfStyle w:val="000000100000" w:firstRow="0" w:lastRow="0" w:firstColumn="0" w:lastColumn="0" w:oddVBand="0" w:evenVBand="0" w:oddHBand="1" w:evenHBand="0" w:firstRowFirstColumn="0" w:firstRowLastColumn="0" w:lastRowFirstColumn="0" w:lastRowLastColumn="0"/>
                    <w:rPr>
                      <w:lang w:eastAsia="zh-CN"/>
                    </w:rPr>
                  </w:pPr>
                  <w:r w:rsidRPr="00B433A3">
                    <w:rPr>
                      <w:szCs w:val="22"/>
                      <w:lang w:eastAsia="zh-CN"/>
                    </w:rPr>
                    <w:t>12</w:t>
                  </w:r>
                  <w:r w:rsidR="0063237C" w:rsidRPr="00B433A3">
                    <w:rPr>
                      <w:szCs w:val="22"/>
                      <w:lang w:eastAsia="zh-CN"/>
                    </w:rPr>
                    <w:t xml:space="preserve"> </w:t>
                  </w:r>
                  <w:r w:rsidRPr="00B433A3">
                    <w:rPr>
                      <w:szCs w:val="22"/>
                      <w:lang w:eastAsia="zh-CN"/>
                    </w:rPr>
                    <w:t>315</w:t>
                  </w:r>
                </w:p>
              </w:tc>
              <w:tc>
                <w:tcPr>
                  <w:tcW w:w="127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hideMark/>
                </w:tcPr>
                <w:p w14:paraId="235D5109" w14:textId="4A35F1CC" w:rsidR="005B6A9C" w:rsidRPr="00B433A3" w:rsidRDefault="005B6A9C" w:rsidP="00B8343E">
                  <w:pPr>
                    <w:pStyle w:val="Tabletext"/>
                    <w:jc w:val="center"/>
                    <w:cnfStyle w:val="000000100000" w:firstRow="0" w:lastRow="0" w:firstColumn="0" w:lastColumn="0" w:oddVBand="0" w:evenVBand="0" w:oddHBand="1" w:evenHBand="0" w:firstRowFirstColumn="0" w:firstRowLastColumn="0" w:lastRowFirstColumn="0" w:lastRowLastColumn="0"/>
                    <w:rPr>
                      <w:color w:val="000000" w:themeColor="text1"/>
                      <w:szCs w:val="24"/>
                      <w:lang w:eastAsia="zh-CN"/>
                    </w:rPr>
                  </w:pPr>
                  <w:r w:rsidRPr="00B433A3">
                    <w:rPr>
                      <w:szCs w:val="22"/>
                      <w:lang w:eastAsia="zh-CN"/>
                    </w:rPr>
                    <w:t>10</w:t>
                  </w:r>
                  <w:r w:rsidR="0063237C" w:rsidRPr="00B433A3">
                    <w:rPr>
                      <w:szCs w:val="22"/>
                      <w:lang w:eastAsia="zh-CN"/>
                    </w:rPr>
                    <w:t xml:space="preserve"> </w:t>
                  </w:r>
                  <w:r w:rsidRPr="00B433A3">
                    <w:rPr>
                      <w:szCs w:val="22"/>
                      <w:lang w:eastAsia="zh-CN"/>
                    </w:rPr>
                    <w:t>546</w:t>
                  </w:r>
                </w:p>
              </w:tc>
              <w:tc>
                <w:tcPr>
                  <w:tcW w:w="141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hideMark/>
                </w:tcPr>
                <w:p w14:paraId="4DFA9E16" w14:textId="70634586" w:rsidR="005B6A9C" w:rsidRPr="00B433A3" w:rsidRDefault="005B6A9C" w:rsidP="00B8343E">
                  <w:pPr>
                    <w:pStyle w:val="Tabletext"/>
                    <w:jc w:val="center"/>
                    <w:cnfStyle w:val="000000100000" w:firstRow="0" w:lastRow="0" w:firstColumn="0" w:lastColumn="0" w:oddVBand="0" w:evenVBand="0" w:oddHBand="1" w:evenHBand="0" w:firstRowFirstColumn="0" w:firstRowLastColumn="0" w:lastRowFirstColumn="0" w:lastRowLastColumn="0"/>
                    <w:rPr>
                      <w:b/>
                      <w:bCs/>
                      <w:lang w:eastAsia="zh-CN"/>
                    </w:rPr>
                  </w:pPr>
                  <w:r w:rsidRPr="00B433A3">
                    <w:rPr>
                      <w:b/>
                      <w:bCs/>
                      <w:szCs w:val="22"/>
                      <w:lang w:eastAsia="zh-CN"/>
                    </w:rPr>
                    <w:t>55</w:t>
                  </w:r>
                  <w:r w:rsidR="0063237C" w:rsidRPr="00B433A3">
                    <w:rPr>
                      <w:b/>
                      <w:bCs/>
                      <w:szCs w:val="22"/>
                      <w:lang w:eastAsia="zh-CN"/>
                    </w:rPr>
                    <w:t xml:space="preserve"> </w:t>
                  </w:r>
                  <w:r w:rsidRPr="00B433A3">
                    <w:rPr>
                      <w:b/>
                      <w:bCs/>
                      <w:szCs w:val="22"/>
                      <w:lang w:eastAsia="zh-CN"/>
                    </w:rPr>
                    <w:t>476</w:t>
                  </w:r>
                </w:p>
              </w:tc>
              <w:tc>
                <w:tcPr>
                  <w:tcW w:w="141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hideMark/>
                </w:tcPr>
                <w:p w14:paraId="228F8756" w14:textId="470DB79C" w:rsidR="005B6A9C" w:rsidRPr="00B433A3" w:rsidRDefault="005B6A9C" w:rsidP="00B8343E">
                  <w:pPr>
                    <w:pStyle w:val="Tabletext"/>
                    <w:jc w:val="center"/>
                    <w:cnfStyle w:val="000000100000" w:firstRow="0" w:lastRow="0" w:firstColumn="0" w:lastColumn="0" w:oddVBand="0" w:evenVBand="0" w:oddHBand="1" w:evenHBand="0" w:firstRowFirstColumn="0" w:firstRowLastColumn="0" w:lastRowFirstColumn="0" w:lastRowLastColumn="0"/>
                    <w:rPr>
                      <w:lang w:eastAsia="zh-CN"/>
                    </w:rPr>
                  </w:pPr>
                  <w:r w:rsidRPr="00B433A3">
                    <w:rPr>
                      <w:szCs w:val="22"/>
                      <w:lang w:eastAsia="zh-CN"/>
                    </w:rPr>
                    <w:t>0</w:t>
                  </w:r>
                  <w:r w:rsidR="0063237C" w:rsidRPr="00B433A3">
                    <w:rPr>
                      <w:szCs w:val="22"/>
                      <w:lang w:eastAsia="zh-CN"/>
                    </w:rPr>
                    <w:t>,</w:t>
                  </w:r>
                  <w:r w:rsidRPr="00B433A3">
                    <w:rPr>
                      <w:szCs w:val="22"/>
                      <w:lang w:eastAsia="zh-CN"/>
                    </w:rPr>
                    <w:t>73%</w:t>
                  </w:r>
                </w:p>
              </w:tc>
            </w:tr>
            <w:tr w:rsidR="005B6A9C" w:rsidRPr="00B433A3" w14:paraId="2BB3E750" w14:textId="77777777" w:rsidTr="0063237C">
              <w:trPr>
                <w:trHeight w:val="330"/>
              </w:trPr>
              <w:tc>
                <w:tcPr>
                  <w:cnfStyle w:val="001000000000" w:firstRow="0" w:lastRow="0" w:firstColumn="1" w:lastColumn="0" w:oddVBand="0" w:evenVBand="0" w:oddHBand="0" w:evenHBand="0" w:firstRowFirstColumn="0" w:firstRowLastColumn="0" w:lastRowFirstColumn="0" w:lastRowLastColumn="0"/>
                  <w:tcW w:w="121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hideMark/>
                </w:tcPr>
                <w:p w14:paraId="172FC6AD" w14:textId="77777777" w:rsidR="005B6A9C" w:rsidRPr="00B433A3" w:rsidRDefault="005B6A9C" w:rsidP="00B8343E">
                  <w:pPr>
                    <w:pStyle w:val="Tabletext"/>
                    <w:jc w:val="center"/>
                    <w:rPr>
                      <w:lang w:eastAsia="zh-CN"/>
                    </w:rPr>
                  </w:pPr>
                  <w:r w:rsidRPr="00B433A3">
                    <w:rPr>
                      <w:szCs w:val="22"/>
                      <w:lang w:eastAsia="zh-CN"/>
                    </w:rPr>
                    <w:t>SNG</w:t>
                  </w:r>
                </w:p>
              </w:tc>
              <w:tc>
                <w:tcPr>
                  <w:tcW w:w="154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hideMark/>
                </w:tcPr>
                <w:p w14:paraId="1EE592AC" w14:textId="51D7E766" w:rsidR="005B6A9C" w:rsidRPr="00B433A3" w:rsidRDefault="005B6A9C" w:rsidP="00B8343E">
                  <w:pPr>
                    <w:pStyle w:val="Tabletext"/>
                    <w:jc w:val="center"/>
                    <w:cnfStyle w:val="000000000000" w:firstRow="0" w:lastRow="0" w:firstColumn="0" w:lastColumn="0" w:oddVBand="0" w:evenVBand="0" w:oddHBand="0" w:evenHBand="0" w:firstRowFirstColumn="0" w:firstRowLastColumn="0" w:lastRowFirstColumn="0" w:lastRowLastColumn="0"/>
                    <w:rPr>
                      <w:lang w:eastAsia="zh-CN"/>
                    </w:rPr>
                  </w:pPr>
                  <w:r w:rsidRPr="00B433A3">
                    <w:rPr>
                      <w:szCs w:val="22"/>
                      <w:lang w:eastAsia="zh-CN"/>
                    </w:rPr>
                    <w:t>6</w:t>
                  </w:r>
                  <w:r w:rsidR="0063237C" w:rsidRPr="00B433A3">
                    <w:rPr>
                      <w:szCs w:val="22"/>
                      <w:lang w:eastAsia="zh-CN"/>
                    </w:rPr>
                    <w:t xml:space="preserve"> </w:t>
                  </w:r>
                  <w:r w:rsidRPr="00B433A3">
                    <w:rPr>
                      <w:szCs w:val="22"/>
                      <w:lang w:eastAsia="zh-CN"/>
                    </w:rPr>
                    <w:t>396</w:t>
                  </w:r>
                </w:p>
              </w:tc>
              <w:tc>
                <w:tcPr>
                  <w:tcW w:w="127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hideMark/>
                </w:tcPr>
                <w:p w14:paraId="68389052" w14:textId="4329582B" w:rsidR="005B6A9C" w:rsidRPr="00B433A3" w:rsidRDefault="005B6A9C" w:rsidP="00B8343E">
                  <w:pPr>
                    <w:pStyle w:val="Tabletext"/>
                    <w:jc w:val="center"/>
                    <w:cnfStyle w:val="000000000000" w:firstRow="0" w:lastRow="0" w:firstColumn="0" w:lastColumn="0" w:oddVBand="0" w:evenVBand="0" w:oddHBand="0" w:evenHBand="0" w:firstRowFirstColumn="0" w:firstRowLastColumn="0" w:lastRowFirstColumn="0" w:lastRowLastColumn="0"/>
                    <w:rPr>
                      <w:lang w:eastAsia="zh-CN"/>
                    </w:rPr>
                  </w:pPr>
                  <w:r w:rsidRPr="00B433A3">
                    <w:rPr>
                      <w:szCs w:val="22"/>
                      <w:lang w:eastAsia="zh-CN"/>
                    </w:rPr>
                    <w:t>4</w:t>
                  </w:r>
                  <w:r w:rsidR="0063237C" w:rsidRPr="00B433A3">
                    <w:rPr>
                      <w:szCs w:val="22"/>
                      <w:lang w:eastAsia="zh-CN"/>
                    </w:rPr>
                    <w:t xml:space="preserve"> </w:t>
                  </w:r>
                  <w:r w:rsidRPr="00B433A3">
                    <w:rPr>
                      <w:szCs w:val="22"/>
                      <w:lang w:eastAsia="zh-CN"/>
                    </w:rPr>
                    <w:t>921</w:t>
                  </w:r>
                </w:p>
              </w:tc>
              <w:tc>
                <w:tcPr>
                  <w:tcW w:w="127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hideMark/>
                </w:tcPr>
                <w:p w14:paraId="5D0590B3" w14:textId="214B262F" w:rsidR="005B6A9C" w:rsidRPr="00B433A3" w:rsidRDefault="005B6A9C" w:rsidP="00B8343E">
                  <w:pPr>
                    <w:pStyle w:val="Tabletext"/>
                    <w:jc w:val="center"/>
                    <w:cnfStyle w:val="000000000000" w:firstRow="0" w:lastRow="0" w:firstColumn="0" w:lastColumn="0" w:oddVBand="0" w:evenVBand="0" w:oddHBand="0" w:evenHBand="0" w:firstRowFirstColumn="0" w:firstRowLastColumn="0" w:lastRowFirstColumn="0" w:lastRowLastColumn="0"/>
                    <w:rPr>
                      <w:lang w:eastAsia="zh-CN"/>
                    </w:rPr>
                  </w:pPr>
                  <w:r w:rsidRPr="00B433A3">
                    <w:rPr>
                      <w:szCs w:val="22"/>
                      <w:lang w:eastAsia="zh-CN"/>
                    </w:rPr>
                    <w:t>3</w:t>
                  </w:r>
                  <w:r w:rsidR="0063237C" w:rsidRPr="00B433A3">
                    <w:rPr>
                      <w:szCs w:val="22"/>
                      <w:lang w:eastAsia="zh-CN"/>
                    </w:rPr>
                    <w:t xml:space="preserve"> </w:t>
                  </w:r>
                  <w:r w:rsidRPr="00B433A3">
                    <w:rPr>
                      <w:szCs w:val="22"/>
                      <w:lang w:eastAsia="zh-CN"/>
                    </w:rPr>
                    <w:t>319</w:t>
                  </w:r>
                </w:p>
              </w:tc>
              <w:tc>
                <w:tcPr>
                  <w:tcW w:w="127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hideMark/>
                </w:tcPr>
                <w:p w14:paraId="398D06FB" w14:textId="128A0910" w:rsidR="005B6A9C" w:rsidRPr="00B433A3" w:rsidRDefault="005B6A9C" w:rsidP="00B8343E">
                  <w:pPr>
                    <w:pStyle w:val="Tabletext"/>
                    <w:jc w:val="center"/>
                    <w:cnfStyle w:val="000000000000" w:firstRow="0" w:lastRow="0" w:firstColumn="0" w:lastColumn="0" w:oddVBand="0" w:evenVBand="0" w:oddHBand="0" w:evenHBand="0" w:firstRowFirstColumn="0" w:firstRowLastColumn="0" w:lastRowFirstColumn="0" w:lastRowLastColumn="0"/>
                    <w:rPr>
                      <w:color w:val="000000" w:themeColor="text1"/>
                      <w:szCs w:val="24"/>
                      <w:lang w:eastAsia="zh-CN"/>
                    </w:rPr>
                  </w:pPr>
                  <w:r w:rsidRPr="00B433A3">
                    <w:rPr>
                      <w:szCs w:val="22"/>
                      <w:lang w:eastAsia="zh-CN"/>
                    </w:rPr>
                    <w:t>2</w:t>
                  </w:r>
                  <w:r w:rsidR="0063237C" w:rsidRPr="00B433A3">
                    <w:rPr>
                      <w:szCs w:val="22"/>
                      <w:lang w:eastAsia="zh-CN"/>
                    </w:rPr>
                    <w:t xml:space="preserve"> </w:t>
                  </w:r>
                  <w:r w:rsidRPr="00B433A3">
                    <w:rPr>
                      <w:szCs w:val="22"/>
                      <w:lang w:eastAsia="zh-CN"/>
                    </w:rPr>
                    <w:t>499</w:t>
                  </w:r>
                </w:p>
              </w:tc>
              <w:tc>
                <w:tcPr>
                  <w:tcW w:w="141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hideMark/>
                </w:tcPr>
                <w:p w14:paraId="7251B0DC" w14:textId="2B6F19BF" w:rsidR="005B6A9C" w:rsidRPr="00B433A3" w:rsidRDefault="005B6A9C" w:rsidP="00B8343E">
                  <w:pPr>
                    <w:pStyle w:val="Tabletext"/>
                    <w:jc w:val="center"/>
                    <w:cnfStyle w:val="000000000000" w:firstRow="0" w:lastRow="0" w:firstColumn="0" w:lastColumn="0" w:oddVBand="0" w:evenVBand="0" w:oddHBand="0" w:evenHBand="0" w:firstRowFirstColumn="0" w:firstRowLastColumn="0" w:lastRowFirstColumn="0" w:lastRowLastColumn="0"/>
                    <w:rPr>
                      <w:b/>
                      <w:bCs/>
                      <w:lang w:eastAsia="zh-CN"/>
                    </w:rPr>
                  </w:pPr>
                  <w:r w:rsidRPr="00B433A3">
                    <w:rPr>
                      <w:b/>
                      <w:bCs/>
                      <w:szCs w:val="22"/>
                      <w:lang w:eastAsia="zh-CN"/>
                    </w:rPr>
                    <w:t>17</w:t>
                  </w:r>
                  <w:r w:rsidR="0063237C" w:rsidRPr="00B433A3">
                    <w:rPr>
                      <w:b/>
                      <w:bCs/>
                      <w:szCs w:val="22"/>
                      <w:lang w:eastAsia="zh-CN"/>
                    </w:rPr>
                    <w:t xml:space="preserve"> </w:t>
                  </w:r>
                  <w:r w:rsidRPr="00B433A3">
                    <w:rPr>
                      <w:b/>
                      <w:bCs/>
                      <w:szCs w:val="22"/>
                      <w:lang w:eastAsia="zh-CN"/>
                    </w:rPr>
                    <w:t>135</w:t>
                  </w:r>
                </w:p>
              </w:tc>
              <w:tc>
                <w:tcPr>
                  <w:tcW w:w="141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hideMark/>
                </w:tcPr>
                <w:p w14:paraId="42FAD46B" w14:textId="4BEA6712" w:rsidR="005B6A9C" w:rsidRPr="00B433A3" w:rsidRDefault="005B6A9C" w:rsidP="00B8343E">
                  <w:pPr>
                    <w:pStyle w:val="Tabletext"/>
                    <w:jc w:val="center"/>
                    <w:cnfStyle w:val="000000000000" w:firstRow="0" w:lastRow="0" w:firstColumn="0" w:lastColumn="0" w:oddVBand="0" w:evenVBand="0" w:oddHBand="0" w:evenHBand="0" w:firstRowFirstColumn="0" w:firstRowLastColumn="0" w:lastRowFirstColumn="0" w:lastRowLastColumn="0"/>
                    <w:rPr>
                      <w:lang w:eastAsia="zh-CN"/>
                    </w:rPr>
                  </w:pPr>
                  <w:r w:rsidRPr="00B433A3">
                    <w:rPr>
                      <w:szCs w:val="22"/>
                      <w:lang w:eastAsia="zh-CN"/>
                    </w:rPr>
                    <w:t>0</w:t>
                  </w:r>
                  <w:r w:rsidR="0063237C" w:rsidRPr="00B433A3">
                    <w:rPr>
                      <w:szCs w:val="22"/>
                      <w:lang w:eastAsia="zh-CN"/>
                    </w:rPr>
                    <w:t>,</w:t>
                  </w:r>
                  <w:r w:rsidRPr="00B433A3">
                    <w:rPr>
                      <w:szCs w:val="22"/>
                      <w:lang w:eastAsia="zh-CN"/>
                    </w:rPr>
                    <w:t>22%</w:t>
                  </w:r>
                </w:p>
              </w:tc>
            </w:tr>
            <w:tr w:rsidR="005B6A9C" w:rsidRPr="00B433A3" w14:paraId="37059B45" w14:textId="77777777" w:rsidTr="0063237C">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21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hideMark/>
                </w:tcPr>
                <w:p w14:paraId="2FBDA4C1" w14:textId="77777777" w:rsidR="005B6A9C" w:rsidRPr="00B433A3" w:rsidRDefault="005B6A9C" w:rsidP="00B8343E">
                  <w:pPr>
                    <w:pStyle w:val="Tabletext"/>
                    <w:jc w:val="center"/>
                    <w:rPr>
                      <w:lang w:eastAsia="zh-CN"/>
                    </w:rPr>
                  </w:pPr>
                  <w:r w:rsidRPr="00B433A3">
                    <w:rPr>
                      <w:szCs w:val="22"/>
                      <w:lang w:eastAsia="zh-CN"/>
                    </w:rPr>
                    <w:t>IS</w:t>
                  </w:r>
                </w:p>
              </w:tc>
              <w:tc>
                <w:tcPr>
                  <w:tcW w:w="154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hideMark/>
                </w:tcPr>
                <w:p w14:paraId="19665EE6" w14:textId="62D51FE0" w:rsidR="005B6A9C" w:rsidRPr="00B433A3" w:rsidRDefault="005B6A9C" w:rsidP="00B8343E">
                  <w:pPr>
                    <w:pStyle w:val="Tabletext"/>
                    <w:jc w:val="center"/>
                    <w:cnfStyle w:val="000000100000" w:firstRow="0" w:lastRow="0" w:firstColumn="0" w:lastColumn="0" w:oddVBand="0" w:evenVBand="0" w:oddHBand="1" w:evenHBand="0" w:firstRowFirstColumn="0" w:firstRowLastColumn="0" w:lastRowFirstColumn="0" w:lastRowLastColumn="0"/>
                    <w:rPr>
                      <w:color w:val="000000" w:themeColor="text1"/>
                      <w:szCs w:val="24"/>
                      <w:lang w:eastAsia="zh-CN"/>
                    </w:rPr>
                  </w:pPr>
                  <w:r w:rsidRPr="00B433A3">
                    <w:rPr>
                      <w:szCs w:val="22"/>
                      <w:lang w:eastAsia="zh-CN"/>
                    </w:rPr>
                    <w:t>2</w:t>
                  </w:r>
                  <w:r w:rsidR="0063237C" w:rsidRPr="00B433A3">
                    <w:rPr>
                      <w:szCs w:val="22"/>
                      <w:lang w:eastAsia="zh-CN"/>
                    </w:rPr>
                    <w:t xml:space="preserve"> </w:t>
                  </w:r>
                  <w:r w:rsidRPr="00B433A3">
                    <w:rPr>
                      <w:szCs w:val="22"/>
                      <w:lang w:eastAsia="zh-CN"/>
                    </w:rPr>
                    <w:t>115</w:t>
                  </w:r>
                </w:p>
              </w:tc>
              <w:tc>
                <w:tcPr>
                  <w:tcW w:w="127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hideMark/>
                </w:tcPr>
                <w:p w14:paraId="07536EC8" w14:textId="242851D9" w:rsidR="005B6A9C" w:rsidRPr="00B433A3" w:rsidRDefault="005B6A9C" w:rsidP="00B8343E">
                  <w:pPr>
                    <w:pStyle w:val="Tabletext"/>
                    <w:jc w:val="center"/>
                    <w:cnfStyle w:val="000000100000" w:firstRow="0" w:lastRow="0" w:firstColumn="0" w:lastColumn="0" w:oddVBand="0" w:evenVBand="0" w:oddHBand="1" w:evenHBand="0" w:firstRowFirstColumn="0" w:firstRowLastColumn="0" w:lastRowFirstColumn="0" w:lastRowLastColumn="0"/>
                    <w:rPr>
                      <w:color w:val="000000" w:themeColor="text1"/>
                      <w:szCs w:val="24"/>
                      <w:lang w:eastAsia="zh-CN"/>
                    </w:rPr>
                  </w:pPr>
                  <w:r w:rsidRPr="00B433A3">
                    <w:rPr>
                      <w:szCs w:val="22"/>
                      <w:lang w:eastAsia="zh-CN"/>
                    </w:rPr>
                    <w:t>1</w:t>
                  </w:r>
                  <w:r w:rsidR="0063237C" w:rsidRPr="00B433A3">
                    <w:rPr>
                      <w:szCs w:val="22"/>
                      <w:lang w:eastAsia="zh-CN"/>
                    </w:rPr>
                    <w:t xml:space="preserve"> </w:t>
                  </w:r>
                  <w:r w:rsidRPr="00B433A3">
                    <w:rPr>
                      <w:szCs w:val="22"/>
                      <w:lang w:eastAsia="zh-CN"/>
                    </w:rPr>
                    <w:t>802</w:t>
                  </w:r>
                </w:p>
              </w:tc>
              <w:tc>
                <w:tcPr>
                  <w:tcW w:w="127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hideMark/>
                </w:tcPr>
                <w:p w14:paraId="26CD9E3D" w14:textId="5B04ABF2" w:rsidR="005B6A9C" w:rsidRPr="00B433A3" w:rsidRDefault="005B6A9C" w:rsidP="00B8343E">
                  <w:pPr>
                    <w:pStyle w:val="Tabletext"/>
                    <w:jc w:val="center"/>
                    <w:cnfStyle w:val="000000100000" w:firstRow="0" w:lastRow="0" w:firstColumn="0" w:lastColumn="0" w:oddVBand="0" w:evenVBand="0" w:oddHBand="1" w:evenHBand="0" w:firstRowFirstColumn="0" w:firstRowLastColumn="0" w:lastRowFirstColumn="0" w:lastRowLastColumn="0"/>
                    <w:rPr>
                      <w:color w:val="000000" w:themeColor="text1"/>
                      <w:szCs w:val="24"/>
                      <w:lang w:eastAsia="zh-CN"/>
                    </w:rPr>
                  </w:pPr>
                  <w:r w:rsidRPr="00B433A3">
                    <w:rPr>
                      <w:szCs w:val="22"/>
                      <w:lang w:eastAsia="zh-CN"/>
                    </w:rPr>
                    <w:t>1</w:t>
                  </w:r>
                  <w:r w:rsidR="0063237C" w:rsidRPr="00B433A3">
                    <w:rPr>
                      <w:szCs w:val="22"/>
                      <w:lang w:eastAsia="zh-CN"/>
                    </w:rPr>
                    <w:t xml:space="preserve"> </w:t>
                  </w:r>
                  <w:r w:rsidRPr="00B433A3">
                    <w:rPr>
                      <w:szCs w:val="22"/>
                      <w:lang w:eastAsia="zh-CN"/>
                    </w:rPr>
                    <w:t>280</w:t>
                  </w:r>
                </w:p>
              </w:tc>
              <w:tc>
                <w:tcPr>
                  <w:tcW w:w="127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hideMark/>
                </w:tcPr>
                <w:p w14:paraId="393C4AC0" w14:textId="548A5825" w:rsidR="005B6A9C" w:rsidRPr="00B433A3" w:rsidRDefault="005B6A9C" w:rsidP="00B8343E">
                  <w:pPr>
                    <w:pStyle w:val="Tabletext"/>
                    <w:jc w:val="center"/>
                    <w:cnfStyle w:val="000000100000" w:firstRow="0" w:lastRow="0" w:firstColumn="0" w:lastColumn="0" w:oddVBand="0" w:evenVBand="0" w:oddHBand="1" w:evenHBand="0" w:firstRowFirstColumn="0" w:firstRowLastColumn="0" w:lastRowFirstColumn="0" w:lastRowLastColumn="0"/>
                    <w:rPr>
                      <w:color w:val="000000" w:themeColor="text1"/>
                      <w:szCs w:val="24"/>
                      <w:lang w:eastAsia="zh-CN"/>
                    </w:rPr>
                  </w:pPr>
                  <w:r w:rsidRPr="00B433A3">
                    <w:rPr>
                      <w:szCs w:val="22"/>
                      <w:lang w:eastAsia="zh-CN"/>
                    </w:rPr>
                    <w:t>1</w:t>
                  </w:r>
                  <w:r w:rsidR="0063237C" w:rsidRPr="00B433A3">
                    <w:rPr>
                      <w:szCs w:val="22"/>
                      <w:lang w:eastAsia="zh-CN"/>
                    </w:rPr>
                    <w:t xml:space="preserve"> </w:t>
                  </w:r>
                  <w:r w:rsidRPr="00B433A3">
                    <w:rPr>
                      <w:szCs w:val="22"/>
                      <w:lang w:eastAsia="zh-CN"/>
                    </w:rPr>
                    <w:t>347</w:t>
                  </w:r>
                </w:p>
              </w:tc>
              <w:tc>
                <w:tcPr>
                  <w:tcW w:w="141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hideMark/>
                </w:tcPr>
                <w:p w14:paraId="590C7141" w14:textId="603B75CC" w:rsidR="005B6A9C" w:rsidRPr="00B433A3" w:rsidRDefault="005B6A9C" w:rsidP="00B8343E">
                  <w:pPr>
                    <w:pStyle w:val="Tabletext"/>
                    <w:jc w:val="center"/>
                    <w:cnfStyle w:val="000000100000" w:firstRow="0" w:lastRow="0" w:firstColumn="0" w:lastColumn="0" w:oddVBand="0" w:evenVBand="0" w:oddHBand="1" w:evenHBand="0" w:firstRowFirstColumn="0" w:firstRowLastColumn="0" w:lastRowFirstColumn="0" w:lastRowLastColumn="0"/>
                    <w:rPr>
                      <w:b/>
                      <w:bCs/>
                      <w:color w:val="000000" w:themeColor="text1"/>
                      <w:szCs w:val="24"/>
                      <w:lang w:eastAsia="zh-CN"/>
                    </w:rPr>
                  </w:pPr>
                  <w:r w:rsidRPr="00B433A3">
                    <w:rPr>
                      <w:b/>
                      <w:bCs/>
                      <w:szCs w:val="22"/>
                      <w:lang w:eastAsia="zh-CN"/>
                    </w:rPr>
                    <w:t>6</w:t>
                  </w:r>
                  <w:r w:rsidR="0063237C" w:rsidRPr="00B433A3">
                    <w:rPr>
                      <w:b/>
                      <w:bCs/>
                      <w:szCs w:val="22"/>
                      <w:lang w:eastAsia="zh-CN"/>
                    </w:rPr>
                    <w:t xml:space="preserve"> </w:t>
                  </w:r>
                  <w:r w:rsidRPr="00B433A3">
                    <w:rPr>
                      <w:b/>
                      <w:bCs/>
                      <w:szCs w:val="22"/>
                      <w:lang w:eastAsia="zh-CN"/>
                    </w:rPr>
                    <w:t>544</w:t>
                  </w:r>
                </w:p>
              </w:tc>
              <w:tc>
                <w:tcPr>
                  <w:tcW w:w="141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hideMark/>
                </w:tcPr>
                <w:p w14:paraId="4D61ABB8" w14:textId="40CD13D7" w:rsidR="005B6A9C" w:rsidRPr="00B433A3" w:rsidRDefault="005B6A9C" w:rsidP="00B8343E">
                  <w:pPr>
                    <w:pStyle w:val="Tabletext"/>
                    <w:jc w:val="center"/>
                    <w:cnfStyle w:val="000000100000" w:firstRow="0" w:lastRow="0" w:firstColumn="0" w:lastColumn="0" w:oddVBand="0" w:evenVBand="0" w:oddHBand="1" w:evenHBand="0" w:firstRowFirstColumn="0" w:firstRowLastColumn="0" w:lastRowFirstColumn="0" w:lastRowLastColumn="0"/>
                    <w:rPr>
                      <w:szCs w:val="22"/>
                      <w:lang w:eastAsia="zh-CN"/>
                    </w:rPr>
                  </w:pPr>
                  <w:r w:rsidRPr="00B433A3">
                    <w:rPr>
                      <w:szCs w:val="22"/>
                      <w:lang w:eastAsia="zh-CN"/>
                    </w:rPr>
                    <w:t>0</w:t>
                  </w:r>
                  <w:r w:rsidR="0063237C" w:rsidRPr="00B433A3">
                    <w:rPr>
                      <w:szCs w:val="22"/>
                      <w:lang w:eastAsia="zh-CN"/>
                    </w:rPr>
                    <w:t>,</w:t>
                  </w:r>
                  <w:r w:rsidRPr="00B433A3">
                    <w:rPr>
                      <w:szCs w:val="22"/>
                      <w:lang w:eastAsia="zh-CN"/>
                    </w:rPr>
                    <w:t>09%</w:t>
                  </w:r>
                </w:p>
              </w:tc>
            </w:tr>
            <w:tr w:rsidR="005B6A9C" w:rsidRPr="00B433A3" w14:paraId="0B1B49D8" w14:textId="77777777" w:rsidTr="0063237C">
              <w:trPr>
                <w:trHeight w:val="330"/>
              </w:trPr>
              <w:tc>
                <w:tcPr>
                  <w:cnfStyle w:val="001000000000" w:firstRow="0" w:lastRow="0" w:firstColumn="1" w:lastColumn="0" w:oddVBand="0" w:evenVBand="0" w:oddHBand="0" w:evenHBand="0" w:firstRowFirstColumn="0" w:firstRowLastColumn="0" w:lastRowFirstColumn="0" w:lastRowLastColumn="0"/>
                  <w:tcW w:w="121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hideMark/>
                </w:tcPr>
                <w:p w14:paraId="6D226F58" w14:textId="77777777" w:rsidR="005B6A9C" w:rsidRPr="00B433A3" w:rsidRDefault="005B6A9C" w:rsidP="00B8343E">
                  <w:pPr>
                    <w:pStyle w:val="Tabletext"/>
                    <w:jc w:val="center"/>
                    <w:rPr>
                      <w:lang w:eastAsia="zh-CN"/>
                    </w:rPr>
                  </w:pPr>
                  <w:r w:rsidRPr="00B433A3">
                    <w:rPr>
                      <w:szCs w:val="22"/>
                      <w:lang w:eastAsia="zh-CN"/>
                    </w:rPr>
                    <w:t>PI</w:t>
                  </w:r>
                </w:p>
              </w:tc>
              <w:tc>
                <w:tcPr>
                  <w:tcW w:w="154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hideMark/>
                </w:tcPr>
                <w:p w14:paraId="5D167588" w14:textId="77777777" w:rsidR="005B6A9C" w:rsidRPr="00B433A3" w:rsidRDefault="005B6A9C" w:rsidP="00B8343E">
                  <w:pPr>
                    <w:pStyle w:val="Tabletext"/>
                    <w:jc w:val="center"/>
                    <w:cnfStyle w:val="000000000000" w:firstRow="0" w:lastRow="0" w:firstColumn="0" w:lastColumn="0" w:oddVBand="0" w:evenVBand="0" w:oddHBand="0" w:evenHBand="0" w:firstRowFirstColumn="0" w:firstRowLastColumn="0" w:lastRowFirstColumn="0" w:lastRowLastColumn="0"/>
                    <w:rPr>
                      <w:color w:val="000000" w:themeColor="text1"/>
                      <w:szCs w:val="24"/>
                      <w:lang w:eastAsia="zh-CN"/>
                    </w:rPr>
                  </w:pPr>
                  <w:r w:rsidRPr="00B433A3">
                    <w:rPr>
                      <w:szCs w:val="22"/>
                      <w:lang w:eastAsia="zh-CN"/>
                    </w:rPr>
                    <w:t>446</w:t>
                  </w:r>
                </w:p>
              </w:tc>
              <w:tc>
                <w:tcPr>
                  <w:tcW w:w="127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hideMark/>
                </w:tcPr>
                <w:p w14:paraId="41A7D845" w14:textId="77777777" w:rsidR="005B6A9C" w:rsidRPr="00B433A3" w:rsidRDefault="005B6A9C" w:rsidP="00B8343E">
                  <w:pPr>
                    <w:pStyle w:val="Tabletext"/>
                    <w:jc w:val="center"/>
                    <w:cnfStyle w:val="000000000000" w:firstRow="0" w:lastRow="0" w:firstColumn="0" w:lastColumn="0" w:oddVBand="0" w:evenVBand="0" w:oddHBand="0" w:evenHBand="0" w:firstRowFirstColumn="0" w:firstRowLastColumn="0" w:lastRowFirstColumn="0" w:lastRowLastColumn="0"/>
                    <w:rPr>
                      <w:color w:val="000000" w:themeColor="text1"/>
                      <w:szCs w:val="24"/>
                      <w:lang w:eastAsia="zh-CN"/>
                    </w:rPr>
                  </w:pPr>
                  <w:r w:rsidRPr="00B433A3">
                    <w:rPr>
                      <w:szCs w:val="22"/>
                      <w:lang w:eastAsia="zh-CN"/>
                    </w:rPr>
                    <w:t>511</w:t>
                  </w:r>
                </w:p>
              </w:tc>
              <w:tc>
                <w:tcPr>
                  <w:tcW w:w="127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hideMark/>
                </w:tcPr>
                <w:p w14:paraId="5F209E30" w14:textId="77777777" w:rsidR="005B6A9C" w:rsidRPr="00B433A3" w:rsidRDefault="005B6A9C" w:rsidP="00B8343E">
                  <w:pPr>
                    <w:pStyle w:val="Tabletext"/>
                    <w:jc w:val="center"/>
                    <w:cnfStyle w:val="000000000000" w:firstRow="0" w:lastRow="0" w:firstColumn="0" w:lastColumn="0" w:oddVBand="0" w:evenVBand="0" w:oddHBand="0" w:evenHBand="0" w:firstRowFirstColumn="0" w:firstRowLastColumn="0" w:lastRowFirstColumn="0" w:lastRowLastColumn="0"/>
                    <w:rPr>
                      <w:color w:val="000000" w:themeColor="text1"/>
                      <w:szCs w:val="24"/>
                      <w:lang w:eastAsia="zh-CN"/>
                    </w:rPr>
                  </w:pPr>
                  <w:r w:rsidRPr="00B433A3">
                    <w:rPr>
                      <w:szCs w:val="22"/>
                      <w:lang w:eastAsia="zh-CN"/>
                    </w:rPr>
                    <w:t>372</w:t>
                  </w:r>
                </w:p>
              </w:tc>
              <w:tc>
                <w:tcPr>
                  <w:tcW w:w="127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hideMark/>
                </w:tcPr>
                <w:p w14:paraId="01619073" w14:textId="77777777" w:rsidR="005B6A9C" w:rsidRPr="00B433A3" w:rsidRDefault="005B6A9C" w:rsidP="00B8343E">
                  <w:pPr>
                    <w:pStyle w:val="Tabletext"/>
                    <w:jc w:val="center"/>
                    <w:cnfStyle w:val="000000000000" w:firstRow="0" w:lastRow="0" w:firstColumn="0" w:lastColumn="0" w:oddVBand="0" w:evenVBand="0" w:oddHBand="0" w:evenHBand="0" w:firstRowFirstColumn="0" w:firstRowLastColumn="0" w:lastRowFirstColumn="0" w:lastRowLastColumn="0"/>
                    <w:rPr>
                      <w:color w:val="000000" w:themeColor="text1"/>
                      <w:szCs w:val="24"/>
                      <w:lang w:eastAsia="zh-CN"/>
                    </w:rPr>
                  </w:pPr>
                  <w:r w:rsidRPr="00B433A3">
                    <w:rPr>
                      <w:szCs w:val="22"/>
                      <w:lang w:eastAsia="zh-CN"/>
                    </w:rPr>
                    <w:t>200</w:t>
                  </w:r>
                </w:p>
              </w:tc>
              <w:tc>
                <w:tcPr>
                  <w:tcW w:w="141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hideMark/>
                </w:tcPr>
                <w:p w14:paraId="16EF4CAB" w14:textId="642302E7" w:rsidR="005B6A9C" w:rsidRPr="00B433A3" w:rsidRDefault="005B6A9C" w:rsidP="00B8343E">
                  <w:pPr>
                    <w:pStyle w:val="Tabletext"/>
                    <w:jc w:val="center"/>
                    <w:cnfStyle w:val="000000000000" w:firstRow="0" w:lastRow="0" w:firstColumn="0" w:lastColumn="0" w:oddVBand="0" w:evenVBand="0" w:oddHBand="0" w:evenHBand="0" w:firstRowFirstColumn="0" w:firstRowLastColumn="0" w:lastRowFirstColumn="0" w:lastRowLastColumn="0"/>
                    <w:rPr>
                      <w:b/>
                      <w:bCs/>
                      <w:color w:val="000000" w:themeColor="text1"/>
                      <w:szCs w:val="24"/>
                      <w:lang w:eastAsia="zh-CN"/>
                    </w:rPr>
                  </w:pPr>
                  <w:r w:rsidRPr="00B433A3">
                    <w:rPr>
                      <w:b/>
                      <w:bCs/>
                      <w:szCs w:val="22"/>
                      <w:lang w:eastAsia="zh-CN"/>
                    </w:rPr>
                    <w:t>1</w:t>
                  </w:r>
                  <w:r w:rsidR="0063237C" w:rsidRPr="00B433A3">
                    <w:rPr>
                      <w:b/>
                      <w:bCs/>
                      <w:szCs w:val="22"/>
                      <w:lang w:eastAsia="zh-CN"/>
                    </w:rPr>
                    <w:t xml:space="preserve"> </w:t>
                  </w:r>
                  <w:r w:rsidRPr="00B433A3">
                    <w:rPr>
                      <w:b/>
                      <w:bCs/>
                      <w:szCs w:val="22"/>
                      <w:lang w:eastAsia="zh-CN"/>
                    </w:rPr>
                    <w:t>529</w:t>
                  </w:r>
                </w:p>
              </w:tc>
              <w:tc>
                <w:tcPr>
                  <w:tcW w:w="141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hideMark/>
                </w:tcPr>
                <w:p w14:paraId="755CFB22" w14:textId="21B39B7C" w:rsidR="005B6A9C" w:rsidRPr="00B433A3" w:rsidRDefault="005B6A9C" w:rsidP="00B8343E">
                  <w:pPr>
                    <w:pStyle w:val="Tabletext"/>
                    <w:jc w:val="center"/>
                    <w:cnfStyle w:val="000000000000" w:firstRow="0" w:lastRow="0" w:firstColumn="0" w:lastColumn="0" w:oddVBand="0" w:evenVBand="0" w:oddHBand="0" w:evenHBand="0" w:firstRowFirstColumn="0" w:firstRowLastColumn="0" w:lastRowFirstColumn="0" w:lastRowLastColumn="0"/>
                    <w:rPr>
                      <w:szCs w:val="22"/>
                      <w:lang w:eastAsia="zh-CN"/>
                    </w:rPr>
                  </w:pPr>
                  <w:r w:rsidRPr="00B433A3">
                    <w:rPr>
                      <w:szCs w:val="22"/>
                      <w:lang w:eastAsia="zh-CN"/>
                    </w:rPr>
                    <w:t>0</w:t>
                  </w:r>
                  <w:r w:rsidR="0063237C" w:rsidRPr="00B433A3">
                    <w:rPr>
                      <w:szCs w:val="22"/>
                      <w:lang w:eastAsia="zh-CN"/>
                    </w:rPr>
                    <w:t>,</w:t>
                  </w:r>
                  <w:r w:rsidRPr="00B433A3">
                    <w:rPr>
                      <w:szCs w:val="22"/>
                      <w:lang w:eastAsia="zh-CN"/>
                    </w:rPr>
                    <w:t>02%</w:t>
                  </w:r>
                </w:p>
              </w:tc>
            </w:tr>
            <w:tr w:rsidR="005B6A9C" w:rsidRPr="00B433A3" w14:paraId="542ABA78" w14:textId="77777777" w:rsidTr="0063237C">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21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hideMark/>
                </w:tcPr>
                <w:p w14:paraId="30EC905A" w14:textId="77777777" w:rsidR="005B6A9C" w:rsidRPr="00B433A3" w:rsidRDefault="005B6A9C" w:rsidP="00B8343E">
                  <w:pPr>
                    <w:pStyle w:val="Tabletext"/>
                    <w:jc w:val="center"/>
                    <w:rPr>
                      <w:lang w:eastAsia="zh-CN"/>
                    </w:rPr>
                  </w:pPr>
                  <w:r w:rsidRPr="00B433A3">
                    <w:rPr>
                      <w:lang w:eastAsia="zh-CN"/>
                    </w:rPr>
                    <w:t>TOTAL</w:t>
                  </w:r>
                </w:p>
              </w:tc>
              <w:tc>
                <w:tcPr>
                  <w:tcW w:w="154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hideMark/>
                </w:tcPr>
                <w:p w14:paraId="7E6A9EF7" w14:textId="733CCC6E" w:rsidR="005B6A9C" w:rsidRPr="00B433A3" w:rsidRDefault="005B6A9C" w:rsidP="00B8343E">
                  <w:pPr>
                    <w:pStyle w:val="Tabletext"/>
                    <w:jc w:val="center"/>
                    <w:cnfStyle w:val="000000100000" w:firstRow="0" w:lastRow="0" w:firstColumn="0" w:lastColumn="0" w:oddVBand="0" w:evenVBand="0" w:oddHBand="1" w:evenHBand="0" w:firstRowFirstColumn="0" w:firstRowLastColumn="0" w:lastRowFirstColumn="0" w:lastRowLastColumn="0"/>
                    <w:rPr>
                      <w:b/>
                      <w:bCs/>
                      <w:color w:val="000000" w:themeColor="text1"/>
                      <w:szCs w:val="24"/>
                      <w:lang w:eastAsia="zh-CN"/>
                    </w:rPr>
                  </w:pPr>
                  <w:r w:rsidRPr="00B433A3">
                    <w:rPr>
                      <w:b/>
                      <w:bCs/>
                      <w:szCs w:val="22"/>
                      <w:lang w:eastAsia="zh-CN"/>
                    </w:rPr>
                    <w:t>2</w:t>
                  </w:r>
                  <w:r w:rsidR="0063237C" w:rsidRPr="00B433A3">
                    <w:rPr>
                      <w:b/>
                      <w:bCs/>
                      <w:szCs w:val="22"/>
                      <w:lang w:eastAsia="zh-CN"/>
                    </w:rPr>
                    <w:t xml:space="preserve"> </w:t>
                  </w:r>
                  <w:r w:rsidRPr="00B433A3">
                    <w:rPr>
                      <w:b/>
                      <w:bCs/>
                      <w:szCs w:val="22"/>
                      <w:lang w:eastAsia="zh-CN"/>
                    </w:rPr>
                    <w:t>129</w:t>
                  </w:r>
                  <w:r w:rsidR="0063237C" w:rsidRPr="00B433A3">
                    <w:rPr>
                      <w:b/>
                      <w:bCs/>
                      <w:szCs w:val="22"/>
                      <w:lang w:eastAsia="zh-CN"/>
                    </w:rPr>
                    <w:t xml:space="preserve"> </w:t>
                  </w:r>
                  <w:r w:rsidRPr="00B433A3">
                    <w:rPr>
                      <w:b/>
                      <w:bCs/>
                      <w:szCs w:val="22"/>
                      <w:lang w:eastAsia="zh-CN"/>
                    </w:rPr>
                    <w:t>376</w:t>
                  </w:r>
                </w:p>
              </w:tc>
              <w:tc>
                <w:tcPr>
                  <w:tcW w:w="127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hideMark/>
                </w:tcPr>
                <w:p w14:paraId="5B615480" w14:textId="66C5B236" w:rsidR="005B6A9C" w:rsidRPr="00B433A3" w:rsidRDefault="005B6A9C" w:rsidP="00B8343E">
                  <w:pPr>
                    <w:pStyle w:val="Tabletext"/>
                    <w:jc w:val="center"/>
                    <w:cnfStyle w:val="000000100000" w:firstRow="0" w:lastRow="0" w:firstColumn="0" w:lastColumn="0" w:oddVBand="0" w:evenVBand="0" w:oddHBand="1" w:evenHBand="0" w:firstRowFirstColumn="0" w:firstRowLastColumn="0" w:lastRowFirstColumn="0" w:lastRowLastColumn="0"/>
                    <w:rPr>
                      <w:b/>
                      <w:bCs/>
                      <w:color w:val="000000" w:themeColor="text1"/>
                      <w:szCs w:val="24"/>
                      <w:lang w:eastAsia="zh-CN"/>
                    </w:rPr>
                  </w:pPr>
                  <w:r w:rsidRPr="00B433A3">
                    <w:rPr>
                      <w:b/>
                      <w:bCs/>
                      <w:szCs w:val="22"/>
                      <w:lang w:eastAsia="zh-CN"/>
                    </w:rPr>
                    <w:t>1</w:t>
                  </w:r>
                  <w:r w:rsidR="0063237C" w:rsidRPr="00B433A3">
                    <w:rPr>
                      <w:b/>
                      <w:bCs/>
                      <w:szCs w:val="22"/>
                      <w:lang w:eastAsia="zh-CN"/>
                    </w:rPr>
                    <w:t xml:space="preserve"> </w:t>
                  </w:r>
                  <w:r w:rsidRPr="00B433A3">
                    <w:rPr>
                      <w:b/>
                      <w:bCs/>
                      <w:szCs w:val="22"/>
                      <w:lang w:eastAsia="zh-CN"/>
                    </w:rPr>
                    <w:t>948</w:t>
                  </w:r>
                  <w:r w:rsidR="0063237C" w:rsidRPr="00B433A3">
                    <w:rPr>
                      <w:b/>
                      <w:bCs/>
                      <w:szCs w:val="22"/>
                      <w:lang w:eastAsia="zh-CN"/>
                    </w:rPr>
                    <w:t xml:space="preserve"> </w:t>
                  </w:r>
                  <w:r w:rsidRPr="00B433A3">
                    <w:rPr>
                      <w:b/>
                      <w:bCs/>
                      <w:szCs w:val="22"/>
                      <w:lang w:eastAsia="zh-CN"/>
                    </w:rPr>
                    <w:t>575</w:t>
                  </w:r>
                </w:p>
              </w:tc>
              <w:tc>
                <w:tcPr>
                  <w:tcW w:w="127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hideMark/>
                </w:tcPr>
                <w:p w14:paraId="3FF3AC8F" w14:textId="055B788E" w:rsidR="005B6A9C" w:rsidRPr="00B433A3" w:rsidRDefault="005B6A9C" w:rsidP="00B8343E">
                  <w:pPr>
                    <w:pStyle w:val="Tabletext"/>
                    <w:jc w:val="center"/>
                    <w:cnfStyle w:val="000000100000" w:firstRow="0" w:lastRow="0" w:firstColumn="0" w:lastColumn="0" w:oddVBand="0" w:evenVBand="0" w:oddHBand="1" w:evenHBand="0" w:firstRowFirstColumn="0" w:firstRowLastColumn="0" w:lastRowFirstColumn="0" w:lastRowLastColumn="0"/>
                    <w:rPr>
                      <w:b/>
                      <w:bCs/>
                      <w:color w:val="000000" w:themeColor="text1"/>
                      <w:szCs w:val="24"/>
                      <w:lang w:eastAsia="zh-CN"/>
                    </w:rPr>
                  </w:pPr>
                  <w:r w:rsidRPr="00B433A3">
                    <w:rPr>
                      <w:b/>
                      <w:bCs/>
                      <w:szCs w:val="22"/>
                      <w:lang w:eastAsia="zh-CN"/>
                    </w:rPr>
                    <w:t>1</w:t>
                  </w:r>
                  <w:r w:rsidR="0063237C" w:rsidRPr="00B433A3">
                    <w:rPr>
                      <w:b/>
                      <w:bCs/>
                      <w:szCs w:val="22"/>
                      <w:lang w:eastAsia="zh-CN"/>
                    </w:rPr>
                    <w:t xml:space="preserve"> </w:t>
                  </w:r>
                  <w:r w:rsidRPr="00B433A3">
                    <w:rPr>
                      <w:b/>
                      <w:bCs/>
                      <w:szCs w:val="22"/>
                      <w:lang w:eastAsia="zh-CN"/>
                    </w:rPr>
                    <w:t>735</w:t>
                  </w:r>
                  <w:r w:rsidR="0063237C" w:rsidRPr="00B433A3">
                    <w:rPr>
                      <w:b/>
                      <w:bCs/>
                      <w:szCs w:val="22"/>
                      <w:lang w:eastAsia="zh-CN"/>
                    </w:rPr>
                    <w:t xml:space="preserve"> </w:t>
                  </w:r>
                  <w:r w:rsidRPr="00B433A3">
                    <w:rPr>
                      <w:b/>
                      <w:bCs/>
                      <w:szCs w:val="22"/>
                      <w:lang w:eastAsia="zh-CN"/>
                    </w:rPr>
                    <w:t>617</w:t>
                  </w:r>
                </w:p>
              </w:tc>
              <w:tc>
                <w:tcPr>
                  <w:tcW w:w="127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hideMark/>
                </w:tcPr>
                <w:p w14:paraId="022FBFAC" w14:textId="43C27920" w:rsidR="005B6A9C" w:rsidRPr="00B433A3" w:rsidRDefault="005B6A9C" w:rsidP="00B8343E">
                  <w:pPr>
                    <w:pStyle w:val="Tabletext"/>
                    <w:jc w:val="center"/>
                    <w:cnfStyle w:val="000000100000" w:firstRow="0" w:lastRow="0" w:firstColumn="0" w:lastColumn="0" w:oddVBand="0" w:evenVBand="0" w:oddHBand="1" w:evenHBand="0" w:firstRowFirstColumn="0" w:firstRowLastColumn="0" w:lastRowFirstColumn="0" w:lastRowLastColumn="0"/>
                    <w:rPr>
                      <w:b/>
                      <w:bCs/>
                      <w:color w:val="000000" w:themeColor="text1"/>
                      <w:szCs w:val="24"/>
                      <w:lang w:eastAsia="zh-CN"/>
                    </w:rPr>
                  </w:pPr>
                  <w:r w:rsidRPr="00B433A3">
                    <w:rPr>
                      <w:b/>
                      <w:bCs/>
                      <w:szCs w:val="22"/>
                      <w:lang w:eastAsia="zh-CN"/>
                    </w:rPr>
                    <w:t>1</w:t>
                  </w:r>
                  <w:r w:rsidR="0063237C" w:rsidRPr="00B433A3">
                    <w:rPr>
                      <w:b/>
                      <w:bCs/>
                      <w:szCs w:val="22"/>
                      <w:lang w:eastAsia="zh-CN"/>
                    </w:rPr>
                    <w:t xml:space="preserve"> </w:t>
                  </w:r>
                  <w:r w:rsidRPr="00B433A3">
                    <w:rPr>
                      <w:b/>
                      <w:bCs/>
                      <w:szCs w:val="22"/>
                      <w:lang w:eastAsia="zh-CN"/>
                    </w:rPr>
                    <w:t>803</w:t>
                  </w:r>
                  <w:r w:rsidR="0063237C" w:rsidRPr="00B433A3">
                    <w:rPr>
                      <w:b/>
                      <w:bCs/>
                      <w:szCs w:val="22"/>
                      <w:lang w:eastAsia="zh-CN"/>
                    </w:rPr>
                    <w:t xml:space="preserve"> </w:t>
                  </w:r>
                  <w:r w:rsidRPr="00B433A3">
                    <w:rPr>
                      <w:b/>
                      <w:bCs/>
                      <w:szCs w:val="22"/>
                      <w:lang w:eastAsia="zh-CN"/>
                    </w:rPr>
                    <w:t>923</w:t>
                  </w:r>
                </w:p>
              </w:tc>
              <w:tc>
                <w:tcPr>
                  <w:tcW w:w="141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hideMark/>
                </w:tcPr>
                <w:p w14:paraId="7CD8D52A" w14:textId="1DB81125" w:rsidR="005B6A9C" w:rsidRPr="00B433A3" w:rsidRDefault="005B6A9C" w:rsidP="00B8343E">
                  <w:pPr>
                    <w:pStyle w:val="Tabletext"/>
                    <w:jc w:val="center"/>
                    <w:cnfStyle w:val="000000100000" w:firstRow="0" w:lastRow="0" w:firstColumn="0" w:lastColumn="0" w:oddVBand="0" w:evenVBand="0" w:oddHBand="1" w:evenHBand="0" w:firstRowFirstColumn="0" w:firstRowLastColumn="0" w:lastRowFirstColumn="0" w:lastRowLastColumn="0"/>
                    <w:rPr>
                      <w:b/>
                      <w:bCs/>
                      <w:color w:val="000000" w:themeColor="text1"/>
                      <w:szCs w:val="24"/>
                      <w:lang w:eastAsia="zh-CN"/>
                    </w:rPr>
                  </w:pPr>
                  <w:r w:rsidRPr="00B433A3">
                    <w:rPr>
                      <w:b/>
                      <w:bCs/>
                      <w:szCs w:val="22"/>
                      <w:lang w:eastAsia="zh-CN"/>
                    </w:rPr>
                    <w:t>7</w:t>
                  </w:r>
                  <w:r w:rsidR="0063237C" w:rsidRPr="00B433A3">
                    <w:rPr>
                      <w:b/>
                      <w:bCs/>
                      <w:szCs w:val="22"/>
                      <w:lang w:eastAsia="zh-CN"/>
                    </w:rPr>
                    <w:t xml:space="preserve"> </w:t>
                  </w:r>
                  <w:r w:rsidRPr="00B433A3">
                    <w:rPr>
                      <w:b/>
                      <w:bCs/>
                      <w:szCs w:val="22"/>
                      <w:lang w:eastAsia="zh-CN"/>
                    </w:rPr>
                    <w:t>617</w:t>
                  </w:r>
                  <w:r w:rsidR="0063237C" w:rsidRPr="00B433A3">
                    <w:rPr>
                      <w:b/>
                      <w:bCs/>
                      <w:szCs w:val="22"/>
                      <w:lang w:eastAsia="zh-CN"/>
                    </w:rPr>
                    <w:t xml:space="preserve"> </w:t>
                  </w:r>
                  <w:r w:rsidRPr="00B433A3">
                    <w:rPr>
                      <w:b/>
                      <w:bCs/>
                      <w:szCs w:val="22"/>
                      <w:lang w:eastAsia="zh-CN"/>
                    </w:rPr>
                    <w:t>491</w:t>
                  </w:r>
                </w:p>
              </w:tc>
              <w:tc>
                <w:tcPr>
                  <w:tcW w:w="141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hideMark/>
                </w:tcPr>
                <w:p w14:paraId="2576A87E" w14:textId="4E5704B7" w:rsidR="005B6A9C" w:rsidRPr="00B433A3" w:rsidRDefault="005B6A9C" w:rsidP="00B8343E">
                  <w:pPr>
                    <w:pStyle w:val="Tabletext"/>
                    <w:jc w:val="center"/>
                    <w:cnfStyle w:val="000000100000" w:firstRow="0" w:lastRow="0" w:firstColumn="0" w:lastColumn="0" w:oddVBand="0" w:evenVBand="0" w:oddHBand="1" w:evenHBand="0" w:firstRowFirstColumn="0" w:firstRowLastColumn="0" w:lastRowFirstColumn="0" w:lastRowLastColumn="0"/>
                    <w:rPr>
                      <w:color w:val="000000" w:themeColor="text1"/>
                      <w:szCs w:val="24"/>
                      <w:lang w:eastAsia="zh-CN"/>
                    </w:rPr>
                  </w:pPr>
                  <w:r w:rsidRPr="00B433A3">
                    <w:rPr>
                      <w:szCs w:val="22"/>
                      <w:lang w:eastAsia="zh-CN"/>
                    </w:rPr>
                    <w:t>100</w:t>
                  </w:r>
                  <w:r w:rsidR="0063237C" w:rsidRPr="00B433A3">
                    <w:rPr>
                      <w:szCs w:val="22"/>
                      <w:lang w:eastAsia="zh-CN"/>
                    </w:rPr>
                    <w:t>,</w:t>
                  </w:r>
                  <w:r w:rsidRPr="00B433A3">
                    <w:rPr>
                      <w:szCs w:val="22"/>
                      <w:lang w:eastAsia="zh-CN"/>
                    </w:rPr>
                    <w:t>00%</w:t>
                  </w:r>
                </w:p>
              </w:tc>
            </w:tr>
          </w:tbl>
          <w:p w14:paraId="06407F7D" w14:textId="77777777" w:rsidR="005B6A9C" w:rsidRPr="00B433A3" w:rsidRDefault="005B6A9C" w:rsidP="00B8343E">
            <w:pPr>
              <w:spacing w:before="0"/>
              <w:rPr>
                <w:b w:val="0"/>
                <w:color w:val="auto"/>
                <w:sz w:val="16"/>
                <w:szCs w:val="16"/>
                <w:lang w:eastAsia="zh-CN"/>
              </w:rPr>
            </w:pPr>
          </w:p>
        </w:tc>
      </w:tr>
    </w:tbl>
    <w:p w14:paraId="67DE7CED" w14:textId="77777777" w:rsidR="005B6A9C" w:rsidRPr="00B433A3" w:rsidRDefault="005B6A9C" w:rsidP="00B8343E">
      <w:pPr>
        <w:pStyle w:val="Heading4"/>
      </w:pPr>
      <w:bookmarkStart w:id="150" w:name="lt_pId913"/>
      <w:r w:rsidRPr="00B433A3">
        <w:t>8.1.4.3</w:t>
      </w:r>
      <w:r w:rsidRPr="00B433A3">
        <w:tab/>
        <w:t>Rapports UIT-R</w:t>
      </w:r>
      <w:bookmarkEnd w:id="150"/>
    </w:p>
    <w:p w14:paraId="5D6B8A01" w14:textId="77777777" w:rsidR="005B6A9C" w:rsidRPr="00B433A3" w:rsidRDefault="005B6A9C" w:rsidP="00B8343E">
      <w:bookmarkStart w:id="151" w:name="lt_pId914"/>
      <w:r w:rsidRPr="00B433A3">
        <w:t>Comme pour les Recommandations UIT-R, les Rapports UIT-R ont été mis en œuvre dans le monde entier, touchant la plupart des publics et contribuant à l'application de bonnes pratiques techniques dans certains domaines des radiocommunications.</w:t>
      </w:r>
      <w:bookmarkEnd w:id="151"/>
      <w:r w:rsidRPr="00B433A3">
        <w:t xml:space="preserve"> </w:t>
      </w:r>
      <w:bookmarkStart w:id="152" w:name="lt_pId915"/>
      <w:r w:rsidRPr="00B433A3">
        <w:t>Entre janvier 2018 et décembre 2021, plus d'un million de téléchargements de Rapports UIT-R depuis le site web de l'UIT ont été enregistrés.</w:t>
      </w:r>
      <w:bookmarkEnd w:id="152"/>
      <w:r w:rsidRPr="00B433A3">
        <w:t xml:space="preserve"> </w:t>
      </w:r>
      <w:bookmarkStart w:id="153" w:name="lt_pId916"/>
      <w:r w:rsidRPr="00B433A3">
        <w:t>Le Tableau 8.1.4.3-1 illustre la répartition de ces téléchargements par année et par série.</w:t>
      </w:r>
      <w:bookmarkEnd w:id="153"/>
      <w:r w:rsidRPr="00B433A3">
        <w:t xml:space="preserve"> </w:t>
      </w:r>
      <w:bookmarkStart w:id="154" w:name="lt_pId917"/>
      <w:r w:rsidRPr="00B433A3">
        <w:t>On recense actuellement 596 Rapports UIT-R en vigueur.</w:t>
      </w:r>
      <w:bookmarkEnd w:id="154"/>
    </w:p>
    <w:p w14:paraId="019A3683" w14:textId="77777777" w:rsidR="005B6A9C" w:rsidRPr="00B433A3" w:rsidRDefault="005B6A9C" w:rsidP="00B8343E">
      <w:pPr>
        <w:pStyle w:val="TableNoBR"/>
        <w:spacing w:before="2760"/>
        <w:rPr>
          <w:rFonts w:eastAsiaTheme="minorEastAsia"/>
        </w:rPr>
      </w:pPr>
      <w:r w:rsidRPr="00B433A3">
        <w:rPr>
          <w:rFonts w:eastAsiaTheme="minorEastAsia"/>
        </w:rPr>
        <w:lastRenderedPageBreak/>
        <w:t>Tableau 8.1.4.3-1</w:t>
      </w:r>
    </w:p>
    <w:p w14:paraId="1429F385" w14:textId="77777777" w:rsidR="005B6A9C" w:rsidRPr="00B433A3" w:rsidRDefault="005B6A9C" w:rsidP="00B8343E">
      <w:pPr>
        <w:pStyle w:val="Tabletitle"/>
        <w:rPr>
          <w:sz w:val="24"/>
          <w:szCs w:val="24"/>
          <w:u w:val="single"/>
          <w:lang w:val="fr-FR"/>
        </w:rPr>
      </w:pPr>
      <w:bookmarkStart w:id="155" w:name="lt_pId919"/>
      <w:r w:rsidRPr="00B433A3">
        <w:rPr>
          <w:sz w:val="24"/>
          <w:szCs w:val="24"/>
          <w:lang w:val="fr-FR"/>
        </w:rPr>
        <w:t>Répartition des téléchargements des Rapports UIT-R</w:t>
      </w:r>
      <w:bookmarkEnd w:id="155"/>
    </w:p>
    <w:tbl>
      <w:tblPr>
        <w:tblStyle w:val="GridTable5Dark-Accent1"/>
        <w:tblW w:w="8151" w:type="dxa"/>
        <w:jc w:val="center"/>
        <w:tblLook w:val="04A0" w:firstRow="1" w:lastRow="0" w:firstColumn="1" w:lastColumn="0" w:noHBand="0" w:noVBand="1"/>
      </w:tblPr>
      <w:tblGrid>
        <w:gridCol w:w="1199"/>
        <w:gridCol w:w="1331"/>
        <w:gridCol w:w="1330"/>
        <w:gridCol w:w="957"/>
        <w:gridCol w:w="1081"/>
        <w:gridCol w:w="1248"/>
        <w:gridCol w:w="1005"/>
      </w:tblGrid>
      <w:tr w:rsidR="005B6A9C" w:rsidRPr="00B433A3" w14:paraId="6D3A28ED" w14:textId="77777777" w:rsidTr="00467932">
        <w:trPr>
          <w:cnfStyle w:val="100000000000" w:firstRow="1" w:lastRow="0" w:firstColumn="0" w:lastColumn="0" w:oddVBand="0" w:evenVBand="0" w:oddHBand="0"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1199" w:type="dxa"/>
            <w:tcBorders>
              <w:bottom w:val="single" w:sz="4" w:space="0" w:color="FFFFFF" w:themeColor="background1"/>
            </w:tcBorders>
            <w:noWrap/>
            <w:vAlign w:val="center"/>
            <w:hideMark/>
          </w:tcPr>
          <w:p w14:paraId="286FE413" w14:textId="77777777" w:rsidR="005B6A9C" w:rsidRPr="00B433A3" w:rsidRDefault="005B6A9C" w:rsidP="00B8343E">
            <w:pPr>
              <w:pStyle w:val="Tabletext"/>
              <w:jc w:val="center"/>
              <w:rPr>
                <w:lang w:eastAsia="zh-CN"/>
              </w:rPr>
            </w:pPr>
            <w:r w:rsidRPr="00B433A3">
              <w:rPr>
                <w:lang w:eastAsia="zh-CN"/>
              </w:rPr>
              <w:t>SÉRIE</w:t>
            </w:r>
          </w:p>
        </w:tc>
        <w:tc>
          <w:tcPr>
            <w:tcW w:w="1331" w:type="dxa"/>
            <w:tcBorders>
              <w:bottom w:val="single" w:sz="4" w:space="0" w:color="FFFFFF" w:themeColor="background1"/>
            </w:tcBorders>
            <w:noWrap/>
            <w:vAlign w:val="center"/>
            <w:hideMark/>
          </w:tcPr>
          <w:p w14:paraId="678D7911" w14:textId="77777777" w:rsidR="005B6A9C" w:rsidRPr="00B433A3" w:rsidRDefault="005B6A9C" w:rsidP="00B8343E">
            <w:pPr>
              <w:pStyle w:val="Tabletext"/>
              <w:jc w:val="center"/>
              <w:cnfStyle w:val="100000000000" w:firstRow="1" w:lastRow="0" w:firstColumn="0" w:lastColumn="0" w:oddVBand="0" w:evenVBand="0" w:oddHBand="0" w:evenHBand="0" w:firstRowFirstColumn="0" w:firstRowLastColumn="0" w:lastRowFirstColumn="0" w:lastRowLastColumn="0"/>
              <w:rPr>
                <w:lang w:eastAsia="zh-CN"/>
              </w:rPr>
            </w:pPr>
            <w:r w:rsidRPr="00B433A3">
              <w:rPr>
                <w:lang w:eastAsia="zh-CN"/>
              </w:rPr>
              <w:t>2018</w:t>
            </w:r>
          </w:p>
        </w:tc>
        <w:tc>
          <w:tcPr>
            <w:tcW w:w="1330" w:type="dxa"/>
            <w:tcBorders>
              <w:bottom w:val="single" w:sz="4" w:space="0" w:color="FFFFFF" w:themeColor="background1"/>
            </w:tcBorders>
            <w:noWrap/>
            <w:vAlign w:val="center"/>
            <w:hideMark/>
          </w:tcPr>
          <w:p w14:paraId="396A604C" w14:textId="77777777" w:rsidR="005B6A9C" w:rsidRPr="00B433A3" w:rsidRDefault="005B6A9C" w:rsidP="00B8343E">
            <w:pPr>
              <w:pStyle w:val="Tabletext"/>
              <w:jc w:val="center"/>
              <w:cnfStyle w:val="100000000000" w:firstRow="1" w:lastRow="0" w:firstColumn="0" w:lastColumn="0" w:oddVBand="0" w:evenVBand="0" w:oddHBand="0" w:evenHBand="0" w:firstRowFirstColumn="0" w:firstRowLastColumn="0" w:lastRowFirstColumn="0" w:lastRowLastColumn="0"/>
              <w:rPr>
                <w:lang w:eastAsia="zh-CN"/>
              </w:rPr>
            </w:pPr>
            <w:r w:rsidRPr="00B433A3">
              <w:rPr>
                <w:lang w:eastAsia="zh-CN"/>
              </w:rPr>
              <w:t>2019</w:t>
            </w:r>
          </w:p>
        </w:tc>
        <w:tc>
          <w:tcPr>
            <w:tcW w:w="957" w:type="dxa"/>
            <w:tcBorders>
              <w:bottom w:val="single" w:sz="4" w:space="0" w:color="FFFFFF" w:themeColor="background1"/>
            </w:tcBorders>
            <w:vAlign w:val="center"/>
            <w:hideMark/>
          </w:tcPr>
          <w:p w14:paraId="40FD20F8" w14:textId="77777777" w:rsidR="005B6A9C" w:rsidRPr="00B433A3" w:rsidRDefault="005B6A9C" w:rsidP="00B8343E">
            <w:pPr>
              <w:pStyle w:val="Tabletext"/>
              <w:jc w:val="center"/>
              <w:cnfStyle w:val="100000000000" w:firstRow="1" w:lastRow="0" w:firstColumn="0" w:lastColumn="0" w:oddVBand="0" w:evenVBand="0" w:oddHBand="0" w:evenHBand="0" w:firstRowFirstColumn="0" w:firstRowLastColumn="0" w:lastRowFirstColumn="0" w:lastRowLastColumn="0"/>
              <w:rPr>
                <w:lang w:eastAsia="zh-CN"/>
              </w:rPr>
            </w:pPr>
            <w:r w:rsidRPr="00B433A3">
              <w:rPr>
                <w:lang w:eastAsia="zh-CN"/>
              </w:rPr>
              <w:t>2020</w:t>
            </w:r>
          </w:p>
        </w:tc>
        <w:tc>
          <w:tcPr>
            <w:tcW w:w="1081" w:type="dxa"/>
            <w:tcBorders>
              <w:bottom w:val="single" w:sz="4" w:space="0" w:color="FFFFFF" w:themeColor="background1"/>
            </w:tcBorders>
            <w:vAlign w:val="center"/>
            <w:hideMark/>
          </w:tcPr>
          <w:p w14:paraId="49E6B05F" w14:textId="77777777" w:rsidR="005B6A9C" w:rsidRPr="00B433A3" w:rsidRDefault="005B6A9C" w:rsidP="00B8343E">
            <w:pPr>
              <w:pStyle w:val="Tabletext"/>
              <w:jc w:val="center"/>
              <w:cnfStyle w:val="100000000000" w:firstRow="1" w:lastRow="0" w:firstColumn="0" w:lastColumn="0" w:oddVBand="0" w:evenVBand="0" w:oddHBand="0" w:evenHBand="0" w:firstRowFirstColumn="0" w:firstRowLastColumn="0" w:lastRowFirstColumn="0" w:lastRowLastColumn="0"/>
              <w:rPr>
                <w:lang w:eastAsia="zh-CN"/>
              </w:rPr>
            </w:pPr>
            <w:r w:rsidRPr="00B433A3">
              <w:rPr>
                <w:lang w:eastAsia="zh-CN"/>
              </w:rPr>
              <w:t>2021</w:t>
            </w:r>
          </w:p>
        </w:tc>
        <w:tc>
          <w:tcPr>
            <w:tcW w:w="1248" w:type="dxa"/>
            <w:tcBorders>
              <w:bottom w:val="single" w:sz="4" w:space="0" w:color="FFFFFF" w:themeColor="background1"/>
            </w:tcBorders>
            <w:noWrap/>
            <w:vAlign w:val="center"/>
            <w:hideMark/>
          </w:tcPr>
          <w:p w14:paraId="32090407" w14:textId="77777777" w:rsidR="005B6A9C" w:rsidRPr="00B433A3" w:rsidRDefault="005B6A9C" w:rsidP="00B8343E">
            <w:pPr>
              <w:pStyle w:val="Tabletext"/>
              <w:jc w:val="center"/>
              <w:cnfStyle w:val="100000000000" w:firstRow="1" w:lastRow="0" w:firstColumn="0" w:lastColumn="0" w:oddVBand="0" w:evenVBand="0" w:oddHBand="0" w:evenHBand="0" w:firstRowFirstColumn="0" w:firstRowLastColumn="0" w:lastRowFirstColumn="0" w:lastRowLastColumn="0"/>
              <w:rPr>
                <w:lang w:eastAsia="zh-CN"/>
              </w:rPr>
            </w:pPr>
            <w:r w:rsidRPr="00B433A3">
              <w:rPr>
                <w:lang w:eastAsia="zh-CN"/>
              </w:rPr>
              <w:t>TOTAL</w:t>
            </w:r>
          </w:p>
        </w:tc>
        <w:tc>
          <w:tcPr>
            <w:tcW w:w="1005" w:type="dxa"/>
            <w:tcBorders>
              <w:bottom w:val="single" w:sz="4" w:space="0" w:color="FFFFFF" w:themeColor="background1"/>
            </w:tcBorders>
            <w:vAlign w:val="center"/>
            <w:hideMark/>
          </w:tcPr>
          <w:p w14:paraId="1EEC6061" w14:textId="77777777" w:rsidR="005B6A9C" w:rsidRPr="00B433A3" w:rsidRDefault="005B6A9C" w:rsidP="00B8343E">
            <w:pPr>
              <w:pStyle w:val="Tabletext"/>
              <w:jc w:val="center"/>
              <w:cnfStyle w:val="100000000000" w:firstRow="1" w:lastRow="0" w:firstColumn="0" w:lastColumn="0" w:oddVBand="0" w:evenVBand="0" w:oddHBand="0" w:evenHBand="0" w:firstRowFirstColumn="0" w:firstRowLastColumn="0" w:lastRowFirstColumn="0" w:lastRowLastColumn="0"/>
              <w:rPr>
                <w:lang w:eastAsia="zh-CN"/>
              </w:rPr>
            </w:pPr>
            <w:r w:rsidRPr="00B433A3">
              <w:rPr>
                <w:lang w:eastAsia="zh-CN"/>
              </w:rPr>
              <w:t>%</w:t>
            </w:r>
          </w:p>
        </w:tc>
      </w:tr>
      <w:tr w:rsidR="005B6A9C" w:rsidRPr="00B433A3" w14:paraId="0157F984" w14:textId="77777777" w:rsidTr="00467932">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1199" w:type="dxa"/>
            <w:tcBorders>
              <w:top w:val="single" w:sz="4" w:space="0" w:color="FFFFFF" w:themeColor="background1"/>
              <w:bottom w:val="single" w:sz="4" w:space="0" w:color="FFFFFF" w:themeColor="background1"/>
              <w:right w:val="single" w:sz="4" w:space="0" w:color="FFFFFF" w:themeColor="background1"/>
            </w:tcBorders>
            <w:noWrap/>
            <w:vAlign w:val="center"/>
            <w:hideMark/>
          </w:tcPr>
          <w:p w14:paraId="6B40F512" w14:textId="77777777" w:rsidR="005B6A9C" w:rsidRPr="00B433A3" w:rsidRDefault="005B6A9C" w:rsidP="00B8343E">
            <w:pPr>
              <w:pStyle w:val="Tabletext"/>
              <w:jc w:val="center"/>
              <w:rPr>
                <w:lang w:eastAsia="zh-CN"/>
              </w:rPr>
            </w:pPr>
            <w:r w:rsidRPr="00B433A3">
              <w:rPr>
                <w:szCs w:val="22"/>
                <w:lang w:eastAsia="zh-CN"/>
              </w:rPr>
              <w:t>M</w:t>
            </w:r>
          </w:p>
        </w:tc>
        <w:tc>
          <w:tcPr>
            <w:tcW w:w="133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vAlign w:val="center"/>
            <w:hideMark/>
          </w:tcPr>
          <w:p w14:paraId="36069FD0" w14:textId="79D75BBA" w:rsidR="005B6A9C" w:rsidRPr="00B433A3" w:rsidRDefault="005B6A9C" w:rsidP="00B8343E">
            <w:pPr>
              <w:pStyle w:val="Tabletext"/>
              <w:jc w:val="center"/>
              <w:cnfStyle w:val="000000100000" w:firstRow="0" w:lastRow="0" w:firstColumn="0" w:lastColumn="0" w:oddVBand="0" w:evenVBand="0" w:oddHBand="1" w:evenHBand="0" w:firstRowFirstColumn="0" w:firstRowLastColumn="0" w:lastRowFirstColumn="0" w:lastRowLastColumn="0"/>
              <w:rPr>
                <w:lang w:eastAsia="zh-CN"/>
              </w:rPr>
            </w:pPr>
            <w:r w:rsidRPr="00B433A3">
              <w:rPr>
                <w:szCs w:val="22"/>
                <w:lang w:eastAsia="zh-CN"/>
              </w:rPr>
              <w:t>96</w:t>
            </w:r>
            <w:r w:rsidR="00467932" w:rsidRPr="00B433A3">
              <w:rPr>
                <w:szCs w:val="22"/>
                <w:lang w:eastAsia="zh-CN"/>
              </w:rPr>
              <w:t xml:space="preserve"> </w:t>
            </w:r>
            <w:r w:rsidRPr="00B433A3">
              <w:rPr>
                <w:szCs w:val="22"/>
                <w:lang w:eastAsia="zh-CN"/>
              </w:rPr>
              <w:t>801</w:t>
            </w:r>
          </w:p>
        </w:tc>
        <w:tc>
          <w:tcPr>
            <w:tcW w:w="13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vAlign w:val="center"/>
            <w:hideMark/>
          </w:tcPr>
          <w:p w14:paraId="372DB42C" w14:textId="644CA096" w:rsidR="005B6A9C" w:rsidRPr="00B433A3" w:rsidRDefault="005B6A9C" w:rsidP="00B8343E">
            <w:pPr>
              <w:pStyle w:val="Tabletext"/>
              <w:jc w:val="center"/>
              <w:cnfStyle w:val="000000100000" w:firstRow="0" w:lastRow="0" w:firstColumn="0" w:lastColumn="0" w:oddVBand="0" w:evenVBand="0" w:oddHBand="1" w:evenHBand="0" w:firstRowFirstColumn="0" w:firstRowLastColumn="0" w:lastRowFirstColumn="0" w:lastRowLastColumn="0"/>
              <w:rPr>
                <w:lang w:eastAsia="zh-CN"/>
              </w:rPr>
            </w:pPr>
            <w:r w:rsidRPr="00B433A3">
              <w:rPr>
                <w:szCs w:val="22"/>
                <w:lang w:eastAsia="zh-CN"/>
              </w:rPr>
              <w:t>99</w:t>
            </w:r>
            <w:r w:rsidR="00467932" w:rsidRPr="00B433A3">
              <w:rPr>
                <w:szCs w:val="22"/>
                <w:lang w:eastAsia="zh-CN"/>
              </w:rPr>
              <w:t xml:space="preserve"> </w:t>
            </w:r>
            <w:r w:rsidRPr="00B433A3">
              <w:rPr>
                <w:szCs w:val="22"/>
                <w:lang w:eastAsia="zh-CN"/>
              </w:rPr>
              <w:t>347</w:t>
            </w:r>
          </w:p>
        </w:tc>
        <w:tc>
          <w:tcPr>
            <w:tcW w:w="95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6F65CC01" w14:textId="7BD1DEDC" w:rsidR="005B6A9C" w:rsidRPr="00B433A3" w:rsidRDefault="005B6A9C" w:rsidP="00B8343E">
            <w:pPr>
              <w:pStyle w:val="Tabletext"/>
              <w:jc w:val="center"/>
              <w:cnfStyle w:val="000000100000" w:firstRow="0" w:lastRow="0" w:firstColumn="0" w:lastColumn="0" w:oddVBand="0" w:evenVBand="0" w:oddHBand="1" w:evenHBand="0" w:firstRowFirstColumn="0" w:firstRowLastColumn="0" w:lastRowFirstColumn="0" w:lastRowLastColumn="0"/>
              <w:rPr>
                <w:lang w:eastAsia="zh-CN"/>
              </w:rPr>
            </w:pPr>
            <w:r w:rsidRPr="00B433A3">
              <w:rPr>
                <w:szCs w:val="22"/>
                <w:lang w:eastAsia="zh-CN"/>
              </w:rPr>
              <w:t>105</w:t>
            </w:r>
            <w:r w:rsidR="00467932" w:rsidRPr="00B433A3">
              <w:rPr>
                <w:szCs w:val="22"/>
                <w:lang w:eastAsia="zh-CN"/>
              </w:rPr>
              <w:t xml:space="preserve"> </w:t>
            </w:r>
            <w:r w:rsidRPr="00B433A3">
              <w:rPr>
                <w:szCs w:val="22"/>
                <w:lang w:eastAsia="zh-CN"/>
              </w:rPr>
              <w:t>681</w:t>
            </w:r>
          </w:p>
        </w:tc>
        <w:tc>
          <w:tcPr>
            <w:tcW w:w="108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2F504244" w14:textId="690F4C42" w:rsidR="005B6A9C" w:rsidRPr="00B433A3" w:rsidRDefault="005B6A9C" w:rsidP="00B8343E">
            <w:pPr>
              <w:pStyle w:val="Tabletext"/>
              <w:jc w:val="center"/>
              <w:cnfStyle w:val="000000100000" w:firstRow="0" w:lastRow="0" w:firstColumn="0" w:lastColumn="0" w:oddVBand="0" w:evenVBand="0" w:oddHBand="1" w:evenHBand="0" w:firstRowFirstColumn="0" w:firstRowLastColumn="0" w:lastRowFirstColumn="0" w:lastRowLastColumn="0"/>
              <w:rPr>
                <w:lang w:eastAsia="zh-CN"/>
              </w:rPr>
            </w:pPr>
            <w:r w:rsidRPr="00B433A3">
              <w:rPr>
                <w:szCs w:val="22"/>
                <w:lang w:eastAsia="zh-CN"/>
              </w:rPr>
              <w:t>114</w:t>
            </w:r>
            <w:r w:rsidR="00467932" w:rsidRPr="00B433A3">
              <w:rPr>
                <w:szCs w:val="22"/>
                <w:lang w:eastAsia="zh-CN"/>
              </w:rPr>
              <w:t xml:space="preserve"> </w:t>
            </w:r>
            <w:r w:rsidRPr="00B433A3">
              <w:rPr>
                <w:szCs w:val="22"/>
                <w:lang w:eastAsia="zh-CN"/>
              </w:rPr>
              <w:t>654</w:t>
            </w:r>
          </w:p>
        </w:tc>
        <w:tc>
          <w:tcPr>
            <w:tcW w:w="124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vAlign w:val="center"/>
            <w:hideMark/>
          </w:tcPr>
          <w:p w14:paraId="350B06F1" w14:textId="11F4856A" w:rsidR="005B6A9C" w:rsidRPr="00B433A3" w:rsidRDefault="005B6A9C" w:rsidP="00B8343E">
            <w:pPr>
              <w:pStyle w:val="Tabletext"/>
              <w:jc w:val="center"/>
              <w:cnfStyle w:val="000000100000" w:firstRow="0" w:lastRow="0" w:firstColumn="0" w:lastColumn="0" w:oddVBand="0" w:evenVBand="0" w:oddHBand="1" w:evenHBand="0" w:firstRowFirstColumn="0" w:firstRowLastColumn="0" w:lastRowFirstColumn="0" w:lastRowLastColumn="0"/>
              <w:rPr>
                <w:b/>
                <w:bCs/>
                <w:lang w:eastAsia="zh-CN"/>
              </w:rPr>
            </w:pPr>
            <w:r w:rsidRPr="00B433A3">
              <w:rPr>
                <w:b/>
                <w:bCs/>
                <w:szCs w:val="22"/>
                <w:lang w:eastAsia="zh-CN"/>
              </w:rPr>
              <w:t>416</w:t>
            </w:r>
            <w:r w:rsidR="00467932" w:rsidRPr="00B433A3">
              <w:rPr>
                <w:b/>
                <w:bCs/>
                <w:szCs w:val="22"/>
                <w:lang w:eastAsia="zh-CN"/>
              </w:rPr>
              <w:t xml:space="preserve"> </w:t>
            </w:r>
            <w:r w:rsidRPr="00B433A3">
              <w:rPr>
                <w:b/>
                <w:bCs/>
                <w:szCs w:val="22"/>
                <w:lang w:eastAsia="zh-CN"/>
              </w:rPr>
              <w:t>483</w:t>
            </w:r>
          </w:p>
        </w:tc>
        <w:tc>
          <w:tcPr>
            <w:tcW w:w="10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03161609" w14:textId="6BFFFECE" w:rsidR="005B6A9C" w:rsidRPr="00B433A3" w:rsidRDefault="005B6A9C" w:rsidP="00B8343E">
            <w:pPr>
              <w:pStyle w:val="Tabletext"/>
              <w:jc w:val="center"/>
              <w:cnfStyle w:val="000000100000" w:firstRow="0" w:lastRow="0" w:firstColumn="0" w:lastColumn="0" w:oddVBand="0" w:evenVBand="0" w:oddHBand="1" w:evenHBand="0" w:firstRowFirstColumn="0" w:firstRowLastColumn="0" w:lastRowFirstColumn="0" w:lastRowLastColumn="0"/>
              <w:rPr>
                <w:lang w:eastAsia="zh-CN"/>
              </w:rPr>
            </w:pPr>
            <w:r w:rsidRPr="00B433A3">
              <w:rPr>
                <w:szCs w:val="22"/>
                <w:lang w:eastAsia="zh-CN"/>
              </w:rPr>
              <w:t>28</w:t>
            </w:r>
            <w:r w:rsidR="00467932" w:rsidRPr="00B433A3">
              <w:rPr>
                <w:szCs w:val="22"/>
                <w:lang w:eastAsia="zh-CN"/>
              </w:rPr>
              <w:t>,</w:t>
            </w:r>
            <w:r w:rsidRPr="00B433A3">
              <w:rPr>
                <w:szCs w:val="22"/>
                <w:lang w:eastAsia="zh-CN"/>
              </w:rPr>
              <w:t>82%</w:t>
            </w:r>
          </w:p>
        </w:tc>
      </w:tr>
      <w:tr w:rsidR="005B6A9C" w:rsidRPr="00B433A3" w14:paraId="2D0B9F65" w14:textId="77777777" w:rsidTr="00467932">
        <w:trPr>
          <w:trHeight w:val="330"/>
          <w:jc w:val="center"/>
        </w:trPr>
        <w:tc>
          <w:tcPr>
            <w:cnfStyle w:val="001000000000" w:firstRow="0" w:lastRow="0" w:firstColumn="1" w:lastColumn="0" w:oddVBand="0" w:evenVBand="0" w:oddHBand="0" w:evenHBand="0" w:firstRowFirstColumn="0" w:firstRowLastColumn="0" w:lastRowFirstColumn="0" w:lastRowLastColumn="0"/>
            <w:tcW w:w="1199" w:type="dxa"/>
            <w:tcBorders>
              <w:top w:val="single" w:sz="4" w:space="0" w:color="FFFFFF" w:themeColor="background1"/>
              <w:bottom w:val="single" w:sz="4" w:space="0" w:color="FFFFFF" w:themeColor="background1"/>
              <w:right w:val="single" w:sz="4" w:space="0" w:color="FFFFFF" w:themeColor="background1"/>
            </w:tcBorders>
            <w:noWrap/>
            <w:vAlign w:val="center"/>
            <w:hideMark/>
          </w:tcPr>
          <w:p w14:paraId="270BF0CF" w14:textId="77777777" w:rsidR="005B6A9C" w:rsidRPr="00B433A3" w:rsidRDefault="005B6A9C" w:rsidP="00B8343E">
            <w:pPr>
              <w:pStyle w:val="Tabletext"/>
              <w:jc w:val="center"/>
              <w:rPr>
                <w:lang w:eastAsia="zh-CN"/>
              </w:rPr>
            </w:pPr>
            <w:r w:rsidRPr="00B433A3">
              <w:rPr>
                <w:szCs w:val="22"/>
                <w:lang w:eastAsia="zh-CN"/>
              </w:rPr>
              <w:t>SM</w:t>
            </w:r>
          </w:p>
        </w:tc>
        <w:tc>
          <w:tcPr>
            <w:tcW w:w="133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vAlign w:val="center"/>
            <w:hideMark/>
          </w:tcPr>
          <w:p w14:paraId="1021F3FD" w14:textId="55E6F092" w:rsidR="005B6A9C" w:rsidRPr="00B433A3" w:rsidRDefault="005B6A9C" w:rsidP="00B8343E">
            <w:pPr>
              <w:pStyle w:val="Tabletext"/>
              <w:jc w:val="center"/>
              <w:cnfStyle w:val="000000000000" w:firstRow="0" w:lastRow="0" w:firstColumn="0" w:lastColumn="0" w:oddVBand="0" w:evenVBand="0" w:oddHBand="0" w:evenHBand="0" w:firstRowFirstColumn="0" w:firstRowLastColumn="0" w:lastRowFirstColumn="0" w:lastRowLastColumn="0"/>
              <w:rPr>
                <w:lang w:eastAsia="zh-CN"/>
              </w:rPr>
            </w:pPr>
            <w:r w:rsidRPr="00B433A3">
              <w:rPr>
                <w:szCs w:val="22"/>
                <w:lang w:eastAsia="zh-CN"/>
              </w:rPr>
              <w:t>68</w:t>
            </w:r>
            <w:r w:rsidR="00467932" w:rsidRPr="00B433A3">
              <w:rPr>
                <w:szCs w:val="22"/>
                <w:lang w:eastAsia="zh-CN"/>
              </w:rPr>
              <w:t xml:space="preserve"> </w:t>
            </w:r>
            <w:r w:rsidRPr="00B433A3">
              <w:rPr>
                <w:szCs w:val="22"/>
                <w:lang w:eastAsia="zh-CN"/>
              </w:rPr>
              <w:t>622</w:t>
            </w:r>
          </w:p>
        </w:tc>
        <w:tc>
          <w:tcPr>
            <w:tcW w:w="13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vAlign w:val="center"/>
            <w:hideMark/>
          </w:tcPr>
          <w:p w14:paraId="0199D97D" w14:textId="6AB98D0E" w:rsidR="005B6A9C" w:rsidRPr="00B433A3" w:rsidRDefault="005B6A9C" w:rsidP="00B8343E">
            <w:pPr>
              <w:pStyle w:val="Tabletext"/>
              <w:jc w:val="center"/>
              <w:cnfStyle w:val="000000000000" w:firstRow="0" w:lastRow="0" w:firstColumn="0" w:lastColumn="0" w:oddVBand="0" w:evenVBand="0" w:oddHBand="0" w:evenHBand="0" w:firstRowFirstColumn="0" w:firstRowLastColumn="0" w:lastRowFirstColumn="0" w:lastRowLastColumn="0"/>
              <w:rPr>
                <w:lang w:eastAsia="zh-CN"/>
              </w:rPr>
            </w:pPr>
            <w:r w:rsidRPr="00B433A3">
              <w:rPr>
                <w:szCs w:val="22"/>
                <w:lang w:eastAsia="zh-CN"/>
              </w:rPr>
              <w:t>89</w:t>
            </w:r>
            <w:r w:rsidR="00467932" w:rsidRPr="00B433A3">
              <w:rPr>
                <w:szCs w:val="22"/>
                <w:lang w:eastAsia="zh-CN"/>
              </w:rPr>
              <w:t xml:space="preserve"> </w:t>
            </w:r>
            <w:r w:rsidRPr="00B433A3">
              <w:rPr>
                <w:szCs w:val="22"/>
                <w:lang w:eastAsia="zh-CN"/>
              </w:rPr>
              <w:t>031</w:t>
            </w:r>
          </w:p>
        </w:tc>
        <w:tc>
          <w:tcPr>
            <w:tcW w:w="95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06393E75" w14:textId="3D5F9A14" w:rsidR="005B6A9C" w:rsidRPr="00B433A3" w:rsidRDefault="005B6A9C" w:rsidP="00B8343E">
            <w:pPr>
              <w:pStyle w:val="Tabletext"/>
              <w:jc w:val="center"/>
              <w:cnfStyle w:val="000000000000" w:firstRow="0" w:lastRow="0" w:firstColumn="0" w:lastColumn="0" w:oddVBand="0" w:evenVBand="0" w:oddHBand="0" w:evenHBand="0" w:firstRowFirstColumn="0" w:firstRowLastColumn="0" w:lastRowFirstColumn="0" w:lastRowLastColumn="0"/>
              <w:rPr>
                <w:lang w:eastAsia="zh-CN"/>
              </w:rPr>
            </w:pPr>
            <w:r w:rsidRPr="00B433A3">
              <w:rPr>
                <w:szCs w:val="22"/>
                <w:lang w:eastAsia="zh-CN"/>
              </w:rPr>
              <w:t>101</w:t>
            </w:r>
            <w:r w:rsidR="00467932" w:rsidRPr="00B433A3">
              <w:rPr>
                <w:szCs w:val="22"/>
                <w:lang w:eastAsia="zh-CN"/>
              </w:rPr>
              <w:t xml:space="preserve"> </w:t>
            </w:r>
            <w:r w:rsidRPr="00B433A3">
              <w:rPr>
                <w:szCs w:val="22"/>
                <w:lang w:eastAsia="zh-CN"/>
              </w:rPr>
              <w:t>965</w:t>
            </w:r>
          </w:p>
        </w:tc>
        <w:tc>
          <w:tcPr>
            <w:tcW w:w="108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5D1DC683" w14:textId="0AED6CC7" w:rsidR="005B6A9C" w:rsidRPr="00B433A3" w:rsidRDefault="005B6A9C" w:rsidP="00B8343E">
            <w:pPr>
              <w:pStyle w:val="Tabletext"/>
              <w:jc w:val="center"/>
              <w:cnfStyle w:val="000000000000" w:firstRow="0" w:lastRow="0" w:firstColumn="0" w:lastColumn="0" w:oddVBand="0" w:evenVBand="0" w:oddHBand="0" w:evenHBand="0" w:firstRowFirstColumn="0" w:firstRowLastColumn="0" w:lastRowFirstColumn="0" w:lastRowLastColumn="0"/>
              <w:rPr>
                <w:lang w:eastAsia="zh-CN"/>
              </w:rPr>
            </w:pPr>
            <w:r w:rsidRPr="00B433A3">
              <w:rPr>
                <w:szCs w:val="22"/>
                <w:lang w:eastAsia="zh-CN"/>
              </w:rPr>
              <w:t>143</w:t>
            </w:r>
            <w:r w:rsidR="00467932" w:rsidRPr="00B433A3">
              <w:rPr>
                <w:szCs w:val="22"/>
                <w:lang w:eastAsia="zh-CN"/>
              </w:rPr>
              <w:t xml:space="preserve"> </w:t>
            </w:r>
            <w:r w:rsidRPr="00B433A3">
              <w:rPr>
                <w:szCs w:val="22"/>
                <w:lang w:eastAsia="zh-CN"/>
              </w:rPr>
              <w:t>421</w:t>
            </w:r>
          </w:p>
        </w:tc>
        <w:tc>
          <w:tcPr>
            <w:tcW w:w="124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vAlign w:val="center"/>
            <w:hideMark/>
          </w:tcPr>
          <w:p w14:paraId="5A557F87" w14:textId="6CAEDDD7" w:rsidR="005B6A9C" w:rsidRPr="00B433A3" w:rsidRDefault="005B6A9C" w:rsidP="00B8343E">
            <w:pPr>
              <w:pStyle w:val="Tabletext"/>
              <w:jc w:val="center"/>
              <w:cnfStyle w:val="000000000000" w:firstRow="0" w:lastRow="0" w:firstColumn="0" w:lastColumn="0" w:oddVBand="0" w:evenVBand="0" w:oddHBand="0" w:evenHBand="0" w:firstRowFirstColumn="0" w:firstRowLastColumn="0" w:lastRowFirstColumn="0" w:lastRowLastColumn="0"/>
              <w:rPr>
                <w:b/>
                <w:bCs/>
                <w:lang w:eastAsia="zh-CN"/>
              </w:rPr>
            </w:pPr>
            <w:r w:rsidRPr="00B433A3">
              <w:rPr>
                <w:b/>
                <w:bCs/>
                <w:szCs w:val="22"/>
                <w:lang w:eastAsia="zh-CN"/>
              </w:rPr>
              <w:t>403</w:t>
            </w:r>
            <w:r w:rsidR="00467932" w:rsidRPr="00B433A3">
              <w:rPr>
                <w:b/>
                <w:bCs/>
                <w:szCs w:val="22"/>
                <w:lang w:eastAsia="zh-CN"/>
              </w:rPr>
              <w:t xml:space="preserve"> </w:t>
            </w:r>
            <w:r w:rsidRPr="00B433A3">
              <w:rPr>
                <w:b/>
                <w:bCs/>
                <w:szCs w:val="22"/>
                <w:lang w:eastAsia="zh-CN"/>
              </w:rPr>
              <w:t>039</w:t>
            </w:r>
          </w:p>
        </w:tc>
        <w:tc>
          <w:tcPr>
            <w:tcW w:w="10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1D0A3E7A" w14:textId="49A841DD" w:rsidR="005B6A9C" w:rsidRPr="00B433A3" w:rsidRDefault="005B6A9C" w:rsidP="00B8343E">
            <w:pPr>
              <w:pStyle w:val="Tabletext"/>
              <w:jc w:val="center"/>
              <w:cnfStyle w:val="000000000000" w:firstRow="0" w:lastRow="0" w:firstColumn="0" w:lastColumn="0" w:oddVBand="0" w:evenVBand="0" w:oddHBand="0" w:evenHBand="0" w:firstRowFirstColumn="0" w:firstRowLastColumn="0" w:lastRowFirstColumn="0" w:lastRowLastColumn="0"/>
              <w:rPr>
                <w:lang w:eastAsia="zh-CN"/>
              </w:rPr>
            </w:pPr>
            <w:r w:rsidRPr="00B433A3">
              <w:rPr>
                <w:szCs w:val="22"/>
                <w:lang w:eastAsia="zh-CN"/>
              </w:rPr>
              <w:t>27</w:t>
            </w:r>
            <w:r w:rsidR="00467932" w:rsidRPr="00B433A3">
              <w:rPr>
                <w:szCs w:val="22"/>
                <w:lang w:eastAsia="zh-CN"/>
              </w:rPr>
              <w:t>,</w:t>
            </w:r>
            <w:r w:rsidRPr="00B433A3">
              <w:rPr>
                <w:szCs w:val="22"/>
                <w:lang w:eastAsia="zh-CN"/>
              </w:rPr>
              <w:t>89%</w:t>
            </w:r>
          </w:p>
        </w:tc>
      </w:tr>
      <w:tr w:rsidR="005B6A9C" w:rsidRPr="00B433A3" w14:paraId="64C5E413" w14:textId="77777777" w:rsidTr="00467932">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1199" w:type="dxa"/>
            <w:tcBorders>
              <w:top w:val="single" w:sz="4" w:space="0" w:color="FFFFFF" w:themeColor="background1"/>
              <w:bottom w:val="single" w:sz="4" w:space="0" w:color="FFFFFF" w:themeColor="background1"/>
              <w:right w:val="single" w:sz="4" w:space="0" w:color="FFFFFF" w:themeColor="background1"/>
            </w:tcBorders>
            <w:noWrap/>
            <w:vAlign w:val="center"/>
            <w:hideMark/>
          </w:tcPr>
          <w:p w14:paraId="31EEADB3" w14:textId="77777777" w:rsidR="005B6A9C" w:rsidRPr="00B433A3" w:rsidRDefault="005B6A9C" w:rsidP="00B8343E">
            <w:pPr>
              <w:pStyle w:val="Tabletext"/>
              <w:jc w:val="center"/>
              <w:rPr>
                <w:lang w:eastAsia="zh-CN"/>
              </w:rPr>
            </w:pPr>
            <w:r w:rsidRPr="00B433A3">
              <w:rPr>
                <w:szCs w:val="22"/>
                <w:lang w:eastAsia="zh-CN"/>
              </w:rPr>
              <w:t>BT</w:t>
            </w:r>
          </w:p>
        </w:tc>
        <w:tc>
          <w:tcPr>
            <w:tcW w:w="133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vAlign w:val="center"/>
            <w:hideMark/>
          </w:tcPr>
          <w:p w14:paraId="2C8A74DC" w14:textId="17A7F093" w:rsidR="005B6A9C" w:rsidRPr="00B433A3" w:rsidRDefault="005B6A9C" w:rsidP="00B8343E">
            <w:pPr>
              <w:pStyle w:val="Tabletext"/>
              <w:jc w:val="center"/>
              <w:cnfStyle w:val="000000100000" w:firstRow="0" w:lastRow="0" w:firstColumn="0" w:lastColumn="0" w:oddVBand="0" w:evenVBand="0" w:oddHBand="1" w:evenHBand="0" w:firstRowFirstColumn="0" w:firstRowLastColumn="0" w:lastRowFirstColumn="0" w:lastRowLastColumn="0"/>
              <w:rPr>
                <w:lang w:eastAsia="zh-CN"/>
              </w:rPr>
            </w:pPr>
            <w:r w:rsidRPr="00B433A3">
              <w:rPr>
                <w:szCs w:val="22"/>
                <w:lang w:eastAsia="zh-CN"/>
              </w:rPr>
              <w:t>58</w:t>
            </w:r>
            <w:r w:rsidR="00467932" w:rsidRPr="00B433A3">
              <w:rPr>
                <w:szCs w:val="22"/>
                <w:lang w:eastAsia="zh-CN"/>
              </w:rPr>
              <w:t xml:space="preserve"> </w:t>
            </w:r>
            <w:r w:rsidRPr="00B433A3">
              <w:rPr>
                <w:szCs w:val="22"/>
                <w:lang w:eastAsia="zh-CN"/>
              </w:rPr>
              <w:t>103</w:t>
            </w:r>
          </w:p>
        </w:tc>
        <w:tc>
          <w:tcPr>
            <w:tcW w:w="13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vAlign w:val="center"/>
            <w:hideMark/>
          </w:tcPr>
          <w:p w14:paraId="56B1E4AD" w14:textId="6B6547DF" w:rsidR="005B6A9C" w:rsidRPr="00B433A3" w:rsidRDefault="005B6A9C" w:rsidP="00B8343E">
            <w:pPr>
              <w:pStyle w:val="Tabletext"/>
              <w:jc w:val="center"/>
              <w:cnfStyle w:val="000000100000" w:firstRow="0" w:lastRow="0" w:firstColumn="0" w:lastColumn="0" w:oddVBand="0" w:evenVBand="0" w:oddHBand="1" w:evenHBand="0" w:firstRowFirstColumn="0" w:firstRowLastColumn="0" w:lastRowFirstColumn="0" w:lastRowLastColumn="0"/>
              <w:rPr>
                <w:lang w:eastAsia="zh-CN"/>
              </w:rPr>
            </w:pPr>
            <w:r w:rsidRPr="00B433A3">
              <w:rPr>
                <w:szCs w:val="22"/>
                <w:lang w:eastAsia="zh-CN"/>
              </w:rPr>
              <w:t>57</w:t>
            </w:r>
            <w:r w:rsidR="00467932" w:rsidRPr="00B433A3">
              <w:rPr>
                <w:szCs w:val="22"/>
                <w:lang w:eastAsia="zh-CN"/>
              </w:rPr>
              <w:t xml:space="preserve"> </w:t>
            </w:r>
            <w:r w:rsidRPr="00B433A3">
              <w:rPr>
                <w:szCs w:val="22"/>
                <w:lang w:eastAsia="zh-CN"/>
              </w:rPr>
              <w:t>545</w:t>
            </w:r>
          </w:p>
        </w:tc>
        <w:tc>
          <w:tcPr>
            <w:tcW w:w="95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019EA901" w14:textId="17A6CA5C" w:rsidR="005B6A9C" w:rsidRPr="00B433A3" w:rsidRDefault="005B6A9C" w:rsidP="00B8343E">
            <w:pPr>
              <w:pStyle w:val="Tabletext"/>
              <w:jc w:val="center"/>
              <w:cnfStyle w:val="000000100000" w:firstRow="0" w:lastRow="0" w:firstColumn="0" w:lastColumn="0" w:oddVBand="0" w:evenVBand="0" w:oddHBand="1" w:evenHBand="0" w:firstRowFirstColumn="0" w:firstRowLastColumn="0" w:lastRowFirstColumn="0" w:lastRowLastColumn="0"/>
              <w:rPr>
                <w:lang w:eastAsia="zh-CN"/>
              </w:rPr>
            </w:pPr>
            <w:r w:rsidRPr="00B433A3">
              <w:rPr>
                <w:szCs w:val="22"/>
                <w:lang w:eastAsia="zh-CN"/>
              </w:rPr>
              <w:t>59</w:t>
            </w:r>
            <w:r w:rsidR="00467932" w:rsidRPr="00B433A3">
              <w:rPr>
                <w:szCs w:val="22"/>
                <w:lang w:eastAsia="zh-CN"/>
              </w:rPr>
              <w:t xml:space="preserve"> </w:t>
            </w:r>
            <w:r w:rsidRPr="00B433A3">
              <w:rPr>
                <w:szCs w:val="22"/>
                <w:lang w:eastAsia="zh-CN"/>
              </w:rPr>
              <w:t>805</w:t>
            </w:r>
          </w:p>
        </w:tc>
        <w:tc>
          <w:tcPr>
            <w:tcW w:w="108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3EC62AE9" w14:textId="5172B7E1" w:rsidR="005B6A9C" w:rsidRPr="00B433A3" w:rsidRDefault="005B6A9C" w:rsidP="00B8343E">
            <w:pPr>
              <w:pStyle w:val="Tabletext"/>
              <w:jc w:val="center"/>
              <w:cnfStyle w:val="000000100000" w:firstRow="0" w:lastRow="0" w:firstColumn="0" w:lastColumn="0" w:oddVBand="0" w:evenVBand="0" w:oddHBand="1" w:evenHBand="0" w:firstRowFirstColumn="0" w:firstRowLastColumn="0" w:lastRowFirstColumn="0" w:lastRowLastColumn="0"/>
              <w:rPr>
                <w:lang w:eastAsia="zh-CN"/>
              </w:rPr>
            </w:pPr>
            <w:r w:rsidRPr="00B433A3">
              <w:rPr>
                <w:szCs w:val="22"/>
                <w:lang w:eastAsia="zh-CN"/>
              </w:rPr>
              <w:t>71</w:t>
            </w:r>
            <w:r w:rsidR="00467932" w:rsidRPr="00B433A3">
              <w:rPr>
                <w:szCs w:val="22"/>
                <w:lang w:eastAsia="zh-CN"/>
              </w:rPr>
              <w:t xml:space="preserve"> </w:t>
            </w:r>
            <w:r w:rsidRPr="00B433A3">
              <w:rPr>
                <w:szCs w:val="22"/>
                <w:lang w:eastAsia="zh-CN"/>
              </w:rPr>
              <w:t>374</w:t>
            </w:r>
          </w:p>
        </w:tc>
        <w:tc>
          <w:tcPr>
            <w:tcW w:w="124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vAlign w:val="center"/>
            <w:hideMark/>
          </w:tcPr>
          <w:p w14:paraId="5368F22E" w14:textId="0B817300" w:rsidR="005B6A9C" w:rsidRPr="00B433A3" w:rsidRDefault="005B6A9C" w:rsidP="00B8343E">
            <w:pPr>
              <w:pStyle w:val="Tabletext"/>
              <w:jc w:val="center"/>
              <w:cnfStyle w:val="000000100000" w:firstRow="0" w:lastRow="0" w:firstColumn="0" w:lastColumn="0" w:oddVBand="0" w:evenVBand="0" w:oddHBand="1" w:evenHBand="0" w:firstRowFirstColumn="0" w:firstRowLastColumn="0" w:lastRowFirstColumn="0" w:lastRowLastColumn="0"/>
              <w:rPr>
                <w:b/>
                <w:bCs/>
                <w:lang w:eastAsia="zh-CN"/>
              </w:rPr>
            </w:pPr>
            <w:r w:rsidRPr="00B433A3">
              <w:rPr>
                <w:b/>
                <w:bCs/>
                <w:szCs w:val="22"/>
                <w:lang w:eastAsia="zh-CN"/>
              </w:rPr>
              <w:t>246</w:t>
            </w:r>
            <w:r w:rsidR="00467932" w:rsidRPr="00B433A3">
              <w:rPr>
                <w:b/>
                <w:bCs/>
                <w:szCs w:val="22"/>
                <w:lang w:eastAsia="zh-CN"/>
              </w:rPr>
              <w:t xml:space="preserve"> </w:t>
            </w:r>
            <w:r w:rsidRPr="00B433A3">
              <w:rPr>
                <w:b/>
                <w:bCs/>
                <w:szCs w:val="22"/>
                <w:lang w:eastAsia="zh-CN"/>
              </w:rPr>
              <w:t>827</w:t>
            </w:r>
          </w:p>
        </w:tc>
        <w:tc>
          <w:tcPr>
            <w:tcW w:w="10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7C1FA33A" w14:textId="582E6F7F" w:rsidR="005B6A9C" w:rsidRPr="00B433A3" w:rsidRDefault="005B6A9C" w:rsidP="00B8343E">
            <w:pPr>
              <w:pStyle w:val="Tabletext"/>
              <w:jc w:val="center"/>
              <w:cnfStyle w:val="000000100000" w:firstRow="0" w:lastRow="0" w:firstColumn="0" w:lastColumn="0" w:oddVBand="0" w:evenVBand="0" w:oddHBand="1" w:evenHBand="0" w:firstRowFirstColumn="0" w:firstRowLastColumn="0" w:lastRowFirstColumn="0" w:lastRowLastColumn="0"/>
              <w:rPr>
                <w:lang w:eastAsia="zh-CN"/>
              </w:rPr>
            </w:pPr>
            <w:r w:rsidRPr="00B433A3">
              <w:rPr>
                <w:szCs w:val="22"/>
                <w:lang w:eastAsia="zh-CN"/>
              </w:rPr>
              <w:t>17</w:t>
            </w:r>
            <w:r w:rsidR="00467932" w:rsidRPr="00B433A3">
              <w:rPr>
                <w:szCs w:val="22"/>
                <w:lang w:eastAsia="zh-CN"/>
              </w:rPr>
              <w:t>,</w:t>
            </w:r>
            <w:r w:rsidRPr="00B433A3">
              <w:rPr>
                <w:szCs w:val="22"/>
                <w:lang w:eastAsia="zh-CN"/>
              </w:rPr>
              <w:t>08%</w:t>
            </w:r>
          </w:p>
        </w:tc>
      </w:tr>
      <w:tr w:rsidR="005B6A9C" w:rsidRPr="00B433A3" w14:paraId="7B9050B0" w14:textId="77777777" w:rsidTr="00467932">
        <w:trPr>
          <w:trHeight w:val="330"/>
          <w:jc w:val="center"/>
        </w:trPr>
        <w:tc>
          <w:tcPr>
            <w:cnfStyle w:val="001000000000" w:firstRow="0" w:lastRow="0" w:firstColumn="1" w:lastColumn="0" w:oddVBand="0" w:evenVBand="0" w:oddHBand="0" w:evenHBand="0" w:firstRowFirstColumn="0" w:firstRowLastColumn="0" w:lastRowFirstColumn="0" w:lastRowLastColumn="0"/>
            <w:tcW w:w="1199" w:type="dxa"/>
            <w:tcBorders>
              <w:top w:val="single" w:sz="4" w:space="0" w:color="FFFFFF" w:themeColor="background1"/>
              <w:bottom w:val="single" w:sz="4" w:space="0" w:color="FFFFFF" w:themeColor="background1"/>
              <w:right w:val="single" w:sz="4" w:space="0" w:color="FFFFFF" w:themeColor="background1"/>
            </w:tcBorders>
            <w:noWrap/>
            <w:vAlign w:val="center"/>
            <w:hideMark/>
          </w:tcPr>
          <w:p w14:paraId="16CB9E6C" w14:textId="77777777" w:rsidR="005B6A9C" w:rsidRPr="00B433A3" w:rsidRDefault="005B6A9C" w:rsidP="00B8343E">
            <w:pPr>
              <w:pStyle w:val="Tabletext"/>
              <w:jc w:val="center"/>
              <w:rPr>
                <w:lang w:eastAsia="zh-CN"/>
              </w:rPr>
            </w:pPr>
            <w:r w:rsidRPr="00B433A3">
              <w:rPr>
                <w:szCs w:val="22"/>
                <w:lang w:eastAsia="zh-CN"/>
              </w:rPr>
              <w:t>BS</w:t>
            </w:r>
          </w:p>
        </w:tc>
        <w:tc>
          <w:tcPr>
            <w:tcW w:w="133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vAlign w:val="center"/>
            <w:hideMark/>
          </w:tcPr>
          <w:p w14:paraId="1C894FD5" w14:textId="20C50195" w:rsidR="005B6A9C" w:rsidRPr="00B433A3" w:rsidRDefault="005B6A9C" w:rsidP="00B8343E">
            <w:pPr>
              <w:pStyle w:val="Tabletext"/>
              <w:jc w:val="center"/>
              <w:cnfStyle w:val="000000000000" w:firstRow="0" w:lastRow="0" w:firstColumn="0" w:lastColumn="0" w:oddVBand="0" w:evenVBand="0" w:oddHBand="0" w:evenHBand="0" w:firstRowFirstColumn="0" w:firstRowLastColumn="0" w:lastRowFirstColumn="0" w:lastRowLastColumn="0"/>
              <w:rPr>
                <w:lang w:eastAsia="zh-CN"/>
              </w:rPr>
            </w:pPr>
            <w:r w:rsidRPr="00B433A3">
              <w:rPr>
                <w:szCs w:val="22"/>
                <w:lang w:eastAsia="zh-CN"/>
              </w:rPr>
              <w:t>23</w:t>
            </w:r>
            <w:r w:rsidR="00467932" w:rsidRPr="00B433A3">
              <w:rPr>
                <w:szCs w:val="22"/>
                <w:lang w:eastAsia="zh-CN"/>
              </w:rPr>
              <w:t xml:space="preserve"> </w:t>
            </w:r>
            <w:r w:rsidRPr="00B433A3">
              <w:rPr>
                <w:szCs w:val="22"/>
                <w:lang w:eastAsia="zh-CN"/>
              </w:rPr>
              <w:t>469</w:t>
            </w:r>
          </w:p>
        </w:tc>
        <w:tc>
          <w:tcPr>
            <w:tcW w:w="13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vAlign w:val="center"/>
            <w:hideMark/>
          </w:tcPr>
          <w:p w14:paraId="5AC85380" w14:textId="27832488" w:rsidR="005B6A9C" w:rsidRPr="00B433A3" w:rsidRDefault="005B6A9C" w:rsidP="00B8343E">
            <w:pPr>
              <w:pStyle w:val="Tabletext"/>
              <w:jc w:val="center"/>
              <w:cnfStyle w:val="000000000000" w:firstRow="0" w:lastRow="0" w:firstColumn="0" w:lastColumn="0" w:oddVBand="0" w:evenVBand="0" w:oddHBand="0" w:evenHBand="0" w:firstRowFirstColumn="0" w:firstRowLastColumn="0" w:lastRowFirstColumn="0" w:lastRowLastColumn="0"/>
              <w:rPr>
                <w:lang w:eastAsia="zh-CN"/>
              </w:rPr>
            </w:pPr>
            <w:r w:rsidRPr="00B433A3">
              <w:rPr>
                <w:szCs w:val="22"/>
                <w:lang w:eastAsia="zh-CN"/>
              </w:rPr>
              <w:t>22</w:t>
            </w:r>
            <w:r w:rsidR="00467932" w:rsidRPr="00B433A3">
              <w:rPr>
                <w:szCs w:val="22"/>
                <w:lang w:eastAsia="zh-CN"/>
              </w:rPr>
              <w:t xml:space="preserve"> </w:t>
            </w:r>
            <w:r w:rsidRPr="00B433A3">
              <w:rPr>
                <w:szCs w:val="22"/>
                <w:lang w:eastAsia="zh-CN"/>
              </w:rPr>
              <w:t>755</w:t>
            </w:r>
          </w:p>
        </w:tc>
        <w:tc>
          <w:tcPr>
            <w:tcW w:w="95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52384D62" w14:textId="74ADDDC5" w:rsidR="005B6A9C" w:rsidRPr="00B433A3" w:rsidRDefault="005B6A9C" w:rsidP="00B8343E">
            <w:pPr>
              <w:pStyle w:val="Tabletext"/>
              <w:jc w:val="center"/>
              <w:cnfStyle w:val="000000000000" w:firstRow="0" w:lastRow="0" w:firstColumn="0" w:lastColumn="0" w:oddVBand="0" w:evenVBand="0" w:oddHBand="0" w:evenHBand="0" w:firstRowFirstColumn="0" w:firstRowLastColumn="0" w:lastRowFirstColumn="0" w:lastRowLastColumn="0"/>
              <w:rPr>
                <w:lang w:eastAsia="zh-CN"/>
              </w:rPr>
            </w:pPr>
            <w:r w:rsidRPr="00B433A3">
              <w:rPr>
                <w:szCs w:val="22"/>
                <w:lang w:eastAsia="zh-CN"/>
              </w:rPr>
              <w:t>28</w:t>
            </w:r>
            <w:r w:rsidR="00467932" w:rsidRPr="00B433A3">
              <w:rPr>
                <w:szCs w:val="22"/>
                <w:lang w:eastAsia="zh-CN"/>
              </w:rPr>
              <w:t xml:space="preserve"> </w:t>
            </w:r>
            <w:r w:rsidRPr="00B433A3">
              <w:rPr>
                <w:szCs w:val="22"/>
                <w:lang w:eastAsia="zh-CN"/>
              </w:rPr>
              <w:t>707</w:t>
            </w:r>
          </w:p>
        </w:tc>
        <w:tc>
          <w:tcPr>
            <w:tcW w:w="108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54FD9A6B" w14:textId="3905054F" w:rsidR="005B6A9C" w:rsidRPr="00B433A3" w:rsidRDefault="005B6A9C" w:rsidP="00B8343E">
            <w:pPr>
              <w:pStyle w:val="Tabletext"/>
              <w:jc w:val="center"/>
              <w:cnfStyle w:val="000000000000" w:firstRow="0" w:lastRow="0" w:firstColumn="0" w:lastColumn="0" w:oddVBand="0" w:evenVBand="0" w:oddHBand="0" w:evenHBand="0" w:firstRowFirstColumn="0" w:firstRowLastColumn="0" w:lastRowFirstColumn="0" w:lastRowLastColumn="0"/>
              <w:rPr>
                <w:lang w:eastAsia="zh-CN"/>
              </w:rPr>
            </w:pPr>
            <w:r w:rsidRPr="00B433A3">
              <w:rPr>
                <w:szCs w:val="22"/>
                <w:lang w:eastAsia="zh-CN"/>
              </w:rPr>
              <w:t>33</w:t>
            </w:r>
            <w:r w:rsidR="00467932" w:rsidRPr="00B433A3">
              <w:rPr>
                <w:szCs w:val="22"/>
                <w:lang w:eastAsia="zh-CN"/>
              </w:rPr>
              <w:t xml:space="preserve"> </w:t>
            </w:r>
            <w:r w:rsidRPr="00B433A3">
              <w:rPr>
                <w:szCs w:val="22"/>
                <w:lang w:eastAsia="zh-CN"/>
              </w:rPr>
              <w:t>466</w:t>
            </w:r>
          </w:p>
        </w:tc>
        <w:tc>
          <w:tcPr>
            <w:tcW w:w="124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vAlign w:val="center"/>
            <w:hideMark/>
          </w:tcPr>
          <w:p w14:paraId="2019D157" w14:textId="00257E14" w:rsidR="005B6A9C" w:rsidRPr="00B433A3" w:rsidRDefault="005B6A9C" w:rsidP="00B8343E">
            <w:pPr>
              <w:pStyle w:val="Tabletext"/>
              <w:jc w:val="center"/>
              <w:cnfStyle w:val="000000000000" w:firstRow="0" w:lastRow="0" w:firstColumn="0" w:lastColumn="0" w:oddVBand="0" w:evenVBand="0" w:oddHBand="0" w:evenHBand="0" w:firstRowFirstColumn="0" w:firstRowLastColumn="0" w:lastRowFirstColumn="0" w:lastRowLastColumn="0"/>
              <w:rPr>
                <w:b/>
                <w:bCs/>
                <w:lang w:eastAsia="zh-CN"/>
              </w:rPr>
            </w:pPr>
            <w:r w:rsidRPr="00B433A3">
              <w:rPr>
                <w:b/>
                <w:bCs/>
                <w:szCs w:val="22"/>
                <w:lang w:eastAsia="zh-CN"/>
              </w:rPr>
              <w:t>108</w:t>
            </w:r>
            <w:r w:rsidR="00467932" w:rsidRPr="00B433A3">
              <w:rPr>
                <w:b/>
                <w:bCs/>
                <w:szCs w:val="22"/>
                <w:lang w:eastAsia="zh-CN"/>
              </w:rPr>
              <w:t xml:space="preserve"> </w:t>
            </w:r>
            <w:r w:rsidRPr="00B433A3">
              <w:rPr>
                <w:b/>
                <w:bCs/>
                <w:szCs w:val="22"/>
                <w:lang w:eastAsia="zh-CN"/>
              </w:rPr>
              <w:t>397</w:t>
            </w:r>
          </w:p>
        </w:tc>
        <w:tc>
          <w:tcPr>
            <w:tcW w:w="10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1980C19D" w14:textId="082A7A43" w:rsidR="005B6A9C" w:rsidRPr="00B433A3" w:rsidRDefault="005B6A9C" w:rsidP="00B8343E">
            <w:pPr>
              <w:pStyle w:val="Tabletext"/>
              <w:jc w:val="center"/>
              <w:cnfStyle w:val="000000000000" w:firstRow="0" w:lastRow="0" w:firstColumn="0" w:lastColumn="0" w:oddVBand="0" w:evenVBand="0" w:oddHBand="0" w:evenHBand="0" w:firstRowFirstColumn="0" w:firstRowLastColumn="0" w:lastRowFirstColumn="0" w:lastRowLastColumn="0"/>
              <w:rPr>
                <w:lang w:eastAsia="zh-CN"/>
              </w:rPr>
            </w:pPr>
            <w:r w:rsidRPr="00B433A3">
              <w:rPr>
                <w:szCs w:val="22"/>
                <w:lang w:eastAsia="zh-CN"/>
              </w:rPr>
              <w:t>7</w:t>
            </w:r>
            <w:r w:rsidR="00467932" w:rsidRPr="00B433A3">
              <w:rPr>
                <w:szCs w:val="22"/>
                <w:lang w:eastAsia="zh-CN"/>
              </w:rPr>
              <w:t>,</w:t>
            </w:r>
            <w:r w:rsidRPr="00B433A3">
              <w:rPr>
                <w:szCs w:val="22"/>
                <w:lang w:eastAsia="zh-CN"/>
              </w:rPr>
              <w:t>50%</w:t>
            </w:r>
          </w:p>
        </w:tc>
      </w:tr>
      <w:tr w:rsidR="005B6A9C" w:rsidRPr="00B433A3" w14:paraId="0942665E" w14:textId="77777777" w:rsidTr="00467932">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1199" w:type="dxa"/>
            <w:tcBorders>
              <w:top w:val="single" w:sz="4" w:space="0" w:color="FFFFFF" w:themeColor="background1"/>
              <w:bottom w:val="single" w:sz="4" w:space="0" w:color="FFFFFF" w:themeColor="background1"/>
              <w:right w:val="single" w:sz="4" w:space="0" w:color="FFFFFF" w:themeColor="background1"/>
            </w:tcBorders>
            <w:noWrap/>
            <w:vAlign w:val="center"/>
            <w:hideMark/>
          </w:tcPr>
          <w:p w14:paraId="6A747A07" w14:textId="77777777" w:rsidR="005B6A9C" w:rsidRPr="00B433A3" w:rsidRDefault="005B6A9C" w:rsidP="00B8343E">
            <w:pPr>
              <w:pStyle w:val="Tabletext"/>
              <w:jc w:val="center"/>
              <w:rPr>
                <w:lang w:eastAsia="zh-CN"/>
              </w:rPr>
            </w:pPr>
            <w:r w:rsidRPr="00B433A3">
              <w:rPr>
                <w:szCs w:val="22"/>
                <w:lang w:eastAsia="zh-CN"/>
              </w:rPr>
              <w:t>P</w:t>
            </w:r>
          </w:p>
        </w:tc>
        <w:tc>
          <w:tcPr>
            <w:tcW w:w="133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vAlign w:val="center"/>
            <w:hideMark/>
          </w:tcPr>
          <w:p w14:paraId="117A55C2" w14:textId="40DA843A" w:rsidR="005B6A9C" w:rsidRPr="00B433A3" w:rsidRDefault="005B6A9C" w:rsidP="00B8343E">
            <w:pPr>
              <w:pStyle w:val="Tabletext"/>
              <w:jc w:val="center"/>
              <w:cnfStyle w:val="000000100000" w:firstRow="0" w:lastRow="0" w:firstColumn="0" w:lastColumn="0" w:oddVBand="0" w:evenVBand="0" w:oddHBand="1" w:evenHBand="0" w:firstRowFirstColumn="0" w:firstRowLastColumn="0" w:lastRowFirstColumn="0" w:lastRowLastColumn="0"/>
              <w:rPr>
                <w:lang w:eastAsia="zh-CN"/>
              </w:rPr>
            </w:pPr>
            <w:r w:rsidRPr="00B433A3">
              <w:rPr>
                <w:szCs w:val="22"/>
                <w:lang w:eastAsia="zh-CN"/>
              </w:rPr>
              <w:t>14</w:t>
            </w:r>
            <w:r w:rsidR="00467932" w:rsidRPr="00B433A3">
              <w:rPr>
                <w:szCs w:val="22"/>
                <w:lang w:eastAsia="zh-CN"/>
              </w:rPr>
              <w:t xml:space="preserve"> </w:t>
            </w:r>
            <w:r w:rsidRPr="00B433A3">
              <w:rPr>
                <w:szCs w:val="22"/>
                <w:lang w:eastAsia="zh-CN"/>
              </w:rPr>
              <w:t>660</w:t>
            </w:r>
          </w:p>
        </w:tc>
        <w:tc>
          <w:tcPr>
            <w:tcW w:w="13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vAlign w:val="center"/>
            <w:hideMark/>
          </w:tcPr>
          <w:p w14:paraId="1D38A695" w14:textId="6D1D4C3F" w:rsidR="005B6A9C" w:rsidRPr="00B433A3" w:rsidRDefault="005B6A9C" w:rsidP="00B8343E">
            <w:pPr>
              <w:pStyle w:val="Tabletext"/>
              <w:jc w:val="center"/>
              <w:cnfStyle w:val="000000100000" w:firstRow="0" w:lastRow="0" w:firstColumn="0" w:lastColumn="0" w:oddVBand="0" w:evenVBand="0" w:oddHBand="1" w:evenHBand="0" w:firstRowFirstColumn="0" w:firstRowLastColumn="0" w:lastRowFirstColumn="0" w:lastRowLastColumn="0"/>
              <w:rPr>
                <w:lang w:eastAsia="zh-CN"/>
              </w:rPr>
            </w:pPr>
            <w:r w:rsidRPr="00B433A3">
              <w:rPr>
                <w:szCs w:val="22"/>
                <w:lang w:eastAsia="zh-CN"/>
              </w:rPr>
              <w:t>12</w:t>
            </w:r>
            <w:r w:rsidR="00467932" w:rsidRPr="00B433A3">
              <w:rPr>
                <w:szCs w:val="22"/>
                <w:lang w:eastAsia="zh-CN"/>
              </w:rPr>
              <w:t xml:space="preserve"> </w:t>
            </w:r>
            <w:r w:rsidRPr="00B433A3">
              <w:rPr>
                <w:szCs w:val="22"/>
                <w:lang w:eastAsia="zh-CN"/>
              </w:rPr>
              <w:t>616</w:t>
            </w:r>
          </w:p>
        </w:tc>
        <w:tc>
          <w:tcPr>
            <w:tcW w:w="95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215B50F6" w14:textId="4D21D12A" w:rsidR="005B6A9C" w:rsidRPr="00B433A3" w:rsidRDefault="005B6A9C" w:rsidP="00B8343E">
            <w:pPr>
              <w:pStyle w:val="Tabletext"/>
              <w:jc w:val="center"/>
              <w:cnfStyle w:val="000000100000" w:firstRow="0" w:lastRow="0" w:firstColumn="0" w:lastColumn="0" w:oddVBand="0" w:evenVBand="0" w:oddHBand="1" w:evenHBand="0" w:firstRowFirstColumn="0" w:firstRowLastColumn="0" w:lastRowFirstColumn="0" w:lastRowLastColumn="0"/>
              <w:rPr>
                <w:lang w:eastAsia="zh-CN"/>
              </w:rPr>
            </w:pPr>
            <w:r w:rsidRPr="00B433A3">
              <w:rPr>
                <w:szCs w:val="22"/>
                <w:lang w:eastAsia="zh-CN"/>
              </w:rPr>
              <w:t>14</w:t>
            </w:r>
            <w:r w:rsidR="00467932" w:rsidRPr="00B433A3">
              <w:rPr>
                <w:szCs w:val="22"/>
                <w:lang w:eastAsia="zh-CN"/>
              </w:rPr>
              <w:t xml:space="preserve"> </w:t>
            </w:r>
            <w:r w:rsidRPr="00B433A3">
              <w:rPr>
                <w:szCs w:val="22"/>
                <w:lang w:eastAsia="zh-CN"/>
              </w:rPr>
              <w:t>785</w:t>
            </w:r>
          </w:p>
        </w:tc>
        <w:tc>
          <w:tcPr>
            <w:tcW w:w="108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473DB500" w14:textId="10A987FC" w:rsidR="005B6A9C" w:rsidRPr="00B433A3" w:rsidRDefault="005B6A9C" w:rsidP="00B8343E">
            <w:pPr>
              <w:pStyle w:val="Tabletext"/>
              <w:jc w:val="center"/>
              <w:cnfStyle w:val="000000100000" w:firstRow="0" w:lastRow="0" w:firstColumn="0" w:lastColumn="0" w:oddVBand="0" w:evenVBand="0" w:oddHBand="1" w:evenHBand="0" w:firstRowFirstColumn="0" w:firstRowLastColumn="0" w:lastRowFirstColumn="0" w:lastRowLastColumn="0"/>
              <w:rPr>
                <w:lang w:eastAsia="zh-CN"/>
              </w:rPr>
            </w:pPr>
            <w:r w:rsidRPr="00B433A3">
              <w:rPr>
                <w:szCs w:val="22"/>
                <w:lang w:eastAsia="zh-CN"/>
              </w:rPr>
              <w:t>17</w:t>
            </w:r>
            <w:r w:rsidR="00467932" w:rsidRPr="00B433A3">
              <w:rPr>
                <w:szCs w:val="22"/>
                <w:lang w:eastAsia="zh-CN"/>
              </w:rPr>
              <w:t xml:space="preserve"> </w:t>
            </w:r>
            <w:r w:rsidRPr="00B433A3">
              <w:rPr>
                <w:szCs w:val="22"/>
                <w:lang w:eastAsia="zh-CN"/>
              </w:rPr>
              <w:t>537</w:t>
            </w:r>
          </w:p>
        </w:tc>
        <w:tc>
          <w:tcPr>
            <w:tcW w:w="124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vAlign w:val="center"/>
            <w:hideMark/>
          </w:tcPr>
          <w:p w14:paraId="25558D5B" w14:textId="396265C9" w:rsidR="005B6A9C" w:rsidRPr="00B433A3" w:rsidRDefault="005B6A9C" w:rsidP="00B8343E">
            <w:pPr>
              <w:pStyle w:val="Tabletext"/>
              <w:jc w:val="center"/>
              <w:cnfStyle w:val="000000100000" w:firstRow="0" w:lastRow="0" w:firstColumn="0" w:lastColumn="0" w:oddVBand="0" w:evenVBand="0" w:oddHBand="1" w:evenHBand="0" w:firstRowFirstColumn="0" w:firstRowLastColumn="0" w:lastRowFirstColumn="0" w:lastRowLastColumn="0"/>
              <w:rPr>
                <w:b/>
                <w:bCs/>
                <w:lang w:eastAsia="zh-CN"/>
              </w:rPr>
            </w:pPr>
            <w:r w:rsidRPr="00B433A3">
              <w:rPr>
                <w:b/>
                <w:bCs/>
                <w:szCs w:val="22"/>
                <w:lang w:eastAsia="zh-CN"/>
              </w:rPr>
              <w:t>59</w:t>
            </w:r>
            <w:r w:rsidR="00467932" w:rsidRPr="00B433A3">
              <w:rPr>
                <w:b/>
                <w:bCs/>
                <w:szCs w:val="22"/>
                <w:lang w:eastAsia="zh-CN"/>
              </w:rPr>
              <w:t xml:space="preserve"> </w:t>
            </w:r>
            <w:r w:rsidRPr="00B433A3">
              <w:rPr>
                <w:b/>
                <w:bCs/>
                <w:szCs w:val="22"/>
                <w:lang w:eastAsia="zh-CN"/>
              </w:rPr>
              <w:t>598</w:t>
            </w:r>
          </w:p>
        </w:tc>
        <w:tc>
          <w:tcPr>
            <w:tcW w:w="10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5E1C930E" w14:textId="1CFFC113" w:rsidR="005B6A9C" w:rsidRPr="00B433A3" w:rsidRDefault="005B6A9C" w:rsidP="00B8343E">
            <w:pPr>
              <w:pStyle w:val="Tabletext"/>
              <w:jc w:val="center"/>
              <w:cnfStyle w:val="000000100000" w:firstRow="0" w:lastRow="0" w:firstColumn="0" w:lastColumn="0" w:oddVBand="0" w:evenVBand="0" w:oddHBand="1" w:evenHBand="0" w:firstRowFirstColumn="0" w:firstRowLastColumn="0" w:lastRowFirstColumn="0" w:lastRowLastColumn="0"/>
              <w:rPr>
                <w:lang w:eastAsia="zh-CN"/>
              </w:rPr>
            </w:pPr>
            <w:r w:rsidRPr="00B433A3">
              <w:rPr>
                <w:szCs w:val="22"/>
                <w:lang w:eastAsia="zh-CN"/>
              </w:rPr>
              <w:t>4</w:t>
            </w:r>
            <w:r w:rsidR="00467932" w:rsidRPr="00B433A3">
              <w:rPr>
                <w:szCs w:val="22"/>
                <w:lang w:eastAsia="zh-CN"/>
              </w:rPr>
              <w:t>,</w:t>
            </w:r>
            <w:r w:rsidRPr="00B433A3">
              <w:rPr>
                <w:szCs w:val="22"/>
                <w:lang w:eastAsia="zh-CN"/>
              </w:rPr>
              <w:t>12%</w:t>
            </w:r>
          </w:p>
        </w:tc>
      </w:tr>
      <w:tr w:rsidR="005B6A9C" w:rsidRPr="00B433A3" w14:paraId="7F474CE9" w14:textId="77777777" w:rsidTr="00467932">
        <w:trPr>
          <w:trHeight w:val="330"/>
          <w:jc w:val="center"/>
        </w:trPr>
        <w:tc>
          <w:tcPr>
            <w:cnfStyle w:val="001000000000" w:firstRow="0" w:lastRow="0" w:firstColumn="1" w:lastColumn="0" w:oddVBand="0" w:evenVBand="0" w:oddHBand="0" w:evenHBand="0" w:firstRowFirstColumn="0" w:firstRowLastColumn="0" w:lastRowFirstColumn="0" w:lastRowLastColumn="0"/>
            <w:tcW w:w="1199" w:type="dxa"/>
            <w:tcBorders>
              <w:top w:val="single" w:sz="4" w:space="0" w:color="FFFFFF" w:themeColor="background1"/>
              <w:bottom w:val="single" w:sz="4" w:space="0" w:color="FFFFFF" w:themeColor="background1"/>
              <w:right w:val="single" w:sz="4" w:space="0" w:color="FFFFFF" w:themeColor="background1"/>
            </w:tcBorders>
            <w:noWrap/>
            <w:vAlign w:val="center"/>
            <w:hideMark/>
          </w:tcPr>
          <w:p w14:paraId="535DD54D" w14:textId="77777777" w:rsidR="005B6A9C" w:rsidRPr="00B433A3" w:rsidRDefault="005B6A9C" w:rsidP="00B8343E">
            <w:pPr>
              <w:pStyle w:val="Tabletext"/>
              <w:jc w:val="center"/>
              <w:rPr>
                <w:lang w:eastAsia="zh-CN"/>
              </w:rPr>
            </w:pPr>
            <w:r w:rsidRPr="00B433A3">
              <w:rPr>
                <w:szCs w:val="22"/>
                <w:lang w:eastAsia="zh-CN"/>
              </w:rPr>
              <w:t>BO</w:t>
            </w:r>
          </w:p>
        </w:tc>
        <w:tc>
          <w:tcPr>
            <w:tcW w:w="133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vAlign w:val="center"/>
            <w:hideMark/>
          </w:tcPr>
          <w:p w14:paraId="51CCCACE" w14:textId="1A0F6968" w:rsidR="005B6A9C" w:rsidRPr="00B433A3" w:rsidRDefault="005B6A9C" w:rsidP="00B8343E">
            <w:pPr>
              <w:pStyle w:val="Tabletext"/>
              <w:jc w:val="center"/>
              <w:cnfStyle w:val="000000000000" w:firstRow="0" w:lastRow="0" w:firstColumn="0" w:lastColumn="0" w:oddVBand="0" w:evenVBand="0" w:oddHBand="0" w:evenHBand="0" w:firstRowFirstColumn="0" w:firstRowLastColumn="0" w:lastRowFirstColumn="0" w:lastRowLastColumn="0"/>
              <w:rPr>
                <w:lang w:eastAsia="zh-CN"/>
              </w:rPr>
            </w:pPr>
            <w:r w:rsidRPr="00B433A3">
              <w:rPr>
                <w:szCs w:val="22"/>
                <w:lang w:eastAsia="zh-CN"/>
              </w:rPr>
              <w:t>13</w:t>
            </w:r>
            <w:r w:rsidR="00467932" w:rsidRPr="00B433A3">
              <w:rPr>
                <w:szCs w:val="22"/>
                <w:lang w:eastAsia="zh-CN"/>
              </w:rPr>
              <w:t xml:space="preserve"> </w:t>
            </w:r>
            <w:r w:rsidRPr="00B433A3">
              <w:rPr>
                <w:szCs w:val="22"/>
                <w:lang w:eastAsia="zh-CN"/>
              </w:rPr>
              <w:t>572</w:t>
            </w:r>
          </w:p>
        </w:tc>
        <w:tc>
          <w:tcPr>
            <w:tcW w:w="13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vAlign w:val="center"/>
            <w:hideMark/>
          </w:tcPr>
          <w:p w14:paraId="388D26E4" w14:textId="1802FABC" w:rsidR="005B6A9C" w:rsidRPr="00B433A3" w:rsidRDefault="005B6A9C" w:rsidP="00B8343E">
            <w:pPr>
              <w:pStyle w:val="Tabletext"/>
              <w:jc w:val="center"/>
              <w:cnfStyle w:val="000000000000" w:firstRow="0" w:lastRow="0" w:firstColumn="0" w:lastColumn="0" w:oddVBand="0" w:evenVBand="0" w:oddHBand="0" w:evenHBand="0" w:firstRowFirstColumn="0" w:firstRowLastColumn="0" w:lastRowFirstColumn="0" w:lastRowLastColumn="0"/>
              <w:rPr>
                <w:lang w:eastAsia="zh-CN"/>
              </w:rPr>
            </w:pPr>
            <w:r w:rsidRPr="00B433A3">
              <w:rPr>
                <w:szCs w:val="22"/>
                <w:lang w:eastAsia="zh-CN"/>
              </w:rPr>
              <w:t>12</w:t>
            </w:r>
            <w:r w:rsidR="00467932" w:rsidRPr="00B433A3">
              <w:rPr>
                <w:szCs w:val="22"/>
                <w:lang w:eastAsia="zh-CN"/>
              </w:rPr>
              <w:t xml:space="preserve"> </w:t>
            </w:r>
            <w:r w:rsidRPr="00B433A3">
              <w:rPr>
                <w:szCs w:val="22"/>
                <w:lang w:eastAsia="zh-CN"/>
              </w:rPr>
              <w:t>657</w:t>
            </w:r>
          </w:p>
        </w:tc>
        <w:tc>
          <w:tcPr>
            <w:tcW w:w="95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1A19BB71" w14:textId="2562292D" w:rsidR="005B6A9C" w:rsidRPr="00B433A3" w:rsidRDefault="005B6A9C" w:rsidP="00B8343E">
            <w:pPr>
              <w:pStyle w:val="Tabletext"/>
              <w:jc w:val="center"/>
              <w:cnfStyle w:val="000000000000" w:firstRow="0" w:lastRow="0" w:firstColumn="0" w:lastColumn="0" w:oddVBand="0" w:evenVBand="0" w:oddHBand="0" w:evenHBand="0" w:firstRowFirstColumn="0" w:firstRowLastColumn="0" w:lastRowFirstColumn="0" w:lastRowLastColumn="0"/>
              <w:rPr>
                <w:lang w:eastAsia="zh-CN"/>
              </w:rPr>
            </w:pPr>
            <w:r w:rsidRPr="00B433A3">
              <w:rPr>
                <w:szCs w:val="22"/>
                <w:lang w:eastAsia="zh-CN"/>
              </w:rPr>
              <w:t>14</w:t>
            </w:r>
            <w:r w:rsidR="00467932" w:rsidRPr="00B433A3">
              <w:rPr>
                <w:szCs w:val="22"/>
                <w:lang w:eastAsia="zh-CN"/>
              </w:rPr>
              <w:t xml:space="preserve"> </w:t>
            </w:r>
            <w:r w:rsidRPr="00B433A3">
              <w:rPr>
                <w:szCs w:val="22"/>
                <w:lang w:eastAsia="zh-CN"/>
              </w:rPr>
              <w:t>003</w:t>
            </w:r>
          </w:p>
        </w:tc>
        <w:tc>
          <w:tcPr>
            <w:tcW w:w="108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6838A3E2" w14:textId="52D291AF" w:rsidR="005B6A9C" w:rsidRPr="00B433A3" w:rsidRDefault="005B6A9C" w:rsidP="00B8343E">
            <w:pPr>
              <w:pStyle w:val="Tabletext"/>
              <w:jc w:val="center"/>
              <w:cnfStyle w:val="000000000000" w:firstRow="0" w:lastRow="0" w:firstColumn="0" w:lastColumn="0" w:oddVBand="0" w:evenVBand="0" w:oddHBand="0" w:evenHBand="0" w:firstRowFirstColumn="0" w:firstRowLastColumn="0" w:lastRowFirstColumn="0" w:lastRowLastColumn="0"/>
              <w:rPr>
                <w:lang w:eastAsia="zh-CN"/>
              </w:rPr>
            </w:pPr>
            <w:r w:rsidRPr="00B433A3">
              <w:rPr>
                <w:szCs w:val="22"/>
                <w:lang w:eastAsia="zh-CN"/>
              </w:rPr>
              <w:t>16</w:t>
            </w:r>
            <w:r w:rsidR="00467932" w:rsidRPr="00B433A3">
              <w:rPr>
                <w:szCs w:val="22"/>
                <w:lang w:eastAsia="zh-CN"/>
              </w:rPr>
              <w:t xml:space="preserve"> </w:t>
            </w:r>
            <w:r w:rsidRPr="00B433A3">
              <w:rPr>
                <w:szCs w:val="22"/>
                <w:lang w:eastAsia="zh-CN"/>
              </w:rPr>
              <w:t>049</w:t>
            </w:r>
          </w:p>
        </w:tc>
        <w:tc>
          <w:tcPr>
            <w:tcW w:w="124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vAlign w:val="center"/>
            <w:hideMark/>
          </w:tcPr>
          <w:p w14:paraId="5FF3FA07" w14:textId="0EE7A36B" w:rsidR="005B6A9C" w:rsidRPr="00B433A3" w:rsidRDefault="005B6A9C" w:rsidP="00B8343E">
            <w:pPr>
              <w:pStyle w:val="Tabletext"/>
              <w:jc w:val="center"/>
              <w:cnfStyle w:val="000000000000" w:firstRow="0" w:lastRow="0" w:firstColumn="0" w:lastColumn="0" w:oddVBand="0" w:evenVBand="0" w:oddHBand="0" w:evenHBand="0" w:firstRowFirstColumn="0" w:firstRowLastColumn="0" w:lastRowFirstColumn="0" w:lastRowLastColumn="0"/>
              <w:rPr>
                <w:b/>
                <w:bCs/>
                <w:lang w:eastAsia="zh-CN"/>
              </w:rPr>
            </w:pPr>
            <w:r w:rsidRPr="00B433A3">
              <w:rPr>
                <w:b/>
                <w:bCs/>
                <w:szCs w:val="22"/>
                <w:lang w:eastAsia="zh-CN"/>
              </w:rPr>
              <w:t>56</w:t>
            </w:r>
            <w:r w:rsidR="00467932" w:rsidRPr="00B433A3">
              <w:rPr>
                <w:b/>
                <w:bCs/>
                <w:szCs w:val="22"/>
                <w:lang w:eastAsia="zh-CN"/>
              </w:rPr>
              <w:t xml:space="preserve"> </w:t>
            </w:r>
            <w:r w:rsidRPr="00B433A3">
              <w:rPr>
                <w:b/>
                <w:bCs/>
                <w:szCs w:val="22"/>
                <w:lang w:eastAsia="zh-CN"/>
              </w:rPr>
              <w:t>281</w:t>
            </w:r>
          </w:p>
        </w:tc>
        <w:tc>
          <w:tcPr>
            <w:tcW w:w="10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2DCBD215" w14:textId="57CB7242" w:rsidR="005B6A9C" w:rsidRPr="00B433A3" w:rsidRDefault="005B6A9C" w:rsidP="00B8343E">
            <w:pPr>
              <w:pStyle w:val="Tabletext"/>
              <w:jc w:val="center"/>
              <w:cnfStyle w:val="000000000000" w:firstRow="0" w:lastRow="0" w:firstColumn="0" w:lastColumn="0" w:oddVBand="0" w:evenVBand="0" w:oddHBand="0" w:evenHBand="0" w:firstRowFirstColumn="0" w:firstRowLastColumn="0" w:lastRowFirstColumn="0" w:lastRowLastColumn="0"/>
              <w:rPr>
                <w:lang w:eastAsia="zh-CN"/>
              </w:rPr>
            </w:pPr>
            <w:r w:rsidRPr="00B433A3">
              <w:rPr>
                <w:szCs w:val="22"/>
                <w:lang w:eastAsia="zh-CN"/>
              </w:rPr>
              <w:t>3</w:t>
            </w:r>
            <w:r w:rsidR="00467932" w:rsidRPr="00B433A3">
              <w:rPr>
                <w:szCs w:val="22"/>
                <w:lang w:eastAsia="zh-CN"/>
              </w:rPr>
              <w:t>,</w:t>
            </w:r>
            <w:r w:rsidRPr="00B433A3">
              <w:rPr>
                <w:szCs w:val="22"/>
                <w:lang w:eastAsia="zh-CN"/>
              </w:rPr>
              <w:t>89%</w:t>
            </w:r>
          </w:p>
        </w:tc>
      </w:tr>
      <w:tr w:rsidR="005B6A9C" w:rsidRPr="00B433A3" w14:paraId="5BACC693" w14:textId="77777777" w:rsidTr="00467932">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1199" w:type="dxa"/>
            <w:tcBorders>
              <w:top w:val="single" w:sz="4" w:space="0" w:color="FFFFFF" w:themeColor="background1"/>
              <w:bottom w:val="single" w:sz="4" w:space="0" w:color="FFFFFF" w:themeColor="background1"/>
              <w:right w:val="single" w:sz="4" w:space="0" w:color="FFFFFF" w:themeColor="background1"/>
            </w:tcBorders>
            <w:noWrap/>
            <w:vAlign w:val="center"/>
            <w:hideMark/>
          </w:tcPr>
          <w:p w14:paraId="6D5E8C50" w14:textId="77777777" w:rsidR="005B6A9C" w:rsidRPr="00B433A3" w:rsidRDefault="005B6A9C" w:rsidP="00B8343E">
            <w:pPr>
              <w:pStyle w:val="Tabletext"/>
              <w:jc w:val="center"/>
              <w:rPr>
                <w:lang w:eastAsia="zh-CN"/>
              </w:rPr>
            </w:pPr>
            <w:r w:rsidRPr="00B433A3">
              <w:rPr>
                <w:szCs w:val="22"/>
                <w:lang w:eastAsia="zh-CN"/>
              </w:rPr>
              <w:t>F</w:t>
            </w:r>
          </w:p>
        </w:tc>
        <w:tc>
          <w:tcPr>
            <w:tcW w:w="133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vAlign w:val="center"/>
            <w:hideMark/>
          </w:tcPr>
          <w:p w14:paraId="5F39DB10" w14:textId="5C4B876E" w:rsidR="005B6A9C" w:rsidRPr="00B433A3" w:rsidRDefault="005B6A9C" w:rsidP="00B8343E">
            <w:pPr>
              <w:pStyle w:val="Tabletext"/>
              <w:jc w:val="center"/>
              <w:cnfStyle w:val="000000100000" w:firstRow="0" w:lastRow="0" w:firstColumn="0" w:lastColumn="0" w:oddVBand="0" w:evenVBand="0" w:oddHBand="1" w:evenHBand="0" w:firstRowFirstColumn="0" w:firstRowLastColumn="0" w:lastRowFirstColumn="0" w:lastRowLastColumn="0"/>
              <w:rPr>
                <w:lang w:eastAsia="zh-CN"/>
              </w:rPr>
            </w:pPr>
            <w:r w:rsidRPr="00B433A3">
              <w:rPr>
                <w:szCs w:val="22"/>
                <w:lang w:eastAsia="zh-CN"/>
              </w:rPr>
              <w:t>11</w:t>
            </w:r>
            <w:r w:rsidR="00467932" w:rsidRPr="00B433A3">
              <w:rPr>
                <w:szCs w:val="22"/>
                <w:lang w:eastAsia="zh-CN"/>
              </w:rPr>
              <w:t xml:space="preserve"> </w:t>
            </w:r>
            <w:r w:rsidRPr="00B433A3">
              <w:rPr>
                <w:szCs w:val="22"/>
                <w:lang w:eastAsia="zh-CN"/>
              </w:rPr>
              <w:t>857</w:t>
            </w:r>
          </w:p>
        </w:tc>
        <w:tc>
          <w:tcPr>
            <w:tcW w:w="13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vAlign w:val="center"/>
            <w:hideMark/>
          </w:tcPr>
          <w:p w14:paraId="4995D459" w14:textId="4559BCDD" w:rsidR="005B6A9C" w:rsidRPr="00B433A3" w:rsidRDefault="005B6A9C" w:rsidP="00B8343E">
            <w:pPr>
              <w:pStyle w:val="Tabletext"/>
              <w:jc w:val="center"/>
              <w:cnfStyle w:val="000000100000" w:firstRow="0" w:lastRow="0" w:firstColumn="0" w:lastColumn="0" w:oddVBand="0" w:evenVBand="0" w:oddHBand="1" w:evenHBand="0" w:firstRowFirstColumn="0" w:firstRowLastColumn="0" w:lastRowFirstColumn="0" w:lastRowLastColumn="0"/>
              <w:rPr>
                <w:lang w:eastAsia="zh-CN"/>
              </w:rPr>
            </w:pPr>
            <w:r w:rsidRPr="00B433A3">
              <w:rPr>
                <w:szCs w:val="22"/>
                <w:lang w:eastAsia="zh-CN"/>
              </w:rPr>
              <w:t>13</w:t>
            </w:r>
            <w:r w:rsidR="00467932" w:rsidRPr="00B433A3">
              <w:rPr>
                <w:szCs w:val="22"/>
                <w:lang w:eastAsia="zh-CN"/>
              </w:rPr>
              <w:t xml:space="preserve"> </w:t>
            </w:r>
            <w:r w:rsidRPr="00B433A3">
              <w:rPr>
                <w:szCs w:val="22"/>
                <w:lang w:eastAsia="zh-CN"/>
              </w:rPr>
              <w:t>398</w:t>
            </w:r>
          </w:p>
        </w:tc>
        <w:tc>
          <w:tcPr>
            <w:tcW w:w="95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14002484" w14:textId="41D272EC" w:rsidR="005B6A9C" w:rsidRPr="00B433A3" w:rsidRDefault="005B6A9C" w:rsidP="00B8343E">
            <w:pPr>
              <w:pStyle w:val="Tabletext"/>
              <w:jc w:val="center"/>
              <w:cnfStyle w:val="000000100000" w:firstRow="0" w:lastRow="0" w:firstColumn="0" w:lastColumn="0" w:oddVBand="0" w:evenVBand="0" w:oddHBand="1" w:evenHBand="0" w:firstRowFirstColumn="0" w:firstRowLastColumn="0" w:lastRowFirstColumn="0" w:lastRowLastColumn="0"/>
              <w:rPr>
                <w:lang w:eastAsia="zh-CN"/>
              </w:rPr>
            </w:pPr>
            <w:r w:rsidRPr="00B433A3">
              <w:rPr>
                <w:szCs w:val="22"/>
                <w:lang w:eastAsia="zh-CN"/>
              </w:rPr>
              <w:t>12</w:t>
            </w:r>
            <w:r w:rsidR="00467932" w:rsidRPr="00B433A3">
              <w:rPr>
                <w:szCs w:val="22"/>
                <w:lang w:eastAsia="zh-CN"/>
              </w:rPr>
              <w:t xml:space="preserve"> </w:t>
            </w:r>
            <w:r w:rsidRPr="00B433A3">
              <w:rPr>
                <w:szCs w:val="22"/>
                <w:lang w:eastAsia="zh-CN"/>
              </w:rPr>
              <w:t>411</w:t>
            </w:r>
          </w:p>
        </w:tc>
        <w:tc>
          <w:tcPr>
            <w:tcW w:w="108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648588AF" w14:textId="732BB6D2" w:rsidR="005B6A9C" w:rsidRPr="00B433A3" w:rsidRDefault="005B6A9C" w:rsidP="00B8343E">
            <w:pPr>
              <w:pStyle w:val="Tabletext"/>
              <w:jc w:val="center"/>
              <w:cnfStyle w:val="000000100000" w:firstRow="0" w:lastRow="0" w:firstColumn="0" w:lastColumn="0" w:oddVBand="0" w:evenVBand="0" w:oddHBand="1" w:evenHBand="0" w:firstRowFirstColumn="0" w:firstRowLastColumn="0" w:lastRowFirstColumn="0" w:lastRowLastColumn="0"/>
              <w:rPr>
                <w:lang w:eastAsia="zh-CN"/>
              </w:rPr>
            </w:pPr>
            <w:r w:rsidRPr="00B433A3">
              <w:rPr>
                <w:szCs w:val="22"/>
                <w:lang w:eastAsia="zh-CN"/>
              </w:rPr>
              <w:t>14</w:t>
            </w:r>
            <w:r w:rsidR="00467932" w:rsidRPr="00B433A3">
              <w:rPr>
                <w:szCs w:val="22"/>
                <w:lang w:eastAsia="zh-CN"/>
              </w:rPr>
              <w:t xml:space="preserve"> </w:t>
            </w:r>
            <w:r w:rsidRPr="00B433A3">
              <w:rPr>
                <w:szCs w:val="22"/>
                <w:lang w:eastAsia="zh-CN"/>
              </w:rPr>
              <w:t>513</w:t>
            </w:r>
          </w:p>
        </w:tc>
        <w:tc>
          <w:tcPr>
            <w:tcW w:w="124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vAlign w:val="center"/>
            <w:hideMark/>
          </w:tcPr>
          <w:p w14:paraId="71D98C45" w14:textId="6775081A" w:rsidR="005B6A9C" w:rsidRPr="00B433A3" w:rsidRDefault="005B6A9C" w:rsidP="00B8343E">
            <w:pPr>
              <w:pStyle w:val="Tabletext"/>
              <w:jc w:val="center"/>
              <w:cnfStyle w:val="000000100000" w:firstRow="0" w:lastRow="0" w:firstColumn="0" w:lastColumn="0" w:oddVBand="0" w:evenVBand="0" w:oddHBand="1" w:evenHBand="0" w:firstRowFirstColumn="0" w:firstRowLastColumn="0" w:lastRowFirstColumn="0" w:lastRowLastColumn="0"/>
              <w:rPr>
                <w:b/>
                <w:bCs/>
                <w:lang w:eastAsia="zh-CN"/>
              </w:rPr>
            </w:pPr>
            <w:r w:rsidRPr="00B433A3">
              <w:rPr>
                <w:b/>
                <w:bCs/>
                <w:szCs w:val="22"/>
                <w:lang w:eastAsia="zh-CN"/>
              </w:rPr>
              <w:t>52</w:t>
            </w:r>
            <w:r w:rsidR="00467932" w:rsidRPr="00B433A3">
              <w:rPr>
                <w:b/>
                <w:bCs/>
                <w:szCs w:val="22"/>
                <w:lang w:eastAsia="zh-CN"/>
              </w:rPr>
              <w:t xml:space="preserve"> </w:t>
            </w:r>
            <w:r w:rsidRPr="00B433A3">
              <w:rPr>
                <w:b/>
                <w:bCs/>
                <w:szCs w:val="22"/>
                <w:lang w:eastAsia="zh-CN"/>
              </w:rPr>
              <w:t>179</w:t>
            </w:r>
          </w:p>
        </w:tc>
        <w:tc>
          <w:tcPr>
            <w:tcW w:w="10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41E72615" w14:textId="02C7EA13" w:rsidR="005B6A9C" w:rsidRPr="00B433A3" w:rsidRDefault="005B6A9C" w:rsidP="00B8343E">
            <w:pPr>
              <w:pStyle w:val="Tabletext"/>
              <w:jc w:val="center"/>
              <w:cnfStyle w:val="000000100000" w:firstRow="0" w:lastRow="0" w:firstColumn="0" w:lastColumn="0" w:oddVBand="0" w:evenVBand="0" w:oddHBand="1" w:evenHBand="0" w:firstRowFirstColumn="0" w:firstRowLastColumn="0" w:lastRowFirstColumn="0" w:lastRowLastColumn="0"/>
              <w:rPr>
                <w:lang w:eastAsia="zh-CN"/>
              </w:rPr>
            </w:pPr>
            <w:r w:rsidRPr="00B433A3">
              <w:rPr>
                <w:szCs w:val="22"/>
                <w:lang w:eastAsia="zh-CN"/>
              </w:rPr>
              <w:t>3</w:t>
            </w:r>
            <w:r w:rsidR="00467932" w:rsidRPr="00B433A3">
              <w:rPr>
                <w:szCs w:val="22"/>
                <w:lang w:eastAsia="zh-CN"/>
              </w:rPr>
              <w:t>,</w:t>
            </w:r>
            <w:r w:rsidRPr="00B433A3">
              <w:rPr>
                <w:szCs w:val="22"/>
                <w:lang w:eastAsia="zh-CN"/>
              </w:rPr>
              <w:t>61%</w:t>
            </w:r>
          </w:p>
        </w:tc>
      </w:tr>
      <w:tr w:rsidR="005B6A9C" w:rsidRPr="00B433A3" w14:paraId="1BB6F7B3" w14:textId="77777777" w:rsidTr="00467932">
        <w:trPr>
          <w:trHeight w:val="330"/>
          <w:jc w:val="center"/>
        </w:trPr>
        <w:tc>
          <w:tcPr>
            <w:cnfStyle w:val="001000000000" w:firstRow="0" w:lastRow="0" w:firstColumn="1" w:lastColumn="0" w:oddVBand="0" w:evenVBand="0" w:oddHBand="0" w:evenHBand="0" w:firstRowFirstColumn="0" w:firstRowLastColumn="0" w:lastRowFirstColumn="0" w:lastRowLastColumn="0"/>
            <w:tcW w:w="1199" w:type="dxa"/>
            <w:tcBorders>
              <w:top w:val="single" w:sz="4" w:space="0" w:color="FFFFFF" w:themeColor="background1"/>
              <w:bottom w:val="single" w:sz="4" w:space="0" w:color="FFFFFF" w:themeColor="background1"/>
              <w:right w:val="single" w:sz="4" w:space="0" w:color="FFFFFF" w:themeColor="background1"/>
            </w:tcBorders>
            <w:noWrap/>
            <w:vAlign w:val="center"/>
            <w:hideMark/>
          </w:tcPr>
          <w:p w14:paraId="0E4AD22B" w14:textId="77777777" w:rsidR="005B6A9C" w:rsidRPr="00B433A3" w:rsidRDefault="005B6A9C" w:rsidP="00B8343E">
            <w:pPr>
              <w:pStyle w:val="Tabletext"/>
              <w:jc w:val="center"/>
              <w:rPr>
                <w:lang w:eastAsia="zh-CN"/>
              </w:rPr>
            </w:pPr>
            <w:r w:rsidRPr="00B433A3">
              <w:rPr>
                <w:szCs w:val="22"/>
                <w:lang w:eastAsia="zh-CN"/>
              </w:rPr>
              <w:t>S</w:t>
            </w:r>
          </w:p>
        </w:tc>
        <w:tc>
          <w:tcPr>
            <w:tcW w:w="133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vAlign w:val="center"/>
            <w:hideMark/>
          </w:tcPr>
          <w:p w14:paraId="676D6A26" w14:textId="58978032" w:rsidR="005B6A9C" w:rsidRPr="00B433A3" w:rsidRDefault="005B6A9C" w:rsidP="00B8343E">
            <w:pPr>
              <w:pStyle w:val="Tabletext"/>
              <w:jc w:val="center"/>
              <w:cnfStyle w:val="000000000000" w:firstRow="0" w:lastRow="0" w:firstColumn="0" w:lastColumn="0" w:oddVBand="0" w:evenVBand="0" w:oddHBand="0" w:evenHBand="0" w:firstRowFirstColumn="0" w:firstRowLastColumn="0" w:lastRowFirstColumn="0" w:lastRowLastColumn="0"/>
              <w:rPr>
                <w:lang w:eastAsia="zh-CN"/>
              </w:rPr>
            </w:pPr>
            <w:r w:rsidRPr="00B433A3">
              <w:rPr>
                <w:szCs w:val="22"/>
                <w:lang w:eastAsia="zh-CN"/>
              </w:rPr>
              <w:t>7</w:t>
            </w:r>
            <w:r w:rsidR="00467932" w:rsidRPr="00B433A3">
              <w:rPr>
                <w:szCs w:val="22"/>
                <w:lang w:eastAsia="zh-CN"/>
              </w:rPr>
              <w:t xml:space="preserve"> </w:t>
            </w:r>
            <w:r w:rsidRPr="00B433A3">
              <w:rPr>
                <w:szCs w:val="22"/>
                <w:lang w:eastAsia="zh-CN"/>
              </w:rPr>
              <w:t>784</w:t>
            </w:r>
          </w:p>
        </w:tc>
        <w:tc>
          <w:tcPr>
            <w:tcW w:w="13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vAlign w:val="center"/>
            <w:hideMark/>
          </w:tcPr>
          <w:p w14:paraId="6B8E2C49" w14:textId="1EAF3777" w:rsidR="005B6A9C" w:rsidRPr="00B433A3" w:rsidRDefault="005B6A9C" w:rsidP="00B8343E">
            <w:pPr>
              <w:pStyle w:val="Tabletext"/>
              <w:jc w:val="center"/>
              <w:cnfStyle w:val="000000000000" w:firstRow="0" w:lastRow="0" w:firstColumn="0" w:lastColumn="0" w:oddVBand="0" w:evenVBand="0" w:oddHBand="0" w:evenHBand="0" w:firstRowFirstColumn="0" w:firstRowLastColumn="0" w:lastRowFirstColumn="0" w:lastRowLastColumn="0"/>
              <w:rPr>
                <w:lang w:eastAsia="zh-CN"/>
              </w:rPr>
            </w:pPr>
            <w:r w:rsidRPr="00B433A3">
              <w:rPr>
                <w:szCs w:val="22"/>
                <w:lang w:eastAsia="zh-CN"/>
              </w:rPr>
              <w:t>9</w:t>
            </w:r>
            <w:r w:rsidR="00467932" w:rsidRPr="00B433A3">
              <w:rPr>
                <w:szCs w:val="22"/>
                <w:lang w:eastAsia="zh-CN"/>
              </w:rPr>
              <w:t xml:space="preserve"> </w:t>
            </w:r>
            <w:r w:rsidRPr="00B433A3">
              <w:rPr>
                <w:szCs w:val="22"/>
                <w:lang w:eastAsia="zh-CN"/>
              </w:rPr>
              <w:t>469</w:t>
            </w:r>
          </w:p>
        </w:tc>
        <w:tc>
          <w:tcPr>
            <w:tcW w:w="95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4845EFB8" w14:textId="418F9DD4" w:rsidR="005B6A9C" w:rsidRPr="00B433A3" w:rsidRDefault="005B6A9C" w:rsidP="00B8343E">
            <w:pPr>
              <w:pStyle w:val="Tabletext"/>
              <w:jc w:val="center"/>
              <w:cnfStyle w:val="000000000000" w:firstRow="0" w:lastRow="0" w:firstColumn="0" w:lastColumn="0" w:oddVBand="0" w:evenVBand="0" w:oddHBand="0" w:evenHBand="0" w:firstRowFirstColumn="0" w:firstRowLastColumn="0" w:lastRowFirstColumn="0" w:lastRowLastColumn="0"/>
              <w:rPr>
                <w:lang w:eastAsia="zh-CN"/>
              </w:rPr>
            </w:pPr>
            <w:r w:rsidRPr="00B433A3">
              <w:rPr>
                <w:szCs w:val="22"/>
                <w:lang w:eastAsia="zh-CN"/>
              </w:rPr>
              <w:t>10</w:t>
            </w:r>
            <w:r w:rsidR="00467932" w:rsidRPr="00B433A3">
              <w:rPr>
                <w:szCs w:val="22"/>
                <w:lang w:eastAsia="zh-CN"/>
              </w:rPr>
              <w:t xml:space="preserve"> </w:t>
            </w:r>
            <w:r w:rsidRPr="00B433A3">
              <w:rPr>
                <w:szCs w:val="22"/>
                <w:lang w:eastAsia="zh-CN"/>
              </w:rPr>
              <w:t>001</w:t>
            </w:r>
          </w:p>
        </w:tc>
        <w:tc>
          <w:tcPr>
            <w:tcW w:w="108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3E0A41C8" w14:textId="6F1184BB" w:rsidR="005B6A9C" w:rsidRPr="00B433A3" w:rsidRDefault="005B6A9C" w:rsidP="00B8343E">
            <w:pPr>
              <w:pStyle w:val="Tabletext"/>
              <w:jc w:val="center"/>
              <w:cnfStyle w:val="000000000000" w:firstRow="0" w:lastRow="0" w:firstColumn="0" w:lastColumn="0" w:oddVBand="0" w:evenVBand="0" w:oddHBand="0" w:evenHBand="0" w:firstRowFirstColumn="0" w:firstRowLastColumn="0" w:lastRowFirstColumn="0" w:lastRowLastColumn="0"/>
              <w:rPr>
                <w:lang w:eastAsia="zh-CN"/>
              </w:rPr>
            </w:pPr>
            <w:r w:rsidRPr="00B433A3">
              <w:rPr>
                <w:szCs w:val="22"/>
                <w:lang w:eastAsia="zh-CN"/>
              </w:rPr>
              <w:t>9</w:t>
            </w:r>
            <w:r w:rsidR="00467932" w:rsidRPr="00B433A3">
              <w:rPr>
                <w:szCs w:val="22"/>
                <w:lang w:eastAsia="zh-CN"/>
              </w:rPr>
              <w:t xml:space="preserve"> </w:t>
            </w:r>
            <w:r w:rsidRPr="00B433A3">
              <w:rPr>
                <w:szCs w:val="22"/>
                <w:lang w:eastAsia="zh-CN"/>
              </w:rPr>
              <w:t>494</w:t>
            </w:r>
          </w:p>
        </w:tc>
        <w:tc>
          <w:tcPr>
            <w:tcW w:w="124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vAlign w:val="center"/>
            <w:hideMark/>
          </w:tcPr>
          <w:p w14:paraId="2A8A6AA0" w14:textId="0FC4AB2F" w:rsidR="005B6A9C" w:rsidRPr="00B433A3" w:rsidRDefault="005B6A9C" w:rsidP="00B8343E">
            <w:pPr>
              <w:pStyle w:val="Tabletext"/>
              <w:jc w:val="center"/>
              <w:cnfStyle w:val="000000000000" w:firstRow="0" w:lastRow="0" w:firstColumn="0" w:lastColumn="0" w:oddVBand="0" w:evenVBand="0" w:oddHBand="0" w:evenHBand="0" w:firstRowFirstColumn="0" w:firstRowLastColumn="0" w:lastRowFirstColumn="0" w:lastRowLastColumn="0"/>
              <w:rPr>
                <w:b/>
                <w:bCs/>
                <w:lang w:eastAsia="zh-CN"/>
              </w:rPr>
            </w:pPr>
            <w:r w:rsidRPr="00B433A3">
              <w:rPr>
                <w:b/>
                <w:bCs/>
                <w:szCs w:val="22"/>
                <w:lang w:eastAsia="zh-CN"/>
              </w:rPr>
              <w:t>36</w:t>
            </w:r>
            <w:r w:rsidR="00467932" w:rsidRPr="00B433A3">
              <w:rPr>
                <w:b/>
                <w:bCs/>
                <w:szCs w:val="22"/>
                <w:lang w:eastAsia="zh-CN"/>
              </w:rPr>
              <w:t xml:space="preserve"> </w:t>
            </w:r>
            <w:r w:rsidRPr="00B433A3">
              <w:rPr>
                <w:b/>
                <w:bCs/>
                <w:szCs w:val="22"/>
                <w:lang w:eastAsia="zh-CN"/>
              </w:rPr>
              <w:t>748</w:t>
            </w:r>
          </w:p>
        </w:tc>
        <w:tc>
          <w:tcPr>
            <w:tcW w:w="10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1B295538" w14:textId="1C9241C9" w:rsidR="005B6A9C" w:rsidRPr="00B433A3" w:rsidRDefault="005B6A9C" w:rsidP="00B8343E">
            <w:pPr>
              <w:pStyle w:val="Tabletext"/>
              <w:jc w:val="center"/>
              <w:cnfStyle w:val="000000000000" w:firstRow="0" w:lastRow="0" w:firstColumn="0" w:lastColumn="0" w:oddVBand="0" w:evenVBand="0" w:oddHBand="0" w:evenHBand="0" w:firstRowFirstColumn="0" w:firstRowLastColumn="0" w:lastRowFirstColumn="0" w:lastRowLastColumn="0"/>
              <w:rPr>
                <w:lang w:eastAsia="zh-CN"/>
              </w:rPr>
            </w:pPr>
            <w:r w:rsidRPr="00B433A3">
              <w:rPr>
                <w:szCs w:val="22"/>
                <w:lang w:eastAsia="zh-CN"/>
              </w:rPr>
              <w:t>2</w:t>
            </w:r>
            <w:r w:rsidR="00467932" w:rsidRPr="00B433A3">
              <w:rPr>
                <w:szCs w:val="22"/>
                <w:lang w:eastAsia="zh-CN"/>
              </w:rPr>
              <w:t>,</w:t>
            </w:r>
            <w:r w:rsidRPr="00B433A3">
              <w:rPr>
                <w:szCs w:val="22"/>
                <w:lang w:eastAsia="zh-CN"/>
              </w:rPr>
              <w:t>54%</w:t>
            </w:r>
          </w:p>
        </w:tc>
      </w:tr>
      <w:tr w:rsidR="005B6A9C" w:rsidRPr="00B433A3" w14:paraId="463FD0E5" w14:textId="77777777" w:rsidTr="00467932">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1199" w:type="dxa"/>
            <w:tcBorders>
              <w:top w:val="single" w:sz="4" w:space="0" w:color="FFFFFF" w:themeColor="background1"/>
              <w:bottom w:val="single" w:sz="4" w:space="0" w:color="FFFFFF" w:themeColor="background1"/>
              <w:right w:val="single" w:sz="4" w:space="0" w:color="FFFFFF" w:themeColor="background1"/>
            </w:tcBorders>
            <w:noWrap/>
            <w:vAlign w:val="center"/>
            <w:hideMark/>
          </w:tcPr>
          <w:p w14:paraId="554943E6" w14:textId="77777777" w:rsidR="005B6A9C" w:rsidRPr="00B433A3" w:rsidRDefault="005B6A9C" w:rsidP="00B8343E">
            <w:pPr>
              <w:pStyle w:val="Tabletext"/>
              <w:jc w:val="center"/>
              <w:rPr>
                <w:lang w:eastAsia="zh-CN"/>
              </w:rPr>
            </w:pPr>
            <w:r w:rsidRPr="00B433A3">
              <w:rPr>
                <w:szCs w:val="22"/>
                <w:lang w:eastAsia="zh-CN"/>
              </w:rPr>
              <w:t>SA</w:t>
            </w:r>
          </w:p>
        </w:tc>
        <w:tc>
          <w:tcPr>
            <w:tcW w:w="133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vAlign w:val="center"/>
            <w:hideMark/>
          </w:tcPr>
          <w:p w14:paraId="76BEBF65" w14:textId="471DD3F5" w:rsidR="005B6A9C" w:rsidRPr="00B433A3" w:rsidRDefault="005B6A9C" w:rsidP="00B8343E">
            <w:pPr>
              <w:pStyle w:val="Tabletext"/>
              <w:jc w:val="center"/>
              <w:cnfStyle w:val="000000100000" w:firstRow="0" w:lastRow="0" w:firstColumn="0" w:lastColumn="0" w:oddVBand="0" w:evenVBand="0" w:oddHBand="1" w:evenHBand="0" w:firstRowFirstColumn="0" w:firstRowLastColumn="0" w:lastRowFirstColumn="0" w:lastRowLastColumn="0"/>
              <w:rPr>
                <w:lang w:eastAsia="zh-CN"/>
              </w:rPr>
            </w:pPr>
            <w:r w:rsidRPr="00B433A3">
              <w:rPr>
                <w:szCs w:val="22"/>
                <w:lang w:eastAsia="zh-CN"/>
              </w:rPr>
              <w:t>5</w:t>
            </w:r>
            <w:r w:rsidR="00467932" w:rsidRPr="00B433A3">
              <w:rPr>
                <w:szCs w:val="22"/>
                <w:lang w:eastAsia="zh-CN"/>
              </w:rPr>
              <w:t xml:space="preserve"> </w:t>
            </w:r>
            <w:r w:rsidRPr="00B433A3">
              <w:rPr>
                <w:szCs w:val="22"/>
                <w:lang w:eastAsia="zh-CN"/>
              </w:rPr>
              <w:t>557</w:t>
            </w:r>
          </w:p>
        </w:tc>
        <w:tc>
          <w:tcPr>
            <w:tcW w:w="13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vAlign w:val="center"/>
            <w:hideMark/>
          </w:tcPr>
          <w:p w14:paraId="0EC174AA" w14:textId="42EF8727" w:rsidR="005B6A9C" w:rsidRPr="00B433A3" w:rsidRDefault="005B6A9C" w:rsidP="00B8343E">
            <w:pPr>
              <w:pStyle w:val="Tabletext"/>
              <w:jc w:val="center"/>
              <w:cnfStyle w:val="000000100000" w:firstRow="0" w:lastRow="0" w:firstColumn="0" w:lastColumn="0" w:oddVBand="0" w:evenVBand="0" w:oddHBand="1" w:evenHBand="0" w:firstRowFirstColumn="0" w:firstRowLastColumn="0" w:lastRowFirstColumn="0" w:lastRowLastColumn="0"/>
              <w:rPr>
                <w:color w:val="000000"/>
                <w:lang w:eastAsia="zh-CN"/>
              </w:rPr>
            </w:pPr>
            <w:r w:rsidRPr="00B433A3">
              <w:rPr>
                <w:szCs w:val="22"/>
                <w:lang w:eastAsia="zh-CN"/>
              </w:rPr>
              <w:t>6</w:t>
            </w:r>
            <w:r w:rsidR="00467932" w:rsidRPr="00B433A3">
              <w:rPr>
                <w:szCs w:val="22"/>
                <w:lang w:eastAsia="zh-CN"/>
              </w:rPr>
              <w:t xml:space="preserve"> </w:t>
            </w:r>
            <w:r w:rsidRPr="00B433A3">
              <w:rPr>
                <w:szCs w:val="22"/>
                <w:lang w:eastAsia="zh-CN"/>
              </w:rPr>
              <w:t>424</w:t>
            </w:r>
          </w:p>
        </w:tc>
        <w:tc>
          <w:tcPr>
            <w:tcW w:w="95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2EA551AF" w14:textId="3DA69C8A" w:rsidR="005B6A9C" w:rsidRPr="00B433A3" w:rsidRDefault="005B6A9C" w:rsidP="00B8343E">
            <w:pPr>
              <w:pStyle w:val="Tabletext"/>
              <w:jc w:val="center"/>
              <w:cnfStyle w:val="000000100000" w:firstRow="0" w:lastRow="0" w:firstColumn="0" w:lastColumn="0" w:oddVBand="0" w:evenVBand="0" w:oddHBand="1" w:evenHBand="0" w:firstRowFirstColumn="0" w:firstRowLastColumn="0" w:lastRowFirstColumn="0" w:lastRowLastColumn="0"/>
              <w:rPr>
                <w:lang w:eastAsia="zh-CN"/>
              </w:rPr>
            </w:pPr>
            <w:r w:rsidRPr="00B433A3">
              <w:rPr>
                <w:szCs w:val="22"/>
                <w:lang w:eastAsia="zh-CN"/>
              </w:rPr>
              <w:t>5</w:t>
            </w:r>
            <w:r w:rsidR="00467932" w:rsidRPr="00B433A3">
              <w:rPr>
                <w:szCs w:val="22"/>
                <w:lang w:eastAsia="zh-CN"/>
              </w:rPr>
              <w:t xml:space="preserve"> </w:t>
            </w:r>
            <w:r w:rsidRPr="00B433A3">
              <w:rPr>
                <w:szCs w:val="22"/>
                <w:lang w:eastAsia="zh-CN"/>
              </w:rPr>
              <w:t>547</w:t>
            </w:r>
          </w:p>
        </w:tc>
        <w:tc>
          <w:tcPr>
            <w:tcW w:w="108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173B7BB2" w14:textId="0E1DF040" w:rsidR="005B6A9C" w:rsidRPr="00B433A3" w:rsidRDefault="005B6A9C" w:rsidP="00B8343E">
            <w:pPr>
              <w:pStyle w:val="Tabletext"/>
              <w:jc w:val="center"/>
              <w:cnfStyle w:val="000000100000" w:firstRow="0" w:lastRow="0" w:firstColumn="0" w:lastColumn="0" w:oddVBand="0" w:evenVBand="0" w:oddHBand="1" w:evenHBand="0" w:firstRowFirstColumn="0" w:firstRowLastColumn="0" w:lastRowFirstColumn="0" w:lastRowLastColumn="0"/>
              <w:rPr>
                <w:lang w:eastAsia="zh-CN"/>
              </w:rPr>
            </w:pPr>
            <w:r w:rsidRPr="00B433A3">
              <w:rPr>
                <w:szCs w:val="22"/>
                <w:lang w:eastAsia="zh-CN"/>
              </w:rPr>
              <w:t>8</w:t>
            </w:r>
            <w:r w:rsidR="00467932" w:rsidRPr="00B433A3">
              <w:rPr>
                <w:szCs w:val="22"/>
                <w:lang w:eastAsia="zh-CN"/>
              </w:rPr>
              <w:t xml:space="preserve"> </w:t>
            </w:r>
            <w:r w:rsidRPr="00B433A3">
              <w:rPr>
                <w:szCs w:val="22"/>
                <w:lang w:eastAsia="zh-CN"/>
              </w:rPr>
              <w:t>830</w:t>
            </w:r>
          </w:p>
        </w:tc>
        <w:tc>
          <w:tcPr>
            <w:tcW w:w="124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vAlign w:val="center"/>
            <w:hideMark/>
          </w:tcPr>
          <w:p w14:paraId="60051C53" w14:textId="06E7E678" w:rsidR="005B6A9C" w:rsidRPr="00B433A3" w:rsidRDefault="005B6A9C" w:rsidP="00B8343E">
            <w:pPr>
              <w:pStyle w:val="Tabletext"/>
              <w:jc w:val="center"/>
              <w:cnfStyle w:val="000000100000" w:firstRow="0" w:lastRow="0" w:firstColumn="0" w:lastColumn="0" w:oddVBand="0" w:evenVBand="0" w:oddHBand="1" w:evenHBand="0" w:firstRowFirstColumn="0" w:firstRowLastColumn="0" w:lastRowFirstColumn="0" w:lastRowLastColumn="0"/>
              <w:rPr>
                <w:b/>
                <w:bCs/>
                <w:lang w:eastAsia="zh-CN"/>
              </w:rPr>
            </w:pPr>
            <w:r w:rsidRPr="00B433A3">
              <w:rPr>
                <w:b/>
                <w:bCs/>
                <w:szCs w:val="22"/>
                <w:lang w:eastAsia="zh-CN"/>
              </w:rPr>
              <w:t>26</w:t>
            </w:r>
            <w:r w:rsidR="00467932" w:rsidRPr="00B433A3">
              <w:rPr>
                <w:b/>
                <w:bCs/>
                <w:szCs w:val="22"/>
                <w:lang w:eastAsia="zh-CN"/>
              </w:rPr>
              <w:t xml:space="preserve"> </w:t>
            </w:r>
            <w:r w:rsidRPr="00B433A3">
              <w:rPr>
                <w:b/>
                <w:bCs/>
                <w:szCs w:val="22"/>
                <w:lang w:eastAsia="zh-CN"/>
              </w:rPr>
              <w:t>358</w:t>
            </w:r>
          </w:p>
        </w:tc>
        <w:tc>
          <w:tcPr>
            <w:tcW w:w="10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3F1C92FD" w14:textId="3CC8EB84" w:rsidR="005B6A9C" w:rsidRPr="00B433A3" w:rsidRDefault="005B6A9C" w:rsidP="00B8343E">
            <w:pPr>
              <w:pStyle w:val="Tabletext"/>
              <w:jc w:val="center"/>
              <w:cnfStyle w:val="000000100000" w:firstRow="0" w:lastRow="0" w:firstColumn="0" w:lastColumn="0" w:oddVBand="0" w:evenVBand="0" w:oddHBand="1" w:evenHBand="0" w:firstRowFirstColumn="0" w:firstRowLastColumn="0" w:lastRowFirstColumn="0" w:lastRowLastColumn="0"/>
              <w:rPr>
                <w:lang w:eastAsia="zh-CN"/>
              </w:rPr>
            </w:pPr>
            <w:r w:rsidRPr="00B433A3">
              <w:rPr>
                <w:szCs w:val="22"/>
                <w:lang w:eastAsia="zh-CN"/>
              </w:rPr>
              <w:t>1</w:t>
            </w:r>
            <w:r w:rsidR="00467932" w:rsidRPr="00B433A3">
              <w:rPr>
                <w:szCs w:val="22"/>
                <w:lang w:eastAsia="zh-CN"/>
              </w:rPr>
              <w:t>,</w:t>
            </w:r>
            <w:r w:rsidRPr="00B433A3">
              <w:rPr>
                <w:szCs w:val="22"/>
                <w:lang w:eastAsia="zh-CN"/>
              </w:rPr>
              <w:t>82%</w:t>
            </w:r>
          </w:p>
        </w:tc>
      </w:tr>
      <w:tr w:rsidR="005B6A9C" w:rsidRPr="00B433A3" w14:paraId="46048C6C" w14:textId="77777777" w:rsidTr="00467932">
        <w:trPr>
          <w:trHeight w:val="330"/>
          <w:jc w:val="center"/>
        </w:trPr>
        <w:tc>
          <w:tcPr>
            <w:cnfStyle w:val="001000000000" w:firstRow="0" w:lastRow="0" w:firstColumn="1" w:lastColumn="0" w:oddVBand="0" w:evenVBand="0" w:oddHBand="0" w:evenHBand="0" w:firstRowFirstColumn="0" w:firstRowLastColumn="0" w:lastRowFirstColumn="0" w:lastRowLastColumn="0"/>
            <w:tcW w:w="1199" w:type="dxa"/>
            <w:tcBorders>
              <w:top w:val="single" w:sz="4" w:space="0" w:color="FFFFFF" w:themeColor="background1"/>
              <w:bottom w:val="single" w:sz="4" w:space="0" w:color="FFFFFF" w:themeColor="background1"/>
              <w:right w:val="single" w:sz="4" w:space="0" w:color="FFFFFF" w:themeColor="background1"/>
            </w:tcBorders>
            <w:noWrap/>
            <w:vAlign w:val="center"/>
            <w:hideMark/>
          </w:tcPr>
          <w:p w14:paraId="193DCAFE" w14:textId="77777777" w:rsidR="005B6A9C" w:rsidRPr="00B433A3" w:rsidRDefault="005B6A9C" w:rsidP="00B8343E">
            <w:pPr>
              <w:pStyle w:val="Tabletext"/>
              <w:jc w:val="center"/>
              <w:rPr>
                <w:lang w:eastAsia="zh-CN"/>
              </w:rPr>
            </w:pPr>
            <w:r w:rsidRPr="00B433A3">
              <w:rPr>
                <w:szCs w:val="22"/>
                <w:lang w:eastAsia="zh-CN"/>
              </w:rPr>
              <w:t>RS</w:t>
            </w:r>
          </w:p>
        </w:tc>
        <w:tc>
          <w:tcPr>
            <w:tcW w:w="133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vAlign w:val="center"/>
            <w:hideMark/>
          </w:tcPr>
          <w:p w14:paraId="72A13807" w14:textId="5E593704" w:rsidR="005B6A9C" w:rsidRPr="00B433A3" w:rsidRDefault="005B6A9C" w:rsidP="00B8343E">
            <w:pPr>
              <w:pStyle w:val="Tabletext"/>
              <w:jc w:val="center"/>
              <w:cnfStyle w:val="000000000000" w:firstRow="0" w:lastRow="0" w:firstColumn="0" w:lastColumn="0" w:oddVBand="0" w:evenVBand="0" w:oddHBand="0" w:evenHBand="0" w:firstRowFirstColumn="0" w:firstRowLastColumn="0" w:lastRowFirstColumn="0" w:lastRowLastColumn="0"/>
              <w:rPr>
                <w:lang w:eastAsia="zh-CN"/>
              </w:rPr>
            </w:pPr>
            <w:r w:rsidRPr="00B433A3">
              <w:rPr>
                <w:szCs w:val="22"/>
                <w:lang w:eastAsia="zh-CN"/>
              </w:rPr>
              <w:t>4</w:t>
            </w:r>
            <w:r w:rsidR="00467932" w:rsidRPr="00B433A3">
              <w:rPr>
                <w:szCs w:val="22"/>
                <w:lang w:eastAsia="zh-CN"/>
              </w:rPr>
              <w:t xml:space="preserve"> </w:t>
            </w:r>
            <w:r w:rsidRPr="00B433A3">
              <w:rPr>
                <w:szCs w:val="22"/>
                <w:lang w:eastAsia="zh-CN"/>
              </w:rPr>
              <w:t>455</w:t>
            </w:r>
          </w:p>
        </w:tc>
        <w:tc>
          <w:tcPr>
            <w:tcW w:w="13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vAlign w:val="center"/>
            <w:hideMark/>
          </w:tcPr>
          <w:p w14:paraId="2DEF68DE" w14:textId="7A20C279" w:rsidR="005B6A9C" w:rsidRPr="00B433A3" w:rsidRDefault="005B6A9C" w:rsidP="00B8343E">
            <w:pPr>
              <w:pStyle w:val="Tabletext"/>
              <w:jc w:val="center"/>
              <w:cnfStyle w:val="000000000000" w:firstRow="0" w:lastRow="0" w:firstColumn="0" w:lastColumn="0" w:oddVBand="0" w:evenVBand="0" w:oddHBand="0" w:evenHBand="0" w:firstRowFirstColumn="0" w:firstRowLastColumn="0" w:lastRowFirstColumn="0" w:lastRowLastColumn="0"/>
              <w:rPr>
                <w:lang w:eastAsia="zh-CN"/>
              </w:rPr>
            </w:pPr>
            <w:r w:rsidRPr="00B433A3">
              <w:rPr>
                <w:szCs w:val="22"/>
                <w:lang w:eastAsia="zh-CN"/>
              </w:rPr>
              <w:t>4</w:t>
            </w:r>
            <w:r w:rsidR="00467932" w:rsidRPr="00B433A3">
              <w:rPr>
                <w:szCs w:val="22"/>
                <w:lang w:eastAsia="zh-CN"/>
              </w:rPr>
              <w:t xml:space="preserve"> </w:t>
            </w:r>
            <w:r w:rsidRPr="00B433A3">
              <w:rPr>
                <w:szCs w:val="22"/>
                <w:lang w:eastAsia="zh-CN"/>
              </w:rPr>
              <w:t>138</w:t>
            </w:r>
          </w:p>
        </w:tc>
        <w:tc>
          <w:tcPr>
            <w:tcW w:w="95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5496DE18" w14:textId="3BD041C2" w:rsidR="005B6A9C" w:rsidRPr="00B433A3" w:rsidRDefault="005B6A9C" w:rsidP="00B8343E">
            <w:pPr>
              <w:pStyle w:val="Tabletext"/>
              <w:jc w:val="center"/>
              <w:cnfStyle w:val="000000000000" w:firstRow="0" w:lastRow="0" w:firstColumn="0" w:lastColumn="0" w:oddVBand="0" w:evenVBand="0" w:oddHBand="0" w:evenHBand="0" w:firstRowFirstColumn="0" w:firstRowLastColumn="0" w:lastRowFirstColumn="0" w:lastRowLastColumn="0"/>
              <w:rPr>
                <w:lang w:eastAsia="zh-CN"/>
              </w:rPr>
            </w:pPr>
            <w:r w:rsidRPr="00B433A3">
              <w:rPr>
                <w:szCs w:val="22"/>
                <w:lang w:eastAsia="zh-CN"/>
              </w:rPr>
              <w:t>4</w:t>
            </w:r>
            <w:r w:rsidR="00467932" w:rsidRPr="00B433A3">
              <w:rPr>
                <w:szCs w:val="22"/>
                <w:lang w:eastAsia="zh-CN"/>
              </w:rPr>
              <w:t xml:space="preserve"> </w:t>
            </w:r>
            <w:r w:rsidRPr="00B433A3">
              <w:rPr>
                <w:szCs w:val="22"/>
                <w:lang w:eastAsia="zh-CN"/>
              </w:rPr>
              <w:t>796</w:t>
            </w:r>
          </w:p>
        </w:tc>
        <w:tc>
          <w:tcPr>
            <w:tcW w:w="108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3AD32991" w14:textId="2D967389" w:rsidR="005B6A9C" w:rsidRPr="00B433A3" w:rsidRDefault="005B6A9C" w:rsidP="00B8343E">
            <w:pPr>
              <w:pStyle w:val="Tabletext"/>
              <w:jc w:val="center"/>
              <w:cnfStyle w:val="000000000000" w:firstRow="0" w:lastRow="0" w:firstColumn="0" w:lastColumn="0" w:oddVBand="0" w:evenVBand="0" w:oddHBand="0" w:evenHBand="0" w:firstRowFirstColumn="0" w:firstRowLastColumn="0" w:lastRowFirstColumn="0" w:lastRowLastColumn="0"/>
              <w:rPr>
                <w:lang w:eastAsia="zh-CN"/>
              </w:rPr>
            </w:pPr>
            <w:r w:rsidRPr="00B433A3">
              <w:rPr>
                <w:szCs w:val="22"/>
                <w:lang w:eastAsia="zh-CN"/>
              </w:rPr>
              <w:t>6</w:t>
            </w:r>
            <w:r w:rsidR="00467932" w:rsidRPr="00B433A3">
              <w:rPr>
                <w:szCs w:val="22"/>
                <w:lang w:eastAsia="zh-CN"/>
              </w:rPr>
              <w:t xml:space="preserve"> </w:t>
            </w:r>
            <w:r w:rsidRPr="00B433A3">
              <w:rPr>
                <w:szCs w:val="22"/>
                <w:lang w:eastAsia="zh-CN"/>
              </w:rPr>
              <w:t>100</w:t>
            </w:r>
          </w:p>
        </w:tc>
        <w:tc>
          <w:tcPr>
            <w:tcW w:w="124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vAlign w:val="center"/>
            <w:hideMark/>
          </w:tcPr>
          <w:p w14:paraId="51EE7A43" w14:textId="09814C82" w:rsidR="005B6A9C" w:rsidRPr="00B433A3" w:rsidRDefault="005B6A9C" w:rsidP="00B8343E">
            <w:pPr>
              <w:pStyle w:val="Tabletext"/>
              <w:jc w:val="center"/>
              <w:cnfStyle w:val="000000000000" w:firstRow="0" w:lastRow="0" w:firstColumn="0" w:lastColumn="0" w:oddVBand="0" w:evenVBand="0" w:oddHBand="0" w:evenHBand="0" w:firstRowFirstColumn="0" w:firstRowLastColumn="0" w:lastRowFirstColumn="0" w:lastRowLastColumn="0"/>
              <w:rPr>
                <w:b/>
                <w:bCs/>
                <w:lang w:eastAsia="zh-CN"/>
              </w:rPr>
            </w:pPr>
            <w:r w:rsidRPr="00B433A3">
              <w:rPr>
                <w:b/>
                <w:bCs/>
                <w:szCs w:val="22"/>
                <w:lang w:eastAsia="zh-CN"/>
              </w:rPr>
              <w:t>19</w:t>
            </w:r>
            <w:r w:rsidR="00467932" w:rsidRPr="00B433A3">
              <w:rPr>
                <w:b/>
                <w:bCs/>
                <w:szCs w:val="22"/>
                <w:lang w:eastAsia="zh-CN"/>
              </w:rPr>
              <w:t xml:space="preserve"> </w:t>
            </w:r>
            <w:r w:rsidRPr="00B433A3">
              <w:rPr>
                <w:b/>
                <w:bCs/>
                <w:szCs w:val="22"/>
                <w:lang w:eastAsia="zh-CN"/>
              </w:rPr>
              <w:t>489</w:t>
            </w:r>
          </w:p>
        </w:tc>
        <w:tc>
          <w:tcPr>
            <w:tcW w:w="10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44D54D55" w14:textId="31ACC31C" w:rsidR="005B6A9C" w:rsidRPr="00B433A3" w:rsidRDefault="005B6A9C" w:rsidP="00B8343E">
            <w:pPr>
              <w:pStyle w:val="Tabletext"/>
              <w:jc w:val="center"/>
              <w:cnfStyle w:val="000000000000" w:firstRow="0" w:lastRow="0" w:firstColumn="0" w:lastColumn="0" w:oddVBand="0" w:evenVBand="0" w:oddHBand="0" w:evenHBand="0" w:firstRowFirstColumn="0" w:firstRowLastColumn="0" w:lastRowFirstColumn="0" w:lastRowLastColumn="0"/>
              <w:rPr>
                <w:lang w:eastAsia="zh-CN"/>
              </w:rPr>
            </w:pPr>
            <w:r w:rsidRPr="00B433A3">
              <w:rPr>
                <w:szCs w:val="22"/>
                <w:lang w:eastAsia="zh-CN"/>
              </w:rPr>
              <w:t>1</w:t>
            </w:r>
            <w:r w:rsidR="00467932" w:rsidRPr="00B433A3">
              <w:rPr>
                <w:szCs w:val="22"/>
                <w:lang w:eastAsia="zh-CN"/>
              </w:rPr>
              <w:t>,</w:t>
            </w:r>
            <w:r w:rsidRPr="00B433A3">
              <w:rPr>
                <w:szCs w:val="22"/>
                <w:lang w:eastAsia="zh-CN"/>
              </w:rPr>
              <w:t>35%</w:t>
            </w:r>
          </w:p>
        </w:tc>
      </w:tr>
      <w:tr w:rsidR="005B6A9C" w:rsidRPr="00B433A3" w14:paraId="5F2FC7E8" w14:textId="77777777" w:rsidTr="00467932">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1199" w:type="dxa"/>
            <w:tcBorders>
              <w:top w:val="single" w:sz="4" w:space="0" w:color="FFFFFF" w:themeColor="background1"/>
              <w:bottom w:val="single" w:sz="4" w:space="0" w:color="FFFFFF" w:themeColor="background1"/>
              <w:right w:val="single" w:sz="4" w:space="0" w:color="FFFFFF" w:themeColor="background1"/>
            </w:tcBorders>
            <w:noWrap/>
            <w:vAlign w:val="center"/>
            <w:hideMark/>
          </w:tcPr>
          <w:p w14:paraId="378BDD35" w14:textId="77777777" w:rsidR="005B6A9C" w:rsidRPr="00B433A3" w:rsidRDefault="005B6A9C" w:rsidP="00B8343E">
            <w:pPr>
              <w:pStyle w:val="Tabletext"/>
              <w:jc w:val="center"/>
              <w:rPr>
                <w:lang w:eastAsia="zh-CN"/>
              </w:rPr>
            </w:pPr>
            <w:r w:rsidRPr="00B433A3">
              <w:rPr>
                <w:szCs w:val="22"/>
                <w:lang w:eastAsia="zh-CN"/>
              </w:rPr>
              <w:t>RA</w:t>
            </w:r>
          </w:p>
        </w:tc>
        <w:tc>
          <w:tcPr>
            <w:tcW w:w="133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vAlign w:val="center"/>
            <w:hideMark/>
          </w:tcPr>
          <w:p w14:paraId="0BB20928" w14:textId="1FA08C91" w:rsidR="005B6A9C" w:rsidRPr="00B433A3" w:rsidRDefault="005B6A9C" w:rsidP="00B8343E">
            <w:pPr>
              <w:pStyle w:val="Tabletext"/>
              <w:jc w:val="center"/>
              <w:cnfStyle w:val="000000100000" w:firstRow="0" w:lastRow="0" w:firstColumn="0" w:lastColumn="0" w:oddVBand="0" w:evenVBand="0" w:oddHBand="1" w:evenHBand="0" w:firstRowFirstColumn="0" w:firstRowLastColumn="0" w:lastRowFirstColumn="0" w:lastRowLastColumn="0"/>
              <w:rPr>
                <w:lang w:eastAsia="zh-CN"/>
              </w:rPr>
            </w:pPr>
            <w:r w:rsidRPr="00B433A3">
              <w:rPr>
                <w:szCs w:val="22"/>
                <w:lang w:eastAsia="zh-CN"/>
              </w:rPr>
              <w:t>4</w:t>
            </w:r>
            <w:r w:rsidR="00467932" w:rsidRPr="00B433A3">
              <w:rPr>
                <w:szCs w:val="22"/>
                <w:lang w:eastAsia="zh-CN"/>
              </w:rPr>
              <w:t xml:space="preserve"> </w:t>
            </w:r>
            <w:r w:rsidRPr="00B433A3">
              <w:rPr>
                <w:szCs w:val="22"/>
                <w:lang w:eastAsia="zh-CN"/>
              </w:rPr>
              <w:t>785</w:t>
            </w:r>
          </w:p>
        </w:tc>
        <w:tc>
          <w:tcPr>
            <w:tcW w:w="13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vAlign w:val="center"/>
            <w:hideMark/>
          </w:tcPr>
          <w:p w14:paraId="48160146" w14:textId="55D19DF5" w:rsidR="005B6A9C" w:rsidRPr="00B433A3" w:rsidRDefault="005B6A9C" w:rsidP="00B8343E">
            <w:pPr>
              <w:pStyle w:val="Tabletext"/>
              <w:jc w:val="center"/>
              <w:cnfStyle w:val="000000100000" w:firstRow="0" w:lastRow="0" w:firstColumn="0" w:lastColumn="0" w:oddVBand="0" w:evenVBand="0" w:oddHBand="1" w:evenHBand="0" w:firstRowFirstColumn="0" w:firstRowLastColumn="0" w:lastRowFirstColumn="0" w:lastRowLastColumn="0"/>
              <w:rPr>
                <w:lang w:eastAsia="zh-CN"/>
              </w:rPr>
            </w:pPr>
            <w:r w:rsidRPr="00B433A3">
              <w:rPr>
                <w:szCs w:val="22"/>
                <w:lang w:eastAsia="zh-CN"/>
              </w:rPr>
              <w:t>4</w:t>
            </w:r>
            <w:r w:rsidR="00467932" w:rsidRPr="00B433A3">
              <w:rPr>
                <w:szCs w:val="22"/>
                <w:lang w:eastAsia="zh-CN"/>
              </w:rPr>
              <w:t xml:space="preserve"> </w:t>
            </w:r>
            <w:r w:rsidRPr="00B433A3">
              <w:rPr>
                <w:szCs w:val="22"/>
                <w:lang w:eastAsia="zh-CN"/>
              </w:rPr>
              <w:t>174</w:t>
            </w:r>
          </w:p>
        </w:tc>
        <w:tc>
          <w:tcPr>
            <w:tcW w:w="95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0F3BA7AF" w14:textId="3F779155" w:rsidR="005B6A9C" w:rsidRPr="00B433A3" w:rsidRDefault="005B6A9C" w:rsidP="00B8343E">
            <w:pPr>
              <w:pStyle w:val="Tabletext"/>
              <w:jc w:val="center"/>
              <w:cnfStyle w:val="000000100000" w:firstRow="0" w:lastRow="0" w:firstColumn="0" w:lastColumn="0" w:oddVBand="0" w:evenVBand="0" w:oddHBand="1" w:evenHBand="0" w:firstRowFirstColumn="0" w:firstRowLastColumn="0" w:lastRowFirstColumn="0" w:lastRowLastColumn="0"/>
              <w:rPr>
                <w:lang w:eastAsia="zh-CN"/>
              </w:rPr>
            </w:pPr>
            <w:r w:rsidRPr="00B433A3">
              <w:rPr>
                <w:szCs w:val="22"/>
                <w:lang w:eastAsia="zh-CN"/>
              </w:rPr>
              <w:t>4</w:t>
            </w:r>
            <w:r w:rsidR="00467932" w:rsidRPr="00B433A3">
              <w:rPr>
                <w:szCs w:val="22"/>
                <w:lang w:eastAsia="zh-CN"/>
              </w:rPr>
              <w:t xml:space="preserve"> </w:t>
            </w:r>
            <w:r w:rsidRPr="00B433A3">
              <w:rPr>
                <w:szCs w:val="22"/>
                <w:lang w:eastAsia="zh-CN"/>
              </w:rPr>
              <w:t>222</w:t>
            </w:r>
          </w:p>
        </w:tc>
        <w:tc>
          <w:tcPr>
            <w:tcW w:w="108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7E9CA276" w14:textId="7FDB0FA7" w:rsidR="005B6A9C" w:rsidRPr="00B433A3" w:rsidRDefault="005B6A9C" w:rsidP="00B8343E">
            <w:pPr>
              <w:pStyle w:val="Tabletext"/>
              <w:jc w:val="center"/>
              <w:cnfStyle w:val="000000100000" w:firstRow="0" w:lastRow="0" w:firstColumn="0" w:lastColumn="0" w:oddVBand="0" w:evenVBand="0" w:oddHBand="1" w:evenHBand="0" w:firstRowFirstColumn="0" w:firstRowLastColumn="0" w:lastRowFirstColumn="0" w:lastRowLastColumn="0"/>
              <w:rPr>
                <w:lang w:eastAsia="zh-CN"/>
              </w:rPr>
            </w:pPr>
            <w:r w:rsidRPr="00B433A3">
              <w:rPr>
                <w:szCs w:val="22"/>
                <w:lang w:eastAsia="zh-CN"/>
              </w:rPr>
              <w:t>4</w:t>
            </w:r>
            <w:r w:rsidR="00467932" w:rsidRPr="00B433A3">
              <w:rPr>
                <w:szCs w:val="22"/>
                <w:lang w:eastAsia="zh-CN"/>
              </w:rPr>
              <w:t xml:space="preserve"> </w:t>
            </w:r>
            <w:r w:rsidRPr="00B433A3">
              <w:rPr>
                <w:szCs w:val="22"/>
                <w:lang w:eastAsia="zh-CN"/>
              </w:rPr>
              <w:t>650</w:t>
            </w:r>
          </w:p>
        </w:tc>
        <w:tc>
          <w:tcPr>
            <w:tcW w:w="124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vAlign w:val="center"/>
            <w:hideMark/>
          </w:tcPr>
          <w:p w14:paraId="5A118A6B" w14:textId="4060D292" w:rsidR="005B6A9C" w:rsidRPr="00B433A3" w:rsidRDefault="005B6A9C" w:rsidP="00B8343E">
            <w:pPr>
              <w:pStyle w:val="Tabletext"/>
              <w:jc w:val="center"/>
              <w:cnfStyle w:val="000000100000" w:firstRow="0" w:lastRow="0" w:firstColumn="0" w:lastColumn="0" w:oddVBand="0" w:evenVBand="0" w:oddHBand="1" w:evenHBand="0" w:firstRowFirstColumn="0" w:firstRowLastColumn="0" w:lastRowFirstColumn="0" w:lastRowLastColumn="0"/>
              <w:rPr>
                <w:b/>
                <w:bCs/>
                <w:lang w:eastAsia="zh-CN"/>
              </w:rPr>
            </w:pPr>
            <w:r w:rsidRPr="00B433A3">
              <w:rPr>
                <w:b/>
                <w:bCs/>
                <w:szCs w:val="22"/>
                <w:lang w:eastAsia="zh-CN"/>
              </w:rPr>
              <w:t>17</w:t>
            </w:r>
            <w:r w:rsidR="00467932" w:rsidRPr="00B433A3">
              <w:rPr>
                <w:b/>
                <w:bCs/>
                <w:szCs w:val="22"/>
                <w:lang w:eastAsia="zh-CN"/>
              </w:rPr>
              <w:t xml:space="preserve"> </w:t>
            </w:r>
            <w:r w:rsidRPr="00B433A3">
              <w:rPr>
                <w:b/>
                <w:bCs/>
                <w:szCs w:val="22"/>
                <w:lang w:eastAsia="zh-CN"/>
              </w:rPr>
              <w:t>831</w:t>
            </w:r>
          </w:p>
        </w:tc>
        <w:tc>
          <w:tcPr>
            <w:tcW w:w="10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6DF806F5" w14:textId="7FFF25A5" w:rsidR="005B6A9C" w:rsidRPr="00B433A3" w:rsidRDefault="005B6A9C" w:rsidP="00B8343E">
            <w:pPr>
              <w:pStyle w:val="Tabletext"/>
              <w:jc w:val="center"/>
              <w:cnfStyle w:val="000000100000" w:firstRow="0" w:lastRow="0" w:firstColumn="0" w:lastColumn="0" w:oddVBand="0" w:evenVBand="0" w:oddHBand="1" w:evenHBand="0" w:firstRowFirstColumn="0" w:firstRowLastColumn="0" w:lastRowFirstColumn="0" w:lastRowLastColumn="0"/>
              <w:rPr>
                <w:lang w:eastAsia="zh-CN"/>
              </w:rPr>
            </w:pPr>
            <w:r w:rsidRPr="00B433A3">
              <w:rPr>
                <w:szCs w:val="22"/>
                <w:lang w:eastAsia="zh-CN"/>
              </w:rPr>
              <w:t>1</w:t>
            </w:r>
            <w:r w:rsidR="00467932" w:rsidRPr="00B433A3">
              <w:rPr>
                <w:szCs w:val="22"/>
                <w:lang w:eastAsia="zh-CN"/>
              </w:rPr>
              <w:t>,</w:t>
            </w:r>
            <w:r w:rsidRPr="00B433A3">
              <w:rPr>
                <w:szCs w:val="22"/>
                <w:lang w:eastAsia="zh-CN"/>
              </w:rPr>
              <w:t>23%</w:t>
            </w:r>
          </w:p>
        </w:tc>
      </w:tr>
      <w:tr w:rsidR="005B6A9C" w:rsidRPr="00B433A3" w14:paraId="1918A7CF" w14:textId="77777777" w:rsidTr="00467932">
        <w:trPr>
          <w:trHeight w:val="330"/>
          <w:jc w:val="center"/>
        </w:trPr>
        <w:tc>
          <w:tcPr>
            <w:cnfStyle w:val="001000000000" w:firstRow="0" w:lastRow="0" w:firstColumn="1" w:lastColumn="0" w:oddVBand="0" w:evenVBand="0" w:oddHBand="0" w:evenHBand="0" w:firstRowFirstColumn="0" w:firstRowLastColumn="0" w:lastRowFirstColumn="0" w:lastRowLastColumn="0"/>
            <w:tcW w:w="1199" w:type="dxa"/>
            <w:tcBorders>
              <w:top w:val="single" w:sz="4" w:space="0" w:color="FFFFFF" w:themeColor="background1"/>
              <w:bottom w:val="single" w:sz="4" w:space="0" w:color="FFFFFF" w:themeColor="background1"/>
              <w:right w:val="single" w:sz="4" w:space="0" w:color="FFFFFF" w:themeColor="background1"/>
            </w:tcBorders>
            <w:noWrap/>
            <w:vAlign w:val="center"/>
            <w:hideMark/>
          </w:tcPr>
          <w:p w14:paraId="4715067E" w14:textId="77777777" w:rsidR="005B6A9C" w:rsidRPr="00B433A3" w:rsidRDefault="005B6A9C" w:rsidP="00B8343E">
            <w:pPr>
              <w:pStyle w:val="Tabletext"/>
              <w:jc w:val="center"/>
              <w:rPr>
                <w:lang w:eastAsia="zh-CN"/>
              </w:rPr>
            </w:pPr>
            <w:r w:rsidRPr="00B433A3">
              <w:rPr>
                <w:szCs w:val="22"/>
                <w:lang w:eastAsia="zh-CN"/>
              </w:rPr>
              <w:t>SF</w:t>
            </w:r>
          </w:p>
        </w:tc>
        <w:tc>
          <w:tcPr>
            <w:tcW w:w="133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vAlign w:val="center"/>
            <w:hideMark/>
          </w:tcPr>
          <w:p w14:paraId="0CA6E93E" w14:textId="77777777" w:rsidR="005B6A9C" w:rsidRPr="00B433A3" w:rsidRDefault="005B6A9C" w:rsidP="00B8343E">
            <w:pPr>
              <w:pStyle w:val="Tabletext"/>
              <w:jc w:val="center"/>
              <w:cnfStyle w:val="000000000000" w:firstRow="0" w:lastRow="0" w:firstColumn="0" w:lastColumn="0" w:oddVBand="0" w:evenVBand="0" w:oddHBand="0" w:evenHBand="0" w:firstRowFirstColumn="0" w:firstRowLastColumn="0" w:lastRowFirstColumn="0" w:lastRowLastColumn="0"/>
              <w:rPr>
                <w:lang w:eastAsia="zh-CN"/>
              </w:rPr>
            </w:pPr>
            <w:r w:rsidRPr="00B433A3">
              <w:rPr>
                <w:szCs w:val="22"/>
                <w:lang w:eastAsia="zh-CN"/>
              </w:rPr>
              <w:t>516</w:t>
            </w:r>
          </w:p>
        </w:tc>
        <w:tc>
          <w:tcPr>
            <w:tcW w:w="13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vAlign w:val="center"/>
            <w:hideMark/>
          </w:tcPr>
          <w:p w14:paraId="7A4E9E5A" w14:textId="77777777" w:rsidR="005B6A9C" w:rsidRPr="00B433A3" w:rsidRDefault="005B6A9C" w:rsidP="00B8343E">
            <w:pPr>
              <w:pStyle w:val="Tabletext"/>
              <w:jc w:val="center"/>
              <w:cnfStyle w:val="000000000000" w:firstRow="0" w:lastRow="0" w:firstColumn="0" w:lastColumn="0" w:oddVBand="0" w:evenVBand="0" w:oddHBand="0" w:evenHBand="0" w:firstRowFirstColumn="0" w:firstRowLastColumn="0" w:lastRowFirstColumn="0" w:lastRowLastColumn="0"/>
              <w:rPr>
                <w:lang w:eastAsia="zh-CN"/>
              </w:rPr>
            </w:pPr>
            <w:r w:rsidRPr="00B433A3">
              <w:rPr>
                <w:szCs w:val="22"/>
                <w:lang w:eastAsia="zh-CN"/>
              </w:rPr>
              <w:t>331</w:t>
            </w:r>
          </w:p>
        </w:tc>
        <w:tc>
          <w:tcPr>
            <w:tcW w:w="95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351DD0B1" w14:textId="77777777" w:rsidR="005B6A9C" w:rsidRPr="00B433A3" w:rsidRDefault="005B6A9C" w:rsidP="00B8343E">
            <w:pPr>
              <w:pStyle w:val="Tabletext"/>
              <w:jc w:val="center"/>
              <w:cnfStyle w:val="000000000000" w:firstRow="0" w:lastRow="0" w:firstColumn="0" w:lastColumn="0" w:oddVBand="0" w:evenVBand="0" w:oddHBand="0" w:evenHBand="0" w:firstRowFirstColumn="0" w:firstRowLastColumn="0" w:lastRowFirstColumn="0" w:lastRowLastColumn="0"/>
              <w:rPr>
                <w:lang w:eastAsia="zh-CN"/>
              </w:rPr>
            </w:pPr>
            <w:r w:rsidRPr="00B433A3">
              <w:rPr>
                <w:szCs w:val="22"/>
                <w:lang w:eastAsia="zh-CN"/>
              </w:rPr>
              <w:t>387</w:t>
            </w:r>
          </w:p>
        </w:tc>
        <w:tc>
          <w:tcPr>
            <w:tcW w:w="108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53DBE2A7" w14:textId="77777777" w:rsidR="005B6A9C" w:rsidRPr="00B433A3" w:rsidRDefault="005B6A9C" w:rsidP="00B8343E">
            <w:pPr>
              <w:pStyle w:val="Tabletext"/>
              <w:jc w:val="center"/>
              <w:cnfStyle w:val="000000000000" w:firstRow="0" w:lastRow="0" w:firstColumn="0" w:lastColumn="0" w:oddVBand="0" w:evenVBand="0" w:oddHBand="0" w:evenHBand="0" w:firstRowFirstColumn="0" w:firstRowLastColumn="0" w:lastRowFirstColumn="0" w:lastRowLastColumn="0"/>
              <w:rPr>
                <w:lang w:eastAsia="zh-CN"/>
              </w:rPr>
            </w:pPr>
            <w:r w:rsidRPr="00B433A3">
              <w:rPr>
                <w:szCs w:val="22"/>
                <w:lang w:eastAsia="zh-CN"/>
              </w:rPr>
              <w:t>385</w:t>
            </w:r>
          </w:p>
        </w:tc>
        <w:tc>
          <w:tcPr>
            <w:tcW w:w="124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vAlign w:val="center"/>
            <w:hideMark/>
          </w:tcPr>
          <w:p w14:paraId="3592FE08" w14:textId="5D7AFF7B" w:rsidR="005B6A9C" w:rsidRPr="00B433A3" w:rsidRDefault="005B6A9C" w:rsidP="00B8343E">
            <w:pPr>
              <w:pStyle w:val="Tabletext"/>
              <w:jc w:val="center"/>
              <w:cnfStyle w:val="000000000000" w:firstRow="0" w:lastRow="0" w:firstColumn="0" w:lastColumn="0" w:oddVBand="0" w:evenVBand="0" w:oddHBand="0" w:evenHBand="0" w:firstRowFirstColumn="0" w:firstRowLastColumn="0" w:lastRowFirstColumn="0" w:lastRowLastColumn="0"/>
              <w:rPr>
                <w:b/>
                <w:bCs/>
                <w:lang w:eastAsia="zh-CN"/>
              </w:rPr>
            </w:pPr>
            <w:r w:rsidRPr="00B433A3">
              <w:rPr>
                <w:b/>
                <w:bCs/>
                <w:szCs w:val="22"/>
                <w:lang w:eastAsia="zh-CN"/>
              </w:rPr>
              <w:t>1</w:t>
            </w:r>
            <w:r w:rsidR="00467932" w:rsidRPr="00B433A3">
              <w:rPr>
                <w:b/>
                <w:bCs/>
                <w:szCs w:val="22"/>
                <w:lang w:eastAsia="zh-CN"/>
              </w:rPr>
              <w:t xml:space="preserve"> </w:t>
            </w:r>
            <w:r w:rsidRPr="00B433A3">
              <w:rPr>
                <w:b/>
                <w:bCs/>
                <w:szCs w:val="22"/>
                <w:lang w:eastAsia="zh-CN"/>
              </w:rPr>
              <w:t>619</w:t>
            </w:r>
          </w:p>
        </w:tc>
        <w:tc>
          <w:tcPr>
            <w:tcW w:w="10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632838D1" w14:textId="06C941A4" w:rsidR="005B6A9C" w:rsidRPr="00B433A3" w:rsidRDefault="005B6A9C" w:rsidP="00B8343E">
            <w:pPr>
              <w:pStyle w:val="Tabletext"/>
              <w:jc w:val="center"/>
              <w:cnfStyle w:val="000000000000" w:firstRow="0" w:lastRow="0" w:firstColumn="0" w:lastColumn="0" w:oddVBand="0" w:evenVBand="0" w:oddHBand="0" w:evenHBand="0" w:firstRowFirstColumn="0" w:firstRowLastColumn="0" w:lastRowFirstColumn="0" w:lastRowLastColumn="0"/>
              <w:rPr>
                <w:lang w:eastAsia="zh-CN"/>
              </w:rPr>
            </w:pPr>
            <w:r w:rsidRPr="00B433A3">
              <w:rPr>
                <w:szCs w:val="22"/>
                <w:lang w:eastAsia="zh-CN"/>
              </w:rPr>
              <w:t>0</w:t>
            </w:r>
            <w:r w:rsidR="00467932" w:rsidRPr="00B433A3">
              <w:rPr>
                <w:szCs w:val="22"/>
                <w:lang w:eastAsia="zh-CN"/>
              </w:rPr>
              <w:t>,</w:t>
            </w:r>
            <w:r w:rsidRPr="00B433A3">
              <w:rPr>
                <w:szCs w:val="22"/>
                <w:lang w:eastAsia="zh-CN"/>
              </w:rPr>
              <w:t>11%</w:t>
            </w:r>
          </w:p>
        </w:tc>
      </w:tr>
      <w:tr w:rsidR="005B6A9C" w:rsidRPr="00B433A3" w14:paraId="413FEF04" w14:textId="77777777" w:rsidTr="00467932">
        <w:trPr>
          <w:cnfStyle w:val="000000100000" w:firstRow="0" w:lastRow="0" w:firstColumn="0" w:lastColumn="0" w:oddVBand="0" w:evenVBand="0" w:oddHBand="1" w:evenHBand="0" w:firstRowFirstColumn="0" w:firstRowLastColumn="0" w:lastRowFirstColumn="0" w:lastRowLastColumn="0"/>
          <w:trHeight w:val="361"/>
          <w:jc w:val="center"/>
        </w:trPr>
        <w:tc>
          <w:tcPr>
            <w:cnfStyle w:val="001000000000" w:firstRow="0" w:lastRow="0" w:firstColumn="1" w:lastColumn="0" w:oddVBand="0" w:evenVBand="0" w:oddHBand="0" w:evenHBand="0" w:firstRowFirstColumn="0" w:firstRowLastColumn="0" w:lastRowFirstColumn="0" w:lastRowLastColumn="0"/>
            <w:tcW w:w="1199" w:type="dxa"/>
            <w:tcBorders>
              <w:top w:val="single" w:sz="4" w:space="0" w:color="FFFFFF" w:themeColor="background1"/>
              <w:bottom w:val="single" w:sz="4" w:space="0" w:color="FFFFFF" w:themeColor="background1"/>
              <w:right w:val="single" w:sz="4" w:space="0" w:color="FFFFFF" w:themeColor="background1"/>
            </w:tcBorders>
            <w:noWrap/>
            <w:vAlign w:val="center"/>
            <w:hideMark/>
          </w:tcPr>
          <w:p w14:paraId="61EA69AB" w14:textId="77777777" w:rsidR="005B6A9C" w:rsidRPr="00B433A3" w:rsidRDefault="005B6A9C" w:rsidP="00B8343E">
            <w:pPr>
              <w:pStyle w:val="Tabletext"/>
              <w:jc w:val="center"/>
              <w:rPr>
                <w:lang w:eastAsia="zh-CN"/>
              </w:rPr>
            </w:pPr>
            <w:r w:rsidRPr="00B433A3">
              <w:rPr>
                <w:szCs w:val="22"/>
                <w:lang w:eastAsia="zh-CN"/>
              </w:rPr>
              <w:t>BR</w:t>
            </w:r>
          </w:p>
        </w:tc>
        <w:tc>
          <w:tcPr>
            <w:tcW w:w="133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vAlign w:val="center"/>
            <w:hideMark/>
          </w:tcPr>
          <w:p w14:paraId="78E4AB2C" w14:textId="77777777" w:rsidR="005B6A9C" w:rsidRPr="00B433A3" w:rsidRDefault="005B6A9C" w:rsidP="00B8343E">
            <w:pPr>
              <w:pStyle w:val="Tabletext"/>
              <w:jc w:val="center"/>
              <w:cnfStyle w:val="000000100000" w:firstRow="0" w:lastRow="0" w:firstColumn="0" w:lastColumn="0" w:oddVBand="0" w:evenVBand="0" w:oddHBand="1" w:evenHBand="0" w:firstRowFirstColumn="0" w:firstRowLastColumn="0" w:lastRowFirstColumn="0" w:lastRowLastColumn="0"/>
              <w:rPr>
                <w:color w:val="000000"/>
                <w:lang w:eastAsia="zh-CN"/>
              </w:rPr>
            </w:pPr>
            <w:r w:rsidRPr="00B433A3">
              <w:rPr>
                <w:szCs w:val="22"/>
                <w:lang w:eastAsia="zh-CN"/>
              </w:rPr>
              <w:t>105</w:t>
            </w:r>
          </w:p>
        </w:tc>
        <w:tc>
          <w:tcPr>
            <w:tcW w:w="13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vAlign w:val="center"/>
            <w:hideMark/>
          </w:tcPr>
          <w:p w14:paraId="77879FF5" w14:textId="77777777" w:rsidR="005B6A9C" w:rsidRPr="00B433A3" w:rsidRDefault="005B6A9C" w:rsidP="00B8343E">
            <w:pPr>
              <w:pStyle w:val="Tabletext"/>
              <w:jc w:val="center"/>
              <w:cnfStyle w:val="000000100000" w:firstRow="0" w:lastRow="0" w:firstColumn="0" w:lastColumn="0" w:oddVBand="0" w:evenVBand="0" w:oddHBand="1" w:evenHBand="0" w:firstRowFirstColumn="0" w:firstRowLastColumn="0" w:lastRowFirstColumn="0" w:lastRowLastColumn="0"/>
              <w:rPr>
                <w:lang w:eastAsia="zh-CN"/>
              </w:rPr>
            </w:pPr>
            <w:r w:rsidRPr="00B433A3">
              <w:rPr>
                <w:szCs w:val="22"/>
                <w:lang w:eastAsia="zh-CN"/>
              </w:rPr>
              <w:t>99</w:t>
            </w:r>
          </w:p>
        </w:tc>
        <w:tc>
          <w:tcPr>
            <w:tcW w:w="95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29106647" w14:textId="77777777" w:rsidR="005B6A9C" w:rsidRPr="00B433A3" w:rsidRDefault="005B6A9C" w:rsidP="00B8343E">
            <w:pPr>
              <w:pStyle w:val="Tabletext"/>
              <w:jc w:val="center"/>
              <w:cnfStyle w:val="000000100000" w:firstRow="0" w:lastRow="0" w:firstColumn="0" w:lastColumn="0" w:oddVBand="0" w:evenVBand="0" w:oddHBand="1" w:evenHBand="0" w:firstRowFirstColumn="0" w:firstRowLastColumn="0" w:lastRowFirstColumn="0" w:lastRowLastColumn="0"/>
              <w:rPr>
                <w:lang w:eastAsia="zh-CN"/>
              </w:rPr>
            </w:pPr>
            <w:r w:rsidRPr="00B433A3">
              <w:rPr>
                <w:szCs w:val="22"/>
                <w:lang w:eastAsia="zh-CN"/>
              </w:rPr>
              <w:t>72</w:t>
            </w:r>
          </w:p>
        </w:tc>
        <w:tc>
          <w:tcPr>
            <w:tcW w:w="108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75307766" w14:textId="77777777" w:rsidR="005B6A9C" w:rsidRPr="00B433A3" w:rsidRDefault="005B6A9C" w:rsidP="00B8343E">
            <w:pPr>
              <w:pStyle w:val="Tabletext"/>
              <w:jc w:val="center"/>
              <w:cnfStyle w:val="000000100000" w:firstRow="0" w:lastRow="0" w:firstColumn="0" w:lastColumn="0" w:oddVBand="0" w:evenVBand="0" w:oddHBand="1" w:evenHBand="0" w:firstRowFirstColumn="0" w:firstRowLastColumn="0" w:lastRowFirstColumn="0" w:lastRowLastColumn="0"/>
              <w:rPr>
                <w:lang w:eastAsia="zh-CN"/>
              </w:rPr>
            </w:pPr>
            <w:r w:rsidRPr="00B433A3">
              <w:rPr>
                <w:szCs w:val="22"/>
                <w:lang w:eastAsia="zh-CN"/>
              </w:rPr>
              <w:t>61</w:t>
            </w:r>
          </w:p>
        </w:tc>
        <w:tc>
          <w:tcPr>
            <w:tcW w:w="124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vAlign w:val="center"/>
            <w:hideMark/>
          </w:tcPr>
          <w:p w14:paraId="5F617A71" w14:textId="77777777" w:rsidR="005B6A9C" w:rsidRPr="00B433A3" w:rsidRDefault="005B6A9C" w:rsidP="00B8343E">
            <w:pPr>
              <w:pStyle w:val="Tabletext"/>
              <w:jc w:val="center"/>
              <w:cnfStyle w:val="000000100000" w:firstRow="0" w:lastRow="0" w:firstColumn="0" w:lastColumn="0" w:oddVBand="0" w:evenVBand="0" w:oddHBand="1" w:evenHBand="0" w:firstRowFirstColumn="0" w:firstRowLastColumn="0" w:lastRowFirstColumn="0" w:lastRowLastColumn="0"/>
              <w:rPr>
                <w:b/>
                <w:bCs/>
                <w:lang w:eastAsia="zh-CN"/>
              </w:rPr>
            </w:pPr>
            <w:r w:rsidRPr="00B433A3">
              <w:rPr>
                <w:b/>
                <w:bCs/>
                <w:szCs w:val="22"/>
                <w:lang w:eastAsia="zh-CN"/>
              </w:rPr>
              <w:t>337</w:t>
            </w:r>
          </w:p>
        </w:tc>
        <w:tc>
          <w:tcPr>
            <w:tcW w:w="10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39A31A97" w14:textId="6A6F2460" w:rsidR="005B6A9C" w:rsidRPr="00B433A3" w:rsidRDefault="005B6A9C" w:rsidP="00B8343E">
            <w:pPr>
              <w:pStyle w:val="Tabletext"/>
              <w:jc w:val="center"/>
              <w:cnfStyle w:val="000000100000" w:firstRow="0" w:lastRow="0" w:firstColumn="0" w:lastColumn="0" w:oddVBand="0" w:evenVBand="0" w:oddHBand="1" w:evenHBand="0" w:firstRowFirstColumn="0" w:firstRowLastColumn="0" w:lastRowFirstColumn="0" w:lastRowLastColumn="0"/>
              <w:rPr>
                <w:lang w:eastAsia="zh-CN"/>
              </w:rPr>
            </w:pPr>
            <w:r w:rsidRPr="00B433A3">
              <w:rPr>
                <w:szCs w:val="22"/>
                <w:lang w:eastAsia="zh-CN"/>
              </w:rPr>
              <w:t>0</w:t>
            </w:r>
            <w:r w:rsidR="00467932" w:rsidRPr="00B433A3">
              <w:rPr>
                <w:szCs w:val="22"/>
                <w:lang w:eastAsia="zh-CN"/>
              </w:rPr>
              <w:t>,</w:t>
            </w:r>
            <w:r w:rsidRPr="00B433A3">
              <w:rPr>
                <w:szCs w:val="22"/>
                <w:lang w:eastAsia="zh-CN"/>
              </w:rPr>
              <w:t>02%</w:t>
            </w:r>
          </w:p>
        </w:tc>
      </w:tr>
      <w:tr w:rsidR="005B6A9C" w:rsidRPr="00B433A3" w14:paraId="3216A41A" w14:textId="77777777" w:rsidTr="00467932">
        <w:trPr>
          <w:trHeight w:val="361"/>
          <w:jc w:val="center"/>
        </w:trPr>
        <w:tc>
          <w:tcPr>
            <w:cnfStyle w:val="001000000000" w:firstRow="0" w:lastRow="0" w:firstColumn="1" w:lastColumn="0" w:oddVBand="0" w:evenVBand="0" w:oddHBand="0" w:evenHBand="0" w:firstRowFirstColumn="0" w:firstRowLastColumn="0" w:lastRowFirstColumn="0" w:lastRowLastColumn="0"/>
            <w:tcW w:w="1199" w:type="dxa"/>
            <w:tcBorders>
              <w:top w:val="single" w:sz="4" w:space="0" w:color="FFFFFF" w:themeColor="background1"/>
              <w:bottom w:val="single" w:sz="4" w:space="0" w:color="FFFFFF" w:themeColor="background1"/>
              <w:right w:val="single" w:sz="4" w:space="0" w:color="FFFFFF" w:themeColor="background1"/>
            </w:tcBorders>
            <w:noWrap/>
            <w:vAlign w:val="center"/>
            <w:hideMark/>
          </w:tcPr>
          <w:p w14:paraId="4CC15654" w14:textId="77777777" w:rsidR="005B6A9C" w:rsidRPr="00B433A3" w:rsidRDefault="005B6A9C" w:rsidP="00B8343E">
            <w:pPr>
              <w:pStyle w:val="Tabletext"/>
              <w:jc w:val="center"/>
              <w:rPr>
                <w:szCs w:val="22"/>
                <w:lang w:eastAsia="zh-CN"/>
              </w:rPr>
            </w:pPr>
            <w:r w:rsidRPr="00B433A3">
              <w:rPr>
                <w:szCs w:val="22"/>
                <w:lang w:eastAsia="zh-CN"/>
              </w:rPr>
              <w:t>TF</w:t>
            </w:r>
          </w:p>
        </w:tc>
        <w:tc>
          <w:tcPr>
            <w:tcW w:w="133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vAlign w:val="center"/>
          </w:tcPr>
          <w:p w14:paraId="3019A13E" w14:textId="77777777" w:rsidR="005B6A9C" w:rsidRPr="00B433A3" w:rsidRDefault="005B6A9C" w:rsidP="00B8343E">
            <w:pPr>
              <w:pStyle w:val="Tabletext"/>
              <w:jc w:val="center"/>
              <w:cnfStyle w:val="000000000000" w:firstRow="0" w:lastRow="0" w:firstColumn="0" w:lastColumn="0" w:oddVBand="0" w:evenVBand="0" w:oddHBand="0" w:evenHBand="0" w:firstRowFirstColumn="0" w:firstRowLastColumn="0" w:lastRowFirstColumn="0" w:lastRowLastColumn="0"/>
              <w:rPr>
                <w:szCs w:val="22"/>
                <w:lang w:eastAsia="zh-CN"/>
              </w:rPr>
            </w:pPr>
          </w:p>
        </w:tc>
        <w:tc>
          <w:tcPr>
            <w:tcW w:w="13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vAlign w:val="center"/>
          </w:tcPr>
          <w:p w14:paraId="624BA15C" w14:textId="77777777" w:rsidR="005B6A9C" w:rsidRPr="00B433A3" w:rsidRDefault="005B6A9C" w:rsidP="00B8343E">
            <w:pPr>
              <w:pStyle w:val="Tabletext"/>
              <w:jc w:val="center"/>
              <w:cnfStyle w:val="000000000000" w:firstRow="0" w:lastRow="0" w:firstColumn="0" w:lastColumn="0" w:oddVBand="0" w:evenVBand="0" w:oddHBand="0" w:evenHBand="0" w:firstRowFirstColumn="0" w:firstRowLastColumn="0" w:lastRowFirstColumn="0" w:lastRowLastColumn="0"/>
              <w:rPr>
                <w:szCs w:val="22"/>
                <w:lang w:eastAsia="zh-CN"/>
              </w:rPr>
            </w:pPr>
          </w:p>
        </w:tc>
        <w:tc>
          <w:tcPr>
            <w:tcW w:w="95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A7A3E76" w14:textId="77777777" w:rsidR="005B6A9C" w:rsidRPr="00B433A3" w:rsidRDefault="005B6A9C" w:rsidP="00B8343E">
            <w:pPr>
              <w:pStyle w:val="Tabletext"/>
              <w:jc w:val="center"/>
              <w:cnfStyle w:val="000000000000" w:firstRow="0" w:lastRow="0" w:firstColumn="0" w:lastColumn="0" w:oddVBand="0" w:evenVBand="0" w:oddHBand="0" w:evenHBand="0" w:firstRowFirstColumn="0" w:firstRowLastColumn="0" w:lastRowFirstColumn="0" w:lastRowLastColumn="0"/>
              <w:rPr>
                <w:szCs w:val="22"/>
                <w:lang w:eastAsia="zh-CN"/>
              </w:rPr>
            </w:pPr>
          </w:p>
        </w:tc>
        <w:tc>
          <w:tcPr>
            <w:tcW w:w="108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0EBAE7E6" w14:textId="77777777" w:rsidR="005B6A9C" w:rsidRPr="00B433A3" w:rsidRDefault="005B6A9C" w:rsidP="00B8343E">
            <w:pPr>
              <w:pStyle w:val="Tabletext"/>
              <w:jc w:val="center"/>
              <w:cnfStyle w:val="000000000000" w:firstRow="0" w:lastRow="0" w:firstColumn="0" w:lastColumn="0" w:oddVBand="0" w:evenVBand="0" w:oddHBand="0" w:evenHBand="0" w:firstRowFirstColumn="0" w:firstRowLastColumn="0" w:lastRowFirstColumn="0" w:lastRowLastColumn="0"/>
              <w:rPr>
                <w:szCs w:val="22"/>
                <w:lang w:eastAsia="zh-CN"/>
              </w:rPr>
            </w:pPr>
            <w:r w:rsidRPr="00B433A3">
              <w:rPr>
                <w:szCs w:val="22"/>
                <w:lang w:eastAsia="zh-CN"/>
              </w:rPr>
              <w:t>76</w:t>
            </w:r>
          </w:p>
        </w:tc>
        <w:tc>
          <w:tcPr>
            <w:tcW w:w="124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vAlign w:val="center"/>
            <w:hideMark/>
          </w:tcPr>
          <w:p w14:paraId="335F0A6B" w14:textId="77777777" w:rsidR="005B6A9C" w:rsidRPr="00B433A3" w:rsidRDefault="005B6A9C" w:rsidP="00B8343E">
            <w:pPr>
              <w:pStyle w:val="Tabletext"/>
              <w:jc w:val="center"/>
              <w:cnfStyle w:val="000000000000" w:firstRow="0" w:lastRow="0" w:firstColumn="0" w:lastColumn="0" w:oddVBand="0" w:evenVBand="0" w:oddHBand="0" w:evenHBand="0" w:firstRowFirstColumn="0" w:firstRowLastColumn="0" w:lastRowFirstColumn="0" w:lastRowLastColumn="0"/>
              <w:rPr>
                <w:b/>
                <w:bCs/>
                <w:szCs w:val="22"/>
                <w:lang w:eastAsia="zh-CN"/>
              </w:rPr>
            </w:pPr>
            <w:r w:rsidRPr="00B433A3">
              <w:rPr>
                <w:b/>
                <w:bCs/>
                <w:szCs w:val="22"/>
                <w:lang w:eastAsia="zh-CN"/>
              </w:rPr>
              <w:t>76</w:t>
            </w:r>
          </w:p>
        </w:tc>
        <w:tc>
          <w:tcPr>
            <w:tcW w:w="10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601F769F" w14:textId="7A3F48FA" w:rsidR="005B6A9C" w:rsidRPr="00B433A3" w:rsidRDefault="005B6A9C" w:rsidP="00B8343E">
            <w:pPr>
              <w:pStyle w:val="Tabletext"/>
              <w:jc w:val="center"/>
              <w:cnfStyle w:val="000000000000" w:firstRow="0" w:lastRow="0" w:firstColumn="0" w:lastColumn="0" w:oddVBand="0" w:evenVBand="0" w:oddHBand="0" w:evenHBand="0" w:firstRowFirstColumn="0" w:firstRowLastColumn="0" w:lastRowFirstColumn="0" w:lastRowLastColumn="0"/>
              <w:rPr>
                <w:szCs w:val="22"/>
                <w:lang w:eastAsia="zh-CN"/>
              </w:rPr>
            </w:pPr>
            <w:r w:rsidRPr="00B433A3">
              <w:rPr>
                <w:szCs w:val="22"/>
                <w:lang w:eastAsia="zh-CN"/>
              </w:rPr>
              <w:t>0</w:t>
            </w:r>
            <w:r w:rsidR="00467932" w:rsidRPr="00B433A3">
              <w:rPr>
                <w:szCs w:val="22"/>
                <w:lang w:eastAsia="zh-CN"/>
              </w:rPr>
              <w:t>,</w:t>
            </w:r>
            <w:r w:rsidRPr="00B433A3">
              <w:rPr>
                <w:szCs w:val="22"/>
                <w:lang w:eastAsia="zh-CN"/>
              </w:rPr>
              <w:t>01%</w:t>
            </w:r>
          </w:p>
        </w:tc>
      </w:tr>
      <w:tr w:rsidR="005B6A9C" w:rsidRPr="00B433A3" w14:paraId="47CEA892" w14:textId="77777777" w:rsidTr="00467932">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1199" w:type="dxa"/>
            <w:tcBorders>
              <w:top w:val="single" w:sz="4" w:space="0" w:color="FFFFFF" w:themeColor="background1"/>
              <w:right w:val="single" w:sz="4" w:space="0" w:color="FFFFFF" w:themeColor="background1"/>
            </w:tcBorders>
            <w:noWrap/>
            <w:vAlign w:val="center"/>
            <w:hideMark/>
          </w:tcPr>
          <w:p w14:paraId="29A25A54" w14:textId="77777777" w:rsidR="005B6A9C" w:rsidRPr="00B433A3" w:rsidRDefault="005B6A9C" w:rsidP="00B8343E">
            <w:pPr>
              <w:pStyle w:val="Tabletext"/>
              <w:jc w:val="center"/>
              <w:rPr>
                <w:lang w:eastAsia="zh-CN"/>
              </w:rPr>
            </w:pPr>
            <w:r w:rsidRPr="00B433A3">
              <w:rPr>
                <w:b w:val="0"/>
                <w:bCs w:val="0"/>
                <w:szCs w:val="22"/>
                <w:lang w:eastAsia="zh-CN"/>
              </w:rPr>
              <w:t>TOTAL</w:t>
            </w:r>
          </w:p>
        </w:tc>
        <w:tc>
          <w:tcPr>
            <w:tcW w:w="133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vAlign w:val="center"/>
            <w:hideMark/>
          </w:tcPr>
          <w:p w14:paraId="54701D09" w14:textId="6D3D50AB" w:rsidR="005B6A9C" w:rsidRPr="00B433A3" w:rsidRDefault="005B6A9C" w:rsidP="00B8343E">
            <w:pPr>
              <w:pStyle w:val="Tabletext"/>
              <w:jc w:val="center"/>
              <w:cnfStyle w:val="000000100000" w:firstRow="0" w:lastRow="0" w:firstColumn="0" w:lastColumn="0" w:oddVBand="0" w:evenVBand="0" w:oddHBand="1" w:evenHBand="0" w:firstRowFirstColumn="0" w:firstRowLastColumn="0" w:lastRowFirstColumn="0" w:lastRowLastColumn="0"/>
              <w:rPr>
                <w:b/>
                <w:bCs/>
                <w:lang w:eastAsia="zh-CN"/>
              </w:rPr>
            </w:pPr>
            <w:r w:rsidRPr="00B433A3">
              <w:rPr>
                <w:b/>
                <w:bCs/>
                <w:szCs w:val="22"/>
                <w:lang w:eastAsia="zh-CN"/>
              </w:rPr>
              <w:t>310</w:t>
            </w:r>
            <w:r w:rsidR="00467932" w:rsidRPr="00B433A3">
              <w:rPr>
                <w:b/>
                <w:bCs/>
                <w:szCs w:val="22"/>
                <w:lang w:eastAsia="zh-CN"/>
              </w:rPr>
              <w:t xml:space="preserve"> </w:t>
            </w:r>
            <w:r w:rsidRPr="00B433A3">
              <w:rPr>
                <w:b/>
                <w:bCs/>
                <w:szCs w:val="22"/>
                <w:lang w:eastAsia="zh-CN"/>
              </w:rPr>
              <w:t>286</w:t>
            </w:r>
          </w:p>
        </w:tc>
        <w:tc>
          <w:tcPr>
            <w:tcW w:w="13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vAlign w:val="center"/>
            <w:hideMark/>
          </w:tcPr>
          <w:p w14:paraId="6C16B7E9" w14:textId="65A59F89" w:rsidR="005B6A9C" w:rsidRPr="00B433A3" w:rsidRDefault="005B6A9C" w:rsidP="00B8343E">
            <w:pPr>
              <w:pStyle w:val="Tabletext"/>
              <w:jc w:val="center"/>
              <w:cnfStyle w:val="000000100000" w:firstRow="0" w:lastRow="0" w:firstColumn="0" w:lastColumn="0" w:oddVBand="0" w:evenVBand="0" w:oddHBand="1" w:evenHBand="0" w:firstRowFirstColumn="0" w:firstRowLastColumn="0" w:lastRowFirstColumn="0" w:lastRowLastColumn="0"/>
              <w:rPr>
                <w:b/>
                <w:bCs/>
                <w:lang w:eastAsia="zh-CN"/>
              </w:rPr>
            </w:pPr>
            <w:r w:rsidRPr="00B433A3">
              <w:rPr>
                <w:b/>
                <w:bCs/>
                <w:szCs w:val="22"/>
                <w:lang w:eastAsia="zh-CN"/>
              </w:rPr>
              <w:t>331</w:t>
            </w:r>
            <w:r w:rsidR="00467932" w:rsidRPr="00B433A3">
              <w:rPr>
                <w:b/>
                <w:bCs/>
                <w:szCs w:val="22"/>
                <w:lang w:eastAsia="zh-CN"/>
              </w:rPr>
              <w:t xml:space="preserve"> </w:t>
            </w:r>
            <w:r w:rsidRPr="00B433A3">
              <w:rPr>
                <w:b/>
                <w:bCs/>
                <w:szCs w:val="22"/>
                <w:lang w:eastAsia="zh-CN"/>
              </w:rPr>
              <w:t>984</w:t>
            </w:r>
          </w:p>
        </w:tc>
        <w:tc>
          <w:tcPr>
            <w:tcW w:w="95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3E9A5716" w14:textId="1DE63B50" w:rsidR="005B6A9C" w:rsidRPr="00B433A3" w:rsidRDefault="005B6A9C" w:rsidP="00B8343E">
            <w:pPr>
              <w:pStyle w:val="Tabletext"/>
              <w:jc w:val="center"/>
              <w:cnfStyle w:val="000000100000" w:firstRow="0" w:lastRow="0" w:firstColumn="0" w:lastColumn="0" w:oddVBand="0" w:evenVBand="0" w:oddHBand="1" w:evenHBand="0" w:firstRowFirstColumn="0" w:firstRowLastColumn="0" w:lastRowFirstColumn="0" w:lastRowLastColumn="0"/>
              <w:rPr>
                <w:b/>
                <w:bCs/>
                <w:lang w:eastAsia="zh-CN"/>
              </w:rPr>
            </w:pPr>
            <w:r w:rsidRPr="00B433A3">
              <w:rPr>
                <w:b/>
                <w:bCs/>
                <w:szCs w:val="22"/>
                <w:lang w:eastAsia="zh-CN"/>
              </w:rPr>
              <w:t>362</w:t>
            </w:r>
            <w:r w:rsidR="00467932" w:rsidRPr="00B433A3">
              <w:rPr>
                <w:b/>
                <w:bCs/>
                <w:szCs w:val="22"/>
                <w:lang w:eastAsia="zh-CN"/>
              </w:rPr>
              <w:t xml:space="preserve"> </w:t>
            </w:r>
            <w:r w:rsidRPr="00B433A3">
              <w:rPr>
                <w:b/>
                <w:bCs/>
                <w:szCs w:val="22"/>
                <w:lang w:eastAsia="zh-CN"/>
              </w:rPr>
              <w:t>382</w:t>
            </w:r>
          </w:p>
        </w:tc>
        <w:tc>
          <w:tcPr>
            <w:tcW w:w="108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420BC122" w14:textId="247E3F29" w:rsidR="005B6A9C" w:rsidRPr="00B433A3" w:rsidRDefault="005B6A9C" w:rsidP="00B8343E">
            <w:pPr>
              <w:pStyle w:val="Tabletext"/>
              <w:jc w:val="center"/>
              <w:cnfStyle w:val="000000100000" w:firstRow="0" w:lastRow="0" w:firstColumn="0" w:lastColumn="0" w:oddVBand="0" w:evenVBand="0" w:oddHBand="1" w:evenHBand="0" w:firstRowFirstColumn="0" w:firstRowLastColumn="0" w:lastRowFirstColumn="0" w:lastRowLastColumn="0"/>
              <w:rPr>
                <w:b/>
                <w:bCs/>
                <w:lang w:eastAsia="zh-CN"/>
              </w:rPr>
            </w:pPr>
            <w:r w:rsidRPr="00B433A3">
              <w:rPr>
                <w:b/>
                <w:bCs/>
                <w:szCs w:val="22"/>
                <w:lang w:eastAsia="zh-CN"/>
              </w:rPr>
              <w:t>440</w:t>
            </w:r>
            <w:r w:rsidR="00467932" w:rsidRPr="00B433A3">
              <w:rPr>
                <w:b/>
                <w:bCs/>
                <w:szCs w:val="22"/>
                <w:lang w:eastAsia="zh-CN"/>
              </w:rPr>
              <w:t xml:space="preserve"> </w:t>
            </w:r>
            <w:r w:rsidRPr="00B433A3">
              <w:rPr>
                <w:b/>
                <w:bCs/>
                <w:szCs w:val="22"/>
                <w:lang w:eastAsia="zh-CN"/>
              </w:rPr>
              <w:t>610</w:t>
            </w:r>
          </w:p>
        </w:tc>
        <w:tc>
          <w:tcPr>
            <w:tcW w:w="124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vAlign w:val="center"/>
            <w:hideMark/>
          </w:tcPr>
          <w:p w14:paraId="57FCFC88" w14:textId="1C2CC016" w:rsidR="005B6A9C" w:rsidRPr="00B433A3" w:rsidRDefault="005B6A9C" w:rsidP="00B8343E">
            <w:pPr>
              <w:pStyle w:val="Tabletext"/>
              <w:jc w:val="center"/>
              <w:cnfStyle w:val="000000100000" w:firstRow="0" w:lastRow="0" w:firstColumn="0" w:lastColumn="0" w:oddVBand="0" w:evenVBand="0" w:oddHBand="1" w:evenHBand="0" w:firstRowFirstColumn="0" w:firstRowLastColumn="0" w:lastRowFirstColumn="0" w:lastRowLastColumn="0"/>
              <w:rPr>
                <w:b/>
                <w:bCs/>
                <w:lang w:eastAsia="zh-CN"/>
              </w:rPr>
            </w:pPr>
            <w:r w:rsidRPr="00B433A3">
              <w:rPr>
                <w:b/>
                <w:bCs/>
                <w:szCs w:val="22"/>
                <w:lang w:eastAsia="zh-CN"/>
              </w:rPr>
              <w:t>1</w:t>
            </w:r>
            <w:r w:rsidR="00467932" w:rsidRPr="00B433A3">
              <w:rPr>
                <w:b/>
                <w:bCs/>
                <w:szCs w:val="22"/>
                <w:lang w:eastAsia="zh-CN"/>
              </w:rPr>
              <w:t xml:space="preserve"> </w:t>
            </w:r>
            <w:r w:rsidRPr="00B433A3">
              <w:rPr>
                <w:b/>
                <w:bCs/>
                <w:szCs w:val="22"/>
                <w:lang w:eastAsia="zh-CN"/>
              </w:rPr>
              <w:t>445</w:t>
            </w:r>
            <w:r w:rsidR="00467932" w:rsidRPr="00B433A3">
              <w:rPr>
                <w:b/>
                <w:bCs/>
                <w:szCs w:val="22"/>
                <w:lang w:eastAsia="zh-CN"/>
              </w:rPr>
              <w:t xml:space="preserve"> </w:t>
            </w:r>
            <w:r w:rsidRPr="00B433A3">
              <w:rPr>
                <w:b/>
                <w:bCs/>
                <w:szCs w:val="22"/>
                <w:lang w:eastAsia="zh-CN"/>
              </w:rPr>
              <w:t>262</w:t>
            </w:r>
          </w:p>
        </w:tc>
        <w:tc>
          <w:tcPr>
            <w:tcW w:w="10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1F70DCAD" w14:textId="641E4F5C" w:rsidR="005B6A9C" w:rsidRPr="00B433A3" w:rsidRDefault="005B6A9C" w:rsidP="00B8343E">
            <w:pPr>
              <w:pStyle w:val="Tabletext"/>
              <w:jc w:val="center"/>
              <w:cnfStyle w:val="000000100000" w:firstRow="0" w:lastRow="0" w:firstColumn="0" w:lastColumn="0" w:oddVBand="0" w:evenVBand="0" w:oddHBand="1" w:evenHBand="0" w:firstRowFirstColumn="0" w:firstRowLastColumn="0" w:lastRowFirstColumn="0" w:lastRowLastColumn="0"/>
              <w:rPr>
                <w:lang w:eastAsia="zh-CN"/>
              </w:rPr>
            </w:pPr>
            <w:r w:rsidRPr="00B433A3">
              <w:rPr>
                <w:szCs w:val="22"/>
                <w:lang w:eastAsia="zh-CN"/>
              </w:rPr>
              <w:t>100</w:t>
            </w:r>
            <w:r w:rsidR="00467932" w:rsidRPr="00B433A3">
              <w:rPr>
                <w:szCs w:val="22"/>
                <w:lang w:eastAsia="zh-CN"/>
              </w:rPr>
              <w:t>,</w:t>
            </w:r>
            <w:r w:rsidRPr="00B433A3">
              <w:rPr>
                <w:szCs w:val="22"/>
                <w:lang w:eastAsia="zh-CN"/>
              </w:rPr>
              <w:t>00%</w:t>
            </w:r>
          </w:p>
        </w:tc>
      </w:tr>
    </w:tbl>
    <w:p w14:paraId="02A1EDAB" w14:textId="77777777" w:rsidR="005B6A9C" w:rsidRPr="00B433A3" w:rsidRDefault="005B6A9C" w:rsidP="00B8343E">
      <w:pPr>
        <w:pStyle w:val="Heading4"/>
      </w:pPr>
      <w:r w:rsidRPr="00B433A3">
        <w:t>8.1.4.4</w:t>
      </w:r>
      <w:r w:rsidRPr="00B433A3">
        <w:tab/>
      </w:r>
      <w:bookmarkStart w:id="156" w:name="lt_pId1013"/>
      <w:r w:rsidRPr="00B433A3">
        <w:t>Manuels</w:t>
      </w:r>
      <w:bookmarkEnd w:id="156"/>
    </w:p>
    <w:p w14:paraId="19276DA6" w14:textId="7511ED33" w:rsidR="005B6A9C" w:rsidRPr="00B433A3" w:rsidRDefault="005B6A9C" w:rsidP="00B8343E">
      <w:bookmarkStart w:id="157" w:name="lt_pId1014"/>
      <w:proofErr w:type="gramStart"/>
      <w:r w:rsidRPr="00B433A3">
        <w:t>Suite à</w:t>
      </w:r>
      <w:proofErr w:type="gramEnd"/>
      <w:r w:rsidRPr="00B433A3">
        <w:t xml:space="preserve"> la décision prise par le Directeur du BR en 2017, tous les Manuels de l'UIT-R peuvent désormais être téléchargés gratuitement depuis le site web de l'UIT.</w:t>
      </w:r>
      <w:bookmarkEnd w:id="157"/>
      <w:r w:rsidRPr="00B433A3">
        <w:t xml:space="preserve"> </w:t>
      </w:r>
      <w:bookmarkStart w:id="158" w:name="lt_pId1015"/>
      <w:r w:rsidRPr="00B433A3">
        <w:t>Le nombre de téléchargements a augmenté de façon constante depuis 2018 et plus de 100 000 téléchargements ont été enregistrés en 2021.</w:t>
      </w:r>
      <w:bookmarkEnd w:id="158"/>
      <w:r w:rsidRPr="00B433A3">
        <w:t xml:space="preserve"> Le Tableau 8.1.4.4</w:t>
      </w:r>
      <w:r w:rsidRPr="00B433A3">
        <w:noBreakHyphen/>
        <w:t>1 illustre la répartition des ventes de Manuels de l'UIT</w:t>
      </w:r>
      <w:r w:rsidR="00313E0A" w:rsidRPr="00B433A3">
        <w:noBreakHyphen/>
      </w:r>
      <w:r w:rsidRPr="00B433A3">
        <w:t>R de la série sur la gestion du spectre et d'autres Manuels.</w:t>
      </w:r>
    </w:p>
    <w:p w14:paraId="18A63973" w14:textId="217A1E94" w:rsidR="005B6A9C" w:rsidRPr="00B433A3" w:rsidRDefault="005B6A9C" w:rsidP="00B8343E">
      <w:bookmarkStart w:id="159" w:name="lt_pId1016"/>
      <w:r w:rsidRPr="00B433A3">
        <w:t>À ce jour, 46 Manuels de l'UIT-R au total ont été publiés, notamment dans la série sur la gestion du spectre.</w:t>
      </w:r>
      <w:bookmarkEnd w:id="159"/>
    </w:p>
    <w:p w14:paraId="64F3DB52" w14:textId="5696863A" w:rsidR="00397416" w:rsidRPr="00B433A3" w:rsidRDefault="00397416" w:rsidP="00B8343E">
      <w:pPr>
        <w:tabs>
          <w:tab w:val="clear" w:pos="794"/>
          <w:tab w:val="clear" w:pos="1191"/>
          <w:tab w:val="clear" w:pos="1588"/>
          <w:tab w:val="clear" w:pos="1985"/>
        </w:tabs>
        <w:overflowPunct/>
        <w:autoSpaceDE/>
        <w:autoSpaceDN/>
        <w:adjustRightInd/>
        <w:spacing w:before="0"/>
        <w:textAlignment w:val="auto"/>
      </w:pPr>
      <w:r w:rsidRPr="00B433A3">
        <w:br w:type="page"/>
      </w:r>
    </w:p>
    <w:p w14:paraId="3BF6A77A" w14:textId="77777777" w:rsidR="005B6A9C" w:rsidRPr="00B433A3" w:rsidRDefault="005B6A9C" w:rsidP="00B8343E">
      <w:pPr>
        <w:pStyle w:val="TableNoBR"/>
        <w:spacing w:before="480"/>
        <w:rPr>
          <w:rFonts w:eastAsiaTheme="minorEastAsia"/>
        </w:rPr>
      </w:pPr>
      <w:bookmarkStart w:id="160" w:name="lt_pId1018"/>
      <w:bookmarkStart w:id="161" w:name="_Hlk97816331"/>
      <w:r w:rsidRPr="00B433A3">
        <w:rPr>
          <w:rFonts w:eastAsiaTheme="minorEastAsia"/>
        </w:rPr>
        <w:lastRenderedPageBreak/>
        <w:t>Tableau 8.1.4.4-1</w:t>
      </w:r>
      <w:bookmarkEnd w:id="160"/>
    </w:p>
    <w:p w14:paraId="0083BDBA" w14:textId="77777777" w:rsidR="005B6A9C" w:rsidRPr="00B433A3" w:rsidRDefault="005B6A9C" w:rsidP="00B8343E">
      <w:pPr>
        <w:pStyle w:val="TabletitleBR"/>
      </w:pPr>
      <w:bookmarkStart w:id="162" w:name="lt_pId1019"/>
      <w:r w:rsidRPr="00B433A3">
        <w:t>Répartition des Manuels de l'UIT-R de la série sur la gestion du spectre</w:t>
      </w:r>
      <w:bookmarkEnd w:id="161"/>
      <w:bookmarkEnd w:id="162"/>
      <w:r w:rsidRPr="00B433A3">
        <w:t xml:space="preserve"> et des autres Manuels</w:t>
      </w:r>
    </w:p>
    <w:tbl>
      <w:tblPr>
        <w:tblStyle w:val="GridTable5Dark-Accent11"/>
        <w:tblW w:w="10091" w:type="dxa"/>
        <w:jc w:val="center"/>
        <w:tblLayout w:type="fixed"/>
        <w:tblLook w:val="04A0" w:firstRow="1" w:lastRow="0" w:firstColumn="1" w:lastColumn="0" w:noHBand="0" w:noVBand="1"/>
      </w:tblPr>
      <w:tblGrid>
        <w:gridCol w:w="4195"/>
        <w:gridCol w:w="1474"/>
        <w:gridCol w:w="1474"/>
        <w:gridCol w:w="1474"/>
        <w:gridCol w:w="1474"/>
      </w:tblGrid>
      <w:tr w:rsidR="005B6A9C" w:rsidRPr="00B433A3" w14:paraId="7F99B073" w14:textId="77777777" w:rsidTr="00467932">
        <w:trPr>
          <w:cnfStyle w:val="100000000000" w:firstRow="1" w:lastRow="0" w:firstColumn="0" w:lastColumn="0" w:oddVBand="0" w:evenVBand="0" w:oddHBand="0" w:evenHBand="0" w:firstRowFirstColumn="0" w:firstRowLastColumn="0" w:lastRowFirstColumn="0" w:lastRowLastColumn="0"/>
          <w:trHeight w:val="794"/>
          <w:jc w:val="center"/>
        </w:trPr>
        <w:tc>
          <w:tcPr>
            <w:cnfStyle w:val="001000000000" w:firstRow="0" w:lastRow="0" w:firstColumn="1" w:lastColumn="0" w:oddVBand="0" w:evenVBand="0" w:oddHBand="0" w:evenHBand="0" w:firstRowFirstColumn="0" w:firstRowLastColumn="0" w:lastRowFirstColumn="0" w:lastRowLastColumn="0"/>
            <w:tcW w:w="4195" w:type="dxa"/>
            <w:tcBorders>
              <w:bottom w:val="single" w:sz="4" w:space="0" w:color="FFFFFF" w:themeColor="background1"/>
            </w:tcBorders>
            <w:vAlign w:val="center"/>
            <w:hideMark/>
          </w:tcPr>
          <w:p w14:paraId="59124A35" w14:textId="77777777" w:rsidR="005B6A9C" w:rsidRPr="00B433A3" w:rsidRDefault="005B6A9C" w:rsidP="00B8343E">
            <w:pPr>
              <w:pStyle w:val="Tabletext"/>
              <w:jc w:val="center"/>
              <w:rPr>
                <w:lang w:eastAsia="zh-CN"/>
              </w:rPr>
            </w:pPr>
            <w:bookmarkStart w:id="163" w:name="lt_pId1020"/>
            <w:r w:rsidRPr="00B433A3">
              <w:rPr>
                <w:lang w:eastAsia="zh-CN"/>
              </w:rPr>
              <w:t>Manuel</w:t>
            </w:r>
            <w:bookmarkEnd w:id="163"/>
            <w:r w:rsidRPr="00B433A3">
              <w:rPr>
                <w:lang w:eastAsia="zh-CN"/>
              </w:rPr>
              <w:t>s</w:t>
            </w:r>
          </w:p>
        </w:tc>
        <w:tc>
          <w:tcPr>
            <w:tcW w:w="1474" w:type="dxa"/>
            <w:tcBorders>
              <w:bottom w:val="single" w:sz="4" w:space="0" w:color="FFFFFF" w:themeColor="background1"/>
            </w:tcBorders>
            <w:vAlign w:val="center"/>
            <w:hideMark/>
          </w:tcPr>
          <w:p w14:paraId="2DB5B197" w14:textId="77777777" w:rsidR="005B6A9C" w:rsidRPr="00B433A3" w:rsidRDefault="005B6A9C" w:rsidP="00B8343E">
            <w:pPr>
              <w:pStyle w:val="Tabletext"/>
              <w:jc w:val="center"/>
              <w:cnfStyle w:val="100000000000" w:firstRow="1" w:lastRow="0" w:firstColumn="0" w:lastColumn="0" w:oddVBand="0" w:evenVBand="0" w:oddHBand="0" w:evenHBand="0" w:firstRowFirstColumn="0" w:firstRowLastColumn="0" w:lastRowFirstColumn="0" w:lastRowLastColumn="0"/>
              <w:rPr>
                <w:lang w:eastAsia="zh-CN"/>
              </w:rPr>
            </w:pPr>
            <w:r w:rsidRPr="00B433A3">
              <w:rPr>
                <w:lang w:eastAsia="zh-CN"/>
              </w:rPr>
              <w:t>2018</w:t>
            </w:r>
          </w:p>
        </w:tc>
        <w:tc>
          <w:tcPr>
            <w:tcW w:w="1474" w:type="dxa"/>
            <w:tcBorders>
              <w:bottom w:val="single" w:sz="4" w:space="0" w:color="FFFFFF" w:themeColor="background1"/>
            </w:tcBorders>
            <w:vAlign w:val="center"/>
            <w:hideMark/>
          </w:tcPr>
          <w:p w14:paraId="2E6AC719" w14:textId="77777777" w:rsidR="005B6A9C" w:rsidRPr="00B433A3" w:rsidRDefault="005B6A9C" w:rsidP="00B8343E">
            <w:pPr>
              <w:pStyle w:val="Tabletext"/>
              <w:jc w:val="center"/>
              <w:cnfStyle w:val="100000000000" w:firstRow="1" w:lastRow="0" w:firstColumn="0" w:lastColumn="0" w:oddVBand="0" w:evenVBand="0" w:oddHBand="0" w:evenHBand="0" w:firstRowFirstColumn="0" w:firstRowLastColumn="0" w:lastRowFirstColumn="0" w:lastRowLastColumn="0"/>
              <w:rPr>
                <w:lang w:eastAsia="zh-CN"/>
              </w:rPr>
            </w:pPr>
            <w:r w:rsidRPr="00B433A3">
              <w:rPr>
                <w:lang w:eastAsia="zh-CN"/>
              </w:rPr>
              <w:t>2019</w:t>
            </w:r>
          </w:p>
        </w:tc>
        <w:tc>
          <w:tcPr>
            <w:tcW w:w="1474" w:type="dxa"/>
            <w:tcBorders>
              <w:bottom w:val="single" w:sz="4" w:space="0" w:color="FFFFFF" w:themeColor="background1"/>
            </w:tcBorders>
            <w:vAlign w:val="center"/>
            <w:hideMark/>
          </w:tcPr>
          <w:p w14:paraId="5164CA5F" w14:textId="77777777" w:rsidR="005B6A9C" w:rsidRPr="00B433A3" w:rsidRDefault="005B6A9C" w:rsidP="00B8343E">
            <w:pPr>
              <w:pStyle w:val="Tabletext"/>
              <w:jc w:val="center"/>
              <w:cnfStyle w:val="100000000000" w:firstRow="1" w:lastRow="0" w:firstColumn="0" w:lastColumn="0" w:oddVBand="0" w:evenVBand="0" w:oddHBand="0" w:evenHBand="0" w:firstRowFirstColumn="0" w:firstRowLastColumn="0" w:lastRowFirstColumn="0" w:lastRowLastColumn="0"/>
              <w:rPr>
                <w:lang w:eastAsia="zh-CN"/>
              </w:rPr>
            </w:pPr>
            <w:r w:rsidRPr="00B433A3">
              <w:rPr>
                <w:lang w:eastAsia="zh-CN"/>
              </w:rPr>
              <w:t>2020</w:t>
            </w:r>
          </w:p>
        </w:tc>
        <w:tc>
          <w:tcPr>
            <w:tcW w:w="1474" w:type="dxa"/>
            <w:tcBorders>
              <w:bottom w:val="single" w:sz="4" w:space="0" w:color="FFFFFF" w:themeColor="background1"/>
            </w:tcBorders>
            <w:vAlign w:val="center"/>
            <w:hideMark/>
          </w:tcPr>
          <w:p w14:paraId="22B47282" w14:textId="77777777" w:rsidR="005B6A9C" w:rsidRPr="00B433A3" w:rsidRDefault="005B6A9C" w:rsidP="00B8343E">
            <w:pPr>
              <w:pStyle w:val="Tabletext"/>
              <w:jc w:val="center"/>
              <w:cnfStyle w:val="100000000000" w:firstRow="1" w:lastRow="0" w:firstColumn="0" w:lastColumn="0" w:oddVBand="0" w:evenVBand="0" w:oddHBand="0" w:evenHBand="0" w:firstRowFirstColumn="0" w:firstRowLastColumn="0" w:lastRowFirstColumn="0" w:lastRowLastColumn="0"/>
              <w:rPr>
                <w:lang w:eastAsia="zh-CN"/>
              </w:rPr>
            </w:pPr>
            <w:r w:rsidRPr="00B433A3">
              <w:rPr>
                <w:color w:val="FFFFFF"/>
                <w:lang w:eastAsia="zh-CN"/>
              </w:rPr>
              <w:t>2021</w:t>
            </w:r>
          </w:p>
        </w:tc>
      </w:tr>
      <w:tr w:rsidR="00467932" w:rsidRPr="00B433A3" w14:paraId="22BBFA28" w14:textId="77777777" w:rsidTr="00467932">
        <w:trPr>
          <w:cnfStyle w:val="000000100000" w:firstRow="0" w:lastRow="0" w:firstColumn="0" w:lastColumn="0" w:oddVBand="0" w:evenVBand="0" w:oddHBand="1" w:evenHBand="0" w:firstRowFirstColumn="0" w:firstRowLastColumn="0" w:lastRowFirstColumn="0" w:lastRowLastColumn="0"/>
          <w:trHeight w:val="510"/>
          <w:jc w:val="center"/>
        </w:trPr>
        <w:tc>
          <w:tcPr>
            <w:cnfStyle w:val="001000000000" w:firstRow="0" w:lastRow="0" w:firstColumn="1" w:lastColumn="0" w:oddVBand="0" w:evenVBand="0" w:oddHBand="0" w:evenHBand="0" w:firstRowFirstColumn="0" w:firstRowLastColumn="0" w:lastRowFirstColumn="0" w:lastRowLastColumn="0"/>
            <w:tcW w:w="4195" w:type="dxa"/>
            <w:tcBorders>
              <w:top w:val="single" w:sz="4" w:space="0" w:color="FFFFFF" w:themeColor="background1"/>
              <w:bottom w:val="single" w:sz="4" w:space="0" w:color="FFFFFF" w:themeColor="background1"/>
              <w:right w:val="single" w:sz="4" w:space="0" w:color="FFFFFF" w:themeColor="background1"/>
            </w:tcBorders>
            <w:vAlign w:val="center"/>
            <w:hideMark/>
          </w:tcPr>
          <w:p w14:paraId="46133A11" w14:textId="73288CCD" w:rsidR="005B6A9C" w:rsidRPr="00B433A3" w:rsidRDefault="005B6A9C" w:rsidP="00B8343E">
            <w:pPr>
              <w:pStyle w:val="Tabletext"/>
              <w:jc w:val="center"/>
              <w:rPr>
                <w:lang w:eastAsia="zh-CN"/>
              </w:rPr>
            </w:pPr>
            <w:bookmarkStart w:id="164" w:name="lt_pId1023"/>
            <w:r w:rsidRPr="00B433A3">
              <w:rPr>
                <w:lang w:eastAsia="zh-CN"/>
              </w:rPr>
              <w:t>Série sur la gestion du spectre</w:t>
            </w:r>
            <w:bookmarkEnd w:id="164"/>
            <w:r w:rsidRPr="00B433A3">
              <w:rPr>
                <w:lang w:eastAsia="zh-CN"/>
              </w:rPr>
              <w:t xml:space="preserve"> </w:t>
            </w:r>
            <w:r w:rsidRPr="00B433A3">
              <w:rPr>
                <w:color w:val="FFFFFF"/>
                <w:lang w:eastAsia="zh-CN"/>
              </w:rPr>
              <w:t>(Exemplaires papier vendus)</w:t>
            </w:r>
          </w:p>
        </w:tc>
        <w:tc>
          <w:tcPr>
            <w:tcW w:w="147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6AA7759D" w14:textId="77777777" w:rsidR="005B6A9C" w:rsidRPr="00B433A3" w:rsidRDefault="005B6A9C" w:rsidP="00B8343E">
            <w:pPr>
              <w:pStyle w:val="Tabletext"/>
              <w:jc w:val="center"/>
              <w:cnfStyle w:val="000000100000" w:firstRow="0" w:lastRow="0" w:firstColumn="0" w:lastColumn="0" w:oddVBand="0" w:evenVBand="0" w:oddHBand="1" w:evenHBand="0" w:firstRowFirstColumn="0" w:firstRowLastColumn="0" w:lastRowFirstColumn="0" w:lastRowLastColumn="0"/>
              <w:rPr>
                <w:lang w:eastAsia="zh-CN"/>
              </w:rPr>
            </w:pPr>
            <w:r w:rsidRPr="00B433A3">
              <w:rPr>
                <w:lang w:eastAsia="zh-CN"/>
              </w:rPr>
              <w:t>9</w:t>
            </w:r>
          </w:p>
        </w:tc>
        <w:tc>
          <w:tcPr>
            <w:tcW w:w="147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35580744" w14:textId="77777777" w:rsidR="005B6A9C" w:rsidRPr="00B433A3" w:rsidRDefault="005B6A9C" w:rsidP="00B8343E">
            <w:pPr>
              <w:pStyle w:val="Tabletext"/>
              <w:jc w:val="center"/>
              <w:cnfStyle w:val="000000100000" w:firstRow="0" w:lastRow="0" w:firstColumn="0" w:lastColumn="0" w:oddVBand="0" w:evenVBand="0" w:oddHBand="1" w:evenHBand="0" w:firstRowFirstColumn="0" w:firstRowLastColumn="0" w:lastRowFirstColumn="0" w:lastRowLastColumn="0"/>
              <w:rPr>
                <w:lang w:eastAsia="zh-CN"/>
              </w:rPr>
            </w:pPr>
            <w:r w:rsidRPr="00B433A3">
              <w:rPr>
                <w:lang w:eastAsia="zh-CN"/>
              </w:rPr>
              <w:t>9</w:t>
            </w:r>
          </w:p>
        </w:tc>
        <w:tc>
          <w:tcPr>
            <w:tcW w:w="147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0D1B7F84" w14:textId="77777777" w:rsidR="005B6A9C" w:rsidRPr="00B433A3" w:rsidRDefault="005B6A9C" w:rsidP="00B8343E">
            <w:pPr>
              <w:pStyle w:val="Tabletext"/>
              <w:jc w:val="center"/>
              <w:cnfStyle w:val="000000100000" w:firstRow="0" w:lastRow="0" w:firstColumn="0" w:lastColumn="0" w:oddVBand="0" w:evenVBand="0" w:oddHBand="1" w:evenHBand="0" w:firstRowFirstColumn="0" w:firstRowLastColumn="0" w:lastRowFirstColumn="0" w:lastRowLastColumn="0"/>
              <w:rPr>
                <w:lang w:eastAsia="zh-CN"/>
              </w:rPr>
            </w:pPr>
            <w:r w:rsidRPr="00B433A3">
              <w:rPr>
                <w:lang w:eastAsia="zh-CN"/>
              </w:rPr>
              <w:t>3</w:t>
            </w:r>
          </w:p>
        </w:tc>
        <w:tc>
          <w:tcPr>
            <w:tcW w:w="147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72F7AD30" w14:textId="77777777" w:rsidR="005B6A9C" w:rsidRPr="00B433A3" w:rsidRDefault="005B6A9C" w:rsidP="00B8343E">
            <w:pPr>
              <w:pStyle w:val="Tabletext"/>
              <w:jc w:val="center"/>
              <w:cnfStyle w:val="000000100000" w:firstRow="0" w:lastRow="0" w:firstColumn="0" w:lastColumn="0" w:oddVBand="0" w:evenVBand="0" w:oddHBand="1" w:evenHBand="0" w:firstRowFirstColumn="0" w:firstRowLastColumn="0" w:lastRowFirstColumn="0" w:lastRowLastColumn="0"/>
              <w:rPr>
                <w:lang w:eastAsia="zh-CN"/>
              </w:rPr>
            </w:pPr>
            <w:r w:rsidRPr="00B433A3">
              <w:rPr>
                <w:color w:val="000000"/>
                <w:lang w:eastAsia="zh-CN"/>
              </w:rPr>
              <w:t>5</w:t>
            </w:r>
          </w:p>
        </w:tc>
      </w:tr>
      <w:tr w:rsidR="00467932" w:rsidRPr="00B433A3" w14:paraId="129A7344" w14:textId="77777777" w:rsidTr="00467932">
        <w:trPr>
          <w:trHeight w:val="675"/>
          <w:jc w:val="center"/>
        </w:trPr>
        <w:tc>
          <w:tcPr>
            <w:cnfStyle w:val="001000000000" w:firstRow="0" w:lastRow="0" w:firstColumn="1" w:lastColumn="0" w:oddVBand="0" w:evenVBand="0" w:oddHBand="0" w:evenHBand="0" w:firstRowFirstColumn="0" w:firstRowLastColumn="0" w:lastRowFirstColumn="0" w:lastRowLastColumn="0"/>
            <w:tcW w:w="4195" w:type="dxa"/>
            <w:tcBorders>
              <w:top w:val="single" w:sz="4" w:space="0" w:color="FFFFFF" w:themeColor="background1"/>
              <w:bottom w:val="single" w:sz="4" w:space="0" w:color="FFFFFF" w:themeColor="background1"/>
              <w:right w:val="single" w:sz="4" w:space="0" w:color="FFFFFF" w:themeColor="background1"/>
            </w:tcBorders>
            <w:vAlign w:val="center"/>
            <w:hideMark/>
          </w:tcPr>
          <w:p w14:paraId="2078A3C7" w14:textId="2BA62683" w:rsidR="005B6A9C" w:rsidRPr="00B433A3" w:rsidRDefault="005B6A9C" w:rsidP="00B8343E">
            <w:pPr>
              <w:pStyle w:val="Tabletext"/>
              <w:jc w:val="center"/>
              <w:rPr>
                <w:lang w:eastAsia="zh-CN"/>
              </w:rPr>
            </w:pPr>
            <w:bookmarkStart w:id="165" w:name="lt_pId1026"/>
            <w:r w:rsidRPr="00B433A3">
              <w:rPr>
                <w:lang w:eastAsia="zh-CN"/>
              </w:rPr>
              <w:t>Autres Manuels</w:t>
            </w:r>
            <w:bookmarkEnd w:id="165"/>
            <w:r w:rsidRPr="00B433A3">
              <w:rPr>
                <w:lang w:eastAsia="zh-CN"/>
              </w:rPr>
              <w:t xml:space="preserve"> </w:t>
            </w:r>
            <w:r w:rsidRPr="00B433A3">
              <w:rPr>
                <w:color w:val="FFFFFF"/>
                <w:lang w:eastAsia="zh-CN"/>
              </w:rPr>
              <w:t>(Exemplaires papier vendus)</w:t>
            </w:r>
          </w:p>
        </w:tc>
        <w:tc>
          <w:tcPr>
            <w:tcW w:w="147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4F2FDB90" w14:textId="77777777" w:rsidR="005B6A9C" w:rsidRPr="00B433A3" w:rsidRDefault="005B6A9C" w:rsidP="00B8343E">
            <w:pPr>
              <w:pStyle w:val="Tabletext"/>
              <w:jc w:val="center"/>
              <w:cnfStyle w:val="000000000000" w:firstRow="0" w:lastRow="0" w:firstColumn="0" w:lastColumn="0" w:oddVBand="0" w:evenVBand="0" w:oddHBand="0" w:evenHBand="0" w:firstRowFirstColumn="0" w:firstRowLastColumn="0" w:lastRowFirstColumn="0" w:lastRowLastColumn="0"/>
              <w:rPr>
                <w:lang w:eastAsia="zh-CN"/>
              </w:rPr>
            </w:pPr>
            <w:r w:rsidRPr="00B433A3">
              <w:rPr>
                <w:lang w:eastAsia="zh-CN"/>
              </w:rPr>
              <w:t>21</w:t>
            </w:r>
          </w:p>
        </w:tc>
        <w:tc>
          <w:tcPr>
            <w:tcW w:w="147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7A070E15" w14:textId="77777777" w:rsidR="005B6A9C" w:rsidRPr="00B433A3" w:rsidRDefault="005B6A9C" w:rsidP="00B8343E">
            <w:pPr>
              <w:pStyle w:val="Tabletext"/>
              <w:jc w:val="center"/>
              <w:cnfStyle w:val="000000000000" w:firstRow="0" w:lastRow="0" w:firstColumn="0" w:lastColumn="0" w:oddVBand="0" w:evenVBand="0" w:oddHBand="0" w:evenHBand="0" w:firstRowFirstColumn="0" w:firstRowLastColumn="0" w:lastRowFirstColumn="0" w:lastRowLastColumn="0"/>
              <w:rPr>
                <w:lang w:eastAsia="zh-CN"/>
              </w:rPr>
            </w:pPr>
            <w:r w:rsidRPr="00B433A3">
              <w:rPr>
                <w:lang w:eastAsia="zh-CN"/>
              </w:rPr>
              <w:t>20</w:t>
            </w:r>
          </w:p>
        </w:tc>
        <w:tc>
          <w:tcPr>
            <w:tcW w:w="147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7BB4359C" w14:textId="77777777" w:rsidR="005B6A9C" w:rsidRPr="00B433A3" w:rsidRDefault="005B6A9C" w:rsidP="00B8343E">
            <w:pPr>
              <w:pStyle w:val="Tabletext"/>
              <w:jc w:val="center"/>
              <w:cnfStyle w:val="000000000000" w:firstRow="0" w:lastRow="0" w:firstColumn="0" w:lastColumn="0" w:oddVBand="0" w:evenVBand="0" w:oddHBand="0" w:evenHBand="0" w:firstRowFirstColumn="0" w:firstRowLastColumn="0" w:lastRowFirstColumn="0" w:lastRowLastColumn="0"/>
              <w:rPr>
                <w:lang w:eastAsia="zh-CN"/>
              </w:rPr>
            </w:pPr>
            <w:r w:rsidRPr="00B433A3">
              <w:rPr>
                <w:lang w:eastAsia="zh-CN"/>
              </w:rPr>
              <w:t>4</w:t>
            </w:r>
          </w:p>
        </w:tc>
        <w:tc>
          <w:tcPr>
            <w:tcW w:w="147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4B7996C9" w14:textId="77777777" w:rsidR="005B6A9C" w:rsidRPr="00B433A3" w:rsidRDefault="005B6A9C" w:rsidP="00B8343E">
            <w:pPr>
              <w:pStyle w:val="Tabletext"/>
              <w:jc w:val="center"/>
              <w:cnfStyle w:val="000000000000" w:firstRow="0" w:lastRow="0" w:firstColumn="0" w:lastColumn="0" w:oddVBand="0" w:evenVBand="0" w:oddHBand="0" w:evenHBand="0" w:firstRowFirstColumn="0" w:firstRowLastColumn="0" w:lastRowFirstColumn="0" w:lastRowLastColumn="0"/>
              <w:rPr>
                <w:lang w:eastAsia="zh-CN"/>
              </w:rPr>
            </w:pPr>
            <w:r w:rsidRPr="00B433A3">
              <w:rPr>
                <w:color w:val="000000"/>
                <w:lang w:eastAsia="zh-CN"/>
              </w:rPr>
              <w:t>5</w:t>
            </w:r>
          </w:p>
        </w:tc>
      </w:tr>
      <w:tr w:rsidR="00467932" w:rsidRPr="00B433A3" w14:paraId="79E35C50" w14:textId="77777777" w:rsidTr="00467932">
        <w:trPr>
          <w:cnfStyle w:val="000000100000" w:firstRow="0" w:lastRow="0" w:firstColumn="0" w:lastColumn="0" w:oddVBand="0" w:evenVBand="0" w:oddHBand="1" w:evenHBand="0" w:firstRowFirstColumn="0" w:firstRowLastColumn="0" w:lastRowFirstColumn="0" w:lastRowLastColumn="0"/>
          <w:trHeight w:val="570"/>
          <w:jc w:val="center"/>
        </w:trPr>
        <w:tc>
          <w:tcPr>
            <w:cnfStyle w:val="001000000000" w:firstRow="0" w:lastRow="0" w:firstColumn="1" w:lastColumn="0" w:oddVBand="0" w:evenVBand="0" w:oddHBand="0" w:evenHBand="0" w:firstRowFirstColumn="0" w:firstRowLastColumn="0" w:lastRowFirstColumn="0" w:lastRowLastColumn="0"/>
            <w:tcW w:w="4195" w:type="dxa"/>
            <w:tcBorders>
              <w:top w:val="single" w:sz="4" w:space="0" w:color="FFFFFF" w:themeColor="background1"/>
              <w:bottom w:val="single" w:sz="4" w:space="0" w:color="FFFFFF" w:themeColor="background1"/>
              <w:right w:val="single" w:sz="4" w:space="0" w:color="FFFFFF" w:themeColor="background1"/>
            </w:tcBorders>
            <w:vAlign w:val="center"/>
            <w:hideMark/>
          </w:tcPr>
          <w:p w14:paraId="4A44ADCD" w14:textId="5628C331" w:rsidR="005B6A9C" w:rsidRPr="00B433A3" w:rsidRDefault="005B6A9C" w:rsidP="00B8343E">
            <w:pPr>
              <w:pStyle w:val="Tabletext"/>
              <w:jc w:val="center"/>
              <w:rPr>
                <w:lang w:eastAsia="zh-CN"/>
              </w:rPr>
            </w:pPr>
            <w:bookmarkStart w:id="166" w:name="lt_pId1029"/>
            <w:r w:rsidRPr="00B433A3">
              <w:rPr>
                <w:lang w:eastAsia="zh-CN"/>
              </w:rPr>
              <w:t>TOTAL GÉNÉRAL</w:t>
            </w:r>
            <w:bookmarkEnd w:id="166"/>
          </w:p>
        </w:tc>
        <w:tc>
          <w:tcPr>
            <w:tcW w:w="147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47CC70DB" w14:textId="77777777" w:rsidR="005B6A9C" w:rsidRPr="00B433A3" w:rsidRDefault="005B6A9C" w:rsidP="00B8343E">
            <w:pPr>
              <w:pStyle w:val="Tabletext"/>
              <w:jc w:val="center"/>
              <w:cnfStyle w:val="000000100000" w:firstRow="0" w:lastRow="0" w:firstColumn="0" w:lastColumn="0" w:oddVBand="0" w:evenVBand="0" w:oddHBand="1" w:evenHBand="0" w:firstRowFirstColumn="0" w:firstRowLastColumn="0" w:lastRowFirstColumn="0" w:lastRowLastColumn="0"/>
              <w:rPr>
                <w:b/>
                <w:bCs/>
                <w:lang w:eastAsia="zh-CN"/>
              </w:rPr>
            </w:pPr>
            <w:r w:rsidRPr="00B433A3">
              <w:rPr>
                <w:b/>
                <w:bCs/>
                <w:lang w:eastAsia="zh-CN"/>
              </w:rPr>
              <w:t>30</w:t>
            </w:r>
          </w:p>
        </w:tc>
        <w:tc>
          <w:tcPr>
            <w:tcW w:w="147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0912642B" w14:textId="77777777" w:rsidR="005B6A9C" w:rsidRPr="00B433A3" w:rsidRDefault="005B6A9C" w:rsidP="00B8343E">
            <w:pPr>
              <w:pStyle w:val="Tabletext"/>
              <w:jc w:val="center"/>
              <w:cnfStyle w:val="000000100000" w:firstRow="0" w:lastRow="0" w:firstColumn="0" w:lastColumn="0" w:oddVBand="0" w:evenVBand="0" w:oddHBand="1" w:evenHBand="0" w:firstRowFirstColumn="0" w:firstRowLastColumn="0" w:lastRowFirstColumn="0" w:lastRowLastColumn="0"/>
              <w:rPr>
                <w:b/>
                <w:bCs/>
                <w:lang w:eastAsia="zh-CN"/>
              </w:rPr>
            </w:pPr>
            <w:r w:rsidRPr="00B433A3">
              <w:rPr>
                <w:b/>
                <w:bCs/>
                <w:lang w:eastAsia="zh-CN"/>
              </w:rPr>
              <w:t>29</w:t>
            </w:r>
          </w:p>
        </w:tc>
        <w:tc>
          <w:tcPr>
            <w:tcW w:w="147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21997A99" w14:textId="77777777" w:rsidR="005B6A9C" w:rsidRPr="00B433A3" w:rsidRDefault="005B6A9C" w:rsidP="00B8343E">
            <w:pPr>
              <w:pStyle w:val="Tabletext"/>
              <w:jc w:val="center"/>
              <w:cnfStyle w:val="000000100000" w:firstRow="0" w:lastRow="0" w:firstColumn="0" w:lastColumn="0" w:oddVBand="0" w:evenVBand="0" w:oddHBand="1" w:evenHBand="0" w:firstRowFirstColumn="0" w:firstRowLastColumn="0" w:lastRowFirstColumn="0" w:lastRowLastColumn="0"/>
              <w:rPr>
                <w:b/>
                <w:bCs/>
                <w:lang w:eastAsia="zh-CN"/>
              </w:rPr>
            </w:pPr>
            <w:r w:rsidRPr="00B433A3">
              <w:rPr>
                <w:b/>
                <w:bCs/>
                <w:lang w:eastAsia="zh-CN"/>
              </w:rPr>
              <w:t>7</w:t>
            </w:r>
          </w:p>
        </w:tc>
        <w:tc>
          <w:tcPr>
            <w:tcW w:w="147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1801032C" w14:textId="77777777" w:rsidR="005B6A9C" w:rsidRPr="00B433A3" w:rsidRDefault="005B6A9C" w:rsidP="00B8343E">
            <w:pPr>
              <w:pStyle w:val="Tabletext"/>
              <w:jc w:val="center"/>
              <w:cnfStyle w:val="000000100000" w:firstRow="0" w:lastRow="0" w:firstColumn="0" w:lastColumn="0" w:oddVBand="0" w:evenVBand="0" w:oddHBand="1" w:evenHBand="0" w:firstRowFirstColumn="0" w:firstRowLastColumn="0" w:lastRowFirstColumn="0" w:lastRowLastColumn="0"/>
              <w:rPr>
                <w:b/>
                <w:bCs/>
                <w:lang w:eastAsia="zh-CN"/>
              </w:rPr>
            </w:pPr>
            <w:r w:rsidRPr="00B433A3">
              <w:rPr>
                <w:b/>
                <w:bCs/>
                <w:color w:val="000000"/>
                <w:lang w:eastAsia="zh-CN"/>
              </w:rPr>
              <w:t>10</w:t>
            </w:r>
          </w:p>
        </w:tc>
      </w:tr>
      <w:tr w:rsidR="001B6DA6" w:rsidRPr="00B433A3" w14:paraId="15B2D8FA" w14:textId="77777777" w:rsidTr="00467932">
        <w:trPr>
          <w:trHeight w:val="570"/>
          <w:jc w:val="center"/>
        </w:trPr>
        <w:tc>
          <w:tcPr>
            <w:cnfStyle w:val="001000000000" w:firstRow="0" w:lastRow="0" w:firstColumn="1" w:lastColumn="0" w:oddVBand="0" w:evenVBand="0" w:oddHBand="0" w:evenHBand="0" w:firstRowFirstColumn="0" w:firstRowLastColumn="0" w:lastRowFirstColumn="0" w:lastRowLastColumn="0"/>
            <w:tcW w:w="4195" w:type="dxa"/>
            <w:tcBorders>
              <w:top w:val="single" w:sz="4" w:space="0" w:color="FFFFFF" w:themeColor="background1"/>
              <w:bottom w:val="single" w:sz="4" w:space="0" w:color="FFFFFF" w:themeColor="background1"/>
              <w:right w:val="single" w:sz="4" w:space="0" w:color="FFFFFF" w:themeColor="background1"/>
            </w:tcBorders>
            <w:vAlign w:val="center"/>
          </w:tcPr>
          <w:p w14:paraId="22596525" w14:textId="77777777" w:rsidR="005B6A9C" w:rsidRPr="00B433A3" w:rsidRDefault="005B6A9C" w:rsidP="00B8343E">
            <w:pPr>
              <w:pStyle w:val="Tabletext"/>
              <w:jc w:val="center"/>
              <w:rPr>
                <w:lang w:eastAsia="zh-CN"/>
              </w:rPr>
            </w:pPr>
          </w:p>
        </w:tc>
        <w:tc>
          <w:tcPr>
            <w:tcW w:w="147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A8A0E7D" w14:textId="77777777" w:rsidR="005B6A9C" w:rsidRPr="00B433A3" w:rsidRDefault="005B6A9C" w:rsidP="00B8343E">
            <w:pPr>
              <w:pStyle w:val="Tabletext"/>
              <w:jc w:val="center"/>
              <w:cnfStyle w:val="000000000000" w:firstRow="0" w:lastRow="0" w:firstColumn="0" w:lastColumn="0" w:oddVBand="0" w:evenVBand="0" w:oddHBand="0" w:evenHBand="0" w:firstRowFirstColumn="0" w:firstRowLastColumn="0" w:lastRowFirstColumn="0" w:lastRowLastColumn="0"/>
              <w:rPr>
                <w:lang w:eastAsia="zh-CN"/>
              </w:rPr>
            </w:pPr>
          </w:p>
        </w:tc>
        <w:tc>
          <w:tcPr>
            <w:tcW w:w="147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D5AA746" w14:textId="77777777" w:rsidR="005B6A9C" w:rsidRPr="00B433A3" w:rsidRDefault="005B6A9C" w:rsidP="00B8343E">
            <w:pPr>
              <w:pStyle w:val="Tabletext"/>
              <w:jc w:val="center"/>
              <w:cnfStyle w:val="000000000000" w:firstRow="0" w:lastRow="0" w:firstColumn="0" w:lastColumn="0" w:oddVBand="0" w:evenVBand="0" w:oddHBand="0" w:evenHBand="0" w:firstRowFirstColumn="0" w:firstRowLastColumn="0" w:lastRowFirstColumn="0" w:lastRowLastColumn="0"/>
              <w:rPr>
                <w:lang w:eastAsia="zh-CN"/>
              </w:rPr>
            </w:pPr>
          </w:p>
        </w:tc>
        <w:tc>
          <w:tcPr>
            <w:tcW w:w="147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9D02EC7" w14:textId="77777777" w:rsidR="005B6A9C" w:rsidRPr="00B433A3" w:rsidRDefault="005B6A9C" w:rsidP="00B8343E">
            <w:pPr>
              <w:pStyle w:val="Tabletext"/>
              <w:jc w:val="center"/>
              <w:cnfStyle w:val="000000000000" w:firstRow="0" w:lastRow="0" w:firstColumn="0" w:lastColumn="0" w:oddVBand="0" w:evenVBand="0" w:oddHBand="0" w:evenHBand="0" w:firstRowFirstColumn="0" w:firstRowLastColumn="0" w:lastRowFirstColumn="0" w:lastRowLastColumn="0"/>
              <w:rPr>
                <w:lang w:eastAsia="zh-CN"/>
              </w:rPr>
            </w:pPr>
          </w:p>
        </w:tc>
        <w:tc>
          <w:tcPr>
            <w:tcW w:w="147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29F55FE" w14:textId="77777777" w:rsidR="005B6A9C" w:rsidRPr="00B433A3" w:rsidRDefault="005B6A9C" w:rsidP="00B8343E">
            <w:pPr>
              <w:pStyle w:val="Tabletext"/>
              <w:jc w:val="center"/>
              <w:cnfStyle w:val="000000000000" w:firstRow="0" w:lastRow="0" w:firstColumn="0" w:lastColumn="0" w:oddVBand="0" w:evenVBand="0" w:oddHBand="0" w:evenHBand="0" w:firstRowFirstColumn="0" w:firstRowLastColumn="0" w:lastRowFirstColumn="0" w:lastRowLastColumn="0"/>
              <w:rPr>
                <w:lang w:eastAsia="zh-CN"/>
              </w:rPr>
            </w:pPr>
          </w:p>
        </w:tc>
      </w:tr>
      <w:tr w:rsidR="001B6DA6" w:rsidRPr="00B433A3" w14:paraId="23604AA7" w14:textId="77777777" w:rsidTr="00467932">
        <w:trPr>
          <w:cnfStyle w:val="000000100000" w:firstRow="0" w:lastRow="0" w:firstColumn="0" w:lastColumn="0" w:oddVBand="0" w:evenVBand="0" w:oddHBand="1" w:evenHBand="0" w:firstRowFirstColumn="0" w:firstRowLastColumn="0" w:lastRowFirstColumn="0" w:lastRowLastColumn="0"/>
          <w:trHeight w:val="570"/>
          <w:jc w:val="center"/>
        </w:trPr>
        <w:tc>
          <w:tcPr>
            <w:cnfStyle w:val="001000000000" w:firstRow="0" w:lastRow="0" w:firstColumn="1" w:lastColumn="0" w:oddVBand="0" w:evenVBand="0" w:oddHBand="0" w:evenHBand="0" w:firstRowFirstColumn="0" w:firstRowLastColumn="0" w:lastRowFirstColumn="0" w:lastRowLastColumn="0"/>
            <w:tcW w:w="4195" w:type="dxa"/>
            <w:tcBorders>
              <w:top w:val="single" w:sz="4" w:space="0" w:color="FFFFFF" w:themeColor="background1"/>
              <w:right w:val="single" w:sz="4" w:space="0" w:color="FFFFFF" w:themeColor="background1"/>
            </w:tcBorders>
            <w:vAlign w:val="center"/>
            <w:hideMark/>
          </w:tcPr>
          <w:p w14:paraId="093AB149" w14:textId="77777777" w:rsidR="005B6A9C" w:rsidRPr="00B433A3" w:rsidRDefault="005B6A9C" w:rsidP="00B8343E">
            <w:pPr>
              <w:pStyle w:val="Tabletext"/>
              <w:jc w:val="center"/>
              <w:rPr>
                <w:lang w:eastAsia="zh-CN"/>
              </w:rPr>
            </w:pPr>
            <w:r w:rsidRPr="00B433A3">
              <w:rPr>
                <w:color w:val="FFFFFF"/>
                <w:lang w:eastAsia="zh-CN"/>
              </w:rPr>
              <w:t>Téléchargements gratuits</w:t>
            </w:r>
          </w:p>
        </w:tc>
        <w:tc>
          <w:tcPr>
            <w:tcW w:w="147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2BAFF56B" w14:textId="77777777" w:rsidR="005B6A9C" w:rsidRPr="00B433A3" w:rsidRDefault="005B6A9C" w:rsidP="00B8343E">
            <w:pPr>
              <w:pStyle w:val="Tabletext"/>
              <w:jc w:val="center"/>
              <w:cnfStyle w:val="000000100000" w:firstRow="0" w:lastRow="0" w:firstColumn="0" w:lastColumn="0" w:oddVBand="0" w:evenVBand="0" w:oddHBand="1" w:evenHBand="0" w:firstRowFirstColumn="0" w:firstRowLastColumn="0" w:lastRowFirstColumn="0" w:lastRowLastColumn="0"/>
              <w:rPr>
                <w:b/>
                <w:bCs/>
                <w:lang w:eastAsia="zh-CN"/>
              </w:rPr>
            </w:pPr>
            <w:r w:rsidRPr="00B433A3">
              <w:rPr>
                <w:b/>
                <w:bCs/>
                <w:color w:val="000000"/>
                <w:lang w:eastAsia="zh-CN"/>
              </w:rPr>
              <w:t>28 168</w:t>
            </w:r>
          </w:p>
        </w:tc>
        <w:tc>
          <w:tcPr>
            <w:tcW w:w="147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1866D0AE" w14:textId="77777777" w:rsidR="005B6A9C" w:rsidRPr="00B433A3" w:rsidRDefault="005B6A9C" w:rsidP="00B8343E">
            <w:pPr>
              <w:pStyle w:val="Tabletext"/>
              <w:jc w:val="center"/>
              <w:cnfStyle w:val="000000100000" w:firstRow="0" w:lastRow="0" w:firstColumn="0" w:lastColumn="0" w:oddVBand="0" w:evenVBand="0" w:oddHBand="1" w:evenHBand="0" w:firstRowFirstColumn="0" w:firstRowLastColumn="0" w:lastRowFirstColumn="0" w:lastRowLastColumn="0"/>
              <w:rPr>
                <w:b/>
                <w:bCs/>
                <w:lang w:eastAsia="zh-CN"/>
              </w:rPr>
            </w:pPr>
            <w:r w:rsidRPr="00B433A3">
              <w:rPr>
                <w:b/>
                <w:bCs/>
                <w:color w:val="000000"/>
                <w:lang w:eastAsia="zh-CN"/>
              </w:rPr>
              <w:t>68 507</w:t>
            </w:r>
          </w:p>
        </w:tc>
        <w:tc>
          <w:tcPr>
            <w:tcW w:w="147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3B606FA3" w14:textId="77777777" w:rsidR="005B6A9C" w:rsidRPr="00B433A3" w:rsidRDefault="005B6A9C" w:rsidP="00B8343E">
            <w:pPr>
              <w:pStyle w:val="Tabletext"/>
              <w:jc w:val="center"/>
              <w:cnfStyle w:val="000000100000" w:firstRow="0" w:lastRow="0" w:firstColumn="0" w:lastColumn="0" w:oddVBand="0" w:evenVBand="0" w:oddHBand="1" w:evenHBand="0" w:firstRowFirstColumn="0" w:firstRowLastColumn="0" w:lastRowFirstColumn="0" w:lastRowLastColumn="0"/>
              <w:rPr>
                <w:b/>
                <w:bCs/>
                <w:lang w:eastAsia="zh-CN"/>
              </w:rPr>
            </w:pPr>
            <w:r w:rsidRPr="00B433A3">
              <w:rPr>
                <w:b/>
                <w:bCs/>
                <w:color w:val="000000"/>
                <w:lang w:eastAsia="zh-CN"/>
              </w:rPr>
              <w:t>79 961</w:t>
            </w:r>
          </w:p>
        </w:tc>
        <w:tc>
          <w:tcPr>
            <w:tcW w:w="147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7DA7A48A" w14:textId="77777777" w:rsidR="005B6A9C" w:rsidRPr="00B433A3" w:rsidRDefault="005B6A9C" w:rsidP="00B8343E">
            <w:pPr>
              <w:pStyle w:val="Tabletext"/>
              <w:jc w:val="center"/>
              <w:cnfStyle w:val="000000100000" w:firstRow="0" w:lastRow="0" w:firstColumn="0" w:lastColumn="0" w:oddVBand="0" w:evenVBand="0" w:oddHBand="1" w:evenHBand="0" w:firstRowFirstColumn="0" w:firstRowLastColumn="0" w:lastRowFirstColumn="0" w:lastRowLastColumn="0"/>
              <w:rPr>
                <w:b/>
                <w:bCs/>
                <w:color w:val="000000"/>
                <w:lang w:eastAsia="zh-CN"/>
              </w:rPr>
            </w:pPr>
            <w:r w:rsidRPr="00B433A3">
              <w:rPr>
                <w:b/>
                <w:bCs/>
                <w:color w:val="000000"/>
                <w:lang w:eastAsia="zh-CN"/>
              </w:rPr>
              <w:t>126 201</w:t>
            </w:r>
          </w:p>
        </w:tc>
      </w:tr>
    </w:tbl>
    <w:p w14:paraId="401CC0B6" w14:textId="77777777" w:rsidR="005B6A9C" w:rsidRPr="00B433A3" w:rsidRDefault="005B6A9C" w:rsidP="00B8343E">
      <w:pPr>
        <w:pStyle w:val="Heading2"/>
        <w:rPr>
          <w:i/>
          <w:iCs/>
        </w:rPr>
      </w:pPr>
      <w:bookmarkStart w:id="167" w:name="_Toc424047601"/>
      <w:bookmarkStart w:id="168" w:name="_Toc446060783"/>
      <w:r w:rsidRPr="00B433A3">
        <w:t>8.2</w:t>
      </w:r>
      <w:r w:rsidRPr="00B433A3">
        <w:tab/>
      </w:r>
      <w:bookmarkStart w:id="169" w:name="lt_pId1033"/>
      <w:bookmarkEnd w:id="167"/>
      <w:bookmarkEnd w:id="168"/>
      <w:r w:rsidRPr="00B433A3">
        <w:t>Séminaires, ateliers et autres manifestations</w:t>
      </w:r>
      <w:bookmarkEnd w:id="169"/>
    </w:p>
    <w:p w14:paraId="2A19CA01" w14:textId="77777777" w:rsidR="005B6A9C" w:rsidRPr="00B433A3" w:rsidRDefault="005B6A9C" w:rsidP="00B8343E">
      <w:r w:rsidRPr="00B433A3">
        <w:t xml:space="preserve">Depuis 2020, une nouvelle série de séminaires mondiaux et régionaux des radiocommunications (WRS/RRS) ont été organisés dans l'intervalle entre deux CMR pour la période 2020-2023. Ces séminaires visent à diffuser, à l'échelle mondiale, les mises à jour figurant dans l'édition de 2020 du Règlement des radiocommunications (et les décisions prises par la CMR-19), ainsi </w:t>
      </w:r>
      <w:r w:rsidRPr="00B433A3">
        <w:rPr>
          <w:color w:val="000000"/>
        </w:rPr>
        <w:t>que les Règles de procédure associées</w:t>
      </w:r>
      <w:r w:rsidRPr="00B433A3">
        <w:t>. Compte tenu de l'expérience acquise précédemment dans le cadre des séminaires WRS/RRS, le BR prévoit d'organiser pour la période 2020-2023 deux </w:t>
      </w:r>
      <w:r w:rsidRPr="00B433A3">
        <w:rPr>
          <w:color w:val="000000"/>
        </w:rPr>
        <w:t xml:space="preserve">séminaires mondiaux des radiocommunications (WRS), </w:t>
      </w:r>
      <w:r w:rsidRPr="00B433A3">
        <w:t xml:space="preserve">tous les deux ans, </w:t>
      </w:r>
      <w:r w:rsidRPr="00B433A3">
        <w:rPr>
          <w:color w:val="000000"/>
        </w:rPr>
        <w:t>complétés par onze séminaires régionaux des radiocommunications</w:t>
      </w:r>
      <w:r w:rsidRPr="00B433A3">
        <w:t xml:space="preserve"> (RRS) (chacun ciblant une sous-région différente), conformément au calendrier </w:t>
      </w:r>
      <w:proofErr w:type="gramStart"/>
      <w:r w:rsidRPr="00B433A3">
        <w:t>suivant:</w:t>
      </w:r>
      <w:proofErr w:type="gramEnd"/>
    </w:p>
    <w:p w14:paraId="3A675192" w14:textId="77777777" w:rsidR="005B6A9C" w:rsidRPr="00B433A3" w:rsidRDefault="005B6A9C" w:rsidP="00B8343E">
      <w:pPr>
        <w:pStyle w:val="TableNoBR"/>
      </w:pPr>
      <w:r w:rsidRPr="00B433A3">
        <w:lastRenderedPageBreak/>
        <w:t>TABLEAU 8.2.2-1</w:t>
      </w:r>
    </w:p>
    <w:tbl>
      <w:tblPr>
        <w:tblStyle w:val="GridTable4-Accent122"/>
        <w:tblW w:w="97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1701"/>
        <w:gridCol w:w="1696"/>
        <w:gridCol w:w="1564"/>
        <w:gridCol w:w="1134"/>
        <w:gridCol w:w="988"/>
      </w:tblGrid>
      <w:tr w:rsidR="005B6A9C" w:rsidRPr="00B433A3" w14:paraId="622152BE" w14:textId="77777777" w:rsidTr="00624C8E">
        <w:trPr>
          <w:cnfStyle w:val="100000000000" w:firstRow="1" w:lastRow="0" w:firstColumn="0" w:lastColumn="0" w:oddVBand="0" w:evenVBand="0" w:oddHBand="0" w:evenHBand="0" w:firstRowFirstColumn="0" w:firstRowLastColumn="0" w:lastRowFirstColumn="0" w:lastRowLastColumn="0"/>
          <w:trHeight w:val="375"/>
          <w:tblHeader/>
          <w:jc w:val="center"/>
        </w:trPr>
        <w:tc>
          <w:tcPr>
            <w:cnfStyle w:val="001000000000" w:firstRow="0" w:lastRow="0" w:firstColumn="1" w:lastColumn="0" w:oddVBand="0" w:evenVBand="0" w:oddHBand="0" w:evenHBand="0" w:firstRowFirstColumn="0" w:firstRowLastColumn="0" w:lastRowFirstColumn="0" w:lastRowLastColumn="0"/>
            <w:tcW w:w="2694" w:type="dxa"/>
            <w:tcBorders>
              <w:top w:val="single" w:sz="4" w:space="0" w:color="auto"/>
              <w:left w:val="single" w:sz="4" w:space="0" w:color="auto"/>
              <w:bottom w:val="single" w:sz="4" w:space="0" w:color="auto"/>
              <w:right w:val="single" w:sz="4" w:space="0" w:color="auto"/>
            </w:tcBorders>
          </w:tcPr>
          <w:p w14:paraId="28B11346" w14:textId="77777777" w:rsidR="005B6A9C" w:rsidRPr="00B433A3" w:rsidRDefault="005B6A9C" w:rsidP="00B8343E">
            <w:pPr>
              <w:pStyle w:val="Tablehead"/>
              <w:keepLines/>
              <w:jc w:val="left"/>
              <w:rPr>
                <w:color w:val="auto"/>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14:paraId="2C3D37FA" w14:textId="77777777" w:rsidR="005B6A9C" w:rsidRPr="00B433A3" w:rsidRDefault="005B6A9C" w:rsidP="00B8343E">
            <w:pPr>
              <w:pStyle w:val="Tablehead"/>
              <w:keepLines/>
              <w:cnfStyle w:val="100000000000" w:firstRow="1" w:lastRow="0" w:firstColumn="0" w:lastColumn="0" w:oddVBand="0" w:evenVBand="0" w:oddHBand="0" w:evenHBand="0" w:firstRowFirstColumn="0" w:firstRowLastColumn="0" w:lastRowFirstColumn="0" w:lastRowLastColumn="0"/>
              <w:rPr>
                <w:b/>
                <w:bCs w:val="0"/>
                <w:color w:val="auto"/>
                <w:sz w:val="20"/>
                <w:szCs w:val="20"/>
              </w:rPr>
            </w:pPr>
            <w:r w:rsidRPr="00B433A3">
              <w:rPr>
                <w:b/>
                <w:bCs w:val="0"/>
                <w:color w:val="auto"/>
                <w:sz w:val="20"/>
                <w:szCs w:val="20"/>
              </w:rPr>
              <w:t>Langue</w:t>
            </w:r>
          </w:p>
        </w:tc>
        <w:tc>
          <w:tcPr>
            <w:tcW w:w="1696" w:type="dxa"/>
            <w:tcBorders>
              <w:top w:val="single" w:sz="4" w:space="0" w:color="auto"/>
              <w:left w:val="single" w:sz="4" w:space="0" w:color="auto"/>
              <w:bottom w:val="single" w:sz="4" w:space="0" w:color="auto"/>
              <w:right w:val="single" w:sz="4" w:space="0" w:color="auto"/>
            </w:tcBorders>
            <w:hideMark/>
          </w:tcPr>
          <w:p w14:paraId="4399399A" w14:textId="77777777" w:rsidR="005B6A9C" w:rsidRPr="00B433A3" w:rsidRDefault="005B6A9C" w:rsidP="00B8343E">
            <w:pPr>
              <w:pStyle w:val="Tablehead"/>
              <w:keepLines/>
              <w:cnfStyle w:val="100000000000" w:firstRow="1" w:lastRow="0" w:firstColumn="0" w:lastColumn="0" w:oddVBand="0" w:evenVBand="0" w:oddHBand="0" w:evenHBand="0" w:firstRowFirstColumn="0" w:firstRowLastColumn="0" w:lastRowFirstColumn="0" w:lastRowLastColumn="0"/>
              <w:rPr>
                <w:b/>
                <w:bCs w:val="0"/>
                <w:color w:val="auto"/>
                <w:sz w:val="20"/>
                <w:szCs w:val="20"/>
              </w:rPr>
            </w:pPr>
            <w:r w:rsidRPr="00B433A3">
              <w:rPr>
                <w:b/>
                <w:bCs w:val="0"/>
                <w:color w:val="auto"/>
                <w:sz w:val="20"/>
                <w:szCs w:val="20"/>
              </w:rPr>
              <w:t>2020</w:t>
            </w:r>
          </w:p>
        </w:tc>
        <w:tc>
          <w:tcPr>
            <w:tcW w:w="1564" w:type="dxa"/>
            <w:tcBorders>
              <w:top w:val="single" w:sz="4" w:space="0" w:color="auto"/>
              <w:left w:val="single" w:sz="4" w:space="0" w:color="auto"/>
              <w:bottom w:val="single" w:sz="4" w:space="0" w:color="auto"/>
              <w:right w:val="single" w:sz="4" w:space="0" w:color="auto"/>
            </w:tcBorders>
            <w:hideMark/>
          </w:tcPr>
          <w:p w14:paraId="6843A33B" w14:textId="77777777" w:rsidR="005B6A9C" w:rsidRPr="00B433A3" w:rsidRDefault="005B6A9C" w:rsidP="00B8343E">
            <w:pPr>
              <w:pStyle w:val="Tablehead"/>
              <w:keepLines/>
              <w:cnfStyle w:val="100000000000" w:firstRow="1" w:lastRow="0" w:firstColumn="0" w:lastColumn="0" w:oddVBand="0" w:evenVBand="0" w:oddHBand="0" w:evenHBand="0" w:firstRowFirstColumn="0" w:firstRowLastColumn="0" w:lastRowFirstColumn="0" w:lastRowLastColumn="0"/>
              <w:rPr>
                <w:b/>
                <w:bCs w:val="0"/>
                <w:color w:val="auto"/>
                <w:sz w:val="20"/>
                <w:szCs w:val="20"/>
              </w:rPr>
            </w:pPr>
            <w:r w:rsidRPr="00B433A3">
              <w:rPr>
                <w:b/>
                <w:bCs w:val="0"/>
                <w:color w:val="auto"/>
                <w:sz w:val="20"/>
                <w:szCs w:val="20"/>
              </w:rPr>
              <w:t>2021</w:t>
            </w:r>
          </w:p>
        </w:tc>
        <w:tc>
          <w:tcPr>
            <w:tcW w:w="1134" w:type="dxa"/>
            <w:tcBorders>
              <w:top w:val="single" w:sz="4" w:space="0" w:color="auto"/>
              <w:left w:val="single" w:sz="4" w:space="0" w:color="auto"/>
              <w:bottom w:val="single" w:sz="4" w:space="0" w:color="auto"/>
              <w:right w:val="single" w:sz="4" w:space="0" w:color="auto"/>
            </w:tcBorders>
            <w:hideMark/>
          </w:tcPr>
          <w:p w14:paraId="05DA09EB" w14:textId="77777777" w:rsidR="005B6A9C" w:rsidRPr="00B433A3" w:rsidRDefault="005B6A9C" w:rsidP="00B8343E">
            <w:pPr>
              <w:pStyle w:val="Tablehead"/>
              <w:keepLines/>
              <w:cnfStyle w:val="100000000000" w:firstRow="1" w:lastRow="0" w:firstColumn="0" w:lastColumn="0" w:oddVBand="0" w:evenVBand="0" w:oddHBand="0" w:evenHBand="0" w:firstRowFirstColumn="0" w:firstRowLastColumn="0" w:lastRowFirstColumn="0" w:lastRowLastColumn="0"/>
              <w:rPr>
                <w:b/>
                <w:bCs w:val="0"/>
                <w:color w:val="auto"/>
                <w:sz w:val="20"/>
                <w:szCs w:val="20"/>
              </w:rPr>
            </w:pPr>
            <w:r w:rsidRPr="00B433A3">
              <w:rPr>
                <w:b/>
                <w:bCs w:val="0"/>
                <w:color w:val="auto"/>
                <w:sz w:val="20"/>
                <w:szCs w:val="20"/>
              </w:rPr>
              <w:t>2022</w:t>
            </w:r>
          </w:p>
        </w:tc>
        <w:tc>
          <w:tcPr>
            <w:tcW w:w="988" w:type="dxa"/>
            <w:tcBorders>
              <w:top w:val="single" w:sz="4" w:space="0" w:color="auto"/>
              <w:left w:val="single" w:sz="4" w:space="0" w:color="auto"/>
              <w:bottom w:val="single" w:sz="4" w:space="0" w:color="auto"/>
              <w:right w:val="single" w:sz="4" w:space="0" w:color="auto"/>
            </w:tcBorders>
            <w:hideMark/>
          </w:tcPr>
          <w:p w14:paraId="18BB3D09" w14:textId="77777777" w:rsidR="005B6A9C" w:rsidRPr="00B433A3" w:rsidRDefault="005B6A9C" w:rsidP="00B8343E">
            <w:pPr>
              <w:pStyle w:val="Tablehead"/>
              <w:keepLines/>
              <w:cnfStyle w:val="100000000000" w:firstRow="1" w:lastRow="0" w:firstColumn="0" w:lastColumn="0" w:oddVBand="0" w:evenVBand="0" w:oddHBand="0" w:evenHBand="0" w:firstRowFirstColumn="0" w:firstRowLastColumn="0" w:lastRowFirstColumn="0" w:lastRowLastColumn="0"/>
              <w:rPr>
                <w:b/>
                <w:bCs w:val="0"/>
                <w:color w:val="auto"/>
                <w:sz w:val="20"/>
                <w:szCs w:val="20"/>
              </w:rPr>
            </w:pPr>
            <w:r w:rsidRPr="00B433A3">
              <w:rPr>
                <w:b/>
                <w:bCs w:val="0"/>
                <w:color w:val="auto"/>
                <w:sz w:val="20"/>
                <w:szCs w:val="20"/>
              </w:rPr>
              <w:t>2023</w:t>
            </w:r>
          </w:p>
        </w:tc>
      </w:tr>
      <w:tr w:rsidR="005B6A9C" w:rsidRPr="00B433A3" w14:paraId="0704AA69" w14:textId="77777777" w:rsidTr="00624C8E">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694" w:type="dxa"/>
            <w:tcBorders>
              <w:top w:val="single" w:sz="4" w:space="0" w:color="auto"/>
              <w:left w:val="single" w:sz="4" w:space="0" w:color="auto"/>
              <w:bottom w:val="single" w:sz="4" w:space="0" w:color="auto"/>
              <w:right w:val="single" w:sz="4" w:space="0" w:color="auto"/>
            </w:tcBorders>
            <w:hideMark/>
          </w:tcPr>
          <w:p w14:paraId="33702003" w14:textId="77777777" w:rsidR="005B6A9C" w:rsidRPr="00B433A3" w:rsidRDefault="005B6A9C" w:rsidP="00B8343E">
            <w:pPr>
              <w:pStyle w:val="Tabletext"/>
              <w:keepNext/>
              <w:keepLines/>
              <w:rPr>
                <w:sz w:val="20"/>
                <w:szCs w:val="20"/>
              </w:rPr>
            </w:pPr>
            <w:r w:rsidRPr="00B433A3">
              <w:rPr>
                <w:sz w:val="20"/>
                <w:szCs w:val="20"/>
              </w:rPr>
              <w:t>Afrique (subsaharienne</w:t>
            </w:r>
            <w:proofErr w:type="gramStart"/>
            <w:r w:rsidRPr="00B433A3">
              <w:rPr>
                <w:sz w:val="20"/>
                <w:szCs w:val="20"/>
              </w:rPr>
              <w:t>):</w:t>
            </w:r>
            <w:proofErr w:type="gramEnd"/>
            <w:r w:rsidRPr="00B433A3">
              <w:rPr>
                <w:sz w:val="20"/>
                <w:szCs w:val="20"/>
              </w:rPr>
              <w:t xml:space="preserve"> (2)</w:t>
            </w:r>
          </w:p>
        </w:tc>
        <w:tc>
          <w:tcPr>
            <w:tcW w:w="1701" w:type="dxa"/>
            <w:tcBorders>
              <w:top w:val="single" w:sz="4" w:space="0" w:color="auto"/>
              <w:left w:val="single" w:sz="4" w:space="0" w:color="auto"/>
              <w:bottom w:val="single" w:sz="4" w:space="0" w:color="auto"/>
              <w:right w:val="single" w:sz="4" w:space="0" w:color="auto"/>
            </w:tcBorders>
            <w:hideMark/>
          </w:tcPr>
          <w:p w14:paraId="6F88D686" w14:textId="77777777" w:rsidR="005B6A9C" w:rsidRPr="00B433A3" w:rsidRDefault="005B6A9C" w:rsidP="00B8343E">
            <w:pPr>
              <w:pStyle w:val="Tabletext"/>
              <w:keepNext/>
              <w:keepLines/>
              <w:cnfStyle w:val="000000100000" w:firstRow="0" w:lastRow="0" w:firstColumn="0" w:lastColumn="0" w:oddVBand="0" w:evenVBand="0" w:oddHBand="1" w:evenHBand="0" w:firstRowFirstColumn="0" w:firstRowLastColumn="0" w:lastRowFirstColumn="0" w:lastRowLastColumn="0"/>
              <w:rPr>
                <w:sz w:val="20"/>
                <w:szCs w:val="20"/>
              </w:rPr>
            </w:pPr>
            <w:r w:rsidRPr="00B433A3">
              <w:rPr>
                <w:sz w:val="20"/>
                <w:szCs w:val="20"/>
              </w:rPr>
              <w:t xml:space="preserve"> </w:t>
            </w:r>
          </w:p>
        </w:tc>
        <w:tc>
          <w:tcPr>
            <w:tcW w:w="1696" w:type="dxa"/>
            <w:tcBorders>
              <w:top w:val="single" w:sz="4" w:space="0" w:color="auto"/>
              <w:left w:val="single" w:sz="4" w:space="0" w:color="auto"/>
              <w:bottom w:val="single" w:sz="4" w:space="0" w:color="auto"/>
              <w:right w:val="single" w:sz="4" w:space="0" w:color="auto"/>
            </w:tcBorders>
          </w:tcPr>
          <w:p w14:paraId="6F9ABECC" w14:textId="77777777" w:rsidR="005B6A9C" w:rsidRPr="00B433A3" w:rsidRDefault="005B6A9C" w:rsidP="00B8343E">
            <w:pPr>
              <w:pStyle w:val="Tabletext"/>
              <w:keepNext/>
              <w:keepLines/>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1564" w:type="dxa"/>
            <w:tcBorders>
              <w:top w:val="single" w:sz="4" w:space="0" w:color="auto"/>
              <w:left w:val="single" w:sz="4" w:space="0" w:color="auto"/>
              <w:bottom w:val="single" w:sz="4" w:space="0" w:color="auto"/>
              <w:right w:val="single" w:sz="4" w:space="0" w:color="auto"/>
            </w:tcBorders>
          </w:tcPr>
          <w:p w14:paraId="1E969C83" w14:textId="77777777" w:rsidR="005B6A9C" w:rsidRPr="00B433A3" w:rsidRDefault="005B6A9C" w:rsidP="00B8343E">
            <w:pPr>
              <w:pStyle w:val="Tabletext"/>
              <w:keepNext/>
              <w:keepLines/>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12FEFF92" w14:textId="77777777" w:rsidR="005B6A9C" w:rsidRPr="00B433A3" w:rsidRDefault="005B6A9C" w:rsidP="00B8343E">
            <w:pPr>
              <w:pStyle w:val="Tabletext"/>
              <w:keepNext/>
              <w:keepLines/>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988" w:type="dxa"/>
            <w:tcBorders>
              <w:top w:val="single" w:sz="4" w:space="0" w:color="auto"/>
              <w:left w:val="single" w:sz="4" w:space="0" w:color="auto"/>
              <w:bottom w:val="single" w:sz="4" w:space="0" w:color="auto"/>
              <w:right w:val="single" w:sz="4" w:space="0" w:color="auto"/>
            </w:tcBorders>
          </w:tcPr>
          <w:p w14:paraId="5B9F3D6F" w14:textId="77777777" w:rsidR="005B6A9C" w:rsidRPr="00B433A3" w:rsidRDefault="005B6A9C" w:rsidP="00B8343E">
            <w:pPr>
              <w:pStyle w:val="Tabletext"/>
              <w:keepNext/>
              <w:keepLines/>
              <w:jc w:val="center"/>
              <w:cnfStyle w:val="000000100000" w:firstRow="0" w:lastRow="0" w:firstColumn="0" w:lastColumn="0" w:oddVBand="0" w:evenVBand="0" w:oddHBand="1" w:evenHBand="0" w:firstRowFirstColumn="0" w:firstRowLastColumn="0" w:lastRowFirstColumn="0" w:lastRowLastColumn="0"/>
              <w:rPr>
                <w:sz w:val="20"/>
                <w:szCs w:val="20"/>
              </w:rPr>
            </w:pPr>
          </w:p>
        </w:tc>
      </w:tr>
      <w:tr w:rsidR="005B6A9C" w:rsidRPr="00B433A3" w14:paraId="382B98F3" w14:textId="77777777" w:rsidTr="00624C8E">
        <w:trPr>
          <w:trHeight w:val="300"/>
          <w:jc w:val="center"/>
        </w:trPr>
        <w:tc>
          <w:tcPr>
            <w:cnfStyle w:val="001000000000" w:firstRow="0" w:lastRow="0" w:firstColumn="1" w:lastColumn="0" w:oddVBand="0" w:evenVBand="0" w:oddHBand="0" w:evenHBand="0" w:firstRowFirstColumn="0" w:firstRowLastColumn="0" w:lastRowFirstColumn="0" w:lastRowLastColumn="0"/>
            <w:tcW w:w="2694" w:type="dxa"/>
            <w:tcBorders>
              <w:top w:val="single" w:sz="4" w:space="0" w:color="auto"/>
              <w:left w:val="single" w:sz="4" w:space="0" w:color="auto"/>
              <w:bottom w:val="single" w:sz="4" w:space="0" w:color="auto"/>
              <w:right w:val="single" w:sz="4" w:space="0" w:color="auto"/>
            </w:tcBorders>
            <w:hideMark/>
          </w:tcPr>
          <w:p w14:paraId="590A44E0" w14:textId="77777777" w:rsidR="005B6A9C" w:rsidRPr="00B433A3" w:rsidRDefault="005B6A9C" w:rsidP="00B8343E">
            <w:pPr>
              <w:pStyle w:val="Tabletext"/>
              <w:keepNext/>
              <w:keepLines/>
              <w:rPr>
                <w:b w:val="0"/>
                <w:bCs w:val="0"/>
                <w:sz w:val="20"/>
                <w:szCs w:val="20"/>
              </w:rPr>
            </w:pPr>
            <w:r w:rsidRPr="00B433A3">
              <w:rPr>
                <w:b w:val="0"/>
                <w:bCs w:val="0"/>
                <w:sz w:val="20"/>
                <w:szCs w:val="20"/>
              </w:rPr>
              <w:t>Pays francophones d'Afrique</w:t>
            </w:r>
          </w:p>
        </w:tc>
        <w:tc>
          <w:tcPr>
            <w:tcW w:w="1701" w:type="dxa"/>
            <w:tcBorders>
              <w:top w:val="single" w:sz="4" w:space="0" w:color="auto"/>
              <w:left w:val="single" w:sz="4" w:space="0" w:color="auto"/>
              <w:bottom w:val="single" w:sz="4" w:space="0" w:color="auto"/>
              <w:right w:val="single" w:sz="4" w:space="0" w:color="auto"/>
            </w:tcBorders>
            <w:hideMark/>
          </w:tcPr>
          <w:p w14:paraId="7A013132" w14:textId="77777777" w:rsidR="005B6A9C" w:rsidRPr="00B433A3" w:rsidRDefault="005B6A9C" w:rsidP="00B8343E">
            <w:pPr>
              <w:pStyle w:val="Tabletext"/>
              <w:keepNext/>
              <w:keepLines/>
              <w:cnfStyle w:val="000000000000" w:firstRow="0" w:lastRow="0" w:firstColumn="0" w:lastColumn="0" w:oddVBand="0" w:evenVBand="0" w:oddHBand="0" w:evenHBand="0" w:firstRowFirstColumn="0" w:firstRowLastColumn="0" w:lastRowFirstColumn="0" w:lastRowLastColumn="0"/>
              <w:rPr>
                <w:sz w:val="20"/>
                <w:szCs w:val="20"/>
              </w:rPr>
            </w:pPr>
            <w:r w:rsidRPr="00B433A3">
              <w:rPr>
                <w:sz w:val="20"/>
                <w:szCs w:val="20"/>
              </w:rPr>
              <w:t xml:space="preserve">Anglais/Français </w:t>
            </w:r>
          </w:p>
        </w:tc>
        <w:tc>
          <w:tcPr>
            <w:tcW w:w="1696" w:type="dxa"/>
            <w:tcBorders>
              <w:top w:val="single" w:sz="4" w:space="0" w:color="auto"/>
              <w:left w:val="single" w:sz="4" w:space="0" w:color="auto"/>
              <w:bottom w:val="single" w:sz="4" w:space="0" w:color="auto"/>
              <w:right w:val="single" w:sz="4" w:space="0" w:color="auto"/>
            </w:tcBorders>
          </w:tcPr>
          <w:p w14:paraId="1AC9339E" w14:textId="77777777" w:rsidR="005B6A9C" w:rsidRPr="00B433A3" w:rsidRDefault="005B6A9C" w:rsidP="00B8343E">
            <w:pPr>
              <w:pStyle w:val="Tabletext"/>
              <w:keepNext/>
              <w:keepLines/>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1564" w:type="dxa"/>
            <w:tcBorders>
              <w:top w:val="single" w:sz="4" w:space="0" w:color="auto"/>
              <w:left w:val="single" w:sz="4" w:space="0" w:color="auto"/>
              <w:bottom w:val="single" w:sz="4" w:space="0" w:color="auto"/>
              <w:right w:val="single" w:sz="4" w:space="0" w:color="auto"/>
            </w:tcBorders>
            <w:hideMark/>
          </w:tcPr>
          <w:p w14:paraId="33CDEFF8" w14:textId="77777777" w:rsidR="005B6A9C" w:rsidRPr="00B433A3" w:rsidRDefault="005B6A9C" w:rsidP="00B8343E">
            <w:pPr>
              <w:pStyle w:val="Tabletext"/>
              <w:keepNext/>
              <w:keepLines/>
              <w:jc w:val="center"/>
              <w:cnfStyle w:val="000000000000" w:firstRow="0" w:lastRow="0" w:firstColumn="0" w:lastColumn="0" w:oddVBand="0" w:evenVBand="0" w:oddHBand="0" w:evenHBand="0" w:firstRowFirstColumn="0" w:firstRowLastColumn="0" w:lastRowFirstColumn="0" w:lastRowLastColumn="0"/>
              <w:rPr>
                <w:sz w:val="20"/>
                <w:szCs w:val="20"/>
              </w:rPr>
            </w:pPr>
            <w:r w:rsidRPr="00B433A3">
              <w:rPr>
                <w:sz w:val="20"/>
                <w:szCs w:val="20"/>
              </w:rPr>
              <w:t>5-16 juillet</w:t>
            </w:r>
            <w:r w:rsidRPr="00B433A3">
              <w:rPr>
                <w:sz w:val="20"/>
                <w:szCs w:val="20"/>
              </w:rPr>
              <w:br/>
              <w:t>en ligne</w:t>
            </w:r>
          </w:p>
        </w:tc>
        <w:tc>
          <w:tcPr>
            <w:tcW w:w="1134" w:type="dxa"/>
            <w:tcBorders>
              <w:top w:val="single" w:sz="4" w:space="0" w:color="auto"/>
              <w:left w:val="single" w:sz="4" w:space="0" w:color="auto"/>
              <w:bottom w:val="single" w:sz="4" w:space="0" w:color="auto"/>
              <w:right w:val="single" w:sz="4" w:space="0" w:color="auto"/>
            </w:tcBorders>
          </w:tcPr>
          <w:p w14:paraId="7E7BC013" w14:textId="77777777" w:rsidR="005B6A9C" w:rsidRPr="00B433A3" w:rsidRDefault="005B6A9C" w:rsidP="00B8343E">
            <w:pPr>
              <w:pStyle w:val="Tabletext"/>
              <w:keepNext/>
              <w:keepLines/>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988" w:type="dxa"/>
            <w:tcBorders>
              <w:top w:val="single" w:sz="4" w:space="0" w:color="auto"/>
              <w:left w:val="single" w:sz="4" w:space="0" w:color="auto"/>
              <w:bottom w:val="single" w:sz="4" w:space="0" w:color="auto"/>
              <w:right w:val="single" w:sz="4" w:space="0" w:color="auto"/>
            </w:tcBorders>
          </w:tcPr>
          <w:p w14:paraId="6C84A7F0" w14:textId="77777777" w:rsidR="005B6A9C" w:rsidRPr="00B433A3" w:rsidRDefault="005B6A9C" w:rsidP="00B8343E">
            <w:pPr>
              <w:pStyle w:val="Tabletext"/>
              <w:keepNext/>
              <w:keepLines/>
              <w:jc w:val="center"/>
              <w:cnfStyle w:val="000000000000" w:firstRow="0" w:lastRow="0" w:firstColumn="0" w:lastColumn="0" w:oddVBand="0" w:evenVBand="0" w:oddHBand="0" w:evenHBand="0" w:firstRowFirstColumn="0" w:firstRowLastColumn="0" w:lastRowFirstColumn="0" w:lastRowLastColumn="0"/>
              <w:rPr>
                <w:sz w:val="20"/>
                <w:szCs w:val="20"/>
              </w:rPr>
            </w:pPr>
          </w:p>
        </w:tc>
      </w:tr>
      <w:tr w:rsidR="005B6A9C" w:rsidRPr="00B433A3" w14:paraId="2F4B4FA8" w14:textId="77777777" w:rsidTr="00624C8E">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694" w:type="dxa"/>
            <w:tcBorders>
              <w:top w:val="single" w:sz="4" w:space="0" w:color="auto"/>
              <w:left w:val="single" w:sz="4" w:space="0" w:color="auto"/>
              <w:bottom w:val="single" w:sz="4" w:space="0" w:color="auto"/>
              <w:right w:val="single" w:sz="4" w:space="0" w:color="auto"/>
            </w:tcBorders>
            <w:hideMark/>
          </w:tcPr>
          <w:p w14:paraId="7B97785E" w14:textId="77777777" w:rsidR="005B6A9C" w:rsidRPr="00B433A3" w:rsidRDefault="005B6A9C" w:rsidP="00B8343E">
            <w:pPr>
              <w:pStyle w:val="Tabletext"/>
              <w:keepNext/>
              <w:keepLines/>
              <w:rPr>
                <w:b w:val="0"/>
                <w:bCs w:val="0"/>
                <w:sz w:val="20"/>
                <w:szCs w:val="20"/>
              </w:rPr>
            </w:pPr>
            <w:r w:rsidRPr="00B433A3">
              <w:rPr>
                <w:b w:val="0"/>
                <w:bCs w:val="0"/>
                <w:sz w:val="20"/>
                <w:szCs w:val="20"/>
              </w:rPr>
              <w:t>Pays anglophones d'Afrique</w:t>
            </w:r>
          </w:p>
        </w:tc>
        <w:tc>
          <w:tcPr>
            <w:tcW w:w="1701" w:type="dxa"/>
            <w:tcBorders>
              <w:top w:val="single" w:sz="4" w:space="0" w:color="auto"/>
              <w:left w:val="single" w:sz="4" w:space="0" w:color="auto"/>
              <w:bottom w:val="single" w:sz="4" w:space="0" w:color="auto"/>
              <w:right w:val="single" w:sz="4" w:space="0" w:color="auto"/>
            </w:tcBorders>
            <w:hideMark/>
          </w:tcPr>
          <w:p w14:paraId="7CF1A308" w14:textId="77777777" w:rsidR="005B6A9C" w:rsidRPr="00B433A3" w:rsidRDefault="005B6A9C" w:rsidP="00B8343E">
            <w:pPr>
              <w:pStyle w:val="Tabletext"/>
              <w:keepNext/>
              <w:keepLines/>
              <w:cnfStyle w:val="000000100000" w:firstRow="0" w:lastRow="0" w:firstColumn="0" w:lastColumn="0" w:oddVBand="0" w:evenVBand="0" w:oddHBand="1" w:evenHBand="0" w:firstRowFirstColumn="0" w:firstRowLastColumn="0" w:lastRowFirstColumn="0" w:lastRowLastColumn="0"/>
              <w:rPr>
                <w:sz w:val="20"/>
                <w:szCs w:val="20"/>
              </w:rPr>
            </w:pPr>
            <w:r w:rsidRPr="00B433A3">
              <w:rPr>
                <w:sz w:val="20"/>
                <w:szCs w:val="20"/>
              </w:rPr>
              <w:t>Anglais/Français</w:t>
            </w:r>
          </w:p>
        </w:tc>
        <w:tc>
          <w:tcPr>
            <w:tcW w:w="1696" w:type="dxa"/>
            <w:tcBorders>
              <w:top w:val="single" w:sz="4" w:space="0" w:color="auto"/>
              <w:left w:val="single" w:sz="4" w:space="0" w:color="auto"/>
              <w:bottom w:val="single" w:sz="4" w:space="0" w:color="auto"/>
              <w:right w:val="single" w:sz="4" w:space="0" w:color="auto"/>
            </w:tcBorders>
          </w:tcPr>
          <w:p w14:paraId="5D0877E5" w14:textId="77777777" w:rsidR="005B6A9C" w:rsidRPr="00B433A3" w:rsidRDefault="005B6A9C" w:rsidP="00B8343E">
            <w:pPr>
              <w:pStyle w:val="Tabletext"/>
              <w:keepNext/>
              <w:keepLines/>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1564" w:type="dxa"/>
            <w:tcBorders>
              <w:top w:val="single" w:sz="4" w:space="0" w:color="auto"/>
              <w:left w:val="single" w:sz="4" w:space="0" w:color="auto"/>
              <w:bottom w:val="single" w:sz="4" w:space="0" w:color="auto"/>
              <w:right w:val="single" w:sz="4" w:space="0" w:color="auto"/>
            </w:tcBorders>
          </w:tcPr>
          <w:p w14:paraId="28EC6E20" w14:textId="77777777" w:rsidR="005B6A9C" w:rsidRPr="00B433A3" w:rsidRDefault="005B6A9C" w:rsidP="00B8343E">
            <w:pPr>
              <w:pStyle w:val="Tabletext"/>
              <w:keepNext/>
              <w:keepLines/>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1149849D" w14:textId="77777777" w:rsidR="005B6A9C" w:rsidRPr="00B433A3" w:rsidRDefault="005B6A9C" w:rsidP="00B8343E">
            <w:pPr>
              <w:pStyle w:val="Tabletext"/>
              <w:keepNext/>
              <w:keepLines/>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988" w:type="dxa"/>
            <w:tcBorders>
              <w:top w:val="single" w:sz="4" w:space="0" w:color="auto"/>
              <w:left w:val="single" w:sz="4" w:space="0" w:color="auto"/>
              <w:bottom w:val="single" w:sz="4" w:space="0" w:color="auto"/>
              <w:right w:val="single" w:sz="4" w:space="0" w:color="auto"/>
            </w:tcBorders>
            <w:hideMark/>
          </w:tcPr>
          <w:p w14:paraId="4C713D59" w14:textId="77777777" w:rsidR="005B6A9C" w:rsidRPr="00B433A3" w:rsidRDefault="005B6A9C" w:rsidP="00B8343E">
            <w:pPr>
              <w:pStyle w:val="Tabletext"/>
              <w:keepNext/>
              <w:keepLines/>
              <w:jc w:val="center"/>
              <w:cnfStyle w:val="000000100000" w:firstRow="0" w:lastRow="0" w:firstColumn="0" w:lastColumn="0" w:oddVBand="0" w:evenVBand="0" w:oddHBand="1" w:evenHBand="0" w:firstRowFirstColumn="0" w:firstRowLastColumn="0" w:lastRowFirstColumn="0" w:lastRowLastColumn="0"/>
              <w:rPr>
                <w:sz w:val="20"/>
                <w:szCs w:val="20"/>
              </w:rPr>
            </w:pPr>
            <w:r w:rsidRPr="00B433A3">
              <w:rPr>
                <w:sz w:val="20"/>
                <w:szCs w:val="20"/>
              </w:rPr>
              <w:t>1er trimestre</w:t>
            </w:r>
          </w:p>
        </w:tc>
      </w:tr>
      <w:tr w:rsidR="005B6A9C" w:rsidRPr="00B433A3" w14:paraId="6E1DF784" w14:textId="77777777" w:rsidTr="00624C8E">
        <w:trPr>
          <w:trHeight w:val="300"/>
          <w:jc w:val="center"/>
        </w:trPr>
        <w:tc>
          <w:tcPr>
            <w:cnfStyle w:val="001000000000" w:firstRow="0" w:lastRow="0" w:firstColumn="1" w:lastColumn="0" w:oddVBand="0" w:evenVBand="0" w:oddHBand="0" w:evenHBand="0" w:firstRowFirstColumn="0" w:firstRowLastColumn="0" w:lastRowFirstColumn="0" w:lastRowLastColumn="0"/>
            <w:tcW w:w="2694" w:type="dxa"/>
            <w:tcBorders>
              <w:top w:val="single" w:sz="4" w:space="0" w:color="auto"/>
              <w:left w:val="single" w:sz="4" w:space="0" w:color="auto"/>
              <w:bottom w:val="single" w:sz="4" w:space="0" w:color="auto"/>
              <w:right w:val="single" w:sz="4" w:space="0" w:color="auto"/>
            </w:tcBorders>
            <w:hideMark/>
          </w:tcPr>
          <w:p w14:paraId="773BAF14" w14:textId="77777777" w:rsidR="005B6A9C" w:rsidRPr="00B433A3" w:rsidRDefault="005B6A9C" w:rsidP="00B8343E">
            <w:pPr>
              <w:pStyle w:val="Tabletext"/>
              <w:keepNext/>
              <w:keepLines/>
              <w:rPr>
                <w:sz w:val="20"/>
                <w:szCs w:val="20"/>
              </w:rPr>
            </w:pPr>
            <w:proofErr w:type="gramStart"/>
            <w:r w:rsidRPr="00B433A3">
              <w:rPr>
                <w:sz w:val="20"/>
                <w:szCs w:val="20"/>
              </w:rPr>
              <w:t>Amériques:</w:t>
            </w:r>
            <w:proofErr w:type="gramEnd"/>
            <w:r w:rsidRPr="00B433A3">
              <w:rPr>
                <w:sz w:val="20"/>
                <w:szCs w:val="20"/>
              </w:rPr>
              <w:t xml:space="preserve"> (3)</w:t>
            </w:r>
          </w:p>
        </w:tc>
        <w:tc>
          <w:tcPr>
            <w:tcW w:w="1701" w:type="dxa"/>
            <w:tcBorders>
              <w:top w:val="single" w:sz="4" w:space="0" w:color="auto"/>
              <w:left w:val="single" w:sz="4" w:space="0" w:color="auto"/>
              <w:bottom w:val="single" w:sz="4" w:space="0" w:color="auto"/>
              <w:right w:val="single" w:sz="4" w:space="0" w:color="auto"/>
            </w:tcBorders>
          </w:tcPr>
          <w:p w14:paraId="47B8844E" w14:textId="77777777" w:rsidR="005B6A9C" w:rsidRPr="00B433A3" w:rsidRDefault="005B6A9C" w:rsidP="00B8343E">
            <w:pPr>
              <w:pStyle w:val="Tabletext"/>
              <w:keepNext/>
              <w:keepLines/>
              <w:cnfStyle w:val="000000000000" w:firstRow="0" w:lastRow="0" w:firstColumn="0" w:lastColumn="0" w:oddVBand="0" w:evenVBand="0" w:oddHBand="0" w:evenHBand="0" w:firstRowFirstColumn="0" w:firstRowLastColumn="0" w:lastRowFirstColumn="0" w:lastRowLastColumn="0"/>
              <w:rPr>
                <w:sz w:val="20"/>
                <w:szCs w:val="20"/>
              </w:rPr>
            </w:pPr>
          </w:p>
        </w:tc>
        <w:tc>
          <w:tcPr>
            <w:tcW w:w="1696" w:type="dxa"/>
            <w:tcBorders>
              <w:top w:val="single" w:sz="4" w:space="0" w:color="auto"/>
              <w:left w:val="single" w:sz="4" w:space="0" w:color="auto"/>
              <w:bottom w:val="single" w:sz="4" w:space="0" w:color="auto"/>
              <w:right w:val="single" w:sz="4" w:space="0" w:color="auto"/>
            </w:tcBorders>
          </w:tcPr>
          <w:p w14:paraId="0CB88FDD" w14:textId="77777777" w:rsidR="005B6A9C" w:rsidRPr="00B433A3" w:rsidRDefault="005B6A9C" w:rsidP="00B8343E">
            <w:pPr>
              <w:pStyle w:val="Tabletext"/>
              <w:keepNext/>
              <w:keepLines/>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1564" w:type="dxa"/>
            <w:tcBorders>
              <w:top w:val="single" w:sz="4" w:space="0" w:color="auto"/>
              <w:left w:val="single" w:sz="4" w:space="0" w:color="auto"/>
              <w:bottom w:val="single" w:sz="4" w:space="0" w:color="auto"/>
              <w:right w:val="single" w:sz="4" w:space="0" w:color="auto"/>
            </w:tcBorders>
          </w:tcPr>
          <w:p w14:paraId="1F73B780" w14:textId="77777777" w:rsidR="005B6A9C" w:rsidRPr="00B433A3" w:rsidRDefault="005B6A9C" w:rsidP="00B8343E">
            <w:pPr>
              <w:pStyle w:val="Tabletext"/>
              <w:keepNext/>
              <w:keepLines/>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35537567" w14:textId="77777777" w:rsidR="005B6A9C" w:rsidRPr="00B433A3" w:rsidRDefault="005B6A9C" w:rsidP="00B8343E">
            <w:pPr>
              <w:pStyle w:val="Tabletext"/>
              <w:keepNext/>
              <w:keepLines/>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988" w:type="dxa"/>
            <w:tcBorders>
              <w:top w:val="single" w:sz="4" w:space="0" w:color="auto"/>
              <w:left w:val="single" w:sz="4" w:space="0" w:color="auto"/>
              <w:bottom w:val="single" w:sz="4" w:space="0" w:color="auto"/>
              <w:right w:val="single" w:sz="4" w:space="0" w:color="auto"/>
            </w:tcBorders>
          </w:tcPr>
          <w:p w14:paraId="5DCBCA55" w14:textId="77777777" w:rsidR="005B6A9C" w:rsidRPr="00B433A3" w:rsidRDefault="005B6A9C" w:rsidP="00B8343E">
            <w:pPr>
              <w:pStyle w:val="Tabletext"/>
              <w:keepNext/>
              <w:keepLines/>
              <w:jc w:val="center"/>
              <w:cnfStyle w:val="000000000000" w:firstRow="0" w:lastRow="0" w:firstColumn="0" w:lastColumn="0" w:oddVBand="0" w:evenVBand="0" w:oddHBand="0" w:evenHBand="0" w:firstRowFirstColumn="0" w:firstRowLastColumn="0" w:lastRowFirstColumn="0" w:lastRowLastColumn="0"/>
              <w:rPr>
                <w:sz w:val="20"/>
                <w:szCs w:val="20"/>
              </w:rPr>
            </w:pPr>
          </w:p>
        </w:tc>
      </w:tr>
      <w:tr w:rsidR="005B6A9C" w:rsidRPr="00B433A3" w14:paraId="55F8138B" w14:textId="77777777" w:rsidTr="00624C8E">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694" w:type="dxa"/>
            <w:tcBorders>
              <w:top w:val="single" w:sz="4" w:space="0" w:color="auto"/>
              <w:left w:val="single" w:sz="4" w:space="0" w:color="auto"/>
              <w:bottom w:val="single" w:sz="4" w:space="0" w:color="auto"/>
              <w:right w:val="single" w:sz="4" w:space="0" w:color="auto"/>
            </w:tcBorders>
            <w:hideMark/>
          </w:tcPr>
          <w:p w14:paraId="0EAD7E97" w14:textId="77777777" w:rsidR="005B6A9C" w:rsidRPr="00B433A3" w:rsidRDefault="005B6A9C" w:rsidP="00B8343E">
            <w:pPr>
              <w:pStyle w:val="Tabletext"/>
              <w:keepNext/>
              <w:keepLines/>
              <w:rPr>
                <w:b w:val="0"/>
                <w:bCs w:val="0"/>
                <w:sz w:val="20"/>
                <w:szCs w:val="20"/>
              </w:rPr>
            </w:pPr>
            <w:r w:rsidRPr="00B433A3">
              <w:rPr>
                <w:b w:val="0"/>
                <w:bCs w:val="0"/>
                <w:sz w:val="20"/>
                <w:szCs w:val="20"/>
              </w:rPr>
              <w:t>Amérique du Sud</w:t>
            </w:r>
          </w:p>
        </w:tc>
        <w:tc>
          <w:tcPr>
            <w:tcW w:w="1701" w:type="dxa"/>
            <w:tcBorders>
              <w:top w:val="single" w:sz="4" w:space="0" w:color="auto"/>
              <w:left w:val="single" w:sz="4" w:space="0" w:color="auto"/>
              <w:bottom w:val="single" w:sz="4" w:space="0" w:color="auto"/>
              <w:right w:val="single" w:sz="4" w:space="0" w:color="auto"/>
            </w:tcBorders>
            <w:hideMark/>
          </w:tcPr>
          <w:p w14:paraId="30DE0F3E" w14:textId="77777777" w:rsidR="005B6A9C" w:rsidRPr="00B433A3" w:rsidRDefault="005B6A9C" w:rsidP="00B8343E">
            <w:pPr>
              <w:pStyle w:val="Tabletext"/>
              <w:keepNext/>
              <w:keepLines/>
              <w:cnfStyle w:val="000000100000" w:firstRow="0" w:lastRow="0" w:firstColumn="0" w:lastColumn="0" w:oddVBand="0" w:evenVBand="0" w:oddHBand="1" w:evenHBand="0" w:firstRowFirstColumn="0" w:firstRowLastColumn="0" w:lastRowFirstColumn="0" w:lastRowLastColumn="0"/>
              <w:rPr>
                <w:sz w:val="20"/>
                <w:szCs w:val="20"/>
              </w:rPr>
            </w:pPr>
            <w:r w:rsidRPr="00B433A3">
              <w:rPr>
                <w:sz w:val="20"/>
                <w:szCs w:val="20"/>
              </w:rPr>
              <w:t>Espagnol</w:t>
            </w:r>
          </w:p>
        </w:tc>
        <w:tc>
          <w:tcPr>
            <w:tcW w:w="1696" w:type="dxa"/>
            <w:tcBorders>
              <w:top w:val="single" w:sz="4" w:space="0" w:color="auto"/>
              <w:left w:val="single" w:sz="4" w:space="0" w:color="auto"/>
              <w:bottom w:val="single" w:sz="4" w:space="0" w:color="auto"/>
              <w:right w:val="single" w:sz="4" w:space="0" w:color="auto"/>
            </w:tcBorders>
          </w:tcPr>
          <w:p w14:paraId="51FB93B1" w14:textId="77777777" w:rsidR="005B6A9C" w:rsidRPr="00B433A3" w:rsidRDefault="005B6A9C" w:rsidP="00B8343E">
            <w:pPr>
              <w:pStyle w:val="Tabletext"/>
              <w:keepNext/>
              <w:keepLines/>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1564" w:type="dxa"/>
            <w:tcBorders>
              <w:top w:val="single" w:sz="4" w:space="0" w:color="auto"/>
              <w:left w:val="single" w:sz="4" w:space="0" w:color="auto"/>
              <w:bottom w:val="single" w:sz="4" w:space="0" w:color="auto"/>
              <w:right w:val="single" w:sz="4" w:space="0" w:color="auto"/>
            </w:tcBorders>
            <w:hideMark/>
          </w:tcPr>
          <w:p w14:paraId="3B5DC2CB" w14:textId="464606D9" w:rsidR="005B6A9C" w:rsidRPr="00B433A3" w:rsidRDefault="005B6A9C" w:rsidP="00B8343E">
            <w:pPr>
              <w:pStyle w:val="Tabletext"/>
              <w:keepNext/>
              <w:keepLines/>
              <w:jc w:val="center"/>
              <w:cnfStyle w:val="000000100000" w:firstRow="0" w:lastRow="0" w:firstColumn="0" w:lastColumn="0" w:oddVBand="0" w:evenVBand="0" w:oddHBand="1" w:evenHBand="0" w:firstRowFirstColumn="0" w:firstRowLastColumn="0" w:lastRowFirstColumn="0" w:lastRowLastColumn="0"/>
              <w:rPr>
                <w:sz w:val="20"/>
                <w:szCs w:val="20"/>
              </w:rPr>
            </w:pPr>
            <w:r w:rsidRPr="00B433A3">
              <w:rPr>
                <w:sz w:val="20"/>
                <w:szCs w:val="20"/>
              </w:rPr>
              <w:t>26 avril</w:t>
            </w:r>
            <w:r w:rsidR="00EB25D9" w:rsidRPr="00B433A3">
              <w:rPr>
                <w:sz w:val="20"/>
                <w:szCs w:val="20"/>
              </w:rPr>
              <w:t xml:space="preserve"> – </w:t>
            </w:r>
            <w:r w:rsidRPr="00B433A3">
              <w:rPr>
                <w:sz w:val="20"/>
                <w:szCs w:val="20"/>
              </w:rPr>
              <w:t>7 mai</w:t>
            </w:r>
            <w:r w:rsidRPr="00B433A3">
              <w:rPr>
                <w:sz w:val="20"/>
                <w:szCs w:val="20"/>
              </w:rPr>
              <w:br/>
              <w:t>en ligne</w:t>
            </w:r>
          </w:p>
        </w:tc>
        <w:tc>
          <w:tcPr>
            <w:tcW w:w="1134" w:type="dxa"/>
            <w:tcBorders>
              <w:top w:val="single" w:sz="4" w:space="0" w:color="auto"/>
              <w:left w:val="single" w:sz="4" w:space="0" w:color="auto"/>
              <w:bottom w:val="single" w:sz="4" w:space="0" w:color="auto"/>
              <w:right w:val="single" w:sz="4" w:space="0" w:color="auto"/>
            </w:tcBorders>
          </w:tcPr>
          <w:p w14:paraId="1706C941" w14:textId="77777777" w:rsidR="005B6A9C" w:rsidRPr="00B433A3" w:rsidRDefault="005B6A9C" w:rsidP="00B8343E">
            <w:pPr>
              <w:pStyle w:val="Tabletext"/>
              <w:keepNext/>
              <w:keepLines/>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988" w:type="dxa"/>
            <w:tcBorders>
              <w:top w:val="single" w:sz="4" w:space="0" w:color="auto"/>
              <w:left w:val="single" w:sz="4" w:space="0" w:color="auto"/>
              <w:bottom w:val="single" w:sz="4" w:space="0" w:color="auto"/>
              <w:right w:val="single" w:sz="4" w:space="0" w:color="auto"/>
            </w:tcBorders>
          </w:tcPr>
          <w:p w14:paraId="7A637E7A" w14:textId="77777777" w:rsidR="005B6A9C" w:rsidRPr="00B433A3" w:rsidRDefault="005B6A9C" w:rsidP="00B8343E">
            <w:pPr>
              <w:pStyle w:val="Tabletext"/>
              <w:keepNext/>
              <w:keepLines/>
              <w:jc w:val="center"/>
              <w:cnfStyle w:val="000000100000" w:firstRow="0" w:lastRow="0" w:firstColumn="0" w:lastColumn="0" w:oddVBand="0" w:evenVBand="0" w:oddHBand="1" w:evenHBand="0" w:firstRowFirstColumn="0" w:firstRowLastColumn="0" w:lastRowFirstColumn="0" w:lastRowLastColumn="0"/>
              <w:rPr>
                <w:sz w:val="20"/>
                <w:szCs w:val="20"/>
              </w:rPr>
            </w:pPr>
          </w:p>
        </w:tc>
      </w:tr>
      <w:tr w:rsidR="005B6A9C" w:rsidRPr="00B433A3" w14:paraId="48087A8E" w14:textId="77777777" w:rsidTr="00624C8E">
        <w:trPr>
          <w:trHeight w:val="300"/>
          <w:jc w:val="center"/>
        </w:trPr>
        <w:tc>
          <w:tcPr>
            <w:cnfStyle w:val="001000000000" w:firstRow="0" w:lastRow="0" w:firstColumn="1" w:lastColumn="0" w:oddVBand="0" w:evenVBand="0" w:oddHBand="0" w:evenHBand="0" w:firstRowFirstColumn="0" w:firstRowLastColumn="0" w:lastRowFirstColumn="0" w:lastRowLastColumn="0"/>
            <w:tcW w:w="2694" w:type="dxa"/>
            <w:tcBorders>
              <w:top w:val="single" w:sz="4" w:space="0" w:color="auto"/>
              <w:left w:val="single" w:sz="4" w:space="0" w:color="auto"/>
              <w:bottom w:val="single" w:sz="4" w:space="0" w:color="auto"/>
              <w:right w:val="single" w:sz="4" w:space="0" w:color="auto"/>
            </w:tcBorders>
            <w:hideMark/>
          </w:tcPr>
          <w:p w14:paraId="291293D7" w14:textId="77777777" w:rsidR="005B6A9C" w:rsidRPr="00B433A3" w:rsidRDefault="005B6A9C" w:rsidP="00B8343E">
            <w:pPr>
              <w:pStyle w:val="Tabletext"/>
              <w:keepNext/>
              <w:keepLines/>
              <w:rPr>
                <w:b w:val="0"/>
                <w:bCs w:val="0"/>
                <w:sz w:val="20"/>
                <w:szCs w:val="20"/>
              </w:rPr>
            </w:pPr>
            <w:r w:rsidRPr="00B433A3">
              <w:rPr>
                <w:b w:val="0"/>
                <w:bCs w:val="0"/>
                <w:sz w:val="20"/>
                <w:szCs w:val="20"/>
              </w:rPr>
              <w:t>Mésoamérique</w:t>
            </w:r>
          </w:p>
        </w:tc>
        <w:tc>
          <w:tcPr>
            <w:tcW w:w="1701" w:type="dxa"/>
            <w:tcBorders>
              <w:top w:val="single" w:sz="4" w:space="0" w:color="auto"/>
              <w:left w:val="single" w:sz="4" w:space="0" w:color="auto"/>
              <w:bottom w:val="single" w:sz="4" w:space="0" w:color="auto"/>
              <w:right w:val="single" w:sz="4" w:space="0" w:color="auto"/>
            </w:tcBorders>
            <w:hideMark/>
          </w:tcPr>
          <w:p w14:paraId="48BE5880" w14:textId="77777777" w:rsidR="005B6A9C" w:rsidRPr="00B433A3" w:rsidRDefault="005B6A9C" w:rsidP="00B8343E">
            <w:pPr>
              <w:pStyle w:val="Tabletext"/>
              <w:keepNext/>
              <w:keepLines/>
              <w:cnfStyle w:val="000000000000" w:firstRow="0" w:lastRow="0" w:firstColumn="0" w:lastColumn="0" w:oddVBand="0" w:evenVBand="0" w:oddHBand="0" w:evenHBand="0" w:firstRowFirstColumn="0" w:firstRowLastColumn="0" w:lastRowFirstColumn="0" w:lastRowLastColumn="0"/>
              <w:rPr>
                <w:sz w:val="20"/>
                <w:szCs w:val="20"/>
              </w:rPr>
            </w:pPr>
            <w:r w:rsidRPr="00B433A3">
              <w:rPr>
                <w:sz w:val="20"/>
                <w:szCs w:val="20"/>
              </w:rPr>
              <w:t>Espagnol</w:t>
            </w:r>
          </w:p>
        </w:tc>
        <w:tc>
          <w:tcPr>
            <w:tcW w:w="1696" w:type="dxa"/>
            <w:tcBorders>
              <w:top w:val="single" w:sz="4" w:space="0" w:color="auto"/>
              <w:left w:val="single" w:sz="4" w:space="0" w:color="auto"/>
              <w:bottom w:val="single" w:sz="4" w:space="0" w:color="auto"/>
              <w:right w:val="single" w:sz="4" w:space="0" w:color="auto"/>
            </w:tcBorders>
          </w:tcPr>
          <w:p w14:paraId="49560595" w14:textId="77777777" w:rsidR="005B6A9C" w:rsidRPr="00B433A3" w:rsidRDefault="005B6A9C" w:rsidP="00B8343E">
            <w:pPr>
              <w:pStyle w:val="Tabletext"/>
              <w:keepNext/>
              <w:keepLines/>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1564" w:type="dxa"/>
            <w:tcBorders>
              <w:top w:val="single" w:sz="4" w:space="0" w:color="auto"/>
              <w:left w:val="single" w:sz="4" w:space="0" w:color="auto"/>
              <w:bottom w:val="single" w:sz="4" w:space="0" w:color="auto"/>
              <w:right w:val="single" w:sz="4" w:space="0" w:color="auto"/>
            </w:tcBorders>
          </w:tcPr>
          <w:p w14:paraId="0421123A" w14:textId="77777777" w:rsidR="005B6A9C" w:rsidRPr="00B433A3" w:rsidRDefault="005B6A9C" w:rsidP="00B8343E">
            <w:pPr>
              <w:pStyle w:val="Tabletext"/>
              <w:keepNext/>
              <w:keepLines/>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03C50088" w14:textId="77777777" w:rsidR="005B6A9C" w:rsidRPr="00B433A3" w:rsidRDefault="005B6A9C" w:rsidP="00B8343E">
            <w:pPr>
              <w:pStyle w:val="Tabletext"/>
              <w:keepNext/>
              <w:keepLines/>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988" w:type="dxa"/>
            <w:tcBorders>
              <w:top w:val="single" w:sz="4" w:space="0" w:color="auto"/>
              <w:left w:val="single" w:sz="4" w:space="0" w:color="auto"/>
              <w:bottom w:val="single" w:sz="4" w:space="0" w:color="auto"/>
              <w:right w:val="single" w:sz="4" w:space="0" w:color="auto"/>
            </w:tcBorders>
            <w:hideMark/>
          </w:tcPr>
          <w:p w14:paraId="37B2237E" w14:textId="77777777" w:rsidR="005B6A9C" w:rsidRPr="00B433A3" w:rsidRDefault="005B6A9C" w:rsidP="00B8343E">
            <w:pPr>
              <w:pStyle w:val="Tabletext"/>
              <w:keepNext/>
              <w:keepLines/>
              <w:jc w:val="center"/>
              <w:cnfStyle w:val="000000000000" w:firstRow="0" w:lastRow="0" w:firstColumn="0" w:lastColumn="0" w:oddVBand="0" w:evenVBand="0" w:oddHBand="0" w:evenHBand="0" w:firstRowFirstColumn="0" w:firstRowLastColumn="0" w:lastRowFirstColumn="0" w:lastRowLastColumn="0"/>
              <w:rPr>
                <w:sz w:val="20"/>
                <w:szCs w:val="20"/>
              </w:rPr>
            </w:pPr>
            <w:r w:rsidRPr="00B433A3">
              <w:rPr>
                <w:sz w:val="20"/>
                <w:szCs w:val="20"/>
              </w:rPr>
              <w:t>2ème trimestre</w:t>
            </w:r>
          </w:p>
        </w:tc>
      </w:tr>
      <w:tr w:rsidR="005B6A9C" w:rsidRPr="00B433A3" w14:paraId="65FDA135" w14:textId="77777777" w:rsidTr="00624C8E">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694" w:type="dxa"/>
            <w:tcBorders>
              <w:top w:val="single" w:sz="4" w:space="0" w:color="auto"/>
              <w:left w:val="single" w:sz="4" w:space="0" w:color="auto"/>
              <w:bottom w:val="single" w:sz="4" w:space="0" w:color="auto"/>
              <w:right w:val="single" w:sz="4" w:space="0" w:color="auto"/>
            </w:tcBorders>
            <w:hideMark/>
          </w:tcPr>
          <w:p w14:paraId="08527501" w14:textId="77777777" w:rsidR="005B6A9C" w:rsidRPr="00B433A3" w:rsidRDefault="005B6A9C" w:rsidP="00B8343E">
            <w:pPr>
              <w:pStyle w:val="Tabletext"/>
              <w:keepNext/>
              <w:keepLines/>
              <w:rPr>
                <w:b w:val="0"/>
                <w:bCs w:val="0"/>
                <w:sz w:val="20"/>
                <w:szCs w:val="20"/>
              </w:rPr>
            </w:pPr>
            <w:r w:rsidRPr="00B433A3">
              <w:rPr>
                <w:b w:val="0"/>
                <w:bCs w:val="0"/>
                <w:sz w:val="20"/>
                <w:szCs w:val="20"/>
              </w:rPr>
              <w:t>Caraïbes</w:t>
            </w:r>
          </w:p>
        </w:tc>
        <w:tc>
          <w:tcPr>
            <w:tcW w:w="1701" w:type="dxa"/>
            <w:tcBorders>
              <w:top w:val="single" w:sz="4" w:space="0" w:color="auto"/>
              <w:left w:val="single" w:sz="4" w:space="0" w:color="auto"/>
              <w:bottom w:val="single" w:sz="4" w:space="0" w:color="auto"/>
              <w:right w:val="single" w:sz="4" w:space="0" w:color="auto"/>
            </w:tcBorders>
            <w:hideMark/>
          </w:tcPr>
          <w:p w14:paraId="5E5F4B8D" w14:textId="77777777" w:rsidR="005B6A9C" w:rsidRPr="00B433A3" w:rsidRDefault="005B6A9C" w:rsidP="00B8343E">
            <w:pPr>
              <w:pStyle w:val="Tabletext"/>
              <w:keepNext/>
              <w:keepLines/>
              <w:cnfStyle w:val="000000100000" w:firstRow="0" w:lastRow="0" w:firstColumn="0" w:lastColumn="0" w:oddVBand="0" w:evenVBand="0" w:oddHBand="1" w:evenHBand="0" w:firstRowFirstColumn="0" w:firstRowLastColumn="0" w:lastRowFirstColumn="0" w:lastRowLastColumn="0"/>
              <w:rPr>
                <w:sz w:val="20"/>
                <w:szCs w:val="20"/>
              </w:rPr>
            </w:pPr>
            <w:r w:rsidRPr="00B433A3">
              <w:rPr>
                <w:sz w:val="20"/>
                <w:szCs w:val="20"/>
              </w:rPr>
              <w:t>Anglais</w:t>
            </w:r>
          </w:p>
        </w:tc>
        <w:tc>
          <w:tcPr>
            <w:tcW w:w="1696" w:type="dxa"/>
            <w:tcBorders>
              <w:top w:val="single" w:sz="4" w:space="0" w:color="auto"/>
              <w:left w:val="single" w:sz="4" w:space="0" w:color="auto"/>
              <w:bottom w:val="single" w:sz="4" w:space="0" w:color="auto"/>
              <w:right w:val="single" w:sz="4" w:space="0" w:color="auto"/>
            </w:tcBorders>
            <w:hideMark/>
          </w:tcPr>
          <w:p w14:paraId="08E2562A" w14:textId="77777777" w:rsidR="005B6A9C" w:rsidRPr="00B433A3" w:rsidRDefault="005B6A9C" w:rsidP="00B8343E">
            <w:pPr>
              <w:pStyle w:val="Tabletext"/>
              <w:keepNext/>
              <w:keepLines/>
              <w:jc w:val="center"/>
              <w:cnfStyle w:val="000000100000" w:firstRow="0" w:lastRow="0" w:firstColumn="0" w:lastColumn="0" w:oddVBand="0" w:evenVBand="0" w:oddHBand="1" w:evenHBand="0" w:firstRowFirstColumn="0" w:firstRowLastColumn="0" w:lastRowFirstColumn="0" w:lastRowLastColumn="0"/>
              <w:rPr>
                <w:sz w:val="20"/>
                <w:szCs w:val="20"/>
              </w:rPr>
            </w:pPr>
            <w:r w:rsidRPr="00B433A3">
              <w:rPr>
                <w:sz w:val="20"/>
                <w:szCs w:val="20"/>
              </w:rPr>
              <w:t>13-24 juillet</w:t>
            </w:r>
            <w:r w:rsidRPr="00B433A3">
              <w:rPr>
                <w:sz w:val="20"/>
                <w:szCs w:val="20"/>
              </w:rPr>
              <w:br/>
              <w:t>en ligne</w:t>
            </w:r>
          </w:p>
        </w:tc>
        <w:tc>
          <w:tcPr>
            <w:tcW w:w="1564" w:type="dxa"/>
            <w:tcBorders>
              <w:top w:val="single" w:sz="4" w:space="0" w:color="auto"/>
              <w:left w:val="single" w:sz="4" w:space="0" w:color="auto"/>
              <w:bottom w:val="single" w:sz="4" w:space="0" w:color="auto"/>
              <w:right w:val="single" w:sz="4" w:space="0" w:color="auto"/>
            </w:tcBorders>
          </w:tcPr>
          <w:p w14:paraId="6E1038FC" w14:textId="77777777" w:rsidR="005B6A9C" w:rsidRPr="00B433A3" w:rsidRDefault="005B6A9C" w:rsidP="00B8343E">
            <w:pPr>
              <w:pStyle w:val="Tabletext"/>
              <w:keepNext/>
              <w:keepLines/>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7F67106E" w14:textId="77777777" w:rsidR="005B6A9C" w:rsidRPr="00B433A3" w:rsidRDefault="005B6A9C" w:rsidP="00B8343E">
            <w:pPr>
              <w:pStyle w:val="Tabletext"/>
              <w:keepNext/>
              <w:keepLines/>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988" w:type="dxa"/>
            <w:tcBorders>
              <w:top w:val="single" w:sz="4" w:space="0" w:color="auto"/>
              <w:left w:val="single" w:sz="4" w:space="0" w:color="auto"/>
              <w:bottom w:val="single" w:sz="4" w:space="0" w:color="auto"/>
              <w:right w:val="single" w:sz="4" w:space="0" w:color="auto"/>
            </w:tcBorders>
          </w:tcPr>
          <w:p w14:paraId="2FEE59F4" w14:textId="77777777" w:rsidR="005B6A9C" w:rsidRPr="00B433A3" w:rsidRDefault="005B6A9C" w:rsidP="00B8343E">
            <w:pPr>
              <w:pStyle w:val="Tabletext"/>
              <w:keepNext/>
              <w:keepLines/>
              <w:jc w:val="center"/>
              <w:cnfStyle w:val="000000100000" w:firstRow="0" w:lastRow="0" w:firstColumn="0" w:lastColumn="0" w:oddVBand="0" w:evenVBand="0" w:oddHBand="1" w:evenHBand="0" w:firstRowFirstColumn="0" w:firstRowLastColumn="0" w:lastRowFirstColumn="0" w:lastRowLastColumn="0"/>
              <w:rPr>
                <w:sz w:val="20"/>
                <w:szCs w:val="20"/>
              </w:rPr>
            </w:pPr>
          </w:p>
        </w:tc>
      </w:tr>
      <w:tr w:rsidR="005B6A9C" w:rsidRPr="00B433A3" w14:paraId="6FE15C73" w14:textId="77777777" w:rsidTr="00624C8E">
        <w:trPr>
          <w:trHeight w:val="300"/>
          <w:jc w:val="center"/>
        </w:trPr>
        <w:tc>
          <w:tcPr>
            <w:cnfStyle w:val="001000000000" w:firstRow="0" w:lastRow="0" w:firstColumn="1" w:lastColumn="0" w:oddVBand="0" w:evenVBand="0" w:oddHBand="0" w:evenHBand="0" w:firstRowFirstColumn="0" w:firstRowLastColumn="0" w:lastRowFirstColumn="0" w:lastRowLastColumn="0"/>
            <w:tcW w:w="2694" w:type="dxa"/>
            <w:tcBorders>
              <w:top w:val="single" w:sz="4" w:space="0" w:color="auto"/>
              <w:left w:val="single" w:sz="4" w:space="0" w:color="auto"/>
              <w:bottom w:val="single" w:sz="4" w:space="0" w:color="auto"/>
              <w:right w:val="single" w:sz="4" w:space="0" w:color="auto"/>
            </w:tcBorders>
            <w:hideMark/>
          </w:tcPr>
          <w:p w14:paraId="4E1E579A" w14:textId="77777777" w:rsidR="005B6A9C" w:rsidRPr="00B433A3" w:rsidRDefault="005B6A9C" w:rsidP="00B8343E">
            <w:pPr>
              <w:pStyle w:val="Tabletext"/>
              <w:keepNext/>
              <w:keepLines/>
              <w:rPr>
                <w:sz w:val="20"/>
                <w:szCs w:val="20"/>
              </w:rPr>
            </w:pPr>
            <w:r w:rsidRPr="00B433A3">
              <w:rPr>
                <w:sz w:val="20"/>
                <w:szCs w:val="20"/>
              </w:rPr>
              <w:t>Asie-</w:t>
            </w:r>
            <w:proofErr w:type="gramStart"/>
            <w:r w:rsidRPr="00B433A3">
              <w:rPr>
                <w:sz w:val="20"/>
                <w:szCs w:val="20"/>
              </w:rPr>
              <w:t>Pacifique:</w:t>
            </w:r>
            <w:proofErr w:type="gramEnd"/>
            <w:r w:rsidRPr="00B433A3">
              <w:rPr>
                <w:sz w:val="20"/>
                <w:szCs w:val="20"/>
              </w:rPr>
              <w:t xml:space="preserve"> (3)</w:t>
            </w:r>
          </w:p>
        </w:tc>
        <w:tc>
          <w:tcPr>
            <w:tcW w:w="1701" w:type="dxa"/>
            <w:tcBorders>
              <w:top w:val="single" w:sz="4" w:space="0" w:color="auto"/>
              <w:left w:val="single" w:sz="4" w:space="0" w:color="auto"/>
              <w:bottom w:val="single" w:sz="4" w:space="0" w:color="auto"/>
              <w:right w:val="single" w:sz="4" w:space="0" w:color="auto"/>
            </w:tcBorders>
          </w:tcPr>
          <w:p w14:paraId="7D13979E" w14:textId="77777777" w:rsidR="005B6A9C" w:rsidRPr="00B433A3" w:rsidRDefault="005B6A9C" w:rsidP="00B8343E">
            <w:pPr>
              <w:pStyle w:val="Tabletext"/>
              <w:keepNext/>
              <w:keepLines/>
              <w:cnfStyle w:val="000000000000" w:firstRow="0" w:lastRow="0" w:firstColumn="0" w:lastColumn="0" w:oddVBand="0" w:evenVBand="0" w:oddHBand="0" w:evenHBand="0" w:firstRowFirstColumn="0" w:firstRowLastColumn="0" w:lastRowFirstColumn="0" w:lastRowLastColumn="0"/>
              <w:rPr>
                <w:sz w:val="20"/>
                <w:szCs w:val="20"/>
              </w:rPr>
            </w:pPr>
          </w:p>
        </w:tc>
        <w:tc>
          <w:tcPr>
            <w:tcW w:w="1696" w:type="dxa"/>
            <w:tcBorders>
              <w:top w:val="single" w:sz="4" w:space="0" w:color="auto"/>
              <w:left w:val="single" w:sz="4" w:space="0" w:color="auto"/>
              <w:bottom w:val="single" w:sz="4" w:space="0" w:color="auto"/>
              <w:right w:val="single" w:sz="4" w:space="0" w:color="auto"/>
            </w:tcBorders>
          </w:tcPr>
          <w:p w14:paraId="73AC7F15" w14:textId="77777777" w:rsidR="005B6A9C" w:rsidRPr="00B433A3" w:rsidRDefault="005B6A9C" w:rsidP="00B8343E">
            <w:pPr>
              <w:pStyle w:val="Tabletext"/>
              <w:keepNext/>
              <w:keepLines/>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1564" w:type="dxa"/>
            <w:tcBorders>
              <w:top w:val="single" w:sz="4" w:space="0" w:color="auto"/>
              <w:left w:val="single" w:sz="4" w:space="0" w:color="auto"/>
              <w:bottom w:val="single" w:sz="4" w:space="0" w:color="auto"/>
              <w:right w:val="single" w:sz="4" w:space="0" w:color="auto"/>
            </w:tcBorders>
          </w:tcPr>
          <w:p w14:paraId="3B943E0B" w14:textId="77777777" w:rsidR="005B6A9C" w:rsidRPr="00B433A3" w:rsidRDefault="005B6A9C" w:rsidP="00B8343E">
            <w:pPr>
              <w:pStyle w:val="Tabletext"/>
              <w:keepNext/>
              <w:keepLines/>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411CF7C0" w14:textId="77777777" w:rsidR="005B6A9C" w:rsidRPr="00B433A3" w:rsidRDefault="005B6A9C" w:rsidP="00B8343E">
            <w:pPr>
              <w:pStyle w:val="Tabletext"/>
              <w:keepNext/>
              <w:keepLines/>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988" w:type="dxa"/>
            <w:tcBorders>
              <w:top w:val="single" w:sz="4" w:space="0" w:color="auto"/>
              <w:left w:val="single" w:sz="4" w:space="0" w:color="auto"/>
              <w:bottom w:val="single" w:sz="4" w:space="0" w:color="auto"/>
              <w:right w:val="single" w:sz="4" w:space="0" w:color="auto"/>
            </w:tcBorders>
          </w:tcPr>
          <w:p w14:paraId="0F594CBB" w14:textId="77777777" w:rsidR="005B6A9C" w:rsidRPr="00B433A3" w:rsidRDefault="005B6A9C" w:rsidP="00B8343E">
            <w:pPr>
              <w:pStyle w:val="Tabletext"/>
              <w:keepNext/>
              <w:keepLines/>
              <w:jc w:val="center"/>
              <w:cnfStyle w:val="000000000000" w:firstRow="0" w:lastRow="0" w:firstColumn="0" w:lastColumn="0" w:oddVBand="0" w:evenVBand="0" w:oddHBand="0" w:evenHBand="0" w:firstRowFirstColumn="0" w:firstRowLastColumn="0" w:lastRowFirstColumn="0" w:lastRowLastColumn="0"/>
              <w:rPr>
                <w:sz w:val="20"/>
                <w:szCs w:val="20"/>
              </w:rPr>
            </w:pPr>
          </w:p>
        </w:tc>
      </w:tr>
      <w:tr w:rsidR="005B6A9C" w:rsidRPr="00B433A3" w14:paraId="260914CB" w14:textId="77777777" w:rsidTr="00624C8E">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694" w:type="dxa"/>
            <w:tcBorders>
              <w:top w:val="single" w:sz="4" w:space="0" w:color="auto"/>
              <w:left w:val="single" w:sz="4" w:space="0" w:color="auto"/>
              <w:bottom w:val="single" w:sz="4" w:space="0" w:color="auto"/>
              <w:right w:val="single" w:sz="4" w:space="0" w:color="auto"/>
            </w:tcBorders>
            <w:hideMark/>
          </w:tcPr>
          <w:p w14:paraId="33A4A2A9" w14:textId="77777777" w:rsidR="005B6A9C" w:rsidRPr="00B433A3" w:rsidRDefault="005B6A9C" w:rsidP="00B8343E">
            <w:pPr>
              <w:pStyle w:val="Tabletext"/>
              <w:keepNext/>
              <w:keepLines/>
              <w:rPr>
                <w:b w:val="0"/>
                <w:bCs w:val="0"/>
                <w:sz w:val="20"/>
                <w:szCs w:val="20"/>
              </w:rPr>
            </w:pPr>
            <w:r w:rsidRPr="00B433A3">
              <w:rPr>
                <w:b w:val="0"/>
                <w:bCs w:val="0"/>
                <w:sz w:val="20"/>
                <w:szCs w:val="20"/>
              </w:rPr>
              <w:t>États insulaires du Pacifique</w:t>
            </w:r>
          </w:p>
        </w:tc>
        <w:tc>
          <w:tcPr>
            <w:tcW w:w="1701" w:type="dxa"/>
            <w:tcBorders>
              <w:top w:val="single" w:sz="4" w:space="0" w:color="auto"/>
              <w:left w:val="single" w:sz="4" w:space="0" w:color="auto"/>
              <w:bottom w:val="single" w:sz="4" w:space="0" w:color="auto"/>
              <w:right w:val="single" w:sz="4" w:space="0" w:color="auto"/>
            </w:tcBorders>
            <w:hideMark/>
          </w:tcPr>
          <w:p w14:paraId="4E010309" w14:textId="77777777" w:rsidR="005B6A9C" w:rsidRPr="00B433A3" w:rsidRDefault="005B6A9C" w:rsidP="00B8343E">
            <w:pPr>
              <w:pStyle w:val="Tabletext"/>
              <w:keepNext/>
              <w:keepLines/>
              <w:cnfStyle w:val="000000100000" w:firstRow="0" w:lastRow="0" w:firstColumn="0" w:lastColumn="0" w:oddVBand="0" w:evenVBand="0" w:oddHBand="1" w:evenHBand="0" w:firstRowFirstColumn="0" w:firstRowLastColumn="0" w:lastRowFirstColumn="0" w:lastRowLastColumn="0"/>
              <w:rPr>
                <w:sz w:val="20"/>
                <w:szCs w:val="20"/>
              </w:rPr>
            </w:pPr>
            <w:r w:rsidRPr="00B433A3">
              <w:rPr>
                <w:sz w:val="20"/>
                <w:szCs w:val="20"/>
              </w:rPr>
              <w:t>Anglais</w:t>
            </w:r>
          </w:p>
        </w:tc>
        <w:tc>
          <w:tcPr>
            <w:tcW w:w="1696" w:type="dxa"/>
            <w:tcBorders>
              <w:top w:val="single" w:sz="4" w:space="0" w:color="auto"/>
              <w:left w:val="single" w:sz="4" w:space="0" w:color="auto"/>
              <w:bottom w:val="single" w:sz="4" w:space="0" w:color="auto"/>
              <w:right w:val="single" w:sz="4" w:space="0" w:color="auto"/>
            </w:tcBorders>
          </w:tcPr>
          <w:p w14:paraId="17DE61B7" w14:textId="77777777" w:rsidR="005B6A9C" w:rsidRPr="00B433A3" w:rsidRDefault="005B6A9C" w:rsidP="00B8343E">
            <w:pPr>
              <w:pStyle w:val="Tabletext"/>
              <w:keepNext/>
              <w:keepLines/>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1564" w:type="dxa"/>
            <w:tcBorders>
              <w:top w:val="single" w:sz="4" w:space="0" w:color="auto"/>
              <w:left w:val="single" w:sz="4" w:space="0" w:color="auto"/>
              <w:bottom w:val="single" w:sz="4" w:space="0" w:color="auto"/>
              <w:right w:val="single" w:sz="4" w:space="0" w:color="auto"/>
            </w:tcBorders>
          </w:tcPr>
          <w:p w14:paraId="49575D1B" w14:textId="77777777" w:rsidR="005B6A9C" w:rsidRPr="00B433A3" w:rsidRDefault="005B6A9C" w:rsidP="00B8343E">
            <w:pPr>
              <w:pStyle w:val="Tabletext"/>
              <w:keepNext/>
              <w:keepLines/>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14:paraId="379BB46B" w14:textId="77777777" w:rsidR="005B6A9C" w:rsidRPr="00B433A3" w:rsidRDefault="005B6A9C" w:rsidP="00B8343E">
            <w:pPr>
              <w:pStyle w:val="Tabletext"/>
              <w:keepNext/>
              <w:keepLines/>
              <w:jc w:val="center"/>
              <w:cnfStyle w:val="000000100000" w:firstRow="0" w:lastRow="0" w:firstColumn="0" w:lastColumn="0" w:oddVBand="0" w:evenVBand="0" w:oddHBand="1" w:evenHBand="0" w:firstRowFirstColumn="0" w:firstRowLastColumn="0" w:lastRowFirstColumn="0" w:lastRowLastColumn="0"/>
              <w:rPr>
                <w:sz w:val="20"/>
                <w:szCs w:val="20"/>
              </w:rPr>
            </w:pPr>
            <w:r w:rsidRPr="00B433A3">
              <w:rPr>
                <w:sz w:val="20"/>
                <w:szCs w:val="20"/>
              </w:rPr>
              <w:t>Octobre</w:t>
            </w:r>
          </w:p>
        </w:tc>
        <w:tc>
          <w:tcPr>
            <w:tcW w:w="988" w:type="dxa"/>
            <w:tcBorders>
              <w:top w:val="single" w:sz="4" w:space="0" w:color="auto"/>
              <w:left w:val="single" w:sz="4" w:space="0" w:color="auto"/>
              <w:bottom w:val="single" w:sz="4" w:space="0" w:color="auto"/>
              <w:right w:val="single" w:sz="4" w:space="0" w:color="auto"/>
            </w:tcBorders>
          </w:tcPr>
          <w:p w14:paraId="6B653E04" w14:textId="77777777" w:rsidR="005B6A9C" w:rsidRPr="00B433A3" w:rsidRDefault="005B6A9C" w:rsidP="00B8343E">
            <w:pPr>
              <w:pStyle w:val="Tabletext"/>
              <w:keepNext/>
              <w:keepLines/>
              <w:jc w:val="center"/>
              <w:cnfStyle w:val="000000100000" w:firstRow="0" w:lastRow="0" w:firstColumn="0" w:lastColumn="0" w:oddVBand="0" w:evenVBand="0" w:oddHBand="1" w:evenHBand="0" w:firstRowFirstColumn="0" w:firstRowLastColumn="0" w:lastRowFirstColumn="0" w:lastRowLastColumn="0"/>
              <w:rPr>
                <w:sz w:val="20"/>
                <w:szCs w:val="20"/>
              </w:rPr>
            </w:pPr>
          </w:p>
        </w:tc>
      </w:tr>
      <w:tr w:rsidR="005B6A9C" w:rsidRPr="00B433A3" w14:paraId="77BD2CCB" w14:textId="77777777" w:rsidTr="00624C8E">
        <w:trPr>
          <w:trHeight w:val="300"/>
          <w:jc w:val="center"/>
        </w:trPr>
        <w:tc>
          <w:tcPr>
            <w:cnfStyle w:val="001000000000" w:firstRow="0" w:lastRow="0" w:firstColumn="1" w:lastColumn="0" w:oddVBand="0" w:evenVBand="0" w:oddHBand="0" w:evenHBand="0" w:firstRowFirstColumn="0" w:firstRowLastColumn="0" w:lastRowFirstColumn="0" w:lastRowLastColumn="0"/>
            <w:tcW w:w="2694" w:type="dxa"/>
            <w:tcBorders>
              <w:top w:val="single" w:sz="4" w:space="0" w:color="auto"/>
              <w:left w:val="single" w:sz="4" w:space="0" w:color="auto"/>
              <w:bottom w:val="single" w:sz="4" w:space="0" w:color="auto"/>
              <w:right w:val="single" w:sz="4" w:space="0" w:color="auto"/>
            </w:tcBorders>
            <w:hideMark/>
          </w:tcPr>
          <w:p w14:paraId="456F749B" w14:textId="77777777" w:rsidR="005B6A9C" w:rsidRPr="00B433A3" w:rsidRDefault="005B6A9C" w:rsidP="00B8343E">
            <w:pPr>
              <w:pStyle w:val="Tabletext"/>
              <w:keepNext/>
              <w:keepLines/>
              <w:rPr>
                <w:b w:val="0"/>
                <w:bCs w:val="0"/>
                <w:sz w:val="20"/>
                <w:szCs w:val="20"/>
              </w:rPr>
            </w:pPr>
            <w:r w:rsidRPr="00B433A3">
              <w:rPr>
                <w:b w:val="0"/>
                <w:bCs w:val="0"/>
                <w:sz w:val="20"/>
                <w:szCs w:val="20"/>
              </w:rPr>
              <w:t>Asie centrale</w:t>
            </w:r>
          </w:p>
        </w:tc>
        <w:tc>
          <w:tcPr>
            <w:tcW w:w="1701" w:type="dxa"/>
            <w:tcBorders>
              <w:top w:val="single" w:sz="4" w:space="0" w:color="auto"/>
              <w:left w:val="single" w:sz="4" w:space="0" w:color="auto"/>
              <w:bottom w:val="single" w:sz="4" w:space="0" w:color="auto"/>
              <w:right w:val="single" w:sz="4" w:space="0" w:color="auto"/>
            </w:tcBorders>
            <w:hideMark/>
          </w:tcPr>
          <w:p w14:paraId="5FD93560" w14:textId="77777777" w:rsidR="005B6A9C" w:rsidRPr="00B433A3" w:rsidRDefault="005B6A9C" w:rsidP="00B8343E">
            <w:pPr>
              <w:pStyle w:val="Tabletext"/>
              <w:keepNext/>
              <w:keepLines/>
              <w:cnfStyle w:val="000000000000" w:firstRow="0" w:lastRow="0" w:firstColumn="0" w:lastColumn="0" w:oddVBand="0" w:evenVBand="0" w:oddHBand="0" w:evenHBand="0" w:firstRowFirstColumn="0" w:firstRowLastColumn="0" w:lastRowFirstColumn="0" w:lastRowLastColumn="0"/>
              <w:rPr>
                <w:sz w:val="20"/>
                <w:szCs w:val="20"/>
              </w:rPr>
            </w:pPr>
            <w:r w:rsidRPr="00B433A3">
              <w:rPr>
                <w:sz w:val="20"/>
                <w:szCs w:val="20"/>
              </w:rPr>
              <w:t>Anglais</w:t>
            </w:r>
          </w:p>
        </w:tc>
        <w:tc>
          <w:tcPr>
            <w:tcW w:w="1696" w:type="dxa"/>
            <w:tcBorders>
              <w:top w:val="single" w:sz="4" w:space="0" w:color="auto"/>
              <w:left w:val="single" w:sz="4" w:space="0" w:color="auto"/>
              <w:bottom w:val="single" w:sz="4" w:space="0" w:color="auto"/>
              <w:right w:val="single" w:sz="4" w:space="0" w:color="auto"/>
            </w:tcBorders>
          </w:tcPr>
          <w:p w14:paraId="2AE18043" w14:textId="77777777" w:rsidR="005B6A9C" w:rsidRPr="00B433A3" w:rsidRDefault="005B6A9C" w:rsidP="00B8343E">
            <w:pPr>
              <w:pStyle w:val="Tabletext"/>
              <w:keepNext/>
              <w:keepLines/>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1564" w:type="dxa"/>
            <w:tcBorders>
              <w:top w:val="single" w:sz="4" w:space="0" w:color="auto"/>
              <w:left w:val="single" w:sz="4" w:space="0" w:color="auto"/>
              <w:bottom w:val="single" w:sz="4" w:space="0" w:color="auto"/>
              <w:right w:val="single" w:sz="4" w:space="0" w:color="auto"/>
            </w:tcBorders>
          </w:tcPr>
          <w:p w14:paraId="280262C2" w14:textId="77777777" w:rsidR="005B6A9C" w:rsidRPr="00B433A3" w:rsidRDefault="005B6A9C" w:rsidP="00B8343E">
            <w:pPr>
              <w:pStyle w:val="Tabletext"/>
              <w:keepNext/>
              <w:keepLines/>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7E936CD6" w14:textId="77777777" w:rsidR="005B6A9C" w:rsidRPr="00B433A3" w:rsidRDefault="005B6A9C" w:rsidP="00B8343E">
            <w:pPr>
              <w:pStyle w:val="Tabletext"/>
              <w:keepNext/>
              <w:keepLines/>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988" w:type="dxa"/>
            <w:tcBorders>
              <w:top w:val="single" w:sz="4" w:space="0" w:color="auto"/>
              <w:left w:val="single" w:sz="4" w:space="0" w:color="auto"/>
              <w:bottom w:val="single" w:sz="4" w:space="0" w:color="auto"/>
              <w:right w:val="single" w:sz="4" w:space="0" w:color="auto"/>
            </w:tcBorders>
            <w:hideMark/>
          </w:tcPr>
          <w:p w14:paraId="78C34F11" w14:textId="77777777" w:rsidR="005B6A9C" w:rsidRPr="00B433A3" w:rsidRDefault="005B6A9C" w:rsidP="00B8343E">
            <w:pPr>
              <w:pStyle w:val="Tabletext"/>
              <w:keepNext/>
              <w:keepLines/>
              <w:jc w:val="center"/>
              <w:cnfStyle w:val="000000000000" w:firstRow="0" w:lastRow="0" w:firstColumn="0" w:lastColumn="0" w:oddVBand="0" w:evenVBand="0" w:oddHBand="0" w:evenHBand="0" w:firstRowFirstColumn="0" w:firstRowLastColumn="0" w:lastRowFirstColumn="0" w:lastRowLastColumn="0"/>
              <w:rPr>
                <w:sz w:val="20"/>
                <w:szCs w:val="20"/>
              </w:rPr>
            </w:pPr>
            <w:r w:rsidRPr="00B433A3">
              <w:rPr>
                <w:sz w:val="20"/>
                <w:szCs w:val="20"/>
              </w:rPr>
              <w:t>2ème trimestre</w:t>
            </w:r>
          </w:p>
        </w:tc>
      </w:tr>
      <w:tr w:rsidR="005B6A9C" w:rsidRPr="00B433A3" w14:paraId="5F696DE6" w14:textId="77777777" w:rsidTr="00624C8E">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694" w:type="dxa"/>
            <w:tcBorders>
              <w:top w:val="single" w:sz="4" w:space="0" w:color="auto"/>
              <w:left w:val="single" w:sz="4" w:space="0" w:color="auto"/>
              <w:bottom w:val="single" w:sz="4" w:space="0" w:color="auto"/>
              <w:right w:val="single" w:sz="4" w:space="0" w:color="auto"/>
            </w:tcBorders>
            <w:hideMark/>
          </w:tcPr>
          <w:p w14:paraId="2F6C5E0F" w14:textId="77777777" w:rsidR="005B6A9C" w:rsidRPr="00B433A3" w:rsidRDefault="005B6A9C" w:rsidP="00B8343E">
            <w:pPr>
              <w:pStyle w:val="Tabletext"/>
              <w:keepNext/>
              <w:keepLines/>
              <w:rPr>
                <w:b w:val="0"/>
                <w:bCs w:val="0"/>
                <w:sz w:val="20"/>
                <w:szCs w:val="20"/>
              </w:rPr>
            </w:pPr>
            <w:r w:rsidRPr="00B433A3">
              <w:rPr>
                <w:b w:val="0"/>
                <w:bCs w:val="0"/>
                <w:sz w:val="20"/>
                <w:szCs w:val="20"/>
              </w:rPr>
              <w:t>Asie du Sud</w:t>
            </w:r>
          </w:p>
        </w:tc>
        <w:tc>
          <w:tcPr>
            <w:tcW w:w="1701" w:type="dxa"/>
            <w:tcBorders>
              <w:top w:val="single" w:sz="4" w:space="0" w:color="auto"/>
              <w:left w:val="single" w:sz="4" w:space="0" w:color="auto"/>
              <w:bottom w:val="single" w:sz="4" w:space="0" w:color="auto"/>
              <w:right w:val="single" w:sz="4" w:space="0" w:color="auto"/>
            </w:tcBorders>
            <w:hideMark/>
          </w:tcPr>
          <w:p w14:paraId="6B613818" w14:textId="77777777" w:rsidR="005B6A9C" w:rsidRPr="00B433A3" w:rsidRDefault="005B6A9C" w:rsidP="00B8343E">
            <w:pPr>
              <w:pStyle w:val="Tabletext"/>
              <w:keepNext/>
              <w:keepLines/>
              <w:cnfStyle w:val="000000100000" w:firstRow="0" w:lastRow="0" w:firstColumn="0" w:lastColumn="0" w:oddVBand="0" w:evenVBand="0" w:oddHBand="1" w:evenHBand="0" w:firstRowFirstColumn="0" w:firstRowLastColumn="0" w:lastRowFirstColumn="0" w:lastRowLastColumn="0"/>
              <w:rPr>
                <w:sz w:val="20"/>
                <w:szCs w:val="20"/>
              </w:rPr>
            </w:pPr>
            <w:r w:rsidRPr="00B433A3">
              <w:rPr>
                <w:sz w:val="20"/>
                <w:szCs w:val="20"/>
              </w:rPr>
              <w:t>Anglais</w:t>
            </w:r>
          </w:p>
        </w:tc>
        <w:tc>
          <w:tcPr>
            <w:tcW w:w="1696" w:type="dxa"/>
            <w:tcBorders>
              <w:top w:val="single" w:sz="4" w:space="0" w:color="auto"/>
              <w:left w:val="single" w:sz="4" w:space="0" w:color="auto"/>
              <w:bottom w:val="single" w:sz="4" w:space="0" w:color="auto"/>
              <w:right w:val="single" w:sz="4" w:space="0" w:color="auto"/>
            </w:tcBorders>
            <w:hideMark/>
          </w:tcPr>
          <w:p w14:paraId="0BB1D7F9" w14:textId="77777777" w:rsidR="005B6A9C" w:rsidRPr="00B433A3" w:rsidRDefault="005B6A9C" w:rsidP="00B8343E">
            <w:pPr>
              <w:pStyle w:val="Tabletext"/>
              <w:keepNext/>
              <w:keepLines/>
              <w:jc w:val="center"/>
              <w:cnfStyle w:val="000000100000" w:firstRow="0" w:lastRow="0" w:firstColumn="0" w:lastColumn="0" w:oddVBand="0" w:evenVBand="0" w:oddHBand="1" w:evenHBand="0" w:firstRowFirstColumn="0" w:firstRowLastColumn="0" w:lastRowFirstColumn="0" w:lastRowLastColumn="0"/>
              <w:rPr>
                <w:sz w:val="20"/>
                <w:szCs w:val="20"/>
              </w:rPr>
            </w:pPr>
            <w:r w:rsidRPr="00B433A3">
              <w:rPr>
                <w:sz w:val="20"/>
                <w:szCs w:val="20"/>
              </w:rPr>
              <w:t>11-22 octobre</w:t>
            </w:r>
            <w:r w:rsidRPr="00B433A3">
              <w:rPr>
                <w:sz w:val="20"/>
                <w:szCs w:val="20"/>
              </w:rPr>
              <w:br/>
              <w:t>en ligne</w:t>
            </w:r>
          </w:p>
        </w:tc>
        <w:tc>
          <w:tcPr>
            <w:tcW w:w="1564" w:type="dxa"/>
            <w:tcBorders>
              <w:top w:val="single" w:sz="4" w:space="0" w:color="auto"/>
              <w:left w:val="single" w:sz="4" w:space="0" w:color="auto"/>
              <w:bottom w:val="single" w:sz="4" w:space="0" w:color="auto"/>
              <w:right w:val="single" w:sz="4" w:space="0" w:color="auto"/>
            </w:tcBorders>
          </w:tcPr>
          <w:p w14:paraId="40B72A9F" w14:textId="77777777" w:rsidR="005B6A9C" w:rsidRPr="00B433A3" w:rsidRDefault="005B6A9C" w:rsidP="00B8343E">
            <w:pPr>
              <w:pStyle w:val="Tabletext"/>
              <w:keepNext/>
              <w:keepLines/>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4DEAF452" w14:textId="77777777" w:rsidR="005B6A9C" w:rsidRPr="00B433A3" w:rsidRDefault="005B6A9C" w:rsidP="00B8343E">
            <w:pPr>
              <w:pStyle w:val="Tabletext"/>
              <w:keepNext/>
              <w:keepLines/>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988" w:type="dxa"/>
            <w:tcBorders>
              <w:top w:val="single" w:sz="4" w:space="0" w:color="auto"/>
              <w:left w:val="single" w:sz="4" w:space="0" w:color="auto"/>
              <w:bottom w:val="single" w:sz="4" w:space="0" w:color="auto"/>
              <w:right w:val="single" w:sz="4" w:space="0" w:color="auto"/>
            </w:tcBorders>
          </w:tcPr>
          <w:p w14:paraId="49ABD078" w14:textId="77777777" w:rsidR="005B6A9C" w:rsidRPr="00B433A3" w:rsidRDefault="005B6A9C" w:rsidP="00B8343E">
            <w:pPr>
              <w:pStyle w:val="Tabletext"/>
              <w:keepNext/>
              <w:keepLines/>
              <w:jc w:val="center"/>
              <w:cnfStyle w:val="000000100000" w:firstRow="0" w:lastRow="0" w:firstColumn="0" w:lastColumn="0" w:oddVBand="0" w:evenVBand="0" w:oddHBand="1" w:evenHBand="0" w:firstRowFirstColumn="0" w:firstRowLastColumn="0" w:lastRowFirstColumn="0" w:lastRowLastColumn="0"/>
              <w:rPr>
                <w:sz w:val="20"/>
                <w:szCs w:val="20"/>
              </w:rPr>
            </w:pPr>
          </w:p>
        </w:tc>
      </w:tr>
      <w:tr w:rsidR="005B6A9C" w:rsidRPr="00B433A3" w14:paraId="544E14D2" w14:textId="77777777" w:rsidTr="00624C8E">
        <w:trPr>
          <w:trHeight w:val="300"/>
          <w:jc w:val="center"/>
        </w:trPr>
        <w:tc>
          <w:tcPr>
            <w:cnfStyle w:val="001000000000" w:firstRow="0" w:lastRow="0" w:firstColumn="1" w:lastColumn="0" w:oddVBand="0" w:evenVBand="0" w:oddHBand="0" w:evenHBand="0" w:firstRowFirstColumn="0" w:firstRowLastColumn="0" w:lastRowFirstColumn="0" w:lastRowLastColumn="0"/>
            <w:tcW w:w="2694" w:type="dxa"/>
            <w:tcBorders>
              <w:top w:val="single" w:sz="4" w:space="0" w:color="auto"/>
              <w:left w:val="single" w:sz="4" w:space="0" w:color="auto"/>
              <w:bottom w:val="single" w:sz="4" w:space="0" w:color="auto"/>
              <w:right w:val="single" w:sz="4" w:space="0" w:color="auto"/>
            </w:tcBorders>
            <w:hideMark/>
          </w:tcPr>
          <w:p w14:paraId="6AA9F661" w14:textId="77777777" w:rsidR="005B6A9C" w:rsidRPr="00B433A3" w:rsidRDefault="005B6A9C" w:rsidP="00B8343E">
            <w:pPr>
              <w:pStyle w:val="Tabletext"/>
              <w:keepNext/>
              <w:keepLines/>
              <w:rPr>
                <w:sz w:val="20"/>
                <w:szCs w:val="20"/>
              </w:rPr>
            </w:pPr>
            <w:r w:rsidRPr="00B433A3">
              <w:rPr>
                <w:sz w:val="20"/>
                <w:szCs w:val="20"/>
              </w:rPr>
              <w:t>États arabes (1)</w:t>
            </w:r>
          </w:p>
        </w:tc>
        <w:tc>
          <w:tcPr>
            <w:tcW w:w="1701" w:type="dxa"/>
            <w:tcBorders>
              <w:top w:val="single" w:sz="4" w:space="0" w:color="auto"/>
              <w:left w:val="single" w:sz="4" w:space="0" w:color="auto"/>
              <w:bottom w:val="single" w:sz="4" w:space="0" w:color="auto"/>
              <w:right w:val="single" w:sz="4" w:space="0" w:color="auto"/>
            </w:tcBorders>
            <w:hideMark/>
          </w:tcPr>
          <w:p w14:paraId="155DE1AD" w14:textId="77777777" w:rsidR="005B6A9C" w:rsidRPr="00B433A3" w:rsidRDefault="005B6A9C" w:rsidP="00B8343E">
            <w:pPr>
              <w:pStyle w:val="Tabletext"/>
              <w:keepNext/>
              <w:keepLines/>
              <w:cnfStyle w:val="000000000000" w:firstRow="0" w:lastRow="0" w:firstColumn="0" w:lastColumn="0" w:oddVBand="0" w:evenVBand="0" w:oddHBand="0" w:evenHBand="0" w:firstRowFirstColumn="0" w:firstRowLastColumn="0" w:lastRowFirstColumn="0" w:lastRowLastColumn="0"/>
              <w:rPr>
                <w:sz w:val="20"/>
                <w:szCs w:val="20"/>
              </w:rPr>
            </w:pPr>
            <w:r w:rsidRPr="00B433A3">
              <w:rPr>
                <w:sz w:val="20"/>
                <w:szCs w:val="20"/>
              </w:rPr>
              <w:t>Arabe/Anglais</w:t>
            </w:r>
          </w:p>
        </w:tc>
        <w:tc>
          <w:tcPr>
            <w:tcW w:w="1696" w:type="dxa"/>
            <w:tcBorders>
              <w:top w:val="single" w:sz="4" w:space="0" w:color="auto"/>
              <w:left w:val="single" w:sz="4" w:space="0" w:color="auto"/>
              <w:bottom w:val="single" w:sz="4" w:space="0" w:color="auto"/>
              <w:right w:val="single" w:sz="4" w:space="0" w:color="auto"/>
            </w:tcBorders>
          </w:tcPr>
          <w:p w14:paraId="4DA755AE" w14:textId="77777777" w:rsidR="005B6A9C" w:rsidRPr="00B433A3" w:rsidRDefault="005B6A9C" w:rsidP="00B8343E">
            <w:pPr>
              <w:pStyle w:val="Tabletext"/>
              <w:keepNext/>
              <w:keepLines/>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1564" w:type="dxa"/>
            <w:tcBorders>
              <w:top w:val="single" w:sz="4" w:space="0" w:color="auto"/>
              <w:left w:val="single" w:sz="4" w:space="0" w:color="auto"/>
              <w:bottom w:val="single" w:sz="4" w:space="0" w:color="auto"/>
              <w:right w:val="single" w:sz="4" w:space="0" w:color="auto"/>
            </w:tcBorders>
          </w:tcPr>
          <w:p w14:paraId="278ED804" w14:textId="77777777" w:rsidR="005B6A9C" w:rsidRPr="00B433A3" w:rsidRDefault="005B6A9C" w:rsidP="00B8343E">
            <w:pPr>
              <w:pStyle w:val="Tabletext"/>
              <w:keepNext/>
              <w:keepLines/>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14:paraId="2E01E932" w14:textId="77777777" w:rsidR="005B6A9C" w:rsidRPr="00B433A3" w:rsidRDefault="005B6A9C" w:rsidP="00B8343E">
            <w:pPr>
              <w:pStyle w:val="Tabletext"/>
              <w:keepNext/>
              <w:keepLines/>
              <w:jc w:val="center"/>
              <w:cnfStyle w:val="000000000000" w:firstRow="0" w:lastRow="0" w:firstColumn="0" w:lastColumn="0" w:oddVBand="0" w:evenVBand="0" w:oddHBand="0" w:evenHBand="0" w:firstRowFirstColumn="0" w:firstRowLastColumn="0" w:lastRowFirstColumn="0" w:lastRowLastColumn="0"/>
              <w:rPr>
                <w:sz w:val="20"/>
                <w:szCs w:val="20"/>
              </w:rPr>
            </w:pPr>
            <w:r w:rsidRPr="00B433A3">
              <w:rPr>
                <w:sz w:val="20"/>
                <w:szCs w:val="20"/>
              </w:rPr>
              <w:t>13-24 mars</w:t>
            </w:r>
            <w:r w:rsidRPr="00B433A3">
              <w:rPr>
                <w:sz w:val="20"/>
                <w:szCs w:val="20"/>
              </w:rPr>
              <w:br/>
              <w:t>en ligne</w:t>
            </w:r>
          </w:p>
        </w:tc>
        <w:tc>
          <w:tcPr>
            <w:tcW w:w="988" w:type="dxa"/>
            <w:tcBorders>
              <w:top w:val="single" w:sz="4" w:space="0" w:color="auto"/>
              <w:left w:val="single" w:sz="4" w:space="0" w:color="auto"/>
              <w:bottom w:val="single" w:sz="4" w:space="0" w:color="auto"/>
              <w:right w:val="single" w:sz="4" w:space="0" w:color="auto"/>
            </w:tcBorders>
          </w:tcPr>
          <w:p w14:paraId="1A5BF18B" w14:textId="77777777" w:rsidR="005B6A9C" w:rsidRPr="00B433A3" w:rsidRDefault="005B6A9C" w:rsidP="00B8343E">
            <w:pPr>
              <w:pStyle w:val="Tabletext"/>
              <w:keepNext/>
              <w:keepLines/>
              <w:jc w:val="center"/>
              <w:cnfStyle w:val="000000000000" w:firstRow="0" w:lastRow="0" w:firstColumn="0" w:lastColumn="0" w:oddVBand="0" w:evenVBand="0" w:oddHBand="0" w:evenHBand="0" w:firstRowFirstColumn="0" w:firstRowLastColumn="0" w:lastRowFirstColumn="0" w:lastRowLastColumn="0"/>
              <w:rPr>
                <w:sz w:val="20"/>
                <w:szCs w:val="20"/>
              </w:rPr>
            </w:pPr>
          </w:p>
        </w:tc>
      </w:tr>
      <w:tr w:rsidR="005B6A9C" w:rsidRPr="00B433A3" w14:paraId="243162FD" w14:textId="77777777" w:rsidTr="00624C8E">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694" w:type="dxa"/>
            <w:tcBorders>
              <w:top w:val="single" w:sz="4" w:space="0" w:color="auto"/>
              <w:left w:val="single" w:sz="4" w:space="0" w:color="auto"/>
              <w:bottom w:val="single" w:sz="4" w:space="0" w:color="auto"/>
              <w:right w:val="single" w:sz="4" w:space="0" w:color="auto"/>
            </w:tcBorders>
            <w:hideMark/>
          </w:tcPr>
          <w:p w14:paraId="5281A663" w14:textId="77777777" w:rsidR="005B6A9C" w:rsidRPr="00B433A3" w:rsidRDefault="005B6A9C" w:rsidP="00B8343E">
            <w:pPr>
              <w:pStyle w:val="Tabletext"/>
              <w:keepNext/>
              <w:keepLines/>
              <w:rPr>
                <w:sz w:val="20"/>
                <w:szCs w:val="20"/>
              </w:rPr>
            </w:pPr>
            <w:r w:rsidRPr="00B433A3">
              <w:rPr>
                <w:sz w:val="20"/>
                <w:szCs w:val="20"/>
              </w:rPr>
              <w:t>CEI (1)</w:t>
            </w:r>
          </w:p>
        </w:tc>
        <w:tc>
          <w:tcPr>
            <w:tcW w:w="1701" w:type="dxa"/>
            <w:tcBorders>
              <w:top w:val="single" w:sz="4" w:space="0" w:color="auto"/>
              <w:left w:val="single" w:sz="4" w:space="0" w:color="auto"/>
              <w:bottom w:val="single" w:sz="4" w:space="0" w:color="auto"/>
              <w:right w:val="single" w:sz="4" w:space="0" w:color="auto"/>
            </w:tcBorders>
            <w:hideMark/>
          </w:tcPr>
          <w:p w14:paraId="52D90598" w14:textId="77777777" w:rsidR="005B6A9C" w:rsidRPr="00B433A3" w:rsidRDefault="005B6A9C" w:rsidP="00B8343E">
            <w:pPr>
              <w:pStyle w:val="Tabletext"/>
              <w:keepNext/>
              <w:keepLines/>
              <w:cnfStyle w:val="000000100000" w:firstRow="0" w:lastRow="0" w:firstColumn="0" w:lastColumn="0" w:oddVBand="0" w:evenVBand="0" w:oddHBand="1" w:evenHBand="0" w:firstRowFirstColumn="0" w:firstRowLastColumn="0" w:lastRowFirstColumn="0" w:lastRowLastColumn="0"/>
              <w:rPr>
                <w:sz w:val="20"/>
                <w:szCs w:val="20"/>
              </w:rPr>
            </w:pPr>
            <w:r w:rsidRPr="00B433A3">
              <w:rPr>
                <w:sz w:val="20"/>
                <w:szCs w:val="20"/>
              </w:rPr>
              <w:t>Russe</w:t>
            </w:r>
          </w:p>
        </w:tc>
        <w:tc>
          <w:tcPr>
            <w:tcW w:w="1696" w:type="dxa"/>
            <w:tcBorders>
              <w:top w:val="single" w:sz="4" w:space="0" w:color="auto"/>
              <w:left w:val="single" w:sz="4" w:space="0" w:color="auto"/>
              <w:bottom w:val="single" w:sz="4" w:space="0" w:color="auto"/>
              <w:right w:val="single" w:sz="4" w:space="0" w:color="auto"/>
            </w:tcBorders>
          </w:tcPr>
          <w:p w14:paraId="6AB88C0E" w14:textId="77777777" w:rsidR="005B6A9C" w:rsidRPr="00B433A3" w:rsidRDefault="005B6A9C" w:rsidP="00B8343E">
            <w:pPr>
              <w:pStyle w:val="Tabletext"/>
              <w:keepNext/>
              <w:keepLines/>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1564" w:type="dxa"/>
            <w:tcBorders>
              <w:top w:val="single" w:sz="4" w:space="0" w:color="auto"/>
              <w:left w:val="single" w:sz="4" w:space="0" w:color="auto"/>
              <w:bottom w:val="single" w:sz="4" w:space="0" w:color="auto"/>
              <w:right w:val="single" w:sz="4" w:space="0" w:color="auto"/>
            </w:tcBorders>
          </w:tcPr>
          <w:p w14:paraId="44E1EE3F" w14:textId="77777777" w:rsidR="005B6A9C" w:rsidRPr="00B433A3" w:rsidRDefault="005B6A9C" w:rsidP="00B8343E">
            <w:pPr>
              <w:pStyle w:val="Tabletext"/>
              <w:keepNext/>
              <w:keepLines/>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14:paraId="2A7DB5B7" w14:textId="13DFCE63" w:rsidR="005B6A9C" w:rsidRPr="00B433A3" w:rsidRDefault="005B6A9C" w:rsidP="00B8343E">
            <w:pPr>
              <w:pStyle w:val="Tabletext"/>
              <w:keepNext/>
              <w:keepLines/>
              <w:jc w:val="center"/>
              <w:cnfStyle w:val="000000100000" w:firstRow="0" w:lastRow="0" w:firstColumn="0" w:lastColumn="0" w:oddVBand="0" w:evenVBand="0" w:oddHBand="1" w:evenHBand="0" w:firstRowFirstColumn="0" w:firstRowLastColumn="0" w:lastRowFirstColumn="0" w:lastRowLastColumn="0"/>
              <w:rPr>
                <w:sz w:val="20"/>
                <w:szCs w:val="20"/>
              </w:rPr>
            </w:pPr>
            <w:r w:rsidRPr="00B433A3">
              <w:rPr>
                <w:sz w:val="20"/>
                <w:szCs w:val="20"/>
              </w:rPr>
              <w:t>2</w:t>
            </w:r>
            <w:r w:rsidR="00EB25D9" w:rsidRPr="00B433A3">
              <w:rPr>
                <w:sz w:val="20"/>
                <w:szCs w:val="20"/>
              </w:rPr>
              <w:t>ème trimestre</w:t>
            </w:r>
          </w:p>
        </w:tc>
        <w:tc>
          <w:tcPr>
            <w:tcW w:w="988" w:type="dxa"/>
            <w:tcBorders>
              <w:top w:val="single" w:sz="4" w:space="0" w:color="auto"/>
              <w:left w:val="single" w:sz="4" w:space="0" w:color="auto"/>
              <w:bottom w:val="single" w:sz="4" w:space="0" w:color="auto"/>
              <w:right w:val="single" w:sz="4" w:space="0" w:color="auto"/>
            </w:tcBorders>
          </w:tcPr>
          <w:p w14:paraId="33B0E441" w14:textId="77777777" w:rsidR="005B6A9C" w:rsidRPr="00B433A3" w:rsidRDefault="005B6A9C" w:rsidP="00B8343E">
            <w:pPr>
              <w:pStyle w:val="Tabletext"/>
              <w:keepNext/>
              <w:keepLines/>
              <w:jc w:val="center"/>
              <w:cnfStyle w:val="000000100000" w:firstRow="0" w:lastRow="0" w:firstColumn="0" w:lastColumn="0" w:oddVBand="0" w:evenVBand="0" w:oddHBand="1" w:evenHBand="0" w:firstRowFirstColumn="0" w:firstRowLastColumn="0" w:lastRowFirstColumn="0" w:lastRowLastColumn="0"/>
              <w:rPr>
                <w:sz w:val="20"/>
                <w:szCs w:val="20"/>
              </w:rPr>
            </w:pPr>
          </w:p>
        </w:tc>
      </w:tr>
      <w:tr w:rsidR="005B6A9C" w:rsidRPr="00B433A3" w14:paraId="4187C5D0" w14:textId="77777777" w:rsidTr="00624C8E">
        <w:trPr>
          <w:trHeight w:val="300"/>
          <w:jc w:val="center"/>
        </w:trPr>
        <w:tc>
          <w:tcPr>
            <w:cnfStyle w:val="001000000000" w:firstRow="0" w:lastRow="0" w:firstColumn="1" w:lastColumn="0" w:oddVBand="0" w:evenVBand="0" w:oddHBand="0" w:evenHBand="0" w:firstRowFirstColumn="0" w:firstRowLastColumn="0" w:lastRowFirstColumn="0" w:lastRowLastColumn="0"/>
            <w:tcW w:w="2694" w:type="dxa"/>
            <w:tcBorders>
              <w:top w:val="single" w:sz="4" w:space="0" w:color="auto"/>
              <w:left w:val="single" w:sz="4" w:space="0" w:color="auto"/>
              <w:bottom w:val="single" w:sz="4" w:space="0" w:color="auto"/>
              <w:right w:val="single" w:sz="4" w:space="0" w:color="auto"/>
            </w:tcBorders>
            <w:hideMark/>
          </w:tcPr>
          <w:p w14:paraId="15AF416E" w14:textId="77777777" w:rsidR="005B6A9C" w:rsidRPr="00B433A3" w:rsidRDefault="005B6A9C" w:rsidP="00B8343E">
            <w:pPr>
              <w:pStyle w:val="Tabletext"/>
              <w:keepNext/>
              <w:keepLines/>
              <w:rPr>
                <w:sz w:val="20"/>
                <w:szCs w:val="20"/>
              </w:rPr>
            </w:pPr>
            <w:r w:rsidRPr="00B433A3">
              <w:rPr>
                <w:sz w:val="20"/>
                <w:szCs w:val="20"/>
              </w:rPr>
              <w:t>Europe de l'Est (1)</w:t>
            </w:r>
          </w:p>
        </w:tc>
        <w:tc>
          <w:tcPr>
            <w:tcW w:w="1701" w:type="dxa"/>
            <w:tcBorders>
              <w:top w:val="single" w:sz="4" w:space="0" w:color="auto"/>
              <w:left w:val="single" w:sz="4" w:space="0" w:color="auto"/>
              <w:bottom w:val="single" w:sz="4" w:space="0" w:color="auto"/>
              <w:right w:val="single" w:sz="4" w:space="0" w:color="auto"/>
            </w:tcBorders>
            <w:hideMark/>
          </w:tcPr>
          <w:p w14:paraId="7F6DD14E" w14:textId="77777777" w:rsidR="005B6A9C" w:rsidRPr="00B433A3" w:rsidRDefault="005B6A9C" w:rsidP="00B8343E">
            <w:pPr>
              <w:pStyle w:val="Tabletext"/>
              <w:keepNext/>
              <w:keepLines/>
              <w:cnfStyle w:val="000000000000" w:firstRow="0" w:lastRow="0" w:firstColumn="0" w:lastColumn="0" w:oddVBand="0" w:evenVBand="0" w:oddHBand="0" w:evenHBand="0" w:firstRowFirstColumn="0" w:firstRowLastColumn="0" w:lastRowFirstColumn="0" w:lastRowLastColumn="0"/>
              <w:rPr>
                <w:sz w:val="20"/>
                <w:szCs w:val="20"/>
              </w:rPr>
            </w:pPr>
            <w:r w:rsidRPr="00B433A3">
              <w:rPr>
                <w:sz w:val="20"/>
                <w:szCs w:val="20"/>
              </w:rPr>
              <w:t>Anglais/Russe</w:t>
            </w:r>
          </w:p>
        </w:tc>
        <w:tc>
          <w:tcPr>
            <w:tcW w:w="1696" w:type="dxa"/>
            <w:tcBorders>
              <w:top w:val="single" w:sz="4" w:space="0" w:color="auto"/>
              <w:left w:val="single" w:sz="4" w:space="0" w:color="auto"/>
              <w:bottom w:val="single" w:sz="4" w:space="0" w:color="auto"/>
              <w:right w:val="single" w:sz="4" w:space="0" w:color="auto"/>
            </w:tcBorders>
          </w:tcPr>
          <w:p w14:paraId="33038DF4" w14:textId="77777777" w:rsidR="005B6A9C" w:rsidRPr="00B433A3" w:rsidRDefault="005B6A9C" w:rsidP="00B8343E">
            <w:pPr>
              <w:pStyle w:val="Tabletext"/>
              <w:keepNext/>
              <w:keepLines/>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1564" w:type="dxa"/>
            <w:tcBorders>
              <w:top w:val="single" w:sz="4" w:space="0" w:color="auto"/>
              <w:left w:val="single" w:sz="4" w:space="0" w:color="auto"/>
              <w:bottom w:val="single" w:sz="4" w:space="0" w:color="auto"/>
              <w:right w:val="single" w:sz="4" w:space="0" w:color="auto"/>
            </w:tcBorders>
          </w:tcPr>
          <w:p w14:paraId="2A69A3C8" w14:textId="77777777" w:rsidR="005B6A9C" w:rsidRPr="00B433A3" w:rsidRDefault="005B6A9C" w:rsidP="00B8343E">
            <w:pPr>
              <w:pStyle w:val="Tabletext"/>
              <w:keepNext/>
              <w:keepLines/>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31BCF6D7" w14:textId="77777777" w:rsidR="005B6A9C" w:rsidRPr="00B433A3" w:rsidRDefault="005B6A9C" w:rsidP="00B8343E">
            <w:pPr>
              <w:pStyle w:val="Tabletext"/>
              <w:keepNext/>
              <w:keepLines/>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988" w:type="dxa"/>
            <w:tcBorders>
              <w:top w:val="single" w:sz="4" w:space="0" w:color="auto"/>
              <w:left w:val="single" w:sz="4" w:space="0" w:color="auto"/>
              <w:bottom w:val="single" w:sz="4" w:space="0" w:color="auto"/>
              <w:right w:val="single" w:sz="4" w:space="0" w:color="auto"/>
            </w:tcBorders>
            <w:hideMark/>
          </w:tcPr>
          <w:p w14:paraId="39565F03" w14:textId="77777777" w:rsidR="005B6A9C" w:rsidRPr="00B433A3" w:rsidRDefault="005B6A9C" w:rsidP="00B8343E">
            <w:pPr>
              <w:pStyle w:val="Tabletext"/>
              <w:keepNext/>
              <w:keepLines/>
              <w:jc w:val="center"/>
              <w:cnfStyle w:val="000000000000" w:firstRow="0" w:lastRow="0" w:firstColumn="0" w:lastColumn="0" w:oddVBand="0" w:evenVBand="0" w:oddHBand="0" w:evenHBand="0" w:firstRowFirstColumn="0" w:firstRowLastColumn="0" w:lastRowFirstColumn="0" w:lastRowLastColumn="0"/>
              <w:rPr>
                <w:sz w:val="20"/>
                <w:szCs w:val="20"/>
              </w:rPr>
            </w:pPr>
            <w:r w:rsidRPr="00B433A3">
              <w:rPr>
                <w:sz w:val="20"/>
                <w:szCs w:val="20"/>
              </w:rPr>
              <w:t>2ème trimestre</w:t>
            </w:r>
          </w:p>
        </w:tc>
      </w:tr>
      <w:tr w:rsidR="005B6A9C" w:rsidRPr="00B433A3" w14:paraId="7EA62A65" w14:textId="77777777" w:rsidTr="00624C8E">
        <w:trPr>
          <w:cnfStyle w:val="000000100000" w:firstRow="0" w:lastRow="0" w:firstColumn="0" w:lastColumn="0" w:oddVBand="0" w:evenVBand="0" w:oddHBand="1" w:evenHBand="0" w:firstRowFirstColumn="0" w:firstRowLastColumn="0" w:lastRowFirstColumn="0" w:lastRowLastColumn="0"/>
          <w:trHeight w:val="450"/>
          <w:jc w:val="center"/>
        </w:trPr>
        <w:tc>
          <w:tcPr>
            <w:cnfStyle w:val="001000000000" w:firstRow="0" w:lastRow="0" w:firstColumn="1" w:lastColumn="0" w:oddVBand="0" w:evenVBand="0" w:oddHBand="0" w:evenHBand="0" w:firstRowFirstColumn="0" w:firstRowLastColumn="0" w:lastRowFirstColumn="0" w:lastRowLastColumn="0"/>
            <w:tcW w:w="2694" w:type="dxa"/>
            <w:tcBorders>
              <w:top w:val="single" w:sz="4" w:space="0" w:color="auto"/>
              <w:left w:val="single" w:sz="4" w:space="0" w:color="auto"/>
              <w:bottom w:val="single" w:sz="4" w:space="0" w:color="auto"/>
              <w:right w:val="single" w:sz="4" w:space="0" w:color="auto"/>
            </w:tcBorders>
            <w:hideMark/>
          </w:tcPr>
          <w:p w14:paraId="10BCA098" w14:textId="77777777" w:rsidR="005B6A9C" w:rsidRPr="00B433A3" w:rsidRDefault="005B6A9C" w:rsidP="00B8343E">
            <w:pPr>
              <w:pStyle w:val="Tabletext"/>
              <w:keepNext/>
              <w:keepLines/>
              <w:rPr>
                <w:sz w:val="20"/>
                <w:szCs w:val="20"/>
              </w:rPr>
            </w:pPr>
            <w:r w:rsidRPr="00B433A3">
              <w:rPr>
                <w:sz w:val="20"/>
                <w:szCs w:val="20"/>
              </w:rPr>
              <w:t>Séminaire WRS (2)</w:t>
            </w:r>
          </w:p>
        </w:tc>
        <w:tc>
          <w:tcPr>
            <w:tcW w:w="1701" w:type="dxa"/>
            <w:tcBorders>
              <w:top w:val="single" w:sz="4" w:space="0" w:color="auto"/>
              <w:left w:val="single" w:sz="4" w:space="0" w:color="auto"/>
              <w:bottom w:val="single" w:sz="4" w:space="0" w:color="auto"/>
              <w:right w:val="single" w:sz="4" w:space="0" w:color="auto"/>
            </w:tcBorders>
            <w:hideMark/>
          </w:tcPr>
          <w:p w14:paraId="2F69AD81" w14:textId="77777777" w:rsidR="005B6A9C" w:rsidRPr="00B433A3" w:rsidRDefault="005B6A9C" w:rsidP="00B8343E">
            <w:pPr>
              <w:pStyle w:val="Tabletext"/>
              <w:keepNext/>
              <w:keepLines/>
              <w:cnfStyle w:val="000000100000" w:firstRow="0" w:lastRow="0" w:firstColumn="0" w:lastColumn="0" w:oddVBand="0" w:evenVBand="0" w:oddHBand="1" w:evenHBand="0" w:firstRowFirstColumn="0" w:firstRowLastColumn="0" w:lastRowFirstColumn="0" w:lastRowLastColumn="0"/>
              <w:rPr>
                <w:sz w:val="20"/>
                <w:szCs w:val="20"/>
              </w:rPr>
            </w:pPr>
            <w:r w:rsidRPr="00B433A3">
              <w:rPr>
                <w:sz w:val="20"/>
                <w:szCs w:val="20"/>
              </w:rPr>
              <w:t>Les six langues officielles de l'ONU</w:t>
            </w:r>
          </w:p>
        </w:tc>
        <w:tc>
          <w:tcPr>
            <w:tcW w:w="1696" w:type="dxa"/>
            <w:tcBorders>
              <w:top w:val="single" w:sz="4" w:space="0" w:color="auto"/>
              <w:left w:val="single" w:sz="4" w:space="0" w:color="auto"/>
              <w:bottom w:val="single" w:sz="4" w:space="0" w:color="auto"/>
              <w:right w:val="single" w:sz="4" w:space="0" w:color="auto"/>
            </w:tcBorders>
            <w:hideMark/>
          </w:tcPr>
          <w:p w14:paraId="0431EFE1" w14:textId="06B7BB04" w:rsidR="005B6A9C" w:rsidRPr="00B433A3" w:rsidRDefault="005B6A9C" w:rsidP="00B8343E">
            <w:pPr>
              <w:spacing w:before="40"/>
              <w:jc w:val="center"/>
              <w:cnfStyle w:val="000000100000" w:firstRow="0" w:lastRow="0" w:firstColumn="0" w:lastColumn="0" w:oddVBand="0" w:evenVBand="0" w:oddHBand="1" w:evenHBand="0" w:firstRowFirstColumn="0" w:firstRowLastColumn="0" w:lastRowFirstColumn="0" w:lastRowLastColumn="0"/>
              <w:rPr>
                <w:sz w:val="20"/>
                <w:szCs w:val="20"/>
              </w:rPr>
            </w:pPr>
            <w:r w:rsidRPr="00B433A3">
              <w:rPr>
                <w:sz w:val="20"/>
                <w:szCs w:val="20"/>
              </w:rPr>
              <w:t>30 novembre</w:t>
            </w:r>
            <w:r w:rsidR="00EB25D9" w:rsidRPr="00B433A3">
              <w:rPr>
                <w:sz w:val="20"/>
                <w:szCs w:val="20"/>
              </w:rPr>
              <w:t xml:space="preserve"> – </w:t>
            </w:r>
            <w:r w:rsidRPr="00B433A3">
              <w:rPr>
                <w:sz w:val="20"/>
                <w:szCs w:val="20"/>
              </w:rPr>
              <w:t>11</w:t>
            </w:r>
            <w:r w:rsidR="00313E0A" w:rsidRPr="00B433A3">
              <w:rPr>
                <w:sz w:val="20"/>
                <w:szCs w:val="20"/>
              </w:rPr>
              <w:t> </w:t>
            </w:r>
            <w:r w:rsidRPr="00B433A3">
              <w:rPr>
                <w:sz w:val="20"/>
                <w:szCs w:val="20"/>
              </w:rPr>
              <w:t>décembre</w:t>
            </w:r>
            <w:r w:rsidRPr="00B433A3">
              <w:rPr>
                <w:sz w:val="20"/>
                <w:szCs w:val="20"/>
              </w:rPr>
              <w:br/>
              <w:t xml:space="preserve">en ligne Hémisphère </w:t>
            </w:r>
            <w:proofErr w:type="gramStart"/>
            <w:r w:rsidRPr="00B433A3">
              <w:rPr>
                <w:sz w:val="20"/>
                <w:szCs w:val="20"/>
              </w:rPr>
              <w:t>oriental:</w:t>
            </w:r>
            <w:proofErr w:type="gramEnd"/>
            <w:r w:rsidRPr="00B433A3">
              <w:rPr>
                <w:sz w:val="20"/>
                <w:szCs w:val="20"/>
              </w:rPr>
              <w:t xml:space="preserve"> matin</w:t>
            </w:r>
          </w:p>
          <w:p w14:paraId="0ACC3F31" w14:textId="4197DEC5" w:rsidR="005B6A9C" w:rsidRPr="00B433A3" w:rsidRDefault="005B6A9C" w:rsidP="00B8343E">
            <w:pPr>
              <w:pStyle w:val="Tabletext"/>
              <w:keepNext/>
              <w:keepLines/>
              <w:jc w:val="center"/>
              <w:cnfStyle w:val="000000100000" w:firstRow="0" w:lastRow="0" w:firstColumn="0" w:lastColumn="0" w:oddVBand="0" w:evenVBand="0" w:oddHBand="1" w:evenHBand="0" w:firstRowFirstColumn="0" w:firstRowLastColumn="0" w:lastRowFirstColumn="0" w:lastRowLastColumn="0"/>
              <w:rPr>
                <w:sz w:val="20"/>
                <w:szCs w:val="20"/>
              </w:rPr>
            </w:pPr>
            <w:r w:rsidRPr="00B433A3">
              <w:rPr>
                <w:sz w:val="20"/>
                <w:szCs w:val="20"/>
              </w:rPr>
              <w:t xml:space="preserve">Hémisphère </w:t>
            </w:r>
            <w:proofErr w:type="gramStart"/>
            <w:r w:rsidRPr="00B433A3">
              <w:rPr>
                <w:sz w:val="20"/>
                <w:szCs w:val="20"/>
              </w:rPr>
              <w:t>occidental:</w:t>
            </w:r>
            <w:proofErr w:type="gramEnd"/>
            <w:r w:rsidRPr="00B433A3">
              <w:rPr>
                <w:sz w:val="20"/>
                <w:szCs w:val="20"/>
              </w:rPr>
              <w:t xml:space="preserve"> après</w:t>
            </w:r>
            <w:r w:rsidR="00313E0A" w:rsidRPr="00B433A3">
              <w:rPr>
                <w:sz w:val="20"/>
                <w:szCs w:val="20"/>
              </w:rPr>
              <w:noBreakHyphen/>
            </w:r>
            <w:r w:rsidRPr="00B433A3">
              <w:rPr>
                <w:sz w:val="20"/>
                <w:szCs w:val="20"/>
              </w:rPr>
              <w:t>midi</w:t>
            </w:r>
          </w:p>
        </w:tc>
        <w:tc>
          <w:tcPr>
            <w:tcW w:w="1564" w:type="dxa"/>
            <w:tcBorders>
              <w:top w:val="single" w:sz="4" w:space="0" w:color="auto"/>
              <w:left w:val="single" w:sz="4" w:space="0" w:color="auto"/>
              <w:bottom w:val="single" w:sz="4" w:space="0" w:color="auto"/>
              <w:right w:val="single" w:sz="4" w:space="0" w:color="auto"/>
            </w:tcBorders>
          </w:tcPr>
          <w:p w14:paraId="58A0F3F8" w14:textId="77777777" w:rsidR="005B6A9C" w:rsidRPr="00B433A3" w:rsidRDefault="005B6A9C" w:rsidP="00B8343E">
            <w:pPr>
              <w:pStyle w:val="Tabletext"/>
              <w:keepNext/>
              <w:keepLines/>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14:paraId="31BC61A3" w14:textId="40A91AE8" w:rsidR="005B6A9C" w:rsidRPr="00B433A3" w:rsidRDefault="0063304E" w:rsidP="00B8343E">
            <w:pPr>
              <w:pStyle w:val="Tabletext"/>
              <w:keepNext/>
              <w:keepLines/>
              <w:jc w:val="center"/>
              <w:cnfStyle w:val="000000100000" w:firstRow="0" w:lastRow="0" w:firstColumn="0" w:lastColumn="0" w:oddVBand="0" w:evenVBand="0" w:oddHBand="1" w:evenHBand="0" w:firstRowFirstColumn="0" w:firstRowLastColumn="0" w:lastRowFirstColumn="0" w:lastRowLastColumn="0"/>
              <w:rPr>
                <w:sz w:val="20"/>
                <w:szCs w:val="20"/>
              </w:rPr>
            </w:pPr>
            <w:r w:rsidRPr="00B433A3">
              <w:rPr>
                <w:sz w:val="20"/>
                <w:szCs w:val="20"/>
              </w:rPr>
              <w:t>24-28 octobre</w:t>
            </w:r>
          </w:p>
        </w:tc>
        <w:tc>
          <w:tcPr>
            <w:tcW w:w="988" w:type="dxa"/>
            <w:tcBorders>
              <w:top w:val="single" w:sz="4" w:space="0" w:color="auto"/>
              <w:left w:val="single" w:sz="4" w:space="0" w:color="auto"/>
              <w:bottom w:val="single" w:sz="4" w:space="0" w:color="auto"/>
              <w:right w:val="single" w:sz="4" w:space="0" w:color="auto"/>
            </w:tcBorders>
          </w:tcPr>
          <w:p w14:paraId="22FA7D50" w14:textId="77777777" w:rsidR="005B6A9C" w:rsidRPr="00B433A3" w:rsidRDefault="005B6A9C" w:rsidP="00B8343E">
            <w:pPr>
              <w:pStyle w:val="Tabletext"/>
              <w:keepNext/>
              <w:keepLines/>
              <w:jc w:val="center"/>
              <w:cnfStyle w:val="000000100000" w:firstRow="0" w:lastRow="0" w:firstColumn="0" w:lastColumn="0" w:oddVBand="0" w:evenVBand="0" w:oddHBand="1" w:evenHBand="0" w:firstRowFirstColumn="0" w:firstRowLastColumn="0" w:lastRowFirstColumn="0" w:lastRowLastColumn="0"/>
              <w:rPr>
                <w:sz w:val="20"/>
                <w:szCs w:val="20"/>
              </w:rPr>
            </w:pPr>
          </w:p>
        </w:tc>
      </w:tr>
    </w:tbl>
    <w:p w14:paraId="47B557B5" w14:textId="77777777" w:rsidR="005B6A9C" w:rsidRPr="00B433A3" w:rsidRDefault="005B6A9C" w:rsidP="00B8343E">
      <w:pPr>
        <w:spacing w:before="240"/>
        <w:rPr>
          <w:szCs w:val="24"/>
        </w:rPr>
      </w:pPr>
      <w:r w:rsidRPr="00B433A3">
        <w:rPr>
          <w:szCs w:val="24"/>
        </w:rPr>
        <w:t>Comme lors des périodes précédentes, afin d'optimiser les ressources nécessaires, le calendrier ci</w:t>
      </w:r>
      <w:r w:rsidRPr="00B433A3">
        <w:rPr>
          <w:szCs w:val="24"/>
        </w:rPr>
        <w:noBreakHyphen/>
        <w:t xml:space="preserve">dessus est établi selon les principes </w:t>
      </w:r>
      <w:proofErr w:type="gramStart"/>
      <w:r w:rsidRPr="00B433A3">
        <w:rPr>
          <w:szCs w:val="24"/>
        </w:rPr>
        <w:t>suivants:</w:t>
      </w:r>
      <w:proofErr w:type="gramEnd"/>
    </w:p>
    <w:p w14:paraId="12F28DB4" w14:textId="553EFA22" w:rsidR="005B6A9C" w:rsidRPr="00B433A3" w:rsidRDefault="00467932" w:rsidP="00B8343E">
      <w:pPr>
        <w:pStyle w:val="enumlev1"/>
      </w:pPr>
      <w:r w:rsidRPr="00B433A3">
        <w:t>–</w:t>
      </w:r>
      <w:r w:rsidR="005B6A9C" w:rsidRPr="00B433A3">
        <w:tab/>
        <w:t xml:space="preserve">1er semestre de </w:t>
      </w:r>
      <w:proofErr w:type="gramStart"/>
      <w:r w:rsidR="005B6A9C" w:rsidRPr="00B433A3">
        <w:t>2020:</w:t>
      </w:r>
      <w:proofErr w:type="gramEnd"/>
      <w:r w:rsidR="005B6A9C" w:rsidRPr="00B433A3">
        <w:t xml:space="preserve"> aucun séminaire RRS/WRS, mise à jour du RR et des outils logiciels associés.</w:t>
      </w:r>
    </w:p>
    <w:p w14:paraId="7E32E8C9" w14:textId="11A288B5" w:rsidR="005B6A9C" w:rsidRPr="00B433A3" w:rsidRDefault="00467932" w:rsidP="00B8343E">
      <w:pPr>
        <w:pStyle w:val="enumlev1"/>
      </w:pPr>
      <w:r w:rsidRPr="00B433A3">
        <w:t>–</w:t>
      </w:r>
      <w:r w:rsidR="005B6A9C" w:rsidRPr="00B433A3">
        <w:tab/>
        <w:t xml:space="preserve">2ème semestre de </w:t>
      </w:r>
      <w:proofErr w:type="gramStart"/>
      <w:r w:rsidR="005B6A9C" w:rsidRPr="00B433A3">
        <w:t>2023:</w:t>
      </w:r>
      <w:proofErr w:type="gramEnd"/>
      <w:r w:rsidR="005B6A9C" w:rsidRPr="00B433A3">
        <w:t xml:space="preserve"> aucun séminaire RRS/WRS, préparation de la CMR-23 à venir.</w:t>
      </w:r>
    </w:p>
    <w:p w14:paraId="02196248" w14:textId="335C7BA8" w:rsidR="005B6A9C" w:rsidRPr="00B433A3" w:rsidRDefault="00467932" w:rsidP="00B8343E">
      <w:pPr>
        <w:pStyle w:val="enumlev1"/>
        <w:rPr>
          <w:szCs w:val="24"/>
        </w:rPr>
      </w:pPr>
      <w:r w:rsidRPr="00B433A3">
        <w:t>–</w:t>
      </w:r>
      <w:r w:rsidR="005B6A9C" w:rsidRPr="00B433A3">
        <w:tab/>
        <w:t>Deux séminaires WRS seront organisés pendant la période (tous les deux ans</w:t>
      </w:r>
      <w:proofErr w:type="gramStart"/>
      <w:r w:rsidR="005B6A9C" w:rsidRPr="00B433A3">
        <w:t>):</w:t>
      </w:r>
      <w:proofErr w:type="gramEnd"/>
      <w:r w:rsidR="005B6A9C" w:rsidRPr="00B433A3">
        <w:t xml:space="preserve"> </w:t>
      </w:r>
      <w:r w:rsidR="005B6A9C" w:rsidRPr="00B433A3">
        <w:rPr>
          <w:szCs w:val="24"/>
        </w:rPr>
        <w:t>WRS-20 et WRS-22.</w:t>
      </w:r>
    </w:p>
    <w:p w14:paraId="22DC0FFE" w14:textId="7899685C" w:rsidR="005B6A9C" w:rsidRPr="00B433A3" w:rsidRDefault="00467932" w:rsidP="00B8343E">
      <w:pPr>
        <w:pStyle w:val="enumlev1"/>
      </w:pPr>
      <w:bookmarkStart w:id="170" w:name="lt_pId1191"/>
      <w:r w:rsidRPr="00B433A3">
        <w:t>–</w:t>
      </w:r>
      <w:r w:rsidR="005B6A9C" w:rsidRPr="00B433A3">
        <w:tab/>
        <w:t>Le premier séminaire WRS suivant une CMR (WRS-20) a compris une session spéciale au cours de laquelle les modifications apportées au RR par la CMR ont été expliquées de manière détaillée.</w:t>
      </w:r>
      <w:bookmarkEnd w:id="170"/>
    </w:p>
    <w:p w14:paraId="05B5C209" w14:textId="77777777" w:rsidR="00B1049D" w:rsidRDefault="00B1049D" w:rsidP="00B8343E">
      <w:pPr>
        <w:pStyle w:val="enumlev1"/>
      </w:pPr>
      <w:bookmarkStart w:id="171" w:name="lt_pId1192"/>
      <w:r>
        <w:br w:type="page"/>
      </w:r>
    </w:p>
    <w:p w14:paraId="6F5E40B7" w14:textId="41EEEAE2" w:rsidR="005B6A9C" w:rsidRPr="00B433A3" w:rsidRDefault="00467932" w:rsidP="00B8343E">
      <w:pPr>
        <w:pStyle w:val="enumlev1"/>
      </w:pPr>
      <w:r w:rsidRPr="00B433A3">
        <w:lastRenderedPageBreak/>
        <w:t>–</w:t>
      </w:r>
      <w:r w:rsidR="005B6A9C" w:rsidRPr="00B433A3">
        <w:tab/>
        <w:t>Les deux séminaires RRS pour l'Afrique ne se tiennent pas la même année qu</w:t>
      </w:r>
      <w:r w:rsidR="00EB25D9" w:rsidRPr="00B433A3">
        <w:t>e le séminaire </w:t>
      </w:r>
      <w:r w:rsidR="005B6A9C" w:rsidRPr="00B433A3">
        <w:t>WRS, étant donné que la participation aux séminaires RRS pour l'Afrique est près de deux fois supérieure à celle des autres séminaires RRS, et afin de tenir compte de la nécessité d'assurer une répartition uniforme du budget alloué aux bourses.</w:t>
      </w:r>
      <w:bookmarkEnd w:id="171"/>
    </w:p>
    <w:p w14:paraId="0DE59B3A" w14:textId="609A435E" w:rsidR="005B6A9C" w:rsidRPr="00B433A3" w:rsidRDefault="00467932" w:rsidP="00B8343E">
      <w:pPr>
        <w:pStyle w:val="enumlev1"/>
      </w:pPr>
      <w:bookmarkStart w:id="172" w:name="lt_pId1194"/>
      <w:r w:rsidRPr="00B433A3">
        <w:t>–</w:t>
      </w:r>
      <w:r w:rsidR="005B6A9C" w:rsidRPr="00B433A3">
        <w:tab/>
        <w:t>Les séminaires RRS se déroulent dans la ou les langues principales de la région, ce qui permettra de réduire les coûts liés à l'interprétation et de faciliter l'échange d'informations pendant la manifestation.</w:t>
      </w:r>
      <w:bookmarkEnd w:id="172"/>
    </w:p>
    <w:p w14:paraId="3C80C588" w14:textId="2F97AC3A" w:rsidR="005B6A9C" w:rsidRPr="00B433A3" w:rsidRDefault="00467932" w:rsidP="00B8343E">
      <w:pPr>
        <w:pStyle w:val="enumlev1"/>
      </w:pPr>
      <w:bookmarkStart w:id="173" w:name="lt_pId1195"/>
      <w:r w:rsidRPr="00B433A3">
        <w:t>–</w:t>
      </w:r>
      <w:r w:rsidR="005B6A9C" w:rsidRPr="00B433A3">
        <w:tab/>
        <w:t>Les programmes des séminaires RRS sont adaptés aux besoins particuliers de la région concernée.</w:t>
      </w:r>
      <w:bookmarkEnd w:id="173"/>
    </w:p>
    <w:p w14:paraId="3326B47E" w14:textId="4E496492" w:rsidR="005B6A9C" w:rsidRPr="00B433A3" w:rsidRDefault="00467932" w:rsidP="00B8343E">
      <w:pPr>
        <w:pStyle w:val="enumlev1"/>
      </w:pPr>
      <w:bookmarkStart w:id="174" w:name="lt_pId1196"/>
      <w:r w:rsidRPr="00B433A3">
        <w:t>–</w:t>
      </w:r>
      <w:r w:rsidR="005B6A9C" w:rsidRPr="00B433A3">
        <w:tab/>
        <w:t>Le(s) dernier(s) jour(s) de chaque séminaire RRS, une séance de type</w:t>
      </w:r>
      <w:proofErr w:type="gramStart"/>
      <w:r w:rsidR="005B6A9C" w:rsidRPr="00B433A3">
        <w:t xml:space="preserve"> «forum</w:t>
      </w:r>
      <w:proofErr w:type="gramEnd"/>
      <w:r w:rsidR="005B6A9C" w:rsidRPr="00B433A3">
        <w:t>» est organisée, au cours de laquelle des intervenants extérieurs à la région peuvent être invités à élargir le champ des discussions (il faudra peut-être prévoir des services d'interprétation de/vers l'anglais pour ces journées).</w:t>
      </w:r>
      <w:bookmarkEnd w:id="174"/>
    </w:p>
    <w:p w14:paraId="6EE7278D" w14:textId="4B2DD08D" w:rsidR="005B6A9C" w:rsidRPr="00B433A3" w:rsidRDefault="005B6A9C" w:rsidP="00B8343E">
      <w:pPr>
        <w:rPr>
          <w:szCs w:val="24"/>
        </w:rPr>
      </w:pPr>
      <w:r w:rsidRPr="00B433A3">
        <w:rPr>
          <w:szCs w:val="24"/>
        </w:rPr>
        <w:t>Le programme ci-dessus a été dûment coordonné et adapté en collaboration avec les Bureaux régionaux de l'UIT</w:t>
      </w:r>
      <w:r w:rsidRPr="00B433A3">
        <w:t xml:space="preserve"> ainsi qu'avec les groupes régionaux compétents</w:t>
      </w:r>
      <w:r w:rsidRPr="00B433A3">
        <w:rPr>
          <w:szCs w:val="24"/>
        </w:rPr>
        <w:t xml:space="preserve">, compte tenu des difficultés liées à la crise actuelle et des changements de format (manifestations en ligne) qui en résultent, ainsi que des incidences pour le personnel de l'UIT concerné (BR et bureaux régionaux). </w:t>
      </w:r>
    </w:p>
    <w:p w14:paraId="7A030694" w14:textId="77777777" w:rsidR="005B6A9C" w:rsidRPr="00B433A3" w:rsidRDefault="005B6A9C" w:rsidP="00B8343E">
      <w:pPr>
        <w:pStyle w:val="Heading3"/>
      </w:pPr>
      <w:bookmarkStart w:id="175" w:name="_Toc424047602"/>
      <w:bookmarkStart w:id="176" w:name="_Toc446060784"/>
      <w:r w:rsidRPr="00B433A3">
        <w:t>8.2.1</w:t>
      </w:r>
      <w:r w:rsidRPr="00B433A3">
        <w:tab/>
      </w:r>
      <w:bookmarkStart w:id="177" w:name="lt_pId1044"/>
      <w:bookmarkEnd w:id="175"/>
      <w:bookmarkEnd w:id="176"/>
      <w:r w:rsidRPr="00B433A3">
        <w:t>Séminaires mondiaux des radiocommunications (WRS)</w:t>
      </w:r>
      <w:bookmarkEnd w:id="177"/>
    </w:p>
    <w:p w14:paraId="6120572C" w14:textId="4B0A73C9" w:rsidR="005B6A9C" w:rsidRPr="00B433A3" w:rsidRDefault="005B6A9C" w:rsidP="00B8343E">
      <w:pPr>
        <w:rPr>
          <w:szCs w:val="24"/>
        </w:rPr>
      </w:pPr>
      <w:r w:rsidRPr="00B433A3">
        <w:rPr>
          <w:szCs w:val="24"/>
        </w:rPr>
        <w:t>Dans le cadre des séminaires WRS/RRS prévus pour la période 2020-2023, le séminaire WRS-20 a été organisé en décembre 2020 sous forme entièrement virtuelle</w:t>
      </w:r>
      <w:r w:rsidR="00897995" w:rsidRPr="00B433A3">
        <w:rPr>
          <w:szCs w:val="24"/>
        </w:rPr>
        <w:t xml:space="preserve"> pendant deux semaines</w:t>
      </w:r>
      <w:r w:rsidRPr="00B433A3">
        <w:rPr>
          <w:szCs w:val="24"/>
        </w:rPr>
        <w:t>, les séances plénières tenues pendant la première semaine étant ouvertes à tous les participants. En 2021, le BR a fait une sélection du contenu des séances plénières du séminaire WRS-20 et présenté celle-ci sur le site web de l'UIT-R sous la forme d</w:t>
      </w:r>
      <w:r w:rsidR="006D4AC5" w:rsidRPr="00B433A3">
        <w:rPr>
          <w:szCs w:val="24"/>
        </w:rPr>
        <w:t>'</w:t>
      </w:r>
      <w:r w:rsidRPr="00B433A3">
        <w:rPr>
          <w:szCs w:val="24"/>
        </w:rPr>
        <w:t xml:space="preserve">un séminaire à la demande </w:t>
      </w:r>
      <w:proofErr w:type="gramStart"/>
      <w:r w:rsidRPr="00B433A3">
        <w:rPr>
          <w:szCs w:val="24"/>
        </w:rPr>
        <w:t>(</w:t>
      </w:r>
      <w:r w:rsidR="006D4AC5" w:rsidRPr="00B433A3">
        <w:t>«</w:t>
      </w:r>
      <w:r w:rsidRPr="00B433A3">
        <w:rPr>
          <w:szCs w:val="24"/>
        </w:rPr>
        <w:t>Best</w:t>
      </w:r>
      <w:proofErr w:type="gramEnd"/>
      <w:r w:rsidRPr="00B433A3">
        <w:rPr>
          <w:szCs w:val="24"/>
        </w:rPr>
        <w:t xml:space="preserve"> of WRS20</w:t>
      </w:r>
      <w:r w:rsidR="006D4AC5" w:rsidRPr="00B433A3">
        <w:rPr>
          <w:szCs w:val="24"/>
        </w:rPr>
        <w:t>»</w:t>
      </w:r>
      <w:r w:rsidRPr="00B433A3">
        <w:rPr>
          <w:szCs w:val="24"/>
        </w:rPr>
        <w:t xml:space="preserve">) à l'adresse https://www.itu.int/bestofwrs/. Cette page web </w:t>
      </w:r>
      <w:r w:rsidR="005B64C8" w:rsidRPr="00B433A3">
        <w:rPr>
          <w:szCs w:val="24"/>
        </w:rPr>
        <w:t xml:space="preserve">BoWRS20 </w:t>
      </w:r>
      <w:r w:rsidRPr="00B433A3">
        <w:rPr>
          <w:szCs w:val="24"/>
        </w:rPr>
        <w:t xml:space="preserve">propose une </w:t>
      </w:r>
      <w:hyperlink r:id="rId39" w:history="1">
        <w:r w:rsidRPr="00B433A3">
          <w:rPr>
            <w:rStyle w:val="Hyperlink"/>
            <w:szCs w:val="24"/>
          </w:rPr>
          <w:t>bibliothèque</w:t>
        </w:r>
      </w:hyperlink>
      <w:r w:rsidRPr="00B433A3">
        <w:rPr>
          <w:szCs w:val="24"/>
        </w:rPr>
        <w:t xml:space="preserve"> donnant accès à l</w:t>
      </w:r>
      <w:r w:rsidR="006D4AC5" w:rsidRPr="00B433A3">
        <w:rPr>
          <w:szCs w:val="24"/>
        </w:rPr>
        <w:t>'</w:t>
      </w:r>
      <w:r w:rsidRPr="00B433A3">
        <w:rPr>
          <w:szCs w:val="24"/>
        </w:rPr>
        <w:t>ensemble des documents, ainsi qu</w:t>
      </w:r>
      <w:r w:rsidR="006D4AC5" w:rsidRPr="00B433A3">
        <w:rPr>
          <w:szCs w:val="24"/>
        </w:rPr>
        <w:t>'</w:t>
      </w:r>
      <w:r w:rsidRPr="00B433A3">
        <w:rPr>
          <w:szCs w:val="24"/>
        </w:rPr>
        <w:t xml:space="preserve">à des liens vers chacune des séances virtuelles </w:t>
      </w:r>
      <w:proofErr w:type="gramStart"/>
      <w:r w:rsidRPr="00B433A3">
        <w:rPr>
          <w:szCs w:val="24"/>
        </w:rPr>
        <w:t>suivantes</w:t>
      </w:r>
      <w:r w:rsidR="00A11F6E" w:rsidRPr="00B433A3">
        <w:rPr>
          <w:szCs w:val="24"/>
        </w:rPr>
        <w:t>:</w:t>
      </w:r>
      <w:proofErr w:type="gramEnd"/>
    </w:p>
    <w:p w14:paraId="30BD1EA8" w14:textId="6587F71A" w:rsidR="005B6A9C" w:rsidRPr="00B433A3" w:rsidRDefault="00A11F6E" w:rsidP="00B8343E">
      <w:pPr>
        <w:rPr>
          <w:szCs w:val="24"/>
        </w:rPr>
      </w:pPr>
      <w:r w:rsidRPr="00B433A3">
        <w:rPr>
          <w:szCs w:val="24"/>
        </w:rPr>
        <w:t>•</w:t>
      </w:r>
      <w:r w:rsidR="00467932" w:rsidRPr="00B433A3">
        <w:rPr>
          <w:szCs w:val="24"/>
        </w:rPr>
        <w:tab/>
      </w:r>
      <w:hyperlink r:id="rId40" w:history="1">
        <w:r w:rsidR="005B6A9C" w:rsidRPr="00B433A3">
          <w:rPr>
            <w:rStyle w:val="Hyperlink"/>
            <w:szCs w:val="24"/>
          </w:rPr>
          <w:t>Aperçu général</w:t>
        </w:r>
      </w:hyperlink>
    </w:p>
    <w:p w14:paraId="624DED8B" w14:textId="2372E92F" w:rsidR="005B6A9C" w:rsidRPr="00B433A3" w:rsidRDefault="00A11F6E" w:rsidP="00B8343E">
      <w:pPr>
        <w:rPr>
          <w:szCs w:val="24"/>
        </w:rPr>
      </w:pPr>
      <w:r w:rsidRPr="00B433A3">
        <w:rPr>
          <w:szCs w:val="24"/>
        </w:rPr>
        <w:t>•</w:t>
      </w:r>
      <w:r w:rsidR="00467932" w:rsidRPr="00B433A3">
        <w:rPr>
          <w:szCs w:val="24"/>
        </w:rPr>
        <w:tab/>
      </w:r>
      <w:hyperlink r:id="rId41" w:history="1">
        <w:r w:rsidR="005B6A9C" w:rsidRPr="00B433A3">
          <w:rPr>
            <w:rStyle w:val="Hyperlink"/>
            <w:szCs w:val="24"/>
          </w:rPr>
          <w:t>Règlement des radiocommunications</w:t>
        </w:r>
      </w:hyperlink>
    </w:p>
    <w:p w14:paraId="629ED785" w14:textId="6E74CE8D" w:rsidR="005B6A9C" w:rsidRPr="00B433A3" w:rsidRDefault="00A11F6E" w:rsidP="00B8343E">
      <w:pPr>
        <w:rPr>
          <w:szCs w:val="24"/>
        </w:rPr>
      </w:pPr>
      <w:r w:rsidRPr="00B433A3">
        <w:rPr>
          <w:szCs w:val="24"/>
        </w:rPr>
        <w:t>•</w:t>
      </w:r>
      <w:r w:rsidR="00467932" w:rsidRPr="00B433A3">
        <w:rPr>
          <w:szCs w:val="24"/>
        </w:rPr>
        <w:tab/>
      </w:r>
      <w:hyperlink r:id="rId42" w:history="1">
        <w:r w:rsidR="005B6A9C" w:rsidRPr="00B433A3">
          <w:rPr>
            <w:rStyle w:val="Hyperlink"/>
            <w:szCs w:val="24"/>
          </w:rPr>
          <w:t xml:space="preserve">Services </w:t>
        </w:r>
        <w:r w:rsidR="005B64C8" w:rsidRPr="00B433A3">
          <w:rPr>
            <w:rStyle w:val="Hyperlink"/>
            <w:szCs w:val="24"/>
          </w:rPr>
          <w:t>de Terre</w:t>
        </w:r>
      </w:hyperlink>
    </w:p>
    <w:p w14:paraId="02BEE3FC" w14:textId="002090A9" w:rsidR="005B6A9C" w:rsidRPr="00B433A3" w:rsidRDefault="00A11F6E" w:rsidP="00B8343E">
      <w:pPr>
        <w:rPr>
          <w:szCs w:val="24"/>
        </w:rPr>
      </w:pPr>
      <w:r w:rsidRPr="00B433A3">
        <w:rPr>
          <w:szCs w:val="24"/>
        </w:rPr>
        <w:t>•</w:t>
      </w:r>
      <w:r w:rsidR="00467932" w:rsidRPr="00B433A3">
        <w:rPr>
          <w:szCs w:val="24"/>
        </w:rPr>
        <w:tab/>
      </w:r>
      <w:hyperlink r:id="rId43" w:history="1">
        <w:r w:rsidR="005B6A9C" w:rsidRPr="00B433A3">
          <w:rPr>
            <w:rStyle w:val="Hyperlink"/>
            <w:szCs w:val="24"/>
          </w:rPr>
          <w:t>Services spatiaux</w:t>
        </w:r>
      </w:hyperlink>
    </w:p>
    <w:p w14:paraId="703CE5C7" w14:textId="2F6A3D79" w:rsidR="005B6A9C" w:rsidRPr="00B433A3" w:rsidRDefault="00A11F6E" w:rsidP="00B8343E">
      <w:pPr>
        <w:rPr>
          <w:szCs w:val="24"/>
        </w:rPr>
      </w:pPr>
      <w:r w:rsidRPr="00B433A3">
        <w:rPr>
          <w:szCs w:val="24"/>
        </w:rPr>
        <w:t>•</w:t>
      </w:r>
      <w:r w:rsidR="00467932" w:rsidRPr="00B433A3">
        <w:rPr>
          <w:szCs w:val="24"/>
        </w:rPr>
        <w:tab/>
      </w:r>
      <w:hyperlink r:id="rId44" w:history="1">
        <w:r w:rsidR="005B6A9C" w:rsidRPr="00B433A3">
          <w:rPr>
            <w:rStyle w:val="Hyperlink"/>
            <w:szCs w:val="24"/>
          </w:rPr>
          <w:t>Commissions d'études de l'UIT-R</w:t>
        </w:r>
      </w:hyperlink>
    </w:p>
    <w:p w14:paraId="6B47FC14" w14:textId="429D0305" w:rsidR="005B6A9C" w:rsidRPr="00B433A3" w:rsidRDefault="005B6A9C" w:rsidP="00B8343E">
      <w:pPr>
        <w:rPr>
          <w:szCs w:val="24"/>
        </w:rPr>
      </w:pPr>
      <w:r w:rsidRPr="00B433A3">
        <w:rPr>
          <w:szCs w:val="24"/>
        </w:rPr>
        <w:t xml:space="preserve">Chaque séance virtuelle donne accès aux vidéos, dans les six langues de l'UIT, et aux exposés téléchargeables du séminaire WRS-20. </w:t>
      </w:r>
      <w:r w:rsidR="00013ECB" w:rsidRPr="00B433A3">
        <w:rPr>
          <w:szCs w:val="24"/>
        </w:rPr>
        <w:t xml:space="preserve">La </w:t>
      </w:r>
      <w:r w:rsidRPr="00B433A3">
        <w:rPr>
          <w:szCs w:val="24"/>
        </w:rPr>
        <w:t>manifest</w:t>
      </w:r>
      <w:r w:rsidR="00013ECB" w:rsidRPr="00B433A3">
        <w:rPr>
          <w:szCs w:val="24"/>
        </w:rPr>
        <w:t>ation de lancement du Réseau de</w:t>
      </w:r>
      <w:r w:rsidR="00B1049D">
        <w:rPr>
          <w:szCs w:val="24"/>
        </w:rPr>
        <w:t xml:space="preserve"> femmes pour la </w:t>
      </w:r>
      <w:r w:rsidRPr="00B433A3">
        <w:rPr>
          <w:szCs w:val="24"/>
        </w:rPr>
        <w:t>CMR-23 (NOW4WRC23) peut aussi ê</w:t>
      </w:r>
      <w:r w:rsidR="00B1049D">
        <w:rPr>
          <w:szCs w:val="24"/>
        </w:rPr>
        <w:t>tre visionnée sur la page web</w:t>
      </w:r>
      <w:proofErr w:type="gramStart"/>
      <w:r w:rsidR="00B1049D">
        <w:rPr>
          <w:szCs w:val="24"/>
        </w:rPr>
        <w:t xml:space="preserve"> «Best</w:t>
      </w:r>
      <w:proofErr w:type="gramEnd"/>
      <w:r w:rsidR="00B1049D">
        <w:rPr>
          <w:szCs w:val="24"/>
        </w:rPr>
        <w:t xml:space="preserve"> of WRS20</w:t>
      </w:r>
      <w:r w:rsidRPr="00B433A3">
        <w:rPr>
          <w:szCs w:val="24"/>
        </w:rPr>
        <w:t xml:space="preserve">». Pour faciliter la réutilisation et la redistribution de la sélection des meilleurs documents et supports proposés sur cette page web, ces éléments sont publiés sous </w:t>
      </w:r>
      <w:hyperlink r:id="rId45" w:history="1">
        <w:r w:rsidRPr="00B433A3">
          <w:rPr>
            <w:rStyle w:val="Hyperlink"/>
            <w:szCs w:val="24"/>
          </w:rPr>
          <w:t>licen</w:t>
        </w:r>
        <w:r w:rsidR="00A11F6E" w:rsidRPr="00B433A3">
          <w:rPr>
            <w:rStyle w:val="Hyperlink"/>
            <w:szCs w:val="24"/>
          </w:rPr>
          <w:t>ce Creative Commons Attribution </w:t>
        </w:r>
        <w:r w:rsidRPr="00B433A3">
          <w:rPr>
            <w:rStyle w:val="Hyperlink"/>
            <w:szCs w:val="24"/>
          </w:rPr>
          <w:t>3.0 IGO</w:t>
        </w:r>
      </w:hyperlink>
      <w:r w:rsidRPr="00B433A3">
        <w:rPr>
          <w:szCs w:val="24"/>
        </w:rPr>
        <w:t>.</w:t>
      </w:r>
    </w:p>
    <w:p w14:paraId="6D34C733" w14:textId="77777777" w:rsidR="005B6A9C" w:rsidRPr="00B433A3" w:rsidRDefault="005B6A9C" w:rsidP="00D3023F">
      <w:pPr>
        <w:pStyle w:val="Heading3"/>
        <w:keepNext w:val="0"/>
        <w:keepLines w:val="0"/>
      </w:pPr>
      <w:r w:rsidRPr="00B433A3">
        <w:t>8.2.2</w:t>
      </w:r>
      <w:r w:rsidRPr="00B433A3">
        <w:tab/>
      </w:r>
      <w:bookmarkStart w:id="178" w:name="lt_pId1053"/>
      <w:r w:rsidRPr="00B433A3">
        <w:t>Séminaires régionaux des radiocommunications (RRS)</w:t>
      </w:r>
      <w:bookmarkEnd w:id="178"/>
    </w:p>
    <w:p w14:paraId="1CCAE132" w14:textId="77777777" w:rsidR="005B6A9C" w:rsidRPr="00B433A3" w:rsidRDefault="005B6A9C" w:rsidP="00D3023F">
      <w:bookmarkStart w:id="179" w:name="lt_pId1054"/>
      <w:r w:rsidRPr="00B433A3">
        <w:t>En complément des séminaires mondiaux des radiocommunications qui se tiennent tous les deux ans, le BR a continué d'organiser, dans le cadre d'une stratégie de sensibilisation sur le plan régional, des séminaires régionaux des radiocommunications (RRS) dans les différentes régions du monde, en vue de promouvoir le renforcement des capacités humaines en ce qui concerne l'utilisation du spectre des fréquences radioélectriques et des orbites de satellites et, en particulier, l'application des dispositions du Règlement des radiocommunications de l'UIT.</w:t>
      </w:r>
      <w:bookmarkEnd w:id="179"/>
    </w:p>
    <w:p w14:paraId="2E2E03C5" w14:textId="77777777" w:rsidR="005B6A9C" w:rsidRPr="00B433A3" w:rsidRDefault="005B6A9C" w:rsidP="00B8343E">
      <w:bookmarkStart w:id="180" w:name="lt_pId1055"/>
      <w:r w:rsidRPr="00B433A3">
        <w:lastRenderedPageBreak/>
        <w:t xml:space="preserve">Ces séminaires sont organisés conjointement avec l'autorité chargée de la gestion du spectre des pays hôtes, en coopération étroite avec les organisations régionales concernées et les bureaux régionaux ou bureaux de zone de l'UIT. </w:t>
      </w:r>
      <w:bookmarkEnd w:id="180"/>
      <w:r w:rsidRPr="00B433A3">
        <w:t xml:space="preserve">Le programme de ces séminaires comporte un volet technique, d'une durée de deux jours, et des ateliers d'une durée d'un ou deux jours consacrés aux services de Terre et aux services spatiaux. </w:t>
      </w:r>
      <w:bookmarkStart w:id="181" w:name="lt_pId1057"/>
      <w:r w:rsidRPr="00B433A3">
        <w:t>Ces séminaires sont complétés par un forum d'un ou deux jours partant sur des questions relatives au spectre qui présentent un intérêt particulier pour la région.</w:t>
      </w:r>
      <w:bookmarkEnd w:id="181"/>
      <w:r w:rsidRPr="00B433A3">
        <w:t xml:space="preserve"> </w:t>
      </w:r>
    </w:p>
    <w:p w14:paraId="365376C8" w14:textId="77777777" w:rsidR="005B6A9C" w:rsidRPr="00B433A3" w:rsidRDefault="005B6A9C" w:rsidP="00B8343E">
      <w:pPr>
        <w:rPr>
          <w:szCs w:val="24"/>
        </w:rPr>
      </w:pPr>
      <w:r w:rsidRPr="00B433A3">
        <w:rPr>
          <w:szCs w:val="24"/>
        </w:rPr>
        <w:t xml:space="preserve">En 2021, trois séminaires RRS ont été </w:t>
      </w:r>
      <w:proofErr w:type="gramStart"/>
      <w:r w:rsidRPr="00B433A3">
        <w:rPr>
          <w:szCs w:val="24"/>
        </w:rPr>
        <w:t>organisés:</w:t>
      </w:r>
      <w:proofErr w:type="gramEnd"/>
    </w:p>
    <w:p w14:paraId="3B00A4CF" w14:textId="77777777" w:rsidR="005B6A9C" w:rsidRPr="00B433A3" w:rsidRDefault="005B6A9C" w:rsidP="00B8343E">
      <w:pPr>
        <w:pStyle w:val="enumlev1"/>
        <w:rPr>
          <w:b/>
          <w:bCs/>
        </w:rPr>
      </w:pPr>
      <w:r w:rsidRPr="00B433A3">
        <w:t>•</w:t>
      </w:r>
      <w:r w:rsidRPr="00B433A3">
        <w:tab/>
      </w:r>
      <w:r w:rsidRPr="00B433A3">
        <w:rPr>
          <w:b/>
          <w:bCs/>
        </w:rPr>
        <w:t>Séminaire régional des radiocommunications de 2021 de l'UIT pour la région Amériques (RRS</w:t>
      </w:r>
      <w:r w:rsidRPr="00B433A3">
        <w:rPr>
          <w:b/>
          <w:bCs/>
        </w:rPr>
        <w:noBreakHyphen/>
        <w:t>21-Amériques)</w:t>
      </w:r>
    </w:p>
    <w:p w14:paraId="22BF5DFC" w14:textId="5589E34F" w:rsidR="005B6A9C" w:rsidRPr="00B433A3" w:rsidRDefault="005B6A9C" w:rsidP="00B8343E">
      <w:pPr>
        <w:rPr>
          <w:szCs w:val="24"/>
        </w:rPr>
      </w:pPr>
      <w:r w:rsidRPr="00B433A3">
        <w:t>Le séminaire régional des radiocommunications de 2021 de l'UIT pour la région Amériques (RRS</w:t>
      </w:r>
      <w:r w:rsidRPr="00B433A3">
        <w:noBreakHyphen/>
        <w:t xml:space="preserve">21-Amériques) a été organisé par l'UIT (BR et Bureau pour la région </w:t>
      </w:r>
      <w:r w:rsidRPr="00B433A3">
        <w:rPr>
          <w:bCs/>
        </w:rPr>
        <w:t xml:space="preserve">Amériques) </w:t>
      </w:r>
      <w:r w:rsidRPr="00B433A3">
        <w:t>en collaboration avec la Commission interaméricaine des télécommunications (CITEL)</w:t>
      </w:r>
      <w:r w:rsidRPr="00B433A3">
        <w:rPr>
          <w:szCs w:val="24"/>
        </w:rPr>
        <w:t xml:space="preserve"> et </w:t>
      </w:r>
      <w:r w:rsidRPr="00B433A3">
        <w:t>l'Agence nationale du spectre de la Colombie (ANE) du 26 avril au 7 mai 2021</w:t>
      </w:r>
      <w:r w:rsidRPr="00B433A3">
        <w:rPr>
          <w:szCs w:val="24"/>
        </w:rPr>
        <w:t>. Le séminaire s'est tenu en ligne, avec des séances quotidiennes de trois heures, pendant les jours ouvrables uniquement.</w:t>
      </w:r>
    </w:p>
    <w:p w14:paraId="22855CA6" w14:textId="1224D7BC" w:rsidR="005B6A9C" w:rsidRPr="00B433A3" w:rsidRDefault="005B6A9C" w:rsidP="00B8343E">
      <w:pPr>
        <w:rPr>
          <w:szCs w:val="24"/>
        </w:rPr>
      </w:pPr>
      <w:r w:rsidRPr="00B433A3">
        <w:rPr>
          <w:szCs w:val="24"/>
        </w:rPr>
        <w:t>Une licence Zoom de l'UIT a été utilisée pour mener la réunion en ligne. Compte tenu du décalage horaire avec la région, les sessions se sont déroulées de 8 h 00 à 11 h 15 (heure des Caraïbes,</w:t>
      </w:r>
      <w:r w:rsidR="009F63E3" w:rsidRPr="00B433A3">
        <w:rPr>
          <w:szCs w:val="24"/>
        </w:rPr>
        <w:t xml:space="preserve"> </w:t>
      </w:r>
      <w:r w:rsidRPr="00B433A3">
        <w:rPr>
          <w:szCs w:val="24"/>
        </w:rPr>
        <w:t>UTC</w:t>
      </w:r>
      <w:r w:rsidR="009F63E3" w:rsidRPr="00B433A3">
        <w:rPr>
          <w:szCs w:val="24"/>
        </w:rPr>
        <w:t> </w:t>
      </w:r>
      <w:r w:rsidR="009F63E3" w:rsidRPr="00B433A3">
        <w:rPr>
          <w:szCs w:val="24"/>
        </w:rPr>
        <w:sym w:font="Symbol" w:char="F02D"/>
      </w:r>
      <w:r w:rsidR="007D4536" w:rsidRPr="00B433A3">
        <w:rPr>
          <w:szCs w:val="24"/>
        </w:rPr>
        <w:t xml:space="preserve"> </w:t>
      </w:r>
      <w:r w:rsidRPr="00B433A3">
        <w:rPr>
          <w:szCs w:val="24"/>
        </w:rPr>
        <w:t>5H), soit de 14 h 00 à 17 h 15, heure de Genève (heure d'été).</w:t>
      </w:r>
    </w:p>
    <w:p w14:paraId="71400672" w14:textId="3B675BF3" w:rsidR="005B6A9C" w:rsidRPr="00B433A3" w:rsidRDefault="005B6A9C" w:rsidP="00B8343E">
      <w:pPr>
        <w:rPr>
          <w:szCs w:val="24"/>
        </w:rPr>
      </w:pPr>
      <w:r w:rsidRPr="00B433A3">
        <w:t>Les exposés et débats du Séminaire RRS-21 pour la région Amériques ont eu lieu en espagnol</w:t>
      </w:r>
      <w:r w:rsidRPr="00B433A3">
        <w:rPr>
          <w:szCs w:val="24"/>
        </w:rPr>
        <w:t>, à l'exception de certains supports, tels que les présentations et les outils logiciels, qui étaient disponibles en anglais seulement.</w:t>
      </w:r>
    </w:p>
    <w:p w14:paraId="074CB500" w14:textId="77777777" w:rsidR="007D4536" w:rsidRPr="00B433A3" w:rsidRDefault="005B6A9C" w:rsidP="00B8343E">
      <w:pPr>
        <w:rPr>
          <w:szCs w:val="24"/>
        </w:rPr>
      </w:pPr>
      <w:r w:rsidRPr="00B433A3">
        <w:rPr>
          <w:szCs w:val="24"/>
        </w:rPr>
        <w:t>Le séminaire a comporté la tenue de séances plénières et les particip</w:t>
      </w:r>
      <w:r w:rsidR="009F63E3" w:rsidRPr="00B433A3">
        <w:rPr>
          <w:szCs w:val="24"/>
        </w:rPr>
        <w:t>ants au séminaire ont suivi des </w:t>
      </w:r>
      <w:r w:rsidRPr="00B433A3">
        <w:rPr>
          <w:szCs w:val="24"/>
        </w:rPr>
        <w:t>formations pratiques sur les processus de coordination et de notification. Le séminaire</w:t>
      </w:r>
      <w:r w:rsidR="007D4536" w:rsidRPr="00B433A3">
        <w:rPr>
          <w:szCs w:val="24"/>
        </w:rPr>
        <w:t> </w:t>
      </w:r>
      <w:r w:rsidRPr="00B433A3">
        <w:rPr>
          <w:szCs w:val="24"/>
        </w:rPr>
        <w:t>RRS</w:t>
      </w:r>
      <w:r w:rsidR="002746DD" w:rsidRPr="00B433A3">
        <w:rPr>
          <w:szCs w:val="24"/>
        </w:rPr>
        <w:noBreakHyphen/>
      </w:r>
      <w:r w:rsidRPr="00B433A3">
        <w:rPr>
          <w:szCs w:val="24"/>
        </w:rPr>
        <w:t>21</w:t>
      </w:r>
      <w:r w:rsidR="002746DD" w:rsidRPr="00B433A3">
        <w:rPr>
          <w:szCs w:val="24"/>
        </w:rPr>
        <w:noBreakHyphen/>
      </w:r>
      <w:r w:rsidRPr="00B433A3">
        <w:rPr>
          <w:szCs w:val="24"/>
        </w:rPr>
        <w:t>Amériques s'est achevé par un Forum de quatre demi-journées sur le thème</w:t>
      </w:r>
      <w:proofErr w:type="gramStart"/>
      <w:r w:rsidRPr="00B433A3">
        <w:rPr>
          <w:szCs w:val="24"/>
        </w:rPr>
        <w:t xml:space="preserve"> </w:t>
      </w:r>
      <w:r w:rsidR="006D4AC5" w:rsidRPr="00B433A3">
        <w:t>«</w:t>
      </w:r>
      <w:r w:rsidRPr="00B433A3">
        <w:rPr>
          <w:i/>
          <w:iCs/>
        </w:rPr>
        <w:t>Gestion</w:t>
      </w:r>
      <w:proofErr w:type="gramEnd"/>
      <w:r w:rsidRPr="00B433A3">
        <w:rPr>
          <w:i/>
          <w:iCs/>
        </w:rPr>
        <w:t xml:space="preserve"> moderne du spectre dans la région</w:t>
      </w:r>
      <w:r w:rsidR="006D4AC5" w:rsidRPr="00B433A3">
        <w:t>»</w:t>
      </w:r>
      <w:r w:rsidRPr="00B433A3">
        <w:rPr>
          <w:szCs w:val="24"/>
        </w:rPr>
        <w:t>, qui a rassemblé les principales parties prenantes de la région. À cette occasion, les thèmes suivants ont été abordés: d</w:t>
      </w:r>
      <w:r w:rsidRPr="00B433A3">
        <w:t>ernières tendances en matière de radiodiffusion sonore</w:t>
      </w:r>
      <w:r w:rsidRPr="00B433A3">
        <w:rPr>
          <w:szCs w:val="24"/>
        </w:rPr>
        <w:t xml:space="preserve">, minisatellites et microsatellites, plans nationaux relatifs aux communications d'urgence, nouveaux capteurs et bandes de fréquences plus élevées pour les systèmes modernes de contrôle des émissions, tarification du spectre pour la 5G, modèles d'octroi de licences pour l'utilisation du spectre, et tendances </w:t>
      </w:r>
      <w:r w:rsidRPr="00B433A3">
        <w:t>et défis associés aux systèmes de radiocommunication cognitifs et aux systèmes de radiocommunication pilotés par logiciel</w:t>
      </w:r>
      <w:r w:rsidRPr="00B433A3">
        <w:rPr>
          <w:szCs w:val="24"/>
        </w:rPr>
        <w:t xml:space="preserve">. Le séminaire s'est conclu par une table ronde sur la portée régionale des résultats de la CMR-19 et les </w:t>
      </w:r>
      <w:r w:rsidR="00A11F6E" w:rsidRPr="00B433A3">
        <w:rPr>
          <w:szCs w:val="24"/>
        </w:rPr>
        <w:t>enjeux de l'ordre du jour de la </w:t>
      </w:r>
      <w:r w:rsidRPr="00B433A3">
        <w:rPr>
          <w:szCs w:val="24"/>
        </w:rPr>
        <w:t>CMR</w:t>
      </w:r>
      <w:r w:rsidR="002746DD" w:rsidRPr="00B433A3">
        <w:rPr>
          <w:szCs w:val="24"/>
        </w:rPr>
        <w:noBreakHyphen/>
      </w:r>
      <w:r w:rsidRPr="00B433A3">
        <w:rPr>
          <w:szCs w:val="24"/>
        </w:rPr>
        <w:t>23.</w:t>
      </w:r>
    </w:p>
    <w:p w14:paraId="404441D2" w14:textId="363E18DD" w:rsidR="005B6A9C" w:rsidRPr="00B433A3" w:rsidRDefault="007D4536" w:rsidP="00B8343E">
      <w:pPr>
        <w:rPr>
          <w:szCs w:val="24"/>
        </w:rPr>
      </w:pPr>
      <w:r w:rsidRPr="00B433A3">
        <w:rPr>
          <w:szCs w:val="24"/>
        </w:rPr>
        <w:t>La manifestation a rassemblé plus de 240 participants de 49 entités, parmi lesquels 22 pays de la région Amériques, ce qui témoigne de son grand succès.</w:t>
      </w:r>
    </w:p>
    <w:p w14:paraId="63A43C6C" w14:textId="77777777" w:rsidR="005B6A9C" w:rsidRPr="00B433A3" w:rsidRDefault="005B6A9C" w:rsidP="00B8343E">
      <w:pPr>
        <w:pStyle w:val="enumlev1"/>
        <w:rPr>
          <w:b/>
          <w:bCs/>
        </w:rPr>
      </w:pPr>
      <w:r w:rsidRPr="00B433A3">
        <w:t>•</w:t>
      </w:r>
      <w:r w:rsidRPr="00B433A3">
        <w:tab/>
      </w:r>
      <w:r w:rsidRPr="00B433A3">
        <w:rPr>
          <w:b/>
          <w:bCs/>
        </w:rPr>
        <w:t>Séminaire régional des radiocommunications de 2021 de l'UIT pour la région Afrique (RRS-21-Afrique)</w:t>
      </w:r>
    </w:p>
    <w:p w14:paraId="2EAEE2B6" w14:textId="77777777" w:rsidR="005B6A9C" w:rsidRPr="00B433A3" w:rsidRDefault="005B6A9C" w:rsidP="00B8343E">
      <w:pPr>
        <w:keepLines/>
        <w:rPr>
          <w:szCs w:val="24"/>
        </w:rPr>
      </w:pPr>
      <w:r w:rsidRPr="00B433A3">
        <w:rPr>
          <w:bCs/>
        </w:rPr>
        <w:t xml:space="preserve">Le séminaire </w:t>
      </w:r>
      <w:r w:rsidRPr="00B433A3">
        <w:t>régional des radiocommunications de 2021 pour la région Afrique (RRS-21-Afrique) a été organisé par l'UIT (BR et Bureau régional pour l'Afrique), en coopération avec l'Union africaine des télécommunications (UAT), du 5 au 16 juillet 2021</w:t>
      </w:r>
      <w:r w:rsidRPr="00B433A3">
        <w:rPr>
          <w:szCs w:val="24"/>
        </w:rPr>
        <w:t>. Le séminaire s'est tenu en ligne, avec des séances quotidiennes de trois heures, pendant les jours ouvrables uniquement.</w:t>
      </w:r>
    </w:p>
    <w:p w14:paraId="063C340A" w14:textId="3132BE64" w:rsidR="005B6A9C" w:rsidRPr="00B433A3" w:rsidRDefault="005B6A9C" w:rsidP="00B8343E">
      <w:pPr>
        <w:rPr>
          <w:szCs w:val="24"/>
        </w:rPr>
      </w:pPr>
      <w:r w:rsidRPr="00B433A3">
        <w:rPr>
          <w:szCs w:val="24"/>
        </w:rPr>
        <w:t xml:space="preserve">Une licence Zoom de l'UIT a été utilisée pour mener la réunion en ligne. </w:t>
      </w:r>
      <w:bookmarkStart w:id="182" w:name="_Hlk97817240"/>
      <w:r w:rsidRPr="00B433A3">
        <w:rPr>
          <w:szCs w:val="24"/>
        </w:rPr>
        <w:t>Compte tenu du décalage horaire avec la région, les sessions se sont déroulées de 10 h 00 à 13 h 15 (UTC</w:t>
      </w:r>
      <w:r w:rsidR="009F63E3" w:rsidRPr="00B433A3">
        <w:rPr>
          <w:szCs w:val="24"/>
        </w:rPr>
        <w:t xml:space="preserve"> </w:t>
      </w:r>
      <w:r w:rsidRPr="00B433A3">
        <w:rPr>
          <w:szCs w:val="24"/>
        </w:rPr>
        <w:t>+2H), soit de 12 h</w:t>
      </w:r>
      <w:r w:rsidR="002746DD" w:rsidRPr="00B433A3">
        <w:rPr>
          <w:szCs w:val="24"/>
        </w:rPr>
        <w:t> </w:t>
      </w:r>
      <w:r w:rsidRPr="00B433A3">
        <w:rPr>
          <w:szCs w:val="24"/>
        </w:rPr>
        <w:t>00 à 15 h 15, heure de Genève.</w:t>
      </w:r>
      <w:bookmarkEnd w:id="182"/>
    </w:p>
    <w:p w14:paraId="4EA527E4" w14:textId="77777777" w:rsidR="005B6A9C" w:rsidRPr="00B433A3" w:rsidRDefault="005B6A9C" w:rsidP="00B8343E">
      <w:pPr>
        <w:rPr>
          <w:szCs w:val="24"/>
        </w:rPr>
      </w:pPr>
      <w:r w:rsidRPr="00B433A3">
        <w:t>Les exposés et débats du Séminaire RRS-21 pour la région Afrique ont eu lieu en anglais et en français</w:t>
      </w:r>
      <w:r w:rsidRPr="00B433A3">
        <w:rPr>
          <w:szCs w:val="24"/>
        </w:rPr>
        <w:t>, avec interprétation simultanée.</w:t>
      </w:r>
    </w:p>
    <w:p w14:paraId="184EBC92" w14:textId="25D18BBC" w:rsidR="005B6A9C" w:rsidRPr="00B433A3" w:rsidRDefault="005B6A9C" w:rsidP="00B8343E">
      <w:pPr>
        <w:rPr>
          <w:szCs w:val="24"/>
        </w:rPr>
      </w:pPr>
      <w:r w:rsidRPr="00B433A3">
        <w:rPr>
          <w:szCs w:val="24"/>
        </w:rPr>
        <w:lastRenderedPageBreak/>
        <w:t xml:space="preserve">La première partie du séminaire a couvert la gestion du spectre, le </w:t>
      </w:r>
      <w:r w:rsidRPr="00B433A3">
        <w:t>Fichier de référence international des fréquences, le RR, la Conférence mondiale des radiocommunications, l'Assemblée des radiocommunications et l'ordre du jour de la CMR-23. Une formation sur les outils TIC pour les notifications de fréquences a aussi été proposée, et des information</w:t>
      </w:r>
      <w:r w:rsidR="006B6441">
        <w:t>s sur les activités du BR et du </w:t>
      </w:r>
      <w:r w:rsidRPr="00B433A3">
        <w:t xml:space="preserve">BDT en matière de gestion du spectre ont aussi été fournies. </w:t>
      </w:r>
    </w:p>
    <w:p w14:paraId="1FA4E337" w14:textId="77777777" w:rsidR="005B6A9C" w:rsidRPr="00B433A3" w:rsidRDefault="005B6A9C" w:rsidP="00B8343E">
      <w:r w:rsidRPr="00B433A3">
        <w:rPr>
          <w:szCs w:val="24"/>
        </w:rPr>
        <w:t>En outre,</w:t>
      </w:r>
      <w:r w:rsidRPr="00B433A3">
        <w:t xml:space="preserve"> des tutoriels sur l'utilisation de ces outils pour les procédures de notification pour les stations de Terre et les stations spatiales ont été organisés. </w:t>
      </w:r>
    </w:p>
    <w:p w14:paraId="13AD74F9" w14:textId="2BFCD719" w:rsidR="005B6A9C" w:rsidRPr="00B433A3" w:rsidRDefault="005B6A9C" w:rsidP="00B8343E">
      <w:pPr>
        <w:rPr>
          <w:szCs w:val="24"/>
        </w:rPr>
      </w:pPr>
      <w:r w:rsidRPr="00B433A3">
        <w:rPr>
          <w:szCs w:val="24"/>
        </w:rPr>
        <w:t>Le séminaire RRS-21-Afrique s'est achevé par un Forum de quatre demi-journées sur le thème</w:t>
      </w:r>
      <w:proofErr w:type="gramStart"/>
      <w:r w:rsidRPr="00B433A3">
        <w:rPr>
          <w:szCs w:val="24"/>
        </w:rPr>
        <w:t xml:space="preserve"> </w:t>
      </w:r>
      <w:r w:rsidR="006D4AC5" w:rsidRPr="00B433A3">
        <w:t>«</w:t>
      </w:r>
      <w:r w:rsidRPr="00B433A3">
        <w:rPr>
          <w:i/>
          <w:iCs/>
          <w:szCs w:val="24"/>
        </w:rPr>
        <w:t>Tendances</w:t>
      </w:r>
      <w:proofErr w:type="gramEnd"/>
      <w:r w:rsidRPr="00B433A3">
        <w:rPr>
          <w:i/>
          <w:iCs/>
          <w:szCs w:val="24"/>
        </w:rPr>
        <w:t xml:space="preserve"> dans le secteur des radiocommunications: possibilités et enjeux dans la région</w:t>
      </w:r>
      <w:r w:rsidR="006D4AC5" w:rsidRPr="00B433A3">
        <w:rPr>
          <w:i/>
          <w:iCs/>
          <w:szCs w:val="24"/>
        </w:rPr>
        <w:t>»</w:t>
      </w:r>
      <w:r w:rsidRPr="00B433A3">
        <w:rPr>
          <w:szCs w:val="24"/>
        </w:rPr>
        <w:t xml:space="preserve">, qui a rassemblé les principales parties prenantes de la région. Le Forum a notamment porté sur les thèmes suivants: outils disponibles concernant les </w:t>
      </w:r>
      <w:r w:rsidRPr="00B433A3">
        <w:t xml:space="preserve">Tableaux nationaux d'attribution des bandes de fréquences (NFAT), y compris l'Article 5 du RR </w:t>
      </w:r>
      <w:r w:rsidRPr="00B433A3">
        <w:rPr>
          <w:szCs w:val="24"/>
        </w:rPr>
        <w:t xml:space="preserve">sur les logiciels et les tableaux nationaux d'attribution des bandes de fréquences, nouveaux capteurs et bandes de fréquences plus élevées pour la gestion moderne du spectre et les systèmes modernes de contrôle des émissions, dernières tendances en matière de radiodiffusion sonore et d'optimisation du Plan GE84, plans nationaux relatifs aux communications d'urgence, </w:t>
      </w:r>
      <w:r w:rsidRPr="00B433A3">
        <w:t>bandes de fréquences, harmonisation et expériences au niveau régional en Afrique et dans d'autres régions concernant les problèmes liés au déploiement de la 5G en Afrique, systèmes large bande de Terre, y compris les systèmes fixes, HAPS/HIBS, RLAN</w:t>
      </w:r>
      <w:r w:rsidRPr="00B433A3">
        <w:rPr>
          <w:szCs w:val="24"/>
        </w:rPr>
        <w:t xml:space="preserve">, etc., les systèmes à satellites, y compris </w:t>
      </w:r>
      <w:r w:rsidRPr="00B433A3">
        <w:t>les satellites large bande (OSG et non OSG), les stations terriennes en mouvement (ESIM) et les petits satellites</w:t>
      </w:r>
      <w:r w:rsidRPr="00B433A3">
        <w:rPr>
          <w:szCs w:val="24"/>
        </w:rPr>
        <w:t>. Le Forum s'est conclu par une table ronde sur la portée régionale des enjeux de l'ordre du jour de la CMR-23.</w:t>
      </w:r>
    </w:p>
    <w:p w14:paraId="006D2C95" w14:textId="12681B9E" w:rsidR="005B6A9C" w:rsidRPr="00B433A3" w:rsidRDefault="005B6A9C" w:rsidP="00B8343E">
      <w:pPr>
        <w:rPr>
          <w:szCs w:val="24"/>
        </w:rPr>
      </w:pPr>
      <w:r w:rsidRPr="00B433A3">
        <w:rPr>
          <w:szCs w:val="24"/>
        </w:rPr>
        <w:t xml:space="preserve">Comme dans le cadre d'autres séminaires RRS organisés en ligne, la participation a largement dépassé les </w:t>
      </w:r>
      <w:proofErr w:type="gramStart"/>
      <w:r w:rsidRPr="00B433A3">
        <w:rPr>
          <w:szCs w:val="24"/>
        </w:rPr>
        <w:t>attentes:</w:t>
      </w:r>
      <w:proofErr w:type="gramEnd"/>
      <w:r w:rsidRPr="00B433A3">
        <w:rPr>
          <w:szCs w:val="24"/>
        </w:rPr>
        <w:t xml:space="preserve"> la manifestation a rassemblé près de 22</w:t>
      </w:r>
      <w:r w:rsidR="009F63E3" w:rsidRPr="00B433A3">
        <w:rPr>
          <w:szCs w:val="24"/>
        </w:rPr>
        <w:t>0 participants de 68 entités, y </w:t>
      </w:r>
      <w:r w:rsidRPr="00B433A3">
        <w:rPr>
          <w:szCs w:val="24"/>
        </w:rPr>
        <w:t>compris</w:t>
      </w:r>
      <w:r w:rsidR="002746DD" w:rsidRPr="00B433A3">
        <w:rPr>
          <w:szCs w:val="24"/>
        </w:rPr>
        <w:t> </w:t>
      </w:r>
      <w:r w:rsidRPr="00B433A3">
        <w:rPr>
          <w:szCs w:val="24"/>
        </w:rPr>
        <w:t>39 pays de la région Afrique, ce qui témoigne de son grand succès.</w:t>
      </w:r>
    </w:p>
    <w:p w14:paraId="7754057A" w14:textId="77EC2D18" w:rsidR="005B6A9C" w:rsidRPr="00B433A3" w:rsidRDefault="005B6A9C" w:rsidP="00B8343E">
      <w:pPr>
        <w:pStyle w:val="enumlev1"/>
        <w:rPr>
          <w:b/>
          <w:bCs/>
        </w:rPr>
      </w:pPr>
      <w:bookmarkStart w:id="183" w:name="_Hlk97817413"/>
      <w:r w:rsidRPr="00B433A3">
        <w:rPr>
          <w:b/>
          <w:bCs/>
        </w:rPr>
        <w:t>•</w:t>
      </w:r>
      <w:r w:rsidRPr="00B433A3">
        <w:rPr>
          <w:b/>
          <w:bCs/>
        </w:rPr>
        <w:tab/>
        <w:t xml:space="preserve">Séminaire régional des radiocommunications </w:t>
      </w:r>
      <w:r w:rsidR="009F63E3" w:rsidRPr="00B433A3">
        <w:rPr>
          <w:b/>
          <w:bCs/>
        </w:rPr>
        <w:t>de 2021 de l'UIT pour la région </w:t>
      </w:r>
      <w:r w:rsidRPr="00B433A3">
        <w:rPr>
          <w:b/>
          <w:bCs/>
        </w:rPr>
        <w:t>Asie</w:t>
      </w:r>
      <w:r w:rsidRPr="00B433A3">
        <w:rPr>
          <w:b/>
          <w:bCs/>
        </w:rPr>
        <w:noBreakHyphen/>
        <w:t>Pacifique (RRS-21-Asie-Pacifique)</w:t>
      </w:r>
      <w:bookmarkEnd w:id="183"/>
    </w:p>
    <w:p w14:paraId="6D62FFBF" w14:textId="4FF58A4E" w:rsidR="005B6A9C" w:rsidRPr="00B433A3" w:rsidRDefault="005B6A9C" w:rsidP="00B8343E">
      <w:bookmarkStart w:id="184" w:name="_Hlk97817463"/>
      <w:r w:rsidRPr="00B433A3">
        <w:t xml:space="preserve">Le séminaire régional des radiocommunications de 2021 </w:t>
      </w:r>
      <w:bookmarkEnd w:id="184"/>
      <w:r w:rsidRPr="00B433A3">
        <w:t>pour la région Asie-Pacifique (RRS</w:t>
      </w:r>
      <w:r w:rsidRPr="00B433A3">
        <w:noBreakHyphen/>
        <w:t>21</w:t>
      </w:r>
      <w:r w:rsidRPr="00B433A3">
        <w:noBreakHyphen/>
        <w:t xml:space="preserve">Asie-Pacifique) a été organisé par l'UIT (BR et Bureau pour la région Asie-Pacifique) en coopération avec la </w:t>
      </w:r>
      <w:proofErr w:type="spellStart"/>
      <w:r w:rsidRPr="00B433A3">
        <w:t>Télécommunauté</w:t>
      </w:r>
      <w:proofErr w:type="spellEnd"/>
      <w:r w:rsidRPr="00B433A3">
        <w:t xml:space="preserve"> Asie-Pacifique (APT). Le RRS-21</w:t>
      </w:r>
      <w:r w:rsidRPr="00B433A3">
        <w:noBreakHyphen/>
        <w:t>Asie-Pacifique s'est déroulé en ligne, du 11 au 22 octobre 2021, moyennant l'utilisation d'une licence Zoom de l'UIT. Compte tenu du décalage horaire avec la région, les sessions se sont déroulées de 13 h 15 à 16 h 45 (heure de Bangkok, UTC</w:t>
      </w:r>
      <w:r w:rsidR="009F63E3" w:rsidRPr="00B433A3">
        <w:t xml:space="preserve"> +7H), soit de </w:t>
      </w:r>
      <w:r w:rsidRPr="00B433A3">
        <w:t>7 h 15 à 10 h 45 (heure de Genève).</w:t>
      </w:r>
    </w:p>
    <w:p w14:paraId="09FA3375" w14:textId="77777777" w:rsidR="005B6A9C" w:rsidRPr="00B433A3" w:rsidRDefault="005B6A9C" w:rsidP="00B8343E">
      <w:pPr>
        <w:rPr>
          <w:szCs w:val="24"/>
        </w:rPr>
      </w:pPr>
      <w:r w:rsidRPr="00B433A3">
        <w:t>Les exposés et débats du Séminaire RRS-21 pour la région Asie-Pacifique ont eu lieu en anglais seulement</w:t>
      </w:r>
      <w:r w:rsidRPr="00B433A3">
        <w:rPr>
          <w:szCs w:val="24"/>
        </w:rPr>
        <w:t>.</w:t>
      </w:r>
    </w:p>
    <w:p w14:paraId="5E94C6B9" w14:textId="7F69CB8E" w:rsidR="005B6A9C" w:rsidRPr="00B433A3" w:rsidRDefault="005B6A9C" w:rsidP="00B8343E">
      <w:pPr>
        <w:keepLines/>
        <w:rPr>
          <w:szCs w:val="24"/>
        </w:rPr>
      </w:pPr>
      <w:r w:rsidRPr="00B433A3">
        <w:rPr>
          <w:szCs w:val="24"/>
        </w:rPr>
        <w:t>Le séminaire a comporté la tenue de séances plénières, et les participants ont suivi des formations pratiques sur les processus de coordination et de notification. Le séminaire RRS-21-Asie-Pacifique s'est achevé par un Forum de quatre demi-journées sur le thème</w:t>
      </w:r>
      <w:proofErr w:type="gramStart"/>
      <w:r w:rsidRPr="00B433A3">
        <w:rPr>
          <w:szCs w:val="24"/>
        </w:rPr>
        <w:t xml:space="preserve"> </w:t>
      </w:r>
      <w:r w:rsidR="006D4AC5" w:rsidRPr="00B433A3">
        <w:t>«</w:t>
      </w:r>
      <w:r w:rsidRPr="00B433A3">
        <w:rPr>
          <w:i/>
          <w:iCs/>
          <w:szCs w:val="24"/>
        </w:rPr>
        <w:t>Tendances</w:t>
      </w:r>
      <w:proofErr w:type="gramEnd"/>
      <w:r w:rsidRPr="00B433A3">
        <w:rPr>
          <w:i/>
          <w:iCs/>
          <w:szCs w:val="24"/>
        </w:rPr>
        <w:t xml:space="preserve"> dans le secteur des radiocommunications:</w:t>
      </w:r>
      <w:r w:rsidRPr="00B433A3">
        <w:rPr>
          <w:szCs w:val="24"/>
        </w:rPr>
        <w:t xml:space="preserve"> </w:t>
      </w:r>
      <w:r w:rsidRPr="00B433A3">
        <w:rPr>
          <w:i/>
          <w:iCs/>
          <w:szCs w:val="24"/>
        </w:rPr>
        <w:t>possibilités et enjeux dans la région</w:t>
      </w:r>
      <w:r w:rsidR="006D4AC5" w:rsidRPr="00B433A3">
        <w:rPr>
          <w:szCs w:val="24"/>
        </w:rPr>
        <w:t>»</w:t>
      </w:r>
      <w:r w:rsidRPr="00B433A3">
        <w:rPr>
          <w:i/>
          <w:iCs/>
          <w:color w:val="000000"/>
        </w:rPr>
        <w:t>,</w:t>
      </w:r>
      <w:r w:rsidRPr="00B433A3">
        <w:rPr>
          <w:color w:val="000000"/>
        </w:rPr>
        <w:t xml:space="preserve"> qui a rassemblé les principales parties prenantes de la région. </w:t>
      </w:r>
      <w:r w:rsidRPr="00B433A3">
        <w:rPr>
          <w:szCs w:val="24"/>
        </w:rPr>
        <w:t xml:space="preserve">À cette occasion, les thèmes suivants ont été abordés: outils disponibles concernant les </w:t>
      </w:r>
      <w:r w:rsidRPr="00B433A3">
        <w:t xml:space="preserve">Tableaux nationaux d'attribution des bandes de fréquences (NFAT), </w:t>
      </w:r>
      <w:r w:rsidRPr="00B433A3">
        <w:rPr>
          <w:szCs w:val="24"/>
        </w:rPr>
        <w:t>gestion moderne du spectre et les systèmes modernes de contrôle des émissions, radiodiffusion numérique de Terre,</w:t>
      </w:r>
      <w:r w:rsidRPr="00B433A3">
        <w:t xml:space="preserve"> </w:t>
      </w:r>
      <w:r w:rsidRPr="00B433A3">
        <w:rPr>
          <w:szCs w:val="24"/>
        </w:rPr>
        <w:t xml:space="preserve">plans nationaux relatifs aux communications d'urgence, tendances concernant les IMT-2020 (5G), </w:t>
      </w:r>
      <w:r w:rsidRPr="00B433A3">
        <w:t xml:space="preserve">systèmes large bande de Terre, y compris les systèmes fixes, HAPS/HIBS, RLAN, etc., les </w:t>
      </w:r>
      <w:r w:rsidRPr="00B433A3">
        <w:rPr>
          <w:szCs w:val="24"/>
        </w:rPr>
        <w:t xml:space="preserve">systèmes à satellites, y compris </w:t>
      </w:r>
      <w:r w:rsidRPr="00B433A3">
        <w:t>les satellites large bande (OSG et non OSG), les stations terriennes en mouvement (ESIM) et les petits satellites.</w:t>
      </w:r>
      <w:r w:rsidRPr="00B433A3">
        <w:rPr>
          <w:szCs w:val="24"/>
        </w:rPr>
        <w:t xml:space="preserve"> Le Forum s'est conclu par une table ronde sur la portée régionale des enjeux de l'ordre du jour de la CMR-23.</w:t>
      </w:r>
    </w:p>
    <w:p w14:paraId="0C98A265" w14:textId="77777777" w:rsidR="005B6A9C" w:rsidRPr="00B433A3" w:rsidRDefault="005B6A9C" w:rsidP="00B8343E">
      <w:pPr>
        <w:rPr>
          <w:szCs w:val="24"/>
        </w:rPr>
      </w:pPr>
      <w:r w:rsidRPr="00B433A3">
        <w:rPr>
          <w:szCs w:val="24"/>
        </w:rPr>
        <w:lastRenderedPageBreak/>
        <w:t xml:space="preserve">Comme dans le cadre de précédents séminaires RRS organisés en ligne, la participation a largement dépassé les </w:t>
      </w:r>
      <w:proofErr w:type="gramStart"/>
      <w:r w:rsidRPr="00B433A3">
        <w:rPr>
          <w:szCs w:val="24"/>
        </w:rPr>
        <w:t>attentes:</w:t>
      </w:r>
      <w:proofErr w:type="gramEnd"/>
      <w:r w:rsidRPr="00B433A3">
        <w:rPr>
          <w:szCs w:val="24"/>
        </w:rPr>
        <w:t xml:space="preserve"> la manifestation a rassemblé près de 300 participants de plus de 58 entités, y compris 20 pays de la région Asie-Pacifique, ce qui témoigne du grand succès de la manifestation. </w:t>
      </w:r>
    </w:p>
    <w:p w14:paraId="569AA17B" w14:textId="77777777" w:rsidR="005B6A9C" w:rsidRPr="00B433A3" w:rsidRDefault="005B6A9C" w:rsidP="00B8343E">
      <w:pPr>
        <w:pStyle w:val="enumlev1"/>
      </w:pPr>
      <w:bookmarkStart w:id="185" w:name="lt_pId1058"/>
      <w:r w:rsidRPr="00B433A3">
        <w:t>On trouvera dans le Tableau 8.2.2-2 un résumé des séminaires RRS organisés en 2021.</w:t>
      </w:r>
      <w:bookmarkEnd w:id="185"/>
    </w:p>
    <w:p w14:paraId="0531CCA5" w14:textId="77777777" w:rsidR="005B6A9C" w:rsidRPr="00B433A3" w:rsidRDefault="005B6A9C" w:rsidP="00B8343E">
      <w:pPr>
        <w:tabs>
          <w:tab w:val="clear" w:pos="794"/>
          <w:tab w:val="clear" w:pos="1191"/>
          <w:tab w:val="clear" w:pos="1588"/>
          <w:tab w:val="clear" w:pos="1985"/>
        </w:tabs>
        <w:overflowPunct/>
        <w:autoSpaceDE/>
        <w:autoSpaceDN/>
        <w:adjustRightInd/>
        <w:spacing w:before="0"/>
        <w:sectPr w:rsidR="005B6A9C" w:rsidRPr="00B433A3" w:rsidSect="0063237C">
          <w:headerReference w:type="default" r:id="rId46"/>
          <w:pgSz w:w="11907" w:h="16834"/>
          <w:pgMar w:top="1418" w:right="1134" w:bottom="1418" w:left="1134" w:header="720" w:footer="720" w:gutter="0"/>
          <w:paperSrc w:first="15" w:other="15"/>
          <w:cols w:space="720"/>
          <w:titlePg/>
          <w:docGrid w:linePitch="326"/>
        </w:sectPr>
      </w:pPr>
    </w:p>
    <w:p w14:paraId="62848B10" w14:textId="77777777" w:rsidR="005B6A9C" w:rsidRPr="00B433A3" w:rsidRDefault="005B6A9C" w:rsidP="00B8343E">
      <w:pPr>
        <w:pStyle w:val="TableNoBR"/>
        <w:rPr>
          <w:rFonts w:eastAsiaTheme="minorEastAsia"/>
        </w:rPr>
      </w:pPr>
      <w:bookmarkStart w:id="186" w:name="lt_pId1060"/>
      <w:r w:rsidRPr="00B433A3">
        <w:rPr>
          <w:rFonts w:eastAsiaTheme="minorEastAsia"/>
        </w:rPr>
        <w:lastRenderedPageBreak/>
        <w:t>TableAU 8.2.2-</w:t>
      </w:r>
      <w:bookmarkEnd w:id="186"/>
      <w:r w:rsidRPr="00B433A3">
        <w:rPr>
          <w:rFonts w:eastAsiaTheme="minorEastAsia"/>
        </w:rPr>
        <w:t>2</w:t>
      </w:r>
    </w:p>
    <w:p w14:paraId="11D7DCB3" w14:textId="77777777" w:rsidR="005B6A9C" w:rsidRPr="00B433A3" w:rsidRDefault="005B6A9C" w:rsidP="00B8343E">
      <w:pPr>
        <w:pStyle w:val="Tabletitle"/>
        <w:spacing w:after="240"/>
        <w:rPr>
          <w:sz w:val="24"/>
          <w:szCs w:val="24"/>
          <w:lang w:val="fr-FR"/>
        </w:rPr>
      </w:pPr>
      <w:bookmarkStart w:id="187" w:name="lt_pId1061"/>
      <w:r w:rsidRPr="00B433A3">
        <w:rPr>
          <w:sz w:val="24"/>
          <w:szCs w:val="24"/>
          <w:lang w:val="fr-FR"/>
        </w:rPr>
        <w:t>Séminaires régionaux des radiocommunications de l'UIT (2021)</w:t>
      </w:r>
      <w:bookmarkEnd w:id="187"/>
    </w:p>
    <w:tbl>
      <w:tblPr>
        <w:tblStyle w:val="GridTable4-Accent122"/>
        <w:tblW w:w="15300" w:type="dxa"/>
        <w:tblLayout w:type="fixed"/>
        <w:tblLook w:val="0420" w:firstRow="1" w:lastRow="0" w:firstColumn="0" w:lastColumn="0" w:noHBand="0" w:noVBand="1"/>
      </w:tblPr>
      <w:tblGrid>
        <w:gridCol w:w="1980"/>
        <w:gridCol w:w="1843"/>
        <w:gridCol w:w="1134"/>
        <w:gridCol w:w="848"/>
        <w:gridCol w:w="2551"/>
        <w:gridCol w:w="5243"/>
        <w:gridCol w:w="851"/>
        <w:gridCol w:w="850"/>
      </w:tblGrid>
      <w:tr w:rsidR="005B6A9C" w:rsidRPr="00B433A3" w14:paraId="0661DEDD" w14:textId="77777777" w:rsidTr="00AE421E">
        <w:trPr>
          <w:cnfStyle w:val="100000000000" w:firstRow="1" w:lastRow="0" w:firstColumn="0" w:lastColumn="0" w:oddVBand="0" w:evenVBand="0" w:oddHBand="0" w:evenHBand="0" w:firstRowFirstColumn="0" w:firstRowLastColumn="0" w:lastRowFirstColumn="0" w:lastRowLastColumn="0"/>
          <w:tblHeader/>
        </w:trPr>
        <w:tc>
          <w:tcPr>
            <w:tcW w:w="1980" w:type="dxa"/>
            <w:vAlign w:val="center"/>
            <w:hideMark/>
          </w:tcPr>
          <w:p w14:paraId="213A8A7B" w14:textId="77777777" w:rsidR="005B6A9C" w:rsidRPr="00B433A3" w:rsidRDefault="005B6A9C" w:rsidP="00B8343E">
            <w:pPr>
              <w:pStyle w:val="Tabletext"/>
              <w:jc w:val="center"/>
              <w:rPr>
                <w:sz w:val="20"/>
                <w:szCs w:val="20"/>
              </w:rPr>
            </w:pPr>
            <w:r w:rsidRPr="00B433A3">
              <w:rPr>
                <w:sz w:val="20"/>
                <w:szCs w:val="20"/>
              </w:rPr>
              <w:t>Date</w:t>
            </w:r>
          </w:p>
        </w:tc>
        <w:tc>
          <w:tcPr>
            <w:tcW w:w="1843" w:type="dxa"/>
            <w:vAlign w:val="center"/>
            <w:hideMark/>
          </w:tcPr>
          <w:p w14:paraId="5DDF6726" w14:textId="77777777" w:rsidR="005B6A9C" w:rsidRPr="00B433A3" w:rsidRDefault="005B6A9C" w:rsidP="00B8343E">
            <w:pPr>
              <w:pStyle w:val="Tabletext"/>
              <w:jc w:val="center"/>
              <w:rPr>
                <w:sz w:val="20"/>
                <w:szCs w:val="20"/>
              </w:rPr>
            </w:pPr>
            <w:r w:rsidRPr="00B433A3">
              <w:rPr>
                <w:sz w:val="20"/>
                <w:szCs w:val="20"/>
              </w:rPr>
              <w:t>RRS</w:t>
            </w:r>
          </w:p>
        </w:tc>
        <w:tc>
          <w:tcPr>
            <w:tcW w:w="1134" w:type="dxa"/>
            <w:vAlign w:val="center"/>
            <w:hideMark/>
          </w:tcPr>
          <w:p w14:paraId="5E850E2B" w14:textId="77777777" w:rsidR="005B6A9C" w:rsidRPr="00B433A3" w:rsidRDefault="005B6A9C" w:rsidP="00B8343E">
            <w:pPr>
              <w:pStyle w:val="Tabletext"/>
              <w:jc w:val="center"/>
              <w:rPr>
                <w:sz w:val="20"/>
                <w:szCs w:val="20"/>
              </w:rPr>
            </w:pPr>
            <w:r w:rsidRPr="00B433A3">
              <w:rPr>
                <w:sz w:val="20"/>
                <w:szCs w:val="20"/>
              </w:rPr>
              <w:t>Lieu</w:t>
            </w:r>
          </w:p>
        </w:tc>
        <w:tc>
          <w:tcPr>
            <w:tcW w:w="848" w:type="dxa"/>
            <w:vAlign w:val="center"/>
            <w:hideMark/>
          </w:tcPr>
          <w:p w14:paraId="317D8102" w14:textId="77777777" w:rsidR="005B6A9C" w:rsidRPr="00B433A3" w:rsidRDefault="005B6A9C" w:rsidP="00B8343E">
            <w:pPr>
              <w:pStyle w:val="Tabletext"/>
              <w:jc w:val="center"/>
              <w:rPr>
                <w:sz w:val="20"/>
                <w:szCs w:val="20"/>
              </w:rPr>
            </w:pPr>
            <w:r w:rsidRPr="00B433A3">
              <w:rPr>
                <w:sz w:val="20"/>
                <w:szCs w:val="20"/>
              </w:rPr>
              <w:t>Hôte</w:t>
            </w:r>
          </w:p>
        </w:tc>
        <w:tc>
          <w:tcPr>
            <w:tcW w:w="2551" w:type="dxa"/>
            <w:vAlign w:val="center"/>
            <w:hideMark/>
          </w:tcPr>
          <w:p w14:paraId="36CAE718" w14:textId="77777777" w:rsidR="005B6A9C" w:rsidRPr="00B433A3" w:rsidRDefault="005B6A9C" w:rsidP="00B8343E">
            <w:pPr>
              <w:pStyle w:val="Tabletext"/>
              <w:jc w:val="center"/>
              <w:rPr>
                <w:sz w:val="20"/>
                <w:szCs w:val="20"/>
              </w:rPr>
            </w:pPr>
            <w:r w:rsidRPr="00B433A3">
              <w:rPr>
                <w:sz w:val="20"/>
                <w:szCs w:val="20"/>
              </w:rPr>
              <w:t>Coopération</w:t>
            </w:r>
          </w:p>
        </w:tc>
        <w:tc>
          <w:tcPr>
            <w:tcW w:w="5243" w:type="dxa"/>
            <w:vAlign w:val="center"/>
            <w:hideMark/>
          </w:tcPr>
          <w:p w14:paraId="2110547E" w14:textId="657C8E55" w:rsidR="005B6A9C" w:rsidRPr="00B433A3" w:rsidRDefault="005B6A9C" w:rsidP="00B8343E">
            <w:pPr>
              <w:pStyle w:val="Tabletext"/>
              <w:jc w:val="center"/>
              <w:rPr>
                <w:sz w:val="20"/>
                <w:szCs w:val="20"/>
              </w:rPr>
            </w:pPr>
            <w:r w:rsidRPr="00B433A3">
              <w:rPr>
                <w:sz w:val="20"/>
                <w:szCs w:val="20"/>
              </w:rPr>
              <w:t>Thèmes du Forum</w:t>
            </w:r>
          </w:p>
        </w:tc>
        <w:tc>
          <w:tcPr>
            <w:tcW w:w="851" w:type="dxa"/>
            <w:vAlign w:val="center"/>
            <w:hideMark/>
          </w:tcPr>
          <w:p w14:paraId="0A863846" w14:textId="77777777" w:rsidR="005B6A9C" w:rsidRPr="00B433A3" w:rsidRDefault="005B6A9C" w:rsidP="00B8343E">
            <w:pPr>
              <w:pStyle w:val="Tabletext"/>
              <w:jc w:val="center"/>
              <w:rPr>
                <w:sz w:val="20"/>
                <w:szCs w:val="20"/>
              </w:rPr>
            </w:pPr>
            <w:r w:rsidRPr="00B433A3">
              <w:rPr>
                <w:sz w:val="20"/>
                <w:szCs w:val="20"/>
              </w:rPr>
              <w:t>Lang.</w:t>
            </w:r>
          </w:p>
        </w:tc>
        <w:tc>
          <w:tcPr>
            <w:tcW w:w="850" w:type="dxa"/>
            <w:vAlign w:val="center"/>
            <w:hideMark/>
          </w:tcPr>
          <w:p w14:paraId="5A298861" w14:textId="77777777" w:rsidR="005B6A9C" w:rsidRPr="00B433A3" w:rsidRDefault="005B6A9C" w:rsidP="00B8343E">
            <w:pPr>
              <w:pStyle w:val="Tabletext"/>
              <w:jc w:val="center"/>
              <w:rPr>
                <w:sz w:val="20"/>
                <w:szCs w:val="20"/>
              </w:rPr>
            </w:pPr>
            <w:r w:rsidRPr="00B433A3">
              <w:rPr>
                <w:sz w:val="20"/>
                <w:szCs w:val="20"/>
              </w:rPr>
              <w:t>Parts/</w:t>
            </w:r>
            <w:r w:rsidRPr="00B433A3">
              <w:rPr>
                <w:sz w:val="20"/>
                <w:szCs w:val="20"/>
              </w:rPr>
              <w:br/>
              <w:t>Adms</w:t>
            </w:r>
          </w:p>
        </w:tc>
      </w:tr>
      <w:tr w:rsidR="005B6A9C" w:rsidRPr="00B433A3" w14:paraId="2C13F6B7" w14:textId="77777777" w:rsidTr="00AE421E">
        <w:trPr>
          <w:cnfStyle w:val="100000000000" w:firstRow="1" w:lastRow="0" w:firstColumn="0" w:lastColumn="0" w:oddVBand="0" w:evenVBand="0" w:oddHBand="0" w:evenHBand="0" w:firstRowFirstColumn="0" w:firstRowLastColumn="0" w:lastRowFirstColumn="0" w:lastRowLastColumn="0"/>
          <w:tblHeader/>
        </w:trPr>
        <w:tc>
          <w:tcPr>
            <w:tcW w:w="15300" w:type="dxa"/>
            <w:gridSpan w:val="8"/>
            <w:tcBorders>
              <w:top w:val="single" w:sz="4" w:space="0" w:color="9CC2E5"/>
              <w:left w:val="single" w:sz="4" w:space="0" w:color="9CC2E5"/>
              <w:bottom w:val="single" w:sz="4" w:space="0" w:color="9CC2E5"/>
              <w:right w:val="single" w:sz="4" w:space="0" w:color="9CC2E5"/>
            </w:tcBorders>
            <w:vAlign w:val="center"/>
            <w:hideMark/>
          </w:tcPr>
          <w:p w14:paraId="73AF6DCB" w14:textId="77777777" w:rsidR="005B6A9C" w:rsidRPr="00B433A3" w:rsidRDefault="005B6A9C" w:rsidP="00B8343E">
            <w:pPr>
              <w:pStyle w:val="Tabletext"/>
              <w:jc w:val="center"/>
              <w:rPr>
                <w:b w:val="0"/>
                <w:bCs w:val="0"/>
                <w:sz w:val="20"/>
                <w:szCs w:val="20"/>
              </w:rPr>
            </w:pPr>
            <w:r w:rsidRPr="00B433A3">
              <w:rPr>
                <w:b w:val="0"/>
                <w:bCs w:val="0"/>
                <w:sz w:val="20"/>
                <w:szCs w:val="20"/>
              </w:rPr>
              <w:t>2021</w:t>
            </w:r>
          </w:p>
        </w:tc>
      </w:tr>
      <w:tr w:rsidR="005B6A9C" w:rsidRPr="00B433A3" w14:paraId="4B0BD287" w14:textId="77777777" w:rsidTr="00AE421E">
        <w:trPr>
          <w:cnfStyle w:val="000000100000" w:firstRow="0" w:lastRow="0" w:firstColumn="0" w:lastColumn="0" w:oddVBand="0" w:evenVBand="0" w:oddHBand="1" w:evenHBand="0" w:firstRowFirstColumn="0" w:firstRowLastColumn="0" w:lastRowFirstColumn="0" w:lastRowLastColumn="0"/>
        </w:trPr>
        <w:tc>
          <w:tcPr>
            <w:tcW w:w="1980" w:type="dxa"/>
            <w:tcBorders>
              <w:top w:val="single" w:sz="4" w:space="0" w:color="9CC2E5"/>
              <w:left w:val="single" w:sz="4" w:space="0" w:color="9CC2E5"/>
              <w:bottom w:val="single" w:sz="4" w:space="0" w:color="9CC2E5"/>
              <w:right w:val="single" w:sz="4" w:space="0" w:color="9CC2E5"/>
            </w:tcBorders>
            <w:shd w:val="clear" w:color="auto" w:fill="FFFFFF" w:themeFill="background1"/>
            <w:hideMark/>
          </w:tcPr>
          <w:p w14:paraId="14EC8899" w14:textId="04FBD0C0" w:rsidR="005B6A9C" w:rsidRPr="00B433A3" w:rsidRDefault="005B6A9C" w:rsidP="00B8343E">
            <w:pPr>
              <w:pStyle w:val="Tabletext"/>
              <w:rPr>
                <w:sz w:val="20"/>
                <w:szCs w:val="20"/>
              </w:rPr>
            </w:pPr>
            <w:r w:rsidRPr="00B433A3">
              <w:rPr>
                <w:sz w:val="20"/>
                <w:szCs w:val="20"/>
              </w:rPr>
              <w:t xml:space="preserve">26 avril </w:t>
            </w:r>
            <w:r w:rsidR="002746DD" w:rsidRPr="00B433A3">
              <w:rPr>
                <w:sz w:val="20"/>
                <w:szCs w:val="20"/>
              </w:rPr>
              <w:t>–</w:t>
            </w:r>
            <w:r w:rsidRPr="00B433A3">
              <w:rPr>
                <w:sz w:val="20"/>
                <w:szCs w:val="20"/>
              </w:rPr>
              <w:t xml:space="preserve"> 7 mai 2021</w:t>
            </w:r>
          </w:p>
        </w:tc>
        <w:tc>
          <w:tcPr>
            <w:tcW w:w="1843" w:type="dxa"/>
            <w:tcBorders>
              <w:top w:val="single" w:sz="4" w:space="0" w:color="9CC2E5"/>
              <w:left w:val="single" w:sz="4" w:space="0" w:color="9CC2E5"/>
              <w:bottom w:val="single" w:sz="4" w:space="0" w:color="9CC2E5"/>
              <w:right w:val="single" w:sz="4" w:space="0" w:color="9CC2E5"/>
            </w:tcBorders>
            <w:shd w:val="clear" w:color="auto" w:fill="FFFFFF" w:themeFill="background1"/>
            <w:hideMark/>
          </w:tcPr>
          <w:p w14:paraId="51411F50" w14:textId="77777777" w:rsidR="005B6A9C" w:rsidRPr="00B433A3" w:rsidRDefault="005B6A9C" w:rsidP="00B8343E">
            <w:pPr>
              <w:pStyle w:val="Tabletext"/>
              <w:rPr>
                <w:sz w:val="20"/>
                <w:szCs w:val="20"/>
              </w:rPr>
            </w:pPr>
            <w:r w:rsidRPr="00B433A3">
              <w:rPr>
                <w:sz w:val="20"/>
                <w:szCs w:val="20"/>
              </w:rPr>
              <w:t>RRS-21-Amériques</w:t>
            </w:r>
          </w:p>
        </w:tc>
        <w:tc>
          <w:tcPr>
            <w:tcW w:w="1134" w:type="dxa"/>
            <w:tcBorders>
              <w:top w:val="single" w:sz="4" w:space="0" w:color="9CC2E5"/>
              <w:left w:val="single" w:sz="4" w:space="0" w:color="9CC2E5"/>
              <w:bottom w:val="single" w:sz="4" w:space="0" w:color="9CC2E5"/>
              <w:right w:val="single" w:sz="4" w:space="0" w:color="9CC2E5"/>
            </w:tcBorders>
            <w:shd w:val="clear" w:color="auto" w:fill="FFFFFF" w:themeFill="background1"/>
            <w:hideMark/>
          </w:tcPr>
          <w:p w14:paraId="4A5B0FB6" w14:textId="77777777" w:rsidR="005B6A9C" w:rsidRPr="00B433A3" w:rsidRDefault="005B6A9C" w:rsidP="00B8343E">
            <w:pPr>
              <w:pStyle w:val="Tabletext"/>
              <w:jc w:val="center"/>
              <w:rPr>
                <w:sz w:val="20"/>
                <w:szCs w:val="20"/>
              </w:rPr>
            </w:pPr>
            <w:r w:rsidRPr="00B433A3">
              <w:rPr>
                <w:sz w:val="20"/>
                <w:szCs w:val="20"/>
              </w:rPr>
              <w:t>Réunion virtuelle</w:t>
            </w:r>
          </w:p>
        </w:tc>
        <w:tc>
          <w:tcPr>
            <w:tcW w:w="848" w:type="dxa"/>
            <w:tcBorders>
              <w:top w:val="single" w:sz="4" w:space="0" w:color="9CC2E5"/>
              <w:left w:val="single" w:sz="4" w:space="0" w:color="9CC2E5"/>
              <w:bottom w:val="single" w:sz="4" w:space="0" w:color="9CC2E5"/>
              <w:right w:val="single" w:sz="4" w:space="0" w:color="9CC2E5"/>
            </w:tcBorders>
            <w:shd w:val="clear" w:color="auto" w:fill="FFFFFF" w:themeFill="background1"/>
            <w:hideMark/>
          </w:tcPr>
          <w:p w14:paraId="2276962E" w14:textId="77777777" w:rsidR="005B6A9C" w:rsidRPr="00B433A3" w:rsidRDefault="005B6A9C" w:rsidP="00B8343E">
            <w:pPr>
              <w:pStyle w:val="Tabletext"/>
              <w:jc w:val="center"/>
              <w:rPr>
                <w:sz w:val="20"/>
                <w:szCs w:val="20"/>
              </w:rPr>
            </w:pPr>
            <w:r w:rsidRPr="00B433A3">
              <w:rPr>
                <w:sz w:val="20"/>
                <w:szCs w:val="20"/>
              </w:rPr>
              <w:t>−</w:t>
            </w:r>
          </w:p>
        </w:tc>
        <w:tc>
          <w:tcPr>
            <w:tcW w:w="2551" w:type="dxa"/>
            <w:tcBorders>
              <w:top w:val="single" w:sz="4" w:space="0" w:color="9CC2E5"/>
              <w:left w:val="single" w:sz="4" w:space="0" w:color="9CC2E5"/>
              <w:bottom w:val="single" w:sz="4" w:space="0" w:color="9CC2E5"/>
              <w:right w:val="single" w:sz="4" w:space="0" w:color="9CC2E5"/>
            </w:tcBorders>
            <w:shd w:val="clear" w:color="auto" w:fill="FFFFFF" w:themeFill="background1"/>
          </w:tcPr>
          <w:p w14:paraId="3A6C2D1E" w14:textId="592EFE7E" w:rsidR="005B6A9C" w:rsidRPr="00B433A3" w:rsidRDefault="005B6A9C" w:rsidP="00B8343E">
            <w:pPr>
              <w:pStyle w:val="Tabletext"/>
              <w:jc w:val="center"/>
              <w:rPr>
                <w:sz w:val="20"/>
                <w:szCs w:val="20"/>
              </w:rPr>
            </w:pPr>
            <w:r w:rsidRPr="00B433A3">
              <w:rPr>
                <w:sz w:val="20"/>
                <w:szCs w:val="20"/>
              </w:rPr>
              <w:t>Commission interaméricaine des télécommunications (CITEL)</w:t>
            </w:r>
          </w:p>
          <w:p w14:paraId="4F0DFB1B" w14:textId="7AE605E1" w:rsidR="005B6A9C" w:rsidRPr="00B433A3" w:rsidRDefault="005B6A9C" w:rsidP="00B8343E">
            <w:pPr>
              <w:pStyle w:val="Tabletext"/>
              <w:spacing w:before="240"/>
              <w:jc w:val="center"/>
              <w:rPr>
                <w:sz w:val="20"/>
                <w:szCs w:val="20"/>
              </w:rPr>
            </w:pPr>
            <w:r w:rsidRPr="00B433A3">
              <w:rPr>
                <w:sz w:val="20"/>
                <w:szCs w:val="20"/>
              </w:rPr>
              <w:t>Agence nationale du spectre de la Colombie (ANE)</w:t>
            </w:r>
          </w:p>
          <w:p w14:paraId="19C12ACD" w14:textId="77777777" w:rsidR="005B6A9C" w:rsidRPr="00B433A3" w:rsidRDefault="005B6A9C" w:rsidP="00B8343E">
            <w:pPr>
              <w:pStyle w:val="Tabletext"/>
              <w:spacing w:before="240"/>
              <w:jc w:val="center"/>
              <w:rPr>
                <w:sz w:val="20"/>
                <w:szCs w:val="20"/>
              </w:rPr>
            </w:pPr>
            <w:r w:rsidRPr="00B433A3">
              <w:rPr>
                <w:sz w:val="20"/>
                <w:szCs w:val="20"/>
              </w:rPr>
              <w:t>Bureau de l'UIT pour la région Amériques</w:t>
            </w:r>
          </w:p>
        </w:tc>
        <w:tc>
          <w:tcPr>
            <w:tcW w:w="5243" w:type="dxa"/>
            <w:tcBorders>
              <w:top w:val="single" w:sz="4" w:space="0" w:color="9CC2E5"/>
              <w:left w:val="single" w:sz="4" w:space="0" w:color="9CC2E5"/>
              <w:bottom w:val="single" w:sz="4" w:space="0" w:color="9CC2E5"/>
              <w:right w:val="single" w:sz="4" w:space="0" w:color="9CC2E5"/>
            </w:tcBorders>
            <w:shd w:val="clear" w:color="auto" w:fill="FFFFFF" w:themeFill="background1"/>
            <w:hideMark/>
          </w:tcPr>
          <w:p w14:paraId="2293B8D1" w14:textId="401F1715" w:rsidR="005B6A9C" w:rsidRPr="00B433A3" w:rsidRDefault="009F63E3" w:rsidP="00B8343E">
            <w:pPr>
              <w:pStyle w:val="Tabletext"/>
              <w:rPr>
                <w:rFonts w:cs="Times New Roman"/>
                <w:sz w:val="20"/>
                <w:szCs w:val="20"/>
              </w:rPr>
            </w:pPr>
            <w:r w:rsidRPr="00B433A3">
              <w:rPr>
                <w:sz w:val="20"/>
                <w:szCs w:val="20"/>
              </w:rPr>
              <w:t>•</w:t>
            </w:r>
            <w:r w:rsidRPr="00B433A3">
              <w:rPr>
                <w:sz w:val="20"/>
                <w:szCs w:val="20"/>
              </w:rPr>
              <w:tab/>
            </w:r>
            <w:r w:rsidR="005B6A9C" w:rsidRPr="00B433A3">
              <w:rPr>
                <w:sz w:val="20"/>
                <w:szCs w:val="20"/>
              </w:rPr>
              <w:t>Dernières tendances en matière de radiodiffusion sonore.</w:t>
            </w:r>
          </w:p>
          <w:p w14:paraId="1825E233" w14:textId="77F44264" w:rsidR="005B6A9C" w:rsidRPr="00B433A3" w:rsidRDefault="009F63E3" w:rsidP="00B8343E">
            <w:pPr>
              <w:pStyle w:val="Tabletext"/>
              <w:ind w:left="284" w:hanging="284"/>
              <w:rPr>
                <w:rFonts w:cs="Times New Roman"/>
                <w:sz w:val="20"/>
                <w:szCs w:val="20"/>
              </w:rPr>
            </w:pPr>
            <w:r w:rsidRPr="00B433A3">
              <w:rPr>
                <w:sz w:val="20"/>
                <w:szCs w:val="20"/>
              </w:rPr>
              <w:t>•</w:t>
            </w:r>
            <w:r w:rsidRPr="00B433A3">
              <w:rPr>
                <w:sz w:val="20"/>
                <w:szCs w:val="20"/>
              </w:rPr>
              <w:tab/>
            </w:r>
            <w:r w:rsidR="005B6A9C" w:rsidRPr="00B433A3">
              <w:rPr>
                <w:sz w:val="20"/>
                <w:szCs w:val="20"/>
              </w:rPr>
              <w:t xml:space="preserve">Minisatellites et </w:t>
            </w:r>
            <w:proofErr w:type="gramStart"/>
            <w:r w:rsidR="005B6A9C" w:rsidRPr="00B433A3">
              <w:rPr>
                <w:sz w:val="20"/>
                <w:szCs w:val="20"/>
              </w:rPr>
              <w:t>microsatellites:</w:t>
            </w:r>
            <w:proofErr w:type="gramEnd"/>
            <w:r w:rsidR="005B6A9C" w:rsidRPr="00B433A3">
              <w:rPr>
                <w:sz w:val="20"/>
                <w:szCs w:val="20"/>
              </w:rPr>
              <w:t xml:space="preserve"> systèmes à satellites non OSG/associés à des missions de courte durée.</w:t>
            </w:r>
          </w:p>
          <w:p w14:paraId="006381D1" w14:textId="2301051A" w:rsidR="005B6A9C" w:rsidRPr="00B433A3" w:rsidRDefault="009F63E3" w:rsidP="00B8343E">
            <w:pPr>
              <w:pStyle w:val="Tabletext"/>
              <w:ind w:left="284" w:hanging="284"/>
              <w:rPr>
                <w:rFonts w:cs="Times New Roman"/>
                <w:sz w:val="20"/>
                <w:szCs w:val="20"/>
              </w:rPr>
            </w:pPr>
            <w:r w:rsidRPr="00B433A3">
              <w:rPr>
                <w:sz w:val="20"/>
                <w:szCs w:val="20"/>
              </w:rPr>
              <w:t>•</w:t>
            </w:r>
            <w:r w:rsidRPr="00B433A3">
              <w:rPr>
                <w:sz w:val="20"/>
                <w:szCs w:val="20"/>
              </w:rPr>
              <w:tab/>
            </w:r>
            <w:r w:rsidR="005B6A9C" w:rsidRPr="00B433A3">
              <w:rPr>
                <w:sz w:val="20"/>
                <w:szCs w:val="20"/>
              </w:rPr>
              <w:t>Harmonisation des plans de bandes et des plans nationaux pour les communications d'urgence.</w:t>
            </w:r>
          </w:p>
          <w:p w14:paraId="0477E6C0" w14:textId="17F48BAD" w:rsidR="005B6A9C" w:rsidRPr="00B433A3" w:rsidRDefault="009F63E3" w:rsidP="00B8343E">
            <w:pPr>
              <w:pStyle w:val="Tabletext"/>
              <w:ind w:left="284" w:hanging="284"/>
              <w:rPr>
                <w:rFonts w:cs="Times New Roman"/>
                <w:sz w:val="20"/>
                <w:szCs w:val="20"/>
              </w:rPr>
            </w:pPr>
            <w:r w:rsidRPr="00B433A3">
              <w:rPr>
                <w:sz w:val="20"/>
                <w:szCs w:val="20"/>
              </w:rPr>
              <w:t>•</w:t>
            </w:r>
            <w:r w:rsidRPr="00B433A3">
              <w:rPr>
                <w:sz w:val="20"/>
                <w:szCs w:val="20"/>
              </w:rPr>
              <w:tab/>
            </w:r>
            <w:r w:rsidR="005B6A9C" w:rsidRPr="00B433A3">
              <w:rPr>
                <w:sz w:val="20"/>
                <w:szCs w:val="20"/>
              </w:rPr>
              <w:t>Nouveaux capteurs et bandes de fréquences plus élevées pour les systèmes modernes de contrôle des émissions.</w:t>
            </w:r>
          </w:p>
          <w:p w14:paraId="06DC1398" w14:textId="1D99D7E7" w:rsidR="005B6A9C" w:rsidRPr="00B433A3" w:rsidRDefault="009F63E3" w:rsidP="00B8343E">
            <w:pPr>
              <w:pStyle w:val="Tabletext"/>
              <w:ind w:left="284" w:hanging="284"/>
              <w:rPr>
                <w:rFonts w:cs="Times New Roman"/>
                <w:sz w:val="20"/>
                <w:szCs w:val="20"/>
              </w:rPr>
            </w:pPr>
            <w:r w:rsidRPr="00B433A3">
              <w:rPr>
                <w:sz w:val="20"/>
                <w:szCs w:val="20"/>
              </w:rPr>
              <w:t>•</w:t>
            </w:r>
            <w:r w:rsidRPr="00B433A3">
              <w:rPr>
                <w:sz w:val="20"/>
                <w:szCs w:val="20"/>
              </w:rPr>
              <w:tab/>
            </w:r>
            <w:r w:rsidR="005B6A9C" w:rsidRPr="00B433A3">
              <w:rPr>
                <w:sz w:val="20"/>
                <w:szCs w:val="20"/>
              </w:rPr>
              <w:t>Tarification du spectre pour la 5</w:t>
            </w:r>
            <w:proofErr w:type="gramStart"/>
            <w:r w:rsidR="005B6A9C" w:rsidRPr="00B433A3">
              <w:rPr>
                <w:sz w:val="20"/>
                <w:szCs w:val="20"/>
              </w:rPr>
              <w:t>G:</w:t>
            </w:r>
            <w:proofErr w:type="gramEnd"/>
            <w:r w:rsidR="005B6A9C" w:rsidRPr="00B433A3">
              <w:rPr>
                <w:sz w:val="20"/>
                <w:szCs w:val="20"/>
              </w:rPr>
              <w:t xml:space="preserve"> &lt;1GHz; </w:t>
            </w:r>
            <w:r w:rsidR="005B6A9C" w:rsidRPr="00B433A3">
              <w:rPr>
                <w:rFonts w:cs="Times New Roman"/>
                <w:sz w:val="20"/>
                <w:szCs w:val="20"/>
              </w:rPr>
              <w:t xml:space="preserve">de </w:t>
            </w:r>
            <w:r w:rsidR="005B6A9C" w:rsidRPr="00B433A3">
              <w:rPr>
                <w:sz w:val="20"/>
                <w:szCs w:val="20"/>
              </w:rPr>
              <w:t xml:space="preserve">1 </w:t>
            </w:r>
            <w:r w:rsidR="005B6A9C" w:rsidRPr="00B433A3">
              <w:rPr>
                <w:rFonts w:cs="Times New Roman"/>
                <w:sz w:val="20"/>
                <w:szCs w:val="20"/>
              </w:rPr>
              <w:t>à</w:t>
            </w:r>
            <w:r w:rsidR="005B6A9C" w:rsidRPr="00B433A3">
              <w:rPr>
                <w:sz w:val="20"/>
                <w:szCs w:val="20"/>
              </w:rPr>
              <w:t xml:space="preserve"> 6 GHz; ondes millimétriques.</w:t>
            </w:r>
          </w:p>
          <w:p w14:paraId="43E866C7" w14:textId="5BCE4DFD" w:rsidR="005B6A9C" w:rsidRPr="00B433A3" w:rsidRDefault="009F63E3" w:rsidP="00B8343E">
            <w:pPr>
              <w:pStyle w:val="Tabletext"/>
              <w:ind w:left="284" w:hanging="284"/>
              <w:rPr>
                <w:rFonts w:cs="Times New Roman"/>
                <w:sz w:val="20"/>
                <w:szCs w:val="20"/>
              </w:rPr>
            </w:pPr>
            <w:r w:rsidRPr="00B433A3">
              <w:rPr>
                <w:sz w:val="20"/>
                <w:szCs w:val="20"/>
              </w:rPr>
              <w:t>•</w:t>
            </w:r>
            <w:r w:rsidRPr="00B433A3">
              <w:rPr>
                <w:sz w:val="20"/>
                <w:szCs w:val="20"/>
              </w:rPr>
              <w:tab/>
            </w:r>
            <w:r w:rsidR="005B6A9C" w:rsidRPr="00B433A3">
              <w:rPr>
                <w:sz w:val="20"/>
                <w:szCs w:val="20"/>
              </w:rPr>
              <w:t xml:space="preserve">Modèles d'octroi de licences pour l'utilisation du </w:t>
            </w:r>
            <w:proofErr w:type="gramStart"/>
            <w:r w:rsidR="005B6A9C" w:rsidRPr="00B433A3">
              <w:rPr>
                <w:sz w:val="20"/>
                <w:szCs w:val="20"/>
              </w:rPr>
              <w:t>spectre:</w:t>
            </w:r>
            <w:proofErr w:type="gramEnd"/>
            <w:r w:rsidR="005B6A9C" w:rsidRPr="00B433A3">
              <w:rPr>
                <w:sz w:val="20"/>
                <w:szCs w:val="20"/>
              </w:rPr>
              <w:t xml:space="preserve"> licences souples; </w:t>
            </w:r>
            <w:r w:rsidR="005B6A9C" w:rsidRPr="00B433A3">
              <w:rPr>
                <w:rFonts w:cs="Times New Roman"/>
                <w:sz w:val="20"/>
                <w:szCs w:val="20"/>
              </w:rPr>
              <w:t>marché secondaire, accès secondaire</w:t>
            </w:r>
            <w:r w:rsidR="005B6A9C" w:rsidRPr="00B433A3">
              <w:rPr>
                <w:sz w:val="20"/>
                <w:szCs w:val="20"/>
              </w:rPr>
              <w:t>; absence de licences pour les utilisations opportunistes.</w:t>
            </w:r>
          </w:p>
          <w:p w14:paraId="45BBA890" w14:textId="538A0FA4" w:rsidR="005B6A9C" w:rsidRPr="00B433A3" w:rsidRDefault="009F63E3" w:rsidP="00B8343E">
            <w:pPr>
              <w:pStyle w:val="Tabletext"/>
              <w:ind w:left="284" w:hanging="284"/>
              <w:rPr>
                <w:rFonts w:cs="Times New Roman"/>
                <w:sz w:val="20"/>
                <w:szCs w:val="20"/>
              </w:rPr>
            </w:pPr>
            <w:r w:rsidRPr="00B433A3">
              <w:rPr>
                <w:sz w:val="20"/>
                <w:szCs w:val="20"/>
              </w:rPr>
              <w:t>•</w:t>
            </w:r>
            <w:r w:rsidRPr="00B433A3">
              <w:rPr>
                <w:sz w:val="20"/>
                <w:szCs w:val="20"/>
              </w:rPr>
              <w:tab/>
            </w:r>
            <w:r w:rsidR="005B6A9C" w:rsidRPr="00B433A3">
              <w:rPr>
                <w:sz w:val="20"/>
                <w:szCs w:val="20"/>
              </w:rPr>
              <w:t>Tendances et défis associés aux systèmes de radiocommunication cognitifs et aux systèmes de radiocommunication pilotés par logiciel.</w:t>
            </w:r>
          </w:p>
          <w:p w14:paraId="4B3E6A63" w14:textId="70FFB931" w:rsidR="005B6A9C" w:rsidRPr="00B433A3" w:rsidRDefault="009F63E3" w:rsidP="00B8343E">
            <w:pPr>
              <w:pStyle w:val="Tabletext"/>
              <w:ind w:left="284" w:hanging="284"/>
              <w:rPr>
                <w:sz w:val="20"/>
                <w:szCs w:val="20"/>
              </w:rPr>
            </w:pPr>
            <w:r w:rsidRPr="00B433A3">
              <w:rPr>
                <w:sz w:val="20"/>
                <w:szCs w:val="20"/>
              </w:rPr>
              <w:t>•</w:t>
            </w:r>
            <w:r w:rsidRPr="00B433A3">
              <w:rPr>
                <w:sz w:val="20"/>
                <w:szCs w:val="20"/>
              </w:rPr>
              <w:tab/>
            </w:r>
            <w:r w:rsidR="005B6A9C" w:rsidRPr="00B433A3">
              <w:rPr>
                <w:sz w:val="20"/>
                <w:szCs w:val="20"/>
              </w:rPr>
              <w:t>Table ronde sur la porté</w:t>
            </w:r>
            <w:r w:rsidRPr="00B433A3">
              <w:rPr>
                <w:sz w:val="20"/>
                <w:szCs w:val="20"/>
              </w:rPr>
              <w:t>e régionale des résultats de la </w:t>
            </w:r>
            <w:r w:rsidR="005B6A9C" w:rsidRPr="00B433A3">
              <w:rPr>
                <w:sz w:val="20"/>
                <w:szCs w:val="20"/>
              </w:rPr>
              <w:t>CMR-19 et les enjeux de l'ordre du jour de la CMR-23.</w:t>
            </w:r>
          </w:p>
        </w:tc>
        <w:tc>
          <w:tcPr>
            <w:tcW w:w="851" w:type="dxa"/>
            <w:tcBorders>
              <w:top w:val="single" w:sz="4" w:space="0" w:color="9CC2E5"/>
              <w:left w:val="single" w:sz="4" w:space="0" w:color="9CC2E5"/>
              <w:bottom w:val="single" w:sz="4" w:space="0" w:color="9CC2E5"/>
              <w:right w:val="single" w:sz="4" w:space="0" w:color="9CC2E5"/>
            </w:tcBorders>
            <w:shd w:val="clear" w:color="auto" w:fill="FFFFFF" w:themeFill="background1"/>
            <w:hideMark/>
          </w:tcPr>
          <w:p w14:paraId="34843C25" w14:textId="77777777" w:rsidR="005B6A9C" w:rsidRPr="00B433A3" w:rsidRDefault="005B6A9C" w:rsidP="00B8343E">
            <w:pPr>
              <w:pStyle w:val="Tabletext"/>
              <w:jc w:val="center"/>
              <w:rPr>
                <w:sz w:val="20"/>
                <w:szCs w:val="20"/>
              </w:rPr>
            </w:pPr>
            <w:r w:rsidRPr="00B433A3">
              <w:rPr>
                <w:sz w:val="20"/>
                <w:szCs w:val="20"/>
              </w:rPr>
              <w:t>S</w:t>
            </w:r>
          </w:p>
        </w:tc>
        <w:tc>
          <w:tcPr>
            <w:tcW w:w="850" w:type="dxa"/>
            <w:tcBorders>
              <w:top w:val="single" w:sz="4" w:space="0" w:color="9CC2E5"/>
              <w:left w:val="single" w:sz="4" w:space="0" w:color="9CC2E5"/>
              <w:bottom w:val="single" w:sz="4" w:space="0" w:color="9CC2E5"/>
              <w:right w:val="single" w:sz="4" w:space="0" w:color="9CC2E5"/>
            </w:tcBorders>
            <w:shd w:val="clear" w:color="auto" w:fill="FFFFFF" w:themeFill="background1"/>
            <w:hideMark/>
          </w:tcPr>
          <w:p w14:paraId="50042BA9" w14:textId="77777777" w:rsidR="005B6A9C" w:rsidRPr="00B433A3" w:rsidRDefault="005B6A9C" w:rsidP="00B8343E">
            <w:pPr>
              <w:pStyle w:val="Tabletext"/>
              <w:jc w:val="center"/>
              <w:rPr>
                <w:sz w:val="20"/>
                <w:szCs w:val="20"/>
              </w:rPr>
            </w:pPr>
            <w:r w:rsidRPr="00B433A3">
              <w:rPr>
                <w:sz w:val="20"/>
                <w:szCs w:val="20"/>
              </w:rPr>
              <w:t>238/49</w:t>
            </w:r>
          </w:p>
        </w:tc>
      </w:tr>
      <w:tr w:rsidR="005B6A9C" w:rsidRPr="00B433A3" w14:paraId="40D8D222" w14:textId="77777777" w:rsidTr="00AE421E">
        <w:tc>
          <w:tcPr>
            <w:tcW w:w="1980" w:type="dxa"/>
            <w:tcBorders>
              <w:top w:val="single" w:sz="4" w:space="0" w:color="9CC2E5"/>
              <w:left w:val="single" w:sz="4" w:space="0" w:color="9CC2E5"/>
              <w:bottom w:val="single" w:sz="4" w:space="0" w:color="9CC2E5"/>
              <w:right w:val="single" w:sz="4" w:space="0" w:color="9CC2E5"/>
            </w:tcBorders>
            <w:shd w:val="clear" w:color="auto" w:fill="DBE5F1" w:themeFill="accent1" w:themeFillTint="33"/>
            <w:hideMark/>
          </w:tcPr>
          <w:p w14:paraId="1F98609C" w14:textId="77777777" w:rsidR="005B6A9C" w:rsidRPr="00B433A3" w:rsidRDefault="005B6A9C" w:rsidP="00B8343E">
            <w:pPr>
              <w:pStyle w:val="Tabletext"/>
              <w:rPr>
                <w:sz w:val="20"/>
                <w:szCs w:val="20"/>
              </w:rPr>
            </w:pPr>
            <w:r w:rsidRPr="00B433A3">
              <w:rPr>
                <w:sz w:val="20"/>
                <w:szCs w:val="20"/>
              </w:rPr>
              <w:t>5-16 juillet 2021</w:t>
            </w:r>
          </w:p>
        </w:tc>
        <w:tc>
          <w:tcPr>
            <w:tcW w:w="1843" w:type="dxa"/>
            <w:tcBorders>
              <w:top w:val="single" w:sz="4" w:space="0" w:color="9CC2E5"/>
              <w:left w:val="single" w:sz="4" w:space="0" w:color="9CC2E5"/>
              <w:bottom w:val="single" w:sz="4" w:space="0" w:color="9CC2E5"/>
              <w:right w:val="single" w:sz="4" w:space="0" w:color="9CC2E5"/>
            </w:tcBorders>
            <w:shd w:val="clear" w:color="auto" w:fill="DBE5F1" w:themeFill="accent1" w:themeFillTint="33"/>
            <w:hideMark/>
          </w:tcPr>
          <w:p w14:paraId="33BEF2CD" w14:textId="77777777" w:rsidR="005B6A9C" w:rsidRPr="00B433A3" w:rsidRDefault="005B6A9C" w:rsidP="00B8343E">
            <w:pPr>
              <w:pStyle w:val="Tabletext"/>
              <w:rPr>
                <w:sz w:val="20"/>
                <w:szCs w:val="20"/>
              </w:rPr>
            </w:pPr>
            <w:r w:rsidRPr="00B433A3">
              <w:rPr>
                <w:sz w:val="20"/>
                <w:szCs w:val="20"/>
              </w:rPr>
              <w:t>RRS-21-Afrique</w:t>
            </w:r>
          </w:p>
        </w:tc>
        <w:tc>
          <w:tcPr>
            <w:tcW w:w="1134" w:type="dxa"/>
            <w:tcBorders>
              <w:top w:val="single" w:sz="4" w:space="0" w:color="9CC2E5"/>
              <w:left w:val="single" w:sz="4" w:space="0" w:color="9CC2E5"/>
              <w:bottom w:val="single" w:sz="4" w:space="0" w:color="9CC2E5"/>
              <w:right w:val="single" w:sz="4" w:space="0" w:color="9CC2E5"/>
            </w:tcBorders>
            <w:shd w:val="clear" w:color="auto" w:fill="DBE5F1" w:themeFill="accent1" w:themeFillTint="33"/>
            <w:hideMark/>
          </w:tcPr>
          <w:p w14:paraId="3F7569CE" w14:textId="77777777" w:rsidR="005B6A9C" w:rsidRPr="00B433A3" w:rsidRDefault="005B6A9C" w:rsidP="00B8343E">
            <w:pPr>
              <w:pStyle w:val="Tabletext"/>
              <w:jc w:val="center"/>
              <w:rPr>
                <w:sz w:val="20"/>
                <w:szCs w:val="20"/>
              </w:rPr>
            </w:pPr>
            <w:r w:rsidRPr="00B433A3">
              <w:rPr>
                <w:sz w:val="20"/>
                <w:szCs w:val="20"/>
              </w:rPr>
              <w:t>Réunion virtuelle</w:t>
            </w:r>
          </w:p>
        </w:tc>
        <w:tc>
          <w:tcPr>
            <w:tcW w:w="848" w:type="dxa"/>
            <w:tcBorders>
              <w:top w:val="single" w:sz="4" w:space="0" w:color="9CC2E5"/>
              <w:left w:val="single" w:sz="4" w:space="0" w:color="9CC2E5"/>
              <w:bottom w:val="single" w:sz="4" w:space="0" w:color="9CC2E5"/>
              <w:right w:val="single" w:sz="4" w:space="0" w:color="9CC2E5"/>
            </w:tcBorders>
            <w:shd w:val="clear" w:color="auto" w:fill="DBE5F1" w:themeFill="accent1" w:themeFillTint="33"/>
            <w:hideMark/>
          </w:tcPr>
          <w:p w14:paraId="1668DAAE" w14:textId="77777777" w:rsidR="005B6A9C" w:rsidRPr="00B433A3" w:rsidRDefault="005B6A9C" w:rsidP="00B8343E">
            <w:pPr>
              <w:pStyle w:val="Tabletext"/>
              <w:rPr>
                <w:sz w:val="20"/>
                <w:szCs w:val="20"/>
              </w:rPr>
            </w:pPr>
            <w:r w:rsidRPr="00B433A3">
              <w:rPr>
                <w:sz w:val="20"/>
                <w:szCs w:val="20"/>
              </w:rPr>
              <w:t>−</w:t>
            </w:r>
          </w:p>
        </w:tc>
        <w:tc>
          <w:tcPr>
            <w:tcW w:w="2551" w:type="dxa"/>
            <w:tcBorders>
              <w:top w:val="single" w:sz="4" w:space="0" w:color="9CC2E5"/>
              <w:left w:val="single" w:sz="4" w:space="0" w:color="9CC2E5"/>
              <w:bottom w:val="single" w:sz="4" w:space="0" w:color="9CC2E5"/>
              <w:right w:val="single" w:sz="4" w:space="0" w:color="9CC2E5"/>
            </w:tcBorders>
            <w:shd w:val="clear" w:color="auto" w:fill="DBE5F1" w:themeFill="accent1" w:themeFillTint="33"/>
          </w:tcPr>
          <w:p w14:paraId="4F9A0CB1" w14:textId="77777777" w:rsidR="005B6A9C" w:rsidRPr="00B433A3" w:rsidRDefault="005B6A9C" w:rsidP="00B8343E">
            <w:pPr>
              <w:pStyle w:val="Tabletext"/>
              <w:jc w:val="center"/>
              <w:rPr>
                <w:sz w:val="20"/>
                <w:szCs w:val="20"/>
              </w:rPr>
            </w:pPr>
            <w:r w:rsidRPr="00B433A3">
              <w:rPr>
                <w:sz w:val="20"/>
                <w:szCs w:val="20"/>
              </w:rPr>
              <w:t>Union africaine des télécommunications (UAT)</w:t>
            </w:r>
          </w:p>
          <w:p w14:paraId="01132FDF" w14:textId="77777777" w:rsidR="005B6A9C" w:rsidRPr="00B433A3" w:rsidRDefault="005B6A9C" w:rsidP="00B8343E">
            <w:pPr>
              <w:pStyle w:val="Tabletext"/>
              <w:spacing w:before="240"/>
              <w:jc w:val="center"/>
              <w:rPr>
                <w:sz w:val="20"/>
                <w:szCs w:val="20"/>
              </w:rPr>
            </w:pPr>
            <w:r w:rsidRPr="00B433A3">
              <w:rPr>
                <w:sz w:val="20"/>
                <w:szCs w:val="20"/>
              </w:rPr>
              <w:t>Bureau de l'UIT pour la région Afrique</w:t>
            </w:r>
          </w:p>
        </w:tc>
        <w:tc>
          <w:tcPr>
            <w:tcW w:w="5243" w:type="dxa"/>
            <w:tcBorders>
              <w:top w:val="single" w:sz="4" w:space="0" w:color="9CC2E5"/>
              <w:left w:val="single" w:sz="4" w:space="0" w:color="9CC2E5"/>
              <w:bottom w:val="single" w:sz="4" w:space="0" w:color="9CC2E5"/>
              <w:right w:val="single" w:sz="4" w:space="0" w:color="9CC2E5"/>
            </w:tcBorders>
            <w:shd w:val="clear" w:color="auto" w:fill="DBE5F1" w:themeFill="accent1" w:themeFillTint="33"/>
            <w:hideMark/>
          </w:tcPr>
          <w:p w14:paraId="58203D2D" w14:textId="5736C7C9" w:rsidR="005B6A9C" w:rsidRPr="00B433A3" w:rsidRDefault="00AE421E" w:rsidP="00B8343E">
            <w:pPr>
              <w:pStyle w:val="Tabletext"/>
              <w:ind w:left="284" w:hanging="284"/>
              <w:rPr>
                <w:rFonts w:cs="Times New Roman"/>
                <w:sz w:val="20"/>
                <w:szCs w:val="20"/>
              </w:rPr>
            </w:pPr>
            <w:r w:rsidRPr="00B433A3">
              <w:rPr>
                <w:sz w:val="20"/>
                <w:szCs w:val="20"/>
              </w:rPr>
              <w:t>•</w:t>
            </w:r>
            <w:r w:rsidRPr="00B433A3">
              <w:rPr>
                <w:sz w:val="20"/>
                <w:szCs w:val="20"/>
              </w:rPr>
              <w:tab/>
            </w:r>
            <w:r w:rsidR="005B6A9C" w:rsidRPr="00B433A3">
              <w:rPr>
                <w:sz w:val="20"/>
                <w:szCs w:val="20"/>
              </w:rPr>
              <w:t>Outils concernant les Tableaux nationaux d'attribution des bandes de fréquences (NFAT), y compris l'outil de visualisation de l'Article 5 du RR.</w:t>
            </w:r>
          </w:p>
          <w:p w14:paraId="67D7C5E8" w14:textId="2ABDB074" w:rsidR="005B6A9C" w:rsidRPr="00B433A3" w:rsidRDefault="00AE421E" w:rsidP="00B8343E">
            <w:pPr>
              <w:pStyle w:val="Tabletext"/>
              <w:ind w:left="284" w:hanging="284"/>
              <w:rPr>
                <w:rFonts w:cs="Times New Roman"/>
                <w:sz w:val="20"/>
                <w:szCs w:val="20"/>
              </w:rPr>
            </w:pPr>
            <w:r w:rsidRPr="00B433A3">
              <w:rPr>
                <w:sz w:val="20"/>
                <w:szCs w:val="20"/>
              </w:rPr>
              <w:t>•</w:t>
            </w:r>
            <w:r w:rsidRPr="00B433A3">
              <w:rPr>
                <w:sz w:val="20"/>
                <w:szCs w:val="20"/>
              </w:rPr>
              <w:tab/>
            </w:r>
            <w:r w:rsidR="005B6A9C" w:rsidRPr="00B433A3">
              <w:rPr>
                <w:sz w:val="20"/>
                <w:szCs w:val="20"/>
              </w:rPr>
              <w:t>Nouveaux capteurs et bandes de fréquences plus élevées pour les systèmes modernes de contrôle des émissions.</w:t>
            </w:r>
          </w:p>
          <w:p w14:paraId="5BD0436D" w14:textId="3D9E8B66" w:rsidR="005B6A9C" w:rsidRPr="00B433A3" w:rsidRDefault="00AE421E" w:rsidP="00B8343E">
            <w:pPr>
              <w:pStyle w:val="Tabletext"/>
              <w:ind w:left="284" w:hanging="284"/>
              <w:rPr>
                <w:rFonts w:cs="Times New Roman"/>
                <w:sz w:val="20"/>
                <w:szCs w:val="20"/>
              </w:rPr>
            </w:pPr>
            <w:r w:rsidRPr="00B433A3">
              <w:rPr>
                <w:sz w:val="20"/>
                <w:szCs w:val="20"/>
              </w:rPr>
              <w:t>•</w:t>
            </w:r>
            <w:r w:rsidRPr="00B433A3">
              <w:rPr>
                <w:sz w:val="20"/>
                <w:szCs w:val="20"/>
              </w:rPr>
              <w:tab/>
            </w:r>
            <w:r w:rsidR="005B6A9C" w:rsidRPr="00B433A3">
              <w:rPr>
                <w:sz w:val="20"/>
                <w:szCs w:val="20"/>
              </w:rPr>
              <w:t>Dernières tendances en matière de radiodiffusion sonore et d'optimisation du Plan GE84.</w:t>
            </w:r>
          </w:p>
          <w:p w14:paraId="5FB786E2" w14:textId="0B10F718" w:rsidR="005B6A9C" w:rsidRPr="00B433A3" w:rsidRDefault="00AE421E" w:rsidP="00B8343E">
            <w:pPr>
              <w:pStyle w:val="Tabletext"/>
              <w:rPr>
                <w:rFonts w:cs="Times New Roman"/>
                <w:sz w:val="20"/>
                <w:szCs w:val="20"/>
              </w:rPr>
            </w:pPr>
            <w:r w:rsidRPr="00B433A3">
              <w:rPr>
                <w:sz w:val="20"/>
                <w:szCs w:val="20"/>
              </w:rPr>
              <w:t>•</w:t>
            </w:r>
            <w:r w:rsidRPr="00B433A3">
              <w:rPr>
                <w:sz w:val="20"/>
                <w:szCs w:val="20"/>
              </w:rPr>
              <w:tab/>
            </w:r>
            <w:r w:rsidR="005B6A9C" w:rsidRPr="00B433A3">
              <w:rPr>
                <w:sz w:val="20"/>
                <w:szCs w:val="20"/>
              </w:rPr>
              <w:t>Plans nationaux relatifs aux communications d'urgence.</w:t>
            </w:r>
          </w:p>
          <w:p w14:paraId="1EBE8796" w14:textId="15D365E9" w:rsidR="005B6A9C" w:rsidRPr="00B433A3" w:rsidRDefault="00AE421E" w:rsidP="00B8343E">
            <w:pPr>
              <w:pStyle w:val="Tabletext"/>
              <w:ind w:left="284" w:hanging="284"/>
              <w:rPr>
                <w:rFonts w:cs="Times New Roman"/>
                <w:sz w:val="20"/>
                <w:szCs w:val="20"/>
              </w:rPr>
            </w:pPr>
            <w:r w:rsidRPr="00B433A3">
              <w:rPr>
                <w:sz w:val="20"/>
                <w:szCs w:val="20"/>
              </w:rPr>
              <w:t>•</w:t>
            </w:r>
            <w:r w:rsidRPr="00B433A3">
              <w:rPr>
                <w:sz w:val="20"/>
                <w:szCs w:val="20"/>
              </w:rPr>
              <w:tab/>
            </w:r>
            <w:r w:rsidR="005B6A9C" w:rsidRPr="00B433A3">
              <w:rPr>
                <w:sz w:val="20"/>
                <w:szCs w:val="20"/>
              </w:rPr>
              <w:t xml:space="preserve">Bandes de </w:t>
            </w:r>
            <w:proofErr w:type="gramStart"/>
            <w:r w:rsidR="005B6A9C" w:rsidRPr="00B433A3">
              <w:rPr>
                <w:sz w:val="20"/>
                <w:szCs w:val="20"/>
              </w:rPr>
              <w:t>fréquences;</w:t>
            </w:r>
            <w:proofErr w:type="gramEnd"/>
            <w:r w:rsidR="005B6A9C" w:rsidRPr="00B433A3">
              <w:rPr>
                <w:sz w:val="20"/>
                <w:szCs w:val="20"/>
              </w:rPr>
              <w:t xml:space="preserve"> harmonisation et expériences au niveau régional en Afrique et dans d'autres régions </w:t>
            </w:r>
            <w:r w:rsidR="005B6A9C" w:rsidRPr="00B433A3">
              <w:rPr>
                <w:sz w:val="20"/>
                <w:szCs w:val="20"/>
              </w:rPr>
              <w:lastRenderedPageBreak/>
              <w:t>concernant les problèmes liés au déploiement de la 5G en Afrique.</w:t>
            </w:r>
          </w:p>
          <w:p w14:paraId="0E644629" w14:textId="7137A831" w:rsidR="005B6A9C" w:rsidRPr="00B433A3" w:rsidRDefault="00AE421E" w:rsidP="00B8343E">
            <w:pPr>
              <w:pStyle w:val="Tabletext"/>
              <w:ind w:left="284" w:hanging="284"/>
              <w:rPr>
                <w:rFonts w:cs="Times New Roman"/>
                <w:sz w:val="20"/>
                <w:szCs w:val="20"/>
              </w:rPr>
            </w:pPr>
            <w:r w:rsidRPr="00B433A3">
              <w:rPr>
                <w:sz w:val="20"/>
                <w:szCs w:val="20"/>
              </w:rPr>
              <w:t>•</w:t>
            </w:r>
            <w:r w:rsidRPr="00B433A3">
              <w:rPr>
                <w:sz w:val="20"/>
                <w:szCs w:val="20"/>
              </w:rPr>
              <w:tab/>
            </w:r>
            <w:r w:rsidR="005B6A9C" w:rsidRPr="00B433A3">
              <w:rPr>
                <w:sz w:val="20"/>
                <w:szCs w:val="20"/>
              </w:rPr>
              <w:t xml:space="preserve">Autres systèmes large bande de </w:t>
            </w:r>
            <w:proofErr w:type="gramStart"/>
            <w:r w:rsidR="005B6A9C" w:rsidRPr="00B433A3">
              <w:rPr>
                <w:sz w:val="20"/>
                <w:szCs w:val="20"/>
              </w:rPr>
              <w:t>Terre:</w:t>
            </w:r>
            <w:proofErr w:type="gramEnd"/>
            <w:r w:rsidR="005B6A9C" w:rsidRPr="00B433A3">
              <w:rPr>
                <w:sz w:val="20"/>
                <w:szCs w:val="20"/>
              </w:rPr>
              <w:t xml:space="preserve"> fixe; HAPS/HIBS; RLAN.</w:t>
            </w:r>
          </w:p>
          <w:p w14:paraId="37E43D01" w14:textId="01A80774" w:rsidR="005B6A9C" w:rsidRPr="00B433A3" w:rsidRDefault="00AE421E" w:rsidP="00B8343E">
            <w:pPr>
              <w:pStyle w:val="Tabletext"/>
              <w:ind w:left="284" w:hanging="284"/>
              <w:rPr>
                <w:rFonts w:cs="Times New Roman"/>
                <w:sz w:val="20"/>
                <w:szCs w:val="20"/>
              </w:rPr>
            </w:pPr>
            <w:r w:rsidRPr="00B433A3">
              <w:rPr>
                <w:sz w:val="20"/>
                <w:szCs w:val="20"/>
              </w:rPr>
              <w:t>•</w:t>
            </w:r>
            <w:r w:rsidRPr="00B433A3">
              <w:rPr>
                <w:sz w:val="20"/>
                <w:szCs w:val="20"/>
              </w:rPr>
              <w:tab/>
            </w:r>
            <w:r w:rsidR="005B6A9C" w:rsidRPr="00B433A3">
              <w:rPr>
                <w:sz w:val="20"/>
                <w:szCs w:val="20"/>
              </w:rPr>
              <w:t xml:space="preserve">Systèmes à </w:t>
            </w:r>
            <w:proofErr w:type="gramStart"/>
            <w:r w:rsidR="005B6A9C" w:rsidRPr="00B433A3">
              <w:rPr>
                <w:sz w:val="20"/>
                <w:szCs w:val="20"/>
              </w:rPr>
              <w:t>satellites:</w:t>
            </w:r>
            <w:proofErr w:type="gramEnd"/>
            <w:r w:rsidR="005B6A9C" w:rsidRPr="00B433A3">
              <w:rPr>
                <w:sz w:val="20"/>
                <w:szCs w:val="20"/>
              </w:rPr>
              <w:t xml:space="preserve"> satellites large bande (OSG et non OSG), stations terriennes en mouvement (ESIM); petits satellites.</w:t>
            </w:r>
          </w:p>
          <w:p w14:paraId="4A052C59" w14:textId="43EF009C" w:rsidR="005B6A9C" w:rsidRPr="00B433A3" w:rsidRDefault="005B6A9C" w:rsidP="00B8343E">
            <w:pPr>
              <w:pStyle w:val="Tabletext"/>
              <w:ind w:left="284" w:hanging="284"/>
              <w:rPr>
                <w:sz w:val="20"/>
                <w:szCs w:val="20"/>
              </w:rPr>
            </w:pPr>
            <w:r w:rsidRPr="00B433A3">
              <w:rPr>
                <w:rFonts w:cs="Times New Roman"/>
                <w:sz w:val="20"/>
                <w:szCs w:val="20"/>
              </w:rPr>
              <w:t>•</w:t>
            </w:r>
            <w:r w:rsidR="00AE421E" w:rsidRPr="00B433A3">
              <w:rPr>
                <w:sz w:val="20"/>
                <w:szCs w:val="20"/>
              </w:rPr>
              <w:tab/>
            </w:r>
            <w:r w:rsidRPr="00B433A3">
              <w:rPr>
                <w:sz w:val="20"/>
                <w:szCs w:val="20"/>
              </w:rPr>
              <w:t>Table ronde sur les résultats de la CMR-19 et les enjeux de l'ordre du jour de la CMR-23.</w:t>
            </w:r>
          </w:p>
        </w:tc>
        <w:tc>
          <w:tcPr>
            <w:tcW w:w="851" w:type="dxa"/>
            <w:tcBorders>
              <w:top w:val="single" w:sz="4" w:space="0" w:color="9CC2E5"/>
              <w:left w:val="single" w:sz="4" w:space="0" w:color="9CC2E5"/>
              <w:bottom w:val="single" w:sz="4" w:space="0" w:color="9CC2E5"/>
              <w:right w:val="single" w:sz="4" w:space="0" w:color="9CC2E5"/>
            </w:tcBorders>
            <w:shd w:val="clear" w:color="auto" w:fill="DBE5F1" w:themeFill="accent1" w:themeFillTint="33"/>
            <w:hideMark/>
          </w:tcPr>
          <w:p w14:paraId="43833C22" w14:textId="77777777" w:rsidR="005B6A9C" w:rsidRPr="00B433A3" w:rsidRDefault="005B6A9C" w:rsidP="00B8343E">
            <w:pPr>
              <w:pStyle w:val="Tabletext"/>
              <w:jc w:val="center"/>
              <w:rPr>
                <w:sz w:val="20"/>
                <w:szCs w:val="20"/>
              </w:rPr>
            </w:pPr>
            <w:r w:rsidRPr="00B433A3">
              <w:rPr>
                <w:sz w:val="20"/>
                <w:szCs w:val="20"/>
              </w:rPr>
              <w:lastRenderedPageBreak/>
              <w:t>E &amp; F</w:t>
            </w:r>
          </w:p>
        </w:tc>
        <w:tc>
          <w:tcPr>
            <w:tcW w:w="850" w:type="dxa"/>
            <w:tcBorders>
              <w:top w:val="single" w:sz="4" w:space="0" w:color="9CC2E5"/>
              <w:left w:val="single" w:sz="4" w:space="0" w:color="9CC2E5"/>
              <w:bottom w:val="single" w:sz="4" w:space="0" w:color="9CC2E5"/>
              <w:right w:val="single" w:sz="4" w:space="0" w:color="9CC2E5"/>
            </w:tcBorders>
            <w:shd w:val="clear" w:color="auto" w:fill="DBE5F1" w:themeFill="accent1" w:themeFillTint="33"/>
            <w:hideMark/>
          </w:tcPr>
          <w:p w14:paraId="1CA6AA1D" w14:textId="77777777" w:rsidR="005B6A9C" w:rsidRPr="00B433A3" w:rsidRDefault="005B6A9C" w:rsidP="00B8343E">
            <w:pPr>
              <w:pStyle w:val="Tabletext"/>
              <w:jc w:val="center"/>
              <w:rPr>
                <w:sz w:val="20"/>
                <w:szCs w:val="20"/>
              </w:rPr>
            </w:pPr>
            <w:r w:rsidRPr="00B433A3">
              <w:rPr>
                <w:sz w:val="20"/>
                <w:szCs w:val="20"/>
              </w:rPr>
              <w:t>217/68</w:t>
            </w:r>
          </w:p>
        </w:tc>
      </w:tr>
      <w:tr w:rsidR="005B6A9C" w:rsidRPr="00B433A3" w14:paraId="509FEB1E" w14:textId="77777777" w:rsidTr="00AE421E">
        <w:trPr>
          <w:cnfStyle w:val="000000100000" w:firstRow="0" w:lastRow="0" w:firstColumn="0" w:lastColumn="0" w:oddVBand="0" w:evenVBand="0" w:oddHBand="1" w:evenHBand="0" w:firstRowFirstColumn="0" w:firstRowLastColumn="0" w:lastRowFirstColumn="0" w:lastRowLastColumn="0"/>
        </w:trPr>
        <w:tc>
          <w:tcPr>
            <w:tcW w:w="1980" w:type="dxa"/>
            <w:tcBorders>
              <w:top w:val="single" w:sz="4" w:space="0" w:color="9CC2E5"/>
              <w:left w:val="single" w:sz="4" w:space="0" w:color="9CC2E5"/>
              <w:bottom w:val="single" w:sz="4" w:space="0" w:color="9CC2E5"/>
              <w:right w:val="single" w:sz="4" w:space="0" w:color="9CC2E5"/>
            </w:tcBorders>
            <w:shd w:val="clear" w:color="auto" w:fill="FFFFFF" w:themeFill="background1"/>
            <w:hideMark/>
          </w:tcPr>
          <w:p w14:paraId="590233A6" w14:textId="77777777" w:rsidR="005B6A9C" w:rsidRPr="00B433A3" w:rsidRDefault="005B6A9C" w:rsidP="00B8343E">
            <w:pPr>
              <w:pStyle w:val="Tabletext"/>
              <w:rPr>
                <w:sz w:val="20"/>
                <w:szCs w:val="20"/>
              </w:rPr>
            </w:pPr>
            <w:r w:rsidRPr="00B433A3">
              <w:rPr>
                <w:sz w:val="20"/>
                <w:szCs w:val="20"/>
              </w:rPr>
              <w:t>11-22 octobre 2021</w:t>
            </w:r>
          </w:p>
        </w:tc>
        <w:tc>
          <w:tcPr>
            <w:tcW w:w="1843" w:type="dxa"/>
            <w:tcBorders>
              <w:top w:val="single" w:sz="4" w:space="0" w:color="9CC2E5"/>
              <w:left w:val="single" w:sz="4" w:space="0" w:color="9CC2E5"/>
              <w:bottom w:val="single" w:sz="4" w:space="0" w:color="9CC2E5"/>
              <w:right w:val="single" w:sz="4" w:space="0" w:color="9CC2E5"/>
            </w:tcBorders>
            <w:shd w:val="clear" w:color="auto" w:fill="FFFFFF" w:themeFill="background1"/>
            <w:hideMark/>
          </w:tcPr>
          <w:p w14:paraId="44844437" w14:textId="77777777" w:rsidR="005B6A9C" w:rsidRPr="00B433A3" w:rsidRDefault="005B6A9C" w:rsidP="00B8343E">
            <w:pPr>
              <w:pStyle w:val="Tabletext"/>
              <w:rPr>
                <w:sz w:val="20"/>
                <w:szCs w:val="20"/>
              </w:rPr>
            </w:pPr>
            <w:r w:rsidRPr="00B433A3">
              <w:rPr>
                <w:sz w:val="20"/>
                <w:szCs w:val="20"/>
              </w:rPr>
              <w:t>RRS-21-Asie-Pacifique</w:t>
            </w:r>
          </w:p>
        </w:tc>
        <w:tc>
          <w:tcPr>
            <w:tcW w:w="1134" w:type="dxa"/>
            <w:tcBorders>
              <w:top w:val="single" w:sz="4" w:space="0" w:color="9CC2E5"/>
              <w:left w:val="single" w:sz="4" w:space="0" w:color="9CC2E5"/>
              <w:bottom w:val="single" w:sz="4" w:space="0" w:color="9CC2E5"/>
              <w:right w:val="single" w:sz="4" w:space="0" w:color="9CC2E5"/>
            </w:tcBorders>
            <w:shd w:val="clear" w:color="auto" w:fill="FFFFFF" w:themeFill="background1"/>
            <w:hideMark/>
          </w:tcPr>
          <w:p w14:paraId="2139D4D0" w14:textId="77777777" w:rsidR="005B6A9C" w:rsidRPr="00B433A3" w:rsidRDefault="005B6A9C" w:rsidP="00B8343E">
            <w:pPr>
              <w:pStyle w:val="Tabletext"/>
              <w:jc w:val="center"/>
              <w:rPr>
                <w:sz w:val="20"/>
                <w:szCs w:val="20"/>
              </w:rPr>
            </w:pPr>
            <w:r w:rsidRPr="00B433A3">
              <w:rPr>
                <w:sz w:val="20"/>
                <w:szCs w:val="20"/>
              </w:rPr>
              <w:t>Réunion virtuelle</w:t>
            </w:r>
          </w:p>
        </w:tc>
        <w:tc>
          <w:tcPr>
            <w:tcW w:w="848" w:type="dxa"/>
            <w:tcBorders>
              <w:top w:val="single" w:sz="4" w:space="0" w:color="9CC2E5"/>
              <w:left w:val="single" w:sz="4" w:space="0" w:color="9CC2E5"/>
              <w:bottom w:val="single" w:sz="4" w:space="0" w:color="9CC2E5"/>
              <w:right w:val="single" w:sz="4" w:space="0" w:color="9CC2E5"/>
            </w:tcBorders>
            <w:shd w:val="clear" w:color="auto" w:fill="FFFFFF" w:themeFill="background1"/>
            <w:hideMark/>
          </w:tcPr>
          <w:p w14:paraId="42A5F971" w14:textId="77777777" w:rsidR="005B6A9C" w:rsidRPr="00B433A3" w:rsidRDefault="005B6A9C" w:rsidP="00B8343E">
            <w:pPr>
              <w:pStyle w:val="Tabletext"/>
              <w:rPr>
                <w:sz w:val="20"/>
                <w:szCs w:val="20"/>
              </w:rPr>
            </w:pPr>
            <w:r w:rsidRPr="00B433A3">
              <w:rPr>
                <w:sz w:val="20"/>
                <w:szCs w:val="20"/>
              </w:rPr>
              <w:t>−</w:t>
            </w:r>
          </w:p>
        </w:tc>
        <w:tc>
          <w:tcPr>
            <w:tcW w:w="2551" w:type="dxa"/>
            <w:tcBorders>
              <w:top w:val="single" w:sz="4" w:space="0" w:color="9CC2E5"/>
              <w:left w:val="single" w:sz="4" w:space="0" w:color="9CC2E5"/>
              <w:bottom w:val="single" w:sz="4" w:space="0" w:color="9CC2E5"/>
              <w:right w:val="single" w:sz="4" w:space="0" w:color="9CC2E5"/>
            </w:tcBorders>
            <w:shd w:val="clear" w:color="auto" w:fill="FFFFFF" w:themeFill="background1"/>
            <w:hideMark/>
          </w:tcPr>
          <w:p w14:paraId="1DBC1061" w14:textId="21561D24" w:rsidR="009F63E3" w:rsidRPr="00B433A3" w:rsidRDefault="005B6A9C" w:rsidP="00B8343E">
            <w:pPr>
              <w:pStyle w:val="Tabletext"/>
              <w:jc w:val="center"/>
              <w:rPr>
                <w:sz w:val="20"/>
                <w:szCs w:val="20"/>
              </w:rPr>
            </w:pPr>
            <w:proofErr w:type="spellStart"/>
            <w:r w:rsidRPr="00B433A3">
              <w:rPr>
                <w:sz w:val="20"/>
                <w:szCs w:val="20"/>
              </w:rPr>
              <w:t>Té</w:t>
            </w:r>
            <w:r w:rsidR="009F63E3" w:rsidRPr="00B433A3">
              <w:rPr>
                <w:sz w:val="20"/>
                <w:szCs w:val="20"/>
              </w:rPr>
              <w:t>lécommunauté</w:t>
            </w:r>
            <w:proofErr w:type="spellEnd"/>
            <w:r w:rsidR="009F63E3" w:rsidRPr="00B433A3">
              <w:rPr>
                <w:sz w:val="20"/>
                <w:szCs w:val="20"/>
              </w:rPr>
              <w:t xml:space="preserve"> Asie</w:t>
            </w:r>
            <w:r w:rsidR="009F63E3" w:rsidRPr="00B433A3">
              <w:rPr>
                <w:sz w:val="20"/>
                <w:szCs w:val="20"/>
              </w:rPr>
              <w:noBreakHyphen/>
            </w:r>
            <w:r w:rsidRPr="00B433A3">
              <w:rPr>
                <w:sz w:val="20"/>
                <w:szCs w:val="20"/>
              </w:rPr>
              <w:t>Pacifique (APT)</w:t>
            </w:r>
          </w:p>
          <w:p w14:paraId="0565DF0A" w14:textId="11F5CCBC" w:rsidR="005B6A9C" w:rsidRPr="00B433A3" w:rsidRDefault="005B6A9C" w:rsidP="00B8343E">
            <w:pPr>
              <w:pStyle w:val="Tabletext"/>
              <w:spacing w:before="240"/>
              <w:jc w:val="center"/>
              <w:rPr>
                <w:sz w:val="20"/>
                <w:szCs w:val="20"/>
              </w:rPr>
            </w:pPr>
            <w:r w:rsidRPr="00B433A3">
              <w:rPr>
                <w:sz w:val="20"/>
                <w:szCs w:val="20"/>
              </w:rPr>
              <w:t>Bureau de l'UIT pour la région Asie-Pacifique</w:t>
            </w:r>
          </w:p>
        </w:tc>
        <w:tc>
          <w:tcPr>
            <w:tcW w:w="5243" w:type="dxa"/>
            <w:tcBorders>
              <w:top w:val="single" w:sz="4" w:space="0" w:color="9CC2E5"/>
              <w:left w:val="single" w:sz="4" w:space="0" w:color="9CC2E5"/>
              <w:bottom w:val="single" w:sz="4" w:space="0" w:color="9CC2E5"/>
              <w:right w:val="single" w:sz="4" w:space="0" w:color="9CC2E5"/>
            </w:tcBorders>
            <w:shd w:val="clear" w:color="auto" w:fill="FFFFFF" w:themeFill="background1"/>
            <w:hideMark/>
          </w:tcPr>
          <w:p w14:paraId="302A276D" w14:textId="3CBA2BE3" w:rsidR="005B6A9C" w:rsidRPr="00B433A3" w:rsidRDefault="005B6A9C" w:rsidP="00B8343E">
            <w:pPr>
              <w:pStyle w:val="Tabletext"/>
              <w:ind w:left="284" w:hanging="284"/>
              <w:rPr>
                <w:rFonts w:cs="Times New Roman"/>
                <w:sz w:val="20"/>
                <w:szCs w:val="20"/>
              </w:rPr>
            </w:pPr>
            <w:r w:rsidRPr="00B433A3">
              <w:rPr>
                <w:sz w:val="20"/>
                <w:szCs w:val="20"/>
              </w:rPr>
              <w:t>•</w:t>
            </w:r>
            <w:r w:rsidR="00AE421E" w:rsidRPr="00B433A3">
              <w:rPr>
                <w:sz w:val="20"/>
                <w:szCs w:val="20"/>
              </w:rPr>
              <w:tab/>
            </w:r>
            <w:r w:rsidRPr="00B433A3">
              <w:rPr>
                <w:sz w:val="20"/>
                <w:szCs w:val="20"/>
              </w:rPr>
              <w:t>Outils concernant les Tableaux nationaux d'attribution des bandes de fréquences (NFAT).</w:t>
            </w:r>
          </w:p>
          <w:p w14:paraId="5C373B31" w14:textId="2E0126DB" w:rsidR="005B6A9C" w:rsidRPr="00B433A3" w:rsidRDefault="00AE421E" w:rsidP="00B8343E">
            <w:pPr>
              <w:pStyle w:val="Tabletext"/>
              <w:ind w:left="284" w:hanging="284"/>
              <w:rPr>
                <w:rFonts w:cs="Times New Roman"/>
                <w:sz w:val="20"/>
                <w:szCs w:val="20"/>
              </w:rPr>
            </w:pPr>
            <w:r w:rsidRPr="00B433A3">
              <w:rPr>
                <w:sz w:val="20"/>
                <w:szCs w:val="20"/>
              </w:rPr>
              <w:t>•</w:t>
            </w:r>
            <w:r w:rsidRPr="00B433A3">
              <w:rPr>
                <w:sz w:val="20"/>
                <w:szCs w:val="20"/>
              </w:rPr>
              <w:tab/>
            </w:r>
            <w:r w:rsidR="005B6A9C" w:rsidRPr="00B433A3">
              <w:rPr>
                <w:sz w:val="20"/>
                <w:szCs w:val="20"/>
              </w:rPr>
              <w:t>Gestion moderne du spectre et les systèmes modernes de contrôle des émissions.</w:t>
            </w:r>
          </w:p>
          <w:p w14:paraId="4DE6A24A" w14:textId="6549CE89" w:rsidR="005B6A9C" w:rsidRPr="00B433A3" w:rsidRDefault="00AE421E" w:rsidP="00B8343E">
            <w:pPr>
              <w:pStyle w:val="Tabletext"/>
              <w:ind w:left="284" w:hanging="284"/>
              <w:rPr>
                <w:rFonts w:cs="Times New Roman"/>
                <w:sz w:val="20"/>
                <w:szCs w:val="20"/>
              </w:rPr>
            </w:pPr>
            <w:r w:rsidRPr="00B433A3">
              <w:rPr>
                <w:sz w:val="20"/>
                <w:szCs w:val="20"/>
              </w:rPr>
              <w:t>•</w:t>
            </w:r>
            <w:r w:rsidRPr="00B433A3">
              <w:rPr>
                <w:sz w:val="20"/>
                <w:szCs w:val="20"/>
              </w:rPr>
              <w:tab/>
            </w:r>
            <w:r w:rsidR="005B6A9C" w:rsidRPr="00B433A3">
              <w:rPr>
                <w:sz w:val="20"/>
                <w:szCs w:val="20"/>
              </w:rPr>
              <w:t>Radiodiffusion numérique et radiodiffusion de Terre sonore et télévisuelle.</w:t>
            </w:r>
          </w:p>
          <w:p w14:paraId="23ECC268" w14:textId="0DDE1B70" w:rsidR="005B6A9C" w:rsidRPr="00B433A3" w:rsidRDefault="00AE421E" w:rsidP="00B8343E">
            <w:pPr>
              <w:pStyle w:val="Tabletext"/>
              <w:rPr>
                <w:rFonts w:cs="Times New Roman"/>
                <w:sz w:val="20"/>
                <w:szCs w:val="20"/>
              </w:rPr>
            </w:pPr>
            <w:r w:rsidRPr="00B433A3">
              <w:rPr>
                <w:sz w:val="20"/>
                <w:szCs w:val="20"/>
              </w:rPr>
              <w:t>•</w:t>
            </w:r>
            <w:r w:rsidRPr="00B433A3">
              <w:rPr>
                <w:sz w:val="20"/>
                <w:szCs w:val="20"/>
              </w:rPr>
              <w:tab/>
              <w:t>P</w:t>
            </w:r>
            <w:r w:rsidR="005B6A9C" w:rsidRPr="00B433A3">
              <w:rPr>
                <w:sz w:val="20"/>
                <w:szCs w:val="20"/>
              </w:rPr>
              <w:t>lans nationaux relatifs aux communications d'urgence.</w:t>
            </w:r>
          </w:p>
          <w:p w14:paraId="4CEADB3C" w14:textId="380AA972" w:rsidR="005B6A9C" w:rsidRPr="00B433A3" w:rsidRDefault="00AE421E" w:rsidP="00B8343E">
            <w:pPr>
              <w:pStyle w:val="Tabletext"/>
              <w:rPr>
                <w:rFonts w:cs="Times New Roman"/>
                <w:sz w:val="20"/>
                <w:szCs w:val="20"/>
              </w:rPr>
            </w:pPr>
            <w:r w:rsidRPr="00B433A3">
              <w:rPr>
                <w:sz w:val="20"/>
                <w:szCs w:val="20"/>
              </w:rPr>
              <w:t>•</w:t>
            </w:r>
            <w:r w:rsidRPr="00B433A3">
              <w:rPr>
                <w:sz w:val="20"/>
                <w:szCs w:val="20"/>
              </w:rPr>
              <w:tab/>
            </w:r>
            <w:r w:rsidR="005B6A9C" w:rsidRPr="00B433A3">
              <w:rPr>
                <w:sz w:val="20"/>
                <w:szCs w:val="20"/>
              </w:rPr>
              <w:t>Tendances concernant les IMT-2020(5G).</w:t>
            </w:r>
          </w:p>
          <w:p w14:paraId="68E96343" w14:textId="09B47DB8" w:rsidR="005B6A9C" w:rsidRPr="00B433A3" w:rsidRDefault="00AE421E" w:rsidP="00B8343E">
            <w:pPr>
              <w:pStyle w:val="Tabletext"/>
              <w:ind w:left="284" w:hanging="284"/>
              <w:rPr>
                <w:rFonts w:cs="Times New Roman"/>
                <w:sz w:val="20"/>
                <w:szCs w:val="20"/>
              </w:rPr>
            </w:pPr>
            <w:r w:rsidRPr="00B433A3">
              <w:rPr>
                <w:sz w:val="20"/>
                <w:szCs w:val="20"/>
              </w:rPr>
              <w:t>•</w:t>
            </w:r>
            <w:r w:rsidRPr="00B433A3">
              <w:rPr>
                <w:sz w:val="20"/>
                <w:szCs w:val="20"/>
              </w:rPr>
              <w:tab/>
            </w:r>
            <w:r w:rsidR="005B6A9C" w:rsidRPr="00B433A3">
              <w:rPr>
                <w:sz w:val="20"/>
                <w:szCs w:val="20"/>
              </w:rPr>
              <w:t xml:space="preserve">Autres systèmes large bande de Terre </w:t>
            </w:r>
            <w:proofErr w:type="gramStart"/>
            <w:r w:rsidR="005B6A9C" w:rsidRPr="00B433A3">
              <w:rPr>
                <w:sz w:val="20"/>
                <w:szCs w:val="20"/>
              </w:rPr>
              <w:t>fixes;</w:t>
            </w:r>
            <w:proofErr w:type="gramEnd"/>
            <w:r w:rsidR="005B6A9C" w:rsidRPr="00B433A3">
              <w:rPr>
                <w:sz w:val="20"/>
                <w:szCs w:val="20"/>
              </w:rPr>
              <w:t xml:space="preserve"> HAPS/HIBS; RLAN.</w:t>
            </w:r>
          </w:p>
          <w:p w14:paraId="5C91F2B4" w14:textId="30D1A34C" w:rsidR="005B6A9C" w:rsidRPr="00B433A3" w:rsidRDefault="00AE421E" w:rsidP="00B8343E">
            <w:pPr>
              <w:pStyle w:val="Tabletext"/>
              <w:ind w:left="284" w:hanging="284"/>
              <w:rPr>
                <w:rFonts w:cs="Times New Roman"/>
                <w:sz w:val="20"/>
                <w:szCs w:val="20"/>
              </w:rPr>
            </w:pPr>
            <w:r w:rsidRPr="00B433A3">
              <w:rPr>
                <w:sz w:val="20"/>
                <w:szCs w:val="20"/>
              </w:rPr>
              <w:t>•</w:t>
            </w:r>
            <w:r w:rsidRPr="00B433A3">
              <w:rPr>
                <w:sz w:val="20"/>
                <w:szCs w:val="20"/>
              </w:rPr>
              <w:tab/>
            </w:r>
            <w:r w:rsidR="005B6A9C" w:rsidRPr="00B433A3">
              <w:rPr>
                <w:sz w:val="20"/>
                <w:szCs w:val="20"/>
              </w:rPr>
              <w:t xml:space="preserve">Systèmes à </w:t>
            </w:r>
            <w:proofErr w:type="gramStart"/>
            <w:r w:rsidR="005B6A9C" w:rsidRPr="00B433A3">
              <w:rPr>
                <w:sz w:val="20"/>
                <w:szCs w:val="20"/>
              </w:rPr>
              <w:t>satellites:</w:t>
            </w:r>
            <w:proofErr w:type="gramEnd"/>
            <w:r w:rsidR="005B6A9C" w:rsidRPr="00B433A3">
              <w:rPr>
                <w:sz w:val="20"/>
                <w:szCs w:val="20"/>
              </w:rPr>
              <w:t xml:space="preserve"> sat</w:t>
            </w:r>
            <w:r w:rsidRPr="00B433A3">
              <w:rPr>
                <w:sz w:val="20"/>
                <w:szCs w:val="20"/>
              </w:rPr>
              <w:t>ellites large bande (OSG et non </w:t>
            </w:r>
            <w:r w:rsidR="005B6A9C" w:rsidRPr="00B433A3">
              <w:rPr>
                <w:sz w:val="20"/>
                <w:szCs w:val="20"/>
              </w:rPr>
              <w:t>OSG), stations terriennes en mouvement (ESIM); petits satellites.</w:t>
            </w:r>
          </w:p>
          <w:p w14:paraId="6618DCC6" w14:textId="02E2DA08" w:rsidR="005B6A9C" w:rsidRPr="00B433A3" w:rsidRDefault="005B6A9C" w:rsidP="00B8343E">
            <w:pPr>
              <w:pStyle w:val="Tabletext"/>
              <w:ind w:left="284" w:hanging="284"/>
              <w:rPr>
                <w:sz w:val="20"/>
                <w:szCs w:val="20"/>
              </w:rPr>
            </w:pPr>
            <w:r w:rsidRPr="00B433A3">
              <w:rPr>
                <w:rFonts w:cs="Times New Roman"/>
                <w:sz w:val="20"/>
                <w:szCs w:val="20"/>
              </w:rPr>
              <w:t>•</w:t>
            </w:r>
            <w:r w:rsidR="00AE421E" w:rsidRPr="00B433A3">
              <w:rPr>
                <w:sz w:val="20"/>
                <w:szCs w:val="20"/>
              </w:rPr>
              <w:tab/>
            </w:r>
            <w:r w:rsidRPr="00B433A3">
              <w:rPr>
                <w:sz w:val="20"/>
                <w:szCs w:val="20"/>
              </w:rPr>
              <w:t>Table ronde sur les résultats de la CMR-19 et les enjeux de l'ordre du jour de la CMR-23.</w:t>
            </w:r>
          </w:p>
        </w:tc>
        <w:tc>
          <w:tcPr>
            <w:tcW w:w="851" w:type="dxa"/>
            <w:tcBorders>
              <w:top w:val="single" w:sz="4" w:space="0" w:color="9CC2E5"/>
              <w:left w:val="single" w:sz="4" w:space="0" w:color="9CC2E5"/>
              <w:bottom w:val="single" w:sz="4" w:space="0" w:color="9CC2E5"/>
              <w:right w:val="single" w:sz="4" w:space="0" w:color="9CC2E5"/>
            </w:tcBorders>
            <w:shd w:val="clear" w:color="auto" w:fill="FFFFFF" w:themeFill="background1"/>
            <w:hideMark/>
          </w:tcPr>
          <w:p w14:paraId="62DA7BA8" w14:textId="77777777" w:rsidR="005B6A9C" w:rsidRPr="00B433A3" w:rsidRDefault="005B6A9C" w:rsidP="00B8343E">
            <w:pPr>
              <w:pStyle w:val="Tabletext"/>
              <w:jc w:val="center"/>
              <w:rPr>
                <w:sz w:val="20"/>
                <w:szCs w:val="20"/>
              </w:rPr>
            </w:pPr>
            <w:r w:rsidRPr="00B433A3">
              <w:rPr>
                <w:sz w:val="20"/>
                <w:szCs w:val="20"/>
              </w:rPr>
              <w:t>E</w:t>
            </w:r>
          </w:p>
        </w:tc>
        <w:tc>
          <w:tcPr>
            <w:tcW w:w="850" w:type="dxa"/>
            <w:tcBorders>
              <w:top w:val="single" w:sz="4" w:space="0" w:color="9CC2E5"/>
              <w:left w:val="single" w:sz="4" w:space="0" w:color="9CC2E5"/>
              <w:bottom w:val="single" w:sz="4" w:space="0" w:color="9CC2E5"/>
              <w:right w:val="single" w:sz="4" w:space="0" w:color="9CC2E5"/>
            </w:tcBorders>
            <w:shd w:val="clear" w:color="auto" w:fill="FFFFFF" w:themeFill="background1"/>
            <w:hideMark/>
          </w:tcPr>
          <w:p w14:paraId="72C6D32A" w14:textId="77777777" w:rsidR="005B6A9C" w:rsidRPr="00B433A3" w:rsidRDefault="005B6A9C" w:rsidP="00B8343E">
            <w:pPr>
              <w:pStyle w:val="Tabletext"/>
              <w:jc w:val="center"/>
              <w:rPr>
                <w:sz w:val="20"/>
                <w:szCs w:val="20"/>
              </w:rPr>
            </w:pPr>
            <w:r w:rsidRPr="00B433A3">
              <w:rPr>
                <w:sz w:val="20"/>
                <w:szCs w:val="20"/>
              </w:rPr>
              <w:t>287/58</w:t>
            </w:r>
          </w:p>
        </w:tc>
      </w:tr>
    </w:tbl>
    <w:p w14:paraId="220BB74A" w14:textId="77777777" w:rsidR="005B6A9C" w:rsidRPr="00B433A3" w:rsidRDefault="005B6A9C" w:rsidP="00B8343E">
      <w:pPr>
        <w:tabs>
          <w:tab w:val="clear" w:pos="794"/>
          <w:tab w:val="clear" w:pos="1191"/>
          <w:tab w:val="clear" w:pos="1588"/>
          <w:tab w:val="clear" w:pos="1985"/>
        </w:tabs>
        <w:overflowPunct/>
        <w:autoSpaceDE/>
        <w:autoSpaceDN/>
        <w:adjustRightInd/>
        <w:spacing w:before="0"/>
        <w:rPr>
          <w:b/>
          <w:bCs/>
        </w:rPr>
        <w:sectPr w:rsidR="005B6A9C" w:rsidRPr="00B433A3">
          <w:headerReference w:type="default" r:id="rId47"/>
          <w:pgSz w:w="16834" w:h="11907" w:orient="landscape"/>
          <w:pgMar w:top="1134" w:right="1418" w:bottom="1134" w:left="851" w:header="720" w:footer="720" w:gutter="0"/>
          <w:paperSrc w:first="15" w:other="15"/>
          <w:cols w:space="720"/>
        </w:sectPr>
      </w:pPr>
    </w:p>
    <w:p w14:paraId="3683601C" w14:textId="77777777" w:rsidR="005B6A9C" w:rsidRPr="00B433A3" w:rsidRDefault="005B6A9C" w:rsidP="00B8343E">
      <w:pPr>
        <w:pStyle w:val="Heading3"/>
        <w:rPr>
          <w:i/>
          <w:iCs/>
        </w:rPr>
      </w:pPr>
      <w:bookmarkStart w:id="188" w:name="_Toc446060786"/>
      <w:r w:rsidRPr="00B433A3">
        <w:lastRenderedPageBreak/>
        <w:t>8.2.3</w:t>
      </w:r>
      <w:r w:rsidRPr="00B433A3">
        <w:tab/>
      </w:r>
      <w:bookmarkStart w:id="189" w:name="lt_pId1187"/>
      <w:bookmarkEnd w:id="188"/>
      <w:r w:rsidRPr="00B433A3">
        <w:t>Séminaires mondiaux et régionaux des radiocommunications prévus durant la période 2022-2023</w:t>
      </w:r>
      <w:bookmarkEnd w:id="189"/>
    </w:p>
    <w:p w14:paraId="690ADDEC" w14:textId="77777777" w:rsidR="005B6A9C" w:rsidRPr="00B433A3" w:rsidRDefault="005B6A9C" w:rsidP="00B8343E">
      <w:r w:rsidRPr="00B433A3">
        <w:t xml:space="preserve">Compte tenu du calendrier de séminaires WRS/RRS prévus durant la période 2022-2023 (Tableau 8.2.2-1), il est prévu d'organiser les séminaires suivants en </w:t>
      </w:r>
      <w:proofErr w:type="gramStart"/>
      <w:r w:rsidRPr="00B433A3">
        <w:t>2022:</w:t>
      </w:r>
      <w:proofErr w:type="gramEnd"/>
    </w:p>
    <w:p w14:paraId="60F09913" w14:textId="77777777" w:rsidR="005B6A9C" w:rsidRPr="00B433A3" w:rsidRDefault="005B6A9C" w:rsidP="00B8343E">
      <w:pPr>
        <w:pStyle w:val="enumlev1"/>
      </w:pPr>
      <w:r w:rsidRPr="00B433A3">
        <w:t>–</w:t>
      </w:r>
      <w:r w:rsidRPr="00B433A3">
        <w:tab/>
        <w:t xml:space="preserve">RRS-22-États </w:t>
      </w:r>
      <w:proofErr w:type="gramStart"/>
      <w:r w:rsidRPr="00B433A3">
        <w:t>arabes:</w:t>
      </w:r>
      <w:proofErr w:type="gramEnd"/>
      <w:r w:rsidRPr="00B433A3">
        <w:t xml:space="preserve"> du 13 au 24 mars 2022, en ligne, arabe/anglais.</w:t>
      </w:r>
    </w:p>
    <w:p w14:paraId="092D4ECA" w14:textId="70077F98" w:rsidR="005B6A9C" w:rsidRPr="00B433A3" w:rsidRDefault="005B6A9C" w:rsidP="00B8343E">
      <w:pPr>
        <w:pStyle w:val="enumlev1"/>
      </w:pPr>
      <w:r w:rsidRPr="00B433A3">
        <w:t>–</w:t>
      </w:r>
      <w:r w:rsidRPr="00B433A3">
        <w:tab/>
        <w:t xml:space="preserve">RRS-22-Europe </w:t>
      </w:r>
      <w:proofErr w:type="gramStart"/>
      <w:r w:rsidR="003D6F16" w:rsidRPr="00B433A3">
        <w:rPr>
          <w:color w:val="000000"/>
        </w:rPr>
        <w:t>orientale</w:t>
      </w:r>
      <w:r w:rsidRPr="00B433A3">
        <w:t>:</w:t>
      </w:r>
      <w:proofErr w:type="gramEnd"/>
      <w:r w:rsidRPr="00B433A3">
        <w:t xml:space="preserve"> deuxième ou troisième trimestre 2022 (à déterminer), physique si possible (à confirmer)</w:t>
      </w:r>
    </w:p>
    <w:p w14:paraId="2A34498A" w14:textId="0D6B77B7" w:rsidR="005B6A9C" w:rsidRPr="00B433A3" w:rsidRDefault="005B6A9C" w:rsidP="00B8343E">
      <w:pPr>
        <w:pStyle w:val="enumlev1"/>
      </w:pPr>
      <w:r w:rsidRPr="00B433A3">
        <w:t>–</w:t>
      </w:r>
      <w:r w:rsidRPr="00B433A3">
        <w:tab/>
        <w:t>RRS-22-Asie-</w:t>
      </w:r>
      <w:proofErr w:type="gramStart"/>
      <w:r w:rsidRPr="00B433A3">
        <w:t>Pacifique:</w:t>
      </w:r>
      <w:proofErr w:type="gramEnd"/>
      <w:r w:rsidRPr="00B433A3">
        <w:t xml:space="preserve"> octobre 2022, physique, si possible (à confirmer)</w:t>
      </w:r>
    </w:p>
    <w:p w14:paraId="6EDC7268" w14:textId="29DB3B06" w:rsidR="00BF6D9F" w:rsidRPr="00B433A3" w:rsidRDefault="00BF6D9F" w:rsidP="00B8343E">
      <w:pPr>
        <w:pStyle w:val="enumlev1"/>
      </w:pPr>
      <w:r w:rsidRPr="00B433A3">
        <w:t>–</w:t>
      </w:r>
      <w:r w:rsidRPr="00B433A3">
        <w:tab/>
        <w:t>WRS-</w:t>
      </w:r>
      <w:proofErr w:type="gramStart"/>
      <w:r w:rsidRPr="00B433A3">
        <w:t>22:</w:t>
      </w:r>
      <w:proofErr w:type="gramEnd"/>
      <w:r w:rsidRPr="00B433A3">
        <w:t xml:space="preserve"> du 24 au 28 octobre 2022, physique</w:t>
      </w:r>
    </w:p>
    <w:p w14:paraId="23BB8560" w14:textId="77777777" w:rsidR="005B6A9C" w:rsidRPr="00B433A3" w:rsidRDefault="005B6A9C" w:rsidP="00B8343E">
      <w:pPr>
        <w:rPr>
          <w:rFonts w:eastAsia="Calibri"/>
        </w:rPr>
      </w:pPr>
      <w:r w:rsidRPr="00B433A3">
        <w:rPr>
          <w:rFonts w:eastAsia="SimSun"/>
        </w:rPr>
        <w:t xml:space="preserve">Comme indiqué plus haut, ce calendrier pour 2022 est actuellement coordonné et adapté en collaboration avec les Bureaux régionaux de l'UIT </w:t>
      </w:r>
      <w:r w:rsidRPr="00B433A3">
        <w:t>ainsi qu'avec les groupes régionaux compétents</w:t>
      </w:r>
      <w:r w:rsidRPr="00B433A3">
        <w:rPr>
          <w:rFonts w:eastAsia="SimSun"/>
        </w:rPr>
        <w:t xml:space="preserve">, compte des difficultés liées à l'épidémie de SARS-CoV-2 </w:t>
      </w:r>
      <w:r w:rsidRPr="00B433A3">
        <w:rPr>
          <w:rFonts w:eastAsia="Calibri"/>
        </w:rPr>
        <w:t>et des changements à apporter en conséquence au format de ces manifestations.</w:t>
      </w:r>
    </w:p>
    <w:p w14:paraId="6BF86780" w14:textId="77777777" w:rsidR="005B6A9C" w:rsidRPr="00B433A3" w:rsidRDefault="005B6A9C" w:rsidP="00B8343E">
      <w:pPr>
        <w:pStyle w:val="Heading3"/>
      </w:pPr>
      <w:bookmarkStart w:id="190" w:name="_Toc446060787"/>
      <w:r w:rsidRPr="00B433A3">
        <w:t>8.2.4</w:t>
      </w:r>
      <w:r w:rsidRPr="00B433A3">
        <w:tab/>
      </w:r>
      <w:bookmarkStart w:id="191" w:name="lt_pId1202"/>
      <w:bookmarkEnd w:id="190"/>
      <w:r w:rsidRPr="00B433A3">
        <w:t>Autres manifestations</w:t>
      </w:r>
      <w:bookmarkEnd w:id="191"/>
    </w:p>
    <w:p w14:paraId="33A7791C" w14:textId="77777777" w:rsidR="005B6A9C" w:rsidRPr="00B433A3" w:rsidRDefault="005B6A9C" w:rsidP="00B8343E">
      <w:pPr>
        <w:rPr>
          <w:szCs w:val="24"/>
        </w:rPr>
      </w:pPr>
      <w:bookmarkStart w:id="192" w:name="lt_pId1203"/>
      <w:r w:rsidRPr="00B433A3">
        <w:rPr>
          <w:szCs w:val="24"/>
        </w:rPr>
        <w:t>Des experts du BR ont continué de participer à plusieurs manifestations dans le cadre desquelles ils ont également fourni un appui, par exemple celles organisées par des institutions spécialisées du système des Nations Unies et des organisations régionales de télécommunication, ainsi qu'à des conférences et des colloques qui ne sont pas organisés par l'UIT.</w:t>
      </w:r>
      <w:bookmarkStart w:id="193" w:name="lt_pId1204"/>
      <w:bookmarkEnd w:id="192"/>
      <w:r w:rsidRPr="00B433A3">
        <w:rPr>
          <w:szCs w:val="24"/>
        </w:rPr>
        <w:t xml:space="preserve"> Le BR a aussi organisé des séminaires et des ateliers et a donné suite à des demandes d'assistance émanant d'États Membres.</w:t>
      </w:r>
      <w:bookmarkEnd w:id="193"/>
      <w:r w:rsidRPr="00B433A3">
        <w:rPr>
          <w:szCs w:val="24"/>
        </w:rPr>
        <w:t xml:space="preserve"> En raison des restrictions de voyage liées à l'épidémie de </w:t>
      </w:r>
      <w:r w:rsidRPr="00B433A3">
        <w:rPr>
          <w:rFonts w:eastAsia="Calibri"/>
        </w:rPr>
        <w:t>SARS-CoV-2</w:t>
      </w:r>
      <w:r w:rsidRPr="00B433A3">
        <w:t xml:space="preserve">, la quasi-totalité des réunions se sont tenues en ligne, y compris les manifestations d'envergure </w:t>
      </w:r>
      <w:proofErr w:type="gramStart"/>
      <w:r w:rsidRPr="00B433A3">
        <w:t>suivantes:</w:t>
      </w:r>
      <w:proofErr w:type="gramEnd"/>
    </w:p>
    <w:p w14:paraId="3ADDF852" w14:textId="77777777" w:rsidR="005B6A9C" w:rsidRPr="00B433A3" w:rsidRDefault="005B6A9C" w:rsidP="00B8343E">
      <w:pPr>
        <w:pStyle w:val="enumlev1"/>
      </w:pPr>
      <w:r w:rsidRPr="00B433A3">
        <w:t>–</w:t>
      </w:r>
      <w:r w:rsidRPr="00B433A3">
        <w:tab/>
        <w:t>Atelier de la</w:t>
      </w:r>
      <w:r w:rsidRPr="00B433A3">
        <w:rPr>
          <w:color w:val="000000"/>
        </w:rPr>
        <w:t xml:space="preserve"> Communauté de développement de l'Afrique australe (SADC)</w:t>
      </w:r>
      <w:r w:rsidRPr="00B433A3">
        <w:t xml:space="preserve"> sur le renforcement des capacités en matière de questions relatives aux satellites.</w:t>
      </w:r>
    </w:p>
    <w:p w14:paraId="708C30C3" w14:textId="77777777" w:rsidR="005B6A9C" w:rsidRPr="00B433A3" w:rsidRDefault="005B6A9C" w:rsidP="00B8343E">
      <w:pPr>
        <w:pStyle w:val="enumlev1"/>
      </w:pPr>
      <w:r w:rsidRPr="00B433A3">
        <w:t>–</w:t>
      </w:r>
      <w:r w:rsidRPr="00B433A3">
        <w:tab/>
        <w:t xml:space="preserve">Atelier UIT/UAT sur la mise en œuvre du point 1.4 de l'ordre du jour de la CMR-19. </w:t>
      </w:r>
    </w:p>
    <w:p w14:paraId="4D3793E9" w14:textId="77777777" w:rsidR="005B6A9C" w:rsidRPr="00B433A3" w:rsidRDefault="005B6A9C" w:rsidP="00B8343E">
      <w:pPr>
        <w:pStyle w:val="enumlev1"/>
      </w:pPr>
      <w:r w:rsidRPr="00B433A3">
        <w:t>–</w:t>
      </w:r>
      <w:r w:rsidRPr="00B433A3">
        <w:tab/>
        <w:t xml:space="preserve">Ateliers UIT/PRIDA sur la gestion du spectre (anglais/français). </w:t>
      </w:r>
    </w:p>
    <w:p w14:paraId="68324136" w14:textId="77777777" w:rsidR="005B6A9C" w:rsidRPr="00B433A3" w:rsidRDefault="005B6A9C" w:rsidP="00B8343E">
      <w:pPr>
        <w:pStyle w:val="enumlev1"/>
      </w:pPr>
      <w:r w:rsidRPr="00B433A3">
        <w:t>–</w:t>
      </w:r>
      <w:r w:rsidRPr="00B433A3">
        <w:tab/>
        <w:t>Ateliers UIT/PRIDA sur l'IoT et les services numériques (anglais/français).</w:t>
      </w:r>
    </w:p>
    <w:p w14:paraId="6AFCA036" w14:textId="77777777" w:rsidR="005B6A9C" w:rsidRPr="00B433A3" w:rsidRDefault="005B6A9C" w:rsidP="00B8343E">
      <w:pPr>
        <w:pStyle w:val="enumlev1"/>
      </w:pPr>
      <w:r w:rsidRPr="00B433A3">
        <w:t>–</w:t>
      </w:r>
      <w:r w:rsidRPr="00B433A3">
        <w:tab/>
        <w:t>Séminaire régional de l'UIT pour l'Europe et la CEI sur le spectre et la radiodiffusion.</w:t>
      </w:r>
    </w:p>
    <w:p w14:paraId="789B3186" w14:textId="77777777" w:rsidR="005B6A9C" w:rsidRPr="00B433A3" w:rsidRDefault="005B6A9C" w:rsidP="00B8343E">
      <w:pPr>
        <w:pStyle w:val="enumlev1"/>
      </w:pPr>
      <w:r w:rsidRPr="00B433A3">
        <w:t>–</w:t>
      </w:r>
      <w:r w:rsidRPr="00B433A3">
        <w:tab/>
        <w:t>Ateliers des Groupes de travail par correspondance 1 à 4 sur l'optimisation du Plan GE84 pour les pays africains (anglais/français).</w:t>
      </w:r>
    </w:p>
    <w:p w14:paraId="74C7CFE5" w14:textId="77777777" w:rsidR="005B6A9C" w:rsidRPr="00B433A3" w:rsidRDefault="005B6A9C" w:rsidP="00B8343E">
      <w:pPr>
        <w:pStyle w:val="enumlev1"/>
        <w:rPr>
          <w:szCs w:val="24"/>
        </w:rPr>
      </w:pPr>
      <w:r w:rsidRPr="00B433A3">
        <w:t>–</w:t>
      </w:r>
      <w:r w:rsidRPr="00B433A3">
        <w:tab/>
        <w:t>Formation UIT/ITSO à l'intention de la région Amériques.</w:t>
      </w:r>
    </w:p>
    <w:p w14:paraId="307F8BE3" w14:textId="77777777" w:rsidR="005B6A9C" w:rsidRPr="00B433A3" w:rsidRDefault="005B6A9C" w:rsidP="00B8343E">
      <w:pPr>
        <w:pStyle w:val="enumlev1"/>
      </w:pPr>
      <w:r w:rsidRPr="00B433A3">
        <w:t>–</w:t>
      </w:r>
      <w:r w:rsidRPr="00B433A3">
        <w:tab/>
        <w:t>Atelier de l'UIT sur le contrôle du spectre à l'intention des États arabes.</w:t>
      </w:r>
    </w:p>
    <w:p w14:paraId="28265B82" w14:textId="77777777" w:rsidR="005B6A9C" w:rsidRPr="00B433A3" w:rsidRDefault="005B6A9C" w:rsidP="00B8343E">
      <w:pPr>
        <w:pStyle w:val="Heading2"/>
      </w:pPr>
      <w:bookmarkStart w:id="194" w:name="_Toc424047610"/>
      <w:bookmarkStart w:id="195" w:name="_Toc446060788"/>
      <w:r w:rsidRPr="00B433A3">
        <w:t>8.3</w:t>
      </w:r>
      <w:r w:rsidRPr="00B433A3">
        <w:tab/>
      </w:r>
      <w:bookmarkStart w:id="196" w:name="lt_pId1303"/>
      <w:bookmarkEnd w:id="194"/>
      <w:bookmarkEnd w:id="195"/>
      <w:r w:rsidRPr="00B433A3">
        <w:t>Assistance fournie aux États Membres, en particulier aux pays en développement et aux pays les moins avancés (PMA)</w:t>
      </w:r>
      <w:bookmarkEnd w:id="196"/>
    </w:p>
    <w:p w14:paraId="62914E1C" w14:textId="77777777" w:rsidR="005B6A9C" w:rsidRPr="00B433A3" w:rsidRDefault="005B6A9C" w:rsidP="00B8343E">
      <w:pPr>
        <w:pStyle w:val="Heading3"/>
      </w:pPr>
      <w:bookmarkStart w:id="197" w:name="_Toc424047611"/>
      <w:bookmarkStart w:id="198" w:name="_Toc446060789"/>
      <w:r w:rsidRPr="00B433A3">
        <w:t>8.3.1</w:t>
      </w:r>
      <w:r w:rsidRPr="00B433A3">
        <w:tab/>
      </w:r>
      <w:bookmarkStart w:id="199" w:name="lt_pId1305"/>
      <w:bookmarkEnd w:id="197"/>
      <w:bookmarkEnd w:id="198"/>
      <w:r w:rsidRPr="00B433A3">
        <w:t>Assistance fournie aux administrations des pays en développement</w:t>
      </w:r>
      <w:bookmarkEnd w:id="199"/>
    </w:p>
    <w:p w14:paraId="7B6E77BD" w14:textId="5CD0170D" w:rsidR="005B6A9C" w:rsidRPr="00B433A3" w:rsidRDefault="005B6A9C" w:rsidP="00B8343E">
      <w:bookmarkStart w:id="200" w:name="lt_pId1306"/>
      <w:r w:rsidRPr="00B433A3">
        <w:t xml:space="preserve">Le Bureau a continué de fournir une assistance aux administrations des pays en développement, dans les domaines </w:t>
      </w:r>
      <w:proofErr w:type="gramStart"/>
      <w:r w:rsidRPr="00B433A3">
        <w:t>suivants:</w:t>
      </w:r>
      <w:bookmarkEnd w:id="200"/>
      <w:proofErr w:type="gramEnd"/>
    </w:p>
    <w:p w14:paraId="57F47942" w14:textId="77777777" w:rsidR="005B6A9C" w:rsidRPr="00B433A3" w:rsidRDefault="005B6A9C" w:rsidP="00B8343E">
      <w:pPr>
        <w:pStyle w:val="enumlev1"/>
      </w:pPr>
      <w:bookmarkStart w:id="201" w:name="lt_pId1307"/>
      <w:r w:rsidRPr="00B433A3">
        <w:t>–</w:t>
      </w:r>
      <w:r w:rsidRPr="00B433A3">
        <w:tab/>
        <w:t xml:space="preserve">Fourniture d'un appui aux activités de gestion du spectre au niveau national, compte tenu de l'évolution rapide de l'environnement réglementaire (voir la Résolution </w:t>
      </w:r>
      <w:r w:rsidRPr="00B433A3">
        <w:rPr>
          <w:b/>
        </w:rPr>
        <w:t>7 (Rév.CMR-19)</w:t>
      </w:r>
      <w:r w:rsidRPr="00B433A3">
        <w:t xml:space="preserve">) et d'une assistance technique dans le domaine des radiocommunications spatiales (Résolution </w:t>
      </w:r>
      <w:r w:rsidRPr="00B433A3">
        <w:rPr>
          <w:b/>
        </w:rPr>
        <w:t>15 (Rév.CMR-03)</w:t>
      </w:r>
      <w:r w:rsidRPr="00B433A3">
        <w:t>), que ce soit au siège de l'UIT ou sur le terrain</w:t>
      </w:r>
      <w:bookmarkEnd w:id="201"/>
      <w:r w:rsidRPr="00B433A3">
        <w:t>.</w:t>
      </w:r>
    </w:p>
    <w:p w14:paraId="58DCAC85" w14:textId="77777777" w:rsidR="005B6A9C" w:rsidRPr="00B433A3" w:rsidRDefault="005B6A9C" w:rsidP="00B8343E">
      <w:pPr>
        <w:pStyle w:val="enumlev1"/>
      </w:pPr>
      <w:bookmarkStart w:id="202" w:name="lt_pId1308"/>
      <w:r w:rsidRPr="00B433A3">
        <w:t>–</w:t>
      </w:r>
      <w:r w:rsidRPr="00B433A3">
        <w:tab/>
        <w:t>Participation aux réunions des groupes de coordination régionaux, conformément à l'Article 12 du Règlement des radiocommunications</w:t>
      </w:r>
      <w:bookmarkEnd w:id="202"/>
      <w:r w:rsidRPr="00B433A3">
        <w:t>.</w:t>
      </w:r>
    </w:p>
    <w:p w14:paraId="24D35877" w14:textId="77777777" w:rsidR="005B6A9C" w:rsidRPr="00B433A3" w:rsidRDefault="005B6A9C" w:rsidP="00B8343E">
      <w:pPr>
        <w:pStyle w:val="enumlev1"/>
      </w:pPr>
      <w:bookmarkStart w:id="203" w:name="lt_pId1309"/>
      <w:r w:rsidRPr="00B433A3">
        <w:lastRenderedPageBreak/>
        <w:t>–</w:t>
      </w:r>
      <w:r w:rsidRPr="00B433A3">
        <w:tab/>
        <w:t>Fourniture d'une assistance concernant la gestion des fréquences à long terme et les assignations au large bande mobile (IMT)</w:t>
      </w:r>
      <w:bookmarkEnd w:id="203"/>
      <w:r w:rsidRPr="00B433A3">
        <w:t>.</w:t>
      </w:r>
    </w:p>
    <w:p w14:paraId="5AF58128" w14:textId="77777777" w:rsidR="005B6A9C" w:rsidRPr="00B433A3" w:rsidRDefault="005B6A9C" w:rsidP="00B8343E">
      <w:pPr>
        <w:pStyle w:val="enumlev1"/>
      </w:pPr>
      <w:bookmarkStart w:id="204" w:name="lt_pId1310"/>
      <w:r w:rsidRPr="00B433A3">
        <w:t>–</w:t>
      </w:r>
      <w:r w:rsidRPr="00B433A3">
        <w:tab/>
        <w:t>Fourniture de lignes directrices et d'un appui technique pour le passage à la radiodiffusion télévisuelle numérique et la répartition du dividende numérique.</w:t>
      </w:r>
      <w:bookmarkEnd w:id="204"/>
    </w:p>
    <w:p w14:paraId="1768B0A7" w14:textId="361144EF" w:rsidR="005B6A9C" w:rsidRPr="00B433A3" w:rsidRDefault="005B6A9C" w:rsidP="00B8343E">
      <w:r w:rsidRPr="00B433A3">
        <w:t>En 2020, les activités d'assistance technique directe en cours ont été menées à bien. Aucune nouvelle demande d'assistance directe n'a été reçue.</w:t>
      </w:r>
    </w:p>
    <w:p w14:paraId="264DB755" w14:textId="77777777" w:rsidR="005B6A9C" w:rsidRPr="00B433A3" w:rsidRDefault="005B6A9C" w:rsidP="00B8343E">
      <w:pPr>
        <w:pStyle w:val="Heading3"/>
      </w:pPr>
      <w:bookmarkStart w:id="205" w:name="_Toc424047612"/>
      <w:bookmarkStart w:id="206" w:name="_Toc446060790"/>
      <w:r w:rsidRPr="00B433A3">
        <w:t>8.3.2</w:t>
      </w:r>
      <w:r w:rsidRPr="00B433A3">
        <w:tab/>
      </w:r>
      <w:bookmarkStart w:id="207" w:name="lt_pId1314"/>
      <w:bookmarkEnd w:id="205"/>
      <w:bookmarkEnd w:id="206"/>
      <w:r w:rsidRPr="00B433A3">
        <w:t>Assistance aux groupes régionaux</w:t>
      </w:r>
      <w:bookmarkEnd w:id="207"/>
    </w:p>
    <w:p w14:paraId="0E7F085B" w14:textId="77777777" w:rsidR="005B6A9C" w:rsidRPr="00B433A3" w:rsidRDefault="005B6A9C" w:rsidP="00B8343E">
      <w:bookmarkStart w:id="208" w:name="lt_pId1315"/>
      <w:r w:rsidRPr="00B433A3">
        <w:t>Le Bureau a continué de participer aux réunions des groupes de coordination régionaux (à l'instar du groupe HFCC), conformément à l'Article 12 du Règlement des radiocommunications, en fournissant l'assistance et la collaboration nécessaires</w:t>
      </w:r>
      <w:bookmarkEnd w:id="208"/>
      <w:r w:rsidRPr="00B433A3">
        <w:t xml:space="preserve">, </w:t>
      </w:r>
      <w:bookmarkStart w:id="209" w:name="lt_pId1316"/>
      <w:r w:rsidRPr="00B433A3">
        <w:t xml:space="preserve">comme </w:t>
      </w:r>
      <w:proofErr w:type="gramStart"/>
      <w:r w:rsidRPr="00B433A3">
        <w:t>suit:</w:t>
      </w:r>
      <w:bookmarkEnd w:id="209"/>
      <w:proofErr w:type="gramEnd"/>
    </w:p>
    <w:p w14:paraId="3A7041AF" w14:textId="77777777" w:rsidR="005B6A9C" w:rsidRPr="00B433A3" w:rsidRDefault="005B6A9C" w:rsidP="00B8343E">
      <w:pPr>
        <w:pStyle w:val="Heading4"/>
      </w:pPr>
      <w:bookmarkStart w:id="210" w:name="_Toc424047613"/>
      <w:r w:rsidRPr="00B433A3">
        <w:t>8.3.2.1</w:t>
      </w:r>
      <w:r w:rsidRPr="00B433A3">
        <w:tab/>
      </w:r>
      <w:bookmarkStart w:id="211" w:name="lt_pId1318"/>
      <w:bookmarkEnd w:id="210"/>
      <w:r w:rsidRPr="00B433A3">
        <w:t>Assistance à l'UAT</w:t>
      </w:r>
      <w:bookmarkEnd w:id="211"/>
    </w:p>
    <w:p w14:paraId="7F949A02" w14:textId="77777777" w:rsidR="005B6A9C" w:rsidRPr="00B433A3" w:rsidRDefault="005B6A9C" w:rsidP="00B8343E">
      <w:r w:rsidRPr="00B433A3">
        <w:rPr>
          <w:b/>
          <w:bCs/>
        </w:rPr>
        <w:t xml:space="preserve">Projet d'optimisation du Plan GE84 pour </w:t>
      </w:r>
      <w:proofErr w:type="gramStart"/>
      <w:r w:rsidRPr="00B433A3">
        <w:rPr>
          <w:b/>
          <w:bCs/>
        </w:rPr>
        <w:t>l'Afrique</w:t>
      </w:r>
      <w:r w:rsidRPr="00B433A3">
        <w:rPr>
          <w:bCs/>
        </w:rPr>
        <w:t>:</w:t>
      </w:r>
      <w:proofErr w:type="gramEnd"/>
      <w:r w:rsidRPr="00B433A3">
        <w:rPr>
          <w:bCs/>
        </w:rPr>
        <w:t xml:space="preserve"> </w:t>
      </w:r>
      <w:r w:rsidRPr="00B433A3">
        <w:t>Le Bureau, en collaboration avec l'Union africaine des télécommunications (UAT) a mis en place en 2019 un processus visant à optimiser le Plan GE84 pour les pays africains, et a achevé ces travaux le 28 janvier 2022. L'objectif principal de ce processus d'optimisation était d'obtenir une utilisation efficace de la bande 87,5-108 MHz (FM) pour la radiodiffusion sonore analogique et d'attribuer de nouvelles fréquences à la radiodiffusion FM pour répondre aux besoins croissants de fréquences supplémentaires dans les pays africains.</w:t>
      </w:r>
    </w:p>
    <w:p w14:paraId="02E52ADA" w14:textId="77777777" w:rsidR="005B6A9C" w:rsidRPr="00B433A3" w:rsidRDefault="005B6A9C" w:rsidP="00B8343E">
      <w:r w:rsidRPr="00B433A3">
        <w:t>Les résultats de l'optimisation du Plan GE84 pour les pays africains ont dépassé les attentes. Le taux de réussite de 85% concernant les assignations de fréquence MF signifie que 18 326 assignations de fréquences au total peuvent désormais être utilisées sans provoquer de brouillages préjudiciables.</w:t>
      </w:r>
    </w:p>
    <w:p w14:paraId="2CA9A4DE" w14:textId="7B03BC45" w:rsidR="005B6A9C" w:rsidRPr="00B433A3" w:rsidRDefault="005B6A9C" w:rsidP="00B8343E">
      <w:pPr>
        <w:rPr>
          <w:bCs/>
        </w:rPr>
      </w:pPr>
      <w:bookmarkStart w:id="212" w:name="lt_pId1319"/>
      <w:r w:rsidRPr="00B433A3">
        <w:rPr>
          <w:bCs/>
        </w:rPr>
        <w:t xml:space="preserve">Le projet </w:t>
      </w:r>
      <w:r w:rsidRPr="00B433A3">
        <w:rPr>
          <w:b/>
        </w:rPr>
        <w:t>PRIDA</w:t>
      </w:r>
      <w:r w:rsidRPr="00B433A3">
        <w:rPr>
          <w:bCs/>
        </w:rPr>
        <w:t xml:space="preserve"> (Initiative pour les politiques et la réglementation pour le numérique en Afrique) est une initiative prise par l'Union africaine, l'Union européenne et l'UIT.</w:t>
      </w:r>
      <w:bookmarkEnd w:id="212"/>
      <w:r w:rsidRPr="00B433A3">
        <w:rPr>
          <w:bCs/>
        </w:rPr>
        <w:t xml:space="preserve"> </w:t>
      </w:r>
      <w:bookmarkStart w:id="213" w:name="lt_pId1320"/>
      <w:r w:rsidRPr="00B433A3">
        <w:rPr>
          <w:bCs/>
        </w:rPr>
        <w:t>Des communautés économiques régionales, l'UAT, des associations régionales de régulateurs, des régulateurs nationaux et d'autres parties prenantes participent aussi à ce projet.</w:t>
      </w:r>
      <w:bookmarkEnd w:id="213"/>
      <w:r w:rsidRPr="00B433A3">
        <w:rPr>
          <w:bCs/>
        </w:rPr>
        <w:t xml:space="preserve"> </w:t>
      </w:r>
      <w:bookmarkStart w:id="214" w:name="lt_pId1321"/>
      <w:r w:rsidRPr="00B433A3">
        <w:rPr>
          <w:bCs/>
        </w:rPr>
        <w:t>Le BR, conjointement avec le BDT, participe activement à l'action qui vise à</w:t>
      </w:r>
      <w:proofErr w:type="gramStart"/>
      <w:r w:rsidRPr="00B433A3">
        <w:rPr>
          <w:bCs/>
        </w:rPr>
        <w:t xml:space="preserve"> «</w:t>
      </w:r>
      <w:r w:rsidRPr="00B433A3">
        <w:rPr>
          <w:bCs/>
          <w:i/>
          <w:iCs/>
        </w:rPr>
        <w:t>améliorer</w:t>
      </w:r>
      <w:proofErr w:type="gramEnd"/>
      <w:r w:rsidRPr="00B433A3">
        <w:rPr>
          <w:bCs/>
          <w:i/>
          <w:iCs/>
        </w:rPr>
        <w:t xml:space="preserve"> les taux de pénétration du large bande hertzien grâce à une utilisation améliorée et harmonisée du spectre et à la réglementation</w:t>
      </w:r>
      <w:r w:rsidRPr="00B433A3">
        <w:rPr>
          <w:bCs/>
        </w:rPr>
        <w:t>».</w:t>
      </w:r>
      <w:bookmarkEnd w:id="214"/>
      <w:r w:rsidRPr="00B433A3">
        <w:rPr>
          <w:bCs/>
        </w:rPr>
        <w:t xml:space="preserve"> </w:t>
      </w:r>
      <w:bookmarkStart w:id="215" w:name="lt_pId1322"/>
      <w:r w:rsidRPr="00B433A3">
        <w:rPr>
          <w:bCs/>
        </w:rPr>
        <w:t xml:space="preserve">Dans cette perspective, cinq manifestations se sont déroulées en </w:t>
      </w:r>
      <w:proofErr w:type="gramStart"/>
      <w:r w:rsidR="00F12DCF" w:rsidRPr="00B433A3">
        <w:rPr>
          <w:bCs/>
        </w:rPr>
        <w:t>2021</w:t>
      </w:r>
      <w:r w:rsidRPr="00B433A3">
        <w:rPr>
          <w:bCs/>
        </w:rPr>
        <w:t>:</w:t>
      </w:r>
      <w:bookmarkEnd w:id="215"/>
      <w:proofErr w:type="gramEnd"/>
    </w:p>
    <w:p w14:paraId="0326B0EC" w14:textId="206C145F" w:rsidR="005B6A9C" w:rsidRPr="00B433A3" w:rsidRDefault="005B6A9C" w:rsidP="00B8343E">
      <w:pPr>
        <w:pStyle w:val="enumlev1"/>
      </w:pPr>
      <w:r w:rsidRPr="00B433A3">
        <w:t>–</w:t>
      </w:r>
      <w:r w:rsidRPr="00B433A3">
        <w:tab/>
        <w:t xml:space="preserve">Atelier de validation des rapports techniques et des lignes directrices </w:t>
      </w:r>
      <w:proofErr w:type="gramStart"/>
      <w:r w:rsidRPr="00B433A3">
        <w:t>PRIDA</w:t>
      </w:r>
      <w:r w:rsidR="00A11F6E" w:rsidRPr="00B433A3">
        <w:t>:</w:t>
      </w:r>
      <w:proofErr w:type="gramEnd"/>
      <w:r w:rsidRPr="00B433A3">
        <w:t xml:space="preserve"> en ligne, du</w:t>
      </w:r>
      <w:r w:rsidR="008129B7" w:rsidRPr="00B433A3">
        <w:t> </w:t>
      </w:r>
      <w:r w:rsidR="00BF6D9F" w:rsidRPr="00B433A3">
        <w:t>9 </w:t>
      </w:r>
      <w:r w:rsidRPr="00B433A3">
        <w:t>au 11 mars 2021</w:t>
      </w:r>
    </w:p>
    <w:p w14:paraId="7E5DF0CC" w14:textId="2A9D2391" w:rsidR="005B6A9C" w:rsidRPr="00B433A3" w:rsidRDefault="005B6A9C" w:rsidP="00B8343E">
      <w:pPr>
        <w:pStyle w:val="enumlev1"/>
      </w:pPr>
      <w:r w:rsidRPr="00B433A3">
        <w:t>–</w:t>
      </w:r>
      <w:r w:rsidRPr="00B433A3">
        <w:tab/>
        <w:t>Atelier sur l</w:t>
      </w:r>
      <w:r w:rsidR="006D4AC5" w:rsidRPr="00B433A3">
        <w:t>'</w:t>
      </w:r>
      <w:r w:rsidR="00BF6D9F" w:rsidRPr="00B433A3">
        <w:t>élaboration du T</w:t>
      </w:r>
      <w:r w:rsidRPr="00B433A3">
        <w:t xml:space="preserve">ableau national d'attribution des bandes de </w:t>
      </w:r>
      <w:proofErr w:type="gramStart"/>
      <w:r w:rsidRPr="00B433A3">
        <w:t>fréquences</w:t>
      </w:r>
      <w:r w:rsidR="00A11F6E" w:rsidRPr="00B433A3">
        <w:t>:</w:t>
      </w:r>
      <w:proofErr w:type="gramEnd"/>
      <w:r w:rsidRPr="00B433A3">
        <w:t xml:space="preserve"> en ligne, du 24 au 27 mai 2021</w:t>
      </w:r>
    </w:p>
    <w:p w14:paraId="74EBC29C" w14:textId="0BB5F3D6" w:rsidR="005B6A9C" w:rsidRPr="00B433A3" w:rsidRDefault="005B6A9C" w:rsidP="00B8343E">
      <w:pPr>
        <w:pStyle w:val="enumlev1"/>
      </w:pPr>
      <w:r w:rsidRPr="00B433A3">
        <w:t>–</w:t>
      </w:r>
      <w:r w:rsidRPr="00B433A3">
        <w:tab/>
        <w:t xml:space="preserve">Tableaux nationaux d'attribution des bandes de </w:t>
      </w:r>
      <w:proofErr w:type="gramStart"/>
      <w:r w:rsidRPr="00B433A3">
        <w:t>fréquences</w:t>
      </w:r>
      <w:r w:rsidR="00A11F6E" w:rsidRPr="00B433A3">
        <w:t>:</w:t>
      </w:r>
      <w:proofErr w:type="gramEnd"/>
      <w:r w:rsidRPr="00B433A3">
        <w:t xml:space="preserve"> Activité 2 – Assistance technique</w:t>
      </w:r>
    </w:p>
    <w:p w14:paraId="1395DF39" w14:textId="19AF2CA3" w:rsidR="005B6A9C" w:rsidRPr="00B433A3" w:rsidRDefault="005B6A9C" w:rsidP="00B8343E">
      <w:pPr>
        <w:pStyle w:val="enumlev1"/>
      </w:pPr>
      <w:r w:rsidRPr="00B433A3">
        <w:t>–</w:t>
      </w:r>
      <w:r w:rsidRPr="00B433A3">
        <w:tab/>
        <w:t>Atelier de validation de la méthode de calcul harmonisé</w:t>
      </w:r>
      <w:r w:rsidR="00BF6D9F" w:rsidRPr="00B433A3">
        <w:t>e pour l'Afrique (HCM4A</w:t>
      </w:r>
      <w:proofErr w:type="gramStart"/>
      <w:r w:rsidR="00BF6D9F" w:rsidRPr="00B433A3">
        <w:t>):</w:t>
      </w:r>
      <w:proofErr w:type="gramEnd"/>
      <w:r w:rsidR="00BF6D9F" w:rsidRPr="00B433A3">
        <w:t xml:space="preserve"> du 29 </w:t>
      </w:r>
      <w:r w:rsidRPr="00B433A3">
        <w:t>novembre au 2 décembre 2021</w:t>
      </w:r>
    </w:p>
    <w:p w14:paraId="77A14D9E" w14:textId="72FEF055" w:rsidR="005B6A9C" w:rsidRPr="00B433A3" w:rsidRDefault="005B6A9C" w:rsidP="00B8343E">
      <w:pPr>
        <w:pStyle w:val="enumlev1"/>
      </w:pPr>
      <w:r w:rsidRPr="00B433A3">
        <w:t>–</w:t>
      </w:r>
      <w:r w:rsidRPr="00B433A3">
        <w:tab/>
        <w:t xml:space="preserve">Réunion des référents </w:t>
      </w:r>
      <w:proofErr w:type="gramStart"/>
      <w:r w:rsidRPr="00B433A3">
        <w:t>PRIDA</w:t>
      </w:r>
      <w:r w:rsidR="00A11F6E" w:rsidRPr="00B433A3">
        <w:t>:</w:t>
      </w:r>
      <w:proofErr w:type="gramEnd"/>
      <w:r w:rsidRPr="00B433A3">
        <w:t xml:space="preserve"> en ligne, 19 octobre 2021.</w:t>
      </w:r>
    </w:p>
    <w:p w14:paraId="022BA448" w14:textId="77777777" w:rsidR="005B6A9C" w:rsidRPr="00B433A3" w:rsidRDefault="005B6A9C" w:rsidP="00B8343E">
      <w:pPr>
        <w:pStyle w:val="Heading2"/>
        <w:keepNext w:val="0"/>
        <w:keepLines w:val="0"/>
      </w:pPr>
      <w:bookmarkStart w:id="216" w:name="_Toc418163382"/>
      <w:bookmarkStart w:id="217" w:name="_Toc418232300"/>
      <w:bookmarkStart w:id="218" w:name="_Toc424047620"/>
      <w:bookmarkStart w:id="219" w:name="_Toc446060792"/>
      <w:r w:rsidRPr="00B433A3">
        <w:t>8.4</w:t>
      </w:r>
      <w:r w:rsidRPr="00B433A3">
        <w:tab/>
      </w:r>
      <w:bookmarkStart w:id="220" w:name="lt_pId1333"/>
      <w:bookmarkEnd w:id="216"/>
      <w:bookmarkEnd w:id="217"/>
      <w:bookmarkEnd w:id="218"/>
      <w:bookmarkEnd w:id="219"/>
      <w:r w:rsidRPr="00B433A3">
        <w:t>Partenariats stratégiques, y compris la coopération intersectorielle</w:t>
      </w:r>
      <w:bookmarkEnd w:id="220"/>
    </w:p>
    <w:p w14:paraId="496501B3" w14:textId="77777777" w:rsidR="006B6441" w:rsidRDefault="005B6A9C" w:rsidP="00B8343E">
      <w:r w:rsidRPr="00B433A3">
        <w:t>En raison de l'épidémie de SARS-CoV-2, seul un programme en ligne UIT/ITSO de renforcement des capacités sur les télécommunications par satellite a été organisé en 2021. Ce cours en ligne de six semaines, animé par un instructeur, intitulé</w:t>
      </w:r>
      <w:proofErr w:type="gramStart"/>
      <w:r w:rsidRPr="00B433A3">
        <w:t xml:space="preserve"> </w:t>
      </w:r>
      <w:r w:rsidR="006D4AC5" w:rsidRPr="00B433A3">
        <w:t>«</w:t>
      </w:r>
      <w:r w:rsidR="00F12DCF" w:rsidRPr="00B433A3">
        <w:t>Télécommunications</w:t>
      </w:r>
      <w:proofErr w:type="gramEnd"/>
      <w:r w:rsidR="00F12DCF" w:rsidRPr="00B433A3">
        <w:t xml:space="preserve"> </w:t>
      </w:r>
      <w:r w:rsidRPr="00B433A3">
        <w:t>par satellite et procédures du Règlement des radiocommunications</w:t>
      </w:r>
      <w:r w:rsidR="006D4AC5" w:rsidRPr="00B433A3">
        <w:t>»</w:t>
      </w:r>
      <w:r w:rsidRPr="00B433A3">
        <w:t xml:space="preserve"> a eu lieu du 4 octobre au 12 novembre 2021. Son objectif principal était de sensibiliser les personnes, les organisations et les institutions aux politiques, aux </w:t>
      </w:r>
      <w:r w:rsidR="006B6441">
        <w:br w:type="page"/>
      </w:r>
    </w:p>
    <w:p w14:paraId="5F4A17A0" w14:textId="0EF78990" w:rsidR="005B6A9C" w:rsidRPr="00B433A3" w:rsidRDefault="005B6A9C" w:rsidP="00B8343E">
      <w:proofErr w:type="gramStart"/>
      <w:r w:rsidRPr="00B433A3">
        <w:lastRenderedPageBreak/>
        <w:t>réglementations</w:t>
      </w:r>
      <w:proofErr w:type="gramEnd"/>
      <w:r w:rsidRPr="00B433A3">
        <w:t>, aux cadres pour l'octroi des licences et aux aspects techniques associés à la</w:t>
      </w:r>
      <w:r w:rsidR="003D6F16" w:rsidRPr="00B433A3">
        <w:t xml:space="preserve"> fourniture</w:t>
      </w:r>
      <w:r w:rsidRPr="00B433A3">
        <w:t xml:space="preserve"> </w:t>
      </w:r>
      <w:r w:rsidR="003D6F16" w:rsidRPr="00B433A3">
        <w:t xml:space="preserve">de </w:t>
      </w:r>
      <w:r w:rsidRPr="00B433A3">
        <w:t xml:space="preserve">services de </w:t>
      </w:r>
      <w:r w:rsidR="00F12DCF" w:rsidRPr="00B433A3">
        <w:t>télé</w:t>
      </w:r>
      <w:r w:rsidRPr="00B433A3">
        <w:t xml:space="preserve">communication par satellite. Ce programme </w:t>
      </w:r>
      <w:bookmarkStart w:id="221" w:name="lt_pId1345"/>
      <w:r w:rsidRPr="00B433A3">
        <w:t>s'inscrit dans le cadre d'un partenariat de renforcement des capacités entre l'UIT et l'ITSO pour la prestation de formations concernant les télécommunications par satellite.</w:t>
      </w:r>
      <w:bookmarkEnd w:id="221"/>
    </w:p>
    <w:p w14:paraId="38793B2E" w14:textId="77777777" w:rsidR="005B6A9C" w:rsidRPr="00B433A3" w:rsidRDefault="005B6A9C" w:rsidP="00B8343E">
      <w:pPr>
        <w:pStyle w:val="Heading3"/>
      </w:pPr>
      <w:bookmarkStart w:id="222" w:name="_Toc424047621"/>
      <w:bookmarkStart w:id="223" w:name="_Toc446060793"/>
      <w:r w:rsidRPr="00B433A3">
        <w:t>8.4.1</w:t>
      </w:r>
      <w:r w:rsidRPr="00B433A3">
        <w:tab/>
      </w:r>
      <w:bookmarkStart w:id="224" w:name="lt_pId1347"/>
      <w:bookmarkEnd w:id="222"/>
      <w:bookmarkEnd w:id="223"/>
      <w:r w:rsidRPr="00B433A3">
        <w:t>Coopération avec l'UIT-D</w:t>
      </w:r>
      <w:bookmarkEnd w:id="224"/>
    </w:p>
    <w:p w14:paraId="1DE02D54" w14:textId="77777777" w:rsidR="005B6A9C" w:rsidRPr="00B433A3" w:rsidRDefault="005B6A9C" w:rsidP="00B8343E">
      <w:bookmarkStart w:id="225" w:name="lt_pId1348"/>
      <w:r w:rsidRPr="00B433A3">
        <w:t>Le BR travaille en étroite collaboration avec le BDT sur des questions présentant un intérêt mutuel pour l'UIT-R et l'UIT-D.</w:t>
      </w:r>
      <w:bookmarkEnd w:id="225"/>
      <w:r w:rsidRPr="00B433A3">
        <w:t xml:space="preserve"> Il a participé aux réunions pertinentes des Commissions d'études et des Groupes du Rapporteur de l'UIT-D et du GCDT, lorsque les activités de liaison portaient sur des thèmes comme la gestion du spectre, la radiodiffusion numérique, le passage de l'analogique au numérique, le passage aux IMT et la mise en œuvre des IMT et les technologies d'accès hertzien large bande.</w:t>
      </w:r>
    </w:p>
    <w:p w14:paraId="3C37AC48" w14:textId="77777777" w:rsidR="005B6A9C" w:rsidRPr="00B433A3" w:rsidRDefault="005B6A9C" w:rsidP="00B8343E">
      <w:pPr>
        <w:pStyle w:val="Heading4"/>
        <w:rPr>
          <w:i/>
          <w:iCs/>
        </w:rPr>
      </w:pPr>
      <w:bookmarkStart w:id="226" w:name="lt_pId1355"/>
      <w:r w:rsidRPr="00B433A3">
        <w:t>8.4.1.1</w:t>
      </w:r>
      <w:r w:rsidRPr="00B433A3">
        <w:tab/>
        <w:t>Colloque mondial des régulateurs (GSR)</w:t>
      </w:r>
      <w:bookmarkEnd w:id="226"/>
    </w:p>
    <w:p w14:paraId="3ED92BE9" w14:textId="54794B7B" w:rsidR="005B6A9C" w:rsidRPr="00B433A3" w:rsidRDefault="005B6A9C" w:rsidP="00B8343E">
      <w:r w:rsidRPr="00B433A3">
        <w:t xml:space="preserve">Le BR a apporté sa contribution à l'édition de 2021 du Colloque mondial des régulateurs (GSR) de l'UIT en participant à une table ronde sur le thème des catalyseurs réglementaires de la connectivité, y compris l'importance du </w:t>
      </w:r>
      <w:proofErr w:type="gramStart"/>
      <w:r w:rsidRPr="00B433A3">
        <w:t>partage</w:t>
      </w:r>
      <w:r w:rsidR="00A11F6E" w:rsidRPr="00B433A3">
        <w:t>:</w:t>
      </w:r>
      <w:proofErr w:type="gramEnd"/>
      <w:r w:rsidRPr="00B433A3">
        <w:t xml:space="preserve"> spectres, réseaux, </w:t>
      </w:r>
      <w:proofErr w:type="spellStart"/>
      <w:r w:rsidRPr="00B433A3">
        <w:t>codéploiement</w:t>
      </w:r>
      <w:proofErr w:type="spellEnd"/>
      <w:r w:rsidRPr="00B433A3">
        <w:t xml:space="preserve"> des infrastructures, comment trouver le juste équilibre entre l'accessibilité financière, le rendement des investissements et les innovations technologiques, et comprendre l</w:t>
      </w:r>
      <w:r w:rsidR="006D4AC5" w:rsidRPr="00B433A3">
        <w:t>'</w:t>
      </w:r>
      <w:r w:rsidRPr="00B433A3">
        <w:t>importance de la réglementation.</w:t>
      </w:r>
    </w:p>
    <w:p w14:paraId="2C7656BF" w14:textId="77777777" w:rsidR="005B6A9C" w:rsidRPr="00B433A3" w:rsidRDefault="005B6A9C" w:rsidP="00B8343E">
      <w:pPr>
        <w:pStyle w:val="Heading4"/>
      </w:pPr>
      <w:bookmarkStart w:id="227" w:name="_Toc424047623"/>
      <w:r w:rsidRPr="00B433A3">
        <w:t>8.4.1.2</w:t>
      </w:r>
      <w:bookmarkStart w:id="228" w:name="lt_pId1359"/>
      <w:bookmarkEnd w:id="227"/>
      <w:r w:rsidRPr="00B433A3">
        <w:tab/>
        <w:t>Colloque sur les indicateurs des télécommunications/TIC dans le monde (WTIS)</w:t>
      </w:r>
      <w:bookmarkEnd w:id="228"/>
    </w:p>
    <w:p w14:paraId="52EAB3B4" w14:textId="71D129D6" w:rsidR="005B6A9C" w:rsidRPr="00B433A3" w:rsidRDefault="005B6A9C" w:rsidP="00B8343E">
      <w:r w:rsidRPr="00B433A3">
        <w:t>Le Colloque sur les indicateurs des télécommunications/TIC dans le monde (WTIS) n</w:t>
      </w:r>
      <w:r w:rsidR="006D4AC5" w:rsidRPr="00B433A3">
        <w:t>'</w:t>
      </w:r>
      <w:r w:rsidRPr="00B433A3">
        <w:t xml:space="preserve">a pas eu lieu en 2021. </w:t>
      </w:r>
    </w:p>
    <w:p w14:paraId="10FCE3D3" w14:textId="77777777" w:rsidR="005B6A9C" w:rsidRPr="00B433A3" w:rsidRDefault="005B6A9C" w:rsidP="00B8343E">
      <w:pPr>
        <w:pStyle w:val="Heading4"/>
      </w:pPr>
      <w:r w:rsidRPr="00B433A3">
        <w:t>8.4.1.3</w:t>
      </w:r>
      <w:bookmarkStart w:id="229" w:name="lt_pId1362"/>
      <w:r w:rsidRPr="00B433A3">
        <w:tab/>
        <w:t>Enquête sur les TIC et portail</w:t>
      </w:r>
      <w:proofErr w:type="gramStart"/>
      <w:r w:rsidRPr="00B433A3">
        <w:t xml:space="preserve"> «L'œil</w:t>
      </w:r>
      <w:proofErr w:type="gramEnd"/>
      <w:r w:rsidRPr="00B433A3">
        <w:t xml:space="preserve"> sur les TIC</w:t>
      </w:r>
      <w:bookmarkEnd w:id="229"/>
      <w:r w:rsidRPr="00B433A3">
        <w:t>»</w:t>
      </w:r>
    </w:p>
    <w:p w14:paraId="50BCCA8D" w14:textId="77777777" w:rsidR="005B6A9C" w:rsidRPr="00B433A3" w:rsidRDefault="005B6A9C" w:rsidP="00B8343E">
      <w:bookmarkStart w:id="230" w:name="lt_pId1363"/>
      <w:r w:rsidRPr="00B433A3">
        <w:t>Le BR a coopéré avec le BDT en ce qui concerne les indicateurs et les définitions pour la collecte de données sur les technologies mobiles large bande et les normes correspondantes, en participant aux réunions du Groupe ad hoc relevant du Groupe d'experts sur les indicateurs des télécommunications/TIC (EGTI).</w:t>
      </w:r>
      <w:bookmarkEnd w:id="230"/>
    </w:p>
    <w:p w14:paraId="75B36633" w14:textId="6DA69E69" w:rsidR="005B6A9C" w:rsidRPr="00B433A3" w:rsidRDefault="005B6A9C" w:rsidP="00B8343E">
      <w:r w:rsidRPr="00B433A3">
        <w:rPr>
          <w:rFonts w:asciiTheme="majorBidi" w:hAnsiTheme="majorBidi" w:cstheme="majorBidi"/>
        </w:rPr>
        <w:t>En 20</w:t>
      </w:r>
      <w:r w:rsidRPr="00B433A3">
        <w:t xml:space="preserve">21, la réunion du Groupe EGTI s'est tenue en ligne du 13 au 15 septembre 2021. Les débats ont porté sur les indicateurs relatifs aux fréquences pour les IMT. Le Groupe EGTI a décidé ce qui suit à sa réunion de </w:t>
      </w:r>
      <w:proofErr w:type="gramStart"/>
      <w:r w:rsidRPr="00B433A3">
        <w:t>2021</w:t>
      </w:r>
      <w:r w:rsidR="00A11F6E" w:rsidRPr="00B433A3">
        <w:t>:</w:t>
      </w:r>
      <w:proofErr w:type="gramEnd"/>
      <w:r w:rsidRPr="00B433A3">
        <w:t xml:space="preserve"> </w:t>
      </w:r>
    </w:p>
    <w:p w14:paraId="7E64B0B4" w14:textId="529747DF" w:rsidR="005B6A9C" w:rsidRPr="00B433A3" w:rsidRDefault="00BF6D9F" w:rsidP="00B8343E">
      <w:pPr>
        <w:pStyle w:val="enumlev1"/>
      </w:pPr>
      <w:r w:rsidRPr="00B433A3">
        <w:t>1)</w:t>
      </w:r>
      <w:r w:rsidRPr="00B433A3">
        <w:tab/>
      </w:r>
      <w:r w:rsidR="005B6A9C" w:rsidRPr="00B433A3">
        <w:t xml:space="preserve">Ajouter les nouveaux indicateurs </w:t>
      </w:r>
      <w:proofErr w:type="gramStart"/>
      <w:r w:rsidR="005B6A9C" w:rsidRPr="00B433A3">
        <w:t>suivants:</w:t>
      </w:r>
      <w:proofErr w:type="gramEnd"/>
    </w:p>
    <w:p w14:paraId="77DBE518" w14:textId="229641E5" w:rsidR="005B6A9C" w:rsidRPr="00B433A3" w:rsidRDefault="00BF6D9F" w:rsidP="00B8343E">
      <w:pPr>
        <w:pStyle w:val="enumlev2"/>
      </w:pPr>
      <w:r w:rsidRPr="00B433A3">
        <w:t>a)</w:t>
      </w:r>
      <w:r w:rsidRPr="00B433A3">
        <w:tab/>
      </w:r>
      <w:r w:rsidR="006B6441">
        <w:t>A</w:t>
      </w:r>
      <w:r w:rsidR="005B6A9C" w:rsidRPr="00B433A3">
        <w:t>bonnements actifs au large bande mobile avec réseau 5G/IMT-2020, et</w:t>
      </w:r>
    </w:p>
    <w:p w14:paraId="49F0C5BA" w14:textId="254ED473" w:rsidR="005B6A9C" w:rsidRPr="00B433A3" w:rsidRDefault="00BF6D9F" w:rsidP="00B8343E">
      <w:pPr>
        <w:pStyle w:val="enumlev2"/>
        <w:rPr>
          <w:rFonts w:asciiTheme="majorBidi" w:hAnsiTheme="majorBidi" w:cstheme="majorBidi"/>
        </w:rPr>
      </w:pPr>
      <w:r w:rsidRPr="00B433A3">
        <w:rPr>
          <w:rFonts w:asciiTheme="majorBidi" w:hAnsiTheme="majorBidi" w:cstheme="majorBidi"/>
        </w:rPr>
        <w:t>b)</w:t>
      </w:r>
      <w:r w:rsidRPr="00B433A3">
        <w:rPr>
          <w:rFonts w:asciiTheme="majorBidi" w:hAnsiTheme="majorBidi" w:cstheme="majorBidi"/>
        </w:rPr>
        <w:tab/>
      </w:r>
      <w:r w:rsidR="006B6441">
        <w:rPr>
          <w:rFonts w:asciiTheme="majorBidi" w:hAnsiTheme="majorBidi" w:cstheme="majorBidi"/>
        </w:rPr>
        <w:t>A</w:t>
      </w:r>
      <w:r w:rsidR="005B6A9C" w:rsidRPr="00B433A3">
        <w:rPr>
          <w:rFonts w:asciiTheme="majorBidi" w:hAnsiTheme="majorBidi" w:cstheme="majorBidi"/>
        </w:rPr>
        <w:t>bonnements cellulaires mobiles avec accès à un réseau 5G/IMT-2020, à titre de nouveau sous-indicateur des abonnements cellulaires mobiles actifs</w:t>
      </w:r>
      <w:r w:rsidR="006B6441">
        <w:rPr>
          <w:rFonts w:asciiTheme="majorBidi" w:hAnsiTheme="majorBidi" w:cstheme="majorBidi"/>
        </w:rPr>
        <w:t>.</w:t>
      </w:r>
    </w:p>
    <w:p w14:paraId="34DE3BB9" w14:textId="5E90F627" w:rsidR="005B6A9C" w:rsidRPr="00B433A3" w:rsidRDefault="00BF6D9F" w:rsidP="00B8343E">
      <w:pPr>
        <w:pStyle w:val="enumlev1"/>
        <w:rPr>
          <w:rFonts w:asciiTheme="majorBidi" w:hAnsiTheme="majorBidi" w:cstheme="majorBidi"/>
        </w:rPr>
      </w:pPr>
      <w:r w:rsidRPr="00B433A3">
        <w:rPr>
          <w:rFonts w:asciiTheme="majorBidi" w:hAnsiTheme="majorBidi" w:cstheme="majorBidi"/>
        </w:rPr>
        <w:t>2)</w:t>
      </w:r>
      <w:r w:rsidRPr="00B433A3">
        <w:rPr>
          <w:rFonts w:asciiTheme="majorBidi" w:hAnsiTheme="majorBidi" w:cstheme="majorBidi"/>
        </w:rPr>
        <w:tab/>
      </w:r>
      <w:r w:rsidR="005B6A9C" w:rsidRPr="00B433A3">
        <w:rPr>
          <w:rFonts w:asciiTheme="majorBidi" w:hAnsiTheme="majorBidi" w:cstheme="majorBidi"/>
        </w:rPr>
        <w:t xml:space="preserve">Préciser la portée des indicateurs actuels ci-après, comme le propose le sous-groupe dans son </w:t>
      </w:r>
      <w:proofErr w:type="gramStart"/>
      <w:r w:rsidR="005B6A9C" w:rsidRPr="00B433A3">
        <w:rPr>
          <w:rFonts w:asciiTheme="majorBidi" w:hAnsiTheme="majorBidi" w:cstheme="majorBidi"/>
        </w:rPr>
        <w:t>rapport:</w:t>
      </w:r>
      <w:proofErr w:type="gramEnd"/>
    </w:p>
    <w:p w14:paraId="4CA6092A" w14:textId="7587B1AF" w:rsidR="005B6A9C" w:rsidRPr="00B433A3" w:rsidRDefault="00BF6D9F" w:rsidP="00B8343E">
      <w:pPr>
        <w:pStyle w:val="enumlev2"/>
        <w:rPr>
          <w:rFonts w:asciiTheme="majorBidi" w:hAnsiTheme="majorBidi" w:cstheme="majorBidi"/>
        </w:rPr>
      </w:pPr>
      <w:r w:rsidRPr="00B433A3">
        <w:rPr>
          <w:rFonts w:asciiTheme="majorBidi" w:hAnsiTheme="majorBidi" w:cstheme="majorBidi"/>
        </w:rPr>
        <w:t>a)</w:t>
      </w:r>
      <w:r w:rsidRPr="00B433A3">
        <w:rPr>
          <w:rFonts w:asciiTheme="majorBidi" w:hAnsiTheme="majorBidi" w:cstheme="majorBidi"/>
        </w:rPr>
        <w:tab/>
      </w:r>
      <w:r w:rsidR="005B6A9C" w:rsidRPr="00B433A3">
        <w:rPr>
          <w:rFonts w:asciiTheme="majorBidi" w:hAnsiTheme="majorBidi" w:cstheme="majorBidi"/>
        </w:rPr>
        <w:t>Abonnements mobiles actifs avec réseau 4G/LTE (y compris toute technologie plus avancée)</w:t>
      </w:r>
      <w:r w:rsidR="006B6441">
        <w:rPr>
          <w:rFonts w:asciiTheme="majorBidi" w:hAnsiTheme="majorBidi" w:cstheme="majorBidi"/>
        </w:rPr>
        <w:t>.</w:t>
      </w:r>
    </w:p>
    <w:p w14:paraId="18BA6BBF" w14:textId="7A9F1096" w:rsidR="005B6A9C" w:rsidRPr="00B433A3" w:rsidRDefault="00BF6D9F" w:rsidP="00B8343E">
      <w:pPr>
        <w:pStyle w:val="enumlev2"/>
        <w:rPr>
          <w:rFonts w:asciiTheme="majorBidi" w:hAnsiTheme="majorBidi" w:cstheme="majorBidi"/>
        </w:rPr>
      </w:pPr>
      <w:r w:rsidRPr="00B433A3">
        <w:rPr>
          <w:rFonts w:asciiTheme="majorBidi" w:hAnsiTheme="majorBidi" w:cstheme="majorBidi"/>
        </w:rPr>
        <w:t>b)</w:t>
      </w:r>
      <w:r w:rsidRPr="00B433A3">
        <w:rPr>
          <w:rFonts w:asciiTheme="majorBidi" w:hAnsiTheme="majorBidi" w:cstheme="majorBidi"/>
        </w:rPr>
        <w:tab/>
      </w:r>
      <w:r w:rsidR="005B6A9C" w:rsidRPr="00B433A3">
        <w:rPr>
          <w:rFonts w:asciiTheme="majorBidi" w:hAnsiTheme="majorBidi" w:cstheme="majorBidi"/>
        </w:rPr>
        <w:t>Abonnements mobiles actifs au large bande (y c</w:t>
      </w:r>
      <w:r w:rsidRPr="00B433A3">
        <w:rPr>
          <w:rFonts w:asciiTheme="majorBidi" w:hAnsiTheme="majorBidi" w:cstheme="majorBidi"/>
        </w:rPr>
        <w:t xml:space="preserve">ompris toute technologie </w:t>
      </w:r>
      <w:r w:rsidR="006E64CF" w:rsidRPr="00B433A3">
        <w:rPr>
          <w:rFonts w:asciiTheme="majorBidi" w:hAnsiTheme="majorBidi" w:cstheme="majorBidi"/>
        </w:rPr>
        <w:t xml:space="preserve">large bande avec réseau </w:t>
      </w:r>
      <w:r w:rsidRPr="00B433A3">
        <w:rPr>
          <w:rFonts w:asciiTheme="majorBidi" w:hAnsiTheme="majorBidi" w:cstheme="majorBidi"/>
        </w:rPr>
        <w:t>5G/IMT</w:t>
      </w:r>
      <w:r w:rsidRPr="00B433A3">
        <w:rPr>
          <w:rFonts w:asciiTheme="majorBidi" w:hAnsiTheme="majorBidi" w:cstheme="majorBidi"/>
        </w:rPr>
        <w:noBreakHyphen/>
      </w:r>
      <w:r w:rsidR="005B6A9C" w:rsidRPr="00B433A3">
        <w:rPr>
          <w:rFonts w:asciiTheme="majorBidi" w:hAnsiTheme="majorBidi" w:cstheme="majorBidi"/>
        </w:rPr>
        <w:t>2020)</w:t>
      </w:r>
      <w:r w:rsidR="006B6441">
        <w:rPr>
          <w:rFonts w:asciiTheme="majorBidi" w:hAnsiTheme="majorBidi" w:cstheme="majorBidi"/>
        </w:rPr>
        <w:t>.</w:t>
      </w:r>
    </w:p>
    <w:p w14:paraId="42C44FE9" w14:textId="24115A6C" w:rsidR="005B6A9C" w:rsidRPr="00B433A3" w:rsidRDefault="003F1A94" w:rsidP="00B8343E">
      <w:pPr>
        <w:pStyle w:val="enumlev2"/>
        <w:rPr>
          <w:rFonts w:asciiTheme="majorBidi" w:hAnsiTheme="majorBidi" w:cstheme="majorBidi"/>
        </w:rPr>
      </w:pPr>
      <w:r w:rsidRPr="00B433A3">
        <w:rPr>
          <w:rFonts w:asciiTheme="majorBidi" w:hAnsiTheme="majorBidi" w:cstheme="majorBidi"/>
        </w:rPr>
        <w:t>c)</w:t>
      </w:r>
      <w:r w:rsidRPr="00B433A3">
        <w:rPr>
          <w:rFonts w:asciiTheme="majorBidi" w:hAnsiTheme="majorBidi" w:cstheme="majorBidi"/>
        </w:rPr>
        <w:tab/>
      </w:r>
      <w:r w:rsidR="005B6A9C" w:rsidRPr="00B433A3">
        <w:rPr>
          <w:rFonts w:asciiTheme="majorBidi" w:hAnsiTheme="majorBidi" w:cstheme="majorBidi"/>
        </w:rPr>
        <w:t xml:space="preserve">Abonnements actifs au large bande fixe (y compris le </w:t>
      </w:r>
      <w:r w:rsidR="00385522" w:rsidRPr="00B433A3">
        <w:rPr>
          <w:rFonts w:asciiTheme="majorBidi" w:hAnsiTheme="majorBidi" w:cstheme="majorBidi"/>
        </w:rPr>
        <w:t>large bande</w:t>
      </w:r>
      <w:r w:rsidR="005B6A9C" w:rsidRPr="00B433A3">
        <w:rPr>
          <w:rFonts w:asciiTheme="majorBidi" w:hAnsiTheme="majorBidi" w:cstheme="majorBidi"/>
        </w:rPr>
        <w:t xml:space="preserve"> fixe sans fil compatible avec la 5G/IMT-2020)</w:t>
      </w:r>
      <w:r w:rsidR="006B6441">
        <w:rPr>
          <w:rFonts w:asciiTheme="majorBidi" w:hAnsiTheme="majorBidi" w:cstheme="majorBidi"/>
        </w:rPr>
        <w:t>.</w:t>
      </w:r>
    </w:p>
    <w:p w14:paraId="05DE5A31" w14:textId="77777777" w:rsidR="006B6441" w:rsidRDefault="006B6441" w:rsidP="00B8343E">
      <w:pPr>
        <w:pStyle w:val="enumlev1"/>
      </w:pPr>
      <w:r>
        <w:br w:type="page"/>
      </w:r>
    </w:p>
    <w:p w14:paraId="003A691A" w14:textId="0983CF77" w:rsidR="005B6A9C" w:rsidRPr="00B433A3" w:rsidRDefault="003F1A94" w:rsidP="00B8343E">
      <w:pPr>
        <w:pStyle w:val="enumlev1"/>
      </w:pPr>
      <w:r w:rsidRPr="00B433A3">
        <w:lastRenderedPageBreak/>
        <w:t>3)</w:t>
      </w:r>
      <w:r w:rsidRPr="00B433A3">
        <w:tab/>
      </w:r>
      <w:r w:rsidR="005B6A9C" w:rsidRPr="00B433A3">
        <w:t>Recueillir des données sur les blocs de spectre attribués à la 5G, au moment de rendre compte de l'indicateur</w:t>
      </w:r>
      <w:proofErr w:type="gramStart"/>
      <w:r w:rsidR="005B6A9C" w:rsidRPr="00B433A3">
        <w:t xml:space="preserve"> </w:t>
      </w:r>
      <w:r w:rsidR="006D4AC5" w:rsidRPr="00B433A3">
        <w:t>«</w:t>
      </w:r>
      <w:r w:rsidR="005B6A9C" w:rsidRPr="00B433A3">
        <w:t>quantité</w:t>
      </w:r>
      <w:proofErr w:type="gramEnd"/>
      <w:r w:rsidR="005B6A9C" w:rsidRPr="00B433A3">
        <w:t xml:space="preserve"> totale de spectre attribuée à chacun des trois blocs principaux</w:t>
      </w:r>
      <w:r w:rsidR="006D4AC5" w:rsidRPr="00B433A3">
        <w:t>»</w:t>
      </w:r>
      <w:r w:rsidR="005B6A9C" w:rsidRPr="00B433A3">
        <w:t xml:space="preserve"> en indiquant </w:t>
      </w:r>
      <w:r w:rsidR="005B6A9C" w:rsidRPr="00B433A3">
        <w:rPr>
          <w:i/>
        </w:rPr>
        <w:t>a</w:t>
      </w:r>
      <w:r w:rsidR="005B6A9C" w:rsidRPr="00B433A3">
        <w:t>) quelle bande de</w:t>
      </w:r>
      <w:r w:rsidR="00385522" w:rsidRPr="00B433A3">
        <w:t xml:space="preserve"> fréquences</w:t>
      </w:r>
      <w:r w:rsidR="005B6A9C" w:rsidRPr="00B433A3">
        <w:t xml:space="preserve"> spécifi</w:t>
      </w:r>
      <w:r w:rsidR="006B6441">
        <w:t>que a été attribuée à la 5G, et </w:t>
      </w:r>
      <w:r w:rsidR="005B6A9C" w:rsidRPr="00B433A3">
        <w:rPr>
          <w:i/>
        </w:rPr>
        <w:t>b</w:t>
      </w:r>
      <w:r w:rsidR="005B6A9C" w:rsidRPr="00B433A3">
        <w:t>) quelle capacité totale a été attribuée à la 5G (en MHz).</w:t>
      </w:r>
    </w:p>
    <w:p w14:paraId="5BDEBA8C" w14:textId="3876693E" w:rsidR="005B6A9C" w:rsidRPr="00B433A3" w:rsidRDefault="003F1A94" w:rsidP="00B8343E">
      <w:pPr>
        <w:pStyle w:val="enumlev1"/>
        <w:rPr>
          <w:rFonts w:asciiTheme="majorBidi" w:hAnsiTheme="majorBidi" w:cstheme="majorBidi"/>
        </w:rPr>
      </w:pPr>
      <w:r w:rsidRPr="00B433A3">
        <w:rPr>
          <w:rFonts w:asciiTheme="majorBidi" w:hAnsiTheme="majorBidi" w:cstheme="majorBidi"/>
        </w:rPr>
        <w:t>4)</w:t>
      </w:r>
      <w:r w:rsidR="005B6A9C" w:rsidRPr="00B433A3">
        <w:rPr>
          <w:rFonts w:asciiTheme="majorBidi" w:hAnsiTheme="majorBidi" w:cstheme="majorBidi"/>
        </w:rPr>
        <w:tab/>
        <w:t xml:space="preserve">Sous réserve des observations des Membres de l'UIT-R et du Groupe EGTI, à communiquer </w:t>
      </w:r>
      <w:r w:rsidR="00385522" w:rsidRPr="00B433A3">
        <w:rPr>
          <w:rFonts w:asciiTheme="majorBidi" w:hAnsiTheme="majorBidi" w:cstheme="majorBidi"/>
        </w:rPr>
        <w:t>avant</w:t>
      </w:r>
      <w:r w:rsidR="005B6A9C" w:rsidRPr="00B433A3">
        <w:rPr>
          <w:rFonts w:asciiTheme="majorBidi" w:hAnsiTheme="majorBidi" w:cstheme="majorBidi"/>
        </w:rPr>
        <w:t xml:space="preserve"> le 15 octobre 2021</w:t>
      </w:r>
      <w:r w:rsidR="006B6441">
        <w:rPr>
          <w:rFonts w:asciiTheme="majorBidi" w:hAnsiTheme="majorBidi" w:cstheme="majorBidi"/>
        </w:rPr>
        <w:t>.</w:t>
      </w:r>
    </w:p>
    <w:p w14:paraId="0AA77E3B" w14:textId="73155C3D" w:rsidR="005B6A9C" w:rsidRPr="00B433A3" w:rsidRDefault="003F1A94" w:rsidP="00B8343E">
      <w:pPr>
        <w:pStyle w:val="enumlev1"/>
        <w:rPr>
          <w:rFonts w:asciiTheme="majorBidi" w:hAnsiTheme="majorBidi" w:cstheme="majorBidi"/>
        </w:rPr>
      </w:pPr>
      <w:r w:rsidRPr="00B433A3">
        <w:rPr>
          <w:rFonts w:asciiTheme="majorBidi" w:hAnsiTheme="majorBidi" w:cstheme="majorBidi"/>
        </w:rPr>
        <w:t>5)</w:t>
      </w:r>
      <w:r w:rsidR="005B6A9C" w:rsidRPr="00B433A3">
        <w:rPr>
          <w:rFonts w:asciiTheme="majorBidi" w:hAnsiTheme="majorBidi" w:cstheme="majorBidi"/>
        </w:rPr>
        <w:tab/>
        <w:t>Les nouveaux indicateurs seront recueillis dans la version longue du questionnaire</w:t>
      </w:r>
      <w:r w:rsidR="005B6A9C" w:rsidRPr="00B433A3">
        <w:t xml:space="preserve"> de l</w:t>
      </w:r>
      <w:r w:rsidR="006D4AC5" w:rsidRPr="00B433A3">
        <w:t>'</w:t>
      </w:r>
      <w:r w:rsidR="005B6A9C" w:rsidRPr="00B433A3">
        <w:t>UIT sur les i</w:t>
      </w:r>
      <w:r w:rsidR="005B6A9C" w:rsidRPr="00B433A3">
        <w:rPr>
          <w:rFonts w:asciiTheme="majorBidi" w:hAnsiTheme="majorBidi" w:cstheme="majorBidi"/>
        </w:rPr>
        <w:t>ndicateurs des télécommunications/TIC dans le monde (WTI) pour 2022</w:t>
      </w:r>
      <w:r w:rsidR="006B6441">
        <w:rPr>
          <w:rFonts w:asciiTheme="majorBidi" w:hAnsiTheme="majorBidi" w:cstheme="majorBidi"/>
        </w:rPr>
        <w:t>.</w:t>
      </w:r>
    </w:p>
    <w:p w14:paraId="2D291F42" w14:textId="687C4984" w:rsidR="005B6A9C" w:rsidRPr="00B433A3" w:rsidRDefault="003F1A94" w:rsidP="00B8343E">
      <w:pPr>
        <w:pStyle w:val="enumlev1"/>
        <w:rPr>
          <w:rFonts w:asciiTheme="majorBidi" w:hAnsiTheme="majorBidi" w:cstheme="majorBidi"/>
        </w:rPr>
      </w:pPr>
      <w:r w:rsidRPr="00B433A3">
        <w:rPr>
          <w:rFonts w:asciiTheme="majorBidi" w:hAnsiTheme="majorBidi" w:cstheme="majorBidi"/>
        </w:rPr>
        <w:t>6)</w:t>
      </w:r>
      <w:r w:rsidR="005B6A9C" w:rsidRPr="00B433A3">
        <w:rPr>
          <w:rFonts w:asciiTheme="majorBidi" w:hAnsiTheme="majorBidi" w:cstheme="majorBidi"/>
        </w:rPr>
        <w:tab/>
      </w:r>
      <w:r w:rsidR="005B6A9C" w:rsidRPr="00B433A3">
        <w:rPr>
          <w:rFonts w:asciiTheme="majorBidi" w:hAnsiTheme="majorBidi" w:cstheme="majorBidi"/>
          <w:caps/>
        </w:rPr>
        <w:t>é</w:t>
      </w:r>
      <w:r w:rsidR="005B6A9C" w:rsidRPr="00B433A3">
        <w:rPr>
          <w:rFonts w:asciiTheme="majorBidi" w:hAnsiTheme="majorBidi" w:cstheme="majorBidi"/>
        </w:rPr>
        <w:t>largir le mandat du sous-groupe pour la 5G en vue d'étudier les conséquences pour les abonnements aux services M2M (machine à machine).</w:t>
      </w:r>
    </w:p>
    <w:p w14:paraId="1DA0DFC6" w14:textId="77777777" w:rsidR="005B6A9C" w:rsidRPr="00B433A3" w:rsidRDefault="005B6A9C" w:rsidP="00B8343E">
      <w:r w:rsidRPr="00B433A3">
        <w:t>Le BR et le BDT travaillent en coopération sur la manière de traiter et de produire les indicateurs pertinents en la matière.</w:t>
      </w:r>
    </w:p>
    <w:p w14:paraId="3FB57CA1" w14:textId="77777777" w:rsidR="005B6A9C" w:rsidRPr="00B433A3" w:rsidRDefault="005B6A9C" w:rsidP="00B8343E">
      <w:pPr>
        <w:pStyle w:val="Heading4"/>
      </w:pPr>
      <w:bookmarkStart w:id="231" w:name="_Toc424047624"/>
      <w:r w:rsidRPr="00B433A3">
        <w:t>8.4.1.4</w:t>
      </w:r>
      <w:r w:rsidRPr="00B433A3">
        <w:tab/>
      </w:r>
      <w:bookmarkStart w:id="232" w:name="lt_pId1372"/>
      <w:bookmarkEnd w:id="231"/>
      <w:r w:rsidRPr="00B433A3">
        <w:t>Programme de formation sur la gestion du spectre (SMTP)</w:t>
      </w:r>
      <w:bookmarkEnd w:id="232"/>
    </w:p>
    <w:p w14:paraId="307B1431" w14:textId="77777777" w:rsidR="005B6A9C" w:rsidRPr="00B433A3" w:rsidRDefault="005B6A9C" w:rsidP="00B8343E">
      <w:bookmarkStart w:id="233" w:name="lt_pId1373"/>
      <w:r w:rsidRPr="00B433A3">
        <w:t xml:space="preserve">Depuis 2013, le BR participe activement à un projet commun avec le BDT qui vise à perfectionner le Programme de formation sur la gestion du spectre (SMTP) durant ses différentes </w:t>
      </w:r>
      <w:proofErr w:type="gramStart"/>
      <w:r w:rsidRPr="00B433A3">
        <w:t>phases:</w:t>
      </w:r>
      <w:proofErr w:type="gramEnd"/>
      <w:r w:rsidRPr="00B433A3">
        <w:t xml:space="preserve"> conception, élaboration de ressources didactiques, examen par les pairs et essai pilote.</w:t>
      </w:r>
      <w:bookmarkEnd w:id="233"/>
      <w:r w:rsidRPr="00B433A3">
        <w:t xml:space="preserve"> Plusieurs mises à jour ont été apportées au fil des ans et le BR a effectué régulièrement un examen des ressources qui composent la version actuelle du Programme SMTP. Des mises à jour ont été apportées récemment afin de prendre en considération les résultats de la CMR-19 et de l'AR-19.</w:t>
      </w:r>
    </w:p>
    <w:p w14:paraId="7CC25E42" w14:textId="77777777" w:rsidR="005B6A9C" w:rsidRPr="00B433A3" w:rsidRDefault="005B6A9C" w:rsidP="00B8343E">
      <w:r w:rsidRPr="00B433A3">
        <w:t>Étant donné les ressources nécessaires pour tenir/mettre à jour cet outil et de son importance pour de nombreuses administrations, des discussions sont en cours au sein du BDT pour vérifier si le Programme SMTP pourrait être encore amélioré ou transféré sur un outil différent.</w:t>
      </w:r>
    </w:p>
    <w:p w14:paraId="47A70E99" w14:textId="238E2867" w:rsidR="005B6A9C" w:rsidRPr="00B433A3" w:rsidRDefault="003F1A94" w:rsidP="00B8343E">
      <w:pPr>
        <w:pStyle w:val="Heading3"/>
      </w:pPr>
      <w:r w:rsidRPr="00B433A3">
        <w:t>8.4.2</w:t>
      </w:r>
      <w:r w:rsidRPr="00B433A3">
        <w:tab/>
      </w:r>
      <w:r w:rsidR="005B6A9C" w:rsidRPr="00B433A3">
        <w:t>ITU Telecom</w:t>
      </w:r>
    </w:p>
    <w:p w14:paraId="6EE7F0E6" w14:textId="63FDB9E1" w:rsidR="005B6A9C" w:rsidRPr="00B433A3" w:rsidRDefault="005B6A9C" w:rsidP="00B8343E">
      <w:bookmarkStart w:id="234" w:name="_Toc418163383"/>
      <w:bookmarkStart w:id="235" w:name="_Toc418232301"/>
      <w:bookmarkStart w:id="236" w:name="_Toc424047626"/>
      <w:bookmarkStart w:id="237" w:name="_Toc446060795"/>
      <w:r w:rsidRPr="00B433A3">
        <w:t xml:space="preserve">Le BR a fourni un appui à l'équipe d'ITU Telecom dans l'organisation de la manifestation (virtuelle) </w:t>
      </w:r>
      <w:r w:rsidRPr="00B433A3">
        <w:rPr>
          <w:color w:val="000000"/>
        </w:rPr>
        <w:t>ITU Digital World 202</w:t>
      </w:r>
      <w:r w:rsidR="003F1A94" w:rsidRPr="00B433A3">
        <w:rPr>
          <w:color w:val="000000"/>
        </w:rPr>
        <w:t>1</w:t>
      </w:r>
      <w:r w:rsidRPr="00B433A3">
        <w:rPr>
          <w:color w:val="000000"/>
        </w:rPr>
        <w:t xml:space="preserve"> </w:t>
      </w:r>
      <w:r w:rsidRPr="00B433A3">
        <w:t xml:space="preserve">et animé les réunions-débats </w:t>
      </w:r>
      <w:proofErr w:type="gramStart"/>
      <w:r w:rsidRPr="00B433A3">
        <w:t>suivantes:</w:t>
      </w:r>
      <w:proofErr w:type="gramEnd"/>
      <w:r w:rsidRPr="00B433A3">
        <w:t xml:space="preserve"> </w:t>
      </w:r>
    </w:p>
    <w:p w14:paraId="5311A848" w14:textId="7F57F330" w:rsidR="005B6A9C" w:rsidRPr="00B433A3" w:rsidRDefault="008129B7" w:rsidP="00B8343E">
      <w:pPr>
        <w:pStyle w:val="enumlev1"/>
      </w:pPr>
      <w:r w:rsidRPr="00B433A3">
        <w:t>–</w:t>
      </w:r>
      <w:proofErr w:type="gramStart"/>
      <w:r w:rsidRPr="00B433A3">
        <w:tab/>
      </w:r>
      <w:r w:rsidR="005B6A9C" w:rsidRPr="00B433A3">
        <w:t>«Gérer</w:t>
      </w:r>
      <w:proofErr w:type="gramEnd"/>
      <w:r w:rsidR="005B6A9C" w:rsidRPr="00B433A3">
        <w:t xml:space="preserve"> la croissance, gérer les fréquences</w:t>
      </w:r>
      <w:r w:rsidR="00A11F6E" w:rsidRPr="00B433A3">
        <w:t>:</w:t>
      </w:r>
      <w:r w:rsidR="00385522" w:rsidRPr="00B433A3">
        <w:t xml:space="preserve"> bonnes </w:t>
      </w:r>
      <w:r w:rsidR="005B6A9C" w:rsidRPr="00B433A3">
        <w:t>pratiques en matière d</w:t>
      </w:r>
      <w:r w:rsidR="006D4AC5" w:rsidRPr="00B433A3">
        <w:t>'</w:t>
      </w:r>
      <w:r w:rsidR="005B6A9C" w:rsidRPr="00B433A3">
        <w:t>harmonisation du</w:t>
      </w:r>
      <w:r w:rsidR="003F1A94" w:rsidRPr="00B433A3">
        <w:t xml:space="preserve"> spectre</w:t>
      </w:r>
      <w:r w:rsidR="005B6A9C" w:rsidRPr="00B433A3">
        <w:t>»</w:t>
      </w:r>
    </w:p>
    <w:p w14:paraId="6771AE64" w14:textId="77186E81" w:rsidR="005B6A9C" w:rsidRPr="00B433A3" w:rsidRDefault="008129B7" w:rsidP="00B8343E">
      <w:pPr>
        <w:pStyle w:val="enumlev1"/>
      </w:pPr>
      <w:r w:rsidRPr="00B433A3">
        <w:t>–</w:t>
      </w:r>
      <w:proofErr w:type="gramStart"/>
      <w:r w:rsidRPr="00B433A3">
        <w:tab/>
      </w:r>
      <w:r w:rsidR="005B6A9C" w:rsidRPr="00B433A3">
        <w:t>«L</w:t>
      </w:r>
      <w:r w:rsidR="006D4AC5" w:rsidRPr="00B433A3">
        <w:t>'</w:t>
      </w:r>
      <w:r w:rsidR="005B6A9C" w:rsidRPr="00B433A3">
        <w:t>espace</w:t>
      </w:r>
      <w:proofErr w:type="gramEnd"/>
      <w:r w:rsidR="005B6A9C" w:rsidRPr="00B433A3">
        <w:t xml:space="preserve"> pour le changement</w:t>
      </w:r>
      <w:r w:rsidR="00A11F6E" w:rsidRPr="00B433A3">
        <w:t>:</w:t>
      </w:r>
      <w:r w:rsidR="005B6A9C" w:rsidRPr="00B433A3">
        <w:t xml:space="preserve"> les satellites au service de la transformation numérique»</w:t>
      </w:r>
    </w:p>
    <w:p w14:paraId="0F3C232C" w14:textId="61436C2A" w:rsidR="005B6A9C" w:rsidRPr="00B433A3" w:rsidRDefault="008129B7" w:rsidP="00B8343E">
      <w:pPr>
        <w:pStyle w:val="enumlev1"/>
      </w:pPr>
      <w:r w:rsidRPr="00B433A3">
        <w:t>–</w:t>
      </w:r>
      <w:proofErr w:type="gramStart"/>
      <w:r w:rsidRPr="00B433A3">
        <w:tab/>
      </w:r>
      <w:r w:rsidR="005B6A9C" w:rsidRPr="00B433A3">
        <w:t>«La</w:t>
      </w:r>
      <w:proofErr w:type="gramEnd"/>
      <w:r w:rsidR="005B6A9C" w:rsidRPr="00B433A3">
        <w:t xml:space="preserve"> 5G</w:t>
      </w:r>
      <w:r w:rsidR="00A11F6E" w:rsidRPr="00B433A3">
        <w:t>:</w:t>
      </w:r>
      <w:r w:rsidR="005B6A9C" w:rsidRPr="00B433A3">
        <w:t xml:space="preserve"> moteur de la transformation numérique, aujourd</w:t>
      </w:r>
      <w:r w:rsidR="006D4AC5" w:rsidRPr="00B433A3">
        <w:t>'</w:t>
      </w:r>
      <w:r w:rsidR="005B6A9C" w:rsidRPr="00B433A3">
        <w:t xml:space="preserve">hui ou demain?» </w:t>
      </w:r>
    </w:p>
    <w:p w14:paraId="111E1798" w14:textId="0F14D6DB" w:rsidR="005B6A9C" w:rsidRPr="00B433A3" w:rsidRDefault="005B6A9C" w:rsidP="00B8343E">
      <w:proofErr w:type="gramStart"/>
      <w:r w:rsidRPr="00B433A3">
        <w:t>et</w:t>
      </w:r>
      <w:proofErr w:type="gramEnd"/>
      <w:r w:rsidRPr="00B433A3">
        <w:t xml:space="preserve"> une table ronde ministérielle sur le thème «Renforcer les infrastructures: repenser le rôle des pouvoirs publics dans la transformation numérique». </w:t>
      </w:r>
    </w:p>
    <w:p w14:paraId="4A7BD612" w14:textId="77777777" w:rsidR="005B6A9C" w:rsidRPr="00B433A3" w:rsidRDefault="005B6A9C" w:rsidP="00B8343E">
      <w:pPr>
        <w:pStyle w:val="Heading2"/>
      </w:pPr>
      <w:bookmarkStart w:id="238" w:name="_Toc446060796"/>
      <w:bookmarkEnd w:id="234"/>
      <w:bookmarkEnd w:id="235"/>
      <w:bookmarkEnd w:id="236"/>
      <w:bookmarkEnd w:id="237"/>
      <w:r w:rsidRPr="00B433A3">
        <w:t>8.5</w:t>
      </w:r>
      <w:r w:rsidRPr="00B433A3">
        <w:tab/>
        <w:t>Memb</w:t>
      </w:r>
      <w:bookmarkEnd w:id="238"/>
      <w:r w:rsidRPr="00B433A3">
        <w:t>res</w:t>
      </w:r>
    </w:p>
    <w:p w14:paraId="0BD03EB1" w14:textId="77777777" w:rsidR="005B6A9C" w:rsidRPr="00B433A3" w:rsidRDefault="005B6A9C" w:rsidP="00B8343E">
      <w:pPr>
        <w:pStyle w:val="Heading3"/>
      </w:pPr>
      <w:r w:rsidRPr="00B433A3">
        <w:t>8.5.1</w:t>
      </w:r>
      <w:r w:rsidRPr="00B433A3">
        <w:tab/>
        <w:t>Membres de l'UIT</w:t>
      </w:r>
    </w:p>
    <w:p w14:paraId="4F01D116" w14:textId="446581CE" w:rsidR="005B6A9C" w:rsidRPr="00B433A3" w:rsidRDefault="005B6A9C" w:rsidP="00B8343E">
      <w:pPr>
        <w:rPr>
          <w:color w:val="000000"/>
        </w:rPr>
      </w:pPr>
      <w:r w:rsidRPr="00B433A3">
        <w:rPr>
          <w:color w:val="000000"/>
        </w:rPr>
        <w:t>Les Tableaux 8.5.1-1 à 8.5.1-3 indiquent la répartition des membres, par Secteur et par Région, ainsi que les contributions associées qui ont été versées en 2021, et l'évolution du nombre de Membres du Secteur de l'UIT-R, d'Associés et d'établissements universitaires participant aux travaux de ce Secteur, durant la période 2017-2021.</w:t>
      </w:r>
    </w:p>
    <w:p w14:paraId="053186D8" w14:textId="5A0BADDF" w:rsidR="008129B7" w:rsidRPr="00B433A3" w:rsidRDefault="008129B7" w:rsidP="00B8343E">
      <w:pPr>
        <w:pStyle w:val="TableNoBR"/>
        <w:spacing w:after="360"/>
      </w:pPr>
      <w:r w:rsidRPr="00B433A3">
        <w:rPr>
          <w:noProof/>
          <w:lang w:val="en-US"/>
        </w:rPr>
        <w:lastRenderedPageBreak/>
        <mc:AlternateContent>
          <mc:Choice Requires="wps">
            <w:drawing>
              <wp:anchor distT="0" distB="0" distL="114300" distR="114300" simplePos="0" relativeHeight="251667456" behindDoc="0" locked="0" layoutInCell="1" allowOverlap="1" wp14:anchorId="7472FD29" wp14:editId="43C53BCD">
                <wp:simplePos x="0" y="0"/>
                <wp:positionH relativeFrom="margin">
                  <wp:posOffset>1880622</wp:posOffset>
                </wp:positionH>
                <wp:positionV relativeFrom="paragraph">
                  <wp:posOffset>323850</wp:posOffset>
                </wp:positionV>
                <wp:extent cx="2385254" cy="811033"/>
                <wp:effectExtent l="0" t="0" r="0" b="825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5254" cy="811033"/>
                        </a:xfrm>
                        <a:prstGeom prst="rect">
                          <a:avLst/>
                        </a:prstGeom>
                        <a:solidFill>
                          <a:schemeClr val="lt1"/>
                        </a:solidFill>
                        <a:ln w="6350">
                          <a:noFill/>
                        </a:ln>
                      </wps:spPr>
                      <wps:txbx>
                        <w:txbxContent>
                          <w:p w14:paraId="1E867662" w14:textId="77777777" w:rsidR="007E7CB7" w:rsidRDefault="007E7CB7" w:rsidP="005B6A9C">
                            <w:pPr>
                              <w:spacing w:before="0" w:line="276" w:lineRule="auto"/>
                              <w:jc w:val="center"/>
                              <w:rPr>
                                <w:b/>
                                <w:bCs/>
                                <w:sz w:val="18"/>
                                <w:szCs w:val="18"/>
                                <w:lang w:val="fr-CH"/>
                              </w:rPr>
                            </w:pPr>
                            <w:r>
                              <w:rPr>
                                <w:b/>
                                <w:bCs/>
                                <w:sz w:val="18"/>
                                <w:szCs w:val="18"/>
                                <w:lang w:val="fr-CH"/>
                              </w:rPr>
                              <w:t>Membres par Secteur et par Région</w:t>
                            </w:r>
                            <w:r>
                              <w:rPr>
                                <w:b/>
                                <w:bCs/>
                                <w:sz w:val="18"/>
                                <w:szCs w:val="18"/>
                                <w:lang w:val="fr-CH"/>
                              </w:rPr>
                              <w:br/>
                              <w:t>2021</w:t>
                            </w:r>
                          </w:p>
                          <w:p w14:paraId="27785B87" w14:textId="77777777" w:rsidR="007E7CB7" w:rsidRDefault="007E7CB7" w:rsidP="005B6A9C">
                            <w:pPr>
                              <w:spacing w:before="0" w:line="276" w:lineRule="auto"/>
                              <w:jc w:val="center"/>
                              <w:rPr>
                                <w:sz w:val="18"/>
                                <w:szCs w:val="18"/>
                                <w:lang w:val="fr-CH"/>
                              </w:rPr>
                            </w:pPr>
                            <w:r>
                              <w:rPr>
                                <w:sz w:val="18"/>
                                <w:szCs w:val="18"/>
                                <w:lang w:val="fr-CH"/>
                              </w:rPr>
                              <w:t>(par Région/Bureau régional du BDT)</w:t>
                            </w:r>
                          </w:p>
                          <w:p w14:paraId="4F5C2049" w14:textId="77777777" w:rsidR="007E7CB7" w:rsidRDefault="007E7CB7" w:rsidP="005B6A9C">
                            <w:pPr>
                              <w:spacing w:line="276" w:lineRule="auto"/>
                              <w:jc w:val="center"/>
                              <w:rPr>
                                <w:sz w:val="18"/>
                                <w:szCs w:val="18"/>
                                <w:lang w:val="fr-CH"/>
                              </w:rPr>
                            </w:pPr>
                            <w:r>
                              <w:rPr>
                                <w:color w:val="FF0000"/>
                                <w:sz w:val="18"/>
                                <w:szCs w:val="18"/>
                                <w:lang w:val="fr-CH"/>
                              </w:rPr>
                              <w:t>Données sur les membres au 31 décembre 2021</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72FD29" id="_x0000_t202" coordsize="21600,21600" o:spt="202" path="m,l,21600r21600,l21600,xe">
                <v:stroke joinstyle="miter"/>
                <v:path gradientshapeok="t" o:connecttype="rect"/>
              </v:shapetype>
              <v:shape id="Text Box 8" o:spid="_x0000_s1026" type="#_x0000_t202" style="position:absolute;left:0;text-align:left;margin-left:148.1pt;margin-top:25.5pt;width:187.8pt;height:63.8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" fillcolor="white [3201]" stroked="f" strokeweight=".5pt">
                <v:path arrowok="t"/>
                <v:textbox>
                  <w:txbxContent>
                    <w:p w14:paraId="1E867662" w14:textId="77777777" w:rsidR="007E7CB7" w:rsidRDefault="007E7CB7" w:rsidP="005B6A9C">
                      <w:pPr>
                        <w:spacing w:before="0" w:line="276" w:lineRule="auto"/>
                        <w:jc w:val="center"/>
                        <w:rPr>
                          <w:b/>
                          <w:bCs/>
                          <w:sz w:val="18"/>
                          <w:szCs w:val="18"/>
                          <w:lang w:val="fr-CH"/>
                        </w:rPr>
                      </w:pPr>
                      <w:r>
                        <w:rPr>
                          <w:b/>
                          <w:bCs/>
                          <w:sz w:val="18"/>
                          <w:szCs w:val="18"/>
                          <w:lang w:val="fr-CH"/>
                        </w:rPr>
                        <w:t>Membres par Secteur et par Région</w:t>
                      </w:r>
                      <w:r>
                        <w:rPr>
                          <w:b/>
                          <w:bCs/>
                          <w:sz w:val="18"/>
                          <w:szCs w:val="18"/>
                          <w:lang w:val="fr-CH"/>
                        </w:rPr>
                        <w:br/>
                        <w:t>2021</w:t>
                      </w:r>
                    </w:p>
                    <w:p w14:paraId="27785B87" w14:textId="77777777" w:rsidR="007E7CB7" w:rsidRDefault="007E7CB7" w:rsidP="005B6A9C">
                      <w:pPr>
                        <w:spacing w:before="0" w:line="276" w:lineRule="auto"/>
                        <w:jc w:val="center"/>
                        <w:rPr>
                          <w:sz w:val="18"/>
                          <w:szCs w:val="18"/>
                          <w:lang w:val="fr-CH"/>
                        </w:rPr>
                      </w:pPr>
                      <w:r>
                        <w:rPr>
                          <w:sz w:val="18"/>
                          <w:szCs w:val="18"/>
                          <w:lang w:val="fr-CH"/>
                        </w:rPr>
                        <w:t>(par Région/Bureau régional du BDT)</w:t>
                      </w:r>
                    </w:p>
                    <w:p w14:paraId="4F5C2049" w14:textId="77777777" w:rsidR="007E7CB7" w:rsidRDefault="007E7CB7" w:rsidP="005B6A9C">
                      <w:pPr>
                        <w:spacing w:line="276" w:lineRule="auto"/>
                        <w:jc w:val="center"/>
                        <w:rPr>
                          <w:sz w:val="18"/>
                          <w:szCs w:val="18"/>
                          <w:lang w:val="fr-CH"/>
                        </w:rPr>
                      </w:pPr>
                      <w:r>
                        <w:rPr>
                          <w:color w:val="FF0000"/>
                          <w:sz w:val="18"/>
                          <w:szCs w:val="18"/>
                          <w:lang w:val="fr-CH"/>
                        </w:rPr>
                        <w:t>Données sur les membres au 31 décembre 2021</w:t>
                      </w:r>
                    </w:p>
                  </w:txbxContent>
                </v:textbox>
                <w10:wrap anchorx="margin"/>
              </v:shape>
            </w:pict>
          </mc:Fallback>
        </mc:AlternateContent>
      </w:r>
      <w:r w:rsidRPr="00B433A3">
        <w:t>Tableau 8.5.1-1</w:t>
      </w:r>
    </w:p>
    <w:p w14:paraId="13BF0918" w14:textId="204DE28A" w:rsidR="005B6A9C" w:rsidRPr="00B433A3" w:rsidRDefault="003F1A94" w:rsidP="00B8343E">
      <w:pPr>
        <w:spacing w:before="0"/>
        <w:rPr>
          <w:b/>
          <w:bCs/>
        </w:rPr>
      </w:pPr>
      <w:r w:rsidRPr="00B433A3">
        <w:rPr>
          <w:noProof/>
          <w:lang w:val="en-US"/>
        </w:rPr>
        <mc:AlternateContent>
          <mc:Choice Requires="wps">
            <w:drawing>
              <wp:anchor distT="0" distB="0" distL="114300" distR="114300" simplePos="0" relativeHeight="251650048" behindDoc="0" locked="0" layoutInCell="1" allowOverlap="1" wp14:anchorId="3DC44EB2" wp14:editId="2AAE848F">
                <wp:simplePos x="0" y="0"/>
                <wp:positionH relativeFrom="column">
                  <wp:posOffset>3149050</wp:posOffset>
                </wp:positionH>
                <wp:positionV relativeFrom="paragraph">
                  <wp:posOffset>1855167</wp:posOffset>
                </wp:positionV>
                <wp:extent cx="1112350" cy="156522"/>
                <wp:effectExtent l="0" t="0" r="0"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12350" cy="156522"/>
                        </a:xfrm>
                        <a:prstGeom prst="rect">
                          <a:avLst/>
                        </a:prstGeom>
                        <a:solidFill>
                          <a:schemeClr val="lt1"/>
                        </a:solidFill>
                        <a:ln w="6350">
                          <a:noFill/>
                        </a:ln>
                      </wps:spPr>
                      <wps:txbx>
                        <w:txbxContent>
                          <w:p w14:paraId="5EE4B2AC" w14:textId="77777777" w:rsidR="007E7CB7" w:rsidRPr="003F1A94" w:rsidRDefault="007E7CB7" w:rsidP="005B6A9C">
                            <w:pPr>
                              <w:spacing w:before="100" w:beforeAutospacing="1"/>
                              <w:rPr>
                                <w:sz w:val="2"/>
                                <w:szCs w:val="2"/>
                                <w:lang w:val="fr-CH"/>
                              </w:rPr>
                            </w:pPr>
                            <w:r>
                              <w:rPr>
                                <w:sz w:val="16"/>
                                <w:szCs w:val="16"/>
                                <w:lang w:val="fr-CH"/>
                              </w:rPr>
                              <w:t>Nombre de membres</w:t>
                            </w:r>
                          </w:p>
                        </w:txbxContent>
                      </wps:txbx>
                      <wps:bodyPr rot="0" spcFirstLastPara="0" vertOverflow="clip" horzOverflow="clip"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C44EB2" id="Text Box 18" o:spid="_x0000_s1027" type="#_x0000_t202" style="position:absolute;margin-left:247.95pt;margin-top:146.1pt;width:87.6pt;height:12.3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" fillcolor="white [3201]" stroked="f" strokeweight=".5pt">
                <v:path arrowok="t"/>
                <v:textbox inset="0,0,0,0">
                  <w:txbxContent>
                    <w:p w14:paraId="5EE4B2AC" w14:textId="77777777" w:rsidR="007E7CB7" w:rsidRPr="003F1A94" w:rsidRDefault="007E7CB7" w:rsidP="005B6A9C">
                      <w:pPr>
                        <w:spacing w:before="100" w:beforeAutospacing="1"/>
                        <w:rPr>
                          <w:sz w:val="2"/>
                          <w:szCs w:val="2"/>
                          <w:lang w:val="fr-CH"/>
                        </w:rPr>
                      </w:pPr>
                      <w:r>
                        <w:rPr>
                          <w:sz w:val="16"/>
                          <w:szCs w:val="16"/>
                          <w:lang w:val="fr-CH"/>
                        </w:rPr>
                        <w:t>Nombre de membres</w:t>
                      </w:r>
                    </w:p>
                  </w:txbxContent>
                </v:textbox>
              </v:shape>
            </w:pict>
          </mc:Fallback>
        </mc:AlternateContent>
      </w:r>
      <w:r w:rsidRPr="00B433A3">
        <w:rPr>
          <w:noProof/>
          <w:lang w:val="en-US"/>
        </w:rPr>
        <mc:AlternateContent>
          <mc:Choice Requires="wps">
            <w:drawing>
              <wp:anchor distT="0" distB="0" distL="114300" distR="114300" simplePos="0" relativeHeight="251649024" behindDoc="0" locked="0" layoutInCell="1" allowOverlap="1" wp14:anchorId="24CF3F83" wp14:editId="63537608">
                <wp:simplePos x="0" y="0"/>
                <wp:positionH relativeFrom="column">
                  <wp:posOffset>2064052</wp:posOffset>
                </wp:positionH>
                <wp:positionV relativeFrom="paragraph">
                  <wp:posOffset>1964349</wp:posOffset>
                </wp:positionV>
                <wp:extent cx="968991" cy="266065"/>
                <wp:effectExtent l="0" t="0" r="3175" b="635"/>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68991" cy="266065"/>
                        </a:xfrm>
                        <a:prstGeom prst="rect">
                          <a:avLst/>
                        </a:prstGeom>
                        <a:solidFill>
                          <a:schemeClr val="lt1"/>
                        </a:solidFill>
                        <a:ln w="6350">
                          <a:noFill/>
                        </a:ln>
                      </wps:spPr>
                      <wps:txbx>
                        <w:txbxContent>
                          <w:p w14:paraId="54BF8CB7" w14:textId="6F01AF3F" w:rsidR="007E7CB7" w:rsidRDefault="007E7CB7" w:rsidP="005B6A9C">
                            <w:pPr>
                              <w:spacing w:before="0"/>
                              <w:rPr>
                                <w:sz w:val="12"/>
                                <w:szCs w:val="12"/>
                                <w:lang w:val="fr-CH"/>
                              </w:rPr>
                            </w:pPr>
                            <w:r>
                              <w:rPr>
                                <w:sz w:val="12"/>
                                <w:szCs w:val="12"/>
                                <w:lang w:val="fr-CH"/>
                              </w:rPr>
                              <w:t>Établissements universitaires*</w:t>
                            </w:r>
                          </w:p>
                        </w:txbxContent>
                      </wps:txbx>
                      <wps:bodyPr rot="0" spcFirstLastPara="0" vertOverflow="clip" horzOverflow="clip"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CF3F83" id="Text Box 17" o:spid="_x0000_s1028" type="#_x0000_t202" style="position:absolute;margin-left:162.5pt;margin-top:154.65pt;width:76.3pt;height:20.9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" fillcolor="white [3201]" stroked="f" strokeweight=".5pt">
                <v:path arrowok="t"/>
                <v:textbox inset="0,0,0,0">
                  <w:txbxContent>
                    <w:p w14:paraId="54BF8CB7" w14:textId="6F01AF3F" w:rsidR="007E7CB7" w:rsidRDefault="007E7CB7" w:rsidP="005B6A9C">
                      <w:pPr>
                        <w:spacing w:before="0"/>
                        <w:rPr>
                          <w:sz w:val="12"/>
                          <w:szCs w:val="12"/>
                          <w:lang w:val="fr-CH"/>
                        </w:rPr>
                      </w:pPr>
                      <w:r>
                        <w:rPr>
                          <w:sz w:val="12"/>
                          <w:szCs w:val="12"/>
                          <w:lang w:val="fr-CH"/>
                        </w:rPr>
                        <w:t>Établissements universitaires*</w:t>
                      </w:r>
                    </w:p>
                  </w:txbxContent>
                </v:textbox>
              </v:shape>
            </w:pict>
          </mc:Fallback>
        </mc:AlternateContent>
      </w:r>
      <w:r w:rsidRPr="00B433A3">
        <w:rPr>
          <w:noProof/>
          <w:lang w:val="en-US"/>
        </w:rPr>
        <mc:AlternateContent>
          <mc:Choice Requires="wps">
            <w:drawing>
              <wp:anchor distT="0" distB="0" distL="114300" distR="114300" simplePos="0" relativeHeight="251651072" behindDoc="0" locked="0" layoutInCell="1" allowOverlap="1" wp14:anchorId="2F0BCECB" wp14:editId="3BCF14A6">
                <wp:simplePos x="0" y="0"/>
                <wp:positionH relativeFrom="column">
                  <wp:posOffset>1472565</wp:posOffset>
                </wp:positionH>
                <wp:positionV relativeFrom="paragraph">
                  <wp:posOffset>1974415</wp:posOffset>
                </wp:positionV>
                <wp:extent cx="477520" cy="179705"/>
                <wp:effectExtent l="0" t="0" r="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7520" cy="179705"/>
                        </a:xfrm>
                        <a:prstGeom prst="rect">
                          <a:avLst/>
                        </a:prstGeom>
                        <a:solidFill>
                          <a:schemeClr val="lt1"/>
                        </a:solidFill>
                        <a:ln w="6350">
                          <a:noFill/>
                        </a:ln>
                      </wps:spPr>
                      <wps:txbx>
                        <w:txbxContent>
                          <w:p w14:paraId="5B623DBF" w14:textId="77777777" w:rsidR="007E7CB7" w:rsidRDefault="007E7CB7" w:rsidP="005B6A9C">
                            <w:pPr>
                              <w:spacing w:before="0"/>
                              <w:rPr>
                                <w:sz w:val="12"/>
                                <w:szCs w:val="12"/>
                                <w:lang w:val="fr-CH"/>
                              </w:rPr>
                            </w:pPr>
                            <w:r>
                              <w:rPr>
                                <w:sz w:val="12"/>
                                <w:szCs w:val="12"/>
                                <w:lang w:val="fr-CH"/>
                              </w:rPr>
                              <w:t>UIT-D</w:t>
                            </w:r>
                          </w:p>
                        </w:txbxContent>
                      </wps:txbx>
                      <wps:bodyPr rot="0" spcFirstLastPara="0" vertOverflow="clip" horzOverflow="clip"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0BCECB" id="Text Box 16" o:spid="_x0000_s1029" type="#_x0000_t202" style="position:absolute;margin-left:115.95pt;margin-top:155.45pt;width:37.6pt;height:14.1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" fillcolor="white [3201]" stroked="f" strokeweight=".5pt">
                <v:path arrowok="t"/>
                <v:textbox inset="0,0,0,0">
                  <w:txbxContent>
                    <w:p w14:paraId="5B623DBF" w14:textId="77777777" w:rsidR="007E7CB7" w:rsidRDefault="007E7CB7" w:rsidP="005B6A9C">
                      <w:pPr>
                        <w:spacing w:before="0"/>
                        <w:rPr>
                          <w:sz w:val="12"/>
                          <w:szCs w:val="12"/>
                          <w:lang w:val="fr-CH"/>
                        </w:rPr>
                      </w:pPr>
                      <w:r>
                        <w:rPr>
                          <w:sz w:val="12"/>
                          <w:szCs w:val="12"/>
                          <w:lang w:val="fr-CH"/>
                        </w:rPr>
                        <w:t>UIT-D</w:t>
                      </w:r>
                    </w:p>
                  </w:txbxContent>
                </v:textbox>
              </v:shape>
            </w:pict>
          </mc:Fallback>
        </mc:AlternateContent>
      </w:r>
      <w:r w:rsidRPr="00B433A3">
        <w:rPr>
          <w:noProof/>
          <w:lang w:val="en-US"/>
        </w:rPr>
        <mc:AlternateContent>
          <mc:Choice Requires="wps">
            <w:drawing>
              <wp:anchor distT="0" distB="0" distL="114300" distR="114300" simplePos="0" relativeHeight="251652096" behindDoc="0" locked="0" layoutInCell="1" allowOverlap="1" wp14:anchorId="73090A33" wp14:editId="551D2984">
                <wp:simplePos x="0" y="0"/>
                <wp:positionH relativeFrom="column">
                  <wp:posOffset>868680</wp:posOffset>
                </wp:positionH>
                <wp:positionV relativeFrom="paragraph">
                  <wp:posOffset>1922345</wp:posOffset>
                </wp:positionV>
                <wp:extent cx="410210" cy="179705"/>
                <wp:effectExtent l="0" t="0" r="889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0210" cy="179705"/>
                        </a:xfrm>
                        <a:prstGeom prst="rect">
                          <a:avLst/>
                        </a:prstGeom>
                        <a:solidFill>
                          <a:schemeClr val="lt1"/>
                        </a:solidFill>
                        <a:ln w="6350">
                          <a:noFill/>
                        </a:ln>
                      </wps:spPr>
                      <wps:txbx>
                        <w:txbxContent>
                          <w:p w14:paraId="6AEE40C0" w14:textId="77777777" w:rsidR="007E7CB7" w:rsidRDefault="007E7CB7" w:rsidP="003F1A94">
                            <w:pPr>
                              <w:spacing w:before="60"/>
                              <w:rPr>
                                <w:sz w:val="12"/>
                                <w:szCs w:val="12"/>
                                <w:lang w:val="fr-CH"/>
                              </w:rPr>
                            </w:pPr>
                            <w:r>
                              <w:rPr>
                                <w:sz w:val="12"/>
                                <w:szCs w:val="12"/>
                                <w:lang w:val="fr-CH"/>
                              </w:rPr>
                              <w:t>UIT-T</w:t>
                            </w:r>
                          </w:p>
                        </w:txbxContent>
                      </wps:txbx>
                      <wps:bodyPr rot="0" spcFirstLastPara="0" vertOverflow="clip" horzOverflow="clip"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090A33" id="Text Box 15" o:spid="_x0000_s1030" type="#_x0000_t202" style="position:absolute;margin-left:68.4pt;margin-top:151.35pt;width:32.3pt;height:14.1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" fillcolor="white [3201]" stroked="f" strokeweight=".5pt">
                <v:path arrowok="t"/>
                <v:textbox inset="0,0,0,0">
                  <w:txbxContent>
                    <w:p w14:paraId="6AEE40C0" w14:textId="77777777" w:rsidR="007E7CB7" w:rsidRDefault="007E7CB7" w:rsidP="003F1A94">
                      <w:pPr>
                        <w:spacing w:before="60"/>
                        <w:rPr>
                          <w:sz w:val="12"/>
                          <w:szCs w:val="12"/>
                          <w:lang w:val="fr-CH"/>
                        </w:rPr>
                      </w:pPr>
                      <w:r>
                        <w:rPr>
                          <w:sz w:val="12"/>
                          <w:szCs w:val="12"/>
                          <w:lang w:val="fr-CH"/>
                        </w:rPr>
                        <w:t>UIT-T</w:t>
                      </w:r>
                    </w:p>
                  </w:txbxContent>
                </v:textbox>
              </v:shape>
            </w:pict>
          </mc:Fallback>
        </mc:AlternateContent>
      </w:r>
      <w:r w:rsidRPr="00B433A3">
        <w:rPr>
          <w:noProof/>
          <w:lang w:val="en-US"/>
        </w:rPr>
        <mc:AlternateContent>
          <mc:Choice Requires="wps">
            <w:drawing>
              <wp:anchor distT="0" distB="0" distL="114300" distR="114300" simplePos="0" relativeHeight="251653120" behindDoc="0" locked="0" layoutInCell="1" allowOverlap="1" wp14:anchorId="3CD9392B" wp14:editId="3C13D265">
                <wp:simplePos x="0" y="0"/>
                <wp:positionH relativeFrom="column">
                  <wp:posOffset>255270</wp:posOffset>
                </wp:positionH>
                <wp:positionV relativeFrom="paragraph">
                  <wp:posOffset>1936323</wp:posOffset>
                </wp:positionV>
                <wp:extent cx="410210" cy="143302"/>
                <wp:effectExtent l="0" t="0" r="8890" b="952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0210" cy="143302"/>
                        </a:xfrm>
                        <a:prstGeom prst="rect">
                          <a:avLst/>
                        </a:prstGeom>
                        <a:solidFill>
                          <a:schemeClr val="lt1"/>
                        </a:solidFill>
                        <a:ln w="6350">
                          <a:noFill/>
                        </a:ln>
                      </wps:spPr>
                      <wps:txbx>
                        <w:txbxContent>
                          <w:p w14:paraId="43010099" w14:textId="77777777" w:rsidR="007E7CB7" w:rsidRDefault="007E7CB7" w:rsidP="003F1A94">
                            <w:pPr>
                              <w:spacing w:before="40"/>
                              <w:rPr>
                                <w:sz w:val="12"/>
                                <w:szCs w:val="12"/>
                                <w:lang w:val="fr-CH"/>
                              </w:rPr>
                            </w:pPr>
                            <w:r>
                              <w:rPr>
                                <w:sz w:val="12"/>
                                <w:szCs w:val="12"/>
                                <w:lang w:val="fr-CH"/>
                              </w:rPr>
                              <w:t>UIT-R</w:t>
                            </w:r>
                          </w:p>
                        </w:txbxContent>
                      </wps:txbx>
                      <wps:bodyPr rot="0" spcFirstLastPara="0" vertOverflow="clip" horzOverflow="clip"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D9392B" id="Text Box 14" o:spid="_x0000_s1031" type="#_x0000_t202" style="position:absolute;margin-left:20.1pt;margin-top:152.45pt;width:32.3pt;height:11.3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" fillcolor="white [3201]" stroked="f" strokeweight=".5pt">
                <v:path arrowok="t"/>
                <v:textbox inset="0,0,0,0">
                  <w:txbxContent>
                    <w:p w14:paraId="43010099" w14:textId="77777777" w:rsidR="007E7CB7" w:rsidRDefault="007E7CB7" w:rsidP="003F1A94">
                      <w:pPr>
                        <w:spacing w:before="40"/>
                        <w:rPr>
                          <w:sz w:val="12"/>
                          <w:szCs w:val="12"/>
                          <w:lang w:val="fr-CH"/>
                        </w:rPr>
                      </w:pPr>
                      <w:r>
                        <w:rPr>
                          <w:sz w:val="12"/>
                          <w:szCs w:val="12"/>
                          <w:lang w:val="fr-CH"/>
                        </w:rPr>
                        <w:t>UIT-R</w:t>
                      </w:r>
                    </w:p>
                  </w:txbxContent>
                </v:textbox>
              </v:shape>
            </w:pict>
          </mc:Fallback>
        </mc:AlternateContent>
      </w:r>
      <w:r w:rsidR="005B6A9C" w:rsidRPr="00B433A3">
        <w:rPr>
          <w:noProof/>
          <w:lang w:val="en-US"/>
        </w:rPr>
        <mc:AlternateContent>
          <mc:Choice Requires="wps">
            <w:drawing>
              <wp:anchor distT="0" distB="0" distL="114300" distR="114300" simplePos="0" relativeHeight="251648000" behindDoc="0" locked="0" layoutInCell="1" allowOverlap="1" wp14:anchorId="6970BB53" wp14:editId="61A9C9EA">
                <wp:simplePos x="0" y="0"/>
                <wp:positionH relativeFrom="column">
                  <wp:posOffset>-638175</wp:posOffset>
                </wp:positionH>
                <wp:positionV relativeFrom="paragraph">
                  <wp:posOffset>531382</wp:posOffset>
                </wp:positionV>
                <wp:extent cx="1583690" cy="1282700"/>
                <wp:effectExtent l="0"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83690" cy="1282700"/>
                        </a:xfrm>
                        <a:prstGeom prst="rect">
                          <a:avLst/>
                        </a:prstGeom>
                        <a:solidFill>
                          <a:schemeClr val="lt1"/>
                        </a:solidFill>
                        <a:ln w="6350">
                          <a:noFill/>
                        </a:ln>
                      </wps:spPr>
                      <wps:txbx>
                        <w:txbxContent>
                          <w:p w14:paraId="218FC63D" w14:textId="77777777" w:rsidR="007E7CB7" w:rsidRDefault="007E7CB7" w:rsidP="005B6A9C">
                            <w:pPr>
                              <w:spacing w:before="0" w:after="120"/>
                              <w:jc w:val="right"/>
                              <w:rPr>
                                <w:sz w:val="14"/>
                                <w:szCs w:val="14"/>
                                <w:lang w:val="fr-CH"/>
                              </w:rPr>
                            </w:pPr>
                            <w:r>
                              <w:rPr>
                                <w:sz w:val="14"/>
                                <w:szCs w:val="14"/>
                                <w:lang w:val="fr-CH"/>
                              </w:rPr>
                              <w:t>Région du BDT</w:t>
                            </w:r>
                          </w:p>
                          <w:p w14:paraId="23B4C6C3" w14:textId="77777777" w:rsidR="007E7CB7" w:rsidRDefault="007E7CB7" w:rsidP="005B6A9C">
                            <w:pPr>
                              <w:spacing w:before="0" w:after="40"/>
                              <w:jc w:val="right"/>
                              <w:rPr>
                                <w:sz w:val="14"/>
                                <w:szCs w:val="14"/>
                                <w:lang w:val="fr-CH"/>
                              </w:rPr>
                            </w:pPr>
                            <w:r>
                              <w:rPr>
                                <w:sz w:val="14"/>
                                <w:szCs w:val="14"/>
                                <w:lang w:val="fr-CH"/>
                              </w:rPr>
                              <w:t>Afrique</w:t>
                            </w:r>
                          </w:p>
                          <w:p w14:paraId="6939EDF2" w14:textId="77777777" w:rsidR="007E7CB7" w:rsidRDefault="007E7CB7" w:rsidP="005B6A9C">
                            <w:pPr>
                              <w:spacing w:before="0" w:after="40"/>
                              <w:jc w:val="right"/>
                              <w:rPr>
                                <w:sz w:val="14"/>
                                <w:szCs w:val="14"/>
                                <w:lang w:val="fr-CH"/>
                              </w:rPr>
                            </w:pPr>
                            <w:r>
                              <w:rPr>
                                <w:sz w:val="14"/>
                                <w:szCs w:val="14"/>
                                <w:lang w:val="fr-CH"/>
                              </w:rPr>
                              <w:t>Amériques</w:t>
                            </w:r>
                          </w:p>
                          <w:p w14:paraId="6E6A4536" w14:textId="77777777" w:rsidR="007E7CB7" w:rsidRDefault="007E7CB7" w:rsidP="003F1A94">
                            <w:pPr>
                              <w:spacing w:before="20"/>
                              <w:jc w:val="right"/>
                              <w:rPr>
                                <w:sz w:val="14"/>
                                <w:szCs w:val="14"/>
                                <w:lang w:val="fr-CH"/>
                              </w:rPr>
                            </w:pPr>
                            <w:r>
                              <w:rPr>
                                <w:sz w:val="14"/>
                                <w:szCs w:val="14"/>
                                <w:lang w:val="fr-CH"/>
                              </w:rPr>
                              <w:t>États arabes</w:t>
                            </w:r>
                          </w:p>
                          <w:p w14:paraId="7DEE22D2" w14:textId="77777777" w:rsidR="007E7CB7" w:rsidRDefault="007E7CB7" w:rsidP="003F1A94">
                            <w:pPr>
                              <w:spacing w:before="40"/>
                              <w:jc w:val="right"/>
                              <w:rPr>
                                <w:sz w:val="14"/>
                                <w:szCs w:val="14"/>
                                <w:lang w:val="fr-CH"/>
                              </w:rPr>
                            </w:pPr>
                            <w:r>
                              <w:rPr>
                                <w:sz w:val="14"/>
                                <w:szCs w:val="14"/>
                                <w:lang w:val="fr-CH"/>
                              </w:rPr>
                              <w:t>Asie-Pacifique</w:t>
                            </w:r>
                          </w:p>
                          <w:p w14:paraId="33BADC62" w14:textId="77777777" w:rsidR="007E7CB7" w:rsidRDefault="007E7CB7" w:rsidP="003F1A94">
                            <w:pPr>
                              <w:spacing w:before="40"/>
                              <w:jc w:val="right"/>
                              <w:rPr>
                                <w:sz w:val="14"/>
                                <w:szCs w:val="14"/>
                                <w:lang w:val="fr-CH"/>
                              </w:rPr>
                            </w:pPr>
                            <w:r>
                              <w:rPr>
                                <w:sz w:val="14"/>
                                <w:szCs w:val="14"/>
                                <w:lang w:val="fr-CH"/>
                              </w:rPr>
                              <w:t>CEI (Communauté des États indépendants)</w:t>
                            </w:r>
                            <w:r>
                              <w:rPr>
                                <w:sz w:val="14"/>
                                <w:szCs w:val="14"/>
                                <w:lang w:val="fr-CH"/>
                              </w:rPr>
                              <w:br/>
                              <w:t>Europe</w:t>
                            </w:r>
                          </w:p>
                          <w:p w14:paraId="22A56C74" w14:textId="77777777" w:rsidR="007E7CB7" w:rsidRDefault="007E7CB7" w:rsidP="005B6A9C">
                            <w:pPr>
                              <w:spacing w:before="0"/>
                              <w:jc w:val="right"/>
                              <w:rPr>
                                <w:sz w:val="14"/>
                                <w:szCs w:val="14"/>
                                <w:lang w:val="fr-CH"/>
                              </w:rPr>
                            </w:pPr>
                            <w:r>
                              <w:rPr>
                                <w:sz w:val="14"/>
                                <w:szCs w:val="14"/>
                                <w:lang w:val="fr-CH"/>
                              </w:rPr>
                              <w:t>Niveaux régional et international*</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70BB53" id="Text Box 13" o:spid="_x0000_s1032" type="#_x0000_t202" style="position:absolute;margin-left:-50.25pt;margin-top:41.85pt;width:124.7pt;height:101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" fillcolor="white [3201]" stroked="f" strokeweight=".5pt">
                <v:path arrowok="t"/>
                <v:textbox>
                  <w:txbxContent>
                    <w:p w14:paraId="218FC63D" w14:textId="77777777" w:rsidR="007E7CB7" w:rsidRDefault="007E7CB7" w:rsidP="005B6A9C">
                      <w:pPr>
                        <w:spacing w:before="0" w:after="120"/>
                        <w:jc w:val="right"/>
                        <w:rPr>
                          <w:sz w:val="14"/>
                          <w:szCs w:val="14"/>
                          <w:lang w:val="fr-CH"/>
                        </w:rPr>
                      </w:pPr>
                      <w:r>
                        <w:rPr>
                          <w:sz w:val="14"/>
                          <w:szCs w:val="14"/>
                          <w:lang w:val="fr-CH"/>
                        </w:rPr>
                        <w:t>Région du BDT</w:t>
                      </w:r>
                    </w:p>
                    <w:p w14:paraId="23B4C6C3" w14:textId="77777777" w:rsidR="007E7CB7" w:rsidRDefault="007E7CB7" w:rsidP="005B6A9C">
                      <w:pPr>
                        <w:spacing w:before="0" w:after="40"/>
                        <w:jc w:val="right"/>
                        <w:rPr>
                          <w:sz w:val="14"/>
                          <w:szCs w:val="14"/>
                          <w:lang w:val="fr-CH"/>
                        </w:rPr>
                      </w:pPr>
                      <w:r>
                        <w:rPr>
                          <w:sz w:val="14"/>
                          <w:szCs w:val="14"/>
                          <w:lang w:val="fr-CH"/>
                        </w:rPr>
                        <w:t>Afrique</w:t>
                      </w:r>
                    </w:p>
                    <w:p w14:paraId="6939EDF2" w14:textId="77777777" w:rsidR="007E7CB7" w:rsidRDefault="007E7CB7" w:rsidP="005B6A9C">
                      <w:pPr>
                        <w:spacing w:before="0" w:after="40"/>
                        <w:jc w:val="right"/>
                        <w:rPr>
                          <w:sz w:val="14"/>
                          <w:szCs w:val="14"/>
                          <w:lang w:val="fr-CH"/>
                        </w:rPr>
                      </w:pPr>
                      <w:r>
                        <w:rPr>
                          <w:sz w:val="14"/>
                          <w:szCs w:val="14"/>
                          <w:lang w:val="fr-CH"/>
                        </w:rPr>
                        <w:t>Amériques</w:t>
                      </w:r>
                    </w:p>
                    <w:p w14:paraId="6E6A4536" w14:textId="77777777" w:rsidR="007E7CB7" w:rsidRDefault="007E7CB7" w:rsidP="003F1A94">
                      <w:pPr>
                        <w:spacing w:before="20"/>
                        <w:jc w:val="right"/>
                        <w:rPr>
                          <w:sz w:val="14"/>
                          <w:szCs w:val="14"/>
                          <w:lang w:val="fr-CH"/>
                        </w:rPr>
                      </w:pPr>
                      <w:r>
                        <w:rPr>
                          <w:sz w:val="14"/>
                          <w:szCs w:val="14"/>
                          <w:lang w:val="fr-CH"/>
                        </w:rPr>
                        <w:t>États arabes</w:t>
                      </w:r>
                    </w:p>
                    <w:p w14:paraId="7DEE22D2" w14:textId="77777777" w:rsidR="007E7CB7" w:rsidRDefault="007E7CB7" w:rsidP="003F1A94">
                      <w:pPr>
                        <w:spacing w:before="40"/>
                        <w:jc w:val="right"/>
                        <w:rPr>
                          <w:sz w:val="14"/>
                          <w:szCs w:val="14"/>
                          <w:lang w:val="fr-CH"/>
                        </w:rPr>
                      </w:pPr>
                      <w:r>
                        <w:rPr>
                          <w:sz w:val="14"/>
                          <w:szCs w:val="14"/>
                          <w:lang w:val="fr-CH"/>
                        </w:rPr>
                        <w:t>Asie-Pacifique</w:t>
                      </w:r>
                    </w:p>
                    <w:p w14:paraId="33BADC62" w14:textId="77777777" w:rsidR="007E7CB7" w:rsidRDefault="007E7CB7" w:rsidP="003F1A94">
                      <w:pPr>
                        <w:spacing w:before="40"/>
                        <w:jc w:val="right"/>
                        <w:rPr>
                          <w:sz w:val="14"/>
                          <w:szCs w:val="14"/>
                          <w:lang w:val="fr-CH"/>
                        </w:rPr>
                      </w:pPr>
                      <w:r>
                        <w:rPr>
                          <w:sz w:val="14"/>
                          <w:szCs w:val="14"/>
                          <w:lang w:val="fr-CH"/>
                        </w:rPr>
                        <w:t>CEI (Communauté des États indépendants)</w:t>
                      </w:r>
                      <w:r>
                        <w:rPr>
                          <w:sz w:val="14"/>
                          <w:szCs w:val="14"/>
                          <w:lang w:val="fr-CH"/>
                        </w:rPr>
                        <w:br/>
                        <w:t>Europe</w:t>
                      </w:r>
                    </w:p>
                    <w:p w14:paraId="22A56C74" w14:textId="77777777" w:rsidR="007E7CB7" w:rsidRDefault="007E7CB7" w:rsidP="005B6A9C">
                      <w:pPr>
                        <w:spacing w:before="0"/>
                        <w:jc w:val="right"/>
                        <w:rPr>
                          <w:sz w:val="14"/>
                          <w:szCs w:val="14"/>
                          <w:lang w:val="fr-CH"/>
                        </w:rPr>
                      </w:pPr>
                      <w:r>
                        <w:rPr>
                          <w:sz w:val="14"/>
                          <w:szCs w:val="14"/>
                          <w:lang w:val="fr-CH"/>
                        </w:rPr>
                        <w:t>Niveaux régional et international*</w:t>
                      </w:r>
                    </w:p>
                  </w:txbxContent>
                </v:textbox>
              </v:shape>
            </w:pict>
          </mc:Fallback>
        </mc:AlternateContent>
      </w:r>
      <w:r w:rsidR="005B6A9C" w:rsidRPr="00B433A3">
        <w:rPr>
          <w:noProof/>
          <w:lang w:val="en-US"/>
        </w:rPr>
        <w:drawing>
          <wp:inline distT="0" distB="0" distL="0" distR="0" wp14:anchorId="17031F42" wp14:editId="3E109E09">
            <wp:extent cx="6160522" cy="2874645"/>
            <wp:effectExtent l="0" t="0" r="0" b="1905"/>
            <wp:docPr id="4" name="Picture 4"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art, bar chart&#10;&#10;Description automatically generated"/>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6167926" cy="2878100"/>
                    </a:xfrm>
                    <a:prstGeom prst="rect">
                      <a:avLst/>
                    </a:prstGeom>
                    <a:noFill/>
                    <a:ln>
                      <a:noFill/>
                    </a:ln>
                  </pic:spPr>
                </pic:pic>
              </a:graphicData>
            </a:graphic>
          </wp:inline>
        </w:drawing>
      </w:r>
    </w:p>
    <w:p w14:paraId="22CC97DD" w14:textId="3FACD2B1" w:rsidR="005B6A9C" w:rsidRPr="00B433A3" w:rsidRDefault="005B6A9C" w:rsidP="00B8343E">
      <w:pPr>
        <w:pStyle w:val="TableNoBR"/>
      </w:pPr>
      <w:r w:rsidRPr="00B433A3">
        <w:t>Table</w:t>
      </w:r>
      <w:r w:rsidR="008129B7" w:rsidRPr="00B433A3">
        <w:t>AU</w:t>
      </w:r>
      <w:r w:rsidRPr="00B433A3">
        <w:t xml:space="preserve"> 8.5.1-2</w:t>
      </w:r>
    </w:p>
    <w:p w14:paraId="1DEAD154" w14:textId="002EEC59" w:rsidR="005B6A9C" w:rsidRPr="00B433A3" w:rsidRDefault="005B6A9C" w:rsidP="00B8343E">
      <w:pPr>
        <w:spacing w:before="0"/>
      </w:pPr>
      <w:r w:rsidRPr="00B433A3">
        <w:rPr>
          <w:noProof/>
          <w:lang w:val="en-US"/>
        </w:rPr>
        <mc:AlternateContent>
          <mc:Choice Requires="wps">
            <w:drawing>
              <wp:anchor distT="0" distB="0" distL="114300" distR="114300" simplePos="0" relativeHeight="251654144" behindDoc="0" locked="0" layoutInCell="1" allowOverlap="1" wp14:anchorId="7A67063A" wp14:editId="13295F47">
                <wp:simplePos x="0" y="0"/>
                <wp:positionH relativeFrom="margin">
                  <wp:posOffset>4261485</wp:posOffset>
                </wp:positionH>
                <wp:positionV relativeFrom="paragraph">
                  <wp:posOffset>368300</wp:posOffset>
                </wp:positionV>
                <wp:extent cx="1762125" cy="447675"/>
                <wp:effectExtent l="0" t="0" r="0" b="9525"/>
                <wp:wrapNone/>
                <wp:docPr id="6" name="Text Box 6"/>
                <wp:cNvGraphicFramePr/>
                <a:graphic xmlns:a="http://schemas.openxmlformats.org/drawingml/2006/main">
                  <a:graphicData uri="http://schemas.microsoft.com/office/word/2010/wordprocessingShape">
                    <wps:wsp>
                      <wps:cNvSpPr txBox="1"/>
                      <wps:spPr>
                        <a:xfrm>
                          <a:off x="0" y="0"/>
                          <a:ext cx="1762125" cy="447675"/>
                        </a:xfrm>
                        <a:prstGeom prst="rect">
                          <a:avLst/>
                        </a:prstGeom>
                        <a:solidFill>
                          <a:schemeClr val="lt1"/>
                        </a:solidFill>
                        <a:ln w="6350">
                          <a:noFill/>
                        </a:ln>
                      </wps:spPr>
                      <wps:txbx>
                        <w:txbxContent>
                          <w:p w14:paraId="2E14B892" w14:textId="77777777" w:rsidR="007E7CB7" w:rsidRDefault="007E7CB7" w:rsidP="005B6A9C">
                            <w:pPr>
                              <w:spacing w:before="0"/>
                              <w:rPr>
                                <w:sz w:val="14"/>
                                <w:szCs w:val="14"/>
                              </w:rPr>
                            </w:pPr>
                            <w:r>
                              <w:rPr>
                                <w:color w:val="4F81BD" w:themeColor="accent1"/>
                                <w:sz w:val="14"/>
                                <w:szCs w:val="14"/>
                              </w:rPr>
                              <w:t xml:space="preserve">110 </w:t>
                            </w:r>
                            <w:r>
                              <w:rPr>
                                <w:sz w:val="14"/>
                                <w:szCs w:val="14"/>
                              </w:rPr>
                              <w:t>Membres des trois Secteurs</w:t>
                            </w:r>
                          </w:p>
                          <w:p w14:paraId="6BF97547" w14:textId="213E4403" w:rsidR="007E7CB7" w:rsidRDefault="007E7CB7" w:rsidP="005B6A9C">
                            <w:pPr>
                              <w:spacing w:before="0"/>
                              <w:rPr>
                                <w:sz w:val="13"/>
                                <w:szCs w:val="13"/>
                                <w:lang w:val="fr-CH"/>
                              </w:rPr>
                            </w:pPr>
                            <w:r>
                              <w:rPr>
                                <w:color w:val="4F81BD" w:themeColor="accent1"/>
                                <w:sz w:val="14"/>
                                <w:szCs w:val="14"/>
                              </w:rPr>
                              <w:t>51</w:t>
                            </w:r>
                            <w:r>
                              <w:rPr>
                                <w:sz w:val="14"/>
                                <w:szCs w:val="14"/>
                              </w:rPr>
                              <w:t xml:space="preserve"> </w:t>
                            </w:r>
                            <w:r w:rsidRPr="00942C39">
                              <w:rPr>
                                <w:sz w:val="14"/>
                                <w:szCs w:val="14"/>
                              </w:rPr>
                              <w:t>Associés bénéficiant des contributions réduites accordées aux PME</w:t>
                            </w:r>
                          </w:p>
                        </w:txbxContent>
                      </wps:txbx>
                      <wps:bodyPr rot="0" spcFirstLastPara="0" vertOverflow="clip" horzOverflow="clip"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67063A" id="Text Box 6" o:spid="_x0000_s1033" type="#_x0000_t202" style="position:absolute;margin-left:335.55pt;margin-top:29pt;width:138.75pt;height:35.2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" fillcolor="white [3201]" stroked="f" strokeweight=".5pt">
                <v:textbox inset="0,0,0,0">
                  <w:txbxContent>
                    <w:p w14:paraId="2E14B892" w14:textId="77777777" w:rsidR="007E7CB7" w:rsidRDefault="007E7CB7" w:rsidP="005B6A9C">
                      <w:pPr>
                        <w:spacing w:before="0"/>
                        <w:rPr>
                          <w:sz w:val="14"/>
                          <w:szCs w:val="14"/>
                        </w:rPr>
                      </w:pPr>
                      <w:r>
                        <w:rPr>
                          <w:color w:val="4F81BD" w:themeColor="accent1"/>
                          <w:sz w:val="14"/>
                          <w:szCs w:val="14"/>
                        </w:rPr>
                        <w:t xml:space="preserve">110 </w:t>
                      </w:r>
                      <w:r>
                        <w:rPr>
                          <w:sz w:val="14"/>
                          <w:szCs w:val="14"/>
                        </w:rPr>
                        <w:t>Membres des trois Secteurs</w:t>
                      </w:r>
                    </w:p>
                    <w:p w14:paraId="6BF97547" w14:textId="213E4403" w:rsidR="007E7CB7" w:rsidRDefault="007E7CB7" w:rsidP="005B6A9C">
                      <w:pPr>
                        <w:spacing w:before="0"/>
                        <w:rPr>
                          <w:sz w:val="13"/>
                          <w:szCs w:val="13"/>
                          <w:lang w:val="fr-CH"/>
                        </w:rPr>
                      </w:pPr>
                      <w:r>
                        <w:rPr>
                          <w:color w:val="4F81BD" w:themeColor="accent1"/>
                          <w:sz w:val="14"/>
                          <w:szCs w:val="14"/>
                        </w:rPr>
                        <w:t>51</w:t>
                      </w:r>
                      <w:r>
                        <w:rPr>
                          <w:sz w:val="14"/>
                          <w:szCs w:val="14"/>
                        </w:rPr>
                        <w:t xml:space="preserve"> </w:t>
                      </w:r>
                      <w:r w:rsidRPr="00942C39">
                        <w:rPr>
                          <w:sz w:val="14"/>
                          <w:szCs w:val="14"/>
                        </w:rPr>
                        <w:t>Associés bénéficiant des contributions réduites accordées aux PME</w:t>
                      </w:r>
                    </w:p>
                  </w:txbxContent>
                </v:textbox>
                <w10:wrap anchorx="margin"/>
              </v:shape>
            </w:pict>
          </mc:Fallback>
        </mc:AlternateContent>
      </w:r>
      <w:r w:rsidRPr="00B433A3">
        <w:rPr>
          <w:noProof/>
          <w:lang w:val="en-US"/>
        </w:rPr>
        <mc:AlternateContent>
          <mc:Choice Requires="wps">
            <w:drawing>
              <wp:anchor distT="0" distB="0" distL="114300" distR="114300" simplePos="0" relativeHeight="251655168" behindDoc="0" locked="0" layoutInCell="1" allowOverlap="1" wp14:anchorId="5D66D47B" wp14:editId="203723EC">
                <wp:simplePos x="0" y="0"/>
                <wp:positionH relativeFrom="margin">
                  <wp:posOffset>213360</wp:posOffset>
                </wp:positionH>
                <wp:positionV relativeFrom="paragraph">
                  <wp:posOffset>1473200</wp:posOffset>
                </wp:positionV>
                <wp:extent cx="3986530" cy="419100"/>
                <wp:effectExtent l="0" t="0" r="0" b="0"/>
                <wp:wrapNone/>
                <wp:docPr id="26" name="Text Box 26"/>
                <wp:cNvGraphicFramePr/>
                <a:graphic xmlns:a="http://schemas.openxmlformats.org/drawingml/2006/main">
                  <a:graphicData uri="http://schemas.microsoft.com/office/word/2010/wordprocessingShape">
                    <wps:wsp>
                      <wps:cNvSpPr txBox="1"/>
                      <wps:spPr>
                        <a:xfrm>
                          <a:off x="0" y="0"/>
                          <a:ext cx="3986530" cy="419100"/>
                        </a:xfrm>
                        <a:prstGeom prst="rect">
                          <a:avLst/>
                        </a:prstGeom>
                        <a:solidFill>
                          <a:schemeClr val="lt1"/>
                        </a:solidFill>
                        <a:ln w="6350">
                          <a:noFill/>
                        </a:ln>
                      </wps:spPr>
                      <wps:txbx>
                        <w:txbxContent>
                          <w:p w14:paraId="327299CC" w14:textId="77777777" w:rsidR="007E7CB7" w:rsidRDefault="007E7CB7" w:rsidP="005B6A9C">
                            <w:pPr>
                              <w:spacing w:before="0"/>
                              <w:rPr>
                                <w:sz w:val="14"/>
                                <w:szCs w:val="14"/>
                              </w:rPr>
                            </w:pPr>
                            <w:r>
                              <w:rPr>
                                <w:sz w:val="14"/>
                                <w:szCs w:val="14"/>
                              </w:rPr>
                              <w:t>* Note: Les établissements universitaires participent automatiquement aux travaux des trois Secteurs de l'UIT</w:t>
                            </w:r>
                          </w:p>
                          <w:p w14:paraId="718301C5" w14:textId="77777777" w:rsidR="007E7CB7" w:rsidRDefault="007E7CB7" w:rsidP="005B6A9C">
                            <w:pPr>
                              <w:spacing w:before="0"/>
                              <w:rPr>
                                <w:sz w:val="13"/>
                                <w:szCs w:val="13"/>
                              </w:rPr>
                            </w:pPr>
                            <w:r>
                              <w:rPr>
                                <w:sz w:val="14"/>
                                <w:szCs w:val="14"/>
                              </w:rPr>
                              <w:t>** Les montants présentés sont théoriques et reposent sur l'hypothèse que tous les membres versent leurs contributions.</w:t>
                            </w:r>
                          </w:p>
                        </w:txbxContent>
                      </wps:txbx>
                      <wps:bodyPr rot="0" spcFirstLastPara="0" vertOverflow="clip" horzOverflow="clip"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66D47B" id="Text Box 26" o:spid="_x0000_s1034" type="#_x0000_t202" style="position:absolute;margin-left:16.8pt;margin-top:116pt;width:313.9pt;height:33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" fillcolor="white [3201]" stroked="f" strokeweight=".5pt">
                <v:textbox inset="0,0,0,0">
                  <w:txbxContent>
                    <w:p w14:paraId="327299CC" w14:textId="77777777" w:rsidR="007E7CB7" w:rsidRDefault="007E7CB7" w:rsidP="005B6A9C">
                      <w:pPr>
                        <w:spacing w:before="0"/>
                        <w:rPr>
                          <w:sz w:val="14"/>
                          <w:szCs w:val="14"/>
                        </w:rPr>
                      </w:pPr>
                      <w:r>
                        <w:rPr>
                          <w:sz w:val="14"/>
                          <w:szCs w:val="14"/>
                        </w:rPr>
                        <w:t>* Note: Les établissements universitaires participent automatiquement aux travaux des trois Secteurs de l'UIT</w:t>
                      </w:r>
                    </w:p>
                    <w:p w14:paraId="718301C5" w14:textId="77777777" w:rsidR="007E7CB7" w:rsidRDefault="007E7CB7" w:rsidP="005B6A9C">
                      <w:pPr>
                        <w:spacing w:before="0"/>
                        <w:rPr>
                          <w:sz w:val="13"/>
                          <w:szCs w:val="13"/>
                        </w:rPr>
                      </w:pPr>
                      <w:r>
                        <w:rPr>
                          <w:sz w:val="14"/>
                          <w:szCs w:val="14"/>
                        </w:rPr>
                        <w:t>** Les montants présentés sont théoriques et reposent sur l'hypothèse que tous les membres versent leurs contributions.</w:t>
                      </w:r>
                    </w:p>
                  </w:txbxContent>
                </v:textbox>
                <w10:wrap anchorx="margin"/>
              </v:shape>
            </w:pict>
          </mc:Fallback>
        </mc:AlternateContent>
      </w:r>
      <w:r w:rsidRPr="00B433A3">
        <w:rPr>
          <w:noProof/>
          <w:lang w:val="en-US"/>
        </w:rPr>
        <mc:AlternateContent>
          <mc:Choice Requires="wps">
            <w:drawing>
              <wp:anchor distT="0" distB="0" distL="114300" distR="114300" simplePos="0" relativeHeight="251656192" behindDoc="0" locked="0" layoutInCell="1" allowOverlap="1" wp14:anchorId="4CF264CD" wp14:editId="4BC5F1FF">
                <wp:simplePos x="0" y="0"/>
                <wp:positionH relativeFrom="margin">
                  <wp:posOffset>3066415</wp:posOffset>
                </wp:positionH>
                <wp:positionV relativeFrom="paragraph">
                  <wp:posOffset>2239010</wp:posOffset>
                </wp:positionV>
                <wp:extent cx="1243330" cy="2012950"/>
                <wp:effectExtent l="0" t="0" r="0" b="6350"/>
                <wp:wrapNone/>
                <wp:docPr id="30" name="Text Box 30"/>
                <wp:cNvGraphicFramePr/>
                <a:graphic xmlns:a="http://schemas.openxmlformats.org/drawingml/2006/main">
                  <a:graphicData uri="http://schemas.microsoft.com/office/word/2010/wordprocessingShape">
                    <wps:wsp>
                      <wps:cNvSpPr txBox="1"/>
                      <wps:spPr>
                        <a:xfrm>
                          <a:off x="0" y="0"/>
                          <a:ext cx="1243330" cy="2012950"/>
                        </a:xfrm>
                        <a:prstGeom prst="rect">
                          <a:avLst/>
                        </a:prstGeom>
                        <a:solidFill>
                          <a:schemeClr val="lt1"/>
                        </a:solidFill>
                        <a:ln w="6350">
                          <a:noFill/>
                        </a:ln>
                      </wps:spPr>
                      <wps:txbx>
                        <w:txbxContent>
                          <w:p w14:paraId="5EB73F8A" w14:textId="77777777" w:rsidR="007E7CB7" w:rsidRDefault="007E7CB7" w:rsidP="005B6A9C">
                            <w:pPr>
                              <w:spacing w:before="40"/>
                              <w:rPr>
                                <w:sz w:val="14"/>
                                <w:szCs w:val="14"/>
                              </w:rPr>
                            </w:pPr>
                            <w:r>
                              <w:rPr>
                                <w:sz w:val="14"/>
                                <w:szCs w:val="14"/>
                              </w:rPr>
                              <w:t>Membres des trois Secteurs</w:t>
                            </w:r>
                          </w:p>
                          <w:p w14:paraId="370D6A73" w14:textId="77777777" w:rsidR="007E7CB7" w:rsidRDefault="007E7CB7" w:rsidP="005B6A9C">
                            <w:pPr>
                              <w:spacing w:before="480"/>
                              <w:rPr>
                                <w:sz w:val="14"/>
                                <w:szCs w:val="14"/>
                              </w:rPr>
                            </w:pPr>
                            <w:r>
                              <w:rPr>
                                <w:sz w:val="14"/>
                                <w:szCs w:val="14"/>
                              </w:rPr>
                              <w:t>Total estimatif des contributions</w:t>
                            </w:r>
                          </w:p>
                          <w:p w14:paraId="18B98509" w14:textId="77777777" w:rsidR="007E7CB7" w:rsidRPr="008129B7" w:rsidRDefault="007E7CB7" w:rsidP="005B6A9C">
                            <w:pPr>
                              <w:spacing w:before="480"/>
                              <w:rPr>
                                <w:sz w:val="13"/>
                                <w:szCs w:val="13"/>
                              </w:rPr>
                            </w:pPr>
                            <w:r w:rsidRPr="008129B7">
                              <w:rPr>
                                <w:sz w:val="13"/>
                                <w:szCs w:val="13"/>
                              </w:rPr>
                              <w:t>Membres de l'UIT-R</w:t>
                            </w:r>
                          </w:p>
                          <w:p w14:paraId="20317A25" w14:textId="77777777" w:rsidR="007E7CB7" w:rsidRPr="008129B7" w:rsidRDefault="007E7CB7" w:rsidP="005B6A9C">
                            <w:pPr>
                              <w:spacing w:before="480"/>
                              <w:rPr>
                                <w:sz w:val="13"/>
                                <w:szCs w:val="13"/>
                              </w:rPr>
                            </w:pPr>
                            <w:r w:rsidRPr="008129B7">
                              <w:rPr>
                                <w:sz w:val="13"/>
                                <w:szCs w:val="13"/>
                              </w:rPr>
                              <w:t>Membres de l'UIT-T</w:t>
                            </w:r>
                          </w:p>
                          <w:p w14:paraId="2527A90C" w14:textId="77777777" w:rsidR="007E7CB7" w:rsidRDefault="007E7CB7" w:rsidP="005B6A9C">
                            <w:pPr>
                              <w:spacing w:before="480"/>
                              <w:rPr>
                                <w:sz w:val="14"/>
                                <w:szCs w:val="14"/>
                                <w:lang w:val="en-GB"/>
                              </w:rPr>
                            </w:pPr>
                            <w:r w:rsidRPr="008129B7">
                              <w:rPr>
                                <w:sz w:val="13"/>
                                <w:szCs w:val="13"/>
                                <w:lang w:val="en-GB"/>
                              </w:rPr>
                              <w:t>Membres de l'UIT-D</w:t>
                            </w:r>
                          </w:p>
                        </w:txbxContent>
                      </wps:txbx>
                      <wps:bodyPr rot="0" spcFirstLastPara="0" vertOverflow="clip" horzOverflow="clip"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F264CD" id="Text Box 30" o:spid="_x0000_s1035" type="#_x0000_t202" style="position:absolute;margin-left:241.45pt;margin-top:176.3pt;width:97.9pt;height:158.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" fillcolor="white [3201]" stroked="f" strokeweight=".5pt">
                <v:textbox inset="0,0,0,0">
                  <w:txbxContent>
                    <w:p w14:paraId="5EB73F8A" w14:textId="77777777" w:rsidR="007E7CB7" w:rsidRDefault="007E7CB7" w:rsidP="005B6A9C">
                      <w:pPr>
                        <w:spacing w:before="40"/>
                        <w:rPr>
                          <w:sz w:val="14"/>
                          <w:szCs w:val="14"/>
                        </w:rPr>
                      </w:pPr>
                      <w:r>
                        <w:rPr>
                          <w:sz w:val="14"/>
                          <w:szCs w:val="14"/>
                        </w:rPr>
                        <w:t>Membres des trois Secteurs</w:t>
                      </w:r>
                    </w:p>
                    <w:p w14:paraId="370D6A73" w14:textId="77777777" w:rsidR="007E7CB7" w:rsidRDefault="007E7CB7" w:rsidP="005B6A9C">
                      <w:pPr>
                        <w:spacing w:before="480"/>
                        <w:rPr>
                          <w:sz w:val="14"/>
                          <w:szCs w:val="14"/>
                        </w:rPr>
                      </w:pPr>
                      <w:r>
                        <w:rPr>
                          <w:sz w:val="14"/>
                          <w:szCs w:val="14"/>
                        </w:rPr>
                        <w:t>Total estimatif des contributions</w:t>
                      </w:r>
                    </w:p>
                    <w:p w14:paraId="18B98509" w14:textId="77777777" w:rsidR="007E7CB7" w:rsidRPr="008129B7" w:rsidRDefault="007E7CB7" w:rsidP="005B6A9C">
                      <w:pPr>
                        <w:spacing w:before="480"/>
                        <w:rPr>
                          <w:sz w:val="13"/>
                          <w:szCs w:val="13"/>
                        </w:rPr>
                      </w:pPr>
                      <w:r w:rsidRPr="008129B7">
                        <w:rPr>
                          <w:sz w:val="13"/>
                          <w:szCs w:val="13"/>
                        </w:rPr>
                        <w:t>Membres de l'UIT-R</w:t>
                      </w:r>
                    </w:p>
                    <w:p w14:paraId="20317A25" w14:textId="77777777" w:rsidR="007E7CB7" w:rsidRPr="008129B7" w:rsidRDefault="007E7CB7" w:rsidP="005B6A9C">
                      <w:pPr>
                        <w:spacing w:before="480"/>
                        <w:rPr>
                          <w:sz w:val="13"/>
                          <w:szCs w:val="13"/>
                        </w:rPr>
                      </w:pPr>
                      <w:r w:rsidRPr="008129B7">
                        <w:rPr>
                          <w:sz w:val="13"/>
                          <w:szCs w:val="13"/>
                        </w:rPr>
                        <w:t>Membres de l'UIT-T</w:t>
                      </w:r>
                    </w:p>
                    <w:p w14:paraId="2527A90C" w14:textId="77777777" w:rsidR="007E7CB7" w:rsidRDefault="007E7CB7" w:rsidP="005B6A9C">
                      <w:pPr>
                        <w:spacing w:before="480"/>
                        <w:rPr>
                          <w:sz w:val="14"/>
                          <w:szCs w:val="14"/>
                          <w:lang w:val="en-GB"/>
                        </w:rPr>
                      </w:pPr>
                      <w:r w:rsidRPr="008129B7">
                        <w:rPr>
                          <w:sz w:val="13"/>
                          <w:szCs w:val="13"/>
                          <w:lang w:val="en-GB"/>
                        </w:rPr>
                        <w:t>Membres de l'UIT-D</w:t>
                      </w:r>
                    </w:p>
                  </w:txbxContent>
                </v:textbox>
                <w10:wrap anchorx="margin"/>
              </v:shape>
            </w:pict>
          </mc:Fallback>
        </mc:AlternateContent>
      </w:r>
      <w:r w:rsidRPr="00B433A3">
        <w:rPr>
          <w:noProof/>
          <w:lang w:val="en-US"/>
        </w:rPr>
        <mc:AlternateContent>
          <mc:Choice Requires="wps">
            <w:drawing>
              <wp:anchor distT="0" distB="0" distL="114300" distR="114300" simplePos="0" relativeHeight="251657216" behindDoc="0" locked="0" layoutInCell="1" allowOverlap="1" wp14:anchorId="0A11D874" wp14:editId="6714FECD">
                <wp:simplePos x="0" y="0"/>
                <wp:positionH relativeFrom="margin">
                  <wp:posOffset>254000</wp:posOffset>
                </wp:positionH>
                <wp:positionV relativeFrom="paragraph">
                  <wp:posOffset>2227580</wp:posOffset>
                </wp:positionV>
                <wp:extent cx="1243330" cy="2094865"/>
                <wp:effectExtent l="0" t="0" r="0" b="635"/>
                <wp:wrapNone/>
                <wp:docPr id="29" name="Text Box 29"/>
                <wp:cNvGraphicFramePr/>
                <a:graphic xmlns:a="http://schemas.openxmlformats.org/drawingml/2006/main">
                  <a:graphicData uri="http://schemas.microsoft.com/office/word/2010/wordprocessingShape">
                    <wps:wsp>
                      <wps:cNvSpPr txBox="1"/>
                      <wps:spPr>
                        <a:xfrm>
                          <a:off x="0" y="0"/>
                          <a:ext cx="1243330" cy="2094865"/>
                        </a:xfrm>
                        <a:prstGeom prst="rect">
                          <a:avLst/>
                        </a:prstGeom>
                        <a:solidFill>
                          <a:schemeClr val="lt1"/>
                        </a:solidFill>
                        <a:ln w="6350">
                          <a:noFill/>
                        </a:ln>
                      </wps:spPr>
                      <wps:txbx>
                        <w:txbxContent>
                          <w:p w14:paraId="22C9052E" w14:textId="77777777" w:rsidR="007E7CB7" w:rsidRDefault="007E7CB7" w:rsidP="005B6A9C">
                            <w:pPr>
                              <w:spacing w:before="40"/>
                              <w:rPr>
                                <w:sz w:val="14"/>
                                <w:szCs w:val="14"/>
                              </w:rPr>
                            </w:pPr>
                            <w:r>
                              <w:rPr>
                                <w:sz w:val="14"/>
                                <w:szCs w:val="14"/>
                              </w:rPr>
                              <w:t>Entités membres</w:t>
                            </w:r>
                          </w:p>
                          <w:p w14:paraId="14D8898F" w14:textId="77777777" w:rsidR="007E7CB7" w:rsidRDefault="007E7CB7" w:rsidP="005B6A9C">
                            <w:pPr>
                              <w:spacing w:before="480"/>
                              <w:rPr>
                                <w:sz w:val="14"/>
                                <w:szCs w:val="14"/>
                              </w:rPr>
                            </w:pPr>
                            <w:r>
                              <w:rPr>
                                <w:sz w:val="14"/>
                                <w:szCs w:val="14"/>
                              </w:rPr>
                              <w:t>Ensemble des membres</w:t>
                            </w:r>
                          </w:p>
                          <w:p w14:paraId="5221F03D" w14:textId="77777777" w:rsidR="007E7CB7" w:rsidRDefault="007E7CB7" w:rsidP="005B6A9C">
                            <w:pPr>
                              <w:spacing w:before="480"/>
                              <w:rPr>
                                <w:sz w:val="13"/>
                                <w:szCs w:val="13"/>
                              </w:rPr>
                            </w:pPr>
                            <w:r>
                              <w:rPr>
                                <w:sz w:val="13"/>
                                <w:szCs w:val="13"/>
                              </w:rPr>
                              <w:t>Membres de Secteur</w:t>
                            </w:r>
                          </w:p>
                          <w:p w14:paraId="7B0A4453" w14:textId="77777777" w:rsidR="007E7CB7" w:rsidRDefault="007E7CB7" w:rsidP="005B6A9C">
                            <w:pPr>
                              <w:spacing w:before="480"/>
                              <w:rPr>
                                <w:sz w:val="13"/>
                                <w:szCs w:val="13"/>
                              </w:rPr>
                            </w:pPr>
                            <w:r>
                              <w:rPr>
                                <w:sz w:val="13"/>
                                <w:szCs w:val="13"/>
                              </w:rPr>
                              <w:t>Associés</w:t>
                            </w:r>
                          </w:p>
                          <w:p w14:paraId="53EC2122" w14:textId="77777777" w:rsidR="007E7CB7" w:rsidRDefault="007E7CB7" w:rsidP="005B6A9C">
                            <w:pPr>
                              <w:spacing w:before="480"/>
                              <w:rPr>
                                <w:sz w:val="14"/>
                                <w:szCs w:val="14"/>
                              </w:rPr>
                            </w:pPr>
                            <w:r>
                              <w:rPr>
                                <w:sz w:val="13"/>
                                <w:szCs w:val="13"/>
                              </w:rPr>
                              <w:t>Établissements universitaires</w:t>
                            </w:r>
                          </w:p>
                        </w:txbxContent>
                      </wps:txbx>
                      <wps:bodyPr rot="0" spcFirstLastPara="0" vertOverflow="clip" horzOverflow="clip"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11D874" id="Text Box 29" o:spid="_x0000_s1036" type="#_x0000_t202" style="position:absolute;margin-left:20pt;margin-top:175.4pt;width:97.9pt;height:164.9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" fillcolor="white [3201]" stroked="f" strokeweight=".5pt">
                <v:textbox inset="0,0,0,0">
                  <w:txbxContent>
                    <w:p w14:paraId="22C9052E" w14:textId="77777777" w:rsidR="007E7CB7" w:rsidRDefault="007E7CB7" w:rsidP="005B6A9C">
                      <w:pPr>
                        <w:spacing w:before="40"/>
                        <w:rPr>
                          <w:sz w:val="14"/>
                          <w:szCs w:val="14"/>
                        </w:rPr>
                      </w:pPr>
                      <w:r>
                        <w:rPr>
                          <w:sz w:val="14"/>
                          <w:szCs w:val="14"/>
                        </w:rPr>
                        <w:t>Entités membres</w:t>
                      </w:r>
                    </w:p>
                    <w:p w14:paraId="14D8898F" w14:textId="77777777" w:rsidR="007E7CB7" w:rsidRDefault="007E7CB7" w:rsidP="005B6A9C">
                      <w:pPr>
                        <w:spacing w:before="480"/>
                        <w:rPr>
                          <w:sz w:val="14"/>
                          <w:szCs w:val="14"/>
                        </w:rPr>
                      </w:pPr>
                      <w:r>
                        <w:rPr>
                          <w:sz w:val="14"/>
                          <w:szCs w:val="14"/>
                        </w:rPr>
                        <w:t>Ensemble des membres</w:t>
                      </w:r>
                    </w:p>
                    <w:p w14:paraId="5221F03D" w14:textId="77777777" w:rsidR="007E7CB7" w:rsidRDefault="007E7CB7" w:rsidP="005B6A9C">
                      <w:pPr>
                        <w:spacing w:before="480"/>
                        <w:rPr>
                          <w:sz w:val="13"/>
                          <w:szCs w:val="13"/>
                        </w:rPr>
                      </w:pPr>
                      <w:r>
                        <w:rPr>
                          <w:sz w:val="13"/>
                          <w:szCs w:val="13"/>
                        </w:rPr>
                        <w:t>Membres de Secteur</w:t>
                      </w:r>
                    </w:p>
                    <w:p w14:paraId="7B0A4453" w14:textId="77777777" w:rsidR="007E7CB7" w:rsidRDefault="007E7CB7" w:rsidP="005B6A9C">
                      <w:pPr>
                        <w:spacing w:before="480"/>
                        <w:rPr>
                          <w:sz w:val="13"/>
                          <w:szCs w:val="13"/>
                        </w:rPr>
                      </w:pPr>
                      <w:r>
                        <w:rPr>
                          <w:sz w:val="13"/>
                          <w:szCs w:val="13"/>
                        </w:rPr>
                        <w:t>Associés</w:t>
                      </w:r>
                    </w:p>
                    <w:p w14:paraId="53EC2122" w14:textId="77777777" w:rsidR="007E7CB7" w:rsidRDefault="007E7CB7" w:rsidP="005B6A9C">
                      <w:pPr>
                        <w:spacing w:before="480"/>
                        <w:rPr>
                          <w:sz w:val="14"/>
                          <w:szCs w:val="14"/>
                        </w:rPr>
                      </w:pPr>
                      <w:r>
                        <w:rPr>
                          <w:sz w:val="13"/>
                          <w:szCs w:val="13"/>
                        </w:rPr>
                        <w:t>Établissements universitaires</w:t>
                      </w:r>
                    </w:p>
                  </w:txbxContent>
                </v:textbox>
                <w10:wrap anchorx="margin"/>
              </v:shape>
            </w:pict>
          </mc:Fallback>
        </mc:AlternateContent>
      </w:r>
      <w:r w:rsidRPr="00B433A3">
        <w:rPr>
          <w:noProof/>
          <w:lang w:val="en-US"/>
        </w:rPr>
        <mc:AlternateContent>
          <mc:Choice Requires="wps">
            <w:drawing>
              <wp:anchor distT="0" distB="0" distL="114300" distR="114300" simplePos="0" relativeHeight="251658240" behindDoc="0" locked="0" layoutInCell="1" allowOverlap="1" wp14:anchorId="69A994A8" wp14:editId="1944D180">
                <wp:simplePos x="0" y="0"/>
                <wp:positionH relativeFrom="margin">
                  <wp:posOffset>30480</wp:posOffset>
                </wp:positionH>
                <wp:positionV relativeFrom="paragraph">
                  <wp:posOffset>820420</wp:posOffset>
                </wp:positionV>
                <wp:extent cx="1193165" cy="614045"/>
                <wp:effectExtent l="0" t="0" r="6985" b="0"/>
                <wp:wrapNone/>
                <wp:docPr id="11" name="Text Box 11"/>
                <wp:cNvGraphicFramePr/>
                <a:graphic xmlns:a="http://schemas.openxmlformats.org/drawingml/2006/main">
                  <a:graphicData uri="http://schemas.microsoft.com/office/word/2010/wordprocessingShape">
                    <wps:wsp>
                      <wps:cNvSpPr txBox="1"/>
                      <wps:spPr>
                        <a:xfrm>
                          <a:off x="0" y="0"/>
                          <a:ext cx="1193165" cy="614045"/>
                        </a:xfrm>
                        <a:prstGeom prst="rect">
                          <a:avLst/>
                        </a:prstGeom>
                        <a:solidFill>
                          <a:schemeClr val="lt1"/>
                        </a:solidFill>
                        <a:ln w="6350">
                          <a:noFill/>
                        </a:ln>
                      </wps:spPr>
                      <wps:txbx>
                        <w:txbxContent>
                          <w:p w14:paraId="72257E06" w14:textId="77777777" w:rsidR="007E7CB7" w:rsidRDefault="007E7CB7" w:rsidP="005B6A9C">
                            <w:pPr>
                              <w:tabs>
                                <w:tab w:val="clear" w:pos="1588"/>
                              </w:tabs>
                              <w:spacing w:before="0"/>
                              <w:jc w:val="right"/>
                              <w:rPr>
                                <w:sz w:val="13"/>
                                <w:szCs w:val="13"/>
                                <w:lang w:val="fr-CH"/>
                              </w:rPr>
                            </w:pPr>
                            <w:r>
                              <w:rPr>
                                <w:sz w:val="13"/>
                                <w:szCs w:val="13"/>
                                <w:lang w:val="fr-CH"/>
                              </w:rPr>
                              <w:t>Membres de Secteur</w:t>
                            </w:r>
                          </w:p>
                          <w:p w14:paraId="236090A9" w14:textId="77777777" w:rsidR="007E7CB7" w:rsidRDefault="007E7CB7" w:rsidP="005B6A9C">
                            <w:pPr>
                              <w:tabs>
                                <w:tab w:val="clear" w:pos="1588"/>
                              </w:tabs>
                              <w:spacing w:before="0" w:after="40"/>
                              <w:jc w:val="right"/>
                              <w:rPr>
                                <w:sz w:val="13"/>
                                <w:szCs w:val="13"/>
                                <w:lang w:val="fr-CH"/>
                              </w:rPr>
                            </w:pPr>
                            <w:r>
                              <w:rPr>
                                <w:sz w:val="13"/>
                                <w:szCs w:val="13"/>
                                <w:lang w:val="fr-CH"/>
                              </w:rPr>
                              <w:t>Associés</w:t>
                            </w:r>
                          </w:p>
                          <w:p w14:paraId="4A9A6D33" w14:textId="77777777" w:rsidR="007E7CB7" w:rsidRDefault="007E7CB7" w:rsidP="005B6A9C">
                            <w:pPr>
                              <w:tabs>
                                <w:tab w:val="clear" w:pos="1588"/>
                              </w:tabs>
                              <w:spacing w:before="0" w:after="120"/>
                              <w:jc w:val="right"/>
                              <w:rPr>
                                <w:sz w:val="13"/>
                                <w:szCs w:val="13"/>
                                <w:lang w:val="fr-CH"/>
                              </w:rPr>
                            </w:pPr>
                            <w:r>
                              <w:rPr>
                                <w:sz w:val="13"/>
                                <w:szCs w:val="13"/>
                                <w:lang w:val="fr-CH"/>
                              </w:rPr>
                              <w:t>Établissements universitaires*</w:t>
                            </w:r>
                          </w:p>
                          <w:p w14:paraId="215C1426" w14:textId="77777777" w:rsidR="007E7CB7" w:rsidRDefault="007E7CB7" w:rsidP="005B6A9C">
                            <w:pPr>
                              <w:tabs>
                                <w:tab w:val="clear" w:pos="1588"/>
                              </w:tabs>
                              <w:spacing w:before="0"/>
                              <w:jc w:val="right"/>
                              <w:rPr>
                                <w:sz w:val="13"/>
                                <w:szCs w:val="13"/>
                                <w:lang w:val="fr-CH"/>
                              </w:rPr>
                            </w:pPr>
                            <w:r>
                              <w:rPr>
                                <w:sz w:val="13"/>
                                <w:szCs w:val="13"/>
                                <w:lang w:val="fr-CH"/>
                              </w:rPr>
                              <w:t>Montant de la contribution</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A994A8" id="Text Box 11" o:spid="_x0000_s1037" type="#_x0000_t202" style="position:absolute;margin-left:2.4pt;margin-top:64.6pt;width:93.95pt;height:48.3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" fillcolor="white [3201]" stroked="f" strokeweight=".5pt">
                <v:textbox>
                  <w:txbxContent>
                    <w:p w14:paraId="72257E06" w14:textId="77777777" w:rsidR="007E7CB7" w:rsidRDefault="007E7CB7" w:rsidP="005B6A9C">
                      <w:pPr>
                        <w:tabs>
                          <w:tab w:val="clear" w:pos="1588"/>
                        </w:tabs>
                        <w:spacing w:before="0"/>
                        <w:jc w:val="right"/>
                        <w:rPr>
                          <w:sz w:val="13"/>
                          <w:szCs w:val="13"/>
                          <w:lang w:val="fr-CH"/>
                        </w:rPr>
                      </w:pPr>
                      <w:r>
                        <w:rPr>
                          <w:sz w:val="13"/>
                          <w:szCs w:val="13"/>
                          <w:lang w:val="fr-CH"/>
                        </w:rPr>
                        <w:t>Membres de Secteur</w:t>
                      </w:r>
                    </w:p>
                    <w:p w14:paraId="236090A9" w14:textId="77777777" w:rsidR="007E7CB7" w:rsidRDefault="007E7CB7" w:rsidP="005B6A9C">
                      <w:pPr>
                        <w:tabs>
                          <w:tab w:val="clear" w:pos="1588"/>
                        </w:tabs>
                        <w:spacing w:before="0" w:after="40"/>
                        <w:jc w:val="right"/>
                        <w:rPr>
                          <w:sz w:val="13"/>
                          <w:szCs w:val="13"/>
                          <w:lang w:val="fr-CH"/>
                        </w:rPr>
                      </w:pPr>
                      <w:r>
                        <w:rPr>
                          <w:sz w:val="13"/>
                          <w:szCs w:val="13"/>
                          <w:lang w:val="fr-CH"/>
                        </w:rPr>
                        <w:t>Associés</w:t>
                      </w:r>
                    </w:p>
                    <w:p w14:paraId="4A9A6D33" w14:textId="77777777" w:rsidR="007E7CB7" w:rsidRDefault="007E7CB7" w:rsidP="005B6A9C">
                      <w:pPr>
                        <w:tabs>
                          <w:tab w:val="clear" w:pos="1588"/>
                        </w:tabs>
                        <w:spacing w:before="0" w:after="120"/>
                        <w:jc w:val="right"/>
                        <w:rPr>
                          <w:sz w:val="13"/>
                          <w:szCs w:val="13"/>
                          <w:lang w:val="fr-CH"/>
                        </w:rPr>
                      </w:pPr>
                      <w:r>
                        <w:rPr>
                          <w:sz w:val="13"/>
                          <w:szCs w:val="13"/>
                          <w:lang w:val="fr-CH"/>
                        </w:rPr>
                        <w:t>Établissements universitaires*</w:t>
                      </w:r>
                    </w:p>
                    <w:p w14:paraId="215C1426" w14:textId="77777777" w:rsidR="007E7CB7" w:rsidRDefault="007E7CB7" w:rsidP="005B6A9C">
                      <w:pPr>
                        <w:tabs>
                          <w:tab w:val="clear" w:pos="1588"/>
                        </w:tabs>
                        <w:spacing w:before="0"/>
                        <w:jc w:val="right"/>
                        <w:rPr>
                          <w:sz w:val="13"/>
                          <w:szCs w:val="13"/>
                          <w:lang w:val="fr-CH"/>
                        </w:rPr>
                      </w:pPr>
                      <w:r>
                        <w:rPr>
                          <w:sz w:val="13"/>
                          <w:szCs w:val="13"/>
                          <w:lang w:val="fr-CH"/>
                        </w:rPr>
                        <w:t>Montant de la contribution</w:t>
                      </w:r>
                    </w:p>
                  </w:txbxContent>
                </v:textbox>
                <w10:wrap anchorx="margin"/>
              </v:shape>
            </w:pict>
          </mc:Fallback>
        </mc:AlternateContent>
      </w:r>
      <w:r w:rsidRPr="00B433A3">
        <w:rPr>
          <w:noProof/>
          <w:lang w:val="en-US"/>
        </w:rPr>
        <mc:AlternateContent>
          <mc:Choice Requires="wps">
            <w:drawing>
              <wp:anchor distT="0" distB="0" distL="114300" distR="114300" simplePos="0" relativeHeight="251659264" behindDoc="0" locked="0" layoutInCell="1" allowOverlap="1" wp14:anchorId="29B8EBEA" wp14:editId="4AD94E85">
                <wp:simplePos x="0" y="0"/>
                <wp:positionH relativeFrom="margin">
                  <wp:posOffset>1175385</wp:posOffset>
                </wp:positionH>
                <wp:positionV relativeFrom="paragraph">
                  <wp:posOffset>1889760</wp:posOffset>
                </wp:positionV>
                <wp:extent cx="3986530" cy="234315"/>
                <wp:effectExtent l="0" t="0" r="0" b="0"/>
                <wp:wrapNone/>
                <wp:docPr id="27" name="Text Box 27"/>
                <wp:cNvGraphicFramePr/>
                <a:graphic xmlns:a="http://schemas.openxmlformats.org/drawingml/2006/main">
                  <a:graphicData uri="http://schemas.microsoft.com/office/word/2010/wordprocessingShape">
                    <wps:wsp>
                      <wps:cNvSpPr txBox="1"/>
                      <wps:spPr>
                        <a:xfrm>
                          <a:off x="0" y="0"/>
                          <a:ext cx="3986530" cy="234315"/>
                        </a:xfrm>
                        <a:prstGeom prst="rect">
                          <a:avLst/>
                        </a:prstGeom>
                        <a:solidFill>
                          <a:schemeClr val="lt1"/>
                        </a:solidFill>
                        <a:ln w="6350">
                          <a:noFill/>
                        </a:ln>
                      </wps:spPr>
                      <wps:txbx>
                        <w:txbxContent>
                          <w:p w14:paraId="43B18261" w14:textId="77777777" w:rsidR="007E7CB7" w:rsidRDefault="007E7CB7" w:rsidP="005B6A9C">
                            <w:pPr>
                              <w:spacing w:before="0"/>
                              <w:jc w:val="center"/>
                              <w:rPr>
                                <w:sz w:val="13"/>
                                <w:szCs w:val="13"/>
                                <w:lang w:val="fr-CH"/>
                              </w:rPr>
                            </w:pPr>
                            <w:r>
                              <w:rPr>
                                <w:b/>
                                <w:bCs/>
                                <w:sz w:val="14"/>
                                <w:szCs w:val="14"/>
                              </w:rPr>
                              <w:t>Indicateurs fondamentaux de performance concernant les Membres (par rapport à 2019)</w:t>
                            </w:r>
                          </w:p>
                        </w:txbxContent>
                      </wps:txbx>
                      <wps:bodyPr rot="0" spcFirstLastPara="0" vertOverflow="clip" horzOverflow="clip"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B8EBEA" id="Text Box 27" o:spid="_x0000_s1038" type="#_x0000_t202" style="position:absolute;margin-left:92.55pt;margin-top:148.8pt;width:313.9pt;height:18.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" fillcolor="white [3201]" stroked="f" strokeweight=".5pt">
                <v:textbox inset="0,0,0,0">
                  <w:txbxContent>
                    <w:p w14:paraId="43B18261" w14:textId="77777777" w:rsidR="007E7CB7" w:rsidRDefault="007E7CB7" w:rsidP="005B6A9C">
                      <w:pPr>
                        <w:spacing w:before="0"/>
                        <w:jc w:val="center"/>
                        <w:rPr>
                          <w:sz w:val="13"/>
                          <w:szCs w:val="13"/>
                          <w:lang w:val="fr-CH"/>
                        </w:rPr>
                      </w:pPr>
                      <w:r>
                        <w:rPr>
                          <w:b/>
                          <w:bCs/>
                          <w:sz w:val="14"/>
                          <w:szCs w:val="14"/>
                        </w:rPr>
                        <w:t>Indicateurs fondamentaux de performance concernant les Membres (par rapport à 2019)</w:t>
                      </w:r>
                    </w:p>
                  </w:txbxContent>
                </v:textbox>
                <w10:wrap anchorx="margin"/>
              </v:shape>
            </w:pict>
          </mc:Fallback>
        </mc:AlternateContent>
      </w:r>
      <w:r w:rsidRPr="00B433A3">
        <w:rPr>
          <w:noProof/>
          <w:lang w:val="en-US"/>
        </w:rPr>
        <mc:AlternateContent>
          <mc:Choice Requires="wps">
            <w:drawing>
              <wp:anchor distT="0" distB="0" distL="114300" distR="114300" simplePos="0" relativeHeight="251660288" behindDoc="0" locked="0" layoutInCell="1" allowOverlap="1" wp14:anchorId="363F45A7" wp14:editId="248879D9">
                <wp:simplePos x="0" y="0"/>
                <wp:positionH relativeFrom="margin">
                  <wp:posOffset>3537585</wp:posOffset>
                </wp:positionH>
                <wp:positionV relativeFrom="paragraph">
                  <wp:posOffset>690245</wp:posOffset>
                </wp:positionV>
                <wp:extent cx="1638935" cy="170180"/>
                <wp:effectExtent l="0" t="0" r="0" b="1270"/>
                <wp:wrapNone/>
                <wp:docPr id="24" name="Text Box 24"/>
                <wp:cNvGraphicFramePr/>
                <a:graphic xmlns:a="http://schemas.openxmlformats.org/drawingml/2006/main">
                  <a:graphicData uri="http://schemas.microsoft.com/office/word/2010/wordprocessingShape">
                    <wps:wsp>
                      <wps:cNvSpPr txBox="1"/>
                      <wps:spPr>
                        <a:xfrm>
                          <a:off x="0" y="0"/>
                          <a:ext cx="1638935" cy="170180"/>
                        </a:xfrm>
                        <a:prstGeom prst="rect">
                          <a:avLst/>
                        </a:prstGeom>
                        <a:solidFill>
                          <a:schemeClr val="lt1"/>
                        </a:solidFill>
                        <a:ln w="6350">
                          <a:noFill/>
                        </a:ln>
                      </wps:spPr>
                      <wps:txbx>
                        <w:txbxContent>
                          <w:p w14:paraId="37A60793" w14:textId="77777777" w:rsidR="007E7CB7" w:rsidRDefault="007E7CB7" w:rsidP="005B6A9C">
                            <w:pPr>
                              <w:spacing w:before="0"/>
                              <w:jc w:val="center"/>
                              <w:rPr>
                                <w:sz w:val="13"/>
                                <w:szCs w:val="13"/>
                                <w:lang w:val="fr-CH"/>
                              </w:rPr>
                            </w:pPr>
                            <w:r>
                              <w:rPr>
                                <w:b/>
                                <w:bCs/>
                                <w:color w:val="548DD4" w:themeColor="text2" w:themeTint="99"/>
                                <w:sz w:val="13"/>
                                <w:szCs w:val="13"/>
                                <w:lang w:val="fr-CH"/>
                              </w:rPr>
                              <w:t>Établissements universitaires</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3F45A7" id="Text Box 24" o:spid="_x0000_s1039" type="#_x0000_t202" style="position:absolute;margin-left:278.55pt;margin-top:54.35pt;width:129.05pt;height:13.4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" fillcolor="white [3201]" stroked="f" strokeweight=".5pt">
                <v:textbox>
                  <w:txbxContent>
                    <w:p w14:paraId="37A60793" w14:textId="77777777" w:rsidR="007E7CB7" w:rsidRDefault="007E7CB7" w:rsidP="005B6A9C">
                      <w:pPr>
                        <w:spacing w:before="0"/>
                        <w:jc w:val="center"/>
                        <w:rPr>
                          <w:sz w:val="13"/>
                          <w:szCs w:val="13"/>
                          <w:lang w:val="fr-CH"/>
                        </w:rPr>
                      </w:pPr>
                      <w:r>
                        <w:rPr>
                          <w:b/>
                          <w:bCs/>
                          <w:color w:val="548DD4" w:themeColor="text2" w:themeTint="99"/>
                          <w:sz w:val="13"/>
                          <w:szCs w:val="13"/>
                          <w:lang w:val="fr-CH"/>
                        </w:rPr>
                        <w:t>Établissements universitaires</w:t>
                      </w:r>
                    </w:p>
                  </w:txbxContent>
                </v:textbox>
                <w10:wrap anchorx="margin"/>
              </v:shape>
            </w:pict>
          </mc:Fallback>
        </mc:AlternateContent>
      </w:r>
      <w:r w:rsidRPr="00B433A3">
        <w:rPr>
          <w:noProof/>
          <w:lang w:val="en-US"/>
        </w:rPr>
        <mc:AlternateContent>
          <mc:Choice Requires="wps">
            <w:drawing>
              <wp:anchor distT="0" distB="0" distL="114300" distR="114300" simplePos="0" relativeHeight="251661312" behindDoc="0" locked="0" layoutInCell="1" allowOverlap="1" wp14:anchorId="345FE2BF" wp14:editId="4BECD15B">
                <wp:simplePos x="0" y="0"/>
                <wp:positionH relativeFrom="margin">
                  <wp:posOffset>4970780</wp:posOffset>
                </wp:positionH>
                <wp:positionV relativeFrom="paragraph">
                  <wp:posOffset>690245</wp:posOffset>
                </wp:positionV>
                <wp:extent cx="724535" cy="177165"/>
                <wp:effectExtent l="0" t="0" r="0" b="0"/>
                <wp:wrapNone/>
                <wp:docPr id="25" name="Text Box 25"/>
                <wp:cNvGraphicFramePr/>
                <a:graphic xmlns:a="http://schemas.openxmlformats.org/drawingml/2006/main">
                  <a:graphicData uri="http://schemas.microsoft.com/office/word/2010/wordprocessingShape">
                    <wps:wsp>
                      <wps:cNvSpPr txBox="1"/>
                      <wps:spPr>
                        <a:xfrm>
                          <a:off x="0" y="0"/>
                          <a:ext cx="724535" cy="177165"/>
                        </a:xfrm>
                        <a:prstGeom prst="rect">
                          <a:avLst/>
                        </a:prstGeom>
                        <a:solidFill>
                          <a:schemeClr val="lt1"/>
                        </a:solidFill>
                        <a:ln w="6350">
                          <a:noFill/>
                        </a:ln>
                      </wps:spPr>
                      <wps:txbx>
                        <w:txbxContent>
                          <w:p w14:paraId="202769C9" w14:textId="77777777" w:rsidR="007E7CB7" w:rsidRDefault="007E7CB7" w:rsidP="005B6A9C">
                            <w:pPr>
                              <w:spacing w:before="0"/>
                              <w:jc w:val="center"/>
                              <w:rPr>
                                <w:sz w:val="13"/>
                                <w:szCs w:val="13"/>
                                <w:lang w:val="fr-CH"/>
                              </w:rPr>
                            </w:pPr>
                            <w:r>
                              <w:rPr>
                                <w:b/>
                                <w:bCs/>
                                <w:color w:val="548DD4" w:themeColor="text2" w:themeTint="99"/>
                                <w:sz w:val="13"/>
                                <w:szCs w:val="13"/>
                                <w:lang w:val="fr-CH"/>
                              </w:rPr>
                              <w:t>Total général</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5FE2BF" id="Text Box 25" o:spid="_x0000_s1040" type="#_x0000_t202" style="position:absolute;margin-left:391.4pt;margin-top:54.35pt;width:57.05pt;height:13.9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" fillcolor="white [3201]" stroked="f" strokeweight=".5pt">
                <v:textbox>
                  <w:txbxContent>
                    <w:p w14:paraId="202769C9" w14:textId="77777777" w:rsidR="007E7CB7" w:rsidRDefault="007E7CB7" w:rsidP="005B6A9C">
                      <w:pPr>
                        <w:spacing w:before="0"/>
                        <w:jc w:val="center"/>
                        <w:rPr>
                          <w:sz w:val="13"/>
                          <w:szCs w:val="13"/>
                          <w:lang w:val="fr-CH"/>
                        </w:rPr>
                      </w:pPr>
                      <w:r>
                        <w:rPr>
                          <w:b/>
                          <w:bCs/>
                          <w:color w:val="548DD4" w:themeColor="text2" w:themeTint="99"/>
                          <w:sz w:val="13"/>
                          <w:szCs w:val="13"/>
                          <w:lang w:val="fr-CH"/>
                        </w:rPr>
                        <w:t>Total général</w:t>
                      </w:r>
                    </w:p>
                  </w:txbxContent>
                </v:textbox>
                <w10:wrap anchorx="margin"/>
              </v:shape>
            </w:pict>
          </mc:Fallback>
        </mc:AlternateContent>
      </w:r>
      <w:r w:rsidRPr="00B433A3">
        <w:rPr>
          <w:noProof/>
          <w:lang w:val="en-US"/>
        </w:rPr>
        <mc:AlternateContent>
          <mc:Choice Requires="wps">
            <w:drawing>
              <wp:anchor distT="0" distB="0" distL="114300" distR="114300" simplePos="0" relativeHeight="251662336" behindDoc="0" locked="0" layoutInCell="1" allowOverlap="1" wp14:anchorId="5D8A9360" wp14:editId="356F380A">
                <wp:simplePos x="0" y="0"/>
                <wp:positionH relativeFrom="margin">
                  <wp:posOffset>3045460</wp:posOffset>
                </wp:positionH>
                <wp:positionV relativeFrom="paragraph">
                  <wp:posOffset>688975</wp:posOffset>
                </wp:positionV>
                <wp:extent cx="724535" cy="177165"/>
                <wp:effectExtent l="0" t="0" r="0" b="0"/>
                <wp:wrapNone/>
                <wp:docPr id="23" name="Text Box 23"/>
                <wp:cNvGraphicFramePr/>
                <a:graphic xmlns:a="http://schemas.openxmlformats.org/drawingml/2006/main">
                  <a:graphicData uri="http://schemas.microsoft.com/office/word/2010/wordprocessingShape">
                    <wps:wsp>
                      <wps:cNvSpPr txBox="1"/>
                      <wps:spPr>
                        <a:xfrm>
                          <a:off x="0" y="0"/>
                          <a:ext cx="724535" cy="177165"/>
                        </a:xfrm>
                        <a:prstGeom prst="rect">
                          <a:avLst/>
                        </a:prstGeom>
                        <a:solidFill>
                          <a:schemeClr val="lt1"/>
                        </a:solidFill>
                        <a:ln w="6350">
                          <a:noFill/>
                        </a:ln>
                      </wps:spPr>
                      <wps:txbx>
                        <w:txbxContent>
                          <w:p w14:paraId="06C5ECFB" w14:textId="77777777" w:rsidR="007E7CB7" w:rsidRDefault="007E7CB7" w:rsidP="005B6A9C">
                            <w:pPr>
                              <w:spacing w:before="0"/>
                              <w:jc w:val="center"/>
                              <w:rPr>
                                <w:sz w:val="13"/>
                                <w:szCs w:val="13"/>
                                <w:lang w:val="fr-CH"/>
                              </w:rPr>
                            </w:pPr>
                            <w:r>
                              <w:rPr>
                                <w:b/>
                                <w:bCs/>
                                <w:color w:val="548DD4" w:themeColor="text2" w:themeTint="99"/>
                                <w:sz w:val="14"/>
                                <w:szCs w:val="14"/>
                                <w:lang w:val="fr-CH"/>
                              </w:rPr>
                              <w:t>UIT-D</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8A9360" id="Text Box 23" o:spid="_x0000_s1041" type="#_x0000_t202" style="position:absolute;margin-left:239.8pt;margin-top:54.25pt;width:57.05pt;height:13.9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" fillcolor="white [3201]" stroked="f" strokeweight=".5pt">
                <v:textbox>
                  <w:txbxContent>
                    <w:p w14:paraId="06C5ECFB" w14:textId="77777777" w:rsidR="007E7CB7" w:rsidRDefault="007E7CB7" w:rsidP="005B6A9C">
                      <w:pPr>
                        <w:spacing w:before="0"/>
                        <w:jc w:val="center"/>
                        <w:rPr>
                          <w:sz w:val="13"/>
                          <w:szCs w:val="13"/>
                          <w:lang w:val="fr-CH"/>
                        </w:rPr>
                      </w:pPr>
                      <w:r>
                        <w:rPr>
                          <w:b/>
                          <w:bCs/>
                          <w:color w:val="548DD4" w:themeColor="text2" w:themeTint="99"/>
                          <w:sz w:val="14"/>
                          <w:szCs w:val="14"/>
                          <w:lang w:val="fr-CH"/>
                        </w:rPr>
                        <w:t>UIT-D</w:t>
                      </w:r>
                    </w:p>
                  </w:txbxContent>
                </v:textbox>
                <w10:wrap anchorx="margin"/>
              </v:shape>
            </w:pict>
          </mc:Fallback>
        </mc:AlternateContent>
      </w:r>
      <w:r w:rsidRPr="00B433A3">
        <w:rPr>
          <w:noProof/>
          <w:lang w:val="en-US"/>
        </w:rPr>
        <mc:AlternateContent>
          <mc:Choice Requires="wps">
            <w:drawing>
              <wp:anchor distT="0" distB="0" distL="114300" distR="114300" simplePos="0" relativeHeight="251663360" behindDoc="0" locked="0" layoutInCell="1" allowOverlap="1" wp14:anchorId="2844A97C" wp14:editId="69EB8BF1">
                <wp:simplePos x="0" y="0"/>
                <wp:positionH relativeFrom="margin">
                  <wp:posOffset>2103755</wp:posOffset>
                </wp:positionH>
                <wp:positionV relativeFrom="paragraph">
                  <wp:posOffset>688975</wp:posOffset>
                </wp:positionV>
                <wp:extent cx="724535" cy="177165"/>
                <wp:effectExtent l="0" t="0" r="0" b="0"/>
                <wp:wrapNone/>
                <wp:docPr id="22" name="Text Box 22"/>
                <wp:cNvGraphicFramePr/>
                <a:graphic xmlns:a="http://schemas.openxmlformats.org/drawingml/2006/main">
                  <a:graphicData uri="http://schemas.microsoft.com/office/word/2010/wordprocessingShape">
                    <wps:wsp>
                      <wps:cNvSpPr txBox="1"/>
                      <wps:spPr>
                        <a:xfrm>
                          <a:off x="0" y="0"/>
                          <a:ext cx="724535" cy="177165"/>
                        </a:xfrm>
                        <a:prstGeom prst="rect">
                          <a:avLst/>
                        </a:prstGeom>
                        <a:solidFill>
                          <a:schemeClr val="lt1"/>
                        </a:solidFill>
                        <a:ln w="6350">
                          <a:noFill/>
                        </a:ln>
                      </wps:spPr>
                      <wps:txbx>
                        <w:txbxContent>
                          <w:p w14:paraId="785FC788" w14:textId="77777777" w:rsidR="007E7CB7" w:rsidRDefault="007E7CB7" w:rsidP="005B6A9C">
                            <w:pPr>
                              <w:spacing w:before="0"/>
                              <w:jc w:val="center"/>
                              <w:rPr>
                                <w:sz w:val="13"/>
                                <w:szCs w:val="13"/>
                                <w:lang w:val="fr-CH"/>
                              </w:rPr>
                            </w:pPr>
                            <w:r>
                              <w:rPr>
                                <w:b/>
                                <w:bCs/>
                                <w:color w:val="548DD4" w:themeColor="text2" w:themeTint="99"/>
                                <w:sz w:val="14"/>
                                <w:szCs w:val="14"/>
                                <w:lang w:val="fr-CH"/>
                              </w:rPr>
                              <w:t>UIT-T</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44A97C" id="Text Box 22" o:spid="_x0000_s1042" type="#_x0000_t202" style="position:absolute;margin-left:165.65pt;margin-top:54.25pt;width:57.05pt;height:13.9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" fillcolor="white [3201]" stroked="f" strokeweight=".5pt">
                <v:textbox>
                  <w:txbxContent>
                    <w:p w14:paraId="785FC788" w14:textId="77777777" w:rsidR="007E7CB7" w:rsidRDefault="007E7CB7" w:rsidP="005B6A9C">
                      <w:pPr>
                        <w:spacing w:before="0"/>
                        <w:jc w:val="center"/>
                        <w:rPr>
                          <w:sz w:val="13"/>
                          <w:szCs w:val="13"/>
                          <w:lang w:val="fr-CH"/>
                        </w:rPr>
                      </w:pPr>
                      <w:r>
                        <w:rPr>
                          <w:b/>
                          <w:bCs/>
                          <w:color w:val="548DD4" w:themeColor="text2" w:themeTint="99"/>
                          <w:sz w:val="14"/>
                          <w:szCs w:val="14"/>
                          <w:lang w:val="fr-CH"/>
                        </w:rPr>
                        <w:t>UIT-T</w:t>
                      </w:r>
                    </w:p>
                  </w:txbxContent>
                </v:textbox>
                <w10:wrap anchorx="margin"/>
              </v:shape>
            </w:pict>
          </mc:Fallback>
        </mc:AlternateContent>
      </w:r>
      <w:r w:rsidRPr="00B433A3">
        <w:rPr>
          <w:noProof/>
          <w:lang w:val="en-US"/>
        </w:rPr>
        <mc:AlternateContent>
          <mc:Choice Requires="wps">
            <w:drawing>
              <wp:anchor distT="0" distB="0" distL="114300" distR="114300" simplePos="0" relativeHeight="251664384" behindDoc="0" locked="0" layoutInCell="1" allowOverlap="1" wp14:anchorId="6D26CB31" wp14:editId="6F818FBE">
                <wp:simplePos x="0" y="0"/>
                <wp:positionH relativeFrom="margin">
                  <wp:posOffset>1156335</wp:posOffset>
                </wp:positionH>
                <wp:positionV relativeFrom="paragraph">
                  <wp:posOffset>690245</wp:posOffset>
                </wp:positionV>
                <wp:extent cx="724535" cy="177165"/>
                <wp:effectExtent l="0" t="0" r="0" b="0"/>
                <wp:wrapNone/>
                <wp:docPr id="19" name="Text Box 19"/>
                <wp:cNvGraphicFramePr/>
                <a:graphic xmlns:a="http://schemas.openxmlformats.org/drawingml/2006/main">
                  <a:graphicData uri="http://schemas.microsoft.com/office/word/2010/wordprocessingShape">
                    <wps:wsp>
                      <wps:cNvSpPr txBox="1"/>
                      <wps:spPr>
                        <a:xfrm>
                          <a:off x="0" y="0"/>
                          <a:ext cx="724535" cy="177165"/>
                        </a:xfrm>
                        <a:prstGeom prst="rect">
                          <a:avLst/>
                        </a:prstGeom>
                        <a:solidFill>
                          <a:schemeClr val="lt1"/>
                        </a:solidFill>
                        <a:ln w="6350">
                          <a:noFill/>
                        </a:ln>
                      </wps:spPr>
                      <wps:txbx>
                        <w:txbxContent>
                          <w:p w14:paraId="1919D8D7" w14:textId="77777777" w:rsidR="007E7CB7" w:rsidRDefault="007E7CB7" w:rsidP="005B6A9C">
                            <w:pPr>
                              <w:spacing w:before="0"/>
                              <w:jc w:val="center"/>
                              <w:rPr>
                                <w:sz w:val="13"/>
                                <w:szCs w:val="13"/>
                                <w:lang w:val="fr-CH"/>
                              </w:rPr>
                            </w:pPr>
                            <w:r>
                              <w:rPr>
                                <w:b/>
                                <w:bCs/>
                                <w:color w:val="548DD4" w:themeColor="text2" w:themeTint="99"/>
                                <w:sz w:val="14"/>
                                <w:szCs w:val="14"/>
                                <w:lang w:val="fr-CH"/>
                              </w:rPr>
                              <w:t>UIT-R</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26CB31" id="Text Box 19" o:spid="_x0000_s1043" type="#_x0000_t202" style="position:absolute;margin-left:91.05pt;margin-top:54.35pt;width:57.05pt;height:13.9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" fillcolor="white [3201]" stroked="f" strokeweight=".5pt">
                <v:textbox>
                  <w:txbxContent>
                    <w:p w14:paraId="1919D8D7" w14:textId="77777777" w:rsidR="007E7CB7" w:rsidRDefault="007E7CB7" w:rsidP="005B6A9C">
                      <w:pPr>
                        <w:spacing w:before="0"/>
                        <w:jc w:val="center"/>
                        <w:rPr>
                          <w:sz w:val="13"/>
                          <w:szCs w:val="13"/>
                          <w:lang w:val="fr-CH"/>
                        </w:rPr>
                      </w:pPr>
                      <w:r>
                        <w:rPr>
                          <w:b/>
                          <w:bCs/>
                          <w:color w:val="548DD4" w:themeColor="text2" w:themeTint="99"/>
                          <w:sz w:val="14"/>
                          <w:szCs w:val="14"/>
                          <w:lang w:val="fr-CH"/>
                        </w:rPr>
                        <w:t>UIT-R</w:t>
                      </w:r>
                    </w:p>
                  </w:txbxContent>
                </v:textbox>
                <w10:wrap anchorx="margin"/>
              </v:shape>
            </w:pict>
          </mc:Fallback>
        </mc:AlternateContent>
      </w:r>
      <w:r w:rsidRPr="00B433A3">
        <w:rPr>
          <w:noProof/>
          <w:lang w:val="en-US"/>
        </w:rPr>
        <mc:AlternateContent>
          <mc:Choice Requires="wps">
            <w:drawing>
              <wp:anchor distT="0" distB="0" distL="114300" distR="114300" simplePos="0" relativeHeight="251665408" behindDoc="0" locked="0" layoutInCell="1" allowOverlap="1" wp14:anchorId="044E0C24" wp14:editId="47DA4090">
                <wp:simplePos x="0" y="0"/>
                <wp:positionH relativeFrom="margin">
                  <wp:posOffset>900430</wp:posOffset>
                </wp:positionH>
                <wp:positionV relativeFrom="paragraph">
                  <wp:posOffset>365125</wp:posOffset>
                </wp:positionV>
                <wp:extent cx="833755" cy="234315"/>
                <wp:effectExtent l="0" t="0" r="4445" b="0"/>
                <wp:wrapNone/>
                <wp:docPr id="7" name="Text Box 7"/>
                <wp:cNvGraphicFramePr/>
                <a:graphic xmlns:a="http://schemas.openxmlformats.org/drawingml/2006/main">
                  <a:graphicData uri="http://schemas.microsoft.com/office/word/2010/wordprocessingShape">
                    <wps:wsp>
                      <wps:cNvSpPr txBox="1"/>
                      <wps:spPr>
                        <a:xfrm>
                          <a:off x="0" y="0"/>
                          <a:ext cx="833755" cy="234315"/>
                        </a:xfrm>
                        <a:prstGeom prst="rect">
                          <a:avLst/>
                        </a:prstGeom>
                        <a:solidFill>
                          <a:schemeClr val="lt1"/>
                        </a:solidFill>
                        <a:ln w="6350">
                          <a:noFill/>
                        </a:ln>
                      </wps:spPr>
                      <wps:txbx>
                        <w:txbxContent>
                          <w:p w14:paraId="196C2208" w14:textId="44A9AA31" w:rsidR="007E7CB7" w:rsidRDefault="007E7CB7" w:rsidP="005B6A9C">
                            <w:pPr>
                              <w:spacing w:before="0"/>
                              <w:rPr>
                                <w:sz w:val="13"/>
                                <w:szCs w:val="13"/>
                                <w:lang w:val="fr-CH"/>
                              </w:rPr>
                            </w:pPr>
                            <w:r>
                              <w:rPr>
                                <w:b/>
                                <w:bCs/>
                                <w:color w:val="4F81BD" w:themeColor="accent1"/>
                                <w:sz w:val="14"/>
                                <w:szCs w:val="14"/>
                              </w:rPr>
                              <w:t>945</w:t>
                            </w:r>
                            <w:r>
                              <w:rPr>
                                <w:sz w:val="14"/>
                                <w:szCs w:val="14"/>
                              </w:rPr>
                              <w:t xml:space="preserve"> Entités membres</w:t>
                            </w:r>
                            <w:r>
                              <w:rPr>
                                <w:sz w:val="14"/>
                                <w:szCs w:val="14"/>
                              </w:rPr>
                              <w:br/>
                            </w:r>
                            <w:r>
                              <w:rPr>
                                <w:sz w:val="13"/>
                                <w:szCs w:val="13"/>
                              </w:rPr>
                              <w:t xml:space="preserve"> </w:t>
                            </w:r>
                            <w:r>
                              <w:rPr>
                                <w:b/>
                                <w:bCs/>
                                <w:color w:val="4F81BD" w:themeColor="accent1"/>
                                <w:sz w:val="14"/>
                                <w:szCs w:val="14"/>
                              </w:rPr>
                              <w:t>1 277</w:t>
                            </w:r>
                            <w:r>
                              <w:rPr>
                                <w:sz w:val="13"/>
                                <w:szCs w:val="13"/>
                              </w:rPr>
                              <w:t xml:space="preserve"> Membres</w:t>
                            </w:r>
                          </w:p>
                        </w:txbxContent>
                      </wps:txbx>
                      <wps:bodyPr rot="0" spcFirstLastPara="0" vertOverflow="clip" horzOverflow="clip"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4E0C24" id="Text Box 7" o:spid="_x0000_s1044" type="#_x0000_t202" style="position:absolute;margin-left:70.9pt;margin-top:28.75pt;width:65.65pt;height:18.4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" fillcolor="white [3201]" stroked="f" strokeweight=".5pt">
                <v:textbox inset="0,0,0,0">
                  <w:txbxContent>
                    <w:p w14:paraId="196C2208" w14:textId="44A9AA31" w:rsidR="007E7CB7" w:rsidRDefault="007E7CB7" w:rsidP="005B6A9C">
                      <w:pPr>
                        <w:spacing w:before="0"/>
                        <w:rPr>
                          <w:sz w:val="13"/>
                          <w:szCs w:val="13"/>
                          <w:lang w:val="fr-CH"/>
                        </w:rPr>
                      </w:pPr>
                      <w:r>
                        <w:rPr>
                          <w:b/>
                          <w:bCs/>
                          <w:color w:val="4F81BD" w:themeColor="accent1"/>
                          <w:sz w:val="14"/>
                          <w:szCs w:val="14"/>
                        </w:rPr>
                        <w:t>945</w:t>
                      </w:r>
                      <w:r>
                        <w:rPr>
                          <w:sz w:val="14"/>
                          <w:szCs w:val="14"/>
                        </w:rPr>
                        <w:t xml:space="preserve"> Entités membres</w:t>
                      </w:r>
                      <w:r>
                        <w:rPr>
                          <w:sz w:val="14"/>
                          <w:szCs w:val="14"/>
                        </w:rPr>
                        <w:br/>
                      </w:r>
                      <w:r>
                        <w:rPr>
                          <w:sz w:val="13"/>
                          <w:szCs w:val="13"/>
                        </w:rPr>
                        <w:t xml:space="preserve"> </w:t>
                      </w:r>
                      <w:r>
                        <w:rPr>
                          <w:b/>
                          <w:bCs/>
                          <w:color w:val="4F81BD" w:themeColor="accent1"/>
                          <w:sz w:val="14"/>
                          <w:szCs w:val="14"/>
                        </w:rPr>
                        <w:t>1 277</w:t>
                      </w:r>
                      <w:r>
                        <w:rPr>
                          <w:sz w:val="13"/>
                          <w:szCs w:val="13"/>
                        </w:rPr>
                        <w:t xml:space="preserve"> Membres</w:t>
                      </w:r>
                    </w:p>
                  </w:txbxContent>
                </v:textbox>
                <w10:wrap anchorx="margin"/>
              </v:shape>
            </w:pict>
          </mc:Fallback>
        </mc:AlternateContent>
      </w:r>
      <w:r w:rsidRPr="00B433A3">
        <w:rPr>
          <w:noProof/>
          <w:lang w:val="en-US"/>
        </w:rPr>
        <mc:AlternateContent>
          <mc:Choice Requires="wps">
            <w:drawing>
              <wp:anchor distT="0" distB="0" distL="114300" distR="114300" simplePos="0" relativeHeight="251666432" behindDoc="0" locked="0" layoutInCell="1" allowOverlap="1" wp14:anchorId="413485F0" wp14:editId="34C59D4A">
                <wp:simplePos x="0" y="0"/>
                <wp:positionH relativeFrom="margin">
                  <wp:align>center</wp:align>
                </wp:positionH>
                <wp:positionV relativeFrom="paragraph">
                  <wp:posOffset>281940</wp:posOffset>
                </wp:positionV>
                <wp:extent cx="2058670" cy="465455"/>
                <wp:effectExtent l="0" t="0" r="0" b="0"/>
                <wp:wrapNone/>
                <wp:docPr id="5" name="Text Box 5"/>
                <wp:cNvGraphicFramePr/>
                <a:graphic xmlns:a="http://schemas.openxmlformats.org/drawingml/2006/main">
                  <a:graphicData uri="http://schemas.microsoft.com/office/word/2010/wordprocessingShape">
                    <wps:wsp>
                      <wps:cNvSpPr txBox="1"/>
                      <wps:spPr>
                        <a:xfrm>
                          <a:off x="0" y="0"/>
                          <a:ext cx="2058670" cy="465455"/>
                        </a:xfrm>
                        <a:prstGeom prst="rect">
                          <a:avLst/>
                        </a:prstGeom>
                        <a:solidFill>
                          <a:schemeClr val="lt1"/>
                        </a:solidFill>
                        <a:ln w="6350">
                          <a:noFill/>
                        </a:ln>
                      </wps:spPr>
                      <wps:txbx>
                        <w:txbxContent>
                          <w:p w14:paraId="2C9F6F7C" w14:textId="77777777" w:rsidR="007E7CB7" w:rsidRDefault="007E7CB7" w:rsidP="005B6A9C">
                            <w:pPr>
                              <w:spacing w:before="100" w:beforeAutospacing="1"/>
                              <w:jc w:val="center"/>
                              <w:rPr>
                                <w:b/>
                                <w:bCs/>
                                <w:sz w:val="12"/>
                                <w:szCs w:val="12"/>
                                <w:lang w:val="fr-CH"/>
                              </w:rPr>
                            </w:pPr>
                            <w:r>
                              <w:rPr>
                                <w:b/>
                                <w:bCs/>
                                <w:sz w:val="12"/>
                                <w:szCs w:val="12"/>
                                <w:lang w:val="fr-CH"/>
                              </w:rPr>
                              <w:t>Rapport annuel sur les membres de l'UIT-R</w:t>
                            </w:r>
                          </w:p>
                          <w:p w14:paraId="7B84B3B9" w14:textId="77777777" w:rsidR="007E7CB7" w:rsidRDefault="007E7CB7" w:rsidP="005B6A9C">
                            <w:pPr>
                              <w:spacing w:before="0" w:line="480" w:lineRule="auto"/>
                              <w:jc w:val="center"/>
                              <w:rPr>
                                <w:sz w:val="12"/>
                                <w:szCs w:val="12"/>
                                <w:lang w:val="fr-CH"/>
                              </w:rPr>
                            </w:pPr>
                            <w:r>
                              <w:rPr>
                                <w:b/>
                                <w:bCs/>
                                <w:sz w:val="12"/>
                                <w:szCs w:val="12"/>
                                <w:lang w:val="fr-CH"/>
                              </w:rPr>
                              <w:t>2021</w:t>
                            </w:r>
                          </w:p>
                          <w:p w14:paraId="2CEFAB95" w14:textId="45612399" w:rsidR="007E7CB7" w:rsidRDefault="007E7CB7" w:rsidP="005B6A9C">
                            <w:pPr>
                              <w:spacing w:before="0" w:line="480" w:lineRule="auto"/>
                              <w:jc w:val="center"/>
                              <w:rPr>
                                <w:sz w:val="12"/>
                                <w:szCs w:val="12"/>
                                <w:lang w:val="fr-CH"/>
                              </w:rPr>
                            </w:pPr>
                            <w:r>
                              <w:rPr>
                                <w:color w:val="FF0000"/>
                                <w:sz w:val="12"/>
                                <w:szCs w:val="12"/>
                                <w:lang w:val="fr-CH"/>
                              </w:rPr>
                              <w:t>Données sur les membres au 31 décembre 2021</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3485F0" id="Text Box 5" o:spid="_x0000_s1045" type="#_x0000_t202" style="position:absolute;margin-left:0;margin-top:22.2pt;width:162.1pt;height:36.65pt;z-index:251666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" fillcolor="white [3201]" stroked="f" strokeweight=".5pt">
                <v:textbox>
                  <w:txbxContent>
                    <w:p w14:paraId="2C9F6F7C" w14:textId="77777777" w:rsidR="007E7CB7" w:rsidRDefault="007E7CB7" w:rsidP="005B6A9C">
                      <w:pPr>
                        <w:spacing w:before="100" w:beforeAutospacing="1"/>
                        <w:jc w:val="center"/>
                        <w:rPr>
                          <w:b/>
                          <w:bCs/>
                          <w:sz w:val="12"/>
                          <w:szCs w:val="12"/>
                          <w:lang w:val="fr-CH"/>
                        </w:rPr>
                      </w:pPr>
                      <w:r>
                        <w:rPr>
                          <w:b/>
                          <w:bCs/>
                          <w:sz w:val="12"/>
                          <w:szCs w:val="12"/>
                          <w:lang w:val="fr-CH"/>
                        </w:rPr>
                        <w:t>Rapport annuel sur les membres de l'UIT-R</w:t>
                      </w:r>
                    </w:p>
                    <w:p w14:paraId="7B84B3B9" w14:textId="77777777" w:rsidR="007E7CB7" w:rsidRDefault="007E7CB7" w:rsidP="005B6A9C">
                      <w:pPr>
                        <w:spacing w:before="0" w:line="480" w:lineRule="auto"/>
                        <w:jc w:val="center"/>
                        <w:rPr>
                          <w:sz w:val="12"/>
                          <w:szCs w:val="12"/>
                          <w:lang w:val="fr-CH"/>
                        </w:rPr>
                      </w:pPr>
                      <w:r>
                        <w:rPr>
                          <w:b/>
                          <w:bCs/>
                          <w:sz w:val="12"/>
                          <w:szCs w:val="12"/>
                          <w:lang w:val="fr-CH"/>
                        </w:rPr>
                        <w:t>2021</w:t>
                      </w:r>
                    </w:p>
                    <w:p w14:paraId="2CEFAB95" w14:textId="45612399" w:rsidR="007E7CB7" w:rsidRDefault="007E7CB7" w:rsidP="005B6A9C">
                      <w:pPr>
                        <w:spacing w:before="0" w:line="480" w:lineRule="auto"/>
                        <w:jc w:val="center"/>
                        <w:rPr>
                          <w:sz w:val="12"/>
                          <w:szCs w:val="12"/>
                          <w:lang w:val="fr-CH"/>
                        </w:rPr>
                      </w:pPr>
                      <w:r>
                        <w:rPr>
                          <w:color w:val="FF0000"/>
                          <w:sz w:val="12"/>
                          <w:szCs w:val="12"/>
                          <w:lang w:val="fr-CH"/>
                        </w:rPr>
                        <w:t>Données sur les membres au 31 décembre 2021</w:t>
                      </w:r>
                    </w:p>
                  </w:txbxContent>
                </v:textbox>
                <w10:wrap anchorx="margin"/>
              </v:shape>
            </w:pict>
          </mc:Fallback>
        </mc:AlternateContent>
      </w:r>
      <w:r w:rsidRPr="00B433A3">
        <w:rPr>
          <w:noProof/>
          <w:lang w:val="en-US"/>
        </w:rPr>
        <w:drawing>
          <wp:inline distT="0" distB="0" distL="0" distR="0" wp14:anchorId="6DD2DCFF" wp14:editId="1A971BF5">
            <wp:extent cx="6120765" cy="4302760"/>
            <wp:effectExtent l="19050" t="19050" r="13335" b="21590"/>
            <wp:docPr id="3" name="Picture 3"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 picture containing graphical user interface&#10;&#10;Description automatically generated"/>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6120765" cy="4302760"/>
                    </a:xfrm>
                    <a:prstGeom prst="rect">
                      <a:avLst/>
                    </a:prstGeom>
                    <a:noFill/>
                    <a:ln w="9525" cmpd="sng">
                      <a:solidFill>
                        <a:srgbClr val="000000"/>
                      </a:solidFill>
                      <a:miter lim="800000"/>
                      <a:headEnd/>
                      <a:tailEnd/>
                    </a:ln>
                    <a:effectLst/>
                  </pic:spPr>
                </pic:pic>
              </a:graphicData>
            </a:graphic>
          </wp:inline>
        </w:drawing>
      </w:r>
    </w:p>
    <w:p w14:paraId="546D4766" w14:textId="77777777" w:rsidR="005B6A9C" w:rsidRPr="00B433A3" w:rsidRDefault="005B6A9C" w:rsidP="00B8343E">
      <w:pPr>
        <w:pStyle w:val="TableNoBR"/>
      </w:pPr>
      <w:r w:rsidRPr="00B433A3">
        <w:lastRenderedPageBreak/>
        <w:t>TABLEAU 8.5.1-3</w:t>
      </w:r>
    </w:p>
    <w:p w14:paraId="7F59039F" w14:textId="7283903D" w:rsidR="005B6A9C" w:rsidRPr="00B433A3" w:rsidRDefault="002071CF" w:rsidP="00B8343E">
      <w:pPr>
        <w:tabs>
          <w:tab w:val="clear" w:pos="794"/>
          <w:tab w:val="clear" w:pos="1191"/>
          <w:tab w:val="clear" w:pos="1588"/>
          <w:tab w:val="clear" w:pos="1985"/>
          <w:tab w:val="left" w:pos="7730"/>
        </w:tabs>
      </w:pPr>
      <w:r w:rsidRPr="00B433A3">
        <w:rPr>
          <w:noProof/>
          <w:lang w:val="en-US"/>
        </w:rPr>
        <mc:AlternateContent>
          <mc:Choice Requires="wps">
            <w:drawing>
              <wp:anchor distT="0" distB="0" distL="114300" distR="114300" simplePos="0" relativeHeight="251687936" behindDoc="0" locked="0" layoutInCell="1" allowOverlap="1" wp14:anchorId="3163C165" wp14:editId="0393BF72">
                <wp:simplePos x="0" y="0"/>
                <wp:positionH relativeFrom="margin">
                  <wp:posOffset>3094459</wp:posOffset>
                </wp:positionH>
                <wp:positionV relativeFrom="paragraph">
                  <wp:posOffset>1461561</wp:posOffset>
                </wp:positionV>
                <wp:extent cx="2927445" cy="443136"/>
                <wp:effectExtent l="0" t="0" r="6350" b="0"/>
                <wp:wrapNone/>
                <wp:docPr id="35" name="Text Box 35"/>
                <wp:cNvGraphicFramePr/>
                <a:graphic xmlns:a="http://schemas.openxmlformats.org/drawingml/2006/main">
                  <a:graphicData uri="http://schemas.microsoft.com/office/word/2010/wordprocessingShape">
                    <wps:wsp>
                      <wps:cNvSpPr txBox="1"/>
                      <wps:spPr>
                        <a:xfrm>
                          <a:off x="0" y="0"/>
                          <a:ext cx="2927445" cy="443136"/>
                        </a:xfrm>
                        <a:prstGeom prst="rect">
                          <a:avLst/>
                        </a:prstGeom>
                        <a:solidFill>
                          <a:schemeClr val="lt1"/>
                        </a:solidFill>
                        <a:ln w="6350">
                          <a:noFill/>
                        </a:ln>
                      </wps:spPr>
                      <wps:txbx>
                        <w:txbxContent>
                          <w:p w14:paraId="1E89E045" w14:textId="77777777" w:rsidR="007E7CB7" w:rsidRPr="002071CF" w:rsidRDefault="007E7CB7" w:rsidP="00F5440D">
                            <w:pPr>
                              <w:tabs>
                                <w:tab w:val="left" w:pos="142"/>
                              </w:tabs>
                              <w:spacing w:before="80"/>
                              <w:ind w:left="142" w:hanging="142"/>
                              <w:rPr>
                                <w:bCs/>
                                <w:sz w:val="12"/>
                                <w:szCs w:val="12"/>
                              </w:rPr>
                            </w:pPr>
                            <w:r w:rsidRPr="002071CF">
                              <w:rPr>
                                <w:b/>
                                <w:bCs/>
                                <w:sz w:val="12"/>
                                <w:szCs w:val="12"/>
                              </w:rPr>
                              <w:t>–</w:t>
                            </w:r>
                            <w:r w:rsidRPr="002071CF">
                              <w:rPr>
                                <w:bCs/>
                                <w:sz w:val="12"/>
                                <w:szCs w:val="12"/>
                              </w:rPr>
                              <w:tab/>
                              <w:t>Rouge: mouvement net négatif dans l'année (où nouveaux Membres &lt; Membres ayant dénoncé leur participation + Membres exclus)</w:t>
                            </w:r>
                          </w:p>
                          <w:p w14:paraId="03A29B9E" w14:textId="2A6D8717" w:rsidR="007E7CB7" w:rsidRPr="002071CF" w:rsidRDefault="007E7CB7" w:rsidP="002071CF">
                            <w:pPr>
                              <w:tabs>
                                <w:tab w:val="left" w:pos="142"/>
                              </w:tabs>
                              <w:spacing w:before="0"/>
                              <w:ind w:left="142" w:hanging="142"/>
                              <w:rPr>
                                <w:sz w:val="2"/>
                                <w:szCs w:val="2"/>
                                <w:lang w:val="fr-CH"/>
                              </w:rPr>
                            </w:pPr>
                            <w:r w:rsidRPr="002071CF">
                              <w:rPr>
                                <w:bCs/>
                                <w:sz w:val="12"/>
                                <w:szCs w:val="12"/>
                              </w:rPr>
                              <w:t>–</w:t>
                            </w:r>
                            <w:r w:rsidRPr="002071CF">
                              <w:rPr>
                                <w:bCs/>
                                <w:sz w:val="12"/>
                                <w:szCs w:val="12"/>
                              </w:rPr>
                              <w:tab/>
                              <w:t>Plus les cellules sont foncées, plus les montants indiqués sont importants.</w:t>
                            </w:r>
                          </w:p>
                        </w:txbxContent>
                      </wps:txbx>
                      <wps:bodyPr rot="0" spcFirstLastPara="0" vertOverflow="clip" horzOverflow="clip"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63C165" id="Text Box 35" o:spid="_x0000_s1046" type="#_x0000_t202" style="position:absolute;margin-left:243.65pt;margin-top:115.1pt;width:230.5pt;height:34.9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" fillcolor="white [3201]" stroked="f" strokeweight=".5pt">
                <v:textbox inset="0,0,0,0">
                  <w:txbxContent>
                    <w:p w14:paraId="1E89E045" w14:textId="77777777" w:rsidR="007E7CB7" w:rsidRPr="002071CF" w:rsidRDefault="007E7CB7" w:rsidP="00F5440D">
                      <w:pPr>
                        <w:tabs>
                          <w:tab w:val="left" w:pos="142"/>
                        </w:tabs>
                        <w:spacing w:before="80"/>
                        <w:ind w:left="142" w:hanging="142"/>
                        <w:rPr>
                          <w:bCs/>
                          <w:sz w:val="12"/>
                          <w:szCs w:val="12"/>
                        </w:rPr>
                      </w:pPr>
                      <w:r w:rsidRPr="002071CF">
                        <w:rPr>
                          <w:b/>
                          <w:bCs/>
                          <w:sz w:val="12"/>
                          <w:szCs w:val="12"/>
                        </w:rPr>
                        <w:t>–</w:t>
                      </w:r>
                      <w:r w:rsidRPr="002071CF">
                        <w:rPr>
                          <w:bCs/>
                          <w:sz w:val="12"/>
                          <w:szCs w:val="12"/>
                        </w:rPr>
                        <w:tab/>
                        <w:t>Rouge: mouvement net négatif dans l'année (où nouveaux Membres &lt; Membres ayant dénoncé leur participation + Membres exclus)</w:t>
                      </w:r>
                    </w:p>
                    <w:p w14:paraId="03A29B9E" w14:textId="2A6D8717" w:rsidR="007E7CB7" w:rsidRPr="002071CF" w:rsidRDefault="007E7CB7" w:rsidP="002071CF">
                      <w:pPr>
                        <w:tabs>
                          <w:tab w:val="left" w:pos="142"/>
                        </w:tabs>
                        <w:spacing w:before="0"/>
                        <w:ind w:left="142" w:hanging="142"/>
                        <w:rPr>
                          <w:sz w:val="2"/>
                          <w:szCs w:val="2"/>
                          <w:lang w:val="fr-CH"/>
                        </w:rPr>
                      </w:pPr>
                      <w:r w:rsidRPr="002071CF">
                        <w:rPr>
                          <w:bCs/>
                          <w:sz w:val="12"/>
                          <w:szCs w:val="12"/>
                        </w:rPr>
                        <w:t>–</w:t>
                      </w:r>
                      <w:r w:rsidRPr="002071CF">
                        <w:rPr>
                          <w:bCs/>
                          <w:sz w:val="12"/>
                          <w:szCs w:val="12"/>
                        </w:rPr>
                        <w:tab/>
                        <w:t>Plus les cellules sont foncées, plus les montants indiqués sont importants.</w:t>
                      </w:r>
                    </w:p>
                  </w:txbxContent>
                </v:textbox>
                <w10:wrap anchorx="margin"/>
              </v:shape>
            </w:pict>
          </mc:Fallback>
        </mc:AlternateContent>
      </w:r>
      <w:r w:rsidRPr="00B433A3">
        <w:rPr>
          <w:noProof/>
          <w:lang w:val="en-US"/>
        </w:rPr>
        <mc:AlternateContent>
          <mc:Choice Requires="wps">
            <w:drawing>
              <wp:anchor distT="0" distB="0" distL="114300" distR="114300" simplePos="0" relativeHeight="251683840" behindDoc="0" locked="0" layoutInCell="1" allowOverlap="1" wp14:anchorId="4D827FF6" wp14:editId="3D7FFFEE">
                <wp:simplePos x="0" y="0"/>
                <wp:positionH relativeFrom="margin">
                  <wp:posOffset>167014</wp:posOffset>
                </wp:positionH>
                <wp:positionV relativeFrom="paragraph">
                  <wp:posOffset>1468479</wp:posOffset>
                </wp:positionV>
                <wp:extent cx="2927445" cy="552317"/>
                <wp:effectExtent l="0" t="0" r="6350" b="635"/>
                <wp:wrapNone/>
                <wp:docPr id="33" name="Text Box 33"/>
                <wp:cNvGraphicFramePr/>
                <a:graphic xmlns:a="http://schemas.openxmlformats.org/drawingml/2006/main">
                  <a:graphicData uri="http://schemas.microsoft.com/office/word/2010/wordprocessingShape">
                    <wps:wsp>
                      <wps:cNvSpPr txBox="1"/>
                      <wps:spPr>
                        <a:xfrm>
                          <a:off x="0" y="0"/>
                          <a:ext cx="2927445" cy="552317"/>
                        </a:xfrm>
                        <a:prstGeom prst="rect">
                          <a:avLst/>
                        </a:prstGeom>
                        <a:solidFill>
                          <a:schemeClr val="lt1"/>
                        </a:solidFill>
                        <a:ln w="6350">
                          <a:noFill/>
                        </a:ln>
                      </wps:spPr>
                      <wps:txbx>
                        <w:txbxContent>
                          <w:p w14:paraId="6DAA1EE7" w14:textId="77777777" w:rsidR="007E7CB7" w:rsidRPr="002071CF" w:rsidRDefault="007E7CB7" w:rsidP="002071CF">
                            <w:pPr>
                              <w:spacing w:before="0"/>
                              <w:rPr>
                                <w:b/>
                                <w:bCs/>
                                <w:sz w:val="12"/>
                                <w:szCs w:val="12"/>
                              </w:rPr>
                            </w:pPr>
                            <w:r w:rsidRPr="002071CF">
                              <w:rPr>
                                <w:b/>
                                <w:bCs/>
                                <w:sz w:val="12"/>
                                <w:szCs w:val="12"/>
                              </w:rPr>
                              <w:t>Explication des cellules en fonction des couleurs</w:t>
                            </w:r>
                          </w:p>
                          <w:p w14:paraId="32707416" w14:textId="77777777" w:rsidR="007E7CB7" w:rsidRPr="002071CF" w:rsidRDefault="007E7CB7" w:rsidP="002071CF">
                            <w:pPr>
                              <w:tabs>
                                <w:tab w:val="left" w:pos="142"/>
                              </w:tabs>
                              <w:spacing w:before="0"/>
                              <w:rPr>
                                <w:bCs/>
                                <w:sz w:val="12"/>
                                <w:szCs w:val="12"/>
                              </w:rPr>
                            </w:pPr>
                            <w:r w:rsidRPr="002071CF">
                              <w:rPr>
                                <w:b/>
                                <w:bCs/>
                                <w:sz w:val="12"/>
                                <w:szCs w:val="12"/>
                              </w:rPr>
                              <w:t>–</w:t>
                            </w:r>
                            <w:r w:rsidRPr="002071CF">
                              <w:rPr>
                                <w:bCs/>
                                <w:sz w:val="12"/>
                                <w:szCs w:val="12"/>
                              </w:rPr>
                              <w:tab/>
                              <w:t>Blanche: une année sans mouvement</w:t>
                            </w:r>
                          </w:p>
                          <w:p w14:paraId="1F2246B0" w14:textId="77777777" w:rsidR="007E7CB7" w:rsidRPr="002071CF" w:rsidRDefault="007E7CB7" w:rsidP="002071CF">
                            <w:pPr>
                              <w:tabs>
                                <w:tab w:val="left" w:pos="142"/>
                              </w:tabs>
                              <w:spacing w:before="0"/>
                              <w:ind w:left="142" w:hanging="142"/>
                              <w:rPr>
                                <w:bCs/>
                                <w:sz w:val="12"/>
                                <w:szCs w:val="12"/>
                              </w:rPr>
                            </w:pPr>
                            <w:r w:rsidRPr="002071CF">
                              <w:rPr>
                                <w:bCs/>
                                <w:sz w:val="12"/>
                                <w:szCs w:val="12"/>
                              </w:rPr>
                              <w:t>–</w:t>
                            </w:r>
                            <w:r w:rsidRPr="002071CF">
                              <w:rPr>
                                <w:bCs/>
                                <w:sz w:val="12"/>
                                <w:szCs w:val="12"/>
                              </w:rPr>
                              <w:tab/>
                              <w:t>Beige: mouvement net nul (où: nouveaux Membres = Membres ayant dénoncé leur participation + Membres exclus)</w:t>
                            </w:r>
                          </w:p>
                          <w:p w14:paraId="75C2BC16" w14:textId="00FE877D" w:rsidR="007E7CB7" w:rsidRPr="002071CF" w:rsidRDefault="007E7CB7" w:rsidP="002071CF">
                            <w:pPr>
                              <w:tabs>
                                <w:tab w:val="left" w:pos="142"/>
                              </w:tabs>
                              <w:spacing w:before="0"/>
                              <w:ind w:left="142" w:hanging="142"/>
                              <w:rPr>
                                <w:sz w:val="2"/>
                                <w:szCs w:val="2"/>
                                <w:lang w:val="fr-CH"/>
                              </w:rPr>
                            </w:pPr>
                            <w:r w:rsidRPr="002071CF">
                              <w:rPr>
                                <w:bCs/>
                                <w:sz w:val="12"/>
                                <w:szCs w:val="12"/>
                              </w:rPr>
                              <w:t>–</w:t>
                            </w:r>
                            <w:r w:rsidRPr="002071CF">
                              <w:rPr>
                                <w:bCs/>
                                <w:sz w:val="12"/>
                                <w:szCs w:val="12"/>
                              </w:rPr>
                              <w:tab/>
                              <w:t>Verte: mouvement net positif dans l'année (où: nouveaux Membres &gt; Membres ayant dénoncé leur participation + Membres exclus)</w:t>
                            </w:r>
                          </w:p>
                        </w:txbxContent>
                      </wps:txbx>
                      <wps:bodyPr rot="0" spcFirstLastPara="0" vertOverflow="clip" horzOverflow="clip"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827FF6" id="Text Box 33" o:spid="_x0000_s1047" type="#_x0000_t202" style="position:absolute;margin-left:13.15pt;margin-top:115.65pt;width:230.5pt;height:43.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" fillcolor="white [3201]" stroked="f" strokeweight=".5pt">
                <v:textbox inset="0,0,0,0">
                  <w:txbxContent>
                    <w:p w14:paraId="6DAA1EE7" w14:textId="77777777" w:rsidR="007E7CB7" w:rsidRPr="002071CF" w:rsidRDefault="007E7CB7" w:rsidP="002071CF">
                      <w:pPr>
                        <w:spacing w:before="0"/>
                        <w:rPr>
                          <w:b/>
                          <w:bCs/>
                          <w:sz w:val="12"/>
                          <w:szCs w:val="12"/>
                        </w:rPr>
                      </w:pPr>
                      <w:r w:rsidRPr="002071CF">
                        <w:rPr>
                          <w:b/>
                          <w:bCs/>
                          <w:sz w:val="12"/>
                          <w:szCs w:val="12"/>
                        </w:rPr>
                        <w:t>Explication des cellules en fonction des couleurs</w:t>
                      </w:r>
                    </w:p>
                    <w:p w14:paraId="32707416" w14:textId="77777777" w:rsidR="007E7CB7" w:rsidRPr="002071CF" w:rsidRDefault="007E7CB7" w:rsidP="002071CF">
                      <w:pPr>
                        <w:tabs>
                          <w:tab w:val="left" w:pos="142"/>
                        </w:tabs>
                        <w:spacing w:before="0"/>
                        <w:rPr>
                          <w:bCs/>
                          <w:sz w:val="12"/>
                          <w:szCs w:val="12"/>
                        </w:rPr>
                      </w:pPr>
                      <w:r w:rsidRPr="002071CF">
                        <w:rPr>
                          <w:b/>
                          <w:bCs/>
                          <w:sz w:val="12"/>
                          <w:szCs w:val="12"/>
                        </w:rPr>
                        <w:t>–</w:t>
                      </w:r>
                      <w:r w:rsidRPr="002071CF">
                        <w:rPr>
                          <w:bCs/>
                          <w:sz w:val="12"/>
                          <w:szCs w:val="12"/>
                        </w:rPr>
                        <w:tab/>
                        <w:t>Blanche: une année sans mouvement</w:t>
                      </w:r>
                    </w:p>
                    <w:p w14:paraId="1F2246B0" w14:textId="77777777" w:rsidR="007E7CB7" w:rsidRPr="002071CF" w:rsidRDefault="007E7CB7" w:rsidP="002071CF">
                      <w:pPr>
                        <w:tabs>
                          <w:tab w:val="left" w:pos="142"/>
                        </w:tabs>
                        <w:spacing w:before="0"/>
                        <w:ind w:left="142" w:hanging="142"/>
                        <w:rPr>
                          <w:bCs/>
                          <w:sz w:val="12"/>
                          <w:szCs w:val="12"/>
                        </w:rPr>
                      </w:pPr>
                      <w:r w:rsidRPr="002071CF">
                        <w:rPr>
                          <w:bCs/>
                          <w:sz w:val="12"/>
                          <w:szCs w:val="12"/>
                        </w:rPr>
                        <w:t>–</w:t>
                      </w:r>
                      <w:r w:rsidRPr="002071CF">
                        <w:rPr>
                          <w:bCs/>
                          <w:sz w:val="12"/>
                          <w:szCs w:val="12"/>
                        </w:rPr>
                        <w:tab/>
                        <w:t>Beige: mouvement net nul (où: nouveaux Membres = Membres ayant dénoncé leur participation + Membres exclus)</w:t>
                      </w:r>
                    </w:p>
                    <w:p w14:paraId="75C2BC16" w14:textId="00FE877D" w:rsidR="007E7CB7" w:rsidRPr="002071CF" w:rsidRDefault="007E7CB7" w:rsidP="002071CF">
                      <w:pPr>
                        <w:tabs>
                          <w:tab w:val="left" w:pos="142"/>
                        </w:tabs>
                        <w:spacing w:before="0"/>
                        <w:ind w:left="142" w:hanging="142"/>
                        <w:rPr>
                          <w:sz w:val="2"/>
                          <w:szCs w:val="2"/>
                          <w:lang w:val="fr-CH"/>
                        </w:rPr>
                      </w:pPr>
                      <w:r w:rsidRPr="002071CF">
                        <w:rPr>
                          <w:bCs/>
                          <w:sz w:val="12"/>
                          <w:szCs w:val="12"/>
                        </w:rPr>
                        <w:t>–</w:t>
                      </w:r>
                      <w:r w:rsidRPr="002071CF">
                        <w:rPr>
                          <w:bCs/>
                          <w:sz w:val="12"/>
                          <w:szCs w:val="12"/>
                        </w:rPr>
                        <w:tab/>
                        <w:t>Verte: mouvement net positif dans l'année (où: nouveaux Membres &gt; Membres ayant dénoncé leur participation + Membres exclus)</w:t>
                      </w:r>
                    </w:p>
                  </w:txbxContent>
                </v:textbox>
                <w10:wrap anchorx="margin"/>
              </v:shape>
            </w:pict>
          </mc:Fallback>
        </mc:AlternateContent>
      </w:r>
      <w:r w:rsidRPr="00B433A3">
        <w:rPr>
          <w:noProof/>
          <w:lang w:val="en-US"/>
        </w:rPr>
        <mc:AlternateContent>
          <mc:Choice Requires="wps">
            <w:drawing>
              <wp:anchor distT="0" distB="0" distL="114300" distR="114300" simplePos="0" relativeHeight="251681792" behindDoc="0" locked="0" layoutInCell="1" allowOverlap="1" wp14:anchorId="62A87E8C" wp14:editId="64D8492B">
                <wp:simplePos x="0" y="0"/>
                <wp:positionH relativeFrom="margin">
                  <wp:posOffset>528026</wp:posOffset>
                </wp:positionH>
                <wp:positionV relativeFrom="paragraph">
                  <wp:posOffset>1276966</wp:posOffset>
                </wp:positionV>
                <wp:extent cx="539086" cy="184245"/>
                <wp:effectExtent l="0" t="0" r="0" b="6350"/>
                <wp:wrapNone/>
                <wp:docPr id="32" name="Text Box 32"/>
                <wp:cNvGraphicFramePr/>
                <a:graphic xmlns:a="http://schemas.openxmlformats.org/drawingml/2006/main">
                  <a:graphicData uri="http://schemas.microsoft.com/office/word/2010/wordprocessingShape">
                    <wps:wsp>
                      <wps:cNvSpPr txBox="1"/>
                      <wps:spPr>
                        <a:xfrm>
                          <a:off x="0" y="0"/>
                          <a:ext cx="539086" cy="184245"/>
                        </a:xfrm>
                        <a:prstGeom prst="rect">
                          <a:avLst/>
                        </a:prstGeom>
                        <a:solidFill>
                          <a:schemeClr val="lt1"/>
                        </a:solidFill>
                        <a:ln w="6350">
                          <a:noFill/>
                        </a:ln>
                      </wps:spPr>
                      <wps:txbx>
                        <w:txbxContent>
                          <w:p w14:paraId="3D8378E0" w14:textId="116F3225" w:rsidR="007E7CB7" w:rsidRPr="002071CF" w:rsidRDefault="007E7CB7" w:rsidP="002071CF">
                            <w:pPr>
                              <w:tabs>
                                <w:tab w:val="left" w:pos="426"/>
                              </w:tabs>
                              <w:spacing w:before="0"/>
                              <w:rPr>
                                <w:bCs/>
                                <w:sz w:val="12"/>
                                <w:szCs w:val="12"/>
                              </w:rPr>
                            </w:pPr>
                            <w:r w:rsidRPr="002071CF">
                              <w:rPr>
                                <w:bCs/>
                                <w:sz w:val="12"/>
                                <w:szCs w:val="12"/>
                              </w:rPr>
                              <w:t>Établissements universitaires</w:t>
                            </w:r>
                          </w:p>
                          <w:p w14:paraId="77C1016A" w14:textId="77777777" w:rsidR="007E7CB7" w:rsidRPr="002071CF" w:rsidRDefault="007E7CB7" w:rsidP="002071CF">
                            <w:pPr>
                              <w:spacing w:before="0"/>
                              <w:rPr>
                                <w:sz w:val="2"/>
                                <w:szCs w:val="2"/>
                                <w:lang w:val="fr-CH"/>
                              </w:rPr>
                            </w:pPr>
                          </w:p>
                        </w:txbxContent>
                      </wps:txbx>
                      <wps:bodyPr rot="0" spcFirstLastPara="0" vertOverflow="clip" horzOverflow="clip"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A87E8C" id="Text Box 32" o:spid="_x0000_s1048" type="#_x0000_t202" style="position:absolute;margin-left:41.6pt;margin-top:100.55pt;width:42.45pt;height:14.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" fillcolor="white [3201]" stroked="f" strokeweight=".5pt">
                <v:textbox inset="0,0,0,0">
                  <w:txbxContent>
                    <w:p w14:paraId="3D8378E0" w14:textId="116F3225" w:rsidR="007E7CB7" w:rsidRPr="002071CF" w:rsidRDefault="007E7CB7" w:rsidP="002071CF">
                      <w:pPr>
                        <w:tabs>
                          <w:tab w:val="left" w:pos="426"/>
                        </w:tabs>
                        <w:spacing w:before="0"/>
                        <w:rPr>
                          <w:bCs/>
                          <w:sz w:val="12"/>
                          <w:szCs w:val="12"/>
                        </w:rPr>
                      </w:pPr>
                      <w:r w:rsidRPr="002071CF">
                        <w:rPr>
                          <w:bCs/>
                          <w:sz w:val="12"/>
                          <w:szCs w:val="12"/>
                        </w:rPr>
                        <w:t>Établissements universitaires</w:t>
                      </w:r>
                    </w:p>
                    <w:p w14:paraId="77C1016A" w14:textId="77777777" w:rsidR="007E7CB7" w:rsidRPr="002071CF" w:rsidRDefault="007E7CB7" w:rsidP="002071CF">
                      <w:pPr>
                        <w:spacing w:before="0"/>
                        <w:rPr>
                          <w:sz w:val="2"/>
                          <w:szCs w:val="2"/>
                          <w:lang w:val="fr-CH"/>
                        </w:rPr>
                      </w:pPr>
                    </w:p>
                  </w:txbxContent>
                </v:textbox>
                <w10:wrap anchorx="margin"/>
              </v:shape>
            </w:pict>
          </mc:Fallback>
        </mc:AlternateContent>
      </w:r>
      <w:r w:rsidRPr="00B433A3">
        <w:rPr>
          <w:noProof/>
          <w:lang w:val="en-US"/>
        </w:rPr>
        <mc:AlternateContent>
          <mc:Choice Requires="wps">
            <w:drawing>
              <wp:anchor distT="0" distB="0" distL="114300" distR="114300" simplePos="0" relativeHeight="251685888" behindDoc="0" locked="0" layoutInCell="1" allowOverlap="1" wp14:anchorId="7AFDA003" wp14:editId="026B332E">
                <wp:simplePos x="0" y="0"/>
                <wp:positionH relativeFrom="margin">
                  <wp:posOffset>51311</wp:posOffset>
                </wp:positionH>
                <wp:positionV relativeFrom="paragraph">
                  <wp:posOffset>1270000</wp:posOffset>
                </wp:positionV>
                <wp:extent cx="464023" cy="184150"/>
                <wp:effectExtent l="0" t="0" r="0" b="6350"/>
                <wp:wrapNone/>
                <wp:docPr id="34" name="Text Box 34"/>
                <wp:cNvGraphicFramePr/>
                <a:graphic xmlns:a="http://schemas.openxmlformats.org/drawingml/2006/main">
                  <a:graphicData uri="http://schemas.microsoft.com/office/word/2010/wordprocessingShape">
                    <wps:wsp>
                      <wps:cNvSpPr txBox="1"/>
                      <wps:spPr>
                        <a:xfrm>
                          <a:off x="0" y="0"/>
                          <a:ext cx="464023" cy="184150"/>
                        </a:xfrm>
                        <a:prstGeom prst="rect">
                          <a:avLst/>
                        </a:prstGeom>
                        <a:solidFill>
                          <a:schemeClr val="lt1"/>
                        </a:solidFill>
                        <a:ln w="6350">
                          <a:noFill/>
                        </a:ln>
                      </wps:spPr>
                      <wps:txbx>
                        <w:txbxContent>
                          <w:p w14:paraId="58AD69E4" w14:textId="77777777" w:rsidR="007E7CB7" w:rsidRPr="002071CF" w:rsidRDefault="007E7CB7" w:rsidP="002071CF">
                            <w:pPr>
                              <w:tabs>
                                <w:tab w:val="left" w:pos="426"/>
                              </w:tabs>
                              <w:spacing w:before="0"/>
                              <w:rPr>
                                <w:bCs/>
                                <w:sz w:val="12"/>
                                <w:szCs w:val="12"/>
                              </w:rPr>
                            </w:pPr>
                            <w:r w:rsidRPr="002071CF">
                              <w:rPr>
                                <w:bCs/>
                                <w:sz w:val="12"/>
                                <w:szCs w:val="12"/>
                              </w:rPr>
                              <w:t>Établissements universitaires</w:t>
                            </w:r>
                          </w:p>
                          <w:p w14:paraId="0FC42241" w14:textId="77777777" w:rsidR="007E7CB7" w:rsidRPr="00DF12FB" w:rsidRDefault="007E7CB7" w:rsidP="002071CF">
                            <w:pPr>
                              <w:spacing w:before="0"/>
                              <w:rPr>
                                <w:sz w:val="2"/>
                                <w:szCs w:val="2"/>
                                <w:lang w:val="fr-CH"/>
                              </w:rPr>
                            </w:pPr>
                          </w:p>
                        </w:txbxContent>
                      </wps:txbx>
                      <wps:bodyPr rot="0" spcFirstLastPara="0" vertOverflow="clip" horzOverflow="clip"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FDA003" id="Text Box 34" o:spid="_x0000_s1049" type="#_x0000_t202" style="position:absolute;margin-left:4.05pt;margin-top:100pt;width:36.55pt;height:14.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" fillcolor="white [3201]" stroked="f" strokeweight=".5pt">
                <v:textbox inset="0,0,0,0">
                  <w:txbxContent>
                    <w:p w14:paraId="58AD69E4" w14:textId="77777777" w:rsidR="007E7CB7" w:rsidRPr="002071CF" w:rsidRDefault="007E7CB7" w:rsidP="002071CF">
                      <w:pPr>
                        <w:tabs>
                          <w:tab w:val="left" w:pos="426"/>
                        </w:tabs>
                        <w:spacing w:before="0"/>
                        <w:rPr>
                          <w:bCs/>
                          <w:sz w:val="12"/>
                          <w:szCs w:val="12"/>
                        </w:rPr>
                      </w:pPr>
                      <w:r w:rsidRPr="002071CF">
                        <w:rPr>
                          <w:bCs/>
                          <w:sz w:val="12"/>
                          <w:szCs w:val="12"/>
                        </w:rPr>
                        <w:t>Établissements universitaires</w:t>
                      </w:r>
                    </w:p>
                    <w:p w14:paraId="0FC42241" w14:textId="77777777" w:rsidR="007E7CB7" w:rsidRPr="00DF12FB" w:rsidRDefault="007E7CB7" w:rsidP="002071CF">
                      <w:pPr>
                        <w:spacing w:before="0"/>
                        <w:rPr>
                          <w:sz w:val="2"/>
                          <w:szCs w:val="2"/>
                          <w:lang w:val="fr-CH"/>
                        </w:rPr>
                      </w:pPr>
                    </w:p>
                  </w:txbxContent>
                </v:textbox>
                <w10:wrap anchorx="margin"/>
              </v:shape>
            </w:pict>
          </mc:Fallback>
        </mc:AlternateContent>
      </w:r>
      <w:r w:rsidRPr="00B433A3">
        <w:rPr>
          <w:noProof/>
          <w:lang w:val="en-US"/>
        </w:rPr>
        <mc:AlternateContent>
          <mc:Choice Requires="wps">
            <w:drawing>
              <wp:anchor distT="0" distB="0" distL="114300" distR="114300" simplePos="0" relativeHeight="251679744" behindDoc="0" locked="0" layoutInCell="1" allowOverlap="1" wp14:anchorId="060D7905" wp14:editId="596146AE">
                <wp:simplePos x="0" y="0"/>
                <wp:positionH relativeFrom="margin">
                  <wp:posOffset>170426</wp:posOffset>
                </wp:positionH>
                <wp:positionV relativeFrom="paragraph">
                  <wp:posOffset>740107</wp:posOffset>
                </wp:positionV>
                <wp:extent cx="893929" cy="238836"/>
                <wp:effectExtent l="0" t="0" r="1905" b="8890"/>
                <wp:wrapNone/>
                <wp:docPr id="31" name="Text Box 31"/>
                <wp:cNvGraphicFramePr/>
                <a:graphic xmlns:a="http://schemas.openxmlformats.org/drawingml/2006/main">
                  <a:graphicData uri="http://schemas.microsoft.com/office/word/2010/wordprocessingShape">
                    <wps:wsp>
                      <wps:cNvSpPr txBox="1"/>
                      <wps:spPr>
                        <a:xfrm>
                          <a:off x="0" y="0"/>
                          <a:ext cx="893929" cy="238836"/>
                        </a:xfrm>
                        <a:prstGeom prst="rect">
                          <a:avLst/>
                        </a:prstGeom>
                        <a:solidFill>
                          <a:schemeClr val="lt1"/>
                        </a:solidFill>
                        <a:ln w="6350">
                          <a:noFill/>
                        </a:ln>
                      </wps:spPr>
                      <wps:txbx>
                        <w:txbxContent>
                          <w:p w14:paraId="2F8964C3" w14:textId="5182E832" w:rsidR="007E7CB7" w:rsidRPr="002071CF" w:rsidRDefault="007E7CB7" w:rsidP="002071CF">
                            <w:pPr>
                              <w:tabs>
                                <w:tab w:val="left" w:pos="426"/>
                              </w:tabs>
                              <w:spacing w:before="0"/>
                              <w:ind w:left="426" w:hanging="426"/>
                              <w:rPr>
                                <w:bCs/>
                                <w:sz w:val="12"/>
                                <w:szCs w:val="12"/>
                              </w:rPr>
                            </w:pPr>
                            <w:r w:rsidRPr="002071CF">
                              <w:rPr>
                                <w:bCs/>
                                <w:sz w:val="12"/>
                                <w:szCs w:val="12"/>
                              </w:rPr>
                              <w:t>UIT-T</w:t>
                            </w:r>
                            <w:r>
                              <w:rPr>
                                <w:b/>
                                <w:bCs/>
                                <w:sz w:val="12"/>
                                <w:szCs w:val="12"/>
                              </w:rPr>
                              <w:t xml:space="preserve"> </w:t>
                            </w:r>
                            <w:r w:rsidRPr="002071CF">
                              <w:rPr>
                                <w:bCs/>
                                <w:sz w:val="12"/>
                                <w:szCs w:val="12"/>
                              </w:rPr>
                              <w:t xml:space="preserve">Membre de </w:t>
                            </w:r>
                            <w:r>
                              <w:rPr>
                                <w:bCs/>
                                <w:sz w:val="12"/>
                                <w:szCs w:val="12"/>
                              </w:rPr>
                              <w:t>S</w:t>
                            </w:r>
                            <w:r w:rsidRPr="002071CF">
                              <w:rPr>
                                <w:bCs/>
                                <w:sz w:val="12"/>
                                <w:szCs w:val="12"/>
                              </w:rPr>
                              <w:t>ecteur</w:t>
                            </w:r>
                          </w:p>
                          <w:p w14:paraId="44EB5239" w14:textId="77777777" w:rsidR="007E7CB7" w:rsidRPr="002071CF" w:rsidRDefault="007E7CB7" w:rsidP="002071CF">
                            <w:pPr>
                              <w:tabs>
                                <w:tab w:val="left" w:pos="426"/>
                              </w:tabs>
                              <w:spacing w:before="80"/>
                              <w:rPr>
                                <w:bCs/>
                                <w:sz w:val="12"/>
                                <w:szCs w:val="12"/>
                              </w:rPr>
                            </w:pPr>
                            <w:r>
                              <w:rPr>
                                <w:bCs/>
                                <w:sz w:val="12"/>
                                <w:szCs w:val="12"/>
                              </w:rPr>
                              <w:tab/>
                            </w:r>
                            <w:r w:rsidRPr="002071CF">
                              <w:rPr>
                                <w:bCs/>
                                <w:sz w:val="12"/>
                                <w:szCs w:val="12"/>
                              </w:rPr>
                              <w:t>Associé</w:t>
                            </w:r>
                          </w:p>
                          <w:p w14:paraId="12BE3631" w14:textId="77777777" w:rsidR="007E7CB7" w:rsidRPr="00DF12FB" w:rsidRDefault="007E7CB7" w:rsidP="002071CF">
                            <w:pPr>
                              <w:spacing w:before="0"/>
                              <w:rPr>
                                <w:sz w:val="2"/>
                                <w:szCs w:val="2"/>
                                <w:lang w:val="fr-CH"/>
                              </w:rPr>
                            </w:pPr>
                          </w:p>
                        </w:txbxContent>
                      </wps:txbx>
                      <wps:bodyPr rot="0" spcFirstLastPara="0" vertOverflow="clip" horzOverflow="clip"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0D7905" id="Text Box 31" o:spid="_x0000_s1050" type="#_x0000_t202" style="position:absolute;margin-left:13.4pt;margin-top:58.3pt;width:70.4pt;height:18.8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" fillcolor="white [3201]" stroked="f" strokeweight=".5pt">
                <v:textbox inset="0,0,0,0">
                  <w:txbxContent>
                    <w:p w14:paraId="2F8964C3" w14:textId="5182E832" w:rsidR="007E7CB7" w:rsidRPr="002071CF" w:rsidRDefault="007E7CB7" w:rsidP="002071CF">
                      <w:pPr>
                        <w:tabs>
                          <w:tab w:val="left" w:pos="426"/>
                        </w:tabs>
                        <w:spacing w:before="0"/>
                        <w:ind w:left="426" w:hanging="426"/>
                        <w:rPr>
                          <w:bCs/>
                          <w:sz w:val="12"/>
                          <w:szCs w:val="12"/>
                        </w:rPr>
                      </w:pPr>
                      <w:r w:rsidRPr="002071CF">
                        <w:rPr>
                          <w:bCs/>
                          <w:sz w:val="12"/>
                          <w:szCs w:val="12"/>
                        </w:rPr>
                        <w:t>UIT-T</w:t>
                      </w:r>
                      <w:r>
                        <w:rPr>
                          <w:b/>
                          <w:bCs/>
                          <w:sz w:val="12"/>
                          <w:szCs w:val="12"/>
                        </w:rPr>
                        <w:t xml:space="preserve"> </w:t>
                      </w:r>
                      <w:r w:rsidRPr="002071CF">
                        <w:rPr>
                          <w:bCs/>
                          <w:sz w:val="12"/>
                          <w:szCs w:val="12"/>
                        </w:rPr>
                        <w:t xml:space="preserve">Membre de </w:t>
                      </w:r>
                      <w:r>
                        <w:rPr>
                          <w:bCs/>
                          <w:sz w:val="12"/>
                          <w:szCs w:val="12"/>
                        </w:rPr>
                        <w:t>S</w:t>
                      </w:r>
                      <w:r w:rsidRPr="002071CF">
                        <w:rPr>
                          <w:bCs/>
                          <w:sz w:val="12"/>
                          <w:szCs w:val="12"/>
                        </w:rPr>
                        <w:t>ecteur</w:t>
                      </w:r>
                    </w:p>
                    <w:p w14:paraId="44EB5239" w14:textId="77777777" w:rsidR="007E7CB7" w:rsidRPr="002071CF" w:rsidRDefault="007E7CB7" w:rsidP="002071CF">
                      <w:pPr>
                        <w:tabs>
                          <w:tab w:val="left" w:pos="426"/>
                        </w:tabs>
                        <w:spacing w:before="80"/>
                        <w:rPr>
                          <w:bCs/>
                          <w:sz w:val="12"/>
                          <w:szCs w:val="12"/>
                        </w:rPr>
                      </w:pPr>
                      <w:r>
                        <w:rPr>
                          <w:bCs/>
                          <w:sz w:val="12"/>
                          <w:szCs w:val="12"/>
                        </w:rPr>
                        <w:tab/>
                      </w:r>
                      <w:r w:rsidRPr="002071CF">
                        <w:rPr>
                          <w:bCs/>
                          <w:sz w:val="12"/>
                          <w:szCs w:val="12"/>
                        </w:rPr>
                        <w:t>Associé</w:t>
                      </w:r>
                    </w:p>
                    <w:p w14:paraId="12BE3631" w14:textId="77777777" w:rsidR="007E7CB7" w:rsidRPr="00DF12FB" w:rsidRDefault="007E7CB7" w:rsidP="002071CF">
                      <w:pPr>
                        <w:spacing w:before="0"/>
                        <w:rPr>
                          <w:sz w:val="2"/>
                          <w:szCs w:val="2"/>
                          <w:lang w:val="fr-CH"/>
                        </w:rPr>
                      </w:pPr>
                    </w:p>
                  </w:txbxContent>
                </v:textbox>
                <w10:wrap anchorx="margin"/>
              </v:shape>
            </w:pict>
          </mc:Fallback>
        </mc:AlternateContent>
      </w:r>
      <w:r w:rsidRPr="00B433A3">
        <w:rPr>
          <w:noProof/>
          <w:lang w:val="en-US"/>
        </w:rPr>
        <mc:AlternateContent>
          <mc:Choice Requires="wps">
            <w:drawing>
              <wp:anchor distT="0" distB="0" distL="114300" distR="114300" simplePos="0" relativeHeight="251677696" behindDoc="0" locked="0" layoutInCell="1" allowOverlap="1" wp14:anchorId="2ABD3607" wp14:editId="7E6ADE9F">
                <wp:simplePos x="0" y="0"/>
                <wp:positionH relativeFrom="margin">
                  <wp:posOffset>170597</wp:posOffset>
                </wp:positionH>
                <wp:positionV relativeFrom="paragraph">
                  <wp:posOffset>1029761</wp:posOffset>
                </wp:positionV>
                <wp:extent cx="893929" cy="238836"/>
                <wp:effectExtent l="0" t="0" r="1905" b="8890"/>
                <wp:wrapNone/>
                <wp:docPr id="28" name="Text Box 28"/>
                <wp:cNvGraphicFramePr/>
                <a:graphic xmlns:a="http://schemas.openxmlformats.org/drawingml/2006/main">
                  <a:graphicData uri="http://schemas.microsoft.com/office/word/2010/wordprocessingShape">
                    <wps:wsp>
                      <wps:cNvSpPr txBox="1"/>
                      <wps:spPr>
                        <a:xfrm>
                          <a:off x="0" y="0"/>
                          <a:ext cx="893929" cy="238836"/>
                        </a:xfrm>
                        <a:prstGeom prst="rect">
                          <a:avLst/>
                        </a:prstGeom>
                        <a:solidFill>
                          <a:schemeClr val="lt1"/>
                        </a:solidFill>
                        <a:ln w="6350">
                          <a:noFill/>
                        </a:ln>
                      </wps:spPr>
                      <wps:txbx>
                        <w:txbxContent>
                          <w:p w14:paraId="129DAE50" w14:textId="33E1946A" w:rsidR="007E7CB7" w:rsidRPr="002071CF" w:rsidRDefault="007E7CB7" w:rsidP="002071CF">
                            <w:pPr>
                              <w:tabs>
                                <w:tab w:val="left" w:pos="426"/>
                              </w:tabs>
                              <w:spacing w:before="0"/>
                              <w:ind w:left="426" w:hanging="426"/>
                              <w:rPr>
                                <w:bCs/>
                                <w:sz w:val="12"/>
                                <w:szCs w:val="12"/>
                              </w:rPr>
                            </w:pPr>
                            <w:r w:rsidRPr="002071CF">
                              <w:rPr>
                                <w:bCs/>
                                <w:sz w:val="12"/>
                                <w:szCs w:val="12"/>
                              </w:rPr>
                              <w:t>UIT-D</w:t>
                            </w:r>
                            <w:r>
                              <w:rPr>
                                <w:b/>
                                <w:bCs/>
                                <w:sz w:val="12"/>
                                <w:szCs w:val="12"/>
                              </w:rPr>
                              <w:t xml:space="preserve"> </w:t>
                            </w:r>
                            <w:r w:rsidRPr="002071CF">
                              <w:rPr>
                                <w:bCs/>
                                <w:sz w:val="12"/>
                                <w:szCs w:val="12"/>
                              </w:rPr>
                              <w:t xml:space="preserve">Membre de </w:t>
                            </w:r>
                            <w:r>
                              <w:rPr>
                                <w:bCs/>
                                <w:sz w:val="12"/>
                                <w:szCs w:val="12"/>
                              </w:rPr>
                              <w:t>S</w:t>
                            </w:r>
                            <w:r w:rsidRPr="002071CF">
                              <w:rPr>
                                <w:bCs/>
                                <w:sz w:val="12"/>
                                <w:szCs w:val="12"/>
                              </w:rPr>
                              <w:t>ecteur</w:t>
                            </w:r>
                          </w:p>
                          <w:p w14:paraId="4634FEE4" w14:textId="77777777" w:rsidR="007E7CB7" w:rsidRPr="002071CF" w:rsidRDefault="007E7CB7" w:rsidP="002071CF">
                            <w:pPr>
                              <w:tabs>
                                <w:tab w:val="left" w:pos="426"/>
                              </w:tabs>
                              <w:spacing w:before="80"/>
                              <w:rPr>
                                <w:bCs/>
                                <w:sz w:val="12"/>
                                <w:szCs w:val="12"/>
                              </w:rPr>
                            </w:pPr>
                            <w:r>
                              <w:rPr>
                                <w:bCs/>
                                <w:sz w:val="12"/>
                                <w:szCs w:val="12"/>
                              </w:rPr>
                              <w:tab/>
                            </w:r>
                            <w:r w:rsidRPr="002071CF">
                              <w:rPr>
                                <w:bCs/>
                                <w:sz w:val="12"/>
                                <w:szCs w:val="12"/>
                              </w:rPr>
                              <w:t>Associé</w:t>
                            </w:r>
                          </w:p>
                          <w:p w14:paraId="7A2343C5" w14:textId="77777777" w:rsidR="007E7CB7" w:rsidRPr="00DF12FB" w:rsidRDefault="007E7CB7" w:rsidP="002071CF">
                            <w:pPr>
                              <w:spacing w:before="0"/>
                              <w:rPr>
                                <w:sz w:val="2"/>
                                <w:szCs w:val="2"/>
                                <w:lang w:val="fr-CH"/>
                              </w:rPr>
                            </w:pPr>
                          </w:p>
                        </w:txbxContent>
                      </wps:txbx>
                      <wps:bodyPr rot="0" spcFirstLastPara="0" vertOverflow="clip" horzOverflow="clip"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BD3607" id="Text Box 28" o:spid="_x0000_s1051" type="#_x0000_t202" style="position:absolute;margin-left:13.45pt;margin-top:81.1pt;width:70.4pt;height:18.8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" fillcolor="white [3201]" stroked="f" strokeweight=".5pt">
                <v:textbox inset="0,0,0,0">
                  <w:txbxContent>
                    <w:p w14:paraId="129DAE50" w14:textId="33E1946A" w:rsidR="007E7CB7" w:rsidRPr="002071CF" w:rsidRDefault="007E7CB7" w:rsidP="002071CF">
                      <w:pPr>
                        <w:tabs>
                          <w:tab w:val="left" w:pos="426"/>
                        </w:tabs>
                        <w:spacing w:before="0"/>
                        <w:ind w:left="426" w:hanging="426"/>
                        <w:rPr>
                          <w:bCs/>
                          <w:sz w:val="12"/>
                          <w:szCs w:val="12"/>
                        </w:rPr>
                      </w:pPr>
                      <w:r w:rsidRPr="002071CF">
                        <w:rPr>
                          <w:bCs/>
                          <w:sz w:val="12"/>
                          <w:szCs w:val="12"/>
                        </w:rPr>
                        <w:t>UIT-D</w:t>
                      </w:r>
                      <w:r>
                        <w:rPr>
                          <w:b/>
                          <w:bCs/>
                          <w:sz w:val="12"/>
                          <w:szCs w:val="12"/>
                        </w:rPr>
                        <w:t xml:space="preserve"> </w:t>
                      </w:r>
                      <w:r w:rsidRPr="002071CF">
                        <w:rPr>
                          <w:bCs/>
                          <w:sz w:val="12"/>
                          <w:szCs w:val="12"/>
                        </w:rPr>
                        <w:t xml:space="preserve">Membre de </w:t>
                      </w:r>
                      <w:r>
                        <w:rPr>
                          <w:bCs/>
                          <w:sz w:val="12"/>
                          <w:szCs w:val="12"/>
                        </w:rPr>
                        <w:t>S</w:t>
                      </w:r>
                      <w:r w:rsidRPr="002071CF">
                        <w:rPr>
                          <w:bCs/>
                          <w:sz w:val="12"/>
                          <w:szCs w:val="12"/>
                        </w:rPr>
                        <w:t>ecteur</w:t>
                      </w:r>
                    </w:p>
                    <w:p w14:paraId="4634FEE4" w14:textId="77777777" w:rsidR="007E7CB7" w:rsidRPr="002071CF" w:rsidRDefault="007E7CB7" w:rsidP="002071CF">
                      <w:pPr>
                        <w:tabs>
                          <w:tab w:val="left" w:pos="426"/>
                        </w:tabs>
                        <w:spacing w:before="80"/>
                        <w:rPr>
                          <w:bCs/>
                          <w:sz w:val="12"/>
                          <w:szCs w:val="12"/>
                        </w:rPr>
                      </w:pPr>
                      <w:r>
                        <w:rPr>
                          <w:bCs/>
                          <w:sz w:val="12"/>
                          <w:szCs w:val="12"/>
                        </w:rPr>
                        <w:tab/>
                      </w:r>
                      <w:r w:rsidRPr="002071CF">
                        <w:rPr>
                          <w:bCs/>
                          <w:sz w:val="12"/>
                          <w:szCs w:val="12"/>
                        </w:rPr>
                        <w:t>Associé</w:t>
                      </w:r>
                    </w:p>
                    <w:p w14:paraId="7A2343C5" w14:textId="77777777" w:rsidR="007E7CB7" w:rsidRPr="00DF12FB" w:rsidRDefault="007E7CB7" w:rsidP="002071CF">
                      <w:pPr>
                        <w:spacing w:before="0"/>
                        <w:rPr>
                          <w:sz w:val="2"/>
                          <w:szCs w:val="2"/>
                          <w:lang w:val="fr-CH"/>
                        </w:rPr>
                      </w:pPr>
                    </w:p>
                  </w:txbxContent>
                </v:textbox>
                <w10:wrap anchorx="margin"/>
              </v:shape>
            </w:pict>
          </mc:Fallback>
        </mc:AlternateContent>
      </w:r>
      <w:r w:rsidRPr="00B433A3">
        <w:rPr>
          <w:noProof/>
          <w:lang w:val="en-US"/>
        </w:rPr>
        <mc:AlternateContent>
          <mc:Choice Requires="wps">
            <w:drawing>
              <wp:anchor distT="0" distB="0" distL="114300" distR="114300" simplePos="0" relativeHeight="251675648" behindDoc="0" locked="0" layoutInCell="1" allowOverlap="1" wp14:anchorId="0F79F6B4" wp14:editId="42E3C617">
                <wp:simplePos x="0" y="0"/>
                <wp:positionH relativeFrom="margin">
                  <wp:posOffset>173838</wp:posOffset>
                </wp:positionH>
                <wp:positionV relativeFrom="paragraph">
                  <wp:posOffset>465371</wp:posOffset>
                </wp:positionV>
                <wp:extent cx="893929" cy="238836"/>
                <wp:effectExtent l="0" t="0" r="1905" b="8890"/>
                <wp:wrapNone/>
                <wp:docPr id="21" name="Text Box 21"/>
                <wp:cNvGraphicFramePr/>
                <a:graphic xmlns:a="http://schemas.openxmlformats.org/drawingml/2006/main">
                  <a:graphicData uri="http://schemas.microsoft.com/office/word/2010/wordprocessingShape">
                    <wps:wsp>
                      <wps:cNvSpPr txBox="1"/>
                      <wps:spPr>
                        <a:xfrm>
                          <a:off x="0" y="0"/>
                          <a:ext cx="893929" cy="238836"/>
                        </a:xfrm>
                        <a:prstGeom prst="rect">
                          <a:avLst/>
                        </a:prstGeom>
                        <a:solidFill>
                          <a:schemeClr val="lt1"/>
                        </a:solidFill>
                        <a:ln w="6350">
                          <a:noFill/>
                        </a:ln>
                      </wps:spPr>
                      <wps:txbx>
                        <w:txbxContent>
                          <w:p w14:paraId="38F63004" w14:textId="2516E148" w:rsidR="007E7CB7" w:rsidRPr="002071CF" w:rsidRDefault="007E7CB7" w:rsidP="002071CF">
                            <w:pPr>
                              <w:tabs>
                                <w:tab w:val="left" w:pos="426"/>
                              </w:tabs>
                              <w:spacing w:before="0"/>
                              <w:ind w:left="426" w:hanging="426"/>
                              <w:rPr>
                                <w:bCs/>
                                <w:sz w:val="12"/>
                                <w:szCs w:val="12"/>
                              </w:rPr>
                            </w:pPr>
                            <w:r w:rsidRPr="002071CF">
                              <w:rPr>
                                <w:bCs/>
                                <w:sz w:val="12"/>
                                <w:szCs w:val="12"/>
                              </w:rPr>
                              <w:t>UIT-R</w:t>
                            </w:r>
                            <w:r>
                              <w:rPr>
                                <w:b/>
                                <w:bCs/>
                                <w:sz w:val="12"/>
                                <w:szCs w:val="12"/>
                              </w:rPr>
                              <w:t xml:space="preserve"> </w:t>
                            </w:r>
                            <w:r w:rsidRPr="002071CF">
                              <w:rPr>
                                <w:bCs/>
                                <w:sz w:val="12"/>
                                <w:szCs w:val="12"/>
                              </w:rPr>
                              <w:t xml:space="preserve">Membre de </w:t>
                            </w:r>
                            <w:r>
                              <w:rPr>
                                <w:bCs/>
                                <w:sz w:val="12"/>
                                <w:szCs w:val="12"/>
                              </w:rPr>
                              <w:t>S</w:t>
                            </w:r>
                            <w:r w:rsidRPr="002071CF">
                              <w:rPr>
                                <w:bCs/>
                                <w:sz w:val="12"/>
                                <w:szCs w:val="12"/>
                              </w:rPr>
                              <w:t>ecteur</w:t>
                            </w:r>
                          </w:p>
                          <w:p w14:paraId="04E7C967" w14:textId="1CAB2BEB" w:rsidR="007E7CB7" w:rsidRPr="002071CF" w:rsidRDefault="007E7CB7" w:rsidP="002071CF">
                            <w:pPr>
                              <w:tabs>
                                <w:tab w:val="left" w:pos="426"/>
                              </w:tabs>
                              <w:spacing w:before="80"/>
                              <w:rPr>
                                <w:bCs/>
                                <w:sz w:val="12"/>
                                <w:szCs w:val="12"/>
                              </w:rPr>
                            </w:pPr>
                            <w:r>
                              <w:rPr>
                                <w:bCs/>
                                <w:sz w:val="12"/>
                                <w:szCs w:val="12"/>
                              </w:rPr>
                              <w:tab/>
                            </w:r>
                            <w:r w:rsidRPr="002071CF">
                              <w:rPr>
                                <w:bCs/>
                                <w:sz w:val="12"/>
                                <w:szCs w:val="12"/>
                              </w:rPr>
                              <w:t>Associé</w:t>
                            </w:r>
                          </w:p>
                          <w:p w14:paraId="18FF14C2" w14:textId="77777777" w:rsidR="007E7CB7" w:rsidRPr="00DF12FB" w:rsidRDefault="007E7CB7" w:rsidP="00DF12FB">
                            <w:pPr>
                              <w:spacing w:before="0"/>
                              <w:rPr>
                                <w:sz w:val="2"/>
                                <w:szCs w:val="2"/>
                                <w:lang w:val="fr-CH"/>
                              </w:rPr>
                            </w:pPr>
                          </w:p>
                        </w:txbxContent>
                      </wps:txbx>
                      <wps:bodyPr rot="0" spcFirstLastPara="0" vertOverflow="clip" horzOverflow="clip"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79F6B4" id="Text Box 21" o:spid="_x0000_s1052" type="#_x0000_t202" style="position:absolute;margin-left:13.7pt;margin-top:36.65pt;width:70.4pt;height:18.8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" fillcolor="white [3201]" stroked="f" strokeweight=".5pt">
                <v:textbox inset="0,0,0,0">
                  <w:txbxContent>
                    <w:p w14:paraId="38F63004" w14:textId="2516E148" w:rsidR="007E7CB7" w:rsidRPr="002071CF" w:rsidRDefault="007E7CB7" w:rsidP="002071CF">
                      <w:pPr>
                        <w:tabs>
                          <w:tab w:val="left" w:pos="426"/>
                        </w:tabs>
                        <w:spacing w:before="0"/>
                        <w:ind w:left="426" w:hanging="426"/>
                        <w:rPr>
                          <w:bCs/>
                          <w:sz w:val="12"/>
                          <w:szCs w:val="12"/>
                        </w:rPr>
                      </w:pPr>
                      <w:r w:rsidRPr="002071CF">
                        <w:rPr>
                          <w:bCs/>
                          <w:sz w:val="12"/>
                          <w:szCs w:val="12"/>
                        </w:rPr>
                        <w:t>UIT-R</w:t>
                      </w:r>
                      <w:r>
                        <w:rPr>
                          <w:b/>
                          <w:bCs/>
                          <w:sz w:val="12"/>
                          <w:szCs w:val="12"/>
                        </w:rPr>
                        <w:t xml:space="preserve"> </w:t>
                      </w:r>
                      <w:r w:rsidRPr="002071CF">
                        <w:rPr>
                          <w:bCs/>
                          <w:sz w:val="12"/>
                          <w:szCs w:val="12"/>
                        </w:rPr>
                        <w:t xml:space="preserve">Membre de </w:t>
                      </w:r>
                      <w:r>
                        <w:rPr>
                          <w:bCs/>
                          <w:sz w:val="12"/>
                          <w:szCs w:val="12"/>
                        </w:rPr>
                        <w:t>S</w:t>
                      </w:r>
                      <w:r w:rsidRPr="002071CF">
                        <w:rPr>
                          <w:bCs/>
                          <w:sz w:val="12"/>
                          <w:szCs w:val="12"/>
                        </w:rPr>
                        <w:t>ecteur</w:t>
                      </w:r>
                    </w:p>
                    <w:p w14:paraId="04E7C967" w14:textId="1CAB2BEB" w:rsidR="007E7CB7" w:rsidRPr="002071CF" w:rsidRDefault="007E7CB7" w:rsidP="002071CF">
                      <w:pPr>
                        <w:tabs>
                          <w:tab w:val="left" w:pos="426"/>
                        </w:tabs>
                        <w:spacing w:before="80"/>
                        <w:rPr>
                          <w:bCs/>
                          <w:sz w:val="12"/>
                          <w:szCs w:val="12"/>
                        </w:rPr>
                      </w:pPr>
                      <w:r>
                        <w:rPr>
                          <w:bCs/>
                          <w:sz w:val="12"/>
                          <w:szCs w:val="12"/>
                        </w:rPr>
                        <w:tab/>
                      </w:r>
                      <w:r w:rsidRPr="002071CF">
                        <w:rPr>
                          <w:bCs/>
                          <w:sz w:val="12"/>
                          <w:szCs w:val="12"/>
                        </w:rPr>
                        <w:t>Associé</w:t>
                      </w:r>
                    </w:p>
                    <w:p w14:paraId="18FF14C2" w14:textId="77777777" w:rsidR="007E7CB7" w:rsidRPr="00DF12FB" w:rsidRDefault="007E7CB7" w:rsidP="00DF12FB">
                      <w:pPr>
                        <w:spacing w:before="0"/>
                        <w:rPr>
                          <w:sz w:val="2"/>
                          <w:szCs w:val="2"/>
                          <w:lang w:val="fr-CH"/>
                        </w:rPr>
                      </w:pPr>
                    </w:p>
                  </w:txbxContent>
                </v:textbox>
                <w10:wrap anchorx="margin"/>
              </v:shape>
            </w:pict>
          </mc:Fallback>
        </mc:AlternateContent>
      </w:r>
      <w:r w:rsidR="00DF12FB" w:rsidRPr="00B433A3">
        <w:rPr>
          <w:noProof/>
          <w:lang w:val="en-US"/>
        </w:rPr>
        <mc:AlternateContent>
          <mc:Choice Requires="wps">
            <w:drawing>
              <wp:anchor distT="0" distB="0" distL="114300" distR="114300" simplePos="0" relativeHeight="251673600" behindDoc="0" locked="0" layoutInCell="1" allowOverlap="1" wp14:anchorId="3FB3F683" wp14:editId="3BAF7C20">
                <wp:simplePos x="0" y="0"/>
                <wp:positionH relativeFrom="margin">
                  <wp:posOffset>514795</wp:posOffset>
                </wp:positionH>
                <wp:positionV relativeFrom="paragraph">
                  <wp:posOffset>307340</wp:posOffset>
                </wp:positionV>
                <wp:extent cx="709684" cy="122839"/>
                <wp:effectExtent l="0" t="0" r="0" b="0"/>
                <wp:wrapNone/>
                <wp:docPr id="12" name="Text Box 12"/>
                <wp:cNvGraphicFramePr/>
                <a:graphic xmlns:a="http://schemas.openxmlformats.org/drawingml/2006/main">
                  <a:graphicData uri="http://schemas.microsoft.com/office/word/2010/wordprocessingShape">
                    <wps:wsp>
                      <wps:cNvSpPr txBox="1"/>
                      <wps:spPr>
                        <a:xfrm>
                          <a:off x="0" y="0"/>
                          <a:ext cx="709684" cy="122839"/>
                        </a:xfrm>
                        <a:prstGeom prst="rect">
                          <a:avLst/>
                        </a:prstGeom>
                        <a:solidFill>
                          <a:schemeClr val="lt1"/>
                        </a:solidFill>
                        <a:ln w="6350">
                          <a:noFill/>
                        </a:ln>
                      </wps:spPr>
                      <wps:txbx>
                        <w:txbxContent>
                          <w:p w14:paraId="64EA38F0" w14:textId="58AEC77A" w:rsidR="007E7CB7" w:rsidRPr="00DF12FB" w:rsidRDefault="007E7CB7" w:rsidP="00DF12FB">
                            <w:pPr>
                              <w:spacing w:before="0"/>
                              <w:jc w:val="center"/>
                              <w:rPr>
                                <w:sz w:val="2"/>
                                <w:szCs w:val="2"/>
                                <w:lang w:val="fr-CH"/>
                              </w:rPr>
                            </w:pPr>
                            <w:r w:rsidRPr="00DF12FB">
                              <w:rPr>
                                <w:b/>
                                <w:bCs/>
                                <w:sz w:val="12"/>
                                <w:szCs w:val="12"/>
                              </w:rPr>
                              <w:t>Catégorie de membre</w:t>
                            </w:r>
                          </w:p>
                        </w:txbxContent>
                      </wps:txbx>
                      <wps:bodyPr rot="0" spcFirstLastPara="0" vertOverflow="clip" horzOverflow="clip"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B3F683" id="Text Box 12" o:spid="_x0000_s1053" type="#_x0000_t202" style="position:absolute;margin-left:40.55pt;margin-top:24.2pt;width:55.9pt;height:9.6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" fillcolor="white [3201]" stroked="f" strokeweight=".5pt">
                <v:textbox inset="0,0,0,0">
                  <w:txbxContent>
                    <w:p w14:paraId="64EA38F0" w14:textId="58AEC77A" w:rsidR="007E7CB7" w:rsidRPr="00DF12FB" w:rsidRDefault="007E7CB7" w:rsidP="00DF12FB">
                      <w:pPr>
                        <w:spacing w:before="0"/>
                        <w:jc w:val="center"/>
                        <w:rPr>
                          <w:sz w:val="2"/>
                          <w:szCs w:val="2"/>
                          <w:lang w:val="fr-CH"/>
                        </w:rPr>
                      </w:pPr>
                      <w:r w:rsidRPr="00DF12FB">
                        <w:rPr>
                          <w:b/>
                          <w:bCs/>
                          <w:sz w:val="12"/>
                          <w:szCs w:val="12"/>
                        </w:rPr>
                        <w:t>Catégorie de membre</w:t>
                      </w:r>
                    </w:p>
                  </w:txbxContent>
                </v:textbox>
                <w10:wrap anchorx="margin"/>
              </v:shape>
            </w:pict>
          </mc:Fallback>
        </mc:AlternateContent>
      </w:r>
      <w:r w:rsidR="00DF12FB" w:rsidRPr="00B433A3">
        <w:rPr>
          <w:noProof/>
          <w:lang w:val="en-US"/>
        </w:rPr>
        <mc:AlternateContent>
          <mc:Choice Requires="wps">
            <w:drawing>
              <wp:anchor distT="0" distB="0" distL="114300" distR="114300" simplePos="0" relativeHeight="251671552" behindDoc="0" locked="0" layoutInCell="1" allowOverlap="1" wp14:anchorId="6ED9C895" wp14:editId="098B91DB">
                <wp:simplePos x="0" y="0"/>
                <wp:positionH relativeFrom="margin">
                  <wp:posOffset>132715</wp:posOffset>
                </wp:positionH>
                <wp:positionV relativeFrom="paragraph">
                  <wp:posOffset>307340</wp:posOffset>
                </wp:positionV>
                <wp:extent cx="348018" cy="12283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348018" cy="122830"/>
                        </a:xfrm>
                        <a:prstGeom prst="rect">
                          <a:avLst/>
                        </a:prstGeom>
                        <a:solidFill>
                          <a:schemeClr val="lt1"/>
                        </a:solidFill>
                        <a:ln w="6350">
                          <a:noFill/>
                        </a:ln>
                      </wps:spPr>
                      <wps:txbx>
                        <w:txbxContent>
                          <w:p w14:paraId="3DE98ADC" w14:textId="6815E3B7" w:rsidR="007E7CB7" w:rsidRPr="00DF12FB" w:rsidRDefault="007E7CB7" w:rsidP="00DF12FB">
                            <w:pPr>
                              <w:spacing w:before="0"/>
                              <w:jc w:val="center"/>
                              <w:rPr>
                                <w:sz w:val="2"/>
                                <w:szCs w:val="2"/>
                                <w:lang w:val="fr-CH"/>
                              </w:rPr>
                            </w:pPr>
                            <w:r w:rsidRPr="00DF12FB">
                              <w:rPr>
                                <w:b/>
                                <w:bCs/>
                                <w:sz w:val="12"/>
                                <w:szCs w:val="12"/>
                              </w:rPr>
                              <w:t>Secteur</w:t>
                            </w:r>
                          </w:p>
                        </w:txbxContent>
                      </wps:txbx>
                      <wps:bodyPr rot="0" spcFirstLastPara="0" vertOverflow="clip" horzOverflow="clip"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D9C895" id="Text Box 10" o:spid="_x0000_s1054" type="#_x0000_t202" style="position:absolute;margin-left:10.45pt;margin-top:24.2pt;width:27.4pt;height:9.6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" fillcolor="white [3201]" stroked="f" strokeweight=".5pt">
                <v:textbox inset="0,0,0,0">
                  <w:txbxContent>
                    <w:p w14:paraId="3DE98ADC" w14:textId="6815E3B7" w:rsidR="007E7CB7" w:rsidRPr="00DF12FB" w:rsidRDefault="007E7CB7" w:rsidP="00DF12FB">
                      <w:pPr>
                        <w:spacing w:before="0"/>
                        <w:jc w:val="center"/>
                        <w:rPr>
                          <w:sz w:val="2"/>
                          <w:szCs w:val="2"/>
                          <w:lang w:val="fr-CH"/>
                        </w:rPr>
                      </w:pPr>
                      <w:r w:rsidRPr="00DF12FB">
                        <w:rPr>
                          <w:b/>
                          <w:bCs/>
                          <w:sz w:val="12"/>
                          <w:szCs w:val="12"/>
                        </w:rPr>
                        <w:t>Secteur</w:t>
                      </w:r>
                    </w:p>
                  </w:txbxContent>
                </v:textbox>
                <w10:wrap anchorx="margin"/>
              </v:shape>
            </w:pict>
          </mc:Fallback>
        </mc:AlternateContent>
      </w:r>
      <w:r w:rsidR="00DF12FB" w:rsidRPr="00B433A3">
        <w:rPr>
          <w:noProof/>
          <w:lang w:val="en-US"/>
        </w:rPr>
        <mc:AlternateContent>
          <mc:Choice Requires="wps">
            <w:drawing>
              <wp:anchor distT="0" distB="0" distL="114300" distR="114300" simplePos="0" relativeHeight="251669504" behindDoc="0" locked="0" layoutInCell="1" allowOverlap="1" wp14:anchorId="02F2FCD1" wp14:editId="23B5380A">
                <wp:simplePos x="0" y="0"/>
                <wp:positionH relativeFrom="margin">
                  <wp:posOffset>132895</wp:posOffset>
                </wp:positionH>
                <wp:positionV relativeFrom="paragraph">
                  <wp:posOffset>171943</wp:posOffset>
                </wp:positionV>
                <wp:extent cx="2094932" cy="136477"/>
                <wp:effectExtent l="0" t="0" r="635" b="0"/>
                <wp:wrapNone/>
                <wp:docPr id="9" name="Text Box 9"/>
                <wp:cNvGraphicFramePr/>
                <a:graphic xmlns:a="http://schemas.openxmlformats.org/drawingml/2006/main">
                  <a:graphicData uri="http://schemas.microsoft.com/office/word/2010/wordprocessingShape">
                    <wps:wsp>
                      <wps:cNvSpPr txBox="1"/>
                      <wps:spPr>
                        <a:xfrm>
                          <a:off x="0" y="0"/>
                          <a:ext cx="2094932" cy="136477"/>
                        </a:xfrm>
                        <a:prstGeom prst="rect">
                          <a:avLst/>
                        </a:prstGeom>
                        <a:solidFill>
                          <a:schemeClr val="lt1"/>
                        </a:solidFill>
                        <a:ln w="6350">
                          <a:noFill/>
                        </a:ln>
                      </wps:spPr>
                      <wps:txbx>
                        <w:txbxContent>
                          <w:p w14:paraId="7DC64464" w14:textId="3EC5CA56" w:rsidR="007E7CB7" w:rsidRDefault="007E7CB7" w:rsidP="00DF12FB">
                            <w:pPr>
                              <w:spacing w:before="0"/>
                              <w:jc w:val="center"/>
                              <w:rPr>
                                <w:sz w:val="13"/>
                                <w:szCs w:val="13"/>
                                <w:lang w:val="fr-CH"/>
                              </w:rPr>
                            </w:pPr>
                            <w:r w:rsidRPr="00DF12FB">
                              <w:rPr>
                                <w:b/>
                                <w:bCs/>
                                <w:sz w:val="14"/>
                                <w:szCs w:val="14"/>
                              </w:rPr>
                              <w:t>Nombre net de membres par Secteur et par catégorie</w:t>
                            </w:r>
                          </w:p>
                        </w:txbxContent>
                      </wps:txbx>
                      <wps:bodyPr rot="0" spcFirstLastPara="0" vertOverflow="clip" horzOverflow="clip"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F2FCD1" id="Text Box 9" o:spid="_x0000_s1055" type="#_x0000_t202" style="position:absolute;margin-left:10.45pt;margin-top:13.55pt;width:164.95pt;height:1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" fillcolor="white [3201]" stroked="f" strokeweight=".5pt">
                <v:textbox inset="0,0,0,0">
                  <w:txbxContent>
                    <w:p w14:paraId="7DC64464" w14:textId="3EC5CA56" w:rsidR="007E7CB7" w:rsidRDefault="007E7CB7" w:rsidP="00DF12FB">
                      <w:pPr>
                        <w:spacing w:before="0"/>
                        <w:jc w:val="center"/>
                        <w:rPr>
                          <w:sz w:val="13"/>
                          <w:szCs w:val="13"/>
                          <w:lang w:val="fr-CH"/>
                        </w:rPr>
                      </w:pPr>
                      <w:r w:rsidRPr="00DF12FB">
                        <w:rPr>
                          <w:b/>
                          <w:bCs/>
                          <w:sz w:val="14"/>
                          <w:szCs w:val="14"/>
                        </w:rPr>
                        <w:t>Nombre net de membres par Secteur et par catégorie</w:t>
                      </w:r>
                    </w:p>
                  </w:txbxContent>
                </v:textbox>
                <w10:wrap anchorx="margin"/>
              </v:shape>
            </w:pict>
          </mc:Fallback>
        </mc:AlternateContent>
      </w:r>
      <w:r w:rsidR="005B6A9C" w:rsidRPr="00B433A3">
        <w:rPr>
          <w:noProof/>
          <w:lang w:val="en-US"/>
        </w:rPr>
        <w:drawing>
          <wp:inline distT="0" distB="0" distL="0" distR="0" wp14:anchorId="4D75216A" wp14:editId="57A28CCA">
            <wp:extent cx="6120765" cy="1998980"/>
            <wp:effectExtent l="19050" t="19050" r="13335" b="20320"/>
            <wp:docPr id="1" name="Picture 1" descr="Char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hart&#10;&#10;Description automatically generated with low confidence"/>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6120765" cy="1998980"/>
                    </a:xfrm>
                    <a:prstGeom prst="rect">
                      <a:avLst/>
                    </a:prstGeom>
                    <a:noFill/>
                    <a:ln w="9525" cmpd="sng">
                      <a:solidFill>
                        <a:srgbClr val="000000"/>
                      </a:solidFill>
                      <a:miter lim="800000"/>
                      <a:headEnd/>
                      <a:tailEnd/>
                    </a:ln>
                    <a:effectLst/>
                  </pic:spPr>
                </pic:pic>
              </a:graphicData>
            </a:graphic>
          </wp:inline>
        </w:drawing>
      </w:r>
    </w:p>
    <w:p w14:paraId="57ECCB5B" w14:textId="77777777" w:rsidR="005B6A9C" w:rsidRPr="00B433A3" w:rsidRDefault="005B6A9C" w:rsidP="00B8343E">
      <w:pPr>
        <w:pStyle w:val="Heading3"/>
      </w:pPr>
      <w:r w:rsidRPr="00B433A3">
        <w:t>8.5.2</w:t>
      </w:r>
      <w:r w:rsidRPr="00B433A3">
        <w:tab/>
      </w:r>
      <w:bookmarkStart w:id="239" w:name="lt_pId1396"/>
      <w:r w:rsidRPr="00B433A3">
        <w:t>Membres de l'UIT-R</w:t>
      </w:r>
      <w:bookmarkEnd w:id="239"/>
    </w:p>
    <w:p w14:paraId="32423801" w14:textId="77777777" w:rsidR="005B6A9C" w:rsidRPr="00B433A3" w:rsidRDefault="005B6A9C" w:rsidP="00B8343E">
      <w:bookmarkStart w:id="240" w:name="lt_pId1397"/>
      <w:r w:rsidRPr="00B433A3">
        <w:t>Le Tableau 8.5.2 indique l'évolution du nombre de Membres du Secteur de l'UIT-R, d'Associés et d'établissements universitaires ayant participé aux travaux de ce Secteur au cours de la période allant de 2017 à 2021.</w:t>
      </w:r>
      <w:bookmarkEnd w:id="240"/>
    </w:p>
    <w:p w14:paraId="316B3EF4" w14:textId="77777777" w:rsidR="005B6A9C" w:rsidRPr="00B433A3" w:rsidRDefault="005B6A9C" w:rsidP="00B8343E">
      <w:pPr>
        <w:pStyle w:val="TableNoBR"/>
      </w:pPr>
      <w:bookmarkStart w:id="241" w:name="lt_pId1398"/>
      <w:r w:rsidRPr="00B433A3">
        <w:t>Tableau 8.5.2</w:t>
      </w:r>
      <w:bookmarkEnd w:id="241"/>
    </w:p>
    <w:p w14:paraId="7A5AE024" w14:textId="77777777" w:rsidR="005B6A9C" w:rsidRPr="00B433A3" w:rsidRDefault="005B6A9C" w:rsidP="00B8343E">
      <w:pPr>
        <w:pStyle w:val="Tabletitle"/>
        <w:rPr>
          <w:lang w:val="fr-FR"/>
        </w:rPr>
      </w:pPr>
      <w:bookmarkStart w:id="242" w:name="lt_pId1399"/>
      <w:r w:rsidRPr="00B433A3">
        <w:rPr>
          <w:lang w:val="fr-FR"/>
        </w:rPr>
        <w:t>Évolution du nombre de Membres du Secteur de l'UIT-R depuis 201</w:t>
      </w:r>
      <w:bookmarkEnd w:id="242"/>
      <w:r w:rsidRPr="00B433A3">
        <w:rPr>
          <w:lang w:val="fr-FR"/>
        </w:rPr>
        <w:t>7</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2"/>
        <w:gridCol w:w="922"/>
        <w:gridCol w:w="877"/>
        <w:gridCol w:w="910"/>
        <w:gridCol w:w="922"/>
        <w:gridCol w:w="955"/>
        <w:gridCol w:w="1466"/>
        <w:gridCol w:w="1799"/>
      </w:tblGrid>
      <w:tr w:rsidR="005B6A9C" w:rsidRPr="00B433A3" w14:paraId="6AA5F122" w14:textId="77777777" w:rsidTr="00942C39">
        <w:trPr>
          <w:trHeight w:val="227"/>
        </w:trPr>
        <w:tc>
          <w:tcPr>
            <w:tcW w:w="1642" w:type="dxa"/>
            <w:tcBorders>
              <w:top w:val="single" w:sz="4" w:space="0" w:color="auto"/>
              <w:left w:val="single" w:sz="4" w:space="0" w:color="auto"/>
              <w:bottom w:val="single" w:sz="4" w:space="0" w:color="auto"/>
              <w:right w:val="single" w:sz="4" w:space="0" w:color="auto"/>
            </w:tcBorders>
            <w:hideMark/>
          </w:tcPr>
          <w:p w14:paraId="0B55CC8D" w14:textId="69B20539" w:rsidR="005B6A9C" w:rsidRPr="00B433A3" w:rsidRDefault="005B6A9C" w:rsidP="00B8343E">
            <w:pPr>
              <w:pStyle w:val="Tablehead"/>
              <w:rPr>
                <w:sz w:val="20"/>
                <w:lang w:eastAsia="zh-CN"/>
              </w:rPr>
            </w:pPr>
          </w:p>
        </w:tc>
        <w:tc>
          <w:tcPr>
            <w:tcW w:w="922" w:type="dxa"/>
            <w:tcBorders>
              <w:top w:val="single" w:sz="4" w:space="0" w:color="auto"/>
              <w:left w:val="single" w:sz="4" w:space="0" w:color="auto"/>
              <w:bottom w:val="single" w:sz="4" w:space="0" w:color="auto"/>
              <w:right w:val="single" w:sz="4" w:space="0" w:color="auto"/>
            </w:tcBorders>
            <w:hideMark/>
          </w:tcPr>
          <w:p w14:paraId="75950048" w14:textId="6D7F407C" w:rsidR="005B6A9C" w:rsidRPr="00B433A3" w:rsidRDefault="005B6A9C" w:rsidP="00B8343E">
            <w:pPr>
              <w:pStyle w:val="Tablehead"/>
              <w:rPr>
                <w:sz w:val="20"/>
                <w:lang w:eastAsia="zh-CN"/>
              </w:rPr>
            </w:pPr>
            <w:r w:rsidRPr="00B433A3">
              <w:rPr>
                <w:sz w:val="20"/>
                <w:lang w:eastAsia="zh-CN"/>
              </w:rPr>
              <w:t>2017</w:t>
            </w:r>
          </w:p>
        </w:tc>
        <w:tc>
          <w:tcPr>
            <w:tcW w:w="877" w:type="dxa"/>
            <w:tcBorders>
              <w:top w:val="single" w:sz="4" w:space="0" w:color="auto"/>
              <w:left w:val="single" w:sz="4" w:space="0" w:color="auto"/>
              <w:bottom w:val="single" w:sz="4" w:space="0" w:color="auto"/>
              <w:right w:val="single" w:sz="4" w:space="0" w:color="auto"/>
            </w:tcBorders>
            <w:hideMark/>
          </w:tcPr>
          <w:p w14:paraId="7038B9CC" w14:textId="77777777" w:rsidR="005B6A9C" w:rsidRPr="00B433A3" w:rsidRDefault="005B6A9C" w:rsidP="00B8343E">
            <w:pPr>
              <w:pStyle w:val="Tablehead"/>
              <w:rPr>
                <w:sz w:val="20"/>
                <w:lang w:eastAsia="zh-CN"/>
              </w:rPr>
            </w:pPr>
            <w:r w:rsidRPr="00B433A3">
              <w:rPr>
                <w:sz w:val="20"/>
                <w:lang w:eastAsia="zh-CN"/>
              </w:rPr>
              <w:t>2018</w:t>
            </w:r>
          </w:p>
        </w:tc>
        <w:tc>
          <w:tcPr>
            <w:tcW w:w="910" w:type="dxa"/>
            <w:tcBorders>
              <w:top w:val="single" w:sz="4" w:space="0" w:color="auto"/>
              <w:left w:val="single" w:sz="4" w:space="0" w:color="auto"/>
              <w:bottom w:val="single" w:sz="4" w:space="0" w:color="auto"/>
              <w:right w:val="single" w:sz="4" w:space="0" w:color="auto"/>
            </w:tcBorders>
            <w:hideMark/>
          </w:tcPr>
          <w:p w14:paraId="4B3CB9D3" w14:textId="77777777" w:rsidR="005B6A9C" w:rsidRPr="00B433A3" w:rsidRDefault="005B6A9C" w:rsidP="00B8343E">
            <w:pPr>
              <w:pStyle w:val="Tablehead"/>
              <w:rPr>
                <w:sz w:val="20"/>
                <w:lang w:eastAsia="zh-CN"/>
              </w:rPr>
            </w:pPr>
            <w:r w:rsidRPr="00B433A3">
              <w:rPr>
                <w:sz w:val="20"/>
                <w:lang w:eastAsia="zh-CN"/>
              </w:rPr>
              <w:t>2019</w:t>
            </w:r>
          </w:p>
        </w:tc>
        <w:tc>
          <w:tcPr>
            <w:tcW w:w="922" w:type="dxa"/>
            <w:tcBorders>
              <w:top w:val="single" w:sz="4" w:space="0" w:color="auto"/>
              <w:left w:val="single" w:sz="4" w:space="0" w:color="auto"/>
              <w:bottom w:val="single" w:sz="4" w:space="0" w:color="auto"/>
              <w:right w:val="single" w:sz="4" w:space="0" w:color="auto"/>
            </w:tcBorders>
            <w:hideMark/>
          </w:tcPr>
          <w:p w14:paraId="73B1B116" w14:textId="45D9BAA6" w:rsidR="005B6A9C" w:rsidRPr="00B433A3" w:rsidRDefault="005B6A9C" w:rsidP="00B8343E">
            <w:pPr>
              <w:pStyle w:val="Tablehead"/>
              <w:rPr>
                <w:sz w:val="20"/>
                <w:lang w:eastAsia="zh-CN"/>
              </w:rPr>
            </w:pPr>
            <w:r w:rsidRPr="00B433A3">
              <w:rPr>
                <w:sz w:val="20"/>
                <w:lang w:eastAsia="zh-CN"/>
              </w:rPr>
              <w:t>2020</w:t>
            </w:r>
          </w:p>
        </w:tc>
        <w:tc>
          <w:tcPr>
            <w:tcW w:w="955" w:type="dxa"/>
            <w:tcBorders>
              <w:top w:val="single" w:sz="4" w:space="0" w:color="auto"/>
              <w:left w:val="single" w:sz="4" w:space="0" w:color="auto"/>
              <w:bottom w:val="single" w:sz="4" w:space="0" w:color="auto"/>
              <w:right w:val="single" w:sz="4" w:space="0" w:color="auto"/>
            </w:tcBorders>
            <w:hideMark/>
          </w:tcPr>
          <w:p w14:paraId="02E3863E" w14:textId="77777777" w:rsidR="005B6A9C" w:rsidRPr="00B433A3" w:rsidRDefault="005B6A9C" w:rsidP="00B8343E">
            <w:pPr>
              <w:pStyle w:val="Tablehead"/>
              <w:rPr>
                <w:sz w:val="20"/>
                <w:lang w:eastAsia="zh-CN"/>
              </w:rPr>
            </w:pPr>
            <w:r w:rsidRPr="00B433A3">
              <w:rPr>
                <w:sz w:val="20"/>
                <w:lang w:eastAsia="zh-CN"/>
              </w:rPr>
              <w:t>2021</w:t>
            </w:r>
          </w:p>
        </w:tc>
        <w:tc>
          <w:tcPr>
            <w:tcW w:w="1466" w:type="dxa"/>
            <w:tcBorders>
              <w:top w:val="single" w:sz="4" w:space="0" w:color="auto"/>
              <w:left w:val="single" w:sz="4" w:space="0" w:color="auto"/>
              <w:bottom w:val="single" w:sz="4" w:space="0" w:color="auto"/>
              <w:right w:val="single" w:sz="4" w:space="0" w:color="auto"/>
            </w:tcBorders>
            <w:hideMark/>
          </w:tcPr>
          <w:p w14:paraId="6DA1A5B4" w14:textId="4B34AE48" w:rsidR="005B6A9C" w:rsidRPr="00B433A3" w:rsidRDefault="005B6A9C" w:rsidP="00B8343E">
            <w:pPr>
              <w:pStyle w:val="Tablehead"/>
              <w:rPr>
                <w:sz w:val="20"/>
                <w:lang w:eastAsia="zh-CN"/>
              </w:rPr>
            </w:pPr>
            <w:bookmarkStart w:id="243" w:name="lt_pId1404"/>
            <w:r w:rsidRPr="00B433A3">
              <w:rPr>
                <w:sz w:val="20"/>
                <w:lang w:eastAsia="zh-CN"/>
              </w:rPr>
              <w:t xml:space="preserve">2021 </w:t>
            </w:r>
            <w:r w:rsidR="00942C39" w:rsidRPr="00B433A3">
              <w:rPr>
                <w:sz w:val="20"/>
                <w:lang w:eastAsia="zh-CN"/>
              </w:rPr>
              <w:br/>
            </w:r>
            <w:r w:rsidRPr="00B433A3">
              <w:rPr>
                <w:sz w:val="20"/>
                <w:lang w:eastAsia="zh-CN"/>
              </w:rPr>
              <w:t>par rapport à 201</w:t>
            </w:r>
            <w:bookmarkEnd w:id="243"/>
            <w:r w:rsidRPr="00B433A3">
              <w:rPr>
                <w:sz w:val="20"/>
                <w:lang w:eastAsia="zh-CN"/>
              </w:rPr>
              <w:t>7</w:t>
            </w:r>
          </w:p>
        </w:tc>
        <w:tc>
          <w:tcPr>
            <w:tcW w:w="1799" w:type="dxa"/>
            <w:tcBorders>
              <w:top w:val="single" w:sz="4" w:space="0" w:color="auto"/>
              <w:left w:val="single" w:sz="4" w:space="0" w:color="auto"/>
              <w:bottom w:val="single" w:sz="4" w:space="0" w:color="auto"/>
              <w:right w:val="single" w:sz="4" w:space="0" w:color="auto"/>
            </w:tcBorders>
            <w:hideMark/>
          </w:tcPr>
          <w:p w14:paraId="6D5ED889" w14:textId="77777777" w:rsidR="005B6A9C" w:rsidRPr="00B433A3" w:rsidRDefault="005B6A9C" w:rsidP="00B8343E">
            <w:pPr>
              <w:pStyle w:val="Tablehead"/>
              <w:rPr>
                <w:sz w:val="20"/>
                <w:lang w:eastAsia="zh-CN"/>
              </w:rPr>
            </w:pPr>
            <w:bookmarkStart w:id="244" w:name="lt_pId1405"/>
            <w:r w:rsidRPr="00B433A3">
              <w:rPr>
                <w:sz w:val="20"/>
                <w:lang w:eastAsia="zh-CN"/>
              </w:rPr>
              <w:t>Augmentation en pourcentage</w:t>
            </w:r>
            <w:bookmarkEnd w:id="244"/>
          </w:p>
        </w:tc>
      </w:tr>
      <w:tr w:rsidR="005B6A9C" w:rsidRPr="00B433A3" w14:paraId="18FAC8CC" w14:textId="77777777" w:rsidTr="00942C39">
        <w:trPr>
          <w:trHeight w:val="300"/>
        </w:trPr>
        <w:tc>
          <w:tcPr>
            <w:tcW w:w="1642" w:type="dxa"/>
            <w:tcBorders>
              <w:top w:val="single" w:sz="4" w:space="0" w:color="auto"/>
              <w:left w:val="single" w:sz="4" w:space="0" w:color="auto"/>
              <w:bottom w:val="single" w:sz="4" w:space="0" w:color="auto"/>
              <w:right w:val="single" w:sz="4" w:space="0" w:color="auto"/>
            </w:tcBorders>
            <w:vAlign w:val="center"/>
            <w:hideMark/>
          </w:tcPr>
          <w:p w14:paraId="7B209ECF" w14:textId="59BB32B2" w:rsidR="005B6A9C" w:rsidRPr="00B433A3" w:rsidRDefault="005B6A9C" w:rsidP="00B8343E">
            <w:pPr>
              <w:pStyle w:val="Tabletext"/>
              <w:jc w:val="center"/>
              <w:rPr>
                <w:b/>
                <w:bCs/>
                <w:sz w:val="20"/>
                <w:lang w:eastAsia="zh-CN"/>
              </w:rPr>
            </w:pPr>
            <w:bookmarkStart w:id="245" w:name="lt_pId1406"/>
            <w:r w:rsidRPr="00B433A3">
              <w:rPr>
                <w:b/>
                <w:bCs/>
                <w:sz w:val="20"/>
                <w:lang w:eastAsia="zh-CN"/>
              </w:rPr>
              <w:t>Membres de Secteur</w:t>
            </w:r>
            <w:bookmarkEnd w:id="245"/>
          </w:p>
        </w:tc>
        <w:tc>
          <w:tcPr>
            <w:tcW w:w="922" w:type="dxa"/>
            <w:tcBorders>
              <w:top w:val="single" w:sz="4" w:space="0" w:color="auto"/>
              <w:left w:val="single" w:sz="4" w:space="0" w:color="auto"/>
              <w:bottom w:val="single" w:sz="4" w:space="0" w:color="auto"/>
              <w:right w:val="single" w:sz="4" w:space="0" w:color="auto"/>
            </w:tcBorders>
            <w:vAlign w:val="center"/>
            <w:hideMark/>
          </w:tcPr>
          <w:p w14:paraId="2D7955E6" w14:textId="6F6864F0" w:rsidR="005B6A9C" w:rsidRPr="00B433A3" w:rsidRDefault="005B6A9C" w:rsidP="00B8343E">
            <w:pPr>
              <w:pStyle w:val="Tabletext"/>
              <w:jc w:val="center"/>
              <w:rPr>
                <w:sz w:val="20"/>
                <w:lang w:eastAsia="zh-CN"/>
              </w:rPr>
            </w:pPr>
            <w:r w:rsidRPr="00B433A3">
              <w:rPr>
                <w:sz w:val="20"/>
                <w:lang w:eastAsia="zh-CN"/>
              </w:rPr>
              <w:t>266</w:t>
            </w:r>
          </w:p>
        </w:tc>
        <w:tc>
          <w:tcPr>
            <w:tcW w:w="877" w:type="dxa"/>
            <w:tcBorders>
              <w:top w:val="single" w:sz="4" w:space="0" w:color="auto"/>
              <w:left w:val="single" w:sz="4" w:space="0" w:color="auto"/>
              <w:bottom w:val="single" w:sz="4" w:space="0" w:color="auto"/>
              <w:right w:val="single" w:sz="4" w:space="0" w:color="auto"/>
            </w:tcBorders>
            <w:vAlign w:val="center"/>
            <w:hideMark/>
          </w:tcPr>
          <w:p w14:paraId="22E12535" w14:textId="12F52DDF" w:rsidR="005B6A9C" w:rsidRPr="00B433A3" w:rsidRDefault="005B6A9C" w:rsidP="00B8343E">
            <w:pPr>
              <w:pStyle w:val="Tabletext"/>
              <w:jc w:val="center"/>
              <w:rPr>
                <w:sz w:val="20"/>
                <w:lang w:eastAsia="zh-CN"/>
              </w:rPr>
            </w:pPr>
            <w:r w:rsidRPr="00B433A3">
              <w:rPr>
                <w:sz w:val="20"/>
                <w:lang w:eastAsia="zh-CN"/>
              </w:rPr>
              <w:t>264</w:t>
            </w:r>
          </w:p>
        </w:tc>
        <w:tc>
          <w:tcPr>
            <w:tcW w:w="910" w:type="dxa"/>
            <w:tcBorders>
              <w:top w:val="single" w:sz="4" w:space="0" w:color="auto"/>
              <w:left w:val="single" w:sz="4" w:space="0" w:color="auto"/>
              <w:bottom w:val="single" w:sz="4" w:space="0" w:color="auto"/>
              <w:right w:val="single" w:sz="4" w:space="0" w:color="auto"/>
            </w:tcBorders>
            <w:vAlign w:val="center"/>
            <w:hideMark/>
          </w:tcPr>
          <w:p w14:paraId="325D3520" w14:textId="62ED8007" w:rsidR="005B6A9C" w:rsidRPr="00B433A3" w:rsidRDefault="005B6A9C" w:rsidP="00B8343E">
            <w:pPr>
              <w:pStyle w:val="Tabletext"/>
              <w:jc w:val="center"/>
              <w:rPr>
                <w:sz w:val="20"/>
                <w:lang w:eastAsia="zh-CN"/>
              </w:rPr>
            </w:pPr>
            <w:r w:rsidRPr="00B433A3">
              <w:rPr>
                <w:sz w:val="20"/>
                <w:lang w:eastAsia="zh-CN"/>
              </w:rPr>
              <w:t>272</w:t>
            </w:r>
          </w:p>
        </w:tc>
        <w:tc>
          <w:tcPr>
            <w:tcW w:w="922" w:type="dxa"/>
            <w:tcBorders>
              <w:top w:val="single" w:sz="4" w:space="0" w:color="auto"/>
              <w:left w:val="single" w:sz="4" w:space="0" w:color="auto"/>
              <w:bottom w:val="single" w:sz="4" w:space="0" w:color="auto"/>
              <w:right w:val="single" w:sz="4" w:space="0" w:color="auto"/>
            </w:tcBorders>
            <w:vAlign w:val="center"/>
            <w:hideMark/>
          </w:tcPr>
          <w:p w14:paraId="3CCBE26B" w14:textId="77777777" w:rsidR="005B6A9C" w:rsidRPr="00B433A3" w:rsidRDefault="005B6A9C" w:rsidP="00B8343E">
            <w:pPr>
              <w:pStyle w:val="Tabletext"/>
              <w:jc w:val="center"/>
              <w:rPr>
                <w:sz w:val="20"/>
                <w:lang w:eastAsia="zh-CN"/>
              </w:rPr>
            </w:pPr>
            <w:r w:rsidRPr="00B433A3">
              <w:rPr>
                <w:sz w:val="20"/>
                <w:lang w:eastAsia="zh-CN"/>
              </w:rPr>
              <w:t>275</w:t>
            </w:r>
          </w:p>
        </w:tc>
        <w:tc>
          <w:tcPr>
            <w:tcW w:w="955" w:type="dxa"/>
            <w:tcBorders>
              <w:top w:val="single" w:sz="4" w:space="0" w:color="auto"/>
              <w:left w:val="single" w:sz="4" w:space="0" w:color="auto"/>
              <w:bottom w:val="single" w:sz="4" w:space="0" w:color="auto"/>
              <w:right w:val="single" w:sz="4" w:space="0" w:color="auto"/>
            </w:tcBorders>
            <w:vAlign w:val="center"/>
            <w:hideMark/>
          </w:tcPr>
          <w:p w14:paraId="74B9FBE2" w14:textId="77777777" w:rsidR="005B6A9C" w:rsidRPr="00B433A3" w:rsidRDefault="005B6A9C" w:rsidP="00B8343E">
            <w:pPr>
              <w:pStyle w:val="Tabletext"/>
              <w:jc w:val="center"/>
              <w:rPr>
                <w:sz w:val="20"/>
                <w:lang w:eastAsia="zh-CN"/>
              </w:rPr>
            </w:pPr>
            <w:r w:rsidRPr="00B433A3">
              <w:rPr>
                <w:sz w:val="20"/>
                <w:lang w:eastAsia="zh-CN"/>
              </w:rPr>
              <w:t>278</w:t>
            </w:r>
          </w:p>
        </w:tc>
        <w:tc>
          <w:tcPr>
            <w:tcW w:w="1466" w:type="dxa"/>
            <w:tcBorders>
              <w:top w:val="single" w:sz="4" w:space="0" w:color="auto"/>
              <w:left w:val="single" w:sz="4" w:space="0" w:color="auto"/>
              <w:bottom w:val="single" w:sz="4" w:space="0" w:color="auto"/>
              <w:right w:val="single" w:sz="4" w:space="0" w:color="auto"/>
            </w:tcBorders>
            <w:vAlign w:val="center"/>
            <w:hideMark/>
          </w:tcPr>
          <w:p w14:paraId="1E010537" w14:textId="77777777" w:rsidR="005B6A9C" w:rsidRPr="00B433A3" w:rsidRDefault="005B6A9C" w:rsidP="00B8343E">
            <w:pPr>
              <w:pStyle w:val="Tabletext"/>
              <w:jc w:val="center"/>
              <w:rPr>
                <w:sz w:val="20"/>
                <w:lang w:eastAsia="zh-CN"/>
              </w:rPr>
            </w:pPr>
            <w:r w:rsidRPr="00B433A3">
              <w:rPr>
                <w:sz w:val="20"/>
                <w:lang w:eastAsia="zh-CN"/>
              </w:rPr>
              <w:t>12</w:t>
            </w:r>
          </w:p>
        </w:tc>
        <w:tc>
          <w:tcPr>
            <w:tcW w:w="1799" w:type="dxa"/>
            <w:tcBorders>
              <w:top w:val="single" w:sz="4" w:space="0" w:color="auto"/>
              <w:left w:val="single" w:sz="4" w:space="0" w:color="auto"/>
              <w:bottom w:val="single" w:sz="4" w:space="0" w:color="auto"/>
              <w:right w:val="single" w:sz="4" w:space="0" w:color="auto"/>
            </w:tcBorders>
            <w:vAlign w:val="center"/>
            <w:hideMark/>
          </w:tcPr>
          <w:p w14:paraId="2831C90D" w14:textId="4C557957" w:rsidR="005B6A9C" w:rsidRPr="00B433A3" w:rsidRDefault="005B6A9C" w:rsidP="00B8343E">
            <w:pPr>
              <w:pStyle w:val="Tabletext"/>
              <w:jc w:val="center"/>
              <w:rPr>
                <w:sz w:val="20"/>
                <w:lang w:eastAsia="zh-CN"/>
              </w:rPr>
            </w:pPr>
            <w:r w:rsidRPr="00B433A3">
              <w:rPr>
                <w:sz w:val="20"/>
                <w:lang w:eastAsia="zh-CN"/>
              </w:rPr>
              <w:t>4,5%</w:t>
            </w:r>
          </w:p>
        </w:tc>
      </w:tr>
      <w:tr w:rsidR="005B6A9C" w:rsidRPr="00B433A3" w14:paraId="26BFB45E" w14:textId="77777777" w:rsidTr="00942C39">
        <w:trPr>
          <w:trHeight w:val="300"/>
        </w:trPr>
        <w:tc>
          <w:tcPr>
            <w:tcW w:w="1642" w:type="dxa"/>
            <w:tcBorders>
              <w:top w:val="single" w:sz="4" w:space="0" w:color="auto"/>
              <w:left w:val="single" w:sz="4" w:space="0" w:color="auto"/>
              <w:bottom w:val="single" w:sz="4" w:space="0" w:color="auto"/>
              <w:right w:val="single" w:sz="4" w:space="0" w:color="auto"/>
            </w:tcBorders>
            <w:vAlign w:val="center"/>
            <w:hideMark/>
          </w:tcPr>
          <w:p w14:paraId="67F6021D" w14:textId="58B3FC0E" w:rsidR="005B6A9C" w:rsidRPr="00B433A3" w:rsidRDefault="005B6A9C" w:rsidP="00B8343E">
            <w:pPr>
              <w:pStyle w:val="Tabletext"/>
              <w:jc w:val="center"/>
              <w:rPr>
                <w:b/>
                <w:bCs/>
                <w:sz w:val="20"/>
                <w:lang w:eastAsia="zh-CN"/>
              </w:rPr>
            </w:pPr>
            <w:bookmarkStart w:id="246" w:name="lt_pId1413"/>
            <w:r w:rsidRPr="00B433A3">
              <w:rPr>
                <w:b/>
                <w:bCs/>
                <w:sz w:val="20"/>
                <w:lang w:eastAsia="zh-CN"/>
              </w:rPr>
              <w:t>Associés</w:t>
            </w:r>
            <w:bookmarkEnd w:id="246"/>
          </w:p>
        </w:tc>
        <w:tc>
          <w:tcPr>
            <w:tcW w:w="922" w:type="dxa"/>
            <w:tcBorders>
              <w:top w:val="single" w:sz="4" w:space="0" w:color="auto"/>
              <w:left w:val="single" w:sz="4" w:space="0" w:color="auto"/>
              <w:bottom w:val="single" w:sz="4" w:space="0" w:color="auto"/>
              <w:right w:val="single" w:sz="4" w:space="0" w:color="auto"/>
            </w:tcBorders>
            <w:vAlign w:val="center"/>
            <w:hideMark/>
          </w:tcPr>
          <w:p w14:paraId="63BC01BA" w14:textId="061CCE8F" w:rsidR="005B6A9C" w:rsidRPr="00B433A3" w:rsidRDefault="005B6A9C" w:rsidP="00B8343E">
            <w:pPr>
              <w:pStyle w:val="Tabletext"/>
              <w:jc w:val="center"/>
              <w:rPr>
                <w:sz w:val="20"/>
                <w:lang w:eastAsia="zh-CN"/>
              </w:rPr>
            </w:pPr>
            <w:r w:rsidRPr="00B433A3">
              <w:rPr>
                <w:sz w:val="20"/>
                <w:lang w:eastAsia="zh-CN"/>
              </w:rPr>
              <w:t>21</w:t>
            </w:r>
          </w:p>
        </w:tc>
        <w:tc>
          <w:tcPr>
            <w:tcW w:w="877" w:type="dxa"/>
            <w:tcBorders>
              <w:top w:val="single" w:sz="4" w:space="0" w:color="auto"/>
              <w:left w:val="single" w:sz="4" w:space="0" w:color="auto"/>
              <w:bottom w:val="single" w:sz="4" w:space="0" w:color="auto"/>
              <w:right w:val="single" w:sz="4" w:space="0" w:color="auto"/>
            </w:tcBorders>
            <w:vAlign w:val="center"/>
            <w:hideMark/>
          </w:tcPr>
          <w:p w14:paraId="3E9B2BB0" w14:textId="1A2CF029" w:rsidR="005B6A9C" w:rsidRPr="00B433A3" w:rsidRDefault="005B6A9C" w:rsidP="00B8343E">
            <w:pPr>
              <w:pStyle w:val="Tabletext"/>
              <w:jc w:val="center"/>
              <w:rPr>
                <w:sz w:val="20"/>
                <w:lang w:eastAsia="zh-CN"/>
              </w:rPr>
            </w:pPr>
            <w:r w:rsidRPr="00B433A3">
              <w:rPr>
                <w:sz w:val="20"/>
                <w:lang w:eastAsia="zh-CN"/>
              </w:rPr>
              <w:t>20</w:t>
            </w:r>
          </w:p>
        </w:tc>
        <w:tc>
          <w:tcPr>
            <w:tcW w:w="910" w:type="dxa"/>
            <w:tcBorders>
              <w:top w:val="single" w:sz="4" w:space="0" w:color="auto"/>
              <w:left w:val="single" w:sz="4" w:space="0" w:color="auto"/>
              <w:bottom w:val="single" w:sz="4" w:space="0" w:color="auto"/>
              <w:right w:val="single" w:sz="4" w:space="0" w:color="auto"/>
            </w:tcBorders>
            <w:vAlign w:val="center"/>
            <w:hideMark/>
          </w:tcPr>
          <w:p w14:paraId="61E7E716" w14:textId="77777777" w:rsidR="005B6A9C" w:rsidRPr="00B433A3" w:rsidRDefault="005B6A9C" w:rsidP="00B8343E">
            <w:pPr>
              <w:pStyle w:val="Tabletext"/>
              <w:jc w:val="center"/>
              <w:rPr>
                <w:sz w:val="20"/>
                <w:lang w:eastAsia="zh-CN"/>
              </w:rPr>
            </w:pPr>
            <w:r w:rsidRPr="00B433A3">
              <w:rPr>
                <w:sz w:val="20"/>
                <w:lang w:eastAsia="zh-CN"/>
              </w:rPr>
              <w:t>21</w:t>
            </w:r>
          </w:p>
        </w:tc>
        <w:tc>
          <w:tcPr>
            <w:tcW w:w="922" w:type="dxa"/>
            <w:tcBorders>
              <w:top w:val="single" w:sz="4" w:space="0" w:color="auto"/>
              <w:left w:val="single" w:sz="4" w:space="0" w:color="auto"/>
              <w:bottom w:val="single" w:sz="4" w:space="0" w:color="auto"/>
              <w:right w:val="single" w:sz="4" w:space="0" w:color="auto"/>
            </w:tcBorders>
            <w:vAlign w:val="center"/>
            <w:hideMark/>
          </w:tcPr>
          <w:p w14:paraId="18992344" w14:textId="77777777" w:rsidR="005B6A9C" w:rsidRPr="00B433A3" w:rsidRDefault="005B6A9C" w:rsidP="00B8343E">
            <w:pPr>
              <w:pStyle w:val="Tabletext"/>
              <w:jc w:val="center"/>
              <w:rPr>
                <w:sz w:val="20"/>
                <w:lang w:eastAsia="zh-CN"/>
              </w:rPr>
            </w:pPr>
            <w:r w:rsidRPr="00B433A3">
              <w:rPr>
                <w:sz w:val="20"/>
                <w:lang w:eastAsia="zh-CN"/>
              </w:rPr>
              <w:t>22</w:t>
            </w:r>
          </w:p>
        </w:tc>
        <w:tc>
          <w:tcPr>
            <w:tcW w:w="955" w:type="dxa"/>
            <w:tcBorders>
              <w:top w:val="single" w:sz="4" w:space="0" w:color="auto"/>
              <w:left w:val="single" w:sz="4" w:space="0" w:color="auto"/>
              <w:bottom w:val="single" w:sz="4" w:space="0" w:color="auto"/>
              <w:right w:val="single" w:sz="4" w:space="0" w:color="auto"/>
            </w:tcBorders>
            <w:vAlign w:val="center"/>
            <w:hideMark/>
          </w:tcPr>
          <w:p w14:paraId="45EAAD3D" w14:textId="77777777" w:rsidR="005B6A9C" w:rsidRPr="00B433A3" w:rsidRDefault="005B6A9C" w:rsidP="00B8343E">
            <w:pPr>
              <w:pStyle w:val="Tabletext"/>
              <w:jc w:val="center"/>
              <w:rPr>
                <w:sz w:val="20"/>
                <w:lang w:eastAsia="zh-CN"/>
              </w:rPr>
            </w:pPr>
            <w:r w:rsidRPr="00B433A3">
              <w:rPr>
                <w:sz w:val="20"/>
                <w:lang w:eastAsia="zh-CN"/>
              </w:rPr>
              <w:t>28</w:t>
            </w:r>
          </w:p>
        </w:tc>
        <w:tc>
          <w:tcPr>
            <w:tcW w:w="1466" w:type="dxa"/>
            <w:tcBorders>
              <w:top w:val="single" w:sz="4" w:space="0" w:color="auto"/>
              <w:left w:val="single" w:sz="4" w:space="0" w:color="auto"/>
              <w:bottom w:val="single" w:sz="4" w:space="0" w:color="auto"/>
              <w:right w:val="single" w:sz="4" w:space="0" w:color="auto"/>
            </w:tcBorders>
            <w:vAlign w:val="center"/>
            <w:hideMark/>
          </w:tcPr>
          <w:p w14:paraId="5704C637" w14:textId="77777777" w:rsidR="005B6A9C" w:rsidRPr="00B433A3" w:rsidRDefault="005B6A9C" w:rsidP="00B8343E">
            <w:pPr>
              <w:pStyle w:val="Tabletext"/>
              <w:jc w:val="center"/>
              <w:rPr>
                <w:sz w:val="20"/>
                <w:lang w:eastAsia="zh-CN"/>
              </w:rPr>
            </w:pPr>
            <w:r w:rsidRPr="00B433A3">
              <w:rPr>
                <w:sz w:val="20"/>
                <w:lang w:eastAsia="zh-CN"/>
              </w:rPr>
              <w:t>7</w:t>
            </w:r>
          </w:p>
        </w:tc>
        <w:tc>
          <w:tcPr>
            <w:tcW w:w="1799" w:type="dxa"/>
            <w:tcBorders>
              <w:top w:val="single" w:sz="4" w:space="0" w:color="auto"/>
              <w:left w:val="single" w:sz="4" w:space="0" w:color="auto"/>
              <w:bottom w:val="single" w:sz="4" w:space="0" w:color="auto"/>
              <w:right w:val="single" w:sz="4" w:space="0" w:color="auto"/>
            </w:tcBorders>
            <w:vAlign w:val="center"/>
            <w:hideMark/>
          </w:tcPr>
          <w:p w14:paraId="6D3509A3" w14:textId="49060ED0" w:rsidR="005B6A9C" w:rsidRPr="00B433A3" w:rsidRDefault="005B6A9C" w:rsidP="00B8343E">
            <w:pPr>
              <w:pStyle w:val="Tabletext"/>
              <w:jc w:val="center"/>
              <w:rPr>
                <w:sz w:val="20"/>
                <w:lang w:eastAsia="zh-CN"/>
              </w:rPr>
            </w:pPr>
            <w:r w:rsidRPr="00B433A3">
              <w:rPr>
                <w:sz w:val="20"/>
                <w:lang w:eastAsia="zh-CN"/>
              </w:rPr>
              <w:t>33,3%</w:t>
            </w:r>
          </w:p>
        </w:tc>
      </w:tr>
      <w:tr w:rsidR="005B6A9C" w:rsidRPr="00B433A3" w14:paraId="763384F3" w14:textId="77777777" w:rsidTr="00942C39">
        <w:trPr>
          <w:trHeight w:val="315"/>
        </w:trPr>
        <w:tc>
          <w:tcPr>
            <w:tcW w:w="1642" w:type="dxa"/>
            <w:tcBorders>
              <w:top w:val="single" w:sz="4" w:space="0" w:color="auto"/>
              <w:left w:val="single" w:sz="4" w:space="0" w:color="auto"/>
              <w:bottom w:val="single" w:sz="4" w:space="0" w:color="auto"/>
              <w:right w:val="single" w:sz="4" w:space="0" w:color="auto"/>
            </w:tcBorders>
            <w:vAlign w:val="center"/>
            <w:hideMark/>
          </w:tcPr>
          <w:p w14:paraId="23774142" w14:textId="08732B11" w:rsidR="005B6A9C" w:rsidRPr="00B433A3" w:rsidRDefault="005B6A9C" w:rsidP="00B8343E">
            <w:pPr>
              <w:pStyle w:val="Tabletext"/>
              <w:jc w:val="center"/>
              <w:rPr>
                <w:b/>
                <w:bCs/>
                <w:sz w:val="20"/>
                <w:lang w:eastAsia="zh-CN"/>
              </w:rPr>
            </w:pPr>
            <w:r w:rsidRPr="00B433A3">
              <w:rPr>
                <w:b/>
                <w:bCs/>
                <w:sz w:val="20"/>
                <w:lang w:eastAsia="zh-CN"/>
              </w:rPr>
              <w:t>Établissements universitaires*</w:t>
            </w:r>
          </w:p>
        </w:tc>
        <w:tc>
          <w:tcPr>
            <w:tcW w:w="922" w:type="dxa"/>
            <w:tcBorders>
              <w:top w:val="single" w:sz="4" w:space="0" w:color="auto"/>
              <w:left w:val="single" w:sz="4" w:space="0" w:color="auto"/>
              <w:bottom w:val="single" w:sz="4" w:space="0" w:color="auto"/>
              <w:right w:val="single" w:sz="4" w:space="0" w:color="auto"/>
            </w:tcBorders>
            <w:vAlign w:val="center"/>
            <w:hideMark/>
          </w:tcPr>
          <w:p w14:paraId="310F42EA" w14:textId="77777777" w:rsidR="005B6A9C" w:rsidRPr="00B433A3" w:rsidRDefault="005B6A9C" w:rsidP="00B8343E">
            <w:pPr>
              <w:pStyle w:val="Tabletext"/>
              <w:jc w:val="center"/>
              <w:rPr>
                <w:sz w:val="20"/>
                <w:lang w:eastAsia="zh-CN"/>
              </w:rPr>
            </w:pPr>
            <w:r w:rsidRPr="00B433A3">
              <w:rPr>
                <w:sz w:val="20"/>
                <w:lang w:eastAsia="zh-CN"/>
              </w:rPr>
              <w:t>119</w:t>
            </w:r>
          </w:p>
        </w:tc>
        <w:tc>
          <w:tcPr>
            <w:tcW w:w="877" w:type="dxa"/>
            <w:tcBorders>
              <w:top w:val="single" w:sz="4" w:space="0" w:color="auto"/>
              <w:left w:val="single" w:sz="4" w:space="0" w:color="auto"/>
              <w:bottom w:val="single" w:sz="4" w:space="0" w:color="auto"/>
              <w:right w:val="single" w:sz="4" w:space="0" w:color="auto"/>
            </w:tcBorders>
            <w:vAlign w:val="center"/>
            <w:hideMark/>
          </w:tcPr>
          <w:p w14:paraId="3186DEDB" w14:textId="4547D510" w:rsidR="005B6A9C" w:rsidRPr="00B433A3" w:rsidRDefault="005B6A9C" w:rsidP="00B8343E">
            <w:pPr>
              <w:pStyle w:val="Tabletext"/>
              <w:jc w:val="center"/>
              <w:rPr>
                <w:sz w:val="20"/>
                <w:lang w:eastAsia="zh-CN"/>
              </w:rPr>
            </w:pPr>
            <w:r w:rsidRPr="00B433A3">
              <w:rPr>
                <w:sz w:val="20"/>
                <w:lang w:eastAsia="zh-CN"/>
              </w:rPr>
              <w:t>147</w:t>
            </w:r>
          </w:p>
        </w:tc>
        <w:tc>
          <w:tcPr>
            <w:tcW w:w="910" w:type="dxa"/>
            <w:tcBorders>
              <w:top w:val="single" w:sz="4" w:space="0" w:color="auto"/>
              <w:left w:val="single" w:sz="4" w:space="0" w:color="auto"/>
              <w:bottom w:val="single" w:sz="4" w:space="0" w:color="auto"/>
              <w:right w:val="single" w:sz="4" w:space="0" w:color="auto"/>
            </w:tcBorders>
            <w:vAlign w:val="center"/>
            <w:hideMark/>
          </w:tcPr>
          <w:p w14:paraId="1E2034DA" w14:textId="6FC58EE4" w:rsidR="005B6A9C" w:rsidRPr="00B433A3" w:rsidRDefault="005B6A9C" w:rsidP="00B8343E">
            <w:pPr>
              <w:pStyle w:val="Tabletext"/>
              <w:jc w:val="center"/>
              <w:rPr>
                <w:sz w:val="20"/>
                <w:lang w:eastAsia="zh-CN"/>
              </w:rPr>
            </w:pPr>
            <w:r w:rsidRPr="00B433A3">
              <w:rPr>
                <w:sz w:val="20"/>
                <w:lang w:eastAsia="zh-CN"/>
              </w:rPr>
              <w:t>156</w:t>
            </w:r>
          </w:p>
        </w:tc>
        <w:tc>
          <w:tcPr>
            <w:tcW w:w="922" w:type="dxa"/>
            <w:tcBorders>
              <w:top w:val="single" w:sz="4" w:space="0" w:color="auto"/>
              <w:left w:val="single" w:sz="4" w:space="0" w:color="auto"/>
              <w:bottom w:val="single" w:sz="4" w:space="0" w:color="auto"/>
              <w:right w:val="single" w:sz="4" w:space="0" w:color="auto"/>
            </w:tcBorders>
            <w:vAlign w:val="center"/>
            <w:hideMark/>
          </w:tcPr>
          <w:p w14:paraId="54985900" w14:textId="77777777" w:rsidR="005B6A9C" w:rsidRPr="00B433A3" w:rsidRDefault="005B6A9C" w:rsidP="00B8343E">
            <w:pPr>
              <w:pStyle w:val="Tabletext"/>
              <w:jc w:val="center"/>
              <w:rPr>
                <w:sz w:val="20"/>
                <w:lang w:eastAsia="zh-CN"/>
              </w:rPr>
            </w:pPr>
            <w:r w:rsidRPr="00B433A3">
              <w:rPr>
                <w:sz w:val="20"/>
                <w:lang w:eastAsia="zh-CN"/>
              </w:rPr>
              <w:t>161</w:t>
            </w:r>
          </w:p>
        </w:tc>
        <w:tc>
          <w:tcPr>
            <w:tcW w:w="955" w:type="dxa"/>
            <w:tcBorders>
              <w:top w:val="single" w:sz="4" w:space="0" w:color="auto"/>
              <w:left w:val="single" w:sz="4" w:space="0" w:color="auto"/>
              <w:bottom w:val="single" w:sz="4" w:space="0" w:color="auto"/>
              <w:right w:val="single" w:sz="4" w:space="0" w:color="auto"/>
            </w:tcBorders>
            <w:vAlign w:val="center"/>
            <w:hideMark/>
          </w:tcPr>
          <w:p w14:paraId="739B2B9D" w14:textId="77777777" w:rsidR="005B6A9C" w:rsidRPr="00B433A3" w:rsidRDefault="005B6A9C" w:rsidP="00B8343E">
            <w:pPr>
              <w:pStyle w:val="Tabletext"/>
              <w:jc w:val="center"/>
              <w:rPr>
                <w:sz w:val="20"/>
                <w:lang w:eastAsia="zh-CN"/>
              </w:rPr>
            </w:pPr>
            <w:r w:rsidRPr="00B433A3">
              <w:rPr>
                <w:sz w:val="20"/>
                <w:lang w:eastAsia="zh-CN"/>
              </w:rPr>
              <w:t>161</w:t>
            </w:r>
          </w:p>
        </w:tc>
        <w:tc>
          <w:tcPr>
            <w:tcW w:w="1466" w:type="dxa"/>
            <w:tcBorders>
              <w:top w:val="single" w:sz="4" w:space="0" w:color="auto"/>
              <w:left w:val="single" w:sz="4" w:space="0" w:color="auto"/>
              <w:bottom w:val="single" w:sz="4" w:space="0" w:color="auto"/>
              <w:right w:val="single" w:sz="4" w:space="0" w:color="auto"/>
            </w:tcBorders>
            <w:vAlign w:val="center"/>
            <w:hideMark/>
          </w:tcPr>
          <w:p w14:paraId="22E52557" w14:textId="0907B6FE" w:rsidR="005B6A9C" w:rsidRPr="00B433A3" w:rsidRDefault="005B6A9C" w:rsidP="00B8343E">
            <w:pPr>
              <w:pStyle w:val="Tabletext"/>
              <w:jc w:val="center"/>
              <w:rPr>
                <w:sz w:val="20"/>
                <w:lang w:eastAsia="zh-CN"/>
              </w:rPr>
            </w:pPr>
            <w:r w:rsidRPr="00B433A3">
              <w:rPr>
                <w:sz w:val="20"/>
                <w:lang w:eastAsia="zh-CN"/>
              </w:rPr>
              <w:t>42</w:t>
            </w:r>
          </w:p>
        </w:tc>
        <w:tc>
          <w:tcPr>
            <w:tcW w:w="1799" w:type="dxa"/>
            <w:tcBorders>
              <w:top w:val="single" w:sz="4" w:space="0" w:color="auto"/>
              <w:left w:val="single" w:sz="4" w:space="0" w:color="auto"/>
              <w:bottom w:val="single" w:sz="4" w:space="0" w:color="auto"/>
              <w:right w:val="single" w:sz="4" w:space="0" w:color="auto"/>
            </w:tcBorders>
            <w:vAlign w:val="center"/>
            <w:hideMark/>
          </w:tcPr>
          <w:p w14:paraId="4BD64575" w14:textId="0803F2FD" w:rsidR="005B6A9C" w:rsidRPr="00B433A3" w:rsidRDefault="005B6A9C" w:rsidP="00B8343E">
            <w:pPr>
              <w:pStyle w:val="Tabletext"/>
              <w:jc w:val="center"/>
              <w:rPr>
                <w:sz w:val="20"/>
                <w:lang w:eastAsia="zh-CN"/>
              </w:rPr>
            </w:pPr>
            <w:r w:rsidRPr="00B433A3">
              <w:rPr>
                <w:sz w:val="20"/>
                <w:lang w:eastAsia="zh-CN"/>
              </w:rPr>
              <w:t>35,2%</w:t>
            </w:r>
          </w:p>
        </w:tc>
      </w:tr>
    </w:tbl>
    <w:p w14:paraId="31804A40" w14:textId="2EECE5A4" w:rsidR="005B6A9C" w:rsidRPr="00B433A3" w:rsidRDefault="00942C39" w:rsidP="00B8343E">
      <w:pPr>
        <w:pStyle w:val="Tabletext"/>
        <w:spacing w:before="120"/>
        <w:rPr>
          <w:sz w:val="18"/>
          <w:szCs w:val="18"/>
        </w:rPr>
      </w:pPr>
      <w:r w:rsidRPr="00B433A3">
        <w:rPr>
          <w:sz w:val="18"/>
          <w:szCs w:val="18"/>
        </w:rPr>
        <w:t>*</w:t>
      </w:r>
      <w:r w:rsidRPr="00B433A3">
        <w:rPr>
          <w:sz w:val="18"/>
          <w:szCs w:val="18"/>
        </w:rPr>
        <w:tab/>
      </w:r>
      <w:r w:rsidR="005B6A9C" w:rsidRPr="00B433A3">
        <w:rPr>
          <w:sz w:val="18"/>
          <w:szCs w:val="18"/>
        </w:rPr>
        <w:t>En vertu d'une décision de la PP-14, les établissements universitaires participent aux travaux des trois Secteurs de l'UIT</w:t>
      </w:r>
      <w:r w:rsidRPr="00B433A3">
        <w:rPr>
          <w:sz w:val="18"/>
          <w:szCs w:val="18"/>
        </w:rPr>
        <w:t>.</w:t>
      </w:r>
    </w:p>
    <w:p w14:paraId="0FD637F7" w14:textId="36B8866E" w:rsidR="008129B7" w:rsidRPr="00B433A3" w:rsidRDefault="008129B7" w:rsidP="00B8343E">
      <w:pPr>
        <w:pStyle w:val="Heading3"/>
      </w:pPr>
      <w:r w:rsidRPr="00B433A3">
        <w:t>8.6</w:t>
      </w:r>
      <w:r w:rsidRPr="00B433A3">
        <w:tab/>
        <w:t>Communication et promotion</w:t>
      </w:r>
    </w:p>
    <w:p w14:paraId="21AD495A" w14:textId="058D111D" w:rsidR="005B6A9C" w:rsidRPr="00B433A3" w:rsidRDefault="005B6A9C" w:rsidP="00B8343E">
      <w:pPr>
        <w:pStyle w:val="Heading3"/>
        <w:rPr>
          <w:i/>
          <w:iCs/>
        </w:rPr>
      </w:pPr>
      <w:r w:rsidRPr="00B433A3">
        <w:t>8.6.1</w:t>
      </w:r>
      <w:r w:rsidRPr="00B433A3">
        <w:tab/>
      </w:r>
      <w:bookmarkStart w:id="247" w:name="lt_pId1431"/>
      <w:r w:rsidRPr="00B433A3">
        <w:t>Site web</w:t>
      </w:r>
      <w:bookmarkEnd w:id="247"/>
    </w:p>
    <w:p w14:paraId="0FE3BBD8" w14:textId="1131DB9F" w:rsidR="005B6A9C" w:rsidRPr="00B433A3" w:rsidRDefault="005B6A9C" w:rsidP="00B8343E">
      <w:pPr>
        <w:rPr>
          <w:szCs w:val="24"/>
        </w:rPr>
      </w:pPr>
      <w:bookmarkStart w:id="248" w:name="lt_pId1432"/>
      <w:r w:rsidRPr="00B433A3">
        <w:rPr>
          <w:szCs w:val="24"/>
        </w:rPr>
        <w:t>Le BR a achevé les améliorations, les mises à jour et les traductions des menus sur le site web de l'UIT-R, en suivant les lignes directrices relatives à l'harmonisation, au niveau des Secteurs, des rubriques web.</w:t>
      </w:r>
      <w:bookmarkEnd w:id="248"/>
      <w:r w:rsidRPr="00B433A3">
        <w:rPr>
          <w:szCs w:val="24"/>
        </w:rPr>
        <w:t xml:space="preserve"> </w:t>
      </w:r>
      <w:bookmarkStart w:id="249" w:name="lt_pId1433"/>
      <w:r w:rsidRPr="00B433A3">
        <w:rPr>
          <w:szCs w:val="24"/>
        </w:rPr>
        <w:t>Ces travaux ont été présentés à la réunion du Groupe de travail du Conseil sur l'utilisation des langues (GTC-LANG) tenue le 5 février 2021.</w:t>
      </w:r>
      <w:bookmarkStart w:id="250" w:name="lt_pId1434"/>
      <w:bookmarkEnd w:id="249"/>
    </w:p>
    <w:p w14:paraId="2EA9FF26" w14:textId="70DE52FF" w:rsidR="005B6A9C" w:rsidRPr="00B433A3" w:rsidRDefault="005B6A9C" w:rsidP="00B8343E">
      <w:pPr>
        <w:rPr>
          <w:szCs w:val="24"/>
        </w:rPr>
      </w:pPr>
      <w:r w:rsidRPr="00B433A3">
        <w:rPr>
          <w:szCs w:val="24"/>
        </w:rPr>
        <w:t xml:space="preserve">Le Tableau 8.6-1 ci-dessous indique la situation actuelle de la traduction de toutes les pages web du </w:t>
      </w:r>
      <w:hyperlink r:id="rId51" w:history="1">
        <w:r w:rsidRPr="00B433A3">
          <w:rPr>
            <w:rStyle w:val="Hyperlink"/>
            <w:szCs w:val="24"/>
          </w:rPr>
          <w:t>site web de l'UIT-R</w:t>
        </w:r>
      </w:hyperlink>
      <w:r w:rsidRPr="00B433A3">
        <w:rPr>
          <w:rStyle w:val="Hyperlink"/>
          <w:szCs w:val="24"/>
        </w:rPr>
        <w:t xml:space="preserve"> </w:t>
      </w:r>
      <w:r w:rsidRPr="00B433A3">
        <w:t>aux niveaux 0 et 1 et leur mise à disposition dans les six langues officielles de l'UIT.</w:t>
      </w:r>
      <w:bookmarkEnd w:id="250"/>
      <w:r w:rsidRPr="00B433A3">
        <w:rPr>
          <w:szCs w:val="24"/>
        </w:rPr>
        <w:t xml:space="preserve"> </w:t>
      </w:r>
      <w:bookmarkStart w:id="251" w:name="lt_pId1435"/>
      <w:r w:rsidRPr="00B433A3">
        <w:rPr>
          <w:szCs w:val="24"/>
        </w:rPr>
        <w:t>Les chiffres du tableau indiquent le nombre de pages d'accueil</w:t>
      </w:r>
      <w:r w:rsidR="00F5440D" w:rsidRPr="00B433A3">
        <w:rPr>
          <w:szCs w:val="24"/>
        </w:rPr>
        <w:t xml:space="preserve"> des différents départements du </w:t>
      </w:r>
      <w:r w:rsidRPr="00B433A3">
        <w:rPr>
          <w:szCs w:val="24"/>
        </w:rPr>
        <w:t>BR (niveau 0) et le nombre de pages qui sont accessibles via un clic seulement (niveau 1).</w:t>
      </w:r>
      <w:bookmarkEnd w:id="251"/>
    </w:p>
    <w:p w14:paraId="4AAE18B0" w14:textId="77777777" w:rsidR="005B6A9C" w:rsidRPr="00B433A3" w:rsidRDefault="005B6A9C" w:rsidP="00B8343E">
      <w:pPr>
        <w:pStyle w:val="TableNoBR"/>
      </w:pPr>
      <w:r w:rsidRPr="00B433A3">
        <w:lastRenderedPageBreak/>
        <w:t>TabLEAU 8.6.1-1</w:t>
      </w:r>
    </w:p>
    <w:p w14:paraId="13F60782" w14:textId="77777777" w:rsidR="005B6A9C" w:rsidRPr="00B433A3" w:rsidRDefault="005B6A9C" w:rsidP="00B8343E">
      <w:pPr>
        <w:pStyle w:val="Tabletitle"/>
        <w:rPr>
          <w:sz w:val="24"/>
          <w:szCs w:val="24"/>
          <w:lang w:val="fr-FR"/>
        </w:rPr>
      </w:pPr>
      <w:bookmarkStart w:id="252" w:name="lt_pId1437"/>
      <w:r w:rsidRPr="00B433A3">
        <w:rPr>
          <w:sz w:val="24"/>
          <w:szCs w:val="24"/>
          <w:lang w:val="fr-FR"/>
        </w:rPr>
        <w:t xml:space="preserve">Statistiques concernant la mise à disposition des pages web de l'UIT-R </w:t>
      </w:r>
      <w:r w:rsidRPr="00B433A3">
        <w:rPr>
          <w:sz w:val="24"/>
          <w:szCs w:val="24"/>
          <w:lang w:val="fr-FR"/>
        </w:rPr>
        <w:br/>
        <w:t>dans les différentes langues</w:t>
      </w:r>
      <w:bookmarkEnd w:id="252"/>
    </w:p>
    <w:tbl>
      <w:tblPr>
        <w:tblStyle w:val="GridTable5Dark-Accent11"/>
        <w:tblW w:w="9630" w:type="dxa"/>
        <w:jc w:val="center"/>
        <w:tblLayout w:type="fixed"/>
        <w:tblLook w:val="04A0" w:firstRow="1" w:lastRow="0" w:firstColumn="1" w:lastColumn="0" w:noHBand="0" w:noVBand="1"/>
      </w:tblPr>
      <w:tblGrid>
        <w:gridCol w:w="850"/>
        <w:gridCol w:w="3881"/>
        <w:gridCol w:w="819"/>
        <w:gridCol w:w="819"/>
        <w:gridCol w:w="818"/>
        <w:gridCol w:w="819"/>
        <w:gridCol w:w="818"/>
        <w:gridCol w:w="806"/>
      </w:tblGrid>
      <w:tr w:rsidR="005B6A9C" w:rsidRPr="00B433A3" w14:paraId="26F9BC2C" w14:textId="77777777" w:rsidTr="001742A2">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4735" w:type="dxa"/>
            <w:gridSpan w:val="2"/>
            <w:vMerge w:val="restart"/>
            <w:tcBorders>
              <w:bottom w:val="single" w:sz="4" w:space="0" w:color="FFFFFF" w:themeColor="background1"/>
            </w:tcBorders>
            <w:noWrap/>
            <w:hideMark/>
          </w:tcPr>
          <w:p w14:paraId="608ACB75" w14:textId="77777777" w:rsidR="005B6A9C" w:rsidRPr="00B433A3" w:rsidRDefault="005B6A9C" w:rsidP="00B8343E">
            <w:pPr>
              <w:pStyle w:val="Tabletext"/>
            </w:pPr>
          </w:p>
        </w:tc>
        <w:tc>
          <w:tcPr>
            <w:tcW w:w="4899" w:type="dxa"/>
            <w:gridSpan w:val="6"/>
            <w:tcBorders>
              <w:bottom w:val="single" w:sz="4" w:space="0" w:color="FFFFFF" w:themeColor="background1"/>
            </w:tcBorders>
            <w:vAlign w:val="center"/>
            <w:hideMark/>
          </w:tcPr>
          <w:p w14:paraId="47AC4169" w14:textId="051B2D70" w:rsidR="005B6A9C" w:rsidRPr="00B433A3" w:rsidRDefault="005B6A9C" w:rsidP="00B8343E">
            <w:pPr>
              <w:pStyle w:val="Tabletext"/>
              <w:jc w:val="center"/>
              <w:cnfStyle w:val="100000000000" w:firstRow="1" w:lastRow="0" w:firstColumn="0" w:lastColumn="0" w:oddVBand="0" w:evenVBand="0" w:oddHBand="0" w:evenHBand="0" w:firstRowFirstColumn="0" w:firstRowLastColumn="0" w:lastRowFirstColumn="0" w:lastRowLastColumn="0"/>
              <w:rPr>
                <w:sz w:val="20"/>
                <w:lang w:eastAsia="zh-CN"/>
              </w:rPr>
            </w:pPr>
            <w:bookmarkStart w:id="253" w:name="lt_pId1438"/>
            <w:r w:rsidRPr="00B433A3">
              <w:rPr>
                <w:sz w:val="20"/>
                <w:lang w:eastAsia="zh-CN"/>
              </w:rPr>
              <w:t>Situation de la traduction des pages web de l'UIT-R pour les niveaux 0+1</w:t>
            </w:r>
            <w:bookmarkEnd w:id="253"/>
          </w:p>
          <w:p w14:paraId="3656474A" w14:textId="77777777" w:rsidR="005B6A9C" w:rsidRPr="00B433A3" w:rsidRDefault="005B6A9C" w:rsidP="00B8343E">
            <w:pPr>
              <w:pStyle w:val="Tabletext"/>
              <w:jc w:val="center"/>
              <w:cnfStyle w:val="100000000000" w:firstRow="1" w:lastRow="0" w:firstColumn="0" w:lastColumn="0" w:oddVBand="0" w:evenVBand="0" w:oddHBand="0" w:evenHBand="0" w:firstRowFirstColumn="0" w:firstRowLastColumn="0" w:lastRowFirstColumn="0" w:lastRowLastColumn="0"/>
              <w:rPr>
                <w:sz w:val="20"/>
                <w:lang w:eastAsia="zh-CN"/>
              </w:rPr>
            </w:pPr>
            <w:bookmarkStart w:id="254" w:name="lt_pId1439"/>
            <w:r w:rsidRPr="00B433A3">
              <w:rPr>
                <w:sz w:val="20"/>
                <w:lang w:eastAsia="zh-CN"/>
              </w:rPr>
              <w:t>(</w:t>
            </w:r>
            <w:proofErr w:type="gramStart"/>
            <w:r w:rsidRPr="00B433A3">
              <w:rPr>
                <w:sz w:val="20"/>
                <w:lang w:eastAsia="zh-CN"/>
              </w:rPr>
              <w:t>au</w:t>
            </w:r>
            <w:proofErr w:type="gramEnd"/>
            <w:r w:rsidRPr="00B433A3">
              <w:rPr>
                <w:sz w:val="20"/>
                <w:lang w:eastAsia="zh-CN"/>
              </w:rPr>
              <w:t xml:space="preserve"> 1er trimestre/2022)</w:t>
            </w:r>
            <w:bookmarkEnd w:id="254"/>
          </w:p>
        </w:tc>
      </w:tr>
      <w:tr w:rsidR="005B6A9C" w:rsidRPr="00B433A3" w14:paraId="63FC4E8F" w14:textId="77777777" w:rsidTr="001742A2">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8619" w:type="dxa"/>
            <w:gridSpan w:val="2"/>
            <w:vMerge/>
            <w:tcBorders>
              <w:top w:val="single" w:sz="4" w:space="0" w:color="FFFFFF" w:themeColor="background1"/>
              <w:bottom w:val="single" w:sz="4" w:space="0" w:color="FFFFFF" w:themeColor="background1"/>
              <w:right w:val="nil"/>
            </w:tcBorders>
            <w:vAlign w:val="center"/>
            <w:hideMark/>
          </w:tcPr>
          <w:p w14:paraId="55B4B91A" w14:textId="77777777" w:rsidR="005B6A9C" w:rsidRPr="00B433A3" w:rsidRDefault="005B6A9C" w:rsidP="00B8343E">
            <w:pPr>
              <w:pStyle w:val="Tabletext"/>
            </w:pPr>
          </w:p>
        </w:tc>
        <w:tc>
          <w:tcPr>
            <w:tcW w:w="81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vAlign w:val="center"/>
            <w:hideMark/>
          </w:tcPr>
          <w:p w14:paraId="112E017A" w14:textId="77777777" w:rsidR="005B6A9C" w:rsidRPr="00B433A3" w:rsidRDefault="005B6A9C" w:rsidP="00B8343E">
            <w:pPr>
              <w:pStyle w:val="Tabletext"/>
              <w:jc w:val="center"/>
              <w:cnfStyle w:val="000000100000" w:firstRow="0" w:lastRow="0" w:firstColumn="0" w:lastColumn="0" w:oddVBand="0" w:evenVBand="0" w:oddHBand="1" w:evenHBand="0" w:firstRowFirstColumn="0" w:firstRowLastColumn="0" w:lastRowFirstColumn="0" w:lastRowLastColumn="0"/>
              <w:rPr>
                <w:sz w:val="20"/>
                <w:lang w:eastAsia="zh-CN"/>
              </w:rPr>
            </w:pPr>
            <w:bookmarkStart w:id="255" w:name="lt_pId1440"/>
            <w:r w:rsidRPr="00B433A3">
              <w:rPr>
                <w:sz w:val="20"/>
                <w:lang w:eastAsia="zh-CN"/>
              </w:rPr>
              <w:t>E</w:t>
            </w:r>
            <w:bookmarkEnd w:id="255"/>
          </w:p>
        </w:tc>
        <w:tc>
          <w:tcPr>
            <w:tcW w:w="81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vAlign w:val="center"/>
            <w:hideMark/>
          </w:tcPr>
          <w:p w14:paraId="2CFB4F6E" w14:textId="77777777" w:rsidR="005B6A9C" w:rsidRPr="00B433A3" w:rsidRDefault="005B6A9C" w:rsidP="00B8343E">
            <w:pPr>
              <w:pStyle w:val="Tabletext"/>
              <w:jc w:val="center"/>
              <w:cnfStyle w:val="000000100000" w:firstRow="0" w:lastRow="0" w:firstColumn="0" w:lastColumn="0" w:oddVBand="0" w:evenVBand="0" w:oddHBand="1" w:evenHBand="0" w:firstRowFirstColumn="0" w:firstRowLastColumn="0" w:lastRowFirstColumn="0" w:lastRowLastColumn="0"/>
              <w:rPr>
                <w:sz w:val="20"/>
                <w:lang w:eastAsia="zh-CN"/>
              </w:rPr>
            </w:pPr>
            <w:bookmarkStart w:id="256" w:name="lt_pId1441"/>
            <w:r w:rsidRPr="00B433A3">
              <w:rPr>
                <w:sz w:val="20"/>
                <w:lang w:eastAsia="zh-CN"/>
              </w:rPr>
              <w:t>F</w:t>
            </w:r>
            <w:bookmarkEnd w:id="256"/>
          </w:p>
        </w:tc>
        <w:tc>
          <w:tcPr>
            <w:tcW w:w="8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vAlign w:val="center"/>
            <w:hideMark/>
          </w:tcPr>
          <w:p w14:paraId="40230BF2" w14:textId="77777777" w:rsidR="005B6A9C" w:rsidRPr="00B433A3" w:rsidRDefault="005B6A9C" w:rsidP="00B8343E">
            <w:pPr>
              <w:pStyle w:val="Tabletext"/>
              <w:jc w:val="center"/>
              <w:cnfStyle w:val="000000100000" w:firstRow="0" w:lastRow="0" w:firstColumn="0" w:lastColumn="0" w:oddVBand="0" w:evenVBand="0" w:oddHBand="1" w:evenHBand="0" w:firstRowFirstColumn="0" w:firstRowLastColumn="0" w:lastRowFirstColumn="0" w:lastRowLastColumn="0"/>
              <w:rPr>
                <w:sz w:val="20"/>
                <w:lang w:eastAsia="zh-CN"/>
              </w:rPr>
            </w:pPr>
            <w:bookmarkStart w:id="257" w:name="lt_pId1442"/>
            <w:r w:rsidRPr="00B433A3">
              <w:rPr>
                <w:sz w:val="20"/>
                <w:lang w:eastAsia="zh-CN"/>
              </w:rPr>
              <w:t>S</w:t>
            </w:r>
            <w:bookmarkEnd w:id="257"/>
          </w:p>
        </w:tc>
        <w:tc>
          <w:tcPr>
            <w:tcW w:w="81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vAlign w:val="center"/>
            <w:hideMark/>
          </w:tcPr>
          <w:p w14:paraId="1B8E2CB7" w14:textId="77777777" w:rsidR="005B6A9C" w:rsidRPr="00B433A3" w:rsidRDefault="005B6A9C" w:rsidP="00B8343E">
            <w:pPr>
              <w:pStyle w:val="Tabletext"/>
              <w:jc w:val="center"/>
              <w:cnfStyle w:val="000000100000" w:firstRow="0" w:lastRow="0" w:firstColumn="0" w:lastColumn="0" w:oddVBand="0" w:evenVBand="0" w:oddHBand="1" w:evenHBand="0" w:firstRowFirstColumn="0" w:firstRowLastColumn="0" w:lastRowFirstColumn="0" w:lastRowLastColumn="0"/>
              <w:rPr>
                <w:sz w:val="20"/>
                <w:lang w:eastAsia="zh-CN"/>
              </w:rPr>
            </w:pPr>
            <w:bookmarkStart w:id="258" w:name="lt_pId1443"/>
            <w:r w:rsidRPr="00B433A3">
              <w:rPr>
                <w:sz w:val="20"/>
                <w:lang w:eastAsia="zh-CN"/>
              </w:rPr>
              <w:t>A</w:t>
            </w:r>
            <w:bookmarkEnd w:id="258"/>
          </w:p>
        </w:tc>
        <w:tc>
          <w:tcPr>
            <w:tcW w:w="8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vAlign w:val="center"/>
            <w:hideMark/>
          </w:tcPr>
          <w:p w14:paraId="38562E3D" w14:textId="77777777" w:rsidR="005B6A9C" w:rsidRPr="00B433A3" w:rsidRDefault="005B6A9C" w:rsidP="00B8343E">
            <w:pPr>
              <w:pStyle w:val="Tabletext"/>
              <w:jc w:val="center"/>
              <w:cnfStyle w:val="000000100000" w:firstRow="0" w:lastRow="0" w:firstColumn="0" w:lastColumn="0" w:oddVBand="0" w:evenVBand="0" w:oddHBand="1" w:evenHBand="0" w:firstRowFirstColumn="0" w:firstRowLastColumn="0" w:lastRowFirstColumn="0" w:lastRowLastColumn="0"/>
              <w:rPr>
                <w:sz w:val="20"/>
                <w:lang w:eastAsia="zh-CN"/>
              </w:rPr>
            </w:pPr>
            <w:bookmarkStart w:id="259" w:name="lt_pId1444"/>
            <w:r w:rsidRPr="00B433A3">
              <w:rPr>
                <w:sz w:val="20"/>
                <w:lang w:eastAsia="zh-CN"/>
              </w:rPr>
              <w:t>C</w:t>
            </w:r>
            <w:bookmarkEnd w:id="259"/>
          </w:p>
        </w:tc>
        <w:tc>
          <w:tcPr>
            <w:tcW w:w="80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vAlign w:val="center"/>
            <w:hideMark/>
          </w:tcPr>
          <w:p w14:paraId="5D38B81E" w14:textId="77777777" w:rsidR="005B6A9C" w:rsidRPr="00B433A3" w:rsidRDefault="005B6A9C" w:rsidP="00B8343E">
            <w:pPr>
              <w:pStyle w:val="Tabletext"/>
              <w:jc w:val="center"/>
              <w:cnfStyle w:val="000000100000" w:firstRow="0" w:lastRow="0" w:firstColumn="0" w:lastColumn="0" w:oddVBand="0" w:evenVBand="0" w:oddHBand="1" w:evenHBand="0" w:firstRowFirstColumn="0" w:firstRowLastColumn="0" w:lastRowFirstColumn="0" w:lastRowLastColumn="0"/>
              <w:rPr>
                <w:sz w:val="20"/>
                <w:lang w:eastAsia="zh-CN"/>
              </w:rPr>
            </w:pPr>
            <w:bookmarkStart w:id="260" w:name="lt_pId1445"/>
            <w:r w:rsidRPr="00B433A3">
              <w:rPr>
                <w:sz w:val="20"/>
                <w:lang w:eastAsia="zh-CN"/>
              </w:rPr>
              <w:t>R</w:t>
            </w:r>
            <w:bookmarkEnd w:id="260"/>
          </w:p>
        </w:tc>
      </w:tr>
      <w:tr w:rsidR="005B6A9C" w:rsidRPr="00B433A3" w14:paraId="3E6A158B" w14:textId="77777777" w:rsidTr="001742A2">
        <w:trPr>
          <w:trHeight w:val="300"/>
          <w:jc w:val="center"/>
        </w:trPr>
        <w:tc>
          <w:tcPr>
            <w:cnfStyle w:val="001000000000" w:firstRow="0" w:lastRow="0" w:firstColumn="1" w:lastColumn="0" w:oddVBand="0" w:evenVBand="0" w:oddHBand="0" w:evenHBand="0" w:firstRowFirstColumn="0" w:firstRowLastColumn="0" w:lastRowFirstColumn="0" w:lastRowLastColumn="0"/>
            <w:tcW w:w="851" w:type="dxa"/>
            <w:tcBorders>
              <w:top w:val="single" w:sz="4" w:space="0" w:color="FFFFFF" w:themeColor="background1"/>
              <w:bottom w:val="single" w:sz="4" w:space="0" w:color="FFFFFF" w:themeColor="background1"/>
              <w:right w:val="single" w:sz="4" w:space="0" w:color="FFFFFF" w:themeColor="background1"/>
            </w:tcBorders>
            <w:noWrap/>
            <w:hideMark/>
          </w:tcPr>
          <w:p w14:paraId="615EA0DC" w14:textId="77777777" w:rsidR="005B6A9C" w:rsidRPr="00B433A3" w:rsidRDefault="005B6A9C" w:rsidP="00B8343E">
            <w:pPr>
              <w:pStyle w:val="Tabletext"/>
              <w:rPr>
                <w:sz w:val="20"/>
                <w:lang w:eastAsia="zh-CN"/>
              </w:rPr>
            </w:pPr>
            <w:bookmarkStart w:id="261" w:name="lt_pId1446"/>
            <w:r w:rsidRPr="00B433A3">
              <w:rPr>
                <w:sz w:val="20"/>
                <w:lang w:eastAsia="zh-CN"/>
              </w:rPr>
              <w:t>SSD</w:t>
            </w:r>
            <w:bookmarkEnd w:id="261"/>
          </w:p>
        </w:tc>
        <w:tc>
          <w:tcPr>
            <w:tcW w:w="38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14:paraId="064DFAC2" w14:textId="77777777" w:rsidR="005B6A9C" w:rsidRPr="00B433A3" w:rsidRDefault="005B6A9C" w:rsidP="00B8343E">
            <w:pPr>
              <w:pStyle w:val="Tabletext"/>
              <w:cnfStyle w:val="000000000000" w:firstRow="0" w:lastRow="0" w:firstColumn="0" w:lastColumn="0" w:oddVBand="0" w:evenVBand="0" w:oddHBand="0" w:evenHBand="0" w:firstRowFirstColumn="0" w:firstRowLastColumn="0" w:lastRowFirstColumn="0" w:lastRowLastColumn="0"/>
              <w:rPr>
                <w:sz w:val="20"/>
                <w:lang w:eastAsia="zh-CN"/>
              </w:rPr>
            </w:pPr>
            <w:bookmarkStart w:id="262" w:name="lt_pId1447"/>
            <w:r w:rsidRPr="00B433A3">
              <w:rPr>
                <w:sz w:val="20"/>
                <w:lang w:eastAsia="zh-CN"/>
              </w:rPr>
              <w:t>Services spatiaux</w:t>
            </w:r>
            <w:bookmarkEnd w:id="262"/>
          </w:p>
        </w:tc>
        <w:tc>
          <w:tcPr>
            <w:tcW w:w="81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vAlign w:val="center"/>
            <w:hideMark/>
          </w:tcPr>
          <w:p w14:paraId="789987FD" w14:textId="77777777" w:rsidR="005B6A9C" w:rsidRPr="00B433A3" w:rsidRDefault="005B6A9C" w:rsidP="00B8343E">
            <w:pPr>
              <w:pStyle w:val="Tabletext"/>
              <w:jc w:val="center"/>
              <w:cnfStyle w:val="000000000000" w:firstRow="0" w:lastRow="0" w:firstColumn="0" w:lastColumn="0" w:oddVBand="0" w:evenVBand="0" w:oddHBand="0" w:evenHBand="0" w:firstRowFirstColumn="0" w:firstRowLastColumn="0" w:lastRowFirstColumn="0" w:lastRowLastColumn="0"/>
              <w:rPr>
                <w:sz w:val="20"/>
                <w:lang w:eastAsia="zh-CN"/>
              </w:rPr>
            </w:pPr>
            <w:r w:rsidRPr="00B433A3">
              <w:rPr>
                <w:lang w:eastAsia="zh-CN"/>
              </w:rPr>
              <w:t>33</w:t>
            </w:r>
          </w:p>
        </w:tc>
        <w:tc>
          <w:tcPr>
            <w:tcW w:w="81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vAlign w:val="center"/>
            <w:hideMark/>
          </w:tcPr>
          <w:p w14:paraId="3502F8DC" w14:textId="77777777" w:rsidR="005B6A9C" w:rsidRPr="00B433A3" w:rsidRDefault="005B6A9C" w:rsidP="00B8343E">
            <w:pPr>
              <w:pStyle w:val="Tabletext"/>
              <w:jc w:val="center"/>
              <w:cnfStyle w:val="000000000000" w:firstRow="0" w:lastRow="0" w:firstColumn="0" w:lastColumn="0" w:oddVBand="0" w:evenVBand="0" w:oddHBand="0" w:evenHBand="0" w:firstRowFirstColumn="0" w:firstRowLastColumn="0" w:lastRowFirstColumn="0" w:lastRowLastColumn="0"/>
              <w:rPr>
                <w:sz w:val="20"/>
                <w:lang w:eastAsia="zh-CN"/>
              </w:rPr>
            </w:pPr>
            <w:r w:rsidRPr="00B433A3">
              <w:rPr>
                <w:lang w:eastAsia="zh-CN"/>
              </w:rPr>
              <w:t>20</w:t>
            </w:r>
          </w:p>
        </w:tc>
        <w:tc>
          <w:tcPr>
            <w:tcW w:w="8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vAlign w:val="center"/>
            <w:hideMark/>
          </w:tcPr>
          <w:p w14:paraId="4E11E4D1" w14:textId="77777777" w:rsidR="005B6A9C" w:rsidRPr="00B433A3" w:rsidRDefault="005B6A9C" w:rsidP="00B8343E">
            <w:pPr>
              <w:pStyle w:val="Tabletext"/>
              <w:jc w:val="center"/>
              <w:cnfStyle w:val="000000000000" w:firstRow="0" w:lastRow="0" w:firstColumn="0" w:lastColumn="0" w:oddVBand="0" w:evenVBand="0" w:oddHBand="0" w:evenHBand="0" w:firstRowFirstColumn="0" w:firstRowLastColumn="0" w:lastRowFirstColumn="0" w:lastRowLastColumn="0"/>
              <w:rPr>
                <w:sz w:val="20"/>
                <w:lang w:eastAsia="zh-CN"/>
              </w:rPr>
            </w:pPr>
            <w:r w:rsidRPr="00B433A3">
              <w:rPr>
                <w:lang w:eastAsia="zh-CN"/>
              </w:rPr>
              <w:t>20</w:t>
            </w:r>
          </w:p>
        </w:tc>
        <w:tc>
          <w:tcPr>
            <w:tcW w:w="81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vAlign w:val="center"/>
            <w:hideMark/>
          </w:tcPr>
          <w:p w14:paraId="1F83F80D" w14:textId="77777777" w:rsidR="005B6A9C" w:rsidRPr="00B433A3" w:rsidRDefault="005B6A9C" w:rsidP="00B8343E">
            <w:pPr>
              <w:pStyle w:val="Tabletext"/>
              <w:jc w:val="center"/>
              <w:cnfStyle w:val="000000000000" w:firstRow="0" w:lastRow="0" w:firstColumn="0" w:lastColumn="0" w:oddVBand="0" w:evenVBand="0" w:oddHBand="0" w:evenHBand="0" w:firstRowFirstColumn="0" w:firstRowLastColumn="0" w:lastRowFirstColumn="0" w:lastRowLastColumn="0"/>
              <w:rPr>
                <w:sz w:val="20"/>
                <w:lang w:eastAsia="zh-CN"/>
              </w:rPr>
            </w:pPr>
            <w:r w:rsidRPr="00B433A3">
              <w:rPr>
                <w:lang w:eastAsia="zh-CN"/>
              </w:rPr>
              <w:t>7</w:t>
            </w:r>
          </w:p>
        </w:tc>
        <w:tc>
          <w:tcPr>
            <w:tcW w:w="8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vAlign w:val="center"/>
            <w:hideMark/>
          </w:tcPr>
          <w:p w14:paraId="24CFC133" w14:textId="77777777" w:rsidR="005B6A9C" w:rsidRPr="00B433A3" w:rsidRDefault="005B6A9C" w:rsidP="00B8343E">
            <w:pPr>
              <w:pStyle w:val="Tabletext"/>
              <w:jc w:val="center"/>
              <w:cnfStyle w:val="000000000000" w:firstRow="0" w:lastRow="0" w:firstColumn="0" w:lastColumn="0" w:oddVBand="0" w:evenVBand="0" w:oddHBand="0" w:evenHBand="0" w:firstRowFirstColumn="0" w:firstRowLastColumn="0" w:lastRowFirstColumn="0" w:lastRowLastColumn="0"/>
              <w:rPr>
                <w:sz w:val="20"/>
                <w:lang w:eastAsia="zh-CN"/>
              </w:rPr>
            </w:pPr>
            <w:r w:rsidRPr="00B433A3">
              <w:rPr>
                <w:lang w:eastAsia="zh-CN"/>
              </w:rPr>
              <w:t>7</w:t>
            </w:r>
          </w:p>
        </w:tc>
        <w:tc>
          <w:tcPr>
            <w:tcW w:w="80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vAlign w:val="center"/>
            <w:hideMark/>
          </w:tcPr>
          <w:p w14:paraId="51337707" w14:textId="77777777" w:rsidR="005B6A9C" w:rsidRPr="00B433A3" w:rsidRDefault="005B6A9C" w:rsidP="00B8343E">
            <w:pPr>
              <w:pStyle w:val="Tabletext"/>
              <w:jc w:val="center"/>
              <w:cnfStyle w:val="000000000000" w:firstRow="0" w:lastRow="0" w:firstColumn="0" w:lastColumn="0" w:oddVBand="0" w:evenVBand="0" w:oddHBand="0" w:evenHBand="0" w:firstRowFirstColumn="0" w:firstRowLastColumn="0" w:lastRowFirstColumn="0" w:lastRowLastColumn="0"/>
              <w:rPr>
                <w:sz w:val="20"/>
                <w:lang w:eastAsia="zh-CN"/>
              </w:rPr>
            </w:pPr>
            <w:r w:rsidRPr="00B433A3">
              <w:rPr>
                <w:lang w:eastAsia="zh-CN"/>
              </w:rPr>
              <w:t>7</w:t>
            </w:r>
          </w:p>
        </w:tc>
      </w:tr>
      <w:tr w:rsidR="005B6A9C" w:rsidRPr="00B433A3" w14:paraId="53E38E1D" w14:textId="77777777" w:rsidTr="001742A2">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51" w:type="dxa"/>
            <w:tcBorders>
              <w:top w:val="single" w:sz="4" w:space="0" w:color="FFFFFF" w:themeColor="background1"/>
              <w:bottom w:val="single" w:sz="4" w:space="0" w:color="FFFFFF" w:themeColor="background1"/>
              <w:right w:val="single" w:sz="4" w:space="0" w:color="FFFFFF" w:themeColor="background1"/>
            </w:tcBorders>
            <w:noWrap/>
            <w:hideMark/>
          </w:tcPr>
          <w:p w14:paraId="06C952B6" w14:textId="77777777" w:rsidR="005B6A9C" w:rsidRPr="00B433A3" w:rsidRDefault="005B6A9C" w:rsidP="00B8343E">
            <w:pPr>
              <w:pStyle w:val="Tabletext"/>
              <w:rPr>
                <w:sz w:val="20"/>
                <w:lang w:eastAsia="zh-CN"/>
              </w:rPr>
            </w:pPr>
            <w:bookmarkStart w:id="263" w:name="lt_pId1454"/>
            <w:r w:rsidRPr="00B433A3">
              <w:rPr>
                <w:sz w:val="20"/>
                <w:lang w:eastAsia="zh-CN"/>
              </w:rPr>
              <w:t>TSD</w:t>
            </w:r>
            <w:bookmarkEnd w:id="263"/>
          </w:p>
        </w:tc>
        <w:tc>
          <w:tcPr>
            <w:tcW w:w="38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14:paraId="7476C217" w14:textId="77777777" w:rsidR="005B6A9C" w:rsidRPr="00B433A3" w:rsidRDefault="005B6A9C" w:rsidP="00B8343E">
            <w:pPr>
              <w:pStyle w:val="Tabletext"/>
              <w:cnfStyle w:val="000000100000" w:firstRow="0" w:lastRow="0" w:firstColumn="0" w:lastColumn="0" w:oddVBand="0" w:evenVBand="0" w:oddHBand="1" w:evenHBand="0" w:firstRowFirstColumn="0" w:firstRowLastColumn="0" w:lastRowFirstColumn="0" w:lastRowLastColumn="0"/>
              <w:rPr>
                <w:sz w:val="20"/>
                <w:lang w:eastAsia="zh-CN"/>
              </w:rPr>
            </w:pPr>
            <w:bookmarkStart w:id="264" w:name="lt_pId1455"/>
            <w:r w:rsidRPr="00B433A3">
              <w:rPr>
                <w:sz w:val="20"/>
                <w:lang w:eastAsia="zh-CN"/>
              </w:rPr>
              <w:t>Services de Terre</w:t>
            </w:r>
            <w:bookmarkEnd w:id="264"/>
          </w:p>
        </w:tc>
        <w:tc>
          <w:tcPr>
            <w:tcW w:w="81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vAlign w:val="center"/>
            <w:hideMark/>
          </w:tcPr>
          <w:p w14:paraId="0B00F27B" w14:textId="77777777" w:rsidR="005B6A9C" w:rsidRPr="00B433A3" w:rsidRDefault="005B6A9C" w:rsidP="00B8343E">
            <w:pPr>
              <w:pStyle w:val="Tabletext"/>
              <w:jc w:val="center"/>
              <w:cnfStyle w:val="000000100000" w:firstRow="0" w:lastRow="0" w:firstColumn="0" w:lastColumn="0" w:oddVBand="0" w:evenVBand="0" w:oddHBand="1" w:evenHBand="0" w:firstRowFirstColumn="0" w:firstRowLastColumn="0" w:lastRowFirstColumn="0" w:lastRowLastColumn="0"/>
              <w:rPr>
                <w:sz w:val="20"/>
                <w:lang w:eastAsia="zh-CN"/>
              </w:rPr>
            </w:pPr>
            <w:r w:rsidRPr="00B433A3">
              <w:rPr>
                <w:lang w:eastAsia="zh-CN"/>
              </w:rPr>
              <w:t>21</w:t>
            </w:r>
          </w:p>
        </w:tc>
        <w:tc>
          <w:tcPr>
            <w:tcW w:w="81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vAlign w:val="center"/>
            <w:hideMark/>
          </w:tcPr>
          <w:p w14:paraId="3E63118E" w14:textId="77777777" w:rsidR="005B6A9C" w:rsidRPr="00B433A3" w:rsidRDefault="005B6A9C" w:rsidP="00B8343E">
            <w:pPr>
              <w:pStyle w:val="Tabletext"/>
              <w:jc w:val="center"/>
              <w:cnfStyle w:val="000000100000" w:firstRow="0" w:lastRow="0" w:firstColumn="0" w:lastColumn="0" w:oddVBand="0" w:evenVBand="0" w:oddHBand="1" w:evenHBand="0" w:firstRowFirstColumn="0" w:firstRowLastColumn="0" w:lastRowFirstColumn="0" w:lastRowLastColumn="0"/>
              <w:rPr>
                <w:sz w:val="20"/>
                <w:lang w:eastAsia="zh-CN"/>
              </w:rPr>
            </w:pPr>
            <w:r w:rsidRPr="00B433A3">
              <w:rPr>
                <w:lang w:eastAsia="zh-CN"/>
              </w:rPr>
              <w:t>12</w:t>
            </w:r>
          </w:p>
        </w:tc>
        <w:tc>
          <w:tcPr>
            <w:tcW w:w="8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vAlign w:val="center"/>
            <w:hideMark/>
          </w:tcPr>
          <w:p w14:paraId="79A54940" w14:textId="77777777" w:rsidR="005B6A9C" w:rsidRPr="00B433A3" w:rsidRDefault="005B6A9C" w:rsidP="00B8343E">
            <w:pPr>
              <w:pStyle w:val="Tabletext"/>
              <w:jc w:val="center"/>
              <w:cnfStyle w:val="000000100000" w:firstRow="0" w:lastRow="0" w:firstColumn="0" w:lastColumn="0" w:oddVBand="0" w:evenVBand="0" w:oddHBand="1" w:evenHBand="0" w:firstRowFirstColumn="0" w:firstRowLastColumn="0" w:lastRowFirstColumn="0" w:lastRowLastColumn="0"/>
              <w:rPr>
                <w:sz w:val="20"/>
                <w:lang w:eastAsia="zh-CN"/>
              </w:rPr>
            </w:pPr>
            <w:r w:rsidRPr="00B433A3">
              <w:rPr>
                <w:lang w:eastAsia="zh-CN"/>
              </w:rPr>
              <w:t>12</w:t>
            </w:r>
          </w:p>
        </w:tc>
        <w:tc>
          <w:tcPr>
            <w:tcW w:w="81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vAlign w:val="center"/>
            <w:hideMark/>
          </w:tcPr>
          <w:p w14:paraId="54F82631" w14:textId="77777777" w:rsidR="005B6A9C" w:rsidRPr="00B433A3" w:rsidRDefault="005B6A9C" w:rsidP="00B8343E">
            <w:pPr>
              <w:pStyle w:val="Tabletext"/>
              <w:jc w:val="center"/>
              <w:cnfStyle w:val="000000100000" w:firstRow="0" w:lastRow="0" w:firstColumn="0" w:lastColumn="0" w:oddVBand="0" w:evenVBand="0" w:oddHBand="1" w:evenHBand="0" w:firstRowFirstColumn="0" w:firstRowLastColumn="0" w:lastRowFirstColumn="0" w:lastRowLastColumn="0"/>
              <w:rPr>
                <w:sz w:val="20"/>
                <w:lang w:eastAsia="zh-CN"/>
              </w:rPr>
            </w:pPr>
            <w:r w:rsidRPr="00B433A3">
              <w:rPr>
                <w:lang w:eastAsia="zh-CN"/>
              </w:rPr>
              <w:t>12</w:t>
            </w:r>
          </w:p>
        </w:tc>
        <w:tc>
          <w:tcPr>
            <w:tcW w:w="8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vAlign w:val="center"/>
            <w:hideMark/>
          </w:tcPr>
          <w:p w14:paraId="4EDE0F13" w14:textId="77777777" w:rsidR="005B6A9C" w:rsidRPr="00B433A3" w:rsidRDefault="005B6A9C" w:rsidP="00B8343E">
            <w:pPr>
              <w:pStyle w:val="Tabletext"/>
              <w:jc w:val="center"/>
              <w:cnfStyle w:val="000000100000" w:firstRow="0" w:lastRow="0" w:firstColumn="0" w:lastColumn="0" w:oddVBand="0" w:evenVBand="0" w:oddHBand="1" w:evenHBand="0" w:firstRowFirstColumn="0" w:firstRowLastColumn="0" w:lastRowFirstColumn="0" w:lastRowLastColumn="0"/>
              <w:rPr>
                <w:sz w:val="20"/>
                <w:lang w:eastAsia="zh-CN"/>
              </w:rPr>
            </w:pPr>
            <w:r w:rsidRPr="00B433A3">
              <w:rPr>
                <w:lang w:eastAsia="zh-CN"/>
              </w:rPr>
              <w:t>12</w:t>
            </w:r>
          </w:p>
        </w:tc>
        <w:tc>
          <w:tcPr>
            <w:tcW w:w="80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vAlign w:val="center"/>
            <w:hideMark/>
          </w:tcPr>
          <w:p w14:paraId="37F52D9C" w14:textId="77777777" w:rsidR="005B6A9C" w:rsidRPr="00B433A3" w:rsidRDefault="005B6A9C" w:rsidP="00B8343E">
            <w:pPr>
              <w:pStyle w:val="Tabletext"/>
              <w:jc w:val="center"/>
              <w:cnfStyle w:val="000000100000" w:firstRow="0" w:lastRow="0" w:firstColumn="0" w:lastColumn="0" w:oddVBand="0" w:evenVBand="0" w:oddHBand="1" w:evenHBand="0" w:firstRowFirstColumn="0" w:firstRowLastColumn="0" w:lastRowFirstColumn="0" w:lastRowLastColumn="0"/>
              <w:rPr>
                <w:sz w:val="20"/>
                <w:lang w:eastAsia="zh-CN"/>
              </w:rPr>
            </w:pPr>
            <w:r w:rsidRPr="00B433A3">
              <w:rPr>
                <w:lang w:eastAsia="zh-CN"/>
              </w:rPr>
              <w:t>12</w:t>
            </w:r>
          </w:p>
        </w:tc>
      </w:tr>
      <w:tr w:rsidR="005B6A9C" w:rsidRPr="00B433A3" w14:paraId="51E2A169" w14:textId="77777777" w:rsidTr="001742A2">
        <w:trPr>
          <w:trHeight w:val="300"/>
          <w:jc w:val="center"/>
        </w:trPr>
        <w:tc>
          <w:tcPr>
            <w:cnfStyle w:val="001000000000" w:firstRow="0" w:lastRow="0" w:firstColumn="1" w:lastColumn="0" w:oddVBand="0" w:evenVBand="0" w:oddHBand="0" w:evenHBand="0" w:firstRowFirstColumn="0" w:firstRowLastColumn="0" w:lastRowFirstColumn="0" w:lastRowLastColumn="0"/>
            <w:tcW w:w="851" w:type="dxa"/>
            <w:tcBorders>
              <w:top w:val="single" w:sz="4" w:space="0" w:color="FFFFFF" w:themeColor="background1"/>
              <w:bottom w:val="single" w:sz="4" w:space="0" w:color="FFFFFF" w:themeColor="background1"/>
              <w:right w:val="single" w:sz="4" w:space="0" w:color="FFFFFF" w:themeColor="background1"/>
            </w:tcBorders>
            <w:noWrap/>
            <w:hideMark/>
          </w:tcPr>
          <w:p w14:paraId="5BCFE392" w14:textId="77777777" w:rsidR="005B6A9C" w:rsidRPr="00B433A3" w:rsidRDefault="005B6A9C" w:rsidP="00B8343E">
            <w:pPr>
              <w:pStyle w:val="Tabletext"/>
              <w:rPr>
                <w:sz w:val="20"/>
                <w:lang w:eastAsia="zh-CN"/>
              </w:rPr>
            </w:pPr>
            <w:bookmarkStart w:id="265" w:name="lt_pId1462"/>
            <w:r w:rsidRPr="00B433A3">
              <w:rPr>
                <w:sz w:val="20"/>
                <w:lang w:eastAsia="zh-CN"/>
              </w:rPr>
              <w:t>SGD</w:t>
            </w:r>
            <w:bookmarkEnd w:id="265"/>
          </w:p>
        </w:tc>
        <w:tc>
          <w:tcPr>
            <w:tcW w:w="38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14:paraId="515A4D9A" w14:textId="77777777" w:rsidR="005B6A9C" w:rsidRPr="00B433A3" w:rsidRDefault="005B6A9C" w:rsidP="00B8343E">
            <w:pPr>
              <w:pStyle w:val="Tabletext"/>
              <w:cnfStyle w:val="000000000000" w:firstRow="0" w:lastRow="0" w:firstColumn="0" w:lastColumn="0" w:oddVBand="0" w:evenVBand="0" w:oddHBand="0" w:evenHBand="0" w:firstRowFirstColumn="0" w:firstRowLastColumn="0" w:lastRowFirstColumn="0" w:lastRowLastColumn="0"/>
              <w:rPr>
                <w:sz w:val="20"/>
                <w:lang w:eastAsia="zh-CN"/>
              </w:rPr>
            </w:pPr>
            <w:bookmarkStart w:id="266" w:name="lt_pId1463"/>
            <w:r w:rsidRPr="00B433A3">
              <w:rPr>
                <w:sz w:val="20"/>
                <w:lang w:eastAsia="zh-CN"/>
              </w:rPr>
              <w:t>Commissions d'études</w:t>
            </w:r>
            <w:bookmarkEnd w:id="266"/>
          </w:p>
        </w:tc>
        <w:tc>
          <w:tcPr>
            <w:tcW w:w="81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vAlign w:val="center"/>
            <w:hideMark/>
          </w:tcPr>
          <w:p w14:paraId="105FE690" w14:textId="77777777" w:rsidR="005B6A9C" w:rsidRPr="00B433A3" w:rsidRDefault="005B6A9C" w:rsidP="00B8343E">
            <w:pPr>
              <w:pStyle w:val="Tabletext"/>
              <w:jc w:val="center"/>
              <w:cnfStyle w:val="000000000000" w:firstRow="0" w:lastRow="0" w:firstColumn="0" w:lastColumn="0" w:oddVBand="0" w:evenVBand="0" w:oddHBand="0" w:evenHBand="0" w:firstRowFirstColumn="0" w:firstRowLastColumn="0" w:lastRowFirstColumn="0" w:lastRowLastColumn="0"/>
              <w:rPr>
                <w:sz w:val="20"/>
                <w:lang w:eastAsia="zh-CN"/>
              </w:rPr>
            </w:pPr>
            <w:r w:rsidRPr="00B433A3">
              <w:rPr>
                <w:lang w:eastAsia="zh-CN"/>
              </w:rPr>
              <w:t>32</w:t>
            </w:r>
          </w:p>
        </w:tc>
        <w:tc>
          <w:tcPr>
            <w:tcW w:w="81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vAlign w:val="center"/>
            <w:hideMark/>
          </w:tcPr>
          <w:p w14:paraId="4A1CDF14" w14:textId="77777777" w:rsidR="005B6A9C" w:rsidRPr="00B433A3" w:rsidRDefault="005B6A9C" w:rsidP="00B8343E">
            <w:pPr>
              <w:pStyle w:val="Tabletext"/>
              <w:jc w:val="center"/>
              <w:cnfStyle w:val="000000000000" w:firstRow="0" w:lastRow="0" w:firstColumn="0" w:lastColumn="0" w:oddVBand="0" w:evenVBand="0" w:oddHBand="0" w:evenHBand="0" w:firstRowFirstColumn="0" w:firstRowLastColumn="0" w:lastRowFirstColumn="0" w:lastRowLastColumn="0"/>
              <w:rPr>
                <w:sz w:val="20"/>
                <w:lang w:eastAsia="zh-CN"/>
              </w:rPr>
            </w:pPr>
            <w:r w:rsidRPr="00B433A3">
              <w:rPr>
                <w:lang w:eastAsia="zh-CN"/>
              </w:rPr>
              <w:t>16</w:t>
            </w:r>
          </w:p>
        </w:tc>
        <w:tc>
          <w:tcPr>
            <w:tcW w:w="8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vAlign w:val="center"/>
            <w:hideMark/>
          </w:tcPr>
          <w:p w14:paraId="50A6E804" w14:textId="77777777" w:rsidR="005B6A9C" w:rsidRPr="00B433A3" w:rsidRDefault="005B6A9C" w:rsidP="00B8343E">
            <w:pPr>
              <w:pStyle w:val="Tabletext"/>
              <w:jc w:val="center"/>
              <w:cnfStyle w:val="000000000000" w:firstRow="0" w:lastRow="0" w:firstColumn="0" w:lastColumn="0" w:oddVBand="0" w:evenVBand="0" w:oddHBand="0" w:evenHBand="0" w:firstRowFirstColumn="0" w:firstRowLastColumn="0" w:lastRowFirstColumn="0" w:lastRowLastColumn="0"/>
              <w:rPr>
                <w:sz w:val="20"/>
                <w:lang w:eastAsia="zh-CN"/>
              </w:rPr>
            </w:pPr>
            <w:r w:rsidRPr="00B433A3">
              <w:rPr>
                <w:lang w:eastAsia="zh-CN"/>
              </w:rPr>
              <w:t>16</w:t>
            </w:r>
          </w:p>
        </w:tc>
        <w:tc>
          <w:tcPr>
            <w:tcW w:w="81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vAlign w:val="center"/>
            <w:hideMark/>
          </w:tcPr>
          <w:p w14:paraId="2E1FD4EB" w14:textId="77777777" w:rsidR="005B6A9C" w:rsidRPr="00B433A3" w:rsidRDefault="005B6A9C" w:rsidP="00B8343E">
            <w:pPr>
              <w:pStyle w:val="Tabletext"/>
              <w:jc w:val="center"/>
              <w:cnfStyle w:val="000000000000" w:firstRow="0" w:lastRow="0" w:firstColumn="0" w:lastColumn="0" w:oddVBand="0" w:evenVBand="0" w:oddHBand="0" w:evenHBand="0" w:firstRowFirstColumn="0" w:firstRowLastColumn="0" w:lastRowFirstColumn="0" w:lastRowLastColumn="0"/>
              <w:rPr>
                <w:sz w:val="20"/>
                <w:lang w:eastAsia="zh-CN"/>
              </w:rPr>
            </w:pPr>
            <w:r w:rsidRPr="00B433A3">
              <w:rPr>
                <w:lang w:eastAsia="zh-CN"/>
              </w:rPr>
              <w:t>14</w:t>
            </w:r>
          </w:p>
        </w:tc>
        <w:tc>
          <w:tcPr>
            <w:tcW w:w="8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vAlign w:val="center"/>
            <w:hideMark/>
          </w:tcPr>
          <w:p w14:paraId="163811B1" w14:textId="77777777" w:rsidR="005B6A9C" w:rsidRPr="00B433A3" w:rsidRDefault="005B6A9C" w:rsidP="00B8343E">
            <w:pPr>
              <w:pStyle w:val="Tabletext"/>
              <w:jc w:val="center"/>
              <w:cnfStyle w:val="000000000000" w:firstRow="0" w:lastRow="0" w:firstColumn="0" w:lastColumn="0" w:oddVBand="0" w:evenVBand="0" w:oddHBand="0" w:evenHBand="0" w:firstRowFirstColumn="0" w:firstRowLastColumn="0" w:lastRowFirstColumn="0" w:lastRowLastColumn="0"/>
              <w:rPr>
                <w:sz w:val="20"/>
                <w:lang w:eastAsia="zh-CN"/>
              </w:rPr>
            </w:pPr>
            <w:r w:rsidRPr="00B433A3">
              <w:rPr>
                <w:lang w:eastAsia="zh-CN"/>
              </w:rPr>
              <w:t>14</w:t>
            </w:r>
          </w:p>
        </w:tc>
        <w:tc>
          <w:tcPr>
            <w:tcW w:w="80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vAlign w:val="center"/>
            <w:hideMark/>
          </w:tcPr>
          <w:p w14:paraId="000B705F" w14:textId="77777777" w:rsidR="005B6A9C" w:rsidRPr="00B433A3" w:rsidRDefault="005B6A9C" w:rsidP="00B8343E">
            <w:pPr>
              <w:pStyle w:val="Tabletext"/>
              <w:jc w:val="center"/>
              <w:cnfStyle w:val="000000000000" w:firstRow="0" w:lastRow="0" w:firstColumn="0" w:lastColumn="0" w:oddVBand="0" w:evenVBand="0" w:oddHBand="0" w:evenHBand="0" w:firstRowFirstColumn="0" w:firstRowLastColumn="0" w:lastRowFirstColumn="0" w:lastRowLastColumn="0"/>
              <w:rPr>
                <w:sz w:val="20"/>
                <w:lang w:eastAsia="zh-CN"/>
              </w:rPr>
            </w:pPr>
            <w:r w:rsidRPr="00B433A3">
              <w:rPr>
                <w:lang w:eastAsia="zh-CN"/>
              </w:rPr>
              <w:t>14</w:t>
            </w:r>
          </w:p>
        </w:tc>
      </w:tr>
      <w:tr w:rsidR="005B6A9C" w:rsidRPr="00B433A3" w14:paraId="370962D5" w14:textId="77777777" w:rsidTr="001742A2">
        <w:trPr>
          <w:cnfStyle w:val="000000100000" w:firstRow="0" w:lastRow="0" w:firstColumn="0" w:lastColumn="0" w:oddVBand="0" w:evenVBand="0" w:oddHBand="1" w:evenHBand="0" w:firstRowFirstColumn="0" w:firstRowLastColumn="0" w:lastRowFirstColumn="0" w:lastRowLastColumn="0"/>
          <w:trHeight w:val="327"/>
          <w:jc w:val="center"/>
        </w:trPr>
        <w:tc>
          <w:tcPr>
            <w:cnfStyle w:val="001000000000" w:firstRow="0" w:lastRow="0" w:firstColumn="1" w:lastColumn="0" w:oddVBand="0" w:evenVBand="0" w:oddHBand="0" w:evenHBand="0" w:firstRowFirstColumn="0" w:firstRowLastColumn="0" w:lastRowFirstColumn="0" w:lastRowLastColumn="0"/>
            <w:tcW w:w="851" w:type="dxa"/>
            <w:tcBorders>
              <w:top w:val="single" w:sz="4" w:space="0" w:color="FFFFFF" w:themeColor="background1"/>
              <w:bottom w:val="single" w:sz="4" w:space="0" w:color="FFFFFF" w:themeColor="background1"/>
              <w:right w:val="single" w:sz="4" w:space="0" w:color="FFFFFF" w:themeColor="background1"/>
            </w:tcBorders>
            <w:noWrap/>
            <w:hideMark/>
          </w:tcPr>
          <w:p w14:paraId="7E571C1F" w14:textId="77777777" w:rsidR="005B6A9C" w:rsidRPr="00B433A3" w:rsidRDefault="005B6A9C" w:rsidP="00B8343E">
            <w:pPr>
              <w:pStyle w:val="Tabletext"/>
              <w:rPr>
                <w:sz w:val="20"/>
                <w:lang w:eastAsia="zh-CN"/>
              </w:rPr>
            </w:pPr>
            <w:bookmarkStart w:id="267" w:name="lt_pId1470"/>
            <w:r w:rsidRPr="00B433A3">
              <w:rPr>
                <w:sz w:val="20"/>
                <w:lang w:eastAsia="zh-CN"/>
              </w:rPr>
              <w:t>Conf.</w:t>
            </w:r>
            <w:bookmarkEnd w:id="267"/>
          </w:p>
        </w:tc>
        <w:tc>
          <w:tcPr>
            <w:tcW w:w="38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6EDEDD13" w14:textId="77777777" w:rsidR="005B6A9C" w:rsidRPr="00B433A3" w:rsidRDefault="005B6A9C" w:rsidP="00B8343E">
            <w:pPr>
              <w:pStyle w:val="Tabletext"/>
              <w:cnfStyle w:val="000000100000" w:firstRow="0" w:lastRow="0" w:firstColumn="0" w:lastColumn="0" w:oddVBand="0" w:evenVBand="0" w:oddHBand="1" w:evenHBand="0" w:firstRowFirstColumn="0" w:firstRowLastColumn="0" w:lastRowFirstColumn="0" w:lastRowLastColumn="0"/>
              <w:rPr>
                <w:sz w:val="20"/>
                <w:lang w:eastAsia="zh-CN"/>
              </w:rPr>
            </w:pPr>
            <w:bookmarkStart w:id="268" w:name="lt_pId1471"/>
            <w:r w:rsidRPr="00B433A3">
              <w:rPr>
                <w:sz w:val="20"/>
                <w:lang w:eastAsia="zh-CN"/>
              </w:rPr>
              <w:t>Conférences/réunions/séminaires/ateliers</w:t>
            </w:r>
            <w:bookmarkEnd w:id="268"/>
          </w:p>
        </w:tc>
        <w:tc>
          <w:tcPr>
            <w:tcW w:w="81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vAlign w:val="center"/>
            <w:hideMark/>
          </w:tcPr>
          <w:p w14:paraId="76D42001" w14:textId="77777777" w:rsidR="005B6A9C" w:rsidRPr="00B433A3" w:rsidRDefault="005B6A9C" w:rsidP="00B8343E">
            <w:pPr>
              <w:pStyle w:val="Tabletext"/>
              <w:jc w:val="center"/>
              <w:cnfStyle w:val="000000100000" w:firstRow="0" w:lastRow="0" w:firstColumn="0" w:lastColumn="0" w:oddVBand="0" w:evenVBand="0" w:oddHBand="1" w:evenHBand="0" w:firstRowFirstColumn="0" w:firstRowLastColumn="0" w:lastRowFirstColumn="0" w:lastRowLastColumn="0"/>
              <w:rPr>
                <w:sz w:val="20"/>
                <w:lang w:eastAsia="zh-CN"/>
              </w:rPr>
            </w:pPr>
            <w:r w:rsidRPr="00B433A3">
              <w:rPr>
                <w:lang w:eastAsia="zh-CN"/>
              </w:rPr>
              <w:t>14</w:t>
            </w:r>
          </w:p>
        </w:tc>
        <w:tc>
          <w:tcPr>
            <w:tcW w:w="81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vAlign w:val="center"/>
            <w:hideMark/>
          </w:tcPr>
          <w:p w14:paraId="42DCBB2D" w14:textId="77777777" w:rsidR="005B6A9C" w:rsidRPr="00B433A3" w:rsidRDefault="005B6A9C" w:rsidP="00B8343E">
            <w:pPr>
              <w:pStyle w:val="Tabletext"/>
              <w:jc w:val="center"/>
              <w:cnfStyle w:val="000000100000" w:firstRow="0" w:lastRow="0" w:firstColumn="0" w:lastColumn="0" w:oddVBand="0" w:evenVBand="0" w:oddHBand="1" w:evenHBand="0" w:firstRowFirstColumn="0" w:firstRowLastColumn="0" w:lastRowFirstColumn="0" w:lastRowLastColumn="0"/>
              <w:rPr>
                <w:sz w:val="20"/>
                <w:lang w:eastAsia="zh-CN"/>
              </w:rPr>
            </w:pPr>
            <w:r w:rsidRPr="00B433A3">
              <w:rPr>
                <w:lang w:eastAsia="zh-CN"/>
              </w:rPr>
              <w:t>11</w:t>
            </w:r>
          </w:p>
        </w:tc>
        <w:tc>
          <w:tcPr>
            <w:tcW w:w="8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vAlign w:val="center"/>
            <w:hideMark/>
          </w:tcPr>
          <w:p w14:paraId="29058E15" w14:textId="77777777" w:rsidR="005B6A9C" w:rsidRPr="00B433A3" w:rsidRDefault="005B6A9C" w:rsidP="00B8343E">
            <w:pPr>
              <w:pStyle w:val="Tabletext"/>
              <w:jc w:val="center"/>
              <w:cnfStyle w:val="000000100000" w:firstRow="0" w:lastRow="0" w:firstColumn="0" w:lastColumn="0" w:oddVBand="0" w:evenVBand="0" w:oddHBand="1" w:evenHBand="0" w:firstRowFirstColumn="0" w:firstRowLastColumn="0" w:lastRowFirstColumn="0" w:lastRowLastColumn="0"/>
              <w:rPr>
                <w:sz w:val="20"/>
                <w:lang w:eastAsia="zh-CN"/>
              </w:rPr>
            </w:pPr>
            <w:r w:rsidRPr="00B433A3">
              <w:rPr>
                <w:lang w:eastAsia="zh-CN"/>
              </w:rPr>
              <w:t>12</w:t>
            </w:r>
          </w:p>
        </w:tc>
        <w:tc>
          <w:tcPr>
            <w:tcW w:w="81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vAlign w:val="center"/>
            <w:hideMark/>
          </w:tcPr>
          <w:p w14:paraId="55288236" w14:textId="77777777" w:rsidR="005B6A9C" w:rsidRPr="00B433A3" w:rsidRDefault="005B6A9C" w:rsidP="00B8343E">
            <w:pPr>
              <w:pStyle w:val="Tabletext"/>
              <w:jc w:val="center"/>
              <w:cnfStyle w:val="000000100000" w:firstRow="0" w:lastRow="0" w:firstColumn="0" w:lastColumn="0" w:oddVBand="0" w:evenVBand="0" w:oddHBand="1" w:evenHBand="0" w:firstRowFirstColumn="0" w:firstRowLastColumn="0" w:lastRowFirstColumn="0" w:lastRowLastColumn="0"/>
              <w:rPr>
                <w:sz w:val="20"/>
                <w:lang w:eastAsia="zh-CN"/>
              </w:rPr>
            </w:pPr>
            <w:r w:rsidRPr="00B433A3">
              <w:rPr>
                <w:lang w:eastAsia="zh-CN"/>
              </w:rPr>
              <w:t>7</w:t>
            </w:r>
          </w:p>
        </w:tc>
        <w:tc>
          <w:tcPr>
            <w:tcW w:w="8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vAlign w:val="center"/>
            <w:hideMark/>
          </w:tcPr>
          <w:p w14:paraId="0E182F81" w14:textId="77777777" w:rsidR="005B6A9C" w:rsidRPr="00B433A3" w:rsidRDefault="005B6A9C" w:rsidP="00B8343E">
            <w:pPr>
              <w:pStyle w:val="Tabletext"/>
              <w:jc w:val="center"/>
              <w:cnfStyle w:val="000000100000" w:firstRow="0" w:lastRow="0" w:firstColumn="0" w:lastColumn="0" w:oddVBand="0" w:evenVBand="0" w:oddHBand="1" w:evenHBand="0" w:firstRowFirstColumn="0" w:firstRowLastColumn="0" w:lastRowFirstColumn="0" w:lastRowLastColumn="0"/>
              <w:rPr>
                <w:sz w:val="20"/>
                <w:lang w:eastAsia="zh-CN"/>
              </w:rPr>
            </w:pPr>
            <w:r w:rsidRPr="00B433A3">
              <w:rPr>
                <w:lang w:eastAsia="zh-CN"/>
              </w:rPr>
              <w:t>7</w:t>
            </w:r>
          </w:p>
        </w:tc>
        <w:tc>
          <w:tcPr>
            <w:tcW w:w="80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vAlign w:val="center"/>
            <w:hideMark/>
          </w:tcPr>
          <w:p w14:paraId="50E33231" w14:textId="77777777" w:rsidR="005B6A9C" w:rsidRPr="00B433A3" w:rsidRDefault="005B6A9C" w:rsidP="00B8343E">
            <w:pPr>
              <w:pStyle w:val="Tabletext"/>
              <w:jc w:val="center"/>
              <w:cnfStyle w:val="000000100000" w:firstRow="0" w:lastRow="0" w:firstColumn="0" w:lastColumn="0" w:oddVBand="0" w:evenVBand="0" w:oddHBand="1" w:evenHBand="0" w:firstRowFirstColumn="0" w:firstRowLastColumn="0" w:lastRowFirstColumn="0" w:lastRowLastColumn="0"/>
              <w:rPr>
                <w:sz w:val="20"/>
                <w:lang w:eastAsia="zh-CN"/>
              </w:rPr>
            </w:pPr>
            <w:r w:rsidRPr="00B433A3">
              <w:rPr>
                <w:lang w:eastAsia="zh-CN"/>
              </w:rPr>
              <w:t>7</w:t>
            </w:r>
          </w:p>
        </w:tc>
      </w:tr>
      <w:tr w:rsidR="005B6A9C" w:rsidRPr="00B433A3" w14:paraId="3BF331C0" w14:textId="77777777" w:rsidTr="001742A2">
        <w:trPr>
          <w:trHeight w:val="315"/>
          <w:jc w:val="center"/>
        </w:trPr>
        <w:tc>
          <w:tcPr>
            <w:cnfStyle w:val="001000000000" w:firstRow="0" w:lastRow="0" w:firstColumn="1" w:lastColumn="0" w:oddVBand="0" w:evenVBand="0" w:oddHBand="0" w:evenHBand="0" w:firstRowFirstColumn="0" w:firstRowLastColumn="0" w:lastRowFirstColumn="0" w:lastRowLastColumn="0"/>
            <w:tcW w:w="851" w:type="dxa"/>
            <w:tcBorders>
              <w:top w:val="single" w:sz="4" w:space="0" w:color="FFFFFF" w:themeColor="background1"/>
              <w:bottom w:val="single" w:sz="4" w:space="0" w:color="FFFFFF" w:themeColor="background1"/>
              <w:right w:val="single" w:sz="4" w:space="0" w:color="FFFFFF" w:themeColor="background1"/>
            </w:tcBorders>
            <w:noWrap/>
            <w:hideMark/>
          </w:tcPr>
          <w:p w14:paraId="7E2167D5" w14:textId="77777777" w:rsidR="005B6A9C" w:rsidRPr="00B433A3" w:rsidRDefault="005B6A9C" w:rsidP="00B8343E">
            <w:pPr>
              <w:pStyle w:val="Tabletext"/>
              <w:rPr>
                <w:sz w:val="20"/>
                <w:lang w:eastAsia="zh-CN"/>
              </w:rPr>
            </w:pPr>
            <w:bookmarkStart w:id="269" w:name="lt_pId1478"/>
            <w:r w:rsidRPr="00B433A3">
              <w:rPr>
                <w:sz w:val="20"/>
                <w:lang w:eastAsia="zh-CN"/>
              </w:rPr>
              <w:t>Autres</w:t>
            </w:r>
            <w:bookmarkEnd w:id="269"/>
          </w:p>
        </w:tc>
        <w:tc>
          <w:tcPr>
            <w:tcW w:w="38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14:paraId="62994A24" w14:textId="77777777" w:rsidR="005B6A9C" w:rsidRPr="00B433A3" w:rsidRDefault="005B6A9C" w:rsidP="00B8343E">
            <w:pPr>
              <w:pStyle w:val="Tabletext"/>
              <w:cnfStyle w:val="000000000000" w:firstRow="0" w:lastRow="0" w:firstColumn="0" w:lastColumn="0" w:oddVBand="0" w:evenVBand="0" w:oddHBand="0" w:evenHBand="0" w:firstRowFirstColumn="0" w:firstRowLastColumn="0" w:lastRowFirstColumn="0" w:lastRowLastColumn="0"/>
              <w:rPr>
                <w:sz w:val="20"/>
                <w:lang w:eastAsia="zh-CN"/>
              </w:rPr>
            </w:pPr>
            <w:bookmarkStart w:id="270" w:name="lt_pId1479"/>
            <w:r w:rsidRPr="00B433A3">
              <w:rPr>
                <w:sz w:val="20"/>
                <w:lang w:eastAsia="zh-CN"/>
              </w:rPr>
              <w:t>Information/promotion/manifestations</w:t>
            </w:r>
            <w:bookmarkEnd w:id="270"/>
          </w:p>
        </w:tc>
        <w:tc>
          <w:tcPr>
            <w:tcW w:w="81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vAlign w:val="center"/>
            <w:hideMark/>
          </w:tcPr>
          <w:p w14:paraId="2DBE3958" w14:textId="77777777" w:rsidR="005B6A9C" w:rsidRPr="00B433A3" w:rsidRDefault="005B6A9C" w:rsidP="00B8343E">
            <w:pPr>
              <w:pStyle w:val="Tabletext"/>
              <w:jc w:val="center"/>
              <w:cnfStyle w:val="000000000000" w:firstRow="0" w:lastRow="0" w:firstColumn="0" w:lastColumn="0" w:oddVBand="0" w:evenVBand="0" w:oddHBand="0" w:evenHBand="0" w:firstRowFirstColumn="0" w:firstRowLastColumn="0" w:lastRowFirstColumn="0" w:lastRowLastColumn="0"/>
              <w:rPr>
                <w:sz w:val="20"/>
                <w:lang w:eastAsia="zh-CN"/>
              </w:rPr>
            </w:pPr>
            <w:r w:rsidRPr="00B433A3">
              <w:rPr>
                <w:lang w:eastAsia="zh-CN"/>
              </w:rPr>
              <w:t>16</w:t>
            </w:r>
          </w:p>
        </w:tc>
        <w:tc>
          <w:tcPr>
            <w:tcW w:w="81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vAlign w:val="center"/>
            <w:hideMark/>
          </w:tcPr>
          <w:p w14:paraId="75AABEE1" w14:textId="77777777" w:rsidR="005B6A9C" w:rsidRPr="00B433A3" w:rsidRDefault="005B6A9C" w:rsidP="00B8343E">
            <w:pPr>
              <w:pStyle w:val="Tabletext"/>
              <w:jc w:val="center"/>
              <w:cnfStyle w:val="000000000000" w:firstRow="0" w:lastRow="0" w:firstColumn="0" w:lastColumn="0" w:oddVBand="0" w:evenVBand="0" w:oddHBand="0" w:evenHBand="0" w:firstRowFirstColumn="0" w:firstRowLastColumn="0" w:lastRowFirstColumn="0" w:lastRowLastColumn="0"/>
              <w:rPr>
                <w:sz w:val="20"/>
                <w:lang w:eastAsia="zh-CN"/>
              </w:rPr>
            </w:pPr>
            <w:r w:rsidRPr="00B433A3">
              <w:rPr>
                <w:lang w:eastAsia="zh-CN"/>
              </w:rPr>
              <w:t>13</w:t>
            </w:r>
          </w:p>
        </w:tc>
        <w:tc>
          <w:tcPr>
            <w:tcW w:w="8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vAlign w:val="center"/>
            <w:hideMark/>
          </w:tcPr>
          <w:p w14:paraId="3269BCBE" w14:textId="77777777" w:rsidR="005B6A9C" w:rsidRPr="00B433A3" w:rsidRDefault="005B6A9C" w:rsidP="00B8343E">
            <w:pPr>
              <w:pStyle w:val="Tabletext"/>
              <w:jc w:val="center"/>
              <w:cnfStyle w:val="000000000000" w:firstRow="0" w:lastRow="0" w:firstColumn="0" w:lastColumn="0" w:oddVBand="0" w:evenVBand="0" w:oddHBand="0" w:evenHBand="0" w:firstRowFirstColumn="0" w:firstRowLastColumn="0" w:lastRowFirstColumn="0" w:lastRowLastColumn="0"/>
              <w:rPr>
                <w:sz w:val="20"/>
                <w:lang w:eastAsia="zh-CN"/>
              </w:rPr>
            </w:pPr>
            <w:r w:rsidRPr="00B433A3">
              <w:rPr>
                <w:lang w:eastAsia="zh-CN"/>
              </w:rPr>
              <w:t>12</w:t>
            </w:r>
          </w:p>
        </w:tc>
        <w:tc>
          <w:tcPr>
            <w:tcW w:w="81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vAlign w:val="center"/>
            <w:hideMark/>
          </w:tcPr>
          <w:p w14:paraId="1D7A9A5F" w14:textId="77777777" w:rsidR="005B6A9C" w:rsidRPr="00B433A3" w:rsidRDefault="005B6A9C" w:rsidP="00B8343E">
            <w:pPr>
              <w:pStyle w:val="Tabletext"/>
              <w:jc w:val="center"/>
              <w:cnfStyle w:val="000000000000" w:firstRow="0" w:lastRow="0" w:firstColumn="0" w:lastColumn="0" w:oddVBand="0" w:evenVBand="0" w:oddHBand="0" w:evenHBand="0" w:firstRowFirstColumn="0" w:firstRowLastColumn="0" w:lastRowFirstColumn="0" w:lastRowLastColumn="0"/>
              <w:rPr>
                <w:sz w:val="20"/>
                <w:lang w:eastAsia="zh-CN"/>
              </w:rPr>
            </w:pPr>
            <w:r w:rsidRPr="00B433A3">
              <w:rPr>
                <w:lang w:eastAsia="zh-CN"/>
              </w:rPr>
              <w:t>11</w:t>
            </w:r>
          </w:p>
        </w:tc>
        <w:tc>
          <w:tcPr>
            <w:tcW w:w="8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vAlign w:val="center"/>
            <w:hideMark/>
          </w:tcPr>
          <w:p w14:paraId="0380DDB8" w14:textId="77777777" w:rsidR="005B6A9C" w:rsidRPr="00B433A3" w:rsidRDefault="005B6A9C" w:rsidP="00B8343E">
            <w:pPr>
              <w:pStyle w:val="Tabletext"/>
              <w:jc w:val="center"/>
              <w:cnfStyle w:val="000000000000" w:firstRow="0" w:lastRow="0" w:firstColumn="0" w:lastColumn="0" w:oddVBand="0" w:evenVBand="0" w:oddHBand="0" w:evenHBand="0" w:firstRowFirstColumn="0" w:firstRowLastColumn="0" w:lastRowFirstColumn="0" w:lastRowLastColumn="0"/>
              <w:rPr>
                <w:sz w:val="20"/>
                <w:lang w:eastAsia="zh-CN"/>
              </w:rPr>
            </w:pPr>
            <w:r w:rsidRPr="00B433A3">
              <w:rPr>
                <w:lang w:eastAsia="zh-CN"/>
              </w:rPr>
              <w:t>11</w:t>
            </w:r>
          </w:p>
        </w:tc>
        <w:tc>
          <w:tcPr>
            <w:tcW w:w="80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vAlign w:val="center"/>
            <w:hideMark/>
          </w:tcPr>
          <w:p w14:paraId="01C69FF5" w14:textId="77777777" w:rsidR="005B6A9C" w:rsidRPr="00B433A3" w:rsidRDefault="005B6A9C" w:rsidP="00B8343E">
            <w:pPr>
              <w:pStyle w:val="Tabletext"/>
              <w:jc w:val="center"/>
              <w:cnfStyle w:val="000000000000" w:firstRow="0" w:lastRow="0" w:firstColumn="0" w:lastColumn="0" w:oddVBand="0" w:evenVBand="0" w:oddHBand="0" w:evenHBand="0" w:firstRowFirstColumn="0" w:firstRowLastColumn="0" w:lastRowFirstColumn="0" w:lastRowLastColumn="0"/>
              <w:rPr>
                <w:sz w:val="20"/>
                <w:lang w:eastAsia="zh-CN"/>
              </w:rPr>
            </w:pPr>
            <w:r w:rsidRPr="00B433A3">
              <w:rPr>
                <w:lang w:eastAsia="zh-CN"/>
              </w:rPr>
              <w:t>11</w:t>
            </w:r>
          </w:p>
        </w:tc>
      </w:tr>
      <w:tr w:rsidR="005B6A9C" w:rsidRPr="00B433A3" w14:paraId="60A8EF1F" w14:textId="77777777" w:rsidTr="001742A2">
        <w:trPr>
          <w:cnfStyle w:val="000000100000" w:firstRow="0" w:lastRow="0" w:firstColumn="0" w:lastColumn="0" w:oddVBand="0" w:evenVBand="0" w:oddHBand="1" w:evenHBand="0" w:firstRowFirstColumn="0" w:firstRowLastColumn="0" w:lastRowFirstColumn="0" w:lastRowLastColumn="0"/>
          <w:trHeight w:val="844"/>
          <w:jc w:val="center"/>
        </w:trPr>
        <w:tc>
          <w:tcPr>
            <w:cnfStyle w:val="001000000000" w:firstRow="0" w:lastRow="0" w:firstColumn="1" w:lastColumn="0" w:oddVBand="0" w:evenVBand="0" w:oddHBand="0" w:evenHBand="0" w:firstRowFirstColumn="0" w:firstRowLastColumn="0" w:lastRowFirstColumn="0" w:lastRowLastColumn="0"/>
            <w:tcW w:w="4735" w:type="dxa"/>
            <w:gridSpan w:val="2"/>
            <w:tcBorders>
              <w:top w:val="single" w:sz="4" w:space="0" w:color="FFFFFF" w:themeColor="background1"/>
              <w:right w:val="single" w:sz="4" w:space="0" w:color="FFFFFF" w:themeColor="background1"/>
            </w:tcBorders>
            <w:noWrap/>
            <w:hideMark/>
          </w:tcPr>
          <w:p w14:paraId="7BC871FC" w14:textId="77777777" w:rsidR="005B6A9C" w:rsidRPr="00B433A3" w:rsidRDefault="005B6A9C" w:rsidP="00B8343E">
            <w:pPr>
              <w:pStyle w:val="Tabletext"/>
              <w:rPr>
                <w:sz w:val="20"/>
                <w:lang w:eastAsia="zh-CN"/>
              </w:rPr>
            </w:pPr>
            <w:bookmarkStart w:id="271" w:name="lt_pId1486"/>
            <w:r w:rsidRPr="00B433A3">
              <w:rPr>
                <w:sz w:val="20"/>
                <w:lang w:eastAsia="zh-CN"/>
              </w:rPr>
              <w:t>Site web de l'UIT-R (total)</w:t>
            </w:r>
            <w:bookmarkEnd w:id="271"/>
          </w:p>
        </w:tc>
        <w:tc>
          <w:tcPr>
            <w:tcW w:w="81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vAlign w:val="center"/>
            <w:hideMark/>
          </w:tcPr>
          <w:p w14:paraId="53C9BC38" w14:textId="77777777" w:rsidR="005B6A9C" w:rsidRPr="00B433A3" w:rsidRDefault="005B6A9C" w:rsidP="00B8343E">
            <w:pPr>
              <w:pStyle w:val="Tabletext"/>
              <w:jc w:val="center"/>
              <w:cnfStyle w:val="000000100000" w:firstRow="0" w:lastRow="0" w:firstColumn="0" w:lastColumn="0" w:oddVBand="0" w:evenVBand="0" w:oddHBand="1" w:evenHBand="0" w:firstRowFirstColumn="0" w:firstRowLastColumn="0" w:lastRowFirstColumn="0" w:lastRowLastColumn="0"/>
              <w:rPr>
                <w:sz w:val="20"/>
                <w:lang w:eastAsia="zh-CN"/>
              </w:rPr>
            </w:pPr>
            <w:r w:rsidRPr="00B433A3">
              <w:rPr>
                <w:lang w:eastAsia="zh-CN"/>
              </w:rPr>
              <w:t>116</w:t>
            </w:r>
          </w:p>
        </w:tc>
        <w:tc>
          <w:tcPr>
            <w:tcW w:w="81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vAlign w:val="center"/>
            <w:hideMark/>
          </w:tcPr>
          <w:p w14:paraId="7D468AEE" w14:textId="77777777" w:rsidR="005B6A9C" w:rsidRPr="00B433A3" w:rsidRDefault="005B6A9C" w:rsidP="00B8343E">
            <w:pPr>
              <w:pStyle w:val="Tabletext"/>
              <w:jc w:val="center"/>
              <w:cnfStyle w:val="000000100000" w:firstRow="0" w:lastRow="0" w:firstColumn="0" w:lastColumn="0" w:oddVBand="0" w:evenVBand="0" w:oddHBand="1" w:evenHBand="0" w:firstRowFirstColumn="0" w:firstRowLastColumn="0" w:lastRowFirstColumn="0" w:lastRowLastColumn="0"/>
              <w:rPr>
                <w:lang w:eastAsia="zh-CN"/>
              </w:rPr>
            </w:pPr>
            <w:r w:rsidRPr="00B433A3">
              <w:rPr>
                <w:lang w:eastAsia="zh-CN"/>
              </w:rPr>
              <w:t>72</w:t>
            </w:r>
          </w:p>
          <w:p w14:paraId="164CBD75" w14:textId="77777777" w:rsidR="005B6A9C" w:rsidRPr="00B433A3" w:rsidRDefault="005B6A9C" w:rsidP="00B8343E">
            <w:pPr>
              <w:pStyle w:val="Tabletext"/>
              <w:jc w:val="center"/>
              <w:cnfStyle w:val="000000100000" w:firstRow="0" w:lastRow="0" w:firstColumn="0" w:lastColumn="0" w:oddVBand="0" w:evenVBand="0" w:oddHBand="1" w:evenHBand="0" w:firstRowFirstColumn="0" w:firstRowLastColumn="0" w:lastRowFirstColumn="0" w:lastRowLastColumn="0"/>
              <w:rPr>
                <w:sz w:val="20"/>
                <w:lang w:eastAsia="zh-CN"/>
              </w:rPr>
            </w:pPr>
            <w:r w:rsidRPr="00B433A3">
              <w:rPr>
                <w:lang w:eastAsia="zh-CN"/>
              </w:rPr>
              <w:t>(62%)</w:t>
            </w:r>
          </w:p>
        </w:tc>
        <w:tc>
          <w:tcPr>
            <w:tcW w:w="8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vAlign w:val="center"/>
            <w:hideMark/>
          </w:tcPr>
          <w:p w14:paraId="190CE1AF" w14:textId="77777777" w:rsidR="005B6A9C" w:rsidRPr="00B433A3" w:rsidRDefault="005B6A9C" w:rsidP="00B8343E">
            <w:pPr>
              <w:pStyle w:val="Tabletext"/>
              <w:jc w:val="center"/>
              <w:cnfStyle w:val="000000100000" w:firstRow="0" w:lastRow="0" w:firstColumn="0" w:lastColumn="0" w:oddVBand="0" w:evenVBand="0" w:oddHBand="1" w:evenHBand="0" w:firstRowFirstColumn="0" w:firstRowLastColumn="0" w:lastRowFirstColumn="0" w:lastRowLastColumn="0"/>
              <w:rPr>
                <w:lang w:eastAsia="zh-CN"/>
              </w:rPr>
            </w:pPr>
            <w:r w:rsidRPr="00B433A3">
              <w:rPr>
                <w:lang w:eastAsia="zh-CN"/>
              </w:rPr>
              <w:t>72</w:t>
            </w:r>
          </w:p>
          <w:p w14:paraId="1E3AC88C" w14:textId="77777777" w:rsidR="005B6A9C" w:rsidRPr="00B433A3" w:rsidRDefault="005B6A9C" w:rsidP="00B8343E">
            <w:pPr>
              <w:pStyle w:val="Tabletext"/>
              <w:jc w:val="center"/>
              <w:cnfStyle w:val="000000100000" w:firstRow="0" w:lastRow="0" w:firstColumn="0" w:lastColumn="0" w:oddVBand="0" w:evenVBand="0" w:oddHBand="1" w:evenHBand="0" w:firstRowFirstColumn="0" w:firstRowLastColumn="0" w:lastRowFirstColumn="0" w:lastRowLastColumn="0"/>
              <w:rPr>
                <w:sz w:val="20"/>
                <w:lang w:eastAsia="zh-CN"/>
              </w:rPr>
            </w:pPr>
            <w:r w:rsidRPr="00B433A3">
              <w:rPr>
                <w:lang w:eastAsia="zh-CN"/>
              </w:rPr>
              <w:t>(62%)</w:t>
            </w:r>
          </w:p>
        </w:tc>
        <w:tc>
          <w:tcPr>
            <w:tcW w:w="81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vAlign w:val="center"/>
            <w:hideMark/>
          </w:tcPr>
          <w:p w14:paraId="502C71C2" w14:textId="77777777" w:rsidR="005B6A9C" w:rsidRPr="00B433A3" w:rsidRDefault="005B6A9C" w:rsidP="00B8343E">
            <w:pPr>
              <w:pStyle w:val="Tabletext"/>
              <w:jc w:val="center"/>
              <w:cnfStyle w:val="000000100000" w:firstRow="0" w:lastRow="0" w:firstColumn="0" w:lastColumn="0" w:oddVBand="0" w:evenVBand="0" w:oddHBand="1" w:evenHBand="0" w:firstRowFirstColumn="0" w:firstRowLastColumn="0" w:lastRowFirstColumn="0" w:lastRowLastColumn="0"/>
              <w:rPr>
                <w:lang w:eastAsia="zh-CN"/>
              </w:rPr>
            </w:pPr>
            <w:r w:rsidRPr="00B433A3">
              <w:rPr>
                <w:lang w:eastAsia="zh-CN"/>
              </w:rPr>
              <w:t>51</w:t>
            </w:r>
          </w:p>
          <w:p w14:paraId="54150394" w14:textId="77777777" w:rsidR="005B6A9C" w:rsidRPr="00B433A3" w:rsidRDefault="005B6A9C" w:rsidP="00B8343E">
            <w:pPr>
              <w:pStyle w:val="Tabletext"/>
              <w:jc w:val="center"/>
              <w:cnfStyle w:val="000000100000" w:firstRow="0" w:lastRow="0" w:firstColumn="0" w:lastColumn="0" w:oddVBand="0" w:evenVBand="0" w:oddHBand="1" w:evenHBand="0" w:firstRowFirstColumn="0" w:firstRowLastColumn="0" w:lastRowFirstColumn="0" w:lastRowLastColumn="0"/>
              <w:rPr>
                <w:sz w:val="20"/>
                <w:lang w:eastAsia="zh-CN"/>
              </w:rPr>
            </w:pPr>
            <w:r w:rsidRPr="00B433A3">
              <w:rPr>
                <w:lang w:eastAsia="zh-CN"/>
              </w:rPr>
              <w:t>(44%)</w:t>
            </w:r>
          </w:p>
        </w:tc>
        <w:tc>
          <w:tcPr>
            <w:tcW w:w="8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vAlign w:val="center"/>
            <w:hideMark/>
          </w:tcPr>
          <w:p w14:paraId="45373861" w14:textId="77777777" w:rsidR="005B6A9C" w:rsidRPr="00B433A3" w:rsidRDefault="005B6A9C" w:rsidP="00B8343E">
            <w:pPr>
              <w:pStyle w:val="Tabletext"/>
              <w:jc w:val="center"/>
              <w:cnfStyle w:val="000000100000" w:firstRow="0" w:lastRow="0" w:firstColumn="0" w:lastColumn="0" w:oddVBand="0" w:evenVBand="0" w:oddHBand="1" w:evenHBand="0" w:firstRowFirstColumn="0" w:firstRowLastColumn="0" w:lastRowFirstColumn="0" w:lastRowLastColumn="0"/>
              <w:rPr>
                <w:lang w:eastAsia="zh-CN"/>
              </w:rPr>
            </w:pPr>
            <w:r w:rsidRPr="00B433A3">
              <w:rPr>
                <w:lang w:eastAsia="zh-CN"/>
              </w:rPr>
              <w:t>51</w:t>
            </w:r>
          </w:p>
          <w:p w14:paraId="727AC57D" w14:textId="77777777" w:rsidR="005B6A9C" w:rsidRPr="00B433A3" w:rsidRDefault="005B6A9C" w:rsidP="00B8343E">
            <w:pPr>
              <w:pStyle w:val="Tabletext"/>
              <w:jc w:val="center"/>
              <w:cnfStyle w:val="000000100000" w:firstRow="0" w:lastRow="0" w:firstColumn="0" w:lastColumn="0" w:oddVBand="0" w:evenVBand="0" w:oddHBand="1" w:evenHBand="0" w:firstRowFirstColumn="0" w:firstRowLastColumn="0" w:lastRowFirstColumn="0" w:lastRowLastColumn="0"/>
              <w:rPr>
                <w:sz w:val="20"/>
                <w:lang w:eastAsia="zh-CN"/>
              </w:rPr>
            </w:pPr>
            <w:r w:rsidRPr="00B433A3">
              <w:rPr>
                <w:lang w:eastAsia="zh-CN"/>
              </w:rPr>
              <w:t>(44%)</w:t>
            </w:r>
          </w:p>
        </w:tc>
        <w:tc>
          <w:tcPr>
            <w:tcW w:w="80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vAlign w:val="center"/>
            <w:hideMark/>
          </w:tcPr>
          <w:p w14:paraId="6AF74DF5" w14:textId="77777777" w:rsidR="005B6A9C" w:rsidRPr="00B433A3" w:rsidRDefault="005B6A9C" w:rsidP="00B8343E">
            <w:pPr>
              <w:pStyle w:val="Tabletext"/>
              <w:jc w:val="center"/>
              <w:cnfStyle w:val="000000100000" w:firstRow="0" w:lastRow="0" w:firstColumn="0" w:lastColumn="0" w:oddVBand="0" w:evenVBand="0" w:oddHBand="1" w:evenHBand="0" w:firstRowFirstColumn="0" w:firstRowLastColumn="0" w:lastRowFirstColumn="0" w:lastRowLastColumn="0"/>
              <w:rPr>
                <w:lang w:eastAsia="zh-CN"/>
              </w:rPr>
            </w:pPr>
            <w:r w:rsidRPr="00B433A3">
              <w:rPr>
                <w:lang w:eastAsia="zh-CN"/>
              </w:rPr>
              <w:t>51</w:t>
            </w:r>
          </w:p>
          <w:p w14:paraId="2C76B275" w14:textId="77777777" w:rsidR="005B6A9C" w:rsidRPr="00B433A3" w:rsidRDefault="005B6A9C" w:rsidP="00B8343E">
            <w:pPr>
              <w:pStyle w:val="Tabletext"/>
              <w:jc w:val="center"/>
              <w:cnfStyle w:val="000000100000" w:firstRow="0" w:lastRow="0" w:firstColumn="0" w:lastColumn="0" w:oddVBand="0" w:evenVBand="0" w:oddHBand="1" w:evenHBand="0" w:firstRowFirstColumn="0" w:firstRowLastColumn="0" w:lastRowFirstColumn="0" w:lastRowLastColumn="0"/>
              <w:rPr>
                <w:sz w:val="20"/>
                <w:lang w:eastAsia="zh-CN"/>
              </w:rPr>
            </w:pPr>
            <w:r w:rsidRPr="00B433A3">
              <w:rPr>
                <w:lang w:eastAsia="zh-CN"/>
              </w:rPr>
              <w:t>(44%)</w:t>
            </w:r>
          </w:p>
        </w:tc>
      </w:tr>
    </w:tbl>
    <w:p w14:paraId="4BEA5014" w14:textId="77777777" w:rsidR="005B6A9C" w:rsidRPr="00B433A3" w:rsidRDefault="005B6A9C" w:rsidP="00B8343E">
      <w:pPr>
        <w:pStyle w:val="Heading3"/>
      </w:pPr>
      <w:r w:rsidRPr="00B433A3">
        <w:t>8.6.2</w:t>
      </w:r>
      <w:r w:rsidRPr="00B433A3">
        <w:tab/>
      </w:r>
      <w:bookmarkStart w:id="272" w:name="lt_pId1499"/>
      <w:r w:rsidRPr="00B433A3">
        <w:t>Promotion et relations avec les médias</w:t>
      </w:r>
      <w:bookmarkEnd w:id="272"/>
    </w:p>
    <w:p w14:paraId="770EE49B" w14:textId="77777777" w:rsidR="005B6A9C" w:rsidRPr="00B433A3" w:rsidRDefault="005B6A9C" w:rsidP="00B8343E">
      <w:r w:rsidRPr="00B433A3">
        <w:t>En 2021, les activités de communication du BR ont porté sur les réunions virtuelles et sur les webinaires organisés par le BR, ainsi que sur la promotion des travaux du Bureau menée en ligne et via les médias sociaux. Le BR a organisé trois webinaires sur les systèmes à satellites entre septembre et novembre 2021. Ces webinaires ont rassemblé 5 476 participants de 135 pays, un véritable record. Ils ont offert la possibilité aux participants d'obtenir des informations à jour sur la situation technique et réglementaire actuelle ainsi que sur l'évolution et les tendances dans le secteur des télécommunications par satellite.</w:t>
      </w:r>
    </w:p>
    <w:p w14:paraId="11650A3E" w14:textId="2986D808" w:rsidR="005B6A9C" w:rsidRPr="00B433A3" w:rsidRDefault="005B6A9C" w:rsidP="00B8343E">
      <w:r w:rsidRPr="00B433A3">
        <w:t xml:space="preserve">Le Bureau des radiocommunications a synthétisé le </w:t>
      </w:r>
      <w:r w:rsidR="006D4AC5" w:rsidRPr="00B433A3">
        <w:t>«</w:t>
      </w:r>
      <w:hyperlink r:id="rId52" w:history="1">
        <w:r w:rsidRPr="00B433A3">
          <w:rPr>
            <w:rStyle w:val="Hyperlink"/>
          </w:rPr>
          <w:t>Best of WRS-20</w:t>
        </w:r>
      </w:hyperlink>
      <w:r w:rsidR="006D4AC5" w:rsidRPr="00B433A3">
        <w:rPr>
          <w:rStyle w:val="Hyperlink"/>
          <w:color w:val="auto"/>
          <w:u w:val="none"/>
        </w:rPr>
        <w:t>»</w:t>
      </w:r>
      <w:r w:rsidRPr="00B433A3">
        <w:rPr>
          <w:rStyle w:val="Hyperlink"/>
          <w:color w:val="auto"/>
          <w:u w:val="none"/>
        </w:rPr>
        <w:t xml:space="preserve"> (le meilleur du séminaire WRS-20), une compilation des vidéos et des présentations montrées au cours du séminaire. Il comporte notamment les présentations relatives à l'application des dispositions du Règlement des radiocommunications, les résultats de la </w:t>
      </w:r>
      <w:r w:rsidRPr="00B433A3">
        <w:t>Conférence mondiale des radiocommunications de 2019, les activités des départements des services de Terre et des services spatiaux, les travaux des différentes commissions d'études de l'UIT-R, ainsi que les tendances actuelles dans différents services de radiocommunication.</w:t>
      </w:r>
    </w:p>
    <w:p w14:paraId="2A2D3068" w14:textId="77777777" w:rsidR="00942C39" w:rsidRPr="00B433A3" w:rsidRDefault="005B6A9C" w:rsidP="00B8343E">
      <w:pPr>
        <w:jc w:val="both"/>
        <w:rPr>
          <w:szCs w:val="24"/>
        </w:rPr>
      </w:pPr>
      <w:r w:rsidRPr="00B433A3">
        <w:rPr>
          <w:szCs w:val="24"/>
        </w:rPr>
        <w:t xml:space="preserve">Au cours de l'année 2021, le Bureau des radiocommunications a publié sept communiqués de presse et communiqués aux Membres. </w:t>
      </w:r>
    </w:p>
    <w:p w14:paraId="6C46B0C8" w14:textId="0F6C1F4C" w:rsidR="005B6A9C" w:rsidRPr="00B433A3" w:rsidRDefault="005B6A9C" w:rsidP="00B8343E">
      <w:pPr>
        <w:rPr>
          <w:szCs w:val="24"/>
        </w:rPr>
      </w:pPr>
      <w:r w:rsidRPr="00B433A3">
        <w:rPr>
          <w:szCs w:val="24"/>
        </w:rPr>
        <w:t xml:space="preserve">Le </w:t>
      </w:r>
      <w:r w:rsidRPr="00B433A3">
        <w:t xml:space="preserve">premier Atelier interrégional de l'UIT sur la préparation de la CMR-23 a rassemblé </w:t>
      </w:r>
      <w:r w:rsidR="00942C39" w:rsidRPr="00B433A3">
        <w:rPr>
          <w:szCs w:val="24"/>
        </w:rPr>
        <w:t>plus de 620 </w:t>
      </w:r>
      <w:r w:rsidRPr="00B433A3">
        <w:rPr>
          <w:szCs w:val="24"/>
        </w:rPr>
        <w:t>participants, dont 448 délégués représentant 70 États Membres, 126</w:t>
      </w:r>
      <w:r w:rsidR="001742A2" w:rsidRPr="00B433A3">
        <w:rPr>
          <w:szCs w:val="24"/>
        </w:rPr>
        <w:t> </w:t>
      </w:r>
      <w:r w:rsidRPr="00B433A3">
        <w:rPr>
          <w:szCs w:val="24"/>
        </w:rPr>
        <w:t>Membres de Secteur ainsi que des représentants d'organisations internationales, d</w:t>
      </w:r>
      <w:r w:rsidR="006D4AC5" w:rsidRPr="00B433A3">
        <w:rPr>
          <w:szCs w:val="24"/>
        </w:rPr>
        <w:t>'</w:t>
      </w:r>
      <w:r w:rsidRPr="00B433A3">
        <w:rPr>
          <w:szCs w:val="24"/>
        </w:rPr>
        <w:t xml:space="preserve">entreprises du secteur des télécommunications, d'associations et d'établissements universitaires. Le </w:t>
      </w:r>
      <w:r w:rsidRPr="00B433A3">
        <w:t>Séminaire RRS</w:t>
      </w:r>
      <w:r w:rsidR="001742A2" w:rsidRPr="00B433A3">
        <w:noBreakHyphen/>
      </w:r>
      <w:r w:rsidRPr="00B433A3">
        <w:t xml:space="preserve">21 pour la région Afrique </w:t>
      </w:r>
      <w:r w:rsidRPr="00B433A3">
        <w:rPr>
          <w:szCs w:val="24"/>
        </w:rPr>
        <w:t xml:space="preserve">a rassemblé plus de 270 participants de 54 pays, dont 42 pays de la région Afrique de l'UIT. Le </w:t>
      </w:r>
      <w:r w:rsidRPr="00B433A3">
        <w:t>Séminaire RRS-21 pour la région</w:t>
      </w:r>
      <w:r w:rsidRPr="00B433A3">
        <w:rPr>
          <w:szCs w:val="24"/>
        </w:rPr>
        <w:t xml:space="preserve"> Asie-Pacifique a attiré 370 pa</w:t>
      </w:r>
      <w:r w:rsidR="00942C39" w:rsidRPr="00B433A3">
        <w:rPr>
          <w:szCs w:val="24"/>
        </w:rPr>
        <w:t>rticipants de plus de 40 </w:t>
      </w:r>
      <w:proofErr w:type="gramStart"/>
      <w:r w:rsidRPr="00B433A3">
        <w:rPr>
          <w:szCs w:val="24"/>
        </w:rPr>
        <w:t>pays;</w:t>
      </w:r>
      <w:proofErr w:type="gramEnd"/>
      <w:r w:rsidRPr="00B433A3">
        <w:rPr>
          <w:szCs w:val="24"/>
        </w:rPr>
        <w:t xml:space="preserve"> quant au Séminaire RRS-21 pour la région Amériques, il a attiré 300 participants représentant 37 pays, dont 28 pays d'Amérique latine et des Caraïbes.</w:t>
      </w:r>
    </w:p>
    <w:p w14:paraId="6EF8D4B3" w14:textId="01AECD04" w:rsidR="005B6A9C" w:rsidRPr="00B433A3" w:rsidRDefault="005B6A9C" w:rsidP="00B8343E">
      <w:pPr>
        <w:rPr>
          <w:szCs w:val="24"/>
        </w:rPr>
      </w:pPr>
      <w:r w:rsidRPr="00B433A3">
        <w:rPr>
          <w:szCs w:val="24"/>
        </w:rPr>
        <w:t>Le Bureau a aussi participé activement à plusieurs journées internationales organisées par les Nations</w:t>
      </w:r>
      <w:r w:rsidR="001742A2" w:rsidRPr="00B433A3">
        <w:rPr>
          <w:szCs w:val="24"/>
        </w:rPr>
        <w:t> </w:t>
      </w:r>
      <w:r w:rsidRPr="00B433A3">
        <w:rPr>
          <w:szCs w:val="24"/>
        </w:rPr>
        <w:t xml:space="preserve">Unies et directement liées aux travaux du BR. Parmi celles-ci, citons notamment la Journée mondiale de la radio, la </w:t>
      </w:r>
      <w:r w:rsidRPr="00B433A3">
        <w:t xml:space="preserve">Journée internationale des femmes et des filles de science, la Journée internationale des femmes, la Journée météorologique mondiale, la Journée internationale des vols spatiaux habités, la Journée mondiale des télécommunications et de la société de l'information, la </w:t>
      </w:r>
      <w:r w:rsidRPr="00B433A3">
        <w:lastRenderedPageBreak/>
        <w:t>Journée mondiale des océans, la Journée mondiale de la mer, la Semaine mondiale de l'espace, la Journée mondiale de la télévision, la Journée mondiale de la normalisation et la journée de l</w:t>
      </w:r>
      <w:r w:rsidR="006D4AC5" w:rsidRPr="00B433A3">
        <w:t>'</w:t>
      </w:r>
      <w:r w:rsidRPr="00B433A3">
        <w:t>aviation civile internationale</w:t>
      </w:r>
      <w:r w:rsidRPr="00B433A3">
        <w:rPr>
          <w:szCs w:val="24"/>
        </w:rPr>
        <w:t>. L'équipe de communication du BR, en étroite collaboration avec les coordonnateurs, a rédigé des articles et des billets de blogs, publiés</w:t>
      </w:r>
      <w:r w:rsidR="00942C39" w:rsidRPr="00B433A3">
        <w:rPr>
          <w:szCs w:val="24"/>
        </w:rPr>
        <w:t xml:space="preserve"> dans les Nouvelles de l'UIT et </w:t>
      </w:r>
      <w:r w:rsidRPr="00B433A3">
        <w:rPr>
          <w:szCs w:val="24"/>
        </w:rPr>
        <w:t>ONU Infos.</w:t>
      </w:r>
    </w:p>
    <w:p w14:paraId="5B04D488" w14:textId="77777777" w:rsidR="005B6A9C" w:rsidRPr="00B433A3" w:rsidRDefault="005B6A9C" w:rsidP="00B8343E">
      <w:pPr>
        <w:pStyle w:val="Heading4"/>
      </w:pPr>
      <w:r w:rsidRPr="00B433A3">
        <w:t>8.6.2.1</w:t>
      </w:r>
      <w:r w:rsidRPr="00B433A3">
        <w:tab/>
      </w:r>
      <w:bookmarkStart w:id="273" w:name="lt_pId1504"/>
      <w:r w:rsidRPr="00B433A3">
        <w:t>Questions les plus fréquemment posées, documents d'information à l'intention des médias et Nouvelles de l'UIT</w:t>
      </w:r>
      <w:bookmarkEnd w:id="273"/>
    </w:p>
    <w:p w14:paraId="635A48D6" w14:textId="77777777" w:rsidR="005B6A9C" w:rsidRPr="00B433A3" w:rsidRDefault="005B6A9C" w:rsidP="00B8343E">
      <w:bookmarkStart w:id="274" w:name="lt_pId1505"/>
      <w:r w:rsidRPr="00B433A3">
        <w:t>En 2021, on a poursuivi l'élaboration ou la tenue à jour des questions les plus fréquemment posées, des documents d'information à l'intention des médias, des articles et des numéros de la revue</w:t>
      </w:r>
      <w:proofErr w:type="gramStart"/>
      <w:r w:rsidRPr="00B433A3">
        <w:t xml:space="preserve"> «Nouvelles</w:t>
      </w:r>
      <w:proofErr w:type="gramEnd"/>
      <w:r w:rsidRPr="00B433A3">
        <w:t xml:space="preserve"> de l'UIT» ci</w:t>
      </w:r>
      <w:r w:rsidRPr="00B433A3">
        <w:noBreakHyphen/>
        <w:t>dessous.</w:t>
      </w:r>
      <w:bookmarkEnd w:id="274"/>
    </w:p>
    <w:p w14:paraId="19A91502" w14:textId="77777777" w:rsidR="005B6A9C" w:rsidRPr="00B433A3" w:rsidRDefault="005B6A9C" w:rsidP="00B8343E">
      <w:bookmarkStart w:id="275" w:name="lt_pId1506"/>
      <w:r w:rsidRPr="00B433A3">
        <w:t xml:space="preserve">Questions les plus fréquemment posées (FAQ) sur les thèmes </w:t>
      </w:r>
      <w:proofErr w:type="gramStart"/>
      <w:r w:rsidRPr="00B433A3">
        <w:t>suivants:</w:t>
      </w:r>
      <w:bookmarkEnd w:id="275"/>
      <w:proofErr w:type="gramEnd"/>
    </w:p>
    <w:p w14:paraId="0697AA59" w14:textId="3C6CD8F9" w:rsidR="005B6A9C" w:rsidRPr="00B433A3" w:rsidRDefault="001742A2" w:rsidP="00B8343E">
      <w:pPr>
        <w:pStyle w:val="enumlev1"/>
      </w:pPr>
      <w:r w:rsidRPr="00B433A3">
        <w:t>–</w:t>
      </w:r>
      <w:r w:rsidR="005B6A9C" w:rsidRPr="00B433A3">
        <w:tab/>
      </w:r>
      <w:hyperlink r:id="rId53" w:tgtFrame="_blank" w:history="1">
        <w:bookmarkStart w:id="276" w:name="lt_pId1507"/>
        <w:r w:rsidR="005B6A9C" w:rsidRPr="00B433A3">
          <w:rPr>
            <w:rStyle w:val="Hyperlink"/>
            <w:bdr w:val="none" w:sz="0" w:space="0" w:color="auto" w:frame="1"/>
          </w:rPr>
          <w:t>Échelle de temps universel (UTC) – Seconde intercalaire</w:t>
        </w:r>
        <w:bookmarkEnd w:id="276"/>
      </w:hyperlink>
    </w:p>
    <w:p w14:paraId="036EC9CA" w14:textId="6338F241" w:rsidR="005B6A9C" w:rsidRPr="00B433A3" w:rsidRDefault="001742A2" w:rsidP="00B8343E">
      <w:pPr>
        <w:pStyle w:val="enumlev1"/>
      </w:pPr>
      <w:bookmarkStart w:id="277" w:name="lt_pId1508"/>
      <w:r w:rsidRPr="00B433A3">
        <w:t>–</w:t>
      </w:r>
      <w:r w:rsidR="005B6A9C" w:rsidRPr="00B433A3">
        <w:tab/>
      </w:r>
      <w:hyperlink r:id="rId54" w:tgtFrame="_blank" w:history="1">
        <w:r w:rsidR="005B6A9C" w:rsidRPr="00B433A3">
          <w:rPr>
            <w:rStyle w:val="Hyperlink"/>
          </w:rPr>
          <w:t>Télé</w:t>
        </w:r>
        <w:r w:rsidR="005B6A9C" w:rsidRPr="00B433A3">
          <w:rPr>
            <w:rStyle w:val="Hyperlink"/>
            <w:bdr w:val="none" w:sz="0" w:space="0" w:color="auto" w:frame="1"/>
          </w:rPr>
          <w:t>communications mobiles internationales (IMT)</w:t>
        </w:r>
      </w:hyperlink>
      <w:bookmarkEnd w:id="277"/>
    </w:p>
    <w:p w14:paraId="4C3FF95D" w14:textId="4FC0926C" w:rsidR="005B6A9C" w:rsidRPr="00B433A3" w:rsidRDefault="001742A2" w:rsidP="00B8343E">
      <w:pPr>
        <w:pStyle w:val="enumlev1"/>
      </w:pPr>
      <w:r w:rsidRPr="00B433A3">
        <w:t>–</w:t>
      </w:r>
      <w:r w:rsidR="005B6A9C" w:rsidRPr="00B433A3">
        <w:tab/>
      </w:r>
      <w:hyperlink r:id="rId55" w:tgtFrame="_blank" w:history="1">
        <w:bookmarkStart w:id="278" w:name="lt_pId1509"/>
        <w:r w:rsidR="005B6A9C" w:rsidRPr="00B433A3">
          <w:rPr>
            <w:rStyle w:val="Hyperlink"/>
            <w:bdr w:val="none" w:sz="0" w:space="0" w:color="auto" w:frame="1"/>
          </w:rPr>
          <w:t xml:space="preserve">Dividende numérique et passage au </w:t>
        </w:r>
        <w:bookmarkEnd w:id="278"/>
        <w:r w:rsidR="005B6A9C" w:rsidRPr="00B433A3">
          <w:rPr>
            <w:rStyle w:val="Hyperlink"/>
            <w:bdr w:val="none" w:sz="0" w:space="0" w:color="auto" w:frame="1"/>
          </w:rPr>
          <w:t xml:space="preserve">numérique </w:t>
        </w:r>
      </w:hyperlink>
    </w:p>
    <w:p w14:paraId="4D4E3A5A" w14:textId="7A760283" w:rsidR="005B6A9C" w:rsidRPr="00B433A3" w:rsidRDefault="001742A2" w:rsidP="00B8343E">
      <w:pPr>
        <w:pStyle w:val="enumlev1"/>
        <w:rPr>
          <w:rStyle w:val="Hyperlink"/>
          <w:bdr w:val="none" w:sz="0" w:space="0" w:color="auto" w:frame="1"/>
        </w:rPr>
      </w:pPr>
      <w:r w:rsidRPr="00B433A3">
        <w:t>–</w:t>
      </w:r>
      <w:r w:rsidR="005B6A9C" w:rsidRPr="00B433A3">
        <w:tab/>
      </w:r>
      <w:hyperlink r:id="rId56" w:tgtFrame="_blank" w:history="1">
        <w:bookmarkStart w:id="279" w:name="lt_pId1510"/>
        <w:r w:rsidR="005B6A9C" w:rsidRPr="00B433A3">
          <w:rPr>
            <w:rStyle w:val="Hyperlink"/>
            <w:bdr w:val="none" w:sz="0" w:space="0" w:color="auto" w:frame="1"/>
          </w:rPr>
          <w:t>Règlement des radiocommunications</w:t>
        </w:r>
        <w:bookmarkEnd w:id="279"/>
      </w:hyperlink>
    </w:p>
    <w:p w14:paraId="4D21792B" w14:textId="77777777" w:rsidR="005B6A9C" w:rsidRPr="00B433A3" w:rsidRDefault="005B6A9C" w:rsidP="00B8343E">
      <w:pPr>
        <w:tabs>
          <w:tab w:val="left" w:pos="720"/>
        </w:tabs>
        <w:overflowPunct/>
        <w:autoSpaceDE/>
        <w:adjustRightInd/>
        <w:rPr>
          <w:szCs w:val="24"/>
        </w:rPr>
      </w:pPr>
      <w:r w:rsidRPr="00B433A3">
        <w:rPr>
          <w:szCs w:val="24"/>
        </w:rPr>
        <w:t xml:space="preserve">Documents d'information à l'intention des médias et du grand </w:t>
      </w:r>
      <w:proofErr w:type="gramStart"/>
      <w:r w:rsidRPr="00B433A3">
        <w:rPr>
          <w:szCs w:val="24"/>
        </w:rPr>
        <w:t>public:</w:t>
      </w:r>
      <w:proofErr w:type="gramEnd"/>
    </w:p>
    <w:p w14:paraId="183244BC" w14:textId="12666890" w:rsidR="005B6A9C" w:rsidRPr="00B433A3" w:rsidRDefault="001742A2" w:rsidP="00B8343E">
      <w:pPr>
        <w:pStyle w:val="enumlev1"/>
        <w:rPr>
          <w:bdr w:val="none" w:sz="0" w:space="0" w:color="auto" w:frame="1"/>
        </w:rPr>
      </w:pPr>
      <w:r w:rsidRPr="00B433A3">
        <w:t>–</w:t>
      </w:r>
      <w:r w:rsidR="005B6A9C" w:rsidRPr="00B433A3">
        <w:tab/>
        <w:t xml:space="preserve">Questions relatives aux services de </w:t>
      </w:r>
      <w:proofErr w:type="gramStart"/>
      <w:r w:rsidR="005B6A9C" w:rsidRPr="00B433A3">
        <w:t>Terre:</w:t>
      </w:r>
      <w:proofErr w:type="gramEnd"/>
    </w:p>
    <w:p w14:paraId="5B83992B" w14:textId="0B21800A" w:rsidR="005B6A9C" w:rsidRPr="00B433A3" w:rsidRDefault="001742A2" w:rsidP="00B8343E">
      <w:pPr>
        <w:pStyle w:val="enumlev2"/>
        <w:rPr>
          <w:rStyle w:val="Hyperlink"/>
          <w:szCs w:val="24"/>
        </w:rPr>
      </w:pPr>
      <w:r w:rsidRPr="00B433A3">
        <w:t>•</w:t>
      </w:r>
      <w:r w:rsidR="005B6A9C" w:rsidRPr="00B433A3">
        <w:tab/>
      </w:r>
      <w:hyperlink r:id="rId57" w:history="1">
        <w:bookmarkStart w:id="280" w:name="lt_pId1512"/>
        <w:r w:rsidR="005B6A9C" w:rsidRPr="00B433A3">
          <w:rPr>
            <w:rStyle w:val="Hyperlink"/>
            <w:bdr w:val="none" w:sz="0" w:space="0" w:color="auto" w:frame="1"/>
          </w:rPr>
          <w:t>5G – Technologies mobiles de cinquième génération (IMT-2020 et au-</w:t>
        </w:r>
        <w:bookmarkEnd w:id="280"/>
        <w:r w:rsidR="005B6A9C" w:rsidRPr="00B433A3">
          <w:rPr>
            <w:rStyle w:val="Hyperlink"/>
            <w:bdr w:val="none" w:sz="0" w:space="0" w:color="auto" w:frame="1"/>
          </w:rPr>
          <w:t>delà)</w:t>
        </w:r>
      </w:hyperlink>
    </w:p>
    <w:p w14:paraId="6297DB4A" w14:textId="05E37077" w:rsidR="005B6A9C" w:rsidRPr="00B433A3" w:rsidRDefault="001742A2" w:rsidP="00B8343E">
      <w:pPr>
        <w:pStyle w:val="enumlev2"/>
        <w:rPr>
          <w:rStyle w:val="Hyperlink"/>
          <w:szCs w:val="24"/>
          <w:bdr w:val="none" w:sz="0" w:space="0" w:color="auto" w:frame="1"/>
        </w:rPr>
      </w:pPr>
      <w:r w:rsidRPr="00B433A3">
        <w:t>•</w:t>
      </w:r>
      <w:r w:rsidR="005B6A9C" w:rsidRPr="00B433A3">
        <w:tab/>
      </w:r>
      <w:hyperlink r:id="rId58" w:history="1">
        <w:r w:rsidR="005B6A9C" w:rsidRPr="00B433A3">
          <w:rPr>
            <w:rStyle w:val="Hyperlink"/>
            <w:szCs w:val="24"/>
            <w:bdr w:val="none" w:sz="0" w:space="0" w:color="auto" w:frame="1"/>
          </w:rPr>
          <w:t>5G, exposition des personnes aux champs électromagnétiques et santé</w:t>
        </w:r>
      </w:hyperlink>
    </w:p>
    <w:p w14:paraId="76C48976" w14:textId="171F8484" w:rsidR="005B6A9C" w:rsidRPr="00B433A3" w:rsidRDefault="001742A2" w:rsidP="00B8343E">
      <w:pPr>
        <w:pStyle w:val="enumlev2"/>
        <w:rPr>
          <w:rStyle w:val="Hyperlink"/>
          <w:bdr w:val="none" w:sz="0" w:space="0" w:color="auto" w:frame="1"/>
        </w:rPr>
      </w:pPr>
      <w:r w:rsidRPr="00B433A3">
        <w:t>•</w:t>
      </w:r>
      <w:r w:rsidR="005B6A9C" w:rsidRPr="00B433A3">
        <w:tab/>
      </w:r>
      <w:hyperlink r:id="rId59" w:history="1">
        <w:r w:rsidR="005B6A9C" w:rsidRPr="00B433A3">
          <w:rPr>
            <w:rStyle w:val="Hyperlink"/>
            <w:bdr w:val="none" w:sz="0" w:space="0" w:color="auto" w:frame="1"/>
          </w:rPr>
          <w:t>Stations placées sur des plates-formes à haute altitude (HAPS)</w:t>
        </w:r>
      </w:hyperlink>
    </w:p>
    <w:p w14:paraId="6CDA5D10" w14:textId="2FD4B258" w:rsidR="005B6A9C" w:rsidRPr="00B433A3" w:rsidRDefault="001742A2" w:rsidP="00B8343E">
      <w:pPr>
        <w:pStyle w:val="enumlev2"/>
        <w:rPr>
          <w:rStyle w:val="Hyperlink"/>
          <w:szCs w:val="24"/>
          <w:bdr w:val="none" w:sz="0" w:space="0" w:color="auto" w:frame="1"/>
        </w:rPr>
      </w:pPr>
      <w:r w:rsidRPr="00B433A3">
        <w:t>•</w:t>
      </w:r>
      <w:r w:rsidR="005B6A9C" w:rsidRPr="00B433A3">
        <w:tab/>
      </w:r>
      <w:hyperlink r:id="rId60" w:history="1">
        <w:r w:rsidR="005B6A9C" w:rsidRPr="00B433A3">
          <w:rPr>
            <w:rStyle w:val="Hyperlink"/>
          </w:rPr>
          <w:t>Garantir la sécurité des personnes et des navires en mer par les radiocommunications</w:t>
        </w:r>
      </w:hyperlink>
    </w:p>
    <w:p w14:paraId="10312FEB" w14:textId="327828A2" w:rsidR="005B6A9C" w:rsidRPr="00B433A3" w:rsidRDefault="001742A2" w:rsidP="00B8343E">
      <w:pPr>
        <w:pStyle w:val="enumlev1"/>
        <w:rPr>
          <w:rStyle w:val="Hyperlink"/>
          <w:bdr w:val="none" w:sz="0" w:space="0" w:color="auto" w:frame="1"/>
        </w:rPr>
      </w:pPr>
      <w:r w:rsidRPr="00B433A3">
        <w:t>–</w:t>
      </w:r>
      <w:r w:rsidR="005B6A9C" w:rsidRPr="00B433A3">
        <w:tab/>
      </w:r>
      <w:hyperlink r:id="rId61" w:history="1">
        <w:bookmarkStart w:id="281" w:name="lt_pId1514"/>
        <w:r w:rsidR="005B6A9C" w:rsidRPr="00B433A3">
          <w:rPr>
            <w:rStyle w:val="Hyperlink"/>
            <w:bdr w:val="none" w:sz="0" w:space="0" w:color="auto" w:frame="1"/>
          </w:rPr>
          <w:t>Commissions d'études de l'UIT</w:t>
        </w:r>
        <w:bookmarkEnd w:id="281"/>
      </w:hyperlink>
    </w:p>
    <w:p w14:paraId="4A07FCA6" w14:textId="2729ACA6" w:rsidR="005B6A9C" w:rsidRPr="00B433A3" w:rsidRDefault="001742A2" w:rsidP="00B8343E">
      <w:pPr>
        <w:pStyle w:val="enumlev1"/>
        <w:rPr>
          <w:rStyle w:val="Hyperlink"/>
          <w:bdr w:val="none" w:sz="0" w:space="0" w:color="auto" w:frame="1"/>
        </w:rPr>
      </w:pPr>
      <w:r w:rsidRPr="00B433A3">
        <w:t>–</w:t>
      </w:r>
      <w:r w:rsidR="005B6A9C" w:rsidRPr="00B433A3">
        <w:tab/>
      </w:r>
      <w:hyperlink r:id="rId62" w:history="1">
        <w:r w:rsidR="005B6A9C" w:rsidRPr="00B433A3">
          <w:rPr>
            <w:rStyle w:val="Hyperlink"/>
            <w:bdr w:val="none" w:sz="0" w:space="0" w:color="auto" w:frame="1"/>
          </w:rPr>
          <w:t>UIT-</w:t>
        </w:r>
        <w:proofErr w:type="gramStart"/>
        <w:r w:rsidR="005B6A9C" w:rsidRPr="00B433A3">
          <w:rPr>
            <w:rStyle w:val="Hyperlink"/>
            <w:bdr w:val="none" w:sz="0" w:space="0" w:color="auto" w:frame="1"/>
          </w:rPr>
          <w:t>R:</w:t>
        </w:r>
        <w:proofErr w:type="gramEnd"/>
        <w:r w:rsidR="005B6A9C" w:rsidRPr="00B433A3">
          <w:rPr>
            <w:rStyle w:val="Hyperlink"/>
            <w:bdr w:val="none" w:sz="0" w:space="0" w:color="auto" w:frame="1"/>
          </w:rPr>
          <w:t xml:space="preserve"> Gérer le spectre des fréquences radioélectriques dans l'intérêt de l'humanité tout entière</w:t>
        </w:r>
      </w:hyperlink>
    </w:p>
    <w:p w14:paraId="2F744193" w14:textId="62A0FF3D" w:rsidR="005B6A9C" w:rsidRPr="00B433A3" w:rsidRDefault="001742A2" w:rsidP="00B8343E">
      <w:pPr>
        <w:pStyle w:val="enumlev1"/>
      </w:pPr>
      <w:r w:rsidRPr="00B433A3">
        <w:t>–</w:t>
      </w:r>
      <w:r w:rsidR="005B6A9C" w:rsidRPr="00B433A3">
        <w:tab/>
        <w:t xml:space="preserve">Questions relatives aux services par </w:t>
      </w:r>
      <w:proofErr w:type="gramStart"/>
      <w:r w:rsidR="005B6A9C" w:rsidRPr="00B433A3">
        <w:t>satellite:</w:t>
      </w:r>
      <w:proofErr w:type="gramEnd"/>
    </w:p>
    <w:p w14:paraId="1A047301" w14:textId="31A7CD3C" w:rsidR="005B6A9C" w:rsidRPr="00B433A3" w:rsidRDefault="001742A2" w:rsidP="00B8343E">
      <w:pPr>
        <w:pStyle w:val="enumlev2"/>
        <w:rPr>
          <w:rStyle w:val="Hyperlink"/>
          <w:bdr w:val="none" w:sz="0" w:space="0" w:color="auto" w:frame="1"/>
        </w:rPr>
      </w:pPr>
      <w:r w:rsidRPr="00B433A3">
        <w:t>•</w:t>
      </w:r>
      <w:r w:rsidR="005B6A9C" w:rsidRPr="00B433A3">
        <w:tab/>
      </w:r>
      <w:hyperlink r:id="rId63" w:history="1">
        <w:r w:rsidR="005B6A9C" w:rsidRPr="00B433A3">
          <w:rPr>
            <w:rStyle w:val="Hyperlink"/>
            <w:bdr w:val="none" w:sz="0" w:space="0" w:color="auto" w:frame="1"/>
          </w:rPr>
          <w:t>Stations terriennes en mouvement (ESIM)</w:t>
        </w:r>
      </w:hyperlink>
    </w:p>
    <w:p w14:paraId="37BCB598" w14:textId="7F6F7D78" w:rsidR="005B6A9C" w:rsidRPr="00B433A3" w:rsidRDefault="001742A2" w:rsidP="00B8343E">
      <w:pPr>
        <w:pStyle w:val="enumlev2"/>
        <w:rPr>
          <w:rStyle w:val="Hyperlink"/>
          <w:bdr w:val="none" w:sz="0" w:space="0" w:color="auto" w:frame="1"/>
        </w:rPr>
      </w:pPr>
      <w:r w:rsidRPr="00B433A3">
        <w:t>•</w:t>
      </w:r>
      <w:r w:rsidR="005B6A9C" w:rsidRPr="00B433A3">
        <w:tab/>
      </w:r>
      <w:hyperlink r:id="rId64" w:history="1">
        <w:r w:rsidR="005B6A9C" w:rsidRPr="00B433A3">
          <w:rPr>
            <w:rStyle w:val="Hyperlink"/>
            <w:szCs w:val="24"/>
            <w:bdr w:val="none" w:sz="0" w:space="0" w:color="auto" w:frame="1"/>
          </w:rPr>
          <w:t>Systèmes à satellites non OSG</w:t>
        </w:r>
      </w:hyperlink>
    </w:p>
    <w:p w14:paraId="5D8F65F4" w14:textId="2EE40EF1" w:rsidR="005B6A9C" w:rsidRPr="00B433A3" w:rsidRDefault="001742A2" w:rsidP="00B8343E">
      <w:pPr>
        <w:pStyle w:val="enumlev2"/>
        <w:rPr>
          <w:rStyle w:val="Hyperlink"/>
        </w:rPr>
      </w:pPr>
      <w:r w:rsidRPr="00B433A3">
        <w:t>•</w:t>
      </w:r>
      <w:r w:rsidR="005B6A9C" w:rsidRPr="00B433A3">
        <w:tab/>
      </w:r>
      <w:hyperlink r:id="rId65" w:history="1">
        <w:r w:rsidR="005B6A9C" w:rsidRPr="00B433A3">
          <w:rPr>
            <w:rStyle w:val="Hyperlink"/>
          </w:rPr>
          <w:t>Systèmes à satellites non OSG associés à des missions de courte durée</w:t>
        </w:r>
      </w:hyperlink>
    </w:p>
    <w:p w14:paraId="61472465" w14:textId="00A41097" w:rsidR="005B6A9C" w:rsidRPr="00B433A3" w:rsidRDefault="005B6A9C" w:rsidP="00B8343E">
      <w:pPr>
        <w:rPr>
          <w:rFonts w:eastAsia="SimSun"/>
        </w:rPr>
      </w:pPr>
      <w:proofErr w:type="spellStart"/>
      <w:r w:rsidRPr="00B433A3">
        <w:rPr>
          <w:rFonts w:eastAsia="SimSun"/>
        </w:rPr>
        <w:t>MyITU</w:t>
      </w:r>
      <w:proofErr w:type="spellEnd"/>
    </w:p>
    <w:p w14:paraId="014C1FF8" w14:textId="47FB1514" w:rsidR="005B6A9C" w:rsidRPr="00B433A3" w:rsidRDefault="005B6A9C" w:rsidP="00B8343E">
      <w:pPr>
        <w:jc w:val="both"/>
        <w:rPr>
          <w:rFonts w:eastAsia="Calibri"/>
          <w:szCs w:val="24"/>
        </w:rPr>
      </w:pPr>
      <w:r w:rsidRPr="00B433A3">
        <w:rPr>
          <w:rFonts w:eastAsia="Calibri"/>
          <w:szCs w:val="24"/>
        </w:rPr>
        <w:t xml:space="preserve">En 2021, le Bureau des radiocommunications a publié deux éditions spéciales des Nouvelles de l'UIT, </w:t>
      </w:r>
      <w:proofErr w:type="gramStart"/>
      <w:r w:rsidRPr="00B433A3">
        <w:rPr>
          <w:rFonts w:eastAsia="Calibri"/>
          <w:szCs w:val="24"/>
        </w:rPr>
        <w:t>intitulées:</w:t>
      </w:r>
      <w:proofErr w:type="gramEnd"/>
    </w:p>
    <w:p w14:paraId="6073286F" w14:textId="6F86CBA1" w:rsidR="005B6A9C" w:rsidRPr="00B433A3" w:rsidRDefault="002D5A62" w:rsidP="00B8343E">
      <w:pPr>
        <w:pStyle w:val="enumlev1"/>
        <w:rPr>
          <w:rFonts w:eastAsia="Calibri"/>
        </w:rPr>
      </w:pPr>
      <w:r w:rsidRPr="00B433A3">
        <w:t>–</w:t>
      </w:r>
      <w:r w:rsidR="005B6A9C" w:rsidRPr="00B433A3">
        <w:tab/>
      </w:r>
      <w:hyperlink r:id="rId66" w:history="1">
        <w:r w:rsidR="005B6A9C" w:rsidRPr="00B433A3">
          <w:rPr>
            <w:rStyle w:val="Hyperlink"/>
            <w:rFonts w:eastAsia="Calibri"/>
          </w:rPr>
          <w:t>Nouveau monde, nouvelle radio</w:t>
        </w:r>
      </w:hyperlink>
      <w:r w:rsidR="005B6A9C" w:rsidRPr="00B433A3">
        <w:rPr>
          <w:rFonts w:eastAsia="Calibri"/>
        </w:rPr>
        <w:t>: L'UIT célèbre la Journée mondiale de la radio</w:t>
      </w:r>
    </w:p>
    <w:p w14:paraId="3CE32522" w14:textId="7FC88CB5" w:rsidR="005B6A9C" w:rsidRPr="00B433A3" w:rsidRDefault="002D5A62" w:rsidP="00B8343E">
      <w:pPr>
        <w:pStyle w:val="enumlev1"/>
        <w:rPr>
          <w:rFonts w:eastAsia="Calibri"/>
        </w:rPr>
      </w:pPr>
      <w:r w:rsidRPr="00B433A3">
        <w:t>–</w:t>
      </w:r>
      <w:r w:rsidR="005B6A9C" w:rsidRPr="00B433A3">
        <w:tab/>
      </w:r>
      <w:hyperlink r:id="rId67" w:history="1">
        <w:r w:rsidR="005B6A9C" w:rsidRPr="00B433A3">
          <w:rPr>
            <w:rStyle w:val="Hyperlink"/>
            <w:rFonts w:eastAsia="Calibri"/>
          </w:rPr>
          <w:t>Femmes dirigeantes dans les domaines des radiocommunications et de l'espace</w:t>
        </w:r>
      </w:hyperlink>
    </w:p>
    <w:p w14:paraId="7114637D" w14:textId="08723C2B" w:rsidR="005B6A9C" w:rsidRPr="00B433A3" w:rsidRDefault="005B6A9C" w:rsidP="00B8343E">
      <w:pPr>
        <w:rPr>
          <w:rFonts w:eastAsia="Calibri"/>
        </w:rPr>
      </w:pPr>
      <w:r w:rsidRPr="00B433A3">
        <w:rPr>
          <w:rFonts w:eastAsia="Calibri"/>
        </w:rPr>
        <w:t xml:space="preserve">Le Directeur du Bureau des radiocommunications a régulièrement contribué aux articles, aux billets de blog et aux podcasts des Nouvelles de l'UIT. Les articles suivants ont été publiés sous son </w:t>
      </w:r>
      <w:proofErr w:type="gramStart"/>
      <w:r w:rsidRPr="00B433A3">
        <w:rPr>
          <w:rFonts w:eastAsia="Calibri"/>
        </w:rPr>
        <w:t>nom:</w:t>
      </w:r>
      <w:proofErr w:type="gramEnd"/>
    </w:p>
    <w:p w14:paraId="36399FF5" w14:textId="41DAFE3C" w:rsidR="005B6A9C" w:rsidRPr="00B433A3" w:rsidRDefault="002D5A62" w:rsidP="00B8343E">
      <w:pPr>
        <w:pStyle w:val="enumlev1"/>
        <w:rPr>
          <w:i/>
          <w:iCs/>
        </w:rPr>
      </w:pPr>
      <w:r w:rsidRPr="00B433A3">
        <w:t>–</w:t>
      </w:r>
      <w:r w:rsidR="005B6A9C" w:rsidRPr="00B433A3">
        <w:tab/>
      </w:r>
      <w:r w:rsidR="005B6A9C" w:rsidRPr="00B433A3">
        <w:rPr>
          <w:bdr w:val="none" w:sz="0" w:space="0" w:color="auto" w:frame="1"/>
        </w:rPr>
        <w:t xml:space="preserve">Journée mondiale de la radio: </w:t>
      </w:r>
      <w:hyperlink r:id="rId68" w:history="1">
        <w:r w:rsidR="005B6A9C" w:rsidRPr="00B433A3">
          <w:rPr>
            <w:rStyle w:val="Hyperlink"/>
            <w:rFonts w:eastAsia="Calibri"/>
            <w:szCs w:val="24"/>
          </w:rPr>
          <w:t>2021</w:t>
        </w:r>
      </w:hyperlink>
      <w:r w:rsidR="005B6A9C" w:rsidRPr="00B433A3">
        <w:rPr>
          <w:rStyle w:val="Hyperlink"/>
          <w:rFonts w:eastAsia="Calibri"/>
          <w:szCs w:val="24"/>
        </w:rPr>
        <w:t xml:space="preserve">: </w:t>
      </w:r>
      <w:hyperlink r:id="rId69" w:history="1">
        <w:r w:rsidR="005B6A9C" w:rsidRPr="00B433A3">
          <w:rPr>
            <w:rStyle w:val="Hyperlink"/>
            <w:rFonts w:eastAsia="Calibri"/>
            <w:szCs w:val="24"/>
          </w:rPr>
          <w:t>La résilience de la radio à l'honneur</w:t>
        </w:r>
      </w:hyperlink>
    </w:p>
    <w:p w14:paraId="5BBA430F" w14:textId="6473C28A" w:rsidR="005B6A9C" w:rsidRPr="00B433A3" w:rsidRDefault="002D5A62" w:rsidP="00B8343E">
      <w:pPr>
        <w:pStyle w:val="enumlev1"/>
        <w:rPr>
          <w:rFonts w:eastAsia="Calibri"/>
        </w:rPr>
      </w:pPr>
      <w:r w:rsidRPr="00B433A3">
        <w:t>–</w:t>
      </w:r>
      <w:r w:rsidR="005B6A9C" w:rsidRPr="00B433A3">
        <w:tab/>
      </w:r>
      <w:hyperlink r:id="rId70" w:history="1">
        <w:r w:rsidR="005B6A9C" w:rsidRPr="00B433A3">
          <w:rPr>
            <w:rStyle w:val="Hyperlink"/>
          </w:rPr>
          <w:t xml:space="preserve">Nouveau monde, Nouvelle </w:t>
        </w:r>
        <w:proofErr w:type="gramStart"/>
        <w:r w:rsidR="005B6A9C" w:rsidRPr="00B433A3">
          <w:rPr>
            <w:rStyle w:val="Hyperlink"/>
          </w:rPr>
          <w:t>radio</w:t>
        </w:r>
        <w:r w:rsidR="00A11F6E" w:rsidRPr="00B433A3">
          <w:rPr>
            <w:rStyle w:val="Hyperlink"/>
          </w:rPr>
          <w:t>:</w:t>
        </w:r>
        <w:proofErr w:type="gramEnd"/>
        <w:r w:rsidR="005B6A9C" w:rsidRPr="00B433A3">
          <w:rPr>
            <w:rStyle w:val="Hyperlink"/>
          </w:rPr>
          <w:t xml:space="preserve"> Célébrer la résilience du médium le plus utilisé dans le monde</w:t>
        </w:r>
      </w:hyperlink>
    </w:p>
    <w:p w14:paraId="13AB741D" w14:textId="1D733259" w:rsidR="005B6A9C" w:rsidRPr="00B433A3" w:rsidRDefault="002D5A62" w:rsidP="00B8343E">
      <w:pPr>
        <w:pStyle w:val="enumlev1"/>
        <w:rPr>
          <w:rFonts w:eastAsia="Calibri"/>
        </w:rPr>
      </w:pPr>
      <w:r w:rsidRPr="00B433A3">
        <w:t>–</w:t>
      </w:r>
      <w:r w:rsidR="005B6A9C" w:rsidRPr="00B433A3">
        <w:tab/>
      </w:r>
      <w:r w:rsidR="005B6A9C" w:rsidRPr="00B433A3">
        <w:rPr>
          <w:bdr w:val="none" w:sz="0" w:space="0" w:color="auto" w:frame="1"/>
        </w:rPr>
        <w:t xml:space="preserve">Journée mondiale de la </w:t>
      </w:r>
      <w:proofErr w:type="gramStart"/>
      <w:r w:rsidR="005B6A9C" w:rsidRPr="00B433A3">
        <w:rPr>
          <w:bdr w:val="none" w:sz="0" w:space="0" w:color="auto" w:frame="1"/>
        </w:rPr>
        <w:t>radio:</w:t>
      </w:r>
      <w:proofErr w:type="gramEnd"/>
      <w:r w:rsidR="005B6A9C" w:rsidRPr="00B433A3">
        <w:t>2021: Podcast-</w:t>
      </w:r>
      <w:proofErr w:type="spellStart"/>
      <w:r w:rsidR="00037824">
        <w:fldChar w:fldCharType="begin"/>
      </w:r>
      <w:r w:rsidR="00037824">
        <w:instrText xml:space="preserve"> HYPERLINK "https://soundc</w:instrText>
      </w:r>
      <w:r w:rsidR="00037824">
        <w:instrText xml:space="preserve">loud.com/ituproduction/technology-for-good-8-the-resilience-of-radio" </w:instrText>
      </w:r>
      <w:r w:rsidR="00037824">
        <w:fldChar w:fldCharType="separate"/>
      </w:r>
      <w:r w:rsidR="005B6A9C" w:rsidRPr="00B433A3">
        <w:rPr>
          <w:rStyle w:val="Hyperlink"/>
        </w:rPr>
        <w:t>Technology</w:t>
      </w:r>
      <w:proofErr w:type="spellEnd"/>
      <w:r w:rsidR="005B6A9C" w:rsidRPr="00B433A3">
        <w:rPr>
          <w:rStyle w:val="Hyperlink"/>
        </w:rPr>
        <w:t xml:space="preserve"> for Good: The </w:t>
      </w:r>
      <w:proofErr w:type="spellStart"/>
      <w:r w:rsidR="005B6A9C" w:rsidRPr="00B433A3">
        <w:rPr>
          <w:rStyle w:val="Hyperlink"/>
        </w:rPr>
        <w:t>resilience</w:t>
      </w:r>
      <w:proofErr w:type="spellEnd"/>
      <w:r w:rsidR="005B6A9C" w:rsidRPr="00B433A3">
        <w:rPr>
          <w:rStyle w:val="Hyperlink"/>
        </w:rPr>
        <w:t xml:space="preserve"> of radio</w:t>
      </w:r>
      <w:r w:rsidR="00037824">
        <w:rPr>
          <w:rStyle w:val="Hyperlink"/>
        </w:rPr>
        <w:fldChar w:fldCharType="end"/>
      </w:r>
      <w:r w:rsidR="005B6A9C" w:rsidRPr="00B433A3">
        <w:rPr>
          <w:rStyle w:val="Hyperlink"/>
        </w:rPr>
        <w:t xml:space="preserve"> </w:t>
      </w:r>
      <w:r w:rsidR="005B6A9C" w:rsidRPr="00B433A3">
        <w:rPr>
          <w:rStyle w:val="Hyperlink"/>
          <w:color w:val="auto"/>
          <w:u w:val="none"/>
        </w:rPr>
        <w:t>(</w:t>
      </w:r>
      <w:r w:rsidR="005B6A9C" w:rsidRPr="00B433A3">
        <w:rPr>
          <w:rStyle w:val="Hyperlink"/>
          <w:i/>
          <w:iCs/>
          <w:color w:val="auto"/>
          <w:u w:val="none"/>
        </w:rPr>
        <w:t>La technologie au service du progrès: la résilience de la radio</w:t>
      </w:r>
      <w:r w:rsidR="005B6A9C" w:rsidRPr="00B433A3">
        <w:rPr>
          <w:rStyle w:val="Hyperlink"/>
          <w:color w:val="auto"/>
          <w:u w:val="none"/>
        </w:rPr>
        <w:t>)</w:t>
      </w:r>
    </w:p>
    <w:p w14:paraId="339231F6" w14:textId="085C8113" w:rsidR="005B6A9C" w:rsidRPr="00B433A3" w:rsidRDefault="002D5A62" w:rsidP="00B8343E">
      <w:pPr>
        <w:pStyle w:val="enumlev1"/>
      </w:pPr>
      <w:r w:rsidRPr="00B433A3">
        <w:lastRenderedPageBreak/>
        <w:t>–</w:t>
      </w:r>
      <w:r w:rsidR="005B6A9C" w:rsidRPr="00B433A3">
        <w:tab/>
      </w:r>
      <w:hyperlink r:id="rId71" w:history="1">
        <w:r w:rsidR="005B6A9C" w:rsidRPr="00B433A3">
          <w:rPr>
            <w:rStyle w:val="Hyperlink"/>
          </w:rPr>
          <w:t xml:space="preserve">World Maritime </w:t>
        </w:r>
        <w:proofErr w:type="gramStart"/>
        <w:r w:rsidR="005B6A9C" w:rsidRPr="00B433A3">
          <w:rPr>
            <w:rStyle w:val="Hyperlink"/>
          </w:rPr>
          <w:t>Day:</w:t>
        </w:r>
        <w:proofErr w:type="gramEnd"/>
        <w:r w:rsidR="005B6A9C" w:rsidRPr="00B433A3">
          <w:rPr>
            <w:rStyle w:val="Hyperlink"/>
          </w:rPr>
          <w:t xml:space="preserve"> </w:t>
        </w:r>
        <w:proofErr w:type="spellStart"/>
        <w:r w:rsidR="005B6A9C" w:rsidRPr="00B433A3">
          <w:rPr>
            <w:rStyle w:val="Hyperlink"/>
          </w:rPr>
          <w:t>Keeping</w:t>
        </w:r>
        <w:proofErr w:type="spellEnd"/>
        <w:r w:rsidR="005B6A9C" w:rsidRPr="00B433A3">
          <w:rPr>
            <w:rStyle w:val="Hyperlink"/>
          </w:rPr>
          <w:t xml:space="preserve"> </w:t>
        </w:r>
        <w:proofErr w:type="spellStart"/>
        <w:r w:rsidR="005B6A9C" w:rsidRPr="00B433A3">
          <w:rPr>
            <w:rStyle w:val="Hyperlink"/>
          </w:rPr>
          <w:t>seafarers</w:t>
        </w:r>
        <w:proofErr w:type="spellEnd"/>
        <w:r w:rsidR="005B6A9C" w:rsidRPr="00B433A3">
          <w:rPr>
            <w:rStyle w:val="Hyperlink"/>
          </w:rPr>
          <w:t xml:space="preserve"> </w:t>
        </w:r>
        <w:proofErr w:type="spellStart"/>
        <w:r w:rsidR="005B6A9C" w:rsidRPr="00B433A3">
          <w:rPr>
            <w:rStyle w:val="Hyperlink"/>
          </w:rPr>
          <w:t>safe</w:t>
        </w:r>
        <w:proofErr w:type="spellEnd"/>
        <w:r w:rsidR="005B6A9C" w:rsidRPr="00B433A3">
          <w:rPr>
            <w:rStyle w:val="Hyperlink"/>
          </w:rPr>
          <w:t xml:space="preserve"> and </w:t>
        </w:r>
        <w:proofErr w:type="spellStart"/>
        <w:r w:rsidR="005B6A9C" w:rsidRPr="00B433A3">
          <w:rPr>
            <w:rStyle w:val="Hyperlink"/>
          </w:rPr>
          <w:t>connected</w:t>
        </w:r>
        <w:proofErr w:type="spellEnd"/>
      </w:hyperlink>
      <w:r w:rsidR="005B6A9C" w:rsidRPr="00B433A3">
        <w:t xml:space="preserve"> (</w:t>
      </w:r>
      <w:r w:rsidR="005B6A9C" w:rsidRPr="00B433A3">
        <w:rPr>
          <w:i/>
          <w:iCs/>
        </w:rPr>
        <w:t>Journée mondiale de la mer: assurer la sécurité et la connectivité des marins</w:t>
      </w:r>
      <w:r w:rsidR="00942C39" w:rsidRPr="00B433A3">
        <w:t>)</w:t>
      </w:r>
    </w:p>
    <w:p w14:paraId="55723763" w14:textId="1AC5E6E1" w:rsidR="005B6A9C" w:rsidRPr="00B433A3" w:rsidRDefault="002D5A62" w:rsidP="00B8343E">
      <w:pPr>
        <w:pStyle w:val="enumlev1"/>
      </w:pPr>
      <w:r w:rsidRPr="00B433A3">
        <w:t>–</w:t>
      </w:r>
      <w:r w:rsidR="005B6A9C" w:rsidRPr="00B433A3">
        <w:tab/>
      </w:r>
      <w:hyperlink r:id="rId72" w:history="1">
        <w:proofErr w:type="spellStart"/>
        <w:r w:rsidR="005B6A9C" w:rsidRPr="00B433A3">
          <w:rPr>
            <w:rStyle w:val="Hyperlink"/>
          </w:rPr>
          <w:t>Why</w:t>
        </w:r>
        <w:proofErr w:type="spellEnd"/>
        <w:r w:rsidR="005B6A9C" w:rsidRPr="00B433A3">
          <w:rPr>
            <w:rStyle w:val="Hyperlink"/>
          </w:rPr>
          <w:t xml:space="preserve"> </w:t>
        </w:r>
        <w:proofErr w:type="spellStart"/>
        <w:r w:rsidR="005B6A9C" w:rsidRPr="00B433A3">
          <w:rPr>
            <w:rStyle w:val="Hyperlink"/>
          </w:rPr>
          <w:t>we</w:t>
        </w:r>
        <w:proofErr w:type="spellEnd"/>
        <w:r w:rsidR="005B6A9C" w:rsidRPr="00B433A3">
          <w:rPr>
            <w:rStyle w:val="Hyperlink"/>
          </w:rPr>
          <w:t xml:space="preserve"> </w:t>
        </w:r>
        <w:proofErr w:type="spellStart"/>
        <w:r w:rsidR="005B6A9C" w:rsidRPr="00B433A3">
          <w:rPr>
            <w:rStyle w:val="Hyperlink"/>
          </w:rPr>
          <w:t>need</w:t>
        </w:r>
        <w:proofErr w:type="spellEnd"/>
        <w:r w:rsidR="005B6A9C" w:rsidRPr="00B433A3">
          <w:rPr>
            <w:rStyle w:val="Hyperlink"/>
          </w:rPr>
          <w:t xml:space="preserve"> </w:t>
        </w:r>
        <w:proofErr w:type="spellStart"/>
        <w:r w:rsidR="005B6A9C" w:rsidRPr="00B433A3">
          <w:rPr>
            <w:rStyle w:val="Hyperlink"/>
          </w:rPr>
          <w:t>technical</w:t>
        </w:r>
        <w:proofErr w:type="spellEnd"/>
        <w:r w:rsidR="005B6A9C" w:rsidRPr="00B433A3">
          <w:rPr>
            <w:rStyle w:val="Hyperlink"/>
          </w:rPr>
          <w:t xml:space="preserve"> standards to </w:t>
        </w:r>
        <w:proofErr w:type="gramStart"/>
        <w:r w:rsidR="005B6A9C" w:rsidRPr="00B433A3">
          <w:rPr>
            <w:rStyle w:val="Hyperlink"/>
          </w:rPr>
          <w:t>manage</w:t>
        </w:r>
        <w:proofErr w:type="gramEnd"/>
        <w:r w:rsidR="005B6A9C" w:rsidRPr="00B433A3">
          <w:rPr>
            <w:rStyle w:val="Hyperlink"/>
          </w:rPr>
          <w:t xml:space="preserve"> radio-</w:t>
        </w:r>
        <w:proofErr w:type="spellStart"/>
        <w:r w:rsidR="005B6A9C" w:rsidRPr="00B433A3">
          <w:rPr>
            <w:rStyle w:val="Hyperlink"/>
          </w:rPr>
          <w:t>frequency</w:t>
        </w:r>
        <w:proofErr w:type="spellEnd"/>
        <w:r w:rsidR="005B6A9C" w:rsidRPr="00B433A3">
          <w:rPr>
            <w:rStyle w:val="Hyperlink"/>
          </w:rPr>
          <w:t xml:space="preserve"> </w:t>
        </w:r>
        <w:proofErr w:type="spellStart"/>
        <w:r w:rsidR="005B6A9C" w:rsidRPr="00B433A3">
          <w:rPr>
            <w:rStyle w:val="Hyperlink"/>
          </w:rPr>
          <w:t>spectrum</w:t>
        </w:r>
        <w:proofErr w:type="spellEnd"/>
        <w:r w:rsidR="005B6A9C" w:rsidRPr="00B433A3">
          <w:rPr>
            <w:rStyle w:val="Hyperlink"/>
          </w:rPr>
          <w:t xml:space="preserve"> </w:t>
        </w:r>
        <w:proofErr w:type="spellStart"/>
        <w:r w:rsidR="005B6A9C" w:rsidRPr="00B433A3">
          <w:rPr>
            <w:rStyle w:val="Hyperlink"/>
          </w:rPr>
          <w:t>efficiently</w:t>
        </w:r>
        <w:proofErr w:type="spellEnd"/>
      </w:hyperlink>
      <w:r w:rsidR="005B6A9C" w:rsidRPr="00B433A3">
        <w:rPr>
          <w:rStyle w:val="Hyperlink"/>
        </w:rPr>
        <w:t xml:space="preserve"> </w:t>
      </w:r>
      <w:r w:rsidR="005B6A9C" w:rsidRPr="00B433A3">
        <w:t>(</w:t>
      </w:r>
      <w:r w:rsidR="005B6A9C" w:rsidRPr="00B433A3">
        <w:rPr>
          <w:i/>
          <w:iCs/>
        </w:rPr>
        <w:t>Pourquoi nous avons besoin de normes techniques pour gérer le spectre des fréquences radioélectriques efficacement</w:t>
      </w:r>
      <w:r w:rsidR="00942C39" w:rsidRPr="00B433A3">
        <w:t>)</w:t>
      </w:r>
    </w:p>
    <w:p w14:paraId="19C3A8EF" w14:textId="06647E28" w:rsidR="005B6A9C" w:rsidRPr="00B433A3" w:rsidRDefault="005B6A9C" w:rsidP="00B8343E">
      <w:pPr>
        <w:jc w:val="both"/>
        <w:rPr>
          <w:rStyle w:val="Hyperlink"/>
          <w:rFonts w:eastAsia="Calibri"/>
          <w:szCs w:val="24"/>
        </w:rPr>
      </w:pPr>
      <w:r w:rsidRPr="00B433A3">
        <w:rPr>
          <w:rFonts w:eastAsia="Calibri"/>
          <w:szCs w:val="24"/>
        </w:rPr>
        <w:t>Le Bureau a également encouragé les fonctionnaires du BR occupant des postes élevés à soumettre des articles et des billets de blog aux Nouvelles de l'UIT, afin de mettre en lumière les travaux réalisés par le Bureau. Un flux stable d'articles a aussi été soumis par les Membres du Secteur de l'UIT-R.</w:t>
      </w:r>
    </w:p>
    <w:p w14:paraId="023495BF" w14:textId="77777777" w:rsidR="005B6A9C" w:rsidRPr="00B433A3" w:rsidRDefault="005B6A9C" w:rsidP="00B8343E">
      <w:pPr>
        <w:rPr>
          <w:rFonts w:eastAsia="Calibri"/>
        </w:rPr>
      </w:pPr>
      <w:r w:rsidRPr="00B433A3">
        <w:rPr>
          <w:rFonts w:eastAsia="Calibri"/>
          <w:szCs w:val="24"/>
        </w:rPr>
        <w:t>Les articles suivants ont été publiés en 2021.</w:t>
      </w:r>
    </w:p>
    <w:p w14:paraId="3661675A" w14:textId="13D750DE" w:rsidR="005B6A9C" w:rsidRPr="00B433A3" w:rsidRDefault="002D5A62" w:rsidP="00B8343E">
      <w:pPr>
        <w:pStyle w:val="enumlev1"/>
        <w:rPr>
          <w:rStyle w:val="Hyperlink"/>
        </w:rPr>
      </w:pPr>
      <w:r w:rsidRPr="007E7CB7">
        <w:rPr>
          <w:lang w:val="en-US"/>
        </w:rPr>
        <w:t>–</w:t>
      </w:r>
      <w:r w:rsidR="005B6A9C" w:rsidRPr="007E7CB7">
        <w:rPr>
          <w:lang w:val="en-US"/>
        </w:rPr>
        <w:tab/>
      </w:r>
      <w:hyperlink r:id="rId73" w:history="1">
        <w:r w:rsidR="005B6A9C" w:rsidRPr="007E7CB7">
          <w:rPr>
            <w:rStyle w:val="Hyperlink"/>
            <w:lang w:val="en-US"/>
          </w:rPr>
          <w:t>Beyond 5G: What</w:t>
        </w:r>
        <w:r w:rsidR="006D4AC5" w:rsidRPr="007E7CB7">
          <w:rPr>
            <w:rStyle w:val="Hyperlink"/>
            <w:lang w:val="en-US"/>
          </w:rPr>
          <w:t>'</w:t>
        </w:r>
        <w:r w:rsidR="005B6A9C" w:rsidRPr="007E7CB7">
          <w:rPr>
            <w:rStyle w:val="Hyperlink"/>
            <w:lang w:val="en-US"/>
          </w:rPr>
          <w:t>s next for IMT?</w:t>
        </w:r>
      </w:hyperlink>
      <w:r w:rsidR="00B96E25" w:rsidRPr="007E7CB7">
        <w:rPr>
          <w:lang w:val="en-US"/>
        </w:rPr>
        <w:t xml:space="preserve"> </w:t>
      </w:r>
      <w:r w:rsidR="00B96E25" w:rsidRPr="00B433A3">
        <w:rPr>
          <w:rStyle w:val="Hyperlink"/>
          <w:color w:val="auto"/>
          <w:u w:val="none"/>
        </w:rPr>
        <w:t>(</w:t>
      </w:r>
      <w:r w:rsidR="005B6A9C" w:rsidRPr="00B433A3">
        <w:rPr>
          <w:i/>
          <w:iCs/>
        </w:rPr>
        <w:t>Au-delà de la 5G: Quelles sont les prochaines étapes pour les IMT?</w:t>
      </w:r>
      <w:r w:rsidR="005B6A9C" w:rsidRPr="00B433A3">
        <w:t>)</w:t>
      </w:r>
    </w:p>
    <w:p w14:paraId="51C6AC8E" w14:textId="028D7A0F" w:rsidR="005B6A9C" w:rsidRPr="00B433A3" w:rsidRDefault="002D5A62" w:rsidP="00B8343E">
      <w:pPr>
        <w:pStyle w:val="enumlev1"/>
        <w:rPr>
          <w:rStyle w:val="Hyperlink"/>
        </w:rPr>
      </w:pPr>
      <w:r w:rsidRPr="007E7CB7">
        <w:rPr>
          <w:lang w:val="en-US"/>
        </w:rPr>
        <w:t>–</w:t>
      </w:r>
      <w:r w:rsidR="005B6A9C" w:rsidRPr="007E7CB7">
        <w:rPr>
          <w:lang w:val="en-US"/>
        </w:rPr>
        <w:tab/>
      </w:r>
      <w:hyperlink r:id="rId74" w:history="1">
        <w:r w:rsidR="005B6A9C" w:rsidRPr="007E7CB7">
          <w:rPr>
            <w:rStyle w:val="Hyperlink"/>
            <w:lang w:val="en-US"/>
          </w:rPr>
          <w:t>What do space science radiocommunications have to do with me?</w:t>
        </w:r>
      </w:hyperlink>
      <w:r w:rsidR="00942C39" w:rsidRPr="007E7CB7">
        <w:rPr>
          <w:rStyle w:val="Hyperlink"/>
          <w:color w:val="auto"/>
          <w:u w:val="none"/>
          <w:lang w:val="en-US"/>
        </w:rPr>
        <w:t xml:space="preserve"> </w:t>
      </w:r>
      <w:r w:rsidR="00942C39" w:rsidRPr="00B433A3">
        <w:rPr>
          <w:rStyle w:val="Hyperlink"/>
          <w:color w:val="auto"/>
          <w:u w:val="none"/>
        </w:rPr>
        <w:t>(</w:t>
      </w:r>
      <w:r w:rsidR="005B6A9C" w:rsidRPr="00B433A3">
        <w:rPr>
          <w:rStyle w:val="Hyperlink"/>
          <w:i/>
          <w:iCs/>
          <w:color w:val="auto"/>
          <w:u w:val="none"/>
        </w:rPr>
        <w:t>En quoi les radiocommunications spatiales me concernent-elles?</w:t>
      </w:r>
      <w:r w:rsidR="005B6A9C" w:rsidRPr="00B433A3">
        <w:rPr>
          <w:rStyle w:val="Hyperlink"/>
          <w:color w:val="auto"/>
          <w:u w:val="none"/>
        </w:rPr>
        <w:t>)</w:t>
      </w:r>
    </w:p>
    <w:p w14:paraId="4DD6B1A8" w14:textId="362EBEE7" w:rsidR="005B6A9C" w:rsidRPr="00B433A3" w:rsidRDefault="002D5A62" w:rsidP="00B8343E">
      <w:pPr>
        <w:pStyle w:val="enumlev1"/>
        <w:rPr>
          <w:rStyle w:val="Hyperlink"/>
        </w:rPr>
      </w:pPr>
      <w:r w:rsidRPr="00B433A3">
        <w:t>–</w:t>
      </w:r>
      <w:r w:rsidR="005B6A9C" w:rsidRPr="00B433A3">
        <w:tab/>
      </w:r>
      <w:hyperlink r:id="rId75" w:history="1">
        <w:proofErr w:type="spellStart"/>
        <w:r w:rsidR="005B6A9C" w:rsidRPr="00B433A3">
          <w:rPr>
            <w:rStyle w:val="Hyperlink"/>
          </w:rPr>
          <w:t>Radio</w:t>
        </w:r>
        <w:r w:rsidR="006D4AC5" w:rsidRPr="00B433A3">
          <w:rPr>
            <w:rStyle w:val="Hyperlink"/>
          </w:rPr>
          <w:t>'</w:t>
        </w:r>
        <w:r w:rsidR="005B6A9C" w:rsidRPr="00B433A3">
          <w:rPr>
            <w:rStyle w:val="Hyperlink"/>
          </w:rPr>
          <w:t>s</w:t>
        </w:r>
        <w:proofErr w:type="spellEnd"/>
        <w:r w:rsidR="005B6A9C" w:rsidRPr="00B433A3">
          <w:rPr>
            <w:rStyle w:val="Hyperlink"/>
          </w:rPr>
          <w:t xml:space="preserve"> key </w:t>
        </w:r>
        <w:proofErr w:type="spellStart"/>
        <w:r w:rsidR="005B6A9C" w:rsidRPr="00B433A3">
          <w:rPr>
            <w:rStyle w:val="Hyperlink"/>
          </w:rPr>
          <w:t>role</w:t>
        </w:r>
        <w:proofErr w:type="spellEnd"/>
        <w:r w:rsidR="005B6A9C" w:rsidRPr="00B433A3">
          <w:rPr>
            <w:rStyle w:val="Hyperlink"/>
          </w:rPr>
          <w:t xml:space="preserve"> in </w:t>
        </w:r>
        <w:proofErr w:type="spellStart"/>
        <w:r w:rsidR="005B6A9C" w:rsidRPr="00B433A3">
          <w:rPr>
            <w:rStyle w:val="Hyperlink"/>
          </w:rPr>
          <w:t>crisis</w:t>
        </w:r>
        <w:proofErr w:type="spellEnd"/>
        <w:r w:rsidR="005B6A9C" w:rsidRPr="00B433A3">
          <w:rPr>
            <w:rStyle w:val="Hyperlink"/>
          </w:rPr>
          <w:t xml:space="preserve"> and emergency situations</w:t>
        </w:r>
      </w:hyperlink>
      <w:r w:rsidR="00942C39" w:rsidRPr="00B433A3">
        <w:rPr>
          <w:rStyle w:val="Hyperlink"/>
          <w:color w:val="auto"/>
          <w:u w:val="none"/>
        </w:rPr>
        <w:t xml:space="preserve"> (</w:t>
      </w:r>
      <w:r w:rsidR="005B6A9C" w:rsidRPr="00B433A3">
        <w:rPr>
          <w:rStyle w:val="Hyperlink"/>
          <w:i/>
          <w:iCs/>
          <w:color w:val="auto"/>
          <w:u w:val="none"/>
        </w:rPr>
        <w:t>Le rôle clé de la radio en cas de crise et de situation d'urgence</w:t>
      </w:r>
      <w:r w:rsidR="005B6A9C" w:rsidRPr="00B433A3">
        <w:rPr>
          <w:rStyle w:val="Hyperlink"/>
          <w:color w:val="auto"/>
          <w:u w:val="none"/>
        </w:rPr>
        <w:t>)</w:t>
      </w:r>
      <w:r w:rsidR="005B6A9C" w:rsidRPr="00B433A3">
        <w:rPr>
          <w:rStyle w:val="Hyperlink"/>
          <w:color w:val="auto"/>
        </w:rPr>
        <w:t xml:space="preserve"> </w:t>
      </w:r>
    </w:p>
    <w:p w14:paraId="406A4D5A" w14:textId="78F96D92" w:rsidR="005B6A9C" w:rsidRPr="00B433A3" w:rsidRDefault="002D5A62" w:rsidP="00B8343E">
      <w:pPr>
        <w:pStyle w:val="enumlev1"/>
        <w:rPr>
          <w:rStyle w:val="Hyperlink"/>
        </w:rPr>
      </w:pPr>
      <w:r w:rsidRPr="00B433A3">
        <w:t>–</w:t>
      </w:r>
      <w:r w:rsidR="005B6A9C" w:rsidRPr="00B433A3">
        <w:tab/>
      </w:r>
      <w:hyperlink r:id="rId76" w:history="1">
        <w:r w:rsidR="005B6A9C" w:rsidRPr="00B433A3">
          <w:rPr>
            <w:rStyle w:val="Hyperlink"/>
          </w:rPr>
          <w:t xml:space="preserve">Be </w:t>
        </w:r>
        <w:proofErr w:type="spellStart"/>
        <w:r w:rsidR="005B6A9C" w:rsidRPr="00B433A3">
          <w:rPr>
            <w:rStyle w:val="Hyperlink"/>
          </w:rPr>
          <w:t>so</w:t>
        </w:r>
        <w:proofErr w:type="spellEnd"/>
        <w:r w:rsidR="005B6A9C" w:rsidRPr="00B433A3">
          <w:rPr>
            <w:rStyle w:val="Hyperlink"/>
          </w:rPr>
          <w:t xml:space="preserve"> good </w:t>
        </w:r>
        <w:proofErr w:type="spellStart"/>
        <w:r w:rsidR="005B6A9C" w:rsidRPr="00B433A3">
          <w:rPr>
            <w:rStyle w:val="Hyperlink"/>
          </w:rPr>
          <w:t>they</w:t>
        </w:r>
        <w:proofErr w:type="spellEnd"/>
        <w:r w:rsidR="005B6A9C" w:rsidRPr="00B433A3">
          <w:rPr>
            <w:rStyle w:val="Hyperlink"/>
          </w:rPr>
          <w:t xml:space="preserve"> </w:t>
        </w:r>
        <w:proofErr w:type="spellStart"/>
        <w:r w:rsidR="005B6A9C" w:rsidRPr="00B433A3">
          <w:rPr>
            <w:rStyle w:val="Hyperlink"/>
          </w:rPr>
          <w:t>can</w:t>
        </w:r>
        <w:r w:rsidR="006D4AC5" w:rsidRPr="00B433A3">
          <w:rPr>
            <w:rStyle w:val="Hyperlink"/>
          </w:rPr>
          <w:t>'</w:t>
        </w:r>
        <w:r w:rsidR="005B6A9C" w:rsidRPr="00B433A3">
          <w:rPr>
            <w:rStyle w:val="Hyperlink"/>
          </w:rPr>
          <w:t>t</w:t>
        </w:r>
        <w:proofErr w:type="spellEnd"/>
        <w:r w:rsidR="005B6A9C" w:rsidRPr="00B433A3">
          <w:rPr>
            <w:rStyle w:val="Hyperlink"/>
          </w:rPr>
          <w:t xml:space="preserve"> ignore </w:t>
        </w:r>
        <w:proofErr w:type="spellStart"/>
        <w:proofErr w:type="gramStart"/>
        <w:r w:rsidR="005B6A9C" w:rsidRPr="00B433A3">
          <w:rPr>
            <w:rStyle w:val="Hyperlink"/>
          </w:rPr>
          <w:t>you</w:t>
        </w:r>
        <w:proofErr w:type="spellEnd"/>
        <w:r w:rsidR="005B6A9C" w:rsidRPr="00B433A3">
          <w:rPr>
            <w:rStyle w:val="Hyperlink"/>
          </w:rPr>
          <w:t>:</w:t>
        </w:r>
        <w:proofErr w:type="gramEnd"/>
        <w:r w:rsidR="005B6A9C" w:rsidRPr="00B433A3">
          <w:rPr>
            <w:rStyle w:val="Hyperlink"/>
          </w:rPr>
          <w:t xml:space="preserve"> </w:t>
        </w:r>
        <w:proofErr w:type="spellStart"/>
        <w:r w:rsidR="005B6A9C" w:rsidRPr="00B433A3">
          <w:rPr>
            <w:rStyle w:val="Hyperlink"/>
          </w:rPr>
          <w:t>Women</w:t>
        </w:r>
        <w:proofErr w:type="spellEnd"/>
        <w:r w:rsidR="005B6A9C" w:rsidRPr="00B433A3">
          <w:rPr>
            <w:rStyle w:val="Hyperlink"/>
          </w:rPr>
          <w:t xml:space="preserve"> and girls in STEM</w:t>
        </w:r>
      </w:hyperlink>
      <w:r w:rsidR="00942C39" w:rsidRPr="00B433A3">
        <w:rPr>
          <w:rStyle w:val="Hyperlink"/>
          <w:color w:val="auto"/>
          <w:u w:val="none"/>
        </w:rPr>
        <w:t xml:space="preserve"> (</w:t>
      </w:r>
      <w:r w:rsidR="005B6A9C" w:rsidRPr="00B433A3">
        <w:rPr>
          <w:rStyle w:val="Hyperlink"/>
          <w:i/>
          <w:iCs/>
          <w:color w:val="auto"/>
          <w:u w:val="none"/>
        </w:rPr>
        <w:t xml:space="preserve">Tellement douées qu'on ne peut les ignorer: les femmes et les jeunes filles dans </w:t>
      </w:r>
      <w:r w:rsidR="005B6A9C" w:rsidRPr="00B433A3">
        <w:rPr>
          <w:i/>
          <w:iCs/>
        </w:rPr>
        <w:t>les sciences, les technologies, l'ingénierie et les mathématiques</w:t>
      </w:r>
      <w:r w:rsidR="005B6A9C" w:rsidRPr="00B433A3">
        <w:t>)</w:t>
      </w:r>
      <w:r w:rsidR="005B6A9C" w:rsidRPr="00B433A3">
        <w:rPr>
          <w:rStyle w:val="Hyperlink"/>
        </w:rPr>
        <w:t xml:space="preserve"> </w:t>
      </w:r>
    </w:p>
    <w:p w14:paraId="49264EEF" w14:textId="43D6D4EA" w:rsidR="005B6A9C" w:rsidRPr="00B433A3" w:rsidRDefault="002D5A62" w:rsidP="00B8343E">
      <w:pPr>
        <w:pStyle w:val="enumlev1"/>
        <w:rPr>
          <w:rStyle w:val="Hyperlink"/>
        </w:rPr>
      </w:pPr>
      <w:r w:rsidRPr="00B433A3">
        <w:t>–</w:t>
      </w:r>
      <w:r w:rsidR="005B6A9C" w:rsidRPr="00B433A3">
        <w:tab/>
      </w:r>
      <w:hyperlink r:id="rId77" w:history="1">
        <w:r w:rsidR="005B6A9C" w:rsidRPr="00B433A3">
          <w:rPr>
            <w:rStyle w:val="Hyperlink"/>
          </w:rPr>
          <w:t xml:space="preserve">Radio </w:t>
        </w:r>
        <w:proofErr w:type="spellStart"/>
        <w:proofErr w:type="gramStart"/>
        <w:r w:rsidR="005B6A9C" w:rsidRPr="00B433A3">
          <w:rPr>
            <w:rStyle w:val="Hyperlink"/>
          </w:rPr>
          <w:t>Regulations</w:t>
        </w:r>
        <w:proofErr w:type="spellEnd"/>
        <w:r w:rsidR="005B6A9C" w:rsidRPr="00B433A3">
          <w:rPr>
            <w:rStyle w:val="Hyperlink"/>
          </w:rPr>
          <w:t>:</w:t>
        </w:r>
        <w:proofErr w:type="gramEnd"/>
        <w:r w:rsidR="005B6A9C" w:rsidRPr="00B433A3">
          <w:rPr>
            <w:rStyle w:val="Hyperlink"/>
          </w:rPr>
          <w:t xml:space="preserve"> Key to </w:t>
        </w:r>
        <w:proofErr w:type="spellStart"/>
        <w:r w:rsidR="005B6A9C" w:rsidRPr="00B433A3">
          <w:rPr>
            <w:rStyle w:val="Hyperlink"/>
          </w:rPr>
          <w:t>observing</w:t>
        </w:r>
        <w:proofErr w:type="spellEnd"/>
        <w:r w:rsidR="005B6A9C" w:rsidRPr="00B433A3">
          <w:rPr>
            <w:rStyle w:val="Hyperlink"/>
          </w:rPr>
          <w:t xml:space="preserve"> </w:t>
        </w:r>
        <w:proofErr w:type="spellStart"/>
        <w:r w:rsidR="005B6A9C" w:rsidRPr="00B433A3">
          <w:rPr>
            <w:rStyle w:val="Hyperlink"/>
          </w:rPr>
          <w:t>oceans</w:t>
        </w:r>
        <w:proofErr w:type="spellEnd"/>
        <w:r w:rsidR="005B6A9C" w:rsidRPr="00B433A3">
          <w:rPr>
            <w:rStyle w:val="Hyperlink"/>
          </w:rPr>
          <w:t xml:space="preserve">, </w:t>
        </w:r>
        <w:proofErr w:type="spellStart"/>
        <w:r w:rsidR="005B6A9C" w:rsidRPr="00B433A3">
          <w:rPr>
            <w:rStyle w:val="Hyperlink"/>
          </w:rPr>
          <w:t>climate</w:t>
        </w:r>
        <w:proofErr w:type="spellEnd"/>
        <w:r w:rsidR="005B6A9C" w:rsidRPr="00B433A3">
          <w:rPr>
            <w:rStyle w:val="Hyperlink"/>
          </w:rPr>
          <w:t xml:space="preserve">, and </w:t>
        </w:r>
        <w:proofErr w:type="spellStart"/>
        <w:r w:rsidR="005B6A9C" w:rsidRPr="00B433A3">
          <w:rPr>
            <w:rStyle w:val="Hyperlink"/>
          </w:rPr>
          <w:t>weather</w:t>
        </w:r>
        <w:proofErr w:type="spellEnd"/>
      </w:hyperlink>
      <w:r w:rsidR="00B96E25" w:rsidRPr="00B433A3">
        <w:rPr>
          <w:rStyle w:val="Hyperlink"/>
          <w:color w:val="auto"/>
          <w:u w:val="none"/>
        </w:rPr>
        <w:t xml:space="preserve"> (</w:t>
      </w:r>
      <w:r w:rsidR="005B6A9C" w:rsidRPr="00B433A3">
        <w:rPr>
          <w:rStyle w:val="Hyperlink"/>
          <w:i/>
          <w:iCs/>
          <w:color w:val="auto"/>
          <w:u w:val="none"/>
        </w:rPr>
        <w:t>Le</w:t>
      </w:r>
      <w:r w:rsidR="00B96E25" w:rsidRPr="00B433A3">
        <w:rPr>
          <w:rStyle w:val="Hyperlink"/>
          <w:i/>
          <w:iCs/>
          <w:color w:val="auto"/>
          <w:u w:val="none"/>
        </w:rPr>
        <w:t xml:space="preserve"> </w:t>
      </w:r>
      <w:r w:rsidR="005B6A9C" w:rsidRPr="00B433A3">
        <w:rPr>
          <w:i/>
          <w:iCs/>
        </w:rPr>
        <w:t>Règlement des radiocommunications: un outil essentiel pour l'observation des océans, du climat et de la météorologie</w:t>
      </w:r>
      <w:r w:rsidR="005B6A9C" w:rsidRPr="00B433A3">
        <w:t>)</w:t>
      </w:r>
    </w:p>
    <w:p w14:paraId="5DAF0D79" w14:textId="3DD7F61C" w:rsidR="005B6A9C" w:rsidRPr="00B433A3" w:rsidRDefault="002D5A62" w:rsidP="00B8343E">
      <w:pPr>
        <w:pStyle w:val="enumlev1"/>
        <w:rPr>
          <w:rStyle w:val="Hyperlink"/>
        </w:rPr>
      </w:pPr>
      <w:r w:rsidRPr="00B433A3">
        <w:t>–</w:t>
      </w:r>
      <w:r w:rsidR="005B6A9C" w:rsidRPr="00B433A3">
        <w:tab/>
      </w:r>
      <w:hyperlink r:id="rId78" w:history="1">
        <w:r w:rsidR="005B6A9C" w:rsidRPr="00B433A3">
          <w:rPr>
            <w:rStyle w:val="Hyperlink"/>
          </w:rPr>
          <w:t xml:space="preserve">Monitoring the </w:t>
        </w:r>
        <w:proofErr w:type="spellStart"/>
        <w:r w:rsidR="005B6A9C" w:rsidRPr="00B433A3">
          <w:rPr>
            <w:rStyle w:val="Hyperlink"/>
          </w:rPr>
          <w:t>atmosphere</w:t>
        </w:r>
        <w:proofErr w:type="spellEnd"/>
        <w:r w:rsidR="005B6A9C" w:rsidRPr="00B433A3">
          <w:rPr>
            <w:rStyle w:val="Hyperlink"/>
          </w:rPr>
          <w:t xml:space="preserve">, </w:t>
        </w:r>
        <w:proofErr w:type="spellStart"/>
        <w:r w:rsidR="005B6A9C" w:rsidRPr="00B433A3">
          <w:rPr>
            <w:rStyle w:val="Hyperlink"/>
          </w:rPr>
          <w:t>ocean</w:t>
        </w:r>
        <w:proofErr w:type="spellEnd"/>
        <w:r w:rsidR="005B6A9C" w:rsidRPr="00B433A3">
          <w:rPr>
            <w:rStyle w:val="Hyperlink"/>
          </w:rPr>
          <w:t xml:space="preserve"> and </w:t>
        </w:r>
        <w:proofErr w:type="spellStart"/>
        <w:r w:rsidR="005B6A9C" w:rsidRPr="00B433A3">
          <w:rPr>
            <w:rStyle w:val="Hyperlink"/>
          </w:rPr>
          <w:t>climate</w:t>
        </w:r>
        <w:proofErr w:type="spellEnd"/>
        <w:r w:rsidR="005B6A9C" w:rsidRPr="00B433A3">
          <w:rPr>
            <w:rStyle w:val="Hyperlink"/>
          </w:rPr>
          <w:t xml:space="preserve"> </w:t>
        </w:r>
        <w:proofErr w:type="spellStart"/>
        <w:r w:rsidR="005B6A9C" w:rsidRPr="00B433A3">
          <w:rPr>
            <w:rStyle w:val="Hyperlink"/>
          </w:rPr>
          <w:t>from</w:t>
        </w:r>
        <w:proofErr w:type="spellEnd"/>
        <w:r w:rsidR="005B6A9C" w:rsidRPr="00B433A3">
          <w:rPr>
            <w:rStyle w:val="Hyperlink"/>
          </w:rPr>
          <w:t xml:space="preserve"> </w:t>
        </w:r>
        <w:proofErr w:type="spellStart"/>
        <w:r w:rsidR="005B6A9C" w:rsidRPr="00B433A3">
          <w:rPr>
            <w:rStyle w:val="Hyperlink"/>
          </w:rPr>
          <w:t>space</w:t>
        </w:r>
        <w:proofErr w:type="spellEnd"/>
      </w:hyperlink>
      <w:r w:rsidR="00B96E25" w:rsidRPr="00B433A3">
        <w:rPr>
          <w:rStyle w:val="Hyperlink"/>
          <w:color w:val="auto"/>
          <w:u w:val="none"/>
        </w:rPr>
        <w:t xml:space="preserve"> (</w:t>
      </w:r>
      <w:r w:rsidR="005B6A9C" w:rsidRPr="00B433A3">
        <w:rPr>
          <w:rStyle w:val="Hyperlink"/>
          <w:i/>
          <w:iCs/>
          <w:color w:val="auto"/>
          <w:u w:val="none"/>
        </w:rPr>
        <w:t>Contrôler l'atmosphère, l'océan et le climat depuis l'espace</w:t>
      </w:r>
      <w:r w:rsidR="005B6A9C" w:rsidRPr="00B433A3">
        <w:rPr>
          <w:rStyle w:val="Hyperlink"/>
          <w:color w:val="auto"/>
          <w:u w:val="none"/>
        </w:rPr>
        <w:t>)</w:t>
      </w:r>
    </w:p>
    <w:p w14:paraId="1FA4D551" w14:textId="706D2D16" w:rsidR="005B6A9C" w:rsidRPr="00B433A3" w:rsidRDefault="002D5A62" w:rsidP="00B8343E">
      <w:pPr>
        <w:pStyle w:val="enumlev1"/>
        <w:rPr>
          <w:rStyle w:val="Hyperlink"/>
        </w:rPr>
      </w:pPr>
      <w:r w:rsidRPr="00B433A3">
        <w:t>–</w:t>
      </w:r>
      <w:r w:rsidR="005B6A9C" w:rsidRPr="00B433A3">
        <w:tab/>
      </w:r>
      <w:hyperlink r:id="rId79" w:history="1">
        <w:r w:rsidR="005B6A9C" w:rsidRPr="00B433A3">
          <w:rPr>
            <w:rStyle w:val="Hyperlink"/>
          </w:rPr>
          <w:t xml:space="preserve">Home but </w:t>
        </w:r>
        <w:proofErr w:type="spellStart"/>
        <w:r w:rsidR="005B6A9C" w:rsidRPr="00B433A3">
          <w:rPr>
            <w:rStyle w:val="Hyperlink"/>
          </w:rPr>
          <w:t>never</w:t>
        </w:r>
        <w:proofErr w:type="spellEnd"/>
        <w:r w:rsidR="005B6A9C" w:rsidRPr="00B433A3">
          <w:rPr>
            <w:rStyle w:val="Hyperlink"/>
          </w:rPr>
          <w:t xml:space="preserve"> </w:t>
        </w:r>
        <w:proofErr w:type="spellStart"/>
        <w:proofErr w:type="gramStart"/>
        <w:r w:rsidR="005B6A9C" w:rsidRPr="00B433A3">
          <w:rPr>
            <w:rStyle w:val="Hyperlink"/>
          </w:rPr>
          <w:t>alone</w:t>
        </w:r>
        <w:proofErr w:type="spellEnd"/>
        <w:r w:rsidR="005B6A9C" w:rsidRPr="00B433A3">
          <w:rPr>
            <w:rStyle w:val="Hyperlink"/>
          </w:rPr>
          <w:t>:</w:t>
        </w:r>
        <w:proofErr w:type="gramEnd"/>
        <w:r w:rsidR="005B6A9C" w:rsidRPr="00B433A3">
          <w:rPr>
            <w:rStyle w:val="Hyperlink"/>
          </w:rPr>
          <w:t xml:space="preserve"> </w:t>
        </w:r>
        <w:proofErr w:type="spellStart"/>
        <w:r w:rsidR="005B6A9C" w:rsidRPr="00B433A3">
          <w:rPr>
            <w:rStyle w:val="Hyperlink"/>
          </w:rPr>
          <w:t>Celebrating</w:t>
        </w:r>
        <w:proofErr w:type="spellEnd"/>
        <w:r w:rsidR="005B6A9C" w:rsidRPr="00B433A3">
          <w:rPr>
            <w:rStyle w:val="Hyperlink"/>
          </w:rPr>
          <w:t xml:space="preserve"> World Amateur Radio Day</w:t>
        </w:r>
      </w:hyperlink>
      <w:r w:rsidR="00B96E25" w:rsidRPr="00B433A3">
        <w:rPr>
          <w:rStyle w:val="Hyperlink"/>
          <w:color w:val="auto"/>
          <w:u w:val="none"/>
        </w:rPr>
        <w:t xml:space="preserve"> (</w:t>
      </w:r>
      <w:r w:rsidR="005B6A9C" w:rsidRPr="00B433A3">
        <w:rPr>
          <w:rStyle w:val="Hyperlink"/>
          <w:i/>
          <w:iCs/>
          <w:color w:val="auto"/>
          <w:u w:val="none"/>
        </w:rPr>
        <w:t xml:space="preserve">Chez soi mais jamais seul: célébrer la </w:t>
      </w:r>
      <w:r w:rsidR="005B6A9C" w:rsidRPr="00B433A3">
        <w:rPr>
          <w:i/>
          <w:iCs/>
        </w:rPr>
        <w:t>Journée mondiale des radio-amateurs</w:t>
      </w:r>
      <w:r w:rsidR="005B6A9C" w:rsidRPr="00B433A3">
        <w:t>)</w:t>
      </w:r>
    </w:p>
    <w:p w14:paraId="11984FA8" w14:textId="56566163" w:rsidR="005B6A9C" w:rsidRPr="00B433A3" w:rsidRDefault="002D5A62" w:rsidP="00B8343E">
      <w:pPr>
        <w:pStyle w:val="enumlev1"/>
        <w:rPr>
          <w:rStyle w:val="Hyperlink"/>
        </w:rPr>
      </w:pPr>
      <w:r w:rsidRPr="00B433A3">
        <w:t>–</w:t>
      </w:r>
      <w:r w:rsidR="005B6A9C" w:rsidRPr="00B433A3">
        <w:tab/>
      </w:r>
      <w:hyperlink r:id="rId80" w:history="1">
        <w:proofErr w:type="spellStart"/>
        <w:r w:rsidR="005B6A9C" w:rsidRPr="00B433A3">
          <w:rPr>
            <w:rStyle w:val="Hyperlink"/>
          </w:rPr>
          <w:t>Why</w:t>
        </w:r>
        <w:proofErr w:type="spellEnd"/>
        <w:r w:rsidR="005B6A9C" w:rsidRPr="00B433A3">
          <w:rPr>
            <w:rStyle w:val="Hyperlink"/>
          </w:rPr>
          <w:t xml:space="preserve"> media </w:t>
        </w:r>
        <w:proofErr w:type="spellStart"/>
        <w:proofErr w:type="gramStart"/>
        <w:r w:rsidR="005B6A9C" w:rsidRPr="00B433A3">
          <w:rPr>
            <w:rStyle w:val="Hyperlink"/>
          </w:rPr>
          <w:t>matters</w:t>
        </w:r>
        <w:proofErr w:type="spellEnd"/>
        <w:r w:rsidR="005B6A9C" w:rsidRPr="00B433A3">
          <w:rPr>
            <w:rStyle w:val="Hyperlink"/>
          </w:rPr>
          <w:t>:</w:t>
        </w:r>
        <w:proofErr w:type="gramEnd"/>
        <w:r w:rsidR="005B6A9C" w:rsidRPr="00B433A3">
          <w:rPr>
            <w:rStyle w:val="Hyperlink"/>
          </w:rPr>
          <w:t xml:space="preserve"> Images of </w:t>
        </w:r>
        <w:proofErr w:type="spellStart"/>
        <w:r w:rsidR="005B6A9C" w:rsidRPr="00B433A3">
          <w:rPr>
            <w:rStyle w:val="Hyperlink"/>
          </w:rPr>
          <w:t>women</w:t>
        </w:r>
        <w:proofErr w:type="spellEnd"/>
        <w:r w:rsidR="005B6A9C" w:rsidRPr="00B433A3">
          <w:rPr>
            <w:rStyle w:val="Hyperlink"/>
          </w:rPr>
          <w:t xml:space="preserve"> </w:t>
        </w:r>
        <w:proofErr w:type="spellStart"/>
        <w:r w:rsidR="005B6A9C" w:rsidRPr="00B433A3">
          <w:rPr>
            <w:rStyle w:val="Hyperlink"/>
          </w:rPr>
          <w:t>scientists</w:t>
        </w:r>
        <w:proofErr w:type="spellEnd"/>
        <w:r w:rsidR="005B6A9C" w:rsidRPr="00B433A3">
          <w:rPr>
            <w:rStyle w:val="Hyperlink"/>
          </w:rPr>
          <w:t xml:space="preserve"> and </w:t>
        </w:r>
        <w:proofErr w:type="spellStart"/>
        <w:r w:rsidR="005B6A9C" w:rsidRPr="00B433A3">
          <w:rPr>
            <w:rStyle w:val="Hyperlink"/>
          </w:rPr>
          <w:t>engineers</w:t>
        </w:r>
        <w:proofErr w:type="spellEnd"/>
      </w:hyperlink>
      <w:r w:rsidR="00B96E25" w:rsidRPr="00B433A3">
        <w:rPr>
          <w:rStyle w:val="Hyperlink"/>
          <w:color w:val="auto"/>
          <w:u w:val="none"/>
        </w:rPr>
        <w:t xml:space="preserve"> (</w:t>
      </w:r>
      <w:r w:rsidR="005B6A9C" w:rsidRPr="00B433A3">
        <w:rPr>
          <w:rStyle w:val="Hyperlink"/>
          <w:i/>
          <w:iCs/>
          <w:color w:val="auto"/>
          <w:u w:val="none"/>
        </w:rPr>
        <w:t>Pourquoi les médias comptent: représentations de femmes scientifiques et ingénieures</w:t>
      </w:r>
      <w:r w:rsidR="005B6A9C" w:rsidRPr="00B433A3">
        <w:rPr>
          <w:rStyle w:val="Hyperlink"/>
          <w:color w:val="auto"/>
          <w:u w:val="none"/>
        </w:rPr>
        <w:t>)</w:t>
      </w:r>
    </w:p>
    <w:p w14:paraId="1B34A199" w14:textId="16984A47" w:rsidR="005B6A9C" w:rsidRPr="00B433A3" w:rsidRDefault="002D5A62" w:rsidP="00B8343E">
      <w:pPr>
        <w:pStyle w:val="enumlev1"/>
        <w:rPr>
          <w:rStyle w:val="Hyperlink"/>
        </w:rPr>
      </w:pPr>
      <w:r w:rsidRPr="00B433A3">
        <w:t>–</w:t>
      </w:r>
      <w:r w:rsidR="005B6A9C" w:rsidRPr="00B433A3">
        <w:tab/>
      </w:r>
      <w:proofErr w:type="gramStart"/>
      <w:r w:rsidR="005B6A9C" w:rsidRPr="00B433A3">
        <w:rPr>
          <w:rFonts w:eastAsia="Calibri"/>
          <w:szCs w:val="24"/>
        </w:rPr>
        <w:t>Podcast:</w:t>
      </w:r>
      <w:proofErr w:type="gramEnd"/>
      <w:r w:rsidR="005B6A9C" w:rsidRPr="00B433A3">
        <w:rPr>
          <w:rFonts w:eastAsia="Calibri"/>
          <w:szCs w:val="24"/>
        </w:rPr>
        <w:t xml:space="preserve"> </w:t>
      </w:r>
      <w:r w:rsidR="005B6A9C" w:rsidRPr="00B433A3">
        <w:t xml:space="preserve">ITU </w:t>
      </w:r>
      <w:proofErr w:type="spellStart"/>
      <w:r w:rsidR="005B6A9C" w:rsidRPr="00B433A3">
        <w:t>Technologized</w:t>
      </w:r>
      <w:proofErr w:type="spellEnd"/>
      <w:r w:rsidR="005B6A9C" w:rsidRPr="00B433A3">
        <w:t xml:space="preserve">: </w:t>
      </w:r>
      <w:hyperlink r:id="rId81" w:history="1">
        <w:r w:rsidR="005B6A9C" w:rsidRPr="00B433A3">
          <w:rPr>
            <w:rStyle w:val="Hyperlink"/>
          </w:rPr>
          <w:t xml:space="preserve">Interview </w:t>
        </w:r>
        <w:proofErr w:type="spellStart"/>
        <w:r w:rsidR="005B6A9C" w:rsidRPr="00B433A3">
          <w:rPr>
            <w:rStyle w:val="Hyperlink"/>
          </w:rPr>
          <w:t>with</w:t>
        </w:r>
        <w:proofErr w:type="spellEnd"/>
        <w:r w:rsidR="005B6A9C" w:rsidRPr="00B433A3">
          <w:rPr>
            <w:rStyle w:val="Hyperlink"/>
          </w:rPr>
          <w:t xml:space="preserve"> Robyn </w:t>
        </w:r>
        <w:proofErr w:type="spellStart"/>
        <w:r w:rsidR="005B6A9C" w:rsidRPr="00B433A3">
          <w:rPr>
            <w:rStyle w:val="Hyperlink"/>
          </w:rPr>
          <w:t>Gatens</w:t>
        </w:r>
        <w:proofErr w:type="spellEnd"/>
        <w:r w:rsidR="005B6A9C" w:rsidRPr="00B433A3">
          <w:rPr>
            <w:rStyle w:val="Hyperlink"/>
          </w:rPr>
          <w:t xml:space="preserve">, Director, International </w:t>
        </w:r>
        <w:proofErr w:type="spellStart"/>
        <w:r w:rsidR="005B6A9C" w:rsidRPr="00B433A3">
          <w:rPr>
            <w:rStyle w:val="Hyperlink"/>
          </w:rPr>
          <w:t>Space</w:t>
        </w:r>
        <w:proofErr w:type="spellEnd"/>
        <w:r w:rsidR="005B6A9C" w:rsidRPr="00B433A3">
          <w:rPr>
            <w:rStyle w:val="Hyperlink"/>
          </w:rPr>
          <w:t xml:space="preserve"> Station, NASA</w:t>
        </w:r>
      </w:hyperlink>
      <w:r w:rsidR="00B96E25" w:rsidRPr="00B433A3">
        <w:rPr>
          <w:rStyle w:val="Hyperlink"/>
          <w:color w:val="auto"/>
          <w:u w:val="none"/>
        </w:rPr>
        <w:t xml:space="preserve"> (</w:t>
      </w:r>
      <w:r w:rsidR="005B6A9C" w:rsidRPr="00B433A3">
        <w:rPr>
          <w:rStyle w:val="Hyperlink"/>
          <w:i/>
          <w:iCs/>
          <w:color w:val="auto"/>
          <w:u w:val="none"/>
        </w:rPr>
        <w:t xml:space="preserve">Entretien avec Robyn </w:t>
      </w:r>
      <w:proofErr w:type="spellStart"/>
      <w:r w:rsidR="005B6A9C" w:rsidRPr="00B433A3">
        <w:rPr>
          <w:rStyle w:val="Hyperlink"/>
          <w:i/>
          <w:iCs/>
          <w:color w:val="auto"/>
          <w:u w:val="none"/>
        </w:rPr>
        <w:t>Gatens</w:t>
      </w:r>
      <w:proofErr w:type="spellEnd"/>
      <w:r w:rsidR="005B6A9C" w:rsidRPr="00B433A3">
        <w:rPr>
          <w:rStyle w:val="Hyperlink"/>
          <w:i/>
          <w:iCs/>
          <w:color w:val="auto"/>
          <w:u w:val="none"/>
        </w:rPr>
        <w:t xml:space="preserve">, Directeur de la </w:t>
      </w:r>
      <w:r w:rsidR="005B6A9C" w:rsidRPr="00B433A3">
        <w:rPr>
          <w:i/>
          <w:iCs/>
        </w:rPr>
        <w:t>station spatiale internationale, NASA</w:t>
      </w:r>
      <w:r w:rsidR="005B6A9C" w:rsidRPr="00B433A3">
        <w:t>)</w:t>
      </w:r>
    </w:p>
    <w:p w14:paraId="4D281B96" w14:textId="64C100F1" w:rsidR="005B6A9C" w:rsidRPr="00B433A3" w:rsidRDefault="002D5A62" w:rsidP="00B8343E">
      <w:pPr>
        <w:pStyle w:val="enumlev1"/>
        <w:rPr>
          <w:rStyle w:val="Hyperlink"/>
        </w:rPr>
      </w:pPr>
      <w:r w:rsidRPr="00B433A3">
        <w:t>–</w:t>
      </w:r>
      <w:r w:rsidR="005B6A9C" w:rsidRPr="00B433A3">
        <w:tab/>
      </w:r>
      <w:hyperlink r:id="rId82" w:history="1">
        <w:proofErr w:type="spellStart"/>
        <w:r w:rsidR="005B6A9C" w:rsidRPr="00B433A3">
          <w:rPr>
            <w:rStyle w:val="Hyperlink"/>
          </w:rPr>
          <w:t>Envisioning</w:t>
        </w:r>
        <w:proofErr w:type="spellEnd"/>
        <w:r w:rsidR="005B6A9C" w:rsidRPr="00B433A3">
          <w:rPr>
            <w:rStyle w:val="Hyperlink"/>
          </w:rPr>
          <w:t xml:space="preserve"> a </w:t>
        </w:r>
        <w:proofErr w:type="spellStart"/>
        <w:r w:rsidR="005B6A9C" w:rsidRPr="00B433A3">
          <w:rPr>
            <w:rStyle w:val="Hyperlink"/>
          </w:rPr>
          <w:t>low-Earth</w:t>
        </w:r>
        <w:proofErr w:type="spellEnd"/>
        <w:r w:rsidR="005B6A9C" w:rsidRPr="00B433A3">
          <w:rPr>
            <w:rStyle w:val="Hyperlink"/>
          </w:rPr>
          <w:t xml:space="preserve"> </w:t>
        </w:r>
        <w:proofErr w:type="spellStart"/>
        <w:r w:rsidR="005B6A9C" w:rsidRPr="00B433A3">
          <w:rPr>
            <w:rStyle w:val="Hyperlink"/>
          </w:rPr>
          <w:t>orbit</w:t>
        </w:r>
        <w:proofErr w:type="spellEnd"/>
        <w:r w:rsidR="005B6A9C" w:rsidRPr="00B433A3">
          <w:rPr>
            <w:rStyle w:val="Hyperlink"/>
          </w:rPr>
          <w:t xml:space="preserve"> </w:t>
        </w:r>
        <w:proofErr w:type="spellStart"/>
        <w:r w:rsidR="005B6A9C" w:rsidRPr="00B433A3">
          <w:rPr>
            <w:rStyle w:val="Hyperlink"/>
          </w:rPr>
          <w:t>economy</w:t>
        </w:r>
        <w:proofErr w:type="spellEnd"/>
      </w:hyperlink>
      <w:r w:rsidR="00B96E25" w:rsidRPr="00B433A3">
        <w:rPr>
          <w:rStyle w:val="Hyperlink"/>
          <w:color w:val="auto"/>
          <w:u w:val="none"/>
        </w:rPr>
        <w:t xml:space="preserve"> (</w:t>
      </w:r>
      <w:r w:rsidR="005B6A9C" w:rsidRPr="00B433A3">
        <w:rPr>
          <w:rStyle w:val="Hyperlink"/>
          <w:i/>
          <w:iCs/>
          <w:color w:val="auto"/>
          <w:u w:val="none"/>
        </w:rPr>
        <w:t>Envisager une économie de l'orbite terrestre basse</w:t>
      </w:r>
      <w:r w:rsidR="005B6A9C" w:rsidRPr="00B433A3">
        <w:rPr>
          <w:rStyle w:val="Hyperlink"/>
          <w:color w:val="auto"/>
          <w:u w:val="none"/>
        </w:rPr>
        <w:t>)</w:t>
      </w:r>
    </w:p>
    <w:p w14:paraId="16B71B64" w14:textId="7D0E5B49" w:rsidR="005B6A9C" w:rsidRPr="007E7CB7" w:rsidRDefault="002D5A62" w:rsidP="00B8343E">
      <w:pPr>
        <w:pStyle w:val="enumlev1"/>
        <w:rPr>
          <w:rStyle w:val="Hyperlink"/>
          <w:lang w:val="en-US"/>
        </w:rPr>
      </w:pPr>
      <w:r w:rsidRPr="007E7CB7">
        <w:rPr>
          <w:lang w:val="en-US"/>
        </w:rPr>
        <w:t>–</w:t>
      </w:r>
      <w:r w:rsidR="005B6A9C" w:rsidRPr="007E7CB7">
        <w:rPr>
          <w:lang w:val="en-US"/>
        </w:rPr>
        <w:tab/>
      </w:r>
      <w:hyperlink r:id="rId83" w:history="1">
        <w:r w:rsidR="005B6A9C" w:rsidRPr="007E7CB7">
          <w:rPr>
            <w:rStyle w:val="Hyperlink"/>
            <w:lang w:val="en-US"/>
          </w:rPr>
          <w:t>The benefits of space must be accessible to all</w:t>
        </w:r>
      </w:hyperlink>
      <w:r w:rsidR="00B96E25" w:rsidRPr="007E7CB7">
        <w:rPr>
          <w:rStyle w:val="Hyperlink"/>
          <w:color w:val="auto"/>
          <w:u w:val="none"/>
          <w:lang w:val="en-US"/>
        </w:rPr>
        <w:t xml:space="preserve"> (</w:t>
      </w:r>
      <w:r w:rsidR="005B6A9C" w:rsidRPr="007E7CB7">
        <w:rPr>
          <w:rStyle w:val="Hyperlink"/>
          <w:i/>
          <w:iCs/>
          <w:color w:val="auto"/>
          <w:u w:val="none"/>
          <w:lang w:val="en-US"/>
        </w:rPr>
        <w:t xml:space="preserve">Les </w:t>
      </w:r>
      <w:proofErr w:type="spellStart"/>
      <w:r w:rsidR="005B6A9C" w:rsidRPr="007E7CB7">
        <w:rPr>
          <w:rStyle w:val="Hyperlink"/>
          <w:i/>
          <w:iCs/>
          <w:color w:val="auto"/>
          <w:u w:val="none"/>
          <w:lang w:val="en-US"/>
        </w:rPr>
        <w:t>avantages</w:t>
      </w:r>
      <w:proofErr w:type="spellEnd"/>
      <w:r w:rsidR="005B6A9C" w:rsidRPr="007E7CB7">
        <w:rPr>
          <w:rStyle w:val="Hyperlink"/>
          <w:i/>
          <w:iCs/>
          <w:color w:val="auto"/>
          <w:u w:val="none"/>
          <w:lang w:val="en-US"/>
        </w:rPr>
        <w:t xml:space="preserve"> de </w:t>
      </w:r>
      <w:proofErr w:type="spellStart"/>
      <w:r w:rsidR="005B6A9C" w:rsidRPr="007E7CB7">
        <w:rPr>
          <w:rStyle w:val="Hyperlink"/>
          <w:i/>
          <w:iCs/>
          <w:color w:val="auto"/>
          <w:u w:val="none"/>
          <w:lang w:val="en-US"/>
        </w:rPr>
        <w:t>l'espace</w:t>
      </w:r>
      <w:proofErr w:type="spellEnd"/>
      <w:r w:rsidR="005B6A9C" w:rsidRPr="007E7CB7">
        <w:rPr>
          <w:rStyle w:val="Hyperlink"/>
          <w:i/>
          <w:iCs/>
          <w:color w:val="auto"/>
          <w:u w:val="none"/>
          <w:lang w:val="en-US"/>
        </w:rPr>
        <w:t xml:space="preserve"> </w:t>
      </w:r>
      <w:proofErr w:type="spellStart"/>
      <w:r w:rsidR="005B6A9C" w:rsidRPr="007E7CB7">
        <w:rPr>
          <w:rStyle w:val="Hyperlink"/>
          <w:i/>
          <w:iCs/>
          <w:color w:val="auto"/>
          <w:u w:val="none"/>
          <w:lang w:val="en-US"/>
        </w:rPr>
        <w:t>doivent</w:t>
      </w:r>
      <w:proofErr w:type="spellEnd"/>
      <w:r w:rsidR="005B6A9C" w:rsidRPr="007E7CB7">
        <w:rPr>
          <w:rStyle w:val="Hyperlink"/>
          <w:i/>
          <w:iCs/>
          <w:color w:val="auto"/>
          <w:u w:val="none"/>
          <w:lang w:val="en-US"/>
        </w:rPr>
        <w:t xml:space="preserve"> </w:t>
      </w:r>
      <w:proofErr w:type="spellStart"/>
      <w:r w:rsidR="005B6A9C" w:rsidRPr="007E7CB7">
        <w:rPr>
          <w:rStyle w:val="Hyperlink"/>
          <w:i/>
          <w:iCs/>
          <w:color w:val="auto"/>
          <w:u w:val="none"/>
          <w:lang w:val="en-US"/>
        </w:rPr>
        <w:t>être</w:t>
      </w:r>
      <w:proofErr w:type="spellEnd"/>
      <w:r w:rsidR="005B6A9C" w:rsidRPr="007E7CB7">
        <w:rPr>
          <w:rStyle w:val="Hyperlink"/>
          <w:i/>
          <w:iCs/>
          <w:color w:val="auto"/>
          <w:u w:val="none"/>
          <w:lang w:val="en-US"/>
        </w:rPr>
        <w:t xml:space="preserve"> </w:t>
      </w:r>
      <w:proofErr w:type="spellStart"/>
      <w:r w:rsidR="005B6A9C" w:rsidRPr="007E7CB7">
        <w:rPr>
          <w:rStyle w:val="Hyperlink"/>
          <w:i/>
          <w:iCs/>
          <w:color w:val="auto"/>
          <w:u w:val="none"/>
          <w:lang w:val="en-US"/>
        </w:rPr>
        <w:t>accessibles</w:t>
      </w:r>
      <w:proofErr w:type="spellEnd"/>
      <w:r w:rsidR="005B6A9C" w:rsidRPr="007E7CB7">
        <w:rPr>
          <w:rStyle w:val="Hyperlink"/>
          <w:i/>
          <w:iCs/>
          <w:color w:val="auto"/>
          <w:u w:val="none"/>
          <w:lang w:val="en-US"/>
        </w:rPr>
        <w:t xml:space="preserve"> à </w:t>
      </w:r>
      <w:proofErr w:type="spellStart"/>
      <w:r w:rsidR="005B6A9C" w:rsidRPr="007E7CB7">
        <w:rPr>
          <w:rStyle w:val="Hyperlink"/>
          <w:i/>
          <w:iCs/>
          <w:color w:val="auto"/>
          <w:u w:val="none"/>
          <w:lang w:val="en-US"/>
        </w:rPr>
        <w:t>tous</w:t>
      </w:r>
      <w:proofErr w:type="spellEnd"/>
      <w:r w:rsidR="005B6A9C" w:rsidRPr="007E7CB7">
        <w:rPr>
          <w:rStyle w:val="Hyperlink"/>
          <w:color w:val="auto"/>
          <w:u w:val="none"/>
          <w:lang w:val="en-US"/>
        </w:rPr>
        <w:t>)</w:t>
      </w:r>
    </w:p>
    <w:p w14:paraId="09A29343" w14:textId="69536BEA" w:rsidR="005B6A9C" w:rsidRPr="00B433A3" w:rsidRDefault="002D5A62" w:rsidP="00B8343E">
      <w:pPr>
        <w:pStyle w:val="enumlev1"/>
        <w:rPr>
          <w:rStyle w:val="Hyperlink"/>
        </w:rPr>
      </w:pPr>
      <w:r w:rsidRPr="007E7CB7">
        <w:rPr>
          <w:lang w:val="en-US"/>
        </w:rPr>
        <w:t>–</w:t>
      </w:r>
      <w:r w:rsidR="005B6A9C" w:rsidRPr="007E7CB7">
        <w:rPr>
          <w:lang w:val="en-US"/>
        </w:rPr>
        <w:tab/>
      </w:r>
      <w:hyperlink r:id="rId84" w:history="1">
        <w:r w:rsidR="005B6A9C" w:rsidRPr="007E7CB7">
          <w:rPr>
            <w:rStyle w:val="Hyperlink"/>
            <w:lang w:val="en-US"/>
          </w:rPr>
          <w:t>Should space become the 18th SDG?</w:t>
        </w:r>
      </w:hyperlink>
      <w:r w:rsidR="00B96E25" w:rsidRPr="007E7CB7">
        <w:rPr>
          <w:rStyle w:val="Hyperlink"/>
          <w:color w:val="auto"/>
          <w:u w:val="none"/>
          <w:lang w:val="en-US"/>
        </w:rPr>
        <w:t xml:space="preserve"> </w:t>
      </w:r>
      <w:r w:rsidR="00B96E25" w:rsidRPr="00B433A3">
        <w:rPr>
          <w:rStyle w:val="Hyperlink"/>
          <w:color w:val="auto"/>
          <w:u w:val="none"/>
        </w:rPr>
        <w:t>(</w:t>
      </w:r>
      <w:r w:rsidR="005B6A9C" w:rsidRPr="00B433A3">
        <w:rPr>
          <w:rStyle w:val="Hyperlink"/>
          <w:i/>
          <w:iCs/>
          <w:color w:val="auto"/>
          <w:u w:val="none"/>
        </w:rPr>
        <w:t>L'espace doit-il devenir le 18ème ODD?</w:t>
      </w:r>
      <w:r w:rsidR="005B6A9C" w:rsidRPr="00B433A3">
        <w:rPr>
          <w:rStyle w:val="Hyperlink"/>
          <w:color w:val="auto"/>
          <w:u w:val="none"/>
        </w:rPr>
        <w:t>)</w:t>
      </w:r>
    </w:p>
    <w:p w14:paraId="3CF83334" w14:textId="6B58D561" w:rsidR="005B6A9C" w:rsidRPr="00B433A3" w:rsidRDefault="002D5A62" w:rsidP="00B8343E">
      <w:pPr>
        <w:pStyle w:val="enumlev1"/>
        <w:rPr>
          <w:rStyle w:val="Hyperlink"/>
        </w:rPr>
      </w:pPr>
      <w:r w:rsidRPr="00B433A3">
        <w:t>–</w:t>
      </w:r>
      <w:r w:rsidR="005B6A9C" w:rsidRPr="00B433A3">
        <w:tab/>
      </w:r>
      <w:hyperlink r:id="rId85" w:history="1">
        <w:proofErr w:type="spellStart"/>
        <w:r w:rsidR="005B6A9C" w:rsidRPr="00B433A3">
          <w:rPr>
            <w:rStyle w:val="Hyperlink"/>
          </w:rPr>
          <w:t>Boosting</w:t>
        </w:r>
        <w:proofErr w:type="spellEnd"/>
        <w:r w:rsidR="005B6A9C" w:rsidRPr="00B433A3">
          <w:rPr>
            <w:rStyle w:val="Hyperlink"/>
          </w:rPr>
          <w:t xml:space="preserve"> </w:t>
        </w:r>
        <w:proofErr w:type="spellStart"/>
        <w:r w:rsidR="005B6A9C" w:rsidRPr="00B433A3">
          <w:rPr>
            <w:rStyle w:val="Hyperlink"/>
          </w:rPr>
          <w:t>diversity</w:t>
        </w:r>
        <w:proofErr w:type="spellEnd"/>
        <w:r w:rsidR="005B6A9C" w:rsidRPr="00B433A3">
          <w:rPr>
            <w:rStyle w:val="Hyperlink"/>
          </w:rPr>
          <w:t xml:space="preserve"> in the </w:t>
        </w:r>
        <w:proofErr w:type="spellStart"/>
        <w:r w:rsidR="005B6A9C" w:rsidRPr="00B433A3">
          <w:rPr>
            <w:rStyle w:val="Hyperlink"/>
          </w:rPr>
          <w:t>aerospace</w:t>
        </w:r>
        <w:proofErr w:type="spellEnd"/>
        <w:r w:rsidR="005B6A9C" w:rsidRPr="00B433A3">
          <w:rPr>
            <w:rStyle w:val="Hyperlink"/>
          </w:rPr>
          <w:t xml:space="preserve"> </w:t>
        </w:r>
        <w:proofErr w:type="spellStart"/>
        <w:r w:rsidR="005B6A9C" w:rsidRPr="00B433A3">
          <w:rPr>
            <w:rStyle w:val="Hyperlink"/>
          </w:rPr>
          <w:t>industry</w:t>
        </w:r>
        <w:proofErr w:type="spellEnd"/>
      </w:hyperlink>
      <w:r w:rsidR="00B96E25" w:rsidRPr="00B433A3">
        <w:rPr>
          <w:rStyle w:val="Hyperlink"/>
          <w:color w:val="auto"/>
          <w:u w:val="none"/>
        </w:rPr>
        <w:t xml:space="preserve"> (</w:t>
      </w:r>
      <w:r w:rsidR="005B6A9C" w:rsidRPr="00B433A3">
        <w:rPr>
          <w:rStyle w:val="Hyperlink"/>
          <w:i/>
          <w:iCs/>
          <w:color w:val="auto"/>
          <w:u w:val="none"/>
        </w:rPr>
        <w:t>Stimuler la diversité dans le secteur aérospatial</w:t>
      </w:r>
      <w:r w:rsidR="005B6A9C" w:rsidRPr="00B433A3">
        <w:rPr>
          <w:rStyle w:val="Hyperlink"/>
          <w:color w:val="auto"/>
          <w:u w:val="none"/>
        </w:rPr>
        <w:t>)</w:t>
      </w:r>
    </w:p>
    <w:p w14:paraId="18D11EC5" w14:textId="16885225" w:rsidR="005B6A9C" w:rsidRPr="00B433A3" w:rsidRDefault="002D5A62" w:rsidP="00B8343E">
      <w:pPr>
        <w:pStyle w:val="enumlev1"/>
        <w:rPr>
          <w:rStyle w:val="Hyperlink"/>
        </w:rPr>
      </w:pPr>
      <w:r w:rsidRPr="00B433A3">
        <w:t>–</w:t>
      </w:r>
      <w:r w:rsidR="005B6A9C" w:rsidRPr="00B433A3">
        <w:tab/>
      </w:r>
      <w:hyperlink r:id="rId86" w:history="1">
        <w:r w:rsidR="005B6A9C" w:rsidRPr="00B433A3">
          <w:rPr>
            <w:rStyle w:val="Hyperlink"/>
          </w:rPr>
          <w:t xml:space="preserve">Satellites to </w:t>
        </w:r>
        <w:proofErr w:type="spellStart"/>
        <w:r w:rsidR="005B6A9C" w:rsidRPr="00B433A3">
          <w:rPr>
            <w:rStyle w:val="Hyperlink"/>
          </w:rPr>
          <w:t>connect</w:t>
        </w:r>
        <w:proofErr w:type="spellEnd"/>
        <w:r w:rsidR="005B6A9C" w:rsidRPr="00B433A3">
          <w:rPr>
            <w:rStyle w:val="Hyperlink"/>
          </w:rPr>
          <w:t xml:space="preserve"> the </w:t>
        </w:r>
        <w:proofErr w:type="spellStart"/>
        <w:r w:rsidR="005B6A9C" w:rsidRPr="00B433A3">
          <w:rPr>
            <w:rStyle w:val="Hyperlink"/>
          </w:rPr>
          <w:t>unconnected</w:t>
        </w:r>
        <w:proofErr w:type="spellEnd"/>
      </w:hyperlink>
      <w:r w:rsidR="00B96E25" w:rsidRPr="00B433A3">
        <w:rPr>
          <w:rStyle w:val="Hyperlink"/>
          <w:color w:val="auto"/>
          <w:u w:val="none"/>
        </w:rPr>
        <w:t xml:space="preserve"> (</w:t>
      </w:r>
      <w:r w:rsidR="005B6A9C" w:rsidRPr="00B433A3">
        <w:rPr>
          <w:rStyle w:val="Hyperlink"/>
          <w:i/>
          <w:iCs/>
          <w:color w:val="auto"/>
          <w:u w:val="none"/>
        </w:rPr>
        <w:t>Des satellites pour connecter ceux qui ne le sont pas encore</w:t>
      </w:r>
      <w:r w:rsidR="005B6A9C" w:rsidRPr="00B433A3">
        <w:rPr>
          <w:rStyle w:val="Hyperlink"/>
          <w:color w:val="auto"/>
          <w:u w:val="none"/>
        </w:rPr>
        <w:t>)</w:t>
      </w:r>
    </w:p>
    <w:p w14:paraId="29962CFB" w14:textId="1E128043" w:rsidR="005B6A9C" w:rsidRPr="00B433A3" w:rsidRDefault="002D5A62" w:rsidP="00B8343E">
      <w:pPr>
        <w:pStyle w:val="enumlev1"/>
      </w:pPr>
      <w:r w:rsidRPr="00B433A3">
        <w:t>–</w:t>
      </w:r>
      <w:r w:rsidR="005B6A9C" w:rsidRPr="00B433A3">
        <w:tab/>
      </w:r>
      <w:hyperlink r:id="rId87" w:history="1">
        <w:r w:rsidR="006D4AC5" w:rsidRPr="00B433A3">
          <w:rPr>
            <w:rStyle w:val="Hyperlink"/>
          </w:rPr>
          <w:t xml:space="preserve">«Scully </w:t>
        </w:r>
        <w:proofErr w:type="spellStart"/>
        <w:proofErr w:type="gramStart"/>
        <w:r w:rsidR="006D4AC5" w:rsidRPr="00B433A3">
          <w:rPr>
            <w:rStyle w:val="Hyperlink"/>
          </w:rPr>
          <w:t>effect</w:t>
        </w:r>
        <w:proofErr w:type="spellEnd"/>
        <w:r w:rsidR="006D4AC5" w:rsidRPr="00B433A3">
          <w:rPr>
            <w:rStyle w:val="Hyperlink"/>
          </w:rPr>
          <w:t>»</w:t>
        </w:r>
        <w:proofErr w:type="gramEnd"/>
        <w:r w:rsidR="006D4AC5" w:rsidRPr="00B433A3">
          <w:rPr>
            <w:rStyle w:val="Hyperlink"/>
          </w:rPr>
          <w:t xml:space="preserve"> </w:t>
        </w:r>
        <w:proofErr w:type="spellStart"/>
        <w:r w:rsidR="006D4AC5" w:rsidRPr="00B433A3">
          <w:rPr>
            <w:rStyle w:val="Hyperlink"/>
          </w:rPr>
          <w:t>entices</w:t>
        </w:r>
        <w:proofErr w:type="spellEnd"/>
        <w:r w:rsidR="006D4AC5" w:rsidRPr="00B433A3">
          <w:rPr>
            <w:rStyle w:val="Hyperlink"/>
          </w:rPr>
          <w:t xml:space="preserve"> </w:t>
        </w:r>
        <w:proofErr w:type="spellStart"/>
        <w:r w:rsidR="006D4AC5" w:rsidRPr="00B433A3">
          <w:rPr>
            <w:rStyle w:val="Hyperlink"/>
          </w:rPr>
          <w:t>women</w:t>
        </w:r>
        <w:proofErr w:type="spellEnd"/>
        <w:r w:rsidR="006D4AC5" w:rsidRPr="00B433A3">
          <w:rPr>
            <w:rStyle w:val="Hyperlink"/>
          </w:rPr>
          <w:t xml:space="preserve"> and girls </w:t>
        </w:r>
        <w:proofErr w:type="spellStart"/>
        <w:r w:rsidR="006D4AC5" w:rsidRPr="00B433A3">
          <w:rPr>
            <w:rStyle w:val="Hyperlink"/>
          </w:rPr>
          <w:t>into</w:t>
        </w:r>
        <w:proofErr w:type="spellEnd"/>
        <w:r w:rsidR="006D4AC5" w:rsidRPr="00B433A3">
          <w:rPr>
            <w:rStyle w:val="Hyperlink"/>
          </w:rPr>
          <w:t xml:space="preserve"> STEM </w:t>
        </w:r>
        <w:proofErr w:type="spellStart"/>
        <w:r w:rsidR="006D4AC5" w:rsidRPr="00B433A3">
          <w:rPr>
            <w:rStyle w:val="Hyperlink"/>
          </w:rPr>
          <w:t>careers</w:t>
        </w:r>
        <w:proofErr w:type="spellEnd"/>
      </w:hyperlink>
      <w:r w:rsidR="00B96E25" w:rsidRPr="00B433A3">
        <w:rPr>
          <w:rStyle w:val="Hyperlink"/>
          <w:color w:val="auto"/>
          <w:u w:val="none"/>
        </w:rPr>
        <w:t xml:space="preserve"> (</w:t>
      </w:r>
      <w:r w:rsidR="005B6A9C" w:rsidRPr="00B433A3">
        <w:rPr>
          <w:rStyle w:val="Hyperlink"/>
          <w:i/>
          <w:iCs/>
          <w:color w:val="auto"/>
          <w:u w:val="none"/>
        </w:rPr>
        <w:t>L'</w:t>
      </w:r>
      <w:r w:rsidR="006D4AC5" w:rsidRPr="00B433A3">
        <w:t>«</w:t>
      </w:r>
      <w:r w:rsidR="005B6A9C" w:rsidRPr="00B433A3">
        <w:rPr>
          <w:rStyle w:val="Hyperlink"/>
          <w:i/>
          <w:iCs/>
          <w:color w:val="auto"/>
          <w:u w:val="none"/>
        </w:rPr>
        <w:t>effet Scully</w:t>
      </w:r>
      <w:r w:rsidR="006D4AC5" w:rsidRPr="00B433A3">
        <w:rPr>
          <w:rStyle w:val="Hyperlink"/>
          <w:i/>
          <w:iCs/>
          <w:color w:val="auto"/>
          <w:u w:val="none"/>
        </w:rPr>
        <w:t>»</w:t>
      </w:r>
      <w:r w:rsidR="005B6A9C" w:rsidRPr="00B433A3">
        <w:rPr>
          <w:rStyle w:val="Hyperlink"/>
          <w:i/>
          <w:iCs/>
          <w:color w:val="auto"/>
          <w:u w:val="none"/>
        </w:rPr>
        <w:t xml:space="preserve"> incite les femmes et les jeunes filles à embrasser des carrières dans </w:t>
      </w:r>
      <w:r w:rsidR="005B6A9C" w:rsidRPr="00B433A3">
        <w:rPr>
          <w:i/>
          <w:iCs/>
        </w:rPr>
        <w:t>les sciences, les technologies, l'ingénierie et les mathématiques</w:t>
      </w:r>
      <w:r w:rsidR="005B6A9C" w:rsidRPr="00B433A3">
        <w:t>)</w:t>
      </w:r>
    </w:p>
    <w:p w14:paraId="0148629E" w14:textId="52160A95" w:rsidR="005B6A9C" w:rsidRPr="00B433A3" w:rsidRDefault="002D5A62" w:rsidP="00B8343E">
      <w:pPr>
        <w:pStyle w:val="enumlev1"/>
        <w:rPr>
          <w:rStyle w:val="Hyperlink"/>
        </w:rPr>
      </w:pPr>
      <w:r w:rsidRPr="007E7CB7">
        <w:rPr>
          <w:lang w:val="en-US"/>
        </w:rPr>
        <w:t>–</w:t>
      </w:r>
      <w:r w:rsidR="005B6A9C" w:rsidRPr="007E7CB7">
        <w:rPr>
          <w:lang w:val="en-US"/>
        </w:rPr>
        <w:tab/>
      </w:r>
      <w:hyperlink r:id="rId88" w:history="1">
        <w:r w:rsidR="005B6A9C" w:rsidRPr="007E7CB7">
          <w:rPr>
            <w:rStyle w:val="Hyperlink"/>
            <w:lang w:val="en-US"/>
          </w:rPr>
          <w:t>Reliable space services: Why and how?</w:t>
        </w:r>
      </w:hyperlink>
      <w:r w:rsidR="00B96E25" w:rsidRPr="007E7CB7">
        <w:rPr>
          <w:rStyle w:val="Hyperlink"/>
          <w:color w:val="auto"/>
          <w:u w:val="none"/>
          <w:lang w:val="en-US"/>
        </w:rPr>
        <w:t xml:space="preserve"> </w:t>
      </w:r>
      <w:r w:rsidR="00B96E25" w:rsidRPr="00B433A3">
        <w:rPr>
          <w:rStyle w:val="Hyperlink"/>
          <w:color w:val="auto"/>
          <w:u w:val="none"/>
        </w:rPr>
        <w:t>(</w:t>
      </w:r>
      <w:r w:rsidR="005B6A9C" w:rsidRPr="00B433A3">
        <w:rPr>
          <w:rStyle w:val="Hyperlink"/>
          <w:i/>
          <w:iCs/>
          <w:color w:val="auto"/>
          <w:u w:val="none"/>
        </w:rPr>
        <w:t>Services spatiaux fiables: pourquoi et comment?</w:t>
      </w:r>
      <w:r w:rsidR="005B6A9C" w:rsidRPr="00B433A3">
        <w:rPr>
          <w:rStyle w:val="Hyperlink"/>
          <w:color w:val="auto"/>
          <w:u w:val="none"/>
        </w:rPr>
        <w:t>)</w:t>
      </w:r>
    </w:p>
    <w:p w14:paraId="50FBFB2C" w14:textId="687BA772" w:rsidR="005B6A9C" w:rsidRPr="00B433A3" w:rsidRDefault="002D5A62" w:rsidP="00B8343E">
      <w:pPr>
        <w:pStyle w:val="enumlev1"/>
        <w:rPr>
          <w:rStyle w:val="Hyperlink"/>
        </w:rPr>
      </w:pPr>
      <w:r w:rsidRPr="00B433A3">
        <w:t>–</w:t>
      </w:r>
      <w:r w:rsidR="005B6A9C" w:rsidRPr="00B433A3">
        <w:tab/>
      </w:r>
      <w:hyperlink r:id="rId89" w:history="1">
        <w:proofErr w:type="spellStart"/>
        <w:r w:rsidR="005B6A9C" w:rsidRPr="00B433A3">
          <w:rPr>
            <w:rStyle w:val="Hyperlink"/>
          </w:rPr>
          <w:t>Aspiring</w:t>
        </w:r>
        <w:proofErr w:type="spellEnd"/>
        <w:r w:rsidR="005B6A9C" w:rsidRPr="00B433A3">
          <w:rPr>
            <w:rStyle w:val="Hyperlink"/>
          </w:rPr>
          <w:t xml:space="preserve"> </w:t>
        </w:r>
        <w:proofErr w:type="spellStart"/>
        <w:r w:rsidR="005B6A9C" w:rsidRPr="00B433A3">
          <w:rPr>
            <w:rStyle w:val="Hyperlink"/>
          </w:rPr>
          <w:t>astrobiologist</w:t>
        </w:r>
        <w:proofErr w:type="spellEnd"/>
        <w:r w:rsidR="005B6A9C" w:rsidRPr="00B433A3">
          <w:rPr>
            <w:rStyle w:val="Hyperlink"/>
          </w:rPr>
          <w:t xml:space="preserve"> </w:t>
        </w:r>
        <w:proofErr w:type="spellStart"/>
        <w:r w:rsidR="005B6A9C" w:rsidRPr="00B433A3">
          <w:rPr>
            <w:rStyle w:val="Hyperlink"/>
          </w:rPr>
          <w:t>aims</w:t>
        </w:r>
        <w:proofErr w:type="spellEnd"/>
        <w:r w:rsidR="005B6A9C" w:rsidRPr="00B433A3">
          <w:rPr>
            <w:rStyle w:val="Hyperlink"/>
          </w:rPr>
          <w:t xml:space="preserve"> for Mars</w:t>
        </w:r>
      </w:hyperlink>
      <w:r w:rsidR="00B96E25" w:rsidRPr="00B433A3">
        <w:rPr>
          <w:rStyle w:val="Hyperlink"/>
          <w:color w:val="auto"/>
          <w:u w:val="none"/>
        </w:rPr>
        <w:t xml:space="preserve"> (</w:t>
      </w:r>
      <w:r w:rsidR="005B6A9C" w:rsidRPr="00B433A3">
        <w:rPr>
          <w:rStyle w:val="Hyperlink"/>
          <w:i/>
          <w:iCs/>
          <w:color w:val="auto"/>
          <w:u w:val="none"/>
        </w:rPr>
        <w:t>Un astrobiologiste en herbe vise la planète Mars</w:t>
      </w:r>
      <w:r w:rsidR="005B6A9C" w:rsidRPr="00B433A3">
        <w:rPr>
          <w:rStyle w:val="Hyperlink"/>
          <w:color w:val="auto"/>
          <w:u w:val="none"/>
        </w:rPr>
        <w:t>)</w:t>
      </w:r>
    </w:p>
    <w:p w14:paraId="6DDFB487" w14:textId="701BAD27" w:rsidR="005B6A9C" w:rsidRPr="00B433A3" w:rsidRDefault="002D5A62" w:rsidP="00B8343E">
      <w:pPr>
        <w:pStyle w:val="enumlev1"/>
        <w:rPr>
          <w:rStyle w:val="Hyperlink"/>
        </w:rPr>
      </w:pPr>
      <w:r w:rsidRPr="00B433A3">
        <w:lastRenderedPageBreak/>
        <w:t>–</w:t>
      </w:r>
      <w:r w:rsidR="005B6A9C" w:rsidRPr="00B433A3">
        <w:tab/>
      </w:r>
      <w:hyperlink r:id="rId90" w:history="1">
        <w:proofErr w:type="spellStart"/>
        <w:r w:rsidR="005B6A9C" w:rsidRPr="00B433A3">
          <w:rPr>
            <w:rStyle w:val="Hyperlink"/>
          </w:rPr>
          <w:t>Managing</w:t>
        </w:r>
        <w:proofErr w:type="spellEnd"/>
        <w:r w:rsidR="005B6A9C" w:rsidRPr="00B433A3">
          <w:rPr>
            <w:rStyle w:val="Hyperlink"/>
          </w:rPr>
          <w:t xml:space="preserve"> radio </w:t>
        </w:r>
        <w:proofErr w:type="spellStart"/>
        <w:r w:rsidR="005B6A9C" w:rsidRPr="00B433A3">
          <w:rPr>
            <w:rStyle w:val="Hyperlink"/>
          </w:rPr>
          <w:t>frequency</w:t>
        </w:r>
        <w:proofErr w:type="spellEnd"/>
        <w:r w:rsidR="005B6A9C" w:rsidRPr="00B433A3">
          <w:rPr>
            <w:rStyle w:val="Hyperlink"/>
          </w:rPr>
          <w:t xml:space="preserve"> </w:t>
        </w:r>
        <w:proofErr w:type="spellStart"/>
        <w:r w:rsidR="005B6A9C" w:rsidRPr="00B433A3">
          <w:rPr>
            <w:rStyle w:val="Hyperlink"/>
          </w:rPr>
          <w:t>spectrum</w:t>
        </w:r>
        <w:proofErr w:type="spellEnd"/>
        <w:r w:rsidR="005B6A9C" w:rsidRPr="00B433A3">
          <w:rPr>
            <w:rStyle w:val="Hyperlink"/>
          </w:rPr>
          <w:t xml:space="preserve"> </w:t>
        </w:r>
        <w:proofErr w:type="spellStart"/>
        <w:r w:rsidR="005B6A9C" w:rsidRPr="00B433A3">
          <w:rPr>
            <w:rStyle w:val="Hyperlink"/>
          </w:rPr>
          <w:t>amid</w:t>
        </w:r>
        <w:proofErr w:type="spellEnd"/>
        <w:r w:rsidR="005B6A9C" w:rsidRPr="00B433A3">
          <w:rPr>
            <w:rStyle w:val="Hyperlink"/>
          </w:rPr>
          <w:t xml:space="preserve"> a new </w:t>
        </w:r>
        <w:proofErr w:type="spellStart"/>
        <w:r w:rsidR="005B6A9C" w:rsidRPr="00B433A3">
          <w:rPr>
            <w:rStyle w:val="Hyperlink"/>
          </w:rPr>
          <w:t>space</w:t>
        </w:r>
        <w:proofErr w:type="spellEnd"/>
        <w:r w:rsidR="005B6A9C" w:rsidRPr="00B433A3">
          <w:rPr>
            <w:rStyle w:val="Hyperlink"/>
          </w:rPr>
          <w:t xml:space="preserve"> race</w:t>
        </w:r>
      </w:hyperlink>
      <w:r w:rsidR="00B96E25" w:rsidRPr="00B433A3">
        <w:t xml:space="preserve"> </w:t>
      </w:r>
      <w:r w:rsidR="00B96E25" w:rsidRPr="00B433A3">
        <w:rPr>
          <w:rStyle w:val="Hyperlink"/>
          <w:color w:val="auto"/>
          <w:u w:val="none"/>
        </w:rPr>
        <w:t>(</w:t>
      </w:r>
      <w:r w:rsidR="005B6A9C" w:rsidRPr="00B433A3">
        <w:rPr>
          <w:i/>
          <w:iCs/>
        </w:rPr>
        <w:t>Gérer le spectre des fréquences radioélectriques dans le contexte d'une nouvelle course à l'espace</w:t>
      </w:r>
      <w:r w:rsidR="005B6A9C" w:rsidRPr="00B433A3">
        <w:t>)</w:t>
      </w:r>
    </w:p>
    <w:p w14:paraId="3A1D99C7" w14:textId="43CEE002" w:rsidR="005B6A9C" w:rsidRPr="00B433A3" w:rsidRDefault="002D5A62" w:rsidP="00B8343E">
      <w:pPr>
        <w:pStyle w:val="enumlev1"/>
      </w:pPr>
      <w:r w:rsidRPr="00B433A3">
        <w:t>–</w:t>
      </w:r>
      <w:r w:rsidR="005B6A9C" w:rsidRPr="00B433A3">
        <w:tab/>
      </w:r>
      <w:hyperlink r:id="rId91" w:history="1">
        <w:proofErr w:type="spellStart"/>
        <w:r w:rsidR="005B6A9C" w:rsidRPr="00B433A3">
          <w:rPr>
            <w:rStyle w:val="Hyperlink"/>
          </w:rPr>
          <w:t>Behind</w:t>
        </w:r>
        <w:proofErr w:type="spellEnd"/>
        <w:r w:rsidR="005B6A9C" w:rsidRPr="00B433A3">
          <w:rPr>
            <w:rStyle w:val="Hyperlink"/>
          </w:rPr>
          <w:t xml:space="preserve"> the </w:t>
        </w:r>
        <w:proofErr w:type="spellStart"/>
        <w:r w:rsidR="005B6A9C" w:rsidRPr="00B433A3">
          <w:rPr>
            <w:rStyle w:val="Hyperlink"/>
          </w:rPr>
          <w:t>latest</w:t>
        </w:r>
        <w:proofErr w:type="spellEnd"/>
        <w:r w:rsidR="005B6A9C" w:rsidRPr="00B433A3">
          <w:rPr>
            <w:rStyle w:val="Hyperlink"/>
          </w:rPr>
          <w:t xml:space="preserve"> </w:t>
        </w:r>
        <w:proofErr w:type="spellStart"/>
        <w:r w:rsidR="005B6A9C" w:rsidRPr="00B433A3">
          <w:rPr>
            <w:rStyle w:val="Hyperlink"/>
          </w:rPr>
          <w:t>Olympics</w:t>
        </w:r>
        <w:proofErr w:type="spellEnd"/>
        <w:r w:rsidR="005B6A9C" w:rsidRPr="00B433A3">
          <w:rPr>
            <w:rStyle w:val="Hyperlink"/>
          </w:rPr>
          <w:t xml:space="preserve"> </w:t>
        </w:r>
        <w:proofErr w:type="gramStart"/>
        <w:r w:rsidR="005B6A9C" w:rsidRPr="00B433A3">
          <w:rPr>
            <w:rStyle w:val="Hyperlink"/>
          </w:rPr>
          <w:t>broadcasts:</w:t>
        </w:r>
        <w:proofErr w:type="gramEnd"/>
        <w:r w:rsidR="005B6A9C" w:rsidRPr="00B433A3">
          <w:rPr>
            <w:rStyle w:val="Hyperlink"/>
          </w:rPr>
          <w:t xml:space="preserve"> TV tech </w:t>
        </w:r>
        <w:proofErr w:type="spellStart"/>
        <w:r w:rsidR="005B6A9C" w:rsidRPr="00B433A3">
          <w:rPr>
            <w:rStyle w:val="Hyperlink"/>
          </w:rPr>
          <w:t>brings</w:t>
        </w:r>
        <w:proofErr w:type="spellEnd"/>
        <w:r w:rsidR="005B6A9C" w:rsidRPr="00B433A3">
          <w:rPr>
            <w:rStyle w:val="Hyperlink"/>
          </w:rPr>
          <w:t xml:space="preserve"> the world </w:t>
        </w:r>
        <w:proofErr w:type="spellStart"/>
        <w:r w:rsidR="005B6A9C" w:rsidRPr="00B433A3">
          <w:rPr>
            <w:rStyle w:val="Hyperlink"/>
          </w:rPr>
          <w:t>together</w:t>
        </w:r>
        <w:proofErr w:type="spellEnd"/>
      </w:hyperlink>
      <w:r w:rsidR="00B96E25" w:rsidRPr="00B433A3">
        <w:t xml:space="preserve"> </w:t>
      </w:r>
      <w:r w:rsidR="00B96E25" w:rsidRPr="00B433A3">
        <w:rPr>
          <w:rStyle w:val="Hyperlink"/>
          <w:color w:val="auto"/>
          <w:u w:val="none"/>
        </w:rPr>
        <w:t>(</w:t>
      </w:r>
      <w:r w:rsidR="005B6A9C" w:rsidRPr="00B433A3">
        <w:rPr>
          <w:i/>
          <w:iCs/>
        </w:rPr>
        <w:t>Dans les coulisses de la retransmission des derniers Jeux olympiques: les technologies télévisuelles au service d'un événement fédérateur à l'échelle mondiale</w:t>
      </w:r>
      <w:r w:rsidR="005B6A9C" w:rsidRPr="00B433A3">
        <w:t>)</w:t>
      </w:r>
    </w:p>
    <w:p w14:paraId="1CA12F27" w14:textId="77777777" w:rsidR="005B6A9C" w:rsidRPr="00B433A3" w:rsidRDefault="005B6A9C" w:rsidP="00B8343E">
      <w:pPr>
        <w:rPr>
          <w:rFonts w:eastAsia="SimSun" w:cs="Arial"/>
        </w:rPr>
      </w:pPr>
      <w:r w:rsidRPr="00B433A3">
        <w:rPr>
          <w:rFonts w:eastAsia="SimSun" w:cs="Arial"/>
        </w:rPr>
        <w:t xml:space="preserve">Autres ressources élaborées, tenues à jour et actualisées durant cette </w:t>
      </w:r>
      <w:proofErr w:type="gramStart"/>
      <w:r w:rsidRPr="00B433A3">
        <w:rPr>
          <w:rFonts w:eastAsia="SimSun" w:cs="Arial"/>
        </w:rPr>
        <w:t>période:</w:t>
      </w:r>
      <w:proofErr w:type="gramEnd"/>
    </w:p>
    <w:p w14:paraId="6E9AA60F" w14:textId="653124E6" w:rsidR="005B6A9C" w:rsidRPr="00B433A3" w:rsidRDefault="002D5A62" w:rsidP="00B8343E">
      <w:pPr>
        <w:pStyle w:val="enumlev1"/>
        <w:rPr>
          <w:rFonts w:eastAsia="SimSun" w:cs="Arial"/>
        </w:rPr>
      </w:pPr>
      <w:r w:rsidRPr="00B433A3">
        <w:t>–</w:t>
      </w:r>
      <w:r w:rsidR="005B6A9C" w:rsidRPr="00B433A3">
        <w:tab/>
      </w:r>
      <w:hyperlink r:id="rId92" w:history="1">
        <w:bookmarkStart w:id="282" w:name="lt_pId1520"/>
        <w:r w:rsidR="005B6A9C" w:rsidRPr="00B433A3">
          <w:rPr>
            <w:rStyle w:val="Hyperlink"/>
            <w:bdr w:val="none" w:sz="0" w:space="0" w:color="auto" w:frame="1"/>
          </w:rPr>
          <w:t>Accès en ligne gratuit aux publications, logiciels et bases de données de l'UIT-R</w:t>
        </w:r>
        <w:bookmarkEnd w:id="282"/>
      </w:hyperlink>
    </w:p>
    <w:p w14:paraId="3DE184CF" w14:textId="19225DDD" w:rsidR="005B6A9C" w:rsidRPr="00B433A3" w:rsidRDefault="002D5A62" w:rsidP="00B8343E">
      <w:pPr>
        <w:pStyle w:val="enumlev1"/>
        <w:rPr>
          <w:color w:val="0000FF"/>
          <w:szCs w:val="24"/>
        </w:rPr>
      </w:pPr>
      <w:r w:rsidRPr="00B433A3">
        <w:t>–</w:t>
      </w:r>
      <w:r w:rsidR="005B6A9C" w:rsidRPr="00B433A3">
        <w:tab/>
      </w:r>
      <w:hyperlink r:id="rId93" w:history="1">
        <w:r w:rsidR="005B6A9C" w:rsidRPr="00B433A3">
          <w:rPr>
            <w:rStyle w:val="Hyperlink"/>
            <w:bdr w:val="none" w:sz="0" w:space="0" w:color="auto" w:frame="1"/>
          </w:rPr>
          <w:t>L'intelligence artificielle rend les radiocommunications plus intelligentes</w:t>
        </w:r>
        <w:r w:rsidR="005B6A9C" w:rsidRPr="00B433A3">
          <w:rPr>
            <w:rStyle w:val="Hyperlink"/>
            <w:rFonts w:eastAsia="Arial"/>
            <w:szCs w:val="24"/>
          </w:rPr>
          <w:t xml:space="preserve"> </w:t>
        </w:r>
      </w:hyperlink>
    </w:p>
    <w:p w14:paraId="0FB0E0AE" w14:textId="49D44A55" w:rsidR="005B6A9C" w:rsidRPr="00B433A3" w:rsidRDefault="002D5A62" w:rsidP="00B8343E">
      <w:pPr>
        <w:pStyle w:val="enumlev1"/>
        <w:rPr>
          <w:rStyle w:val="Hyperlink"/>
        </w:rPr>
      </w:pPr>
      <w:r w:rsidRPr="00B433A3">
        <w:t>–</w:t>
      </w:r>
      <w:r w:rsidR="005B6A9C" w:rsidRPr="00B433A3">
        <w:tab/>
      </w:r>
      <w:hyperlink r:id="rId94" w:history="1">
        <w:r w:rsidR="005B6A9C" w:rsidRPr="00B433A3">
          <w:rPr>
            <w:rStyle w:val="Hyperlink"/>
          </w:rPr>
          <w:t>Norme mondiale de l'UIT concernant les télécommunications mobiles internationales</w:t>
        </w:r>
        <w:proofErr w:type="gramStart"/>
        <w:r w:rsidR="005B6A9C" w:rsidRPr="00B433A3">
          <w:rPr>
            <w:rStyle w:val="Hyperlink"/>
          </w:rPr>
          <w:t xml:space="preserve"> «IMT</w:t>
        </w:r>
        <w:proofErr w:type="gramEnd"/>
        <w:r w:rsidR="005B6A9C" w:rsidRPr="00B433A3">
          <w:rPr>
            <w:rStyle w:val="Hyperlink"/>
          </w:rPr>
          <w:t>-2020 et au-delà»</w:t>
        </w:r>
      </w:hyperlink>
    </w:p>
    <w:p w14:paraId="0FA820C5" w14:textId="29CE2815" w:rsidR="005B6A9C" w:rsidRPr="00B433A3" w:rsidRDefault="002D5A62" w:rsidP="00B8343E">
      <w:pPr>
        <w:pStyle w:val="enumlev1"/>
        <w:rPr>
          <w:rStyle w:val="Hyperlink"/>
          <w:szCs w:val="24"/>
        </w:rPr>
      </w:pPr>
      <w:r w:rsidRPr="00B433A3">
        <w:t>–</w:t>
      </w:r>
      <w:r w:rsidR="005B6A9C" w:rsidRPr="00B433A3">
        <w:tab/>
      </w:r>
      <w:hyperlink r:id="rId95" w:history="1">
        <w:r w:rsidR="005B6A9C" w:rsidRPr="00B433A3">
          <w:rPr>
            <w:rStyle w:val="Hyperlink"/>
            <w:rFonts w:eastAsia="Arial"/>
            <w:szCs w:val="24"/>
          </w:rPr>
          <w:t xml:space="preserve">Les radiocommunications et les changements climatiques </w:t>
        </w:r>
      </w:hyperlink>
    </w:p>
    <w:p w14:paraId="3FFDE9D4" w14:textId="2E44D73B" w:rsidR="005B6A9C" w:rsidRPr="00B433A3" w:rsidRDefault="002D5A62" w:rsidP="00B8343E">
      <w:pPr>
        <w:pStyle w:val="enumlev1"/>
        <w:rPr>
          <w:rStyle w:val="Hyperlink"/>
          <w:szCs w:val="24"/>
        </w:rPr>
      </w:pPr>
      <w:r w:rsidRPr="00B433A3">
        <w:t>–</w:t>
      </w:r>
      <w:r w:rsidR="005B6A9C" w:rsidRPr="00B433A3">
        <w:tab/>
      </w:r>
      <w:hyperlink r:id="rId96" w:history="1">
        <w:r w:rsidR="005B6A9C" w:rsidRPr="00B433A3">
          <w:rPr>
            <w:rStyle w:val="Hyperlink"/>
            <w:rFonts w:eastAsia="Arial"/>
            <w:szCs w:val="24"/>
          </w:rPr>
          <w:t>Les radiocommunications d'urgence</w:t>
        </w:r>
      </w:hyperlink>
    </w:p>
    <w:p w14:paraId="5DC5227D" w14:textId="72B623AC" w:rsidR="002D5A62" w:rsidRPr="00B433A3" w:rsidRDefault="002D5A62" w:rsidP="00B8343E">
      <w:pPr>
        <w:pStyle w:val="enumlev1"/>
        <w:rPr>
          <w:rFonts w:eastAsia="Arial"/>
          <w:color w:val="0000FF" w:themeColor="hyperlink"/>
          <w:szCs w:val="24"/>
          <w:u w:val="single"/>
        </w:rPr>
      </w:pPr>
      <w:r w:rsidRPr="00B433A3">
        <w:t>–</w:t>
      </w:r>
      <w:r w:rsidR="005B6A9C" w:rsidRPr="00B433A3">
        <w:tab/>
      </w:r>
      <w:hyperlink r:id="rId97" w:history="1">
        <w:r w:rsidR="005B6A9C" w:rsidRPr="00B433A3">
          <w:rPr>
            <w:rStyle w:val="Hyperlink"/>
            <w:rFonts w:eastAsia="Arial"/>
            <w:szCs w:val="24"/>
          </w:rPr>
          <w:t>Contribution du Secteur de l'UIT-R en vue de réduire la fracture numérique liée aux handicaps</w:t>
        </w:r>
      </w:hyperlink>
      <w:bookmarkStart w:id="283" w:name="_Hlk65244852"/>
    </w:p>
    <w:p w14:paraId="2132BD05" w14:textId="142C86BB" w:rsidR="005B6A9C" w:rsidRPr="00B433A3" w:rsidRDefault="005B6A9C" w:rsidP="00B8343E">
      <w:pPr>
        <w:pStyle w:val="Heading4"/>
        <w:rPr>
          <w:i/>
          <w:iCs/>
        </w:rPr>
      </w:pPr>
      <w:r w:rsidRPr="00B433A3">
        <w:t>8.6.2.</w:t>
      </w:r>
      <w:r w:rsidR="002D5A62" w:rsidRPr="00B433A3">
        <w:t>2</w:t>
      </w:r>
      <w:r w:rsidRPr="00B433A3">
        <w:tab/>
      </w:r>
      <w:bookmarkStart w:id="284" w:name="lt_pId1522"/>
      <w:r w:rsidRPr="00B433A3">
        <w:t>Communications pour la promotion de l'image de marque</w:t>
      </w:r>
      <w:bookmarkEnd w:id="283"/>
      <w:bookmarkEnd w:id="284"/>
      <w:r w:rsidRPr="00B433A3">
        <w:t>, ventes et marketing</w:t>
      </w:r>
    </w:p>
    <w:p w14:paraId="328A3E3C" w14:textId="77777777" w:rsidR="005B6A9C" w:rsidRPr="00B433A3" w:rsidRDefault="005B6A9C" w:rsidP="00B8343E">
      <w:pPr>
        <w:rPr>
          <w:rStyle w:val="Hyperlink"/>
          <w:szCs w:val="24"/>
        </w:rPr>
      </w:pPr>
      <w:r w:rsidRPr="00B433A3">
        <w:rPr>
          <w:rFonts w:eastAsia="SimSun"/>
        </w:rPr>
        <w:t xml:space="preserve">En 2021, les activités de promotion de l'image de marque et de communication ont porté essentiellement sur l'utilisation de la nouvelle plate-forme </w:t>
      </w:r>
      <w:proofErr w:type="spellStart"/>
      <w:r w:rsidRPr="00B433A3">
        <w:rPr>
          <w:rFonts w:eastAsia="SimSun"/>
        </w:rPr>
        <w:t>MyITU</w:t>
      </w:r>
      <w:proofErr w:type="spellEnd"/>
      <w:r w:rsidRPr="00B433A3">
        <w:rPr>
          <w:rFonts w:eastAsia="SimSun"/>
        </w:rPr>
        <w:t xml:space="preserve"> et ont été menées en collaboration avec la Division des ventes et du marketing, en vue d'assurer la promotion des publications de l'UIT-R </w:t>
      </w:r>
      <w:proofErr w:type="gramStart"/>
      <w:r w:rsidRPr="00B433A3">
        <w:rPr>
          <w:rFonts w:eastAsia="SimSun"/>
        </w:rPr>
        <w:t>suivantes:</w:t>
      </w:r>
      <w:proofErr w:type="gramEnd"/>
    </w:p>
    <w:p w14:paraId="7C826054" w14:textId="538E79C7" w:rsidR="005B6A9C" w:rsidRPr="00B433A3" w:rsidRDefault="002D5A62" w:rsidP="00B8343E">
      <w:pPr>
        <w:pStyle w:val="enumlev1"/>
        <w:rPr>
          <w:rStyle w:val="Hyperlink"/>
          <w:szCs w:val="24"/>
        </w:rPr>
      </w:pPr>
      <w:r w:rsidRPr="00B433A3">
        <w:t>–</w:t>
      </w:r>
      <w:r w:rsidR="005B6A9C" w:rsidRPr="00B433A3">
        <w:tab/>
      </w:r>
      <w:hyperlink r:id="rId98" w:history="1">
        <w:r w:rsidR="005B6A9C" w:rsidRPr="00B433A3">
          <w:rPr>
            <w:rStyle w:val="Hyperlink"/>
            <w:szCs w:val="24"/>
          </w:rPr>
          <w:t xml:space="preserve">Actes finals de la CMR-19 – </w:t>
        </w:r>
        <w:proofErr w:type="spellStart"/>
        <w:r w:rsidR="005B6A9C" w:rsidRPr="00B433A3">
          <w:rPr>
            <w:rStyle w:val="Hyperlink"/>
            <w:szCs w:val="24"/>
          </w:rPr>
          <w:t>My</w:t>
        </w:r>
        <w:proofErr w:type="spellEnd"/>
        <w:r w:rsidR="005B6A9C" w:rsidRPr="00B433A3">
          <w:rPr>
            <w:rStyle w:val="Hyperlink"/>
            <w:szCs w:val="24"/>
          </w:rPr>
          <w:t xml:space="preserve"> ITU</w:t>
        </w:r>
      </w:hyperlink>
    </w:p>
    <w:p w14:paraId="30B6833B" w14:textId="5F2CF3F4" w:rsidR="005B6A9C" w:rsidRPr="00B433A3" w:rsidRDefault="002D5A62" w:rsidP="00B8343E">
      <w:pPr>
        <w:pStyle w:val="enumlev1"/>
        <w:rPr>
          <w:rStyle w:val="Hyperlink"/>
          <w:szCs w:val="24"/>
        </w:rPr>
      </w:pPr>
      <w:r w:rsidRPr="00B433A3">
        <w:t>–</w:t>
      </w:r>
      <w:r w:rsidR="005B6A9C" w:rsidRPr="00B433A3">
        <w:tab/>
      </w:r>
      <w:hyperlink r:id="rId99" w:history="1">
        <w:r w:rsidR="005B6A9C" w:rsidRPr="00B433A3">
          <w:rPr>
            <w:rStyle w:val="Hyperlink"/>
            <w:szCs w:val="24"/>
          </w:rPr>
          <w:t xml:space="preserve">Édition de 2020 du Règlement des radiocommunications – </w:t>
        </w:r>
        <w:proofErr w:type="spellStart"/>
        <w:r w:rsidR="005B6A9C" w:rsidRPr="00B433A3">
          <w:rPr>
            <w:rStyle w:val="Hyperlink"/>
            <w:szCs w:val="24"/>
          </w:rPr>
          <w:t>My</w:t>
        </w:r>
        <w:proofErr w:type="spellEnd"/>
        <w:r w:rsidR="005B6A9C" w:rsidRPr="00B433A3">
          <w:rPr>
            <w:rStyle w:val="Hyperlink"/>
            <w:szCs w:val="24"/>
          </w:rPr>
          <w:t xml:space="preserve"> ITU</w:t>
        </w:r>
      </w:hyperlink>
    </w:p>
    <w:p w14:paraId="64D54D11" w14:textId="0CB39CFE" w:rsidR="005B6A9C" w:rsidRPr="00B433A3" w:rsidRDefault="002D5A62" w:rsidP="00B8343E">
      <w:pPr>
        <w:pStyle w:val="enumlev1"/>
        <w:rPr>
          <w:rStyle w:val="Hyperlink"/>
          <w:szCs w:val="24"/>
        </w:rPr>
      </w:pPr>
      <w:r w:rsidRPr="00B433A3">
        <w:t>–</w:t>
      </w:r>
      <w:r w:rsidR="005B6A9C" w:rsidRPr="00B433A3">
        <w:tab/>
      </w:r>
      <w:hyperlink r:id="rId100" w:history="1">
        <w:r w:rsidR="005B6A9C" w:rsidRPr="00B433A3">
          <w:rPr>
            <w:rStyle w:val="Hyperlink"/>
            <w:szCs w:val="24"/>
          </w:rPr>
          <w:t xml:space="preserve">Édition de 2020 du Manuel sur le service maritime – </w:t>
        </w:r>
        <w:proofErr w:type="spellStart"/>
        <w:r w:rsidR="005B6A9C" w:rsidRPr="00B433A3">
          <w:rPr>
            <w:rStyle w:val="Hyperlink"/>
            <w:szCs w:val="24"/>
          </w:rPr>
          <w:t>My</w:t>
        </w:r>
        <w:proofErr w:type="spellEnd"/>
        <w:r w:rsidR="005B6A9C" w:rsidRPr="00B433A3">
          <w:rPr>
            <w:rStyle w:val="Hyperlink"/>
            <w:szCs w:val="24"/>
          </w:rPr>
          <w:t xml:space="preserve"> ITU</w:t>
        </w:r>
      </w:hyperlink>
    </w:p>
    <w:p w14:paraId="65FA6ED3" w14:textId="7BA9F6D5" w:rsidR="005B6A9C" w:rsidRPr="00B433A3" w:rsidRDefault="002D5A62" w:rsidP="00B8343E">
      <w:pPr>
        <w:pStyle w:val="enumlev1"/>
      </w:pPr>
      <w:r w:rsidRPr="00B433A3">
        <w:t>–</w:t>
      </w:r>
      <w:r w:rsidR="005B6A9C" w:rsidRPr="00B433A3">
        <w:tab/>
      </w:r>
      <w:hyperlink r:id="rId101" w:history="1">
        <w:r w:rsidR="005B6A9C" w:rsidRPr="00B433A3">
          <w:rPr>
            <w:rStyle w:val="Hyperlink"/>
            <w:szCs w:val="24"/>
          </w:rPr>
          <w:t xml:space="preserve">Logiciel relatif à l'Article 5 du RR – </w:t>
        </w:r>
        <w:proofErr w:type="spellStart"/>
        <w:r w:rsidR="005B6A9C" w:rsidRPr="00B433A3">
          <w:rPr>
            <w:rStyle w:val="Hyperlink"/>
            <w:szCs w:val="24"/>
          </w:rPr>
          <w:t>My</w:t>
        </w:r>
        <w:proofErr w:type="spellEnd"/>
        <w:r w:rsidR="005B6A9C" w:rsidRPr="00B433A3">
          <w:rPr>
            <w:rStyle w:val="Hyperlink"/>
            <w:szCs w:val="24"/>
          </w:rPr>
          <w:t xml:space="preserve"> ITU</w:t>
        </w:r>
      </w:hyperlink>
    </w:p>
    <w:p w14:paraId="537A72D6" w14:textId="442156F6" w:rsidR="005B6A9C" w:rsidRPr="00B433A3" w:rsidRDefault="002D5A62" w:rsidP="00B8343E">
      <w:pPr>
        <w:pStyle w:val="enumlev1"/>
        <w:rPr>
          <w:color w:val="0000FF"/>
          <w:szCs w:val="24"/>
        </w:rPr>
      </w:pPr>
      <w:r w:rsidRPr="00B433A3">
        <w:t>–</w:t>
      </w:r>
      <w:r w:rsidR="005B6A9C" w:rsidRPr="00B433A3">
        <w:tab/>
      </w:r>
      <w:hyperlink r:id="rId102" w:history="1">
        <w:r w:rsidR="005B6A9C" w:rsidRPr="00B433A3">
          <w:rPr>
            <w:rStyle w:val="Hyperlink"/>
            <w:szCs w:val="24"/>
          </w:rPr>
          <w:t xml:space="preserve">Liste V – Nomenclature des stations de navire et des identités du service mobile maritime assignées 2021 – </w:t>
        </w:r>
        <w:proofErr w:type="spellStart"/>
        <w:r w:rsidR="005B6A9C" w:rsidRPr="00B433A3">
          <w:rPr>
            <w:rStyle w:val="Hyperlink"/>
            <w:szCs w:val="24"/>
          </w:rPr>
          <w:t>My</w:t>
        </w:r>
        <w:proofErr w:type="spellEnd"/>
        <w:r w:rsidR="005B6A9C" w:rsidRPr="00B433A3">
          <w:rPr>
            <w:rStyle w:val="Hyperlink"/>
            <w:szCs w:val="24"/>
          </w:rPr>
          <w:t xml:space="preserve"> ITU</w:t>
        </w:r>
      </w:hyperlink>
    </w:p>
    <w:p w14:paraId="1B9461F2" w14:textId="1FD3BCA1" w:rsidR="005B6A9C" w:rsidRPr="00B433A3" w:rsidRDefault="002D5A62" w:rsidP="00B8343E">
      <w:pPr>
        <w:pStyle w:val="enumlev1"/>
      </w:pPr>
      <w:r w:rsidRPr="00B433A3">
        <w:t>–</w:t>
      </w:r>
      <w:r w:rsidR="005B6A9C" w:rsidRPr="00B433A3">
        <w:tab/>
      </w:r>
      <w:hyperlink r:id="rId103" w:history="1">
        <w:r w:rsidR="005B6A9C" w:rsidRPr="00B433A3">
          <w:rPr>
            <w:rStyle w:val="Hyperlink"/>
          </w:rPr>
          <w:t>Liste IV – Nomenclature des stations côtières et des stations effectuant des services spéciaux</w:t>
        </w:r>
      </w:hyperlink>
      <w:r w:rsidR="005B6A9C" w:rsidRPr="00B433A3">
        <w:rPr>
          <w:rStyle w:val="Hyperlink"/>
        </w:rPr>
        <w:t xml:space="preserve"> 2021</w:t>
      </w:r>
    </w:p>
    <w:p w14:paraId="267E5177" w14:textId="7F8F601D" w:rsidR="005B6A9C" w:rsidRPr="00B433A3" w:rsidRDefault="002D5A62" w:rsidP="00B8343E">
      <w:pPr>
        <w:pStyle w:val="enumlev1"/>
      </w:pPr>
      <w:r w:rsidRPr="00B433A3">
        <w:t>–</w:t>
      </w:r>
      <w:r w:rsidR="005B6A9C" w:rsidRPr="00B433A3">
        <w:tab/>
      </w:r>
      <w:hyperlink r:id="rId104" w:history="1">
        <w:r w:rsidR="005B6A9C" w:rsidRPr="00B433A3">
          <w:rPr>
            <w:rStyle w:val="Hyperlink"/>
          </w:rPr>
          <w:t>Outil de navigation dans le Règlement des radiocommunications de l'UIT</w:t>
        </w:r>
      </w:hyperlink>
    </w:p>
    <w:p w14:paraId="5707FFD2" w14:textId="237A2DAF" w:rsidR="005B6A9C" w:rsidRPr="00B433A3" w:rsidRDefault="002D5A62" w:rsidP="00B8343E">
      <w:pPr>
        <w:pStyle w:val="enumlev1"/>
      </w:pPr>
      <w:r w:rsidRPr="00B433A3">
        <w:t>–</w:t>
      </w:r>
      <w:r w:rsidR="005B6A9C" w:rsidRPr="00B433A3">
        <w:tab/>
      </w:r>
      <w:hyperlink r:id="rId105" w:history="1">
        <w:r w:rsidR="005B6A9C" w:rsidRPr="00B433A3">
          <w:rPr>
            <w:rStyle w:val="Hyperlink"/>
          </w:rPr>
          <w:t xml:space="preserve">Règles de procédure associées au Règlement des radiocommunications </w:t>
        </w:r>
      </w:hyperlink>
    </w:p>
    <w:p w14:paraId="68EE00F7" w14:textId="77777777" w:rsidR="005B6A9C" w:rsidRPr="00B433A3" w:rsidRDefault="005B6A9C" w:rsidP="00B8343E">
      <w:pPr>
        <w:pStyle w:val="Heading4"/>
      </w:pPr>
      <w:bookmarkStart w:id="285" w:name="_Hlk65245105"/>
      <w:r w:rsidRPr="00B433A3">
        <w:t>8.6.2.3</w:t>
      </w:r>
      <w:r w:rsidRPr="00B433A3">
        <w:tab/>
      </w:r>
      <w:bookmarkStart w:id="286" w:name="lt_pId1525"/>
      <w:r w:rsidRPr="00B433A3">
        <w:t>Expositions et démonstrations</w:t>
      </w:r>
      <w:bookmarkEnd w:id="285"/>
      <w:bookmarkEnd w:id="286"/>
    </w:p>
    <w:p w14:paraId="0DA7F03B" w14:textId="77777777" w:rsidR="005B6A9C" w:rsidRPr="00B433A3" w:rsidRDefault="005B6A9C" w:rsidP="00B8343E">
      <w:pPr>
        <w:rPr>
          <w:rFonts w:eastAsia="SimSun"/>
        </w:rPr>
      </w:pPr>
      <w:r w:rsidRPr="00B433A3">
        <w:t>En raison de la crise sanitaire mondiale et des restrictions de voyage international imposées en conséquence, aucune exposition ni aucune démonstration n'a eu lieu durant cette période.</w:t>
      </w:r>
    </w:p>
    <w:p w14:paraId="7EB7BB81" w14:textId="77777777" w:rsidR="005B6A9C" w:rsidRPr="00B433A3" w:rsidRDefault="005B6A9C" w:rsidP="00B8343E">
      <w:pPr>
        <w:pStyle w:val="Heading2"/>
      </w:pPr>
      <w:bookmarkStart w:id="287" w:name="_Hlk65245130"/>
      <w:r w:rsidRPr="00B433A3">
        <w:t>8.7</w:t>
      </w:r>
      <w:r w:rsidRPr="00B433A3">
        <w:tab/>
      </w:r>
      <w:bookmarkEnd w:id="287"/>
      <w:r w:rsidRPr="00B433A3">
        <w:t>Égalité hommes-femmes</w:t>
      </w:r>
    </w:p>
    <w:p w14:paraId="69A14D48" w14:textId="77777777" w:rsidR="005B6A9C" w:rsidRPr="00B433A3" w:rsidRDefault="005B6A9C" w:rsidP="00B8343E">
      <w:pPr>
        <w:rPr>
          <w:rFonts w:asciiTheme="majorBidi" w:hAnsiTheme="majorBidi" w:cstheme="majorBidi"/>
          <w:bCs/>
        </w:rPr>
      </w:pPr>
      <w:r w:rsidRPr="00B433A3">
        <w:t>La promotion de l'égalité hommes-femmes dans toutes les sphères de la société numérique actuelle n'a jamais été aussi cruciale alors que débute la Décennie d'action pour mettre en œuvre le Programme de développement durable à l'horizon 2030. Les technologies numériques jouent un rôle essentiel dans la réalisation des 17 Objectifs de développement durable. L'augmentation de la part de femmes qui ont accès aux technologies numériques et qui les utilisent en vue d'améliorer leur quotidien et, par extension, celui de leur famille et de la société dans son ensemble, représente un défi sur le plan du développement qui nous concerne tous</w:t>
      </w:r>
      <w:r w:rsidRPr="00B433A3">
        <w:rPr>
          <w:rFonts w:asciiTheme="majorBidi" w:hAnsiTheme="majorBidi" w:cstheme="majorBidi"/>
          <w:bCs/>
        </w:rPr>
        <w:t>.</w:t>
      </w:r>
    </w:p>
    <w:p w14:paraId="0542ADA4" w14:textId="77777777" w:rsidR="006B6441" w:rsidRDefault="006B6441" w:rsidP="00B8343E">
      <w:pPr>
        <w:rPr>
          <w:rFonts w:asciiTheme="majorBidi" w:hAnsiTheme="majorBidi" w:cstheme="majorBidi"/>
          <w:bCs/>
        </w:rPr>
      </w:pPr>
      <w:r>
        <w:rPr>
          <w:rFonts w:asciiTheme="majorBidi" w:hAnsiTheme="majorBidi" w:cstheme="majorBidi"/>
          <w:bCs/>
        </w:rPr>
        <w:br w:type="page"/>
      </w:r>
    </w:p>
    <w:p w14:paraId="6C1EA217" w14:textId="7CCDFBD2" w:rsidR="005B6A9C" w:rsidRPr="00B433A3" w:rsidRDefault="00DA39DA" w:rsidP="00B8343E">
      <w:pPr>
        <w:rPr>
          <w:rFonts w:asciiTheme="majorBidi" w:hAnsiTheme="majorBidi" w:cstheme="majorBidi"/>
          <w:bCs/>
        </w:rPr>
      </w:pPr>
      <w:r w:rsidRPr="00B433A3">
        <w:rPr>
          <w:rFonts w:asciiTheme="majorBidi" w:hAnsiTheme="majorBidi" w:cstheme="majorBidi"/>
          <w:bCs/>
        </w:rPr>
        <w:lastRenderedPageBreak/>
        <w:t xml:space="preserve">En 2021, des progrès ont été accomplis dans le cadre des activités </w:t>
      </w:r>
      <w:proofErr w:type="gramStart"/>
      <w:r w:rsidRPr="00B433A3">
        <w:rPr>
          <w:rFonts w:asciiTheme="majorBidi" w:hAnsiTheme="majorBidi" w:cstheme="majorBidi"/>
          <w:bCs/>
        </w:rPr>
        <w:t>suivantes</w:t>
      </w:r>
      <w:r w:rsidR="005B6A9C" w:rsidRPr="00B433A3">
        <w:rPr>
          <w:rFonts w:asciiTheme="majorBidi" w:hAnsiTheme="majorBidi" w:cstheme="majorBidi"/>
          <w:bCs/>
        </w:rPr>
        <w:t>:</w:t>
      </w:r>
      <w:proofErr w:type="gramEnd"/>
    </w:p>
    <w:p w14:paraId="6E3D2B83" w14:textId="77777777" w:rsidR="005B6A9C" w:rsidRPr="00B433A3" w:rsidRDefault="005B6A9C" w:rsidP="00B8343E">
      <w:pPr>
        <w:pStyle w:val="Heading3"/>
        <w:rPr>
          <w:rFonts w:eastAsia="Calibri"/>
          <w:b w:val="0"/>
          <w:bCs/>
          <w:szCs w:val="24"/>
        </w:rPr>
      </w:pPr>
      <w:r w:rsidRPr="00B433A3">
        <w:rPr>
          <w:rFonts w:asciiTheme="majorBidi" w:hAnsiTheme="majorBidi" w:cstheme="majorBidi"/>
        </w:rPr>
        <w:t>8.7.1</w:t>
      </w:r>
      <w:r w:rsidRPr="00B433A3">
        <w:rPr>
          <w:rFonts w:asciiTheme="majorBidi" w:hAnsiTheme="majorBidi" w:cstheme="majorBidi"/>
        </w:rPr>
        <w:tab/>
      </w:r>
      <w:r w:rsidRPr="00B433A3">
        <w:rPr>
          <w:rFonts w:eastAsia="Calibri"/>
        </w:rPr>
        <w:t>Groupe de travail par correspondance du GCR sur l'égalité hommes-femmes</w:t>
      </w:r>
    </w:p>
    <w:p w14:paraId="5D25FCA0" w14:textId="0D5566D5" w:rsidR="005B6A9C" w:rsidRPr="00B433A3" w:rsidRDefault="00DF12FB" w:rsidP="00B8343E">
      <w:pPr>
        <w:rPr>
          <w:rFonts w:eastAsia="Calibri"/>
        </w:rPr>
      </w:pPr>
      <w:r w:rsidRPr="00B433A3">
        <w:t>Les activités du Groupe de travail par correspondance du GCR sur l'égalité hommes-femmes sont décrites dans un rapport distinct à la réunion du GCR de 2021 qui leur est consacré.</w:t>
      </w:r>
    </w:p>
    <w:p w14:paraId="15596104" w14:textId="77777777" w:rsidR="005B6A9C" w:rsidRPr="00B433A3" w:rsidRDefault="005B6A9C" w:rsidP="00B8343E">
      <w:pPr>
        <w:pStyle w:val="Heading3"/>
        <w:rPr>
          <w:rFonts w:eastAsia="Calibri"/>
          <w:b w:val="0"/>
          <w:bCs/>
          <w:szCs w:val="24"/>
        </w:rPr>
      </w:pPr>
      <w:r w:rsidRPr="00B433A3">
        <w:rPr>
          <w:rFonts w:asciiTheme="majorBidi" w:hAnsiTheme="majorBidi" w:cstheme="majorBidi"/>
        </w:rPr>
        <w:t>8.7.2</w:t>
      </w:r>
      <w:r w:rsidRPr="00B433A3">
        <w:rPr>
          <w:rFonts w:asciiTheme="majorBidi" w:hAnsiTheme="majorBidi" w:cstheme="majorBidi"/>
        </w:rPr>
        <w:tab/>
      </w:r>
      <w:r w:rsidRPr="00B433A3">
        <w:rPr>
          <w:rFonts w:asciiTheme="majorBidi" w:eastAsia="Calibri" w:hAnsiTheme="majorBidi" w:cstheme="majorBidi"/>
        </w:rPr>
        <w:t>Réseau de femmes pour la CMR-23 (#NOW4WRC23)</w:t>
      </w:r>
    </w:p>
    <w:p w14:paraId="20EB9698" w14:textId="77777777" w:rsidR="005B6A9C" w:rsidRPr="00B433A3" w:rsidRDefault="005B6A9C" w:rsidP="00B8343E">
      <w:r w:rsidRPr="00B433A3">
        <w:t>Avant la CMR-19, le BR avait lancé l'initiative de l'UIT</w:t>
      </w:r>
      <w:proofErr w:type="gramStart"/>
      <w:r w:rsidRPr="00B433A3">
        <w:t xml:space="preserve"> «Un</w:t>
      </w:r>
      <w:proofErr w:type="gramEnd"/>
      <w:r w:rsidRPr="00B433A3">
        <w:t xml:space="preserve"> réseau de femmes pour la CMR-19», qui vise à promouvoir la place des femmes dans les domaines des radiocommunications, des télécommunications/TIC et d'autres domaines connexes, afin de contribuer à la réalisation de l'Objectif de développement durable 5 défini par les Nations Unies sur l'égalité des sexes. </w:t>
      </w:r>
      <w:bookmarkStart w:id="288" w:name="lt_pId004"/>
      <w:r w:rsidRPr="00B433A3">
        <w:t>L'initiative avait pour objet de commencer à renforcer les capacités et d'encourager un plus grand nombre de femmes à exercer des fonctions clés, en participant par exemple aux réunions et aux conférences de l'UIT-R en tant que déléguées, Présidentes ou Vice-Présidentes, et d'œuvrer pour parvenir à l'objectif de 30% de femmes, seuil au-delà duquel on pourra réellement parler de changement.</w:t>
      </w:r>
      <w:bookmarkEnd w:id="288"/>
      <w:r w:rsidRPr="00B433A3">
        <w:t xml:space="preserve"> </w:t>
      </w:r>
      <w:bookmarkStart w:id="289" w:name="lt_pId005"/>
      <w:r w:rsidRPr="00B433A3">
        <w:t>De plus, cette initiative vise à améliorer la parité hommes-femmes et à faire en sorte que des déléguées puissent assumer des fonctions clés pendant les conférences des radiocommunications et les manifestations futures, et à renforcer les capacités et la contribution de la communauté des femmes à l'UIT</w:t>
      </w:r>
      <w:bookmarkEnd w:id="289"/>
      <w:r w:rsidRPr="00B433A3">
        <w:t>.</w:t>
      </w:r>
    </w:p>
    <w:p w14:paraId="464EAF91" w14:textId="77777777" w:rsidR="00896F2A" w:rsidRPr="00B433A3" w:rsidRDefault="005B6A9C" w:rsidP="00B8343E">
      <w:pPr>
        <w:rPr>
          <w:rFonts w:eastAsia="Calibri"/>
        </w:rPr>
      </w:pPr>
      <w:r w:rsidRPr="00B433A3">
        <w:rPr>
          <w:rFonts w:eastAsia="Calibri"/>
        </w:rPr>
        <w:t>Le</w:t>
      </w:r>
      <w:r w:rsidRPr="00B433A3">
        <w:rPr>
          <w:rFonts w:eastAsia="Calibri"/>
          <w:b/>
          <w:bCs/>
        </w:rPr>
        <w:t xml:space="preserve"> Réseau de femmes pour la CMR-23</w:t>
      </w:r>
      <w:r w:rsidRPr="00B433A3">
        <w:rPr>
          <w:rFonts w:eastAsia="Calibri"/>
        </w:rPr>
        <w:t>, qui</w:t>
      </w:r>
      <w:r w:rsidRPr="00B433A3">
        <w:rPr>
          <w:rFonts w:eastAsia="Calibri"/>
          <w:b/>
          <w:bCs/>
        </w:rPr>
        <w:t xml:space="preserve"> </w:t>
      </w:r>
      <w:r w:rsidRPr="00B433A3">
        <w:rPr>
          <w:rFonts w:eastAsia="Calibri"/>
        </w:rPr>
        <w:t xml:space="preserve">a tenu sa </w:t>
      </w:r>
      <w:hyperlink r:id="rId106" w:history="1">
        <w:r w:rsidRPr="00B433A3">
          <w:rPr>
            <w:rStyle w:val="Hyperlink"/>
            <w:rFonts w:eastAsia="Calibri"/>
          </w:rPr>
          <w:t>réunion de lancement</w:t>
        </w:r>
      </w:hyperlink>
      <w:r w:rsidRPr="00B433A3">
        <w:rPr>
          <w:rFonts w:eastAsia="Calibri"/>
        </w:rPr>
        <w:t xml:space="preserve"> dans le cadre du séminaire WRS-20, est actif aux niveaux à la fois mondial et régional. À l'échelle mondiale, dans le cadre de l'initiative NOW4WRC23, un programme de mentorat a été mis en place, associant des mentors et des bénéficiaires du programme, qui participent aux travaux de l'UIT-R et partagent des domaines d'intérêt. Au niveau régional, l'initiative NOW4WRC23 est menée par ses coprésidents régionaux, qui organisent des programmes de mentorat et des ateliers en parallèle des réunions des </w:t>
      </w:r>
      <w:r w:rsidRPr="00B433A3">
        <w:t>organisations régionales de télécommunication</w:t>
      </w:r>
      <w:r w:rsidRPr="00B433A3">
        <w:rPr>
          <w:rFonts w:eastAsia="Calibri"/>
        </w:rPr>
        <w:t xml:space="preserve"> auxquelles ils sont associés. Les coprésidents et les représentants de l'initiative NOW4WRC23 au niveau régional </w:t>
      </w:r>
      <w:proofErr w:type="gramStart"/>
      <w:r w:rsidRPr="00B433A3">
        <w:rPr>
          <w:rFonts w:eastAsia="Calibri"/>
        </w:rPr>
        <w:t>sont:</w:t>
      </w:r>
      <w:proofErr w:type="gramEnd"/>
      <w:r w:rsidRPr="00B433A3">
        <w:rPr>
          <w:rFonts w:eastAsia="Calibri"/>
        </w:rPr>
        <w:t xml:space="preserve"> </w:t>
      </w:r>
    </w:p>
    <w:p w14:paraId="22E90A00" w14:textId="77777777" w:rsidR="00DB4ED2" w:rsidRPr="00B433A3" w:rsidRDefault="00DB4ED2" w:rsidP="00B8343E">
      <w:pPr>
        <w:rPr>
          <w:rFonts w:eastAsia="Calibri"/>
        </w:rPr>
      </w:pPr>
      <w:proofErr w:type="gramStart"/>
      <w:r w:rsidRPr="00B433A3">
        <w:rPr>
          <w:rFonts w:eastAsia="Calibri"/>
        </w:rPr>
        <w:t>APT:</w:t>
      </w:r>
      <w:proofErr w:type="gramEnd"/>
      <w:r w:rsidRPr="00B433A3">
        <w:rPr>
          <w:rFonts w:eastAsia="Calibri"/>
        </w:rPr>
        <w:t xml:space="preserve"> Mme Zhu </w:t>
      </w:r>
      <w:proofErr w:type="spellStart"/>
      <w:r w:rsidRPr="00B433A3">
        <w:rPr>
          <w:rFonts w:eastAsia="Calibri"/>
        </w:rPr>
        <w:t>Keer</w:t>
      </w:r>
      <w:proofErr w:type="spellEnd"/>
      <w:r w:rsidRPr="00B433A3">
        <w:rPr>
          <w:rFonts w:eastAsia="Calibri"/>
        </w:rPr>
        <w:t xml:space="preserve"> (Chine); </w:t>
      </w:r>
    </w:p>
    <w:p w14:paraId="018A50D7" w14:textId="77777777" w:rsidR="00DB4ED2" w:rsidRPr="00B433A3" w:rsidRDefault="00DB4ED2" w:rsidP="00B8343E">
      <w:pPr>
        <w:rPr>
          <w:rFonts w:eastAsia="Calibri"/>
        </w:rPr>
      </w:pPr>
      <w:proofErr w:type="gramStart"/>
      <w:r w:rsidRPr="00B433A3">
        <w:rPr>
          <w:rFonts w:eastAsia="Calibri"/>
        </w:rPr>
        <w:t>ASMG:</w:t>
      </w:r>
      <w:proofErr w:type="gramEnd"/>
      <w:r w:rsidRPr="00B433A3">
        <w:rPr>
          <w:rFonts w:eastAsia="Calibri"/>
        </w:rPr>
        <w:t xml:space="preserve"> Mme Asma Al </w:t>
      </w:r>
      <w:proofErr w:type="spellStart"/>
      <w:r w:rsidRPr="00B433A3">
        <w:rPr>
          <w:rFonts w:eastAsia="Calibri"/>
        </w:rPr>
        <w:t>Mheiri</w:t>
      </w:r>
      <w:proofErr w:type="spellEnd"/>
      <w:r w:rsidRPr="00B433A3">
        <w:rPr>
          <w:rFonts w:eastAsia="Calibri"/>
        </w:rPr>
        <w:t xml:space="preserve"> (Émirats arabes unis) et Mme </w:t>
      </w:r>
      <w:proofErr w:type="spellStart"/>
      <w:r w:rsidRPr="00B433A3">
        <w:rPr>
          <w:rFonts w:eastAsia="Calibri"/>
        </w:rPr>
        <w:t>Zeina</w:t>
      </w:r>
      <w:proofErr w:type="spellEnd"/>
      <w:r w:rsidRPr="00B433A3">
        <w:rPr>
          <w:rFonts w:eastAsia="Calibri"/>
        </w:rPr>
        <w:t xml:space="preserve"> </w:t>
      </w:r>
      <w:proofErr w:type="spellStart"/>
      <w:r w:rsidRPr="00B433A3">
        <w:rPr>
          <w:rFonts w:eastAsia="Calibri"/>
        </w:rPr>
        <w:t>Mokaddem</w:t>
      </w:r>
      <w:proofErr w:type="spellEnd"/>
      <w:r w:rsidRPr="00B433A3">
        <w:rPr>
          <w:rFonts w:eastAsia="Calibri"/>
        </w:rPr>
        <w:t xml:space="preserve"> (</w:t>
      </w:r>
      <w:proofErr w:type="spellStart"/>
      <w:r w:rsidRPr="00B433A3">
        <w:rPr>
          <w:rFonts w:eastAsia="Calibri"/>
        </w:rPr>
        <w:t>Inmarsat</w:t>
      </w:r>
      <w:proofErr w:type="spellEnd"/>
      <w:r w:rsidRPr="00B433A3">
        <w:rPr>
          <w:rFonts w:eastAsia="Calibri"/>
        </w:rPr>
        <w:t xml:space="preserve">); </w:t>
      </w:r>
    </w:p>
    <w:p w14:paraId="338C504E" w14:textId="605AB71D" w:rsidR="00DB4ED2" w:rsidRPr="00B433A3" w:rsidRDefault="00DB4ED2" w:rsidP="00B8343E">
      <w:pPr>
        <w:rPr>
          <w:rFonts w:eastAsia="Calibri"/>
        </w:rPr>
      </w:pPr>
      <w:proofErr w:type="gramStart"/>
      <w:r w:rsidRPr="00B433A3">
        <w:rPr>
          <w:rFonts w:eastAsia="Calibri"/>
        </w:rPr>
        <w:t>UAT:</w:t>
      </w:r>
      <w:proofErr w:type="gramEnd"/>
      <w:r w:rsidRPr="00B433A3">
        <w:rPr>
          <w:rFonts w:eastAsia="Calibri"/>
        </w:rPr>
        <w:t xml:space="preserve"> Mme Aminata Niang Diagne (Sénégal);</w:t>
      </w:r>
    </w:p>
    <w:p w14:paraId="31BA862B" w14:textId="77777777" w:rsidR="00DB4ED2" w:rsidRPr="00B433A3" w:rsidRDefault="00DB4ED2" w:rsidP="00B8343E">
      <w:pPr>
        <w:rPr>
          <w:rFonts w:eastAsia="Calibri"/>
        </w:rPr>
      </w:pPr>
      <w:proofErr w:type="gramStart"/>
      <w:r w:rsidRPr="00B433A3">
        <w:rPr>
          <w:rFonts w:eastAsia="Calibri"/>
        </w:rPr>
        <w:t>CEPT:</w:t>
      </w:r>
      <w:proofErr w:type="gramEnd"/>
      <w:r w:rsidRPr="00B433A3">
        <w:rPr>
          <w:rFonts w:eastAsia="Calibri"/>
        </w:rPr>
        <w:t xml:space="preserve"> Mme Amela Hatibovic-Sehic (Suède); </w:t>
      </w:r>
    </w:p>
    <w:p w14:paraId="7823DE00" w14:textId="0D7E9962" w:rsidR="00896F2A" w:rsidRPr="00B433A3" w:rsidRDefault="005B6A9C" w:rsidP="00B8343E">
      <w:pPr>
        <w:rPr>
          <w:rFonts w:eastAsia="Calibri"/>
        </w:rPr>
      </w:pPr>
      <w:proofErr w:type="gramStart"/>
      <w:r w:rsidRPr="00B433A3">
        <w:rPr>
          <w:rFonts w:eastAsia="Calibri"/>
        </w:rPr>
        <w:t>CITEL:</w:t>
      </w:r>
      <w:proofErr w:type="gramEnd"/>
      <w:r w:rsidRPr="00B433A3">
        <w:rPr>
          <w:rFonts w:eastAsia="Calibri"/>
        </w:rPr>
        <w:t xml:space="preserve"> Mme Jennifer Manner (États</w:t>
      </w:r>
      <w:r w:rsidRPr="00B433A3">
        <w:rPr>
          <w:rFonts w:eastAsia="Calibri"/>
        </w:rPr>
        <w:noBreakHyphen/>
        <w:t xml:space="preserve">Unis d'Amérique); </w:t>
      </w:r>
      <w:r w:rsidR="00DB4ED2" w:rsidRPr="00B433A3">
        <w:rPr>
          <w:rFonts w:eastAsia="Calibri"/>
        </w:rPr>
        <w:t>et</w:t>
      </w:r>
    </w:p>
    <w:p w14:paraId="305EC0F9" w14:textId="07BCA49A" w:rsidR="00896F2A" w:rsidRPr="00B433A3" w:rsidRDefault="005B6A9C" w:rsidP="00B8343E">
      <w:pPr>
        <w:rPr>
          <w:rFonts w:eastAsia="Calibri"/>
        </w:rPr>
      </w:pPr>
      <w:proofErr w:type="gramStart"/>
      <w:r w:rsidRPr="00B433A3">
        <w:rPr>
          <w:rFonts w:eastAsia="Calibri"/>
        </w:rPr>
        <w:t>RCC:</w:t>
      </w:r>
      <w:proofErr w:type="gramEnd"/>
      <w:r w:rsidRPr="00B433A3">
        <w:rPr>
          <w:rFonts w:eastAsia="Calibri"/>
        </w:rPr>
        <w:t xml:space="preserve"> M</w:t>
      </w:r>
      <w:r w:rsidR="00DF12FB" w:rsidRPr="00B433A3">
        <w:rPr>
          <w:rFonts w:eastAsia="Calibri"/>
        </w:rPr>
        <w:t xml:space="preserve">me </w:t>
      </w:r>
      <w:proofErr w:type="spellStart"/>
      <w:r w:rsidR="00DF12FB" w:rsidRPr="00B433A3">
        <w:rPr>
          <w:rFonts w:eastAsia="Calibri"/>
        </w:rPr>
        <w:t>Aizhan</w:t>
      </w:r>
      <w:proofErr w:type="spellEnd"/>
      <w:r w:rsidR="00DF12FB" w:rsidRPr="00B433A3">
        <w:rPr>
          <w:rFonts w:eastAsia="Calibri"/>
        </w:rPr>
        <w:t xml:space="preserve"> </w:t>
      </w:r>
      <w:proofErr w:type="spellStart"/>
      <w:r w:rsidR="00DF12FB" w:rsidRPr="00B433A3">
        <w:rPr>
          <w:rFonts w:eastAsia="Calibri"/>
        </w:rPr>
        <w:t>Tiyanak</w:t>
      </w:r>
      <w:proofErr w:type="spellEnd"/>
      <w:r w:rsidR="00DF12FB" w:rsidRPr="00B433A3">
        <w:rPr>
          <w:rFonts w:eastAsia="Calibri"/>
        </w:rPr>
        <w:t xml:space="preserve"> (Kazakhstan).</w:t>
      </w:r>
    </w:p>
    <w:p w14:paraId="6EA67643" w14:textId="465AF2EB" w:rsidR="005B6A9C" w:rsidRPr="00B433A3" w:rsidRDefault="005B6A9C" w:rsidP="00B8343E">
      <w:pPr>
        <w:rPr>
          <w:rFonts w:eastAsia="Calibri"/>
        </w:rPr>
      </w:pPr>
      <w:r w:rsidRPr="00B433A3">
        <w:rPr>
          <w:rFonts w:eastAsia="Calibri"/>
        </w:rPr>
        <w:t xml:space="preserve">L'initiative a organisé une réunion d'information à l'occasion du premier atelier interrégional </w:t>
      </w:r>
      <w:r w:rsidRPr="00B433A3">
        <w:t>sur les travaux préparatoires en vue de la CMR-23, qui s'est tenu du 13 au 15 décembre 2021</w:t>
      </w:r>
      <w:r w:rsidRPr="00B433A3">
        <w:rPr>
          <w:rFonts w:eastAsia="Calibri"/>
        </w:rPr>
        <w:t xml:space="preserve">. La présentation de l'initiative NOW4WRC23 dans le cadre de cet atelier est disponible </w:t>
      </w:r>
      <w:hyperlink r:id="rId107" w:history="1">
        <w:r w:rsidRPr="00B433A3">
          <w:rPr>
            <w:rStyle w:val="Hyperlink"/>
            <w:rFonts w:eastAsia="Calibri"/>
            <w:szCs w:val="24"/>
          </w:rPr>
          <w:t>ici</w:t>
        </w:r>
      </w:hyperlink>
      <w:r w:rsidRPr="00B433A3">
        <w:rPr>
          <w:rFonts w:eastAsia="Calibri"/>
        </w:rPr>
        <w:t xml:space="preserve">. À cette date, les trois premières priorités de l'initiative étaient les </w:t>
      </w:r>
      <w:proofErr w:type="gramStart"/>
      <w:r w:rsidRPr="00B433A3">
        <w:rPr>
          <w:rFonts w:eastAsia="Calibri"/>
        </w:rPr>
        <w:t>suivantes:</w:t>
      </w:r>
      <w:proofErr w:type="gramEnd"/>
    </w:p>
    <w:p w14:paraId="0313CF85" w14:textId="77777777" w:rsidR="005B6A9C" w:rsidRPr="00B433A3" w:rsidRDefault="005B6A9C" w:rsidP="00B8343E">
      <w:pPr>
        <w:pStyle w:val="enumlev1"/>
        <w:rPr>
          <w:rFonts w:eastAsia="Calibri"/>
          <w:szCs w:val="24"/>
        </w:rPr>
      </w:pPr>
      <w:r w:rsidRPr="00B433A3">
        <w:rPr>
          <w:rFonts w:eastAsia="Calibri"/>
        </w:rPr>
        <w:t>–</w:t>
      </w:r>
      <w:r w:rsidRPr="00B433A3">
        <w:rPr>
          <w:rFonts w:eastAsia="Calibri"/>
        </w:rPr>
        <w:tab/>
        <w:t>Plus de possibilités d'occuper des postes à responsabilité pour les femmes</w:t>
      </w:r>
    </w:p>
    <w:p w14:paraId="2A0CD970" w14:textId="77777777" w:rsidR="005B6A9C" w:rsidRPr="00B433A3" w:rsidRDefault="005B6A9C" w:rsidP="00B8343E">
      <w:pPr>
        <w:pStyle w:val="enumlev2"/>
        <w:rPr>
          <w:rFonts w:eastAsia="Calibri"/>
        </w:rPr>
      </w:pPr>
      <w:r w:rsidRPr="00B433A3">
        <w:rPr>
          <w:rFonts w:eastAsia="Calibri"/>
        </w:rPr>
        <w:t>•</w:t>
      </w:r>
      <w:r w:rsidRPr="00B433A3">
        <w:rPr>
          <w:rFonts w:eastAsia="Calibri"/>
        </w:rPr>
        <w:tab/>
        <w:t>Encourager les femmes à occuper des fonctions de présidence et de direction au sein des groupes préparatoires à tous les niveaux</w:t>
      </w:r>
    </w:p>
    <w:p w14:paraId="49FE7967" w14:textId="77777777" w:rsidR="005B6A9C" w:rsidRPr="00B433A3" w:rsidRDefault="005B6A9C" w:rsidP="00B8343E">
      <w:pPr>
        <w:pStyle w:val="enumlev2"/>
        <w:rPr>
          <w:rFonts w:eastAsia="Calibri"/>
        </w:rPr>
      </w:pPr>
      <w:r w:rsidRPr="00B433A3">
        <w:rPr>
          <w:rFonts w:eastAsia="Calibri"/>
        </w:rPr>
        <w:t>•</w:t>
      </w:r>
      <w:r w:rsidRPr="00B433A3">
        <w:rPr>
          <w:rFonts w:eastAsia="Calibri"/>
        </w:rPr>
        <w:tab/>
        <w:t>Préparer la nomination à la présidence de la CMR</w:t>
      </w:r>
    </w:p>
    <w:p w14:paraId="42843B7C" w14:textId="77777777" w:rsidR="005B6A9C" w:rsidRPr="00B433A3" w:rsidRDefault="005B6A9C" w:rsidP="00B8343E">
      <w:pPr>
        <w:pStyle w:val="enumlev1"/>
        <w:rPr>
          <w:rFonts w:eastAsia="Calibri"/>
          <w:szCs w:val="24"/>
        </w:rPr>
      </w:pPr>
      <w:r w:rsidRPr="00B433A3">
        <w:rPr>
          <w:rFonts w:eastAsia="Calibri"/>
        </w:rPr>
        <w:t>–</w:t>
      </w:r>
      <w:r w:rsidRPr="00B433A3">
        <w:rPr>
          <w:rFonts w:eastAsia="Calibri"/>
        </w:rPr>
        <w:tab/>
        <w:t>Nécessité de nouveaux mentors au sein du programme</w:t>
      </w:r>
    </w:p>
    <w:p w14:paraId="65EAE06E" w14:textId="77777777" w:rsidR="005B6A9C" w:rsidRPr="00B433A3" w:rsidRDefault="005B6A9C" w:rsidP="00B8343E">
      <w:pPr>
        <w:pStyle w:val="enumlev2"/>
        <w:rPr>
          <w:rFonts w:eastAsia="Calibri"/>
        </w:rPr>
      </w:pPr>
      <w:r w:rsidRPr="00B433A3">
        <w:rPr>
          <w:rFonts w:eastAsia="Calibri"/>
        </w:rPr>
        <w:t>•</w:t>
      </w:r>
      <w:r w:rsidRPr="00B433A3">
        <w:rPr>
          <w:rFonts w:eastAsia="Calibri"/>
        </w:rPr>
        <w:tab/>
        <w:t>Appel à mentors</w:t>
      </w:r>
    </w:p>
    <w:p w14:paraId="0CFE3E99" w14:textId="77777777" w:rsidR="00B8343E" w:rsidRDefault="00B8343E" w:rsidP="00B8343E">
      <w:pPr>
        <w:pStyle w:val="enumlev1"/>
        <w:rPr>
          <w:rFonts w:eastAsia="Calibri"/>
        </w:rPr>
      </w:pPr>
      <w:r>
        <w:rPr>
          <w:rFonts w:eastAsia="Calibri"/>
        </w:rPr>
        <w:br w:type="page"/>
      </w:r>
    </w:p>
    <w:p w14:paraId="7EB0DABC" w14:textId="228615C7" w:rsidR="005B6A9C" w:rsidRPr="00B433A3" w:rsidRDefault="005B6A9C" w:rsidP="00B8343E">
      <w:pPr>
        <w:pStyle w:val="enumlev1"/>
        <w:rPr>
          <w:rFonts w:eastAsia="Calibri"/>
        </w:rPr>
      </w:pPr>
      <w:r w:rsidRPr="00B433A3">
        <w:rPr>
          <w:rFonts w:eastAsia="Calibri"/>
        </w:rPr>
        <w:lastRenderedPageBreak/>
        <w:t>–</w:t>
      </w:r>
      <w:r w:rsidRPr="00B433A3">
        <w:rPr>
          <w:rFonts w:eastAsia="Calibri"/>
        </w:rPr>
        <w:tab/>
        <w:t>Incidences du retour aux réunions en présentiel</w:t>
      </w:r>
    </w:p>
    <w:p w14:paraId="61C46B63" w14:textId="77777777" w:rsidR="005B6A9C" w:rsidRPr="00B433A3" w:rsidRDefault="005B6A9C" w:rsidP="00B8343E">
      <w:pPr>
        <w:pStyle w:val="enumlev2"/>
        <w:rPr>
          <w:rFonts w:eastAsia="Calibri"/>
        </w:rPr>
      </w:pPr>
      <w:r w:rsidRPr="00B433A3">
        <w:rPr>
          <w:rFonts w:eastAsia="Calibri"/>
        </w:rPr>
        <w:t>•</w:t>
      </w:r>
      <w:r w:rsidRPr="00B433A3">
        <w:rPr>
          <w:rFonts w:eastAsia="Calibri"/>
        </w:rPr>
        <w:tab/>
        <w:t>Garantir la participation et l'implication continues des femmes et des bénéficiaires du programme</w:t>
      </w:r>
      <w:r w:rsidRPr="00B433A3">
        <w:rPr>
          <w:rFonts w:eastAsia="Calibri"/>
          <w:szCs w:val="24"/>
        </w:rPr>
        <w:t>.</w:t>
      </w:r>
    </w:p>
    <w:p w14:paraId="47589001" w14:textId="6F65DE40" w:rsidR="005B6A9C" w:rsidRPr="00B433A3" w:rsidRDefault="005B6A9C" w:rsidP="00B8343E">
      <w:pPr>
        <w:rPr>
          <w:rFonts w:eastAsia="Calibri"/>
        </w:rPr>
      </w:pPr>
      <w:r w:rsidRPr="00B433A3">
        <w:rPr>
          <w:rFonts w:eastAsia="Calibri"/>
        </w:rPr>
        <w:t xml:space="preserve">Le Groupe de travail par correspondance du GCR sur l'égalité hommes-femmes fournit aussi un appui et soumet des contributions aux travaux menés actuellement par l'initiative NOW4WRC23, afin </w:t>
      </w:r>
      <w:r w:rsidRPr="00B433A3">
        <w:rPr>
          <w:color w:val="000000"/>
        </w:rPr>
        <w:t>de renforcer cette initiative et de la rendre la plus efficace possible</w:t>
      </w:r>
      <w:r w:rsidRPr="00B433A3">
        <w:rPr>
          <w:rFonts w:eastAsia="Calibri"/>
        </w:rPr>
        <w:t>.</w:t>
      </w:r>
    </w:p>
    <w:p w14:paraId="2B994471" w14:textId="77777777" w:rsidR="005B6A9C" w:rsidRPr="00B433A3" w:rsidRDefault="005B6A9C" w:rsidP="00B8343E">
      <w:pPr>
        <w:pStyle w:val="Heading1"/>
      </w:pPr>
      <w:r w:rsidRPr="00B433A3">
        <w:t>9</w:t>
      </w:r>
      <w:r w:rsidRPr="00B433A3">
        <w:tab/>
      </w:r>
      <w:r w:rsidRPr="00B433A3">
        <w:rPr>
          <w:color w:val="000000"/>
        </w:rPr>
        <w:t>Mesures de suivi restantes demandées par le GCR à sa réunion en 2021</w:t>
      </w:r>
    </w:p>
    <w:p w14:paraId="31E360DE" w14:textId="77777777" w:rsidR="005B6A9C" w:rsidRPr="00B433A3" w:rsidRDefault="005B6A9C" w:rsidP="00B8343E">
      <w:r w:rsidRPr="00B433A3">
        <w:t xml:space="preserve">Afin de donner suite aux demandes formulées par le GCR à sa réunion de 2021, telles que reproduites dans le résumé des conclusions (Circulaire administrative </w:t>
      </w:r>
      <w:hyperlink r:id="rId108" w:history="1">
        <w:r w:rsidRPr="00B433A3">
          <w:rPr>
            <w:rStyle w:val="Hyperlink"/>
          </w:rPr>
          <w:t>CA/256</w:t>
        </w:r>
      </w:hyperlink>
      <w:r w:rsidRPr="00B433A3">
        <w:t xml:space="preserve">), outre les éléments dont il a été rendu compte dans les sections ci-dessus, le BR a pris les mesures </w:t>
      </w:r>
      <w:proofErr w:type="gramStart"/>
      <w:r w:rsidRPr="00B433A3">
        <w:t>suivantes:</w:t>
      </w:r>
      <w:proofErr w:type="gramEnd"/>
    </w:p>
    <w:p w14:paraId="7B07F8DD" w14:textId="687063C6" w:rsidR="005B6A9C" w:rsidRPr="00B433A3" w:rsidRDefault="005B6A9C" w:rsidP="00B8343E">
      <w:pPr>
        <w:pStyle w:val="Heading2"/>
        <w:rPr>
          <w:bCs/>
          <w:szCs w:val="24"/>
        </w:rPr>
      </w:pPr>
      <w:r w:rsidRPr="00B433A3">
        <w:t>9.1</w:t>
      </w:r>
      <w:r w:rsidRPr="00B433A3">
        <w:tab/>
      </w:r>
      <w:r w:rsidRPr="00B433A3">
        <w:rPr>
          <w:szCs w:val="24"/>
        </w:rPr>
        <w:t xml:space="preserve">Demande du Groupe de travail du Conseil sur l'utilisation des langues (GTC-LANG) soumise au GCR pour examen et mise à jour du Document </w:t>
      </w:r>
      <w:r w:rsidRPr="00B433A3">
        <w:rPr>
          <w:bCs/>
          <w:szCs w:val="24"/>
        </w:rPr>
        <w:t>C14/INF/4</w:t>
      </w:r>
    </w:p>
    <w:p w14:paraId="7BE33CC7" w14:textId="468C3722" w:rsidR="005B6A9C" w:rsidRPr="00B433A3" w:rsidRDefault="005B6A9C" w:rsidP="00B8343E">
      <w:pPr>
        <w:rPr>
          <w:rFonts w:eastAsia="Calibri"/>
          <w:color w:val="000000"/>
          <w:szCs w:val="24"/>
          <w:lang w:eastAsia="en-GB"/>
        </w:rPr>
      </w:pPr>
      <w:r w:rsidRPr="00B433A3">
        <w:t>Au titre du point 3 de l</w:t>
      </w:r>
      <w:r w:rsidR="00DB4ED2" w:rsidRPr="00B433A3">
        <w:t>'ordre du jour indiqué dans le D</w:t>
      </w:r>
      <w:r w:rsidRPr="00B433A3">
        <w:t>ocument CA/256, e</w:t>
      </w:r>
      <w:r w:rsidRPr="00B433A3">
        <w:rPr>
          <w:rFonts w:eastAsia="Calibri"/>
          <w:color w:val="000000"/>
          <w:lang w:eastAsia="en-GB"/>
        </w:rPr>
        <w:t xml:space="preserve">n ce qui concerne l'examen et la mise à jour demandés du Document C14/INF/4, le GCR a entériné la mise à jour proposée dans l'Annexe du Document RAG21/26 et a également approuvé l'adjonction dans le tableau d'une rubrique sur les «pages </w:t>
      </w:r>
      <w:proofErr w:type="gramStart"/>
      <w:r w:rsidRPr="00B433A3">
        <w:rPr>
          <w:rFonts w:eastAsia="Calibri"/>
          <w:color w:val="000000"/>
          <w:lang w:eastAsia="en-GB"/>
        </w:rPr>
        <w:t>web»</w:t>
      </w:r>
      <w:proofErr w:type="gramEnd"/>
      <w:r w:rsidRPr="00B433A3">
        <w:rPr>
          <w:rFonts w:eastAsia="Calibri"/>
          <w:color w:val="000000"/>
          <w:lang w:eastAsia="en-GB"/>
        </w:rPr>
        <w:t>, co</w:t>
      </w:r>
      <w:r w:rsidR="00DB4ED2" w:rsidRPr="00B433A3">
        <w:rPr>
          <w:rFonts w:eastAsia="Calibri"/>
          <w:color w:val="000000"/>
          <w:lang w:eastAsia="en-GB"/>
        </w:rPr>
        <w:t>mme indiqué dans l'Annexe 1 du D</w:t>
      </w:r>
      <w:r w:rsidRPr="00B433A3">
        <w:rPr>
          <w:rFonts w:eastAsia="Calibri"/>
          <w:color w:val="000000"/>
          <w:lang w:eastAsia="en-GB"/>
        </w:rPr>
        <w:t xml:space="preserve">ocument CA/256, pour tenir compte de ce qui constitue à présent la pratique </w:t>
      </w:r>
      <w:r w:rsidRPr="00B433A3">
        <w:rPr>
          <w:color w:val="000000"/>
        </w:rPr>
        <w:t xml:space="preserve">habituelle suivie </w:t>
      </w:r>
      <w:r w:rsidR="00DB4ED2" w:rsidRPr="00B433A3">
        <w:rPr>
          <w:rFonts w:eastAsia="Calibri"/>
          <w:color w:val="000000"/>
          <w:lang w:eastAsia="en-GB"/>
        </w:rPr>
        <w:t>dans les Secteurs. Cette </w:t>
      </w:r>
      <w:r w:rsidRPr="00B433A3">
        <w:rPr>
          <w:rFonts w:eastAsia="Calibri"/>
          <w:color w:val="000000"/>
          <w:lang w:eastAsia="en-GB"/>
        </w:rPr>
        <w:t>déc</w:t>
      </w:r>
      <w:r w:rsidR="00DB4ED2" w:rsidRPr="00B433A3">
        <w:rPr>
          <w:rFonts w:eastAsia="Calibri"/>
          <w:color w:val="000000"/>
          <w:lang w:eastAsia="en-GB"/>
        </w:rPr>
        <w:t>ision du GCR a été intégrée au D</w:t>
      </w:r>
      <w:r w:rsidRPr="00B433A3">
        <w:rPr>
          <w:rFonts w:eastAsia="Calibri"/>
          <w:color w:val="000000"/>
          <w:lang w:eastAsia="en-GB"/>
        </w:rPr>
        <w:t>ocument</w:t>
      </w:r>
      <w:r w:rsidRPr="00B433A3">
        <w:rPr>
          <w:rFonts w:eastAsia="Calibri"/>
          <w:color w:val="000000"/>
          <w:szCs w:val="24"/>
          <w:lang w:eastAsia="en-GB"/>
        </w:rPr>
        <w:t xml:space="preserve"> </w:t>
      </w:r>
      <w:hyperlink r:id="rId109" w:history="1">
        <w:r w:rsidRPr="00B433A3">
          <w:rPr>
            <w:rStyle w:val="Hyperlink"/>
            <w:rFonts w:eastAsia="Calibri"/>
            <w:szCs w:val="24"/>
            <w:lang w:eastAsia="en-GB"/>
          </w:rPr>
          <w:t>C22/INF/7</w:t>
        </w:r>
      </w:hyperlink>
      <w:r w:rsidRPr="00B433A3">
        <w:rPr>
          <w:rFonts w:eastAsia="Calibri"/>
          <w:color w:val="000000"/>
          <w:szCs w:val="24"/>
          <w:lang w:eastAsia="en-GB"/>
        </w:rPr>
        <w:t xml:space="preserve">, qui </w:t>
      </w:r>
      <w:r w:rsidR="00DB4ED2" w:rsidRPr="00B433A3">
        <w:rPr>
          <w:rFonts w:eastAsia="Calibri"/>
          <w:color w:val="000000"/>
          <w:szCs w:val="24"/>
          <w:lang w:eastAsia="en-GB"/>
        </w:rPr>
        <w:t>a été approuvé par le Groupe de </w:t>
      </w:r>
      <w:r w:rsidRPr="00B433A3">
        <w:rPr>
          <w:rFonts w:eastAsia="Calibri"/>
          <w:color w:val="000000"/>
          <w:szCs w:val="24"/>
          <w:lang w:eastAsia="en-GB"/>
        </w:rPr>
        <w:t>travail du Conseil sur l'utilisation des langues à l'occasion de sa</w:t>
      </w:r>
      <w:r w:rsidR="00DB4ED2" w:rsidRPr="00B433A3">
        <w:rPr>
          <w:rFonts w:eastAsia="Calibri"/>
          <w:color w:val="000000"/>
          <w:szCs w:val="24"/>
          <w:lang w:eastAsia="en-GB"/>
        </w:rPr>
        <w:t xml:space="preserve"> dernière réunion du 18 janvier </w:t>
      </w:r>
      <w:r w:rsidRPr="00B433A3">
        <w:rPr>
          <w:rFonts w:eastAsia="Calibri"/>
          <w:color w:val="000000"/>
          <w:szCs w:val="24"/>
          <w:lang w:eastAsia="en-GB"/>
        </w:rPr>
        <w:t>2022.</w:t>
      </w:r>
    </w:p>
    <w:p w14:paraId="579FA04B" w14:textId="77777777" w:rsidR="005B6A9C" w:rsidRPr="00B433A3" w:rsidRDefault="005B6A9C" w:rsidP="00B8343E">
      <w:pPr>
        <w:pStyle w:val="Heading2"/>
        <w:rPr>
          <w:bCs/>
        </w:rPr>
      </w:pPr>
      <w:r w:rsidRPr="00B433A3">
        <w:t>9.2</w:t>
      </w:r>
      <w:r w:rsidRPr="00B433A3">
        <w:tab/>
        <w:t>Autres mesures prises par le Département des Commissions d'études du BR</w:t>
      </w:r>
    </w:p>
    <w:p w14:paraId="21D53CC8" w14:textId="3BFCCF39" w:rsidR="005B6A9C" w:rsidRDefault="005B6A9C" w:rsidP="00B8343E">
      <w:pPr>
        <w:rPr>
          <w:rFonts w:eastAsia="SimSun"/>
        </w:rPr>
      </w:pPr>
      <w:r w:rsidRPr="00B433A3">
        <w:rPr>
          <w:rFonts w:eastAsia="SimSun"/>
        </w:rPr>
        <w:t>Les autres mesures demandées par le GCR à sa réunion de 2021 ont été prises par le Département des Commissions d'études de BR et sont exposées dans la Section 9 de l'Addendum 1 au présent document.</w:t>
      </w:r>
    </w:p>
    <w:p w14:paraId="6CA68051" w14:textId="77777777" w:rsidR="00B8343E" w:rsidRPr="00B433A3" w:rsidRDefault="00B8343E" w:rsidP="00B8343E">
      <w:pPr>
        <w:rPr>
          <w:rFonts w:eastAsia="SimSun"/>
        </w:rPr>
      </w:pPr>
    </w:p>
    <w:p w14:paraId="52578772" w14:textId="25E7CA7D" w:rsidR="005B6A9C" w:rsidRPr="00B433A3" w:rsidRDefault="005B6A9C" w:rsidP="00B8343E">
      <w:pPr>
        <w:jc w:val="center"/>
        <w:rPr>
          <w:rFonts w:eastAsia="SimSun" w:cs="Arial"/>
          <w:szCs w:val="24"/>
        </w:rPr>
      </w:pPr>
      <w:r w:rsidRPr="00B433A3">
        <w:t>______________</w:t>
      </w:r>
    </w:p>
    <w:sectPr w:rsidR="005B6A9C" w:rsidRPr="00B433A3" w:rsidSect="00826C2C">
      <w:headerReference w:type="even" r:id="rId110"/>
      <w:headerReference w:type="default" r:id="rId111"/>
      <w:footerReference w:type="even" r:id="rId112"/>
      <w:footerReference w:type="default" r:id="rId113"/>
      <w:headerReference w:type="first" r:id="rId114"/>
      <w:footerReference w:type="first" r:id="rId115"/>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FD0959" w14:textId="77777777" w:rsidR="007E7CB7" w:rsidRDefault="007E7CB7">
      <w:r>
        <w:separator/>
      </w:r>
    </w:p>
  </w:endnote>
  <w:endnote w:type="continuationSeparator" w:id="0">
    <w:p w14:paraId="66B0ECA3" w14:textId="77777777" w:rsidR="007E7CB7" w:rsidRDefault="007E7C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30450" w14:textId="73B166E4" w:rsidR="007E7CB7" w:rsidRDefault="007E7CB7">
    <w:pPr>
      <w:pStyle w:val="Footer"/>
      <w:rPr>
        <w:lang w:val="en-US"/>
      </w:rPr>
    </w:pPr>
    <w:r>
      <w:fldChar w:fldCharType="begin"/>
    </w:r>
    <w:r w:rsidRPr="00A9055C">
      <w:rPr>
        <w:lang w:val="en-US"/>
      </w:rPr>
      <w:instrText xml:space="preserve"> FILENAME \p \* MERGEFORMAT </w:instrText>
    </w:r>
    <w:r>
      <w:fldChar w:fldCharType="separate"/>
    </w:r>
    <w:r w:rsidR="00D3023F">
      <w:rPr>
        <w:lang w:val="en-US"/>
      </w:rPr>
      <w:t>P:\FRA\ITU-R\AG\RAG\044REV1F.docx</w:t>
    </w:r>
    <w:r>
      <w:rPr>
        <w:lang w:val="en-US"/>
      </w:rPr>
      <w:fldChar w:fldCharType="end"/>
    </w:r>
    <w:r>
      <w:rPr>
        <w:lang w:val="en-US"/>
      </w:rPr>
      <w:tab/>
    </w:r>
    <w:r>
      <w:fldChar w:fldCharType="begin"/>
    </w:r>
    <w:r>
      <w:instrText xml:space="preserve"> savedate \@ dd.MM.yy </w:instrText>
    </w:r>
    <w:r>
      <w:fldChar w:fldCharType="separate"/>
    </w:r>
    <w:r w:rsidR="00037824">
      <w:t>31.03.22</w:t>
    </w:r>
    <w:r>
      <w:fldChar w:fldCharType="end"/>
    </w:r>
    <w:r>
      <w:rPr>
        <w:lang w:val="en-US"/>
      </w:rPr>
      <w:tab/>
    </w:r>
    <w:r>
      <w:fldChar w:fldCharType="begin"/>
    </w:r>
    <w:r>
      <w:instrText xml:space="preserve"> printdate \@ dd.MM.yy </w:instrText>
    </w:r>
    <w:r>
      <w:fldChar w:fldCharType="separate"/>
    </w:r>
    <w:r w:rsidR="00D3023F">
      <w:t>11.10.99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0AFE9" w14:textId="5B8584D1" w:rsidR="007E7CB7" w:rsidRPr="00037824" w:rsidRDefault="007E7CB7" w:rsidP="000378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53CC0" w14:textId="06F7625F" w:rsidR="007E7CB7" w:rsidRPr="00037824" w:rsidRDefault="007E7CB7" w:rsidP="000378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DD79D2" w14:textId="77777777" w:rsidR="007E7CB7" w:rsidRDefault="007E7CB7">
      <w:r>
        <w:t>____________________</w:t>
      </w:r>
    </w:p>
  </w:footnote>
  <w:footnote w:type="continuationSeparator" w:id="0">
    <w:p w14:paraId="1F7FFD7A" w14:textId="77777777" w:rsidR="007E7CB7" w:rsidRDefault="007E7C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5901769"/>
      <w:docPartObj>
        <w:docPartGallery w:val="Page Numbers (Top of Page)"/>
        <w:docPartUnique/>
      </w:docPartObj>
    </w:sdtPr>
    <w:sdtEndPr>
      <w:rPr>
        <w:noProof/>
      </w:rPr>
    </w:sdtEndPr>
    <w:sdtContent>
      <w:p w14:paraId="330857B2" w14:textId="0A0B17DD" w:rsidR="007E7CB7" w:rsidRDefault="007E7CB7">
        <w:pPr>
          <w:pStyle w:val="Header"/>
          <w:rPr>
            <w:noProof/>
          </w:rPr>
        </w:pPr>
        <w:r>
          <w:fldChar w:fldCharType="begin"/>
        </w:r>
        <w:r>
          <w:instrText xml:space="preserve"> PAGE   \* MERGEFORMAT </w:instrText>
        </w:r>
        <w:r>
          <w:fldChar w:fldCharType="separate"/>
        </w:r>
        <w:r w:rsidR="00D3023F">
          <w:rPr>
            <w:noProof/>
          </w:rPr>
          <w:t>2</w:t>
        </w:r>
        <w:r>
          <w:rPr>
            <w:noProof/>
          </w:rPr>
          <w:fldChar w:fldCharType="end"/>
        </w:r>
      </w:p>
      <w:p w14:paraId="579CDD69" w14:textId="22EC63D4" w:rsidR="007E7CB7" w:rsidRDefault="007E7CB7">
        <w:pPr>
          <w:pStyle w:val="Header"/>
        </w:pPr>
        <w:r>
          <w:rPr>
            <w:lang w:val="es-ES"/>
          </w:rPr>
          <w:t>RAG/44(Rév.1)-F</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1793596"/>
      <w:docPartObj>
        <w:docPartGallery w:val="Page Numbers (Top of Page)"/>
        <w:docPartUnique/>
      </w:docPartObj>
    </w:sdtPr>
    <w:sdtEndPr>
      <w:rPr>
        <w:noProof/>
      </w:rPr>
    </w:sdtEndPr>
    <w:sdtContent>
      <w:p w14:paraId="6767655D" w14:textId="2EA7735D" w:rsidR="007E7CB7" w:rsidRDefault="007E7CB7">
        <w:pPr>
          <w:pStyle w:val="Header"/>
          <w:rPr>
            <w:noProof/>
          </w:rPr>
        </w:pPr>
        <w:r>
          <w:fldChar w:fldCharType="begin"/>
        </w:r>
        <w:r>
          <w:instrText xml:space="preserve"> PAGE   \* MERGEFORMAT </w:instrText>
        </w:r>
        <w:r>
          <w:fldChar w:fldCharType="separate"/>
        </w:r>
        <w:r w:rsidR="00D3023F">
          <w:rPr>
            <w:noProof/>
          </w:rPr>
          <w:t>27</w:t>
        </w:r>
        <w:r>
          <w:rPr>
            <w:noProof/>
          </w:rPr>
          <w:fldChar w:fldCharType="end"/>
        </w:r>
      </w:p>
      <w:p w14:paraId="04A89813" w14:textId="28B85758" w:rsidR="007E7CB7" w:rsidRDefault="007E7CB7" w:rsidP="009F63E3">
        <w:pPr>
          <w:pStyle w:val="Header"/>
          <w:spacing w:after="240"/>
        </w:pPr>
        <w:r>
          <w:rPr>
            <w:lang w:val="es-ES"/>
          </w:rPr>
          <w:t>RAG/44(Rév.1)-F</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43F06" w14:textId="77777777" w:rsidR="007E7CB7" w:rsidRDefault="007E7CB7">
    <w:pPr>
      <w:pStyle w:val="Header"/>
    </w:pPr>
    <w:r>
      <w:rPr>
        <w:lang w:val="es-ES"/>
      </w:rPr>
      <w:t xml:space="preserve">- </w:t>
    </w:r>
    <w:r>
      <w:fldChar w:fldCharType="begin"/>
    </w:r>
    <w:r>
      <w:instrText xml:space="preserve"> PAGE </w:instrText>
    </w:r>
    <w:r>
      <w:fldChar w:fldCharType="separate"/>
    </w:r>
    <w:r>
      <w:rPr>
        <w:noProof/>
      </w:rPr>
      <w:t>2</w:t>
    </w:r>
    <w:r>
      <w:rPr>
        <w:noProof/>
      </w:rPr>
      <w:fldChar w:fldCharType="end"/>
    </w:r>
    <w:r>
      <w:rPr>
        <w:lang w:val="es-ES"/>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AE380" w14:textId="711F8547" w:rsidR="007E7CB7" w:rsidRDefault="007E7CB7" w:rsidP="00925627">
    <w:pPr>
      <w:pStyle w:val="Header"/>
      <w:rPr>
        <w:lang w:val="es-ES"/>
      </w:rPr>
    </w:pPr>
    <w:r>
      <w:fldChar w:fldCharType="begin"/>
    </w:r>
    <w:r>
      <w:instrText xml:space="preserve"> PAGE </w:instrText>
    </w:r>
    <w:r>
      <w:fldChar w:fldCharType="separate"/>
    </w:r>
    <w:r w:rsidR="00D3023F">
      <w:rPr>
        <w:noProof/>
      </w:rPr>
      <w:t>39</w:t>
    </w:r>
    <w:r>
      <w:rPr>
        <w:noProof/>
      </w:rPr>
      <w:fldChar w:fldCharType="end"/>
    </w:r>
  </w:p>
  <w:p w14:paraId="45668987" w14:textId="587B9185" w:rsidR="007E7CB7" w:rsidRDefault="007E7CB7" w:rsidP="007711EA">
    <w:pPr>
      <w:pStyle w:val="Header"/>
      <w:rPr>
        <w:lang w:val="es-ES"/>
      </w:rPr>
    </w:pPr>
    <w:r>
      <w:rPr>
        <w:lang w:val="es-ES"/>
      </w:rPr>
      <w:t>RAG/44-F</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2530278"/>
      <w:docPartObj>
        <w:docPartGallery w:val="Page Numbers (Top of Page)"/>
        <w:docPartUnique/>
      </w:docPartObj>
    </w:sdtPr>
    <w:sdtEndPr>
      <w:rPr>
        <w:noProof/>
      </w:rPr>
    </w:sdtEndPr>
    <w:sdtContent>
      <w:p w14:paraId="185D432F" w14:textId="7833888A" w:rsidR="007E7CB7" w:rsidRDefault="007E7CB7" w:rsidP="00484B0E">
        <w:pPr>
          <w:pStyle w:val="Header"/>
          <w:rPr>
            <w:noProof/>
          </w:rPr>
        </w:pPr>
        <w:r>
          <w:fldChar w:fldCharType="begin"/>
        </w:r>
        <w:r>
          <w:instrText xml:space="preserve"> PAGE   \* MERGEFORMAT </w:instrText>
        </w:r>
        <w:r>
          <w:fldChar w:fldCharType="separate"/>
        </w:r>
        <w:r w:rsidR="00D3023F">
          <w:rPr>
            <w:noProof/>
          </w:rPr>
          <w:t>28</w:t>
        </w:r>
        <w:r>
          <w:rPr>
            <w:noProof/>
          </w:rPr>
          <w:fldChar w:fldCharType="end"/>
        </w:r>
      </w:p>
      <w:p w14:paraId="4CE7183F" w14:textId="632A1DAF" w:rsidR="007E7CB7" w:rsidRDefault="007E7CB7" w:rsidP="00484B0E">
        <w:pPr>
          <w:pStyle w:val="Header"/>
        </w:pPr>
        <w:r>
          <w:rPr>
            <w:lang w:val="es-ES"/>
          </w:rPr>
          <w:t>RAG/44(Rév.1)-F</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0026F"/>
    <w:multiLevelType w:val="hybridMultilevel"/>
    <w:tmpl w:val="259E7D7C"/>
    <w:lvl w:ilvl="0" w:tplc="FFFFFFFF">
      <w:start w:val="1"/>
      <w:numFmt w:val="bullet"/>
      <w:lvlText w:val="-"/>
      <w:lvlJc w:val="left"/>
      <w:pPr>
        <w:ind w:left="1080" w:hanging="360"/>
      </w:pPr>
      <w:rPr>
        <w:rFonts w:ascii="Times New Roman" w:hAnsi="Times New Roman" w:hint="default"/>
      </w:rPr>
    </w:lvl>
    <w:lvl w:ilvl="1" w:tplc="214CADB0">
      <w:start w:val="9"/>
      <w:numFmt w:val="bullet"/>
      <w:lvlText w:val="-"/>
      <w:lvlJc w:val="left"/>
      <w:pPr>
        <w:ind w:left="1800" w:hanging="360"/>
      </w:pPr>
      <w:rPr>
        <w:rFonts w:ascii="Times New Roman" w:eastAsia="Times New Roman" w:hAnsi="Times New Roman"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2861933"/>
    <w:multiLevelType w:val="hybridMultilevel"/>
    <w:tmpl w:val="C966F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01383B"/>
    <w:multiLevelType w:val="hybridMultilevel"/>
    <w:tmpl w:val="47504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2E28B6"/>
    <w:multiLevelType w:val="hybridMultilevel"/>
    <w:tmpl w:val="BB1CC8E0"/>
    <w:lvl w:ilvl="0" w:tplc="0A1C385E">
      <w:start w:val="1"/>
      <w:numFmt w:val="lowerLetter"/>
      <w:lvlText w:val="%1."/>
      <w:lvlJc w:val="left"/>
      <w:pPr>
        <w:ind w:left="1510" w:hanging="360"/>
      </w:pPr>
    </w:lvl>
    <w:lvl w:ilvl="1" w:tplc="04090019">
      <w:start w:val="1"/>
      <w:numFmt w:val="lowerLetter"/>
      <w:lvlText w:val="%2."/>
      <w:lvlJc w:val="left"/>
      <w:pPr>
        <w:ind w:left="2230" w:hanging="360"/>
      </w:pPr>
    </w:lvl>
    <w:lvl w:ilvl="2" w:tplc="0409001B">
      <w:start w:val="1"/>
      <w:numFmt w:val="lowerRoman"/>
      <w:lvlText w:val="%3."/>
      <w:lvlJc w:val="right"/>
      <w:pPr>
        <w:ind w:left="2950" w:hanging="180"/>
      </w:pPr>
    </w:lvl>
    <w:lvl w:ilvl="3" w:tplc="0409000F">
      <w:start w:val="1"/>
      <w:numFmt w:val="decimal"/>
      <w:lvlText w:val="%4."/>
      <w:lvlJc w:val="left"/>
      <w:pPr>
        <w:ind w:left="3670" w:hanging="360"/>
      </w:pPr>
    </w:lvl>
    <w:lvl w:ilvl="4" w:tplc="04090019">
      <w:start w:val="1"/>
      <w:numFmt w:val="lowerLetter"/>
      <w:lvlText w:val="%5."/>
      <w:lvlJc w:val="left"/>
      <w:pPr>
        <w:ind w:left="4390" w:hanging="360"/>
      </w:pPr>
    </w:lvl>
    <w:lvl w:ilvl="5" w:tplc="0409001B">
      <w:start w:val="1"/>
      <w:numFmt w:val="lowerRoman"/>
      <w:lvlText w:val="%6."/>
      <w:lvlJc w:val="right"/>
      <w:pPr>
        <w:ind w:left="5110" w:hanging="180"/>
      </w:pPr>
    </w:lvl>
    <w:lvl w:ilvl="6" w:tplc="0409000F">
      <w:start w:val="1"/>
      <w:numFmt w:val="decimal"/>
      <w:lvlText w:val="%7."/>
      <w:lvlJc w:val="left"/>
      <w:pPr>
        <w:ind w:left="5830" w:hanging="360"/>
      </w:pPr>
    </w:lvl>
    <w:lvl w:ilvl="7" w:tplc="04090019">
      <w:start w:val="1"/>
      <w:numFmt w:val="lowerLetter"/>
      <w:lvlText w:val="%8."/>
      <w:lvlJc w:val="left"/>
      <w:pPr>
        <w:ind w:left="6550" w:hanging="360"/>
      </w:pPr>
    </w:lvl>
    <w:lvl w:ilvl="8" w:tplc="0409001B">
      <w:start w:val="1"/>
      <w:numFmt w:val="lowerRoman"/>
      <w:lvlText w:val="%9."/>
      <w:lvlJc w:val="right"/>
      <w:pPr>
        <w:ind w:left="7270" w:hanging="180"/>
      </w:pPr>
    </w:lvl>
  </w:abstractNum>
  <w:abstractNum w:abstractNumId="4" w15:restartNumberingAfterBreak="0">
    <w:nsid w:val="4CF9278C"/>
    <w:multiLevelType w:val="hybridMultilevel"/>
    <w:tmpl w:val="BB1CC8E0"/>
    <w:lvl w:ilvl="0" w:tplc="0A1C385E">
      <w:start w:val="1"/>
      <w:numFmt w:val="lowerLetter"/>
      <w:lvlText w:val="%1."/>
      <w:lvlJc w:val="left"/>
      <w:pPr>
        <w:ind w:left="1510" w:hanging="360"/>
      </w:pPr>
    </w:lvl>
    <w:lvl w:ilvl="1" w:tplc="04090019">
      <w:start w:val="1"/>
      <w:numFmt w:val="lowerLetter"/>
      <w:lvlText w:val="%2."/>
      <w:lvlJc w:val="left"/>
      <w:pPr>
        <w:ind w:left="2230" w:hanging="360"/>
      </w:pPr>
    </w:lvl>
    <w:lvl w:ilvl="2" w:tplc="0409001B">
      <w:start w:val="1"/>
      <w:numFmt w:val="lowerRoman"/>
      <w:lvlText w:val="%3."/>
      <w:lvlJc w:val="right"/>
      <w:pPr>
        <w:ind w:left="2950" w:hanging="180"/>
      </w:pPr>
    </w:lvl>
    <w:lvl w:ilvl="3" w:tplc="0409000F">
      <w:start w:val="1"/>
      <w:numFmt w:val="decimal"/>
      <w:lvlText w:val="%4."/>
      <w:lvlJc w:val="left"/>
      <w:pPr>
        <w:ind w:left="3670" w:hanging="360"/>
      </w:pPr>
    </w:lvl>
    <w:lvl w:ilvl="4" w:tplc="04090019">
      <w:start w:val="1"/>
      <w:numFmt w:val="lowerLetter"/>
      <w:lvlText w:val="%5."/>
      <w:lvlJc w:val="left"/>
      <w:pPr>
        <w:ind w:left="4390" w:hanging="360"/>
      </w:pPr>
    </w:lvl>
    <w:lvl w:ilvl="5" w:tplc="0409001B">
      <w:start w:val="1"/>
      <w:numFmt w:val="lowerRoman"/>
      <w:lvlText w:val="%6."/>
      <w:lvlJc w:val="right"/>
      <w:pPr>
        <w:ind w:left="5110" w:hanging="180"/>
      </w:pPr>
    </w:lvl>
    <w:lvl w:ilvl="6" w:tplc="0409000F">
      <w:start w:val="1"/>
      <w:numFmt w:val="decimal"/>
      <w:lvlText w:val="%7."/>
      <w:lvlJc w:val="left"/>
      <w:pPr>
        <w:ind w:left="5830" w:hanging="360"/>
      </w:pPr>
    </w:lvl>
    <w:lvl w:ilvl="7" w:tplc="04090019">
      <w:start w:val="1"/>
      <w:numFmt w:val="lowerLetter"/>
      <w:lvlText w:val="%8."/>
      <w:lvlJc w:val="left"/>
      <w:pPr>
        <w:ind w:left="6550" w:hanging="360"/>
      </w:pPr>
    </w:lvl>
    <w:lvl w:ilvl="8" w:tplc="0409001B">
      <w:start w:val="1"/>
      <w:numFmt w:val="lowerRoman"/>
      <w:lvlText w:val="%9."/>
      <w:lvlJc w:val="right"/>
      <w:pPr>
        <w:ind w:left="7270" w:hanging="180"/>
      </w:pPr>
    </w:lvl>
  </w:abstractNum>
  <w:abstractNum w:abstractNumId="5" w15:restartNumberingAfterBreak="0">
    <w:nsid w:val="6BEB5D6C"/>
    <w:multiLevelType w:val="hybridMultilevel"/>
    <w:tmpl w:val="9280AC32"/>
    <w:lvl w:ilvl="0" w:tplc="A03A81BA">
      <w:start w:val="1"/>
      <w:numFmt w:val="decimal"/>
      <w:lvlText w:val="%1."/>
      <w:lvlJc w:val="left"/>
      <w:pPr>
        <w:ind w:left="1150" w:hanging="360"/>
      </w:pPr>
      <w:rPr>
        <w:rFonts w:ascii="Times New Roman" w:hAnsi="Times New Roman" w:cs="Times New Roman" w:hint="default"/>
      </w:rPr>
    </w:lvl>
    <w:lvl w:ilvl="1" w:tplc="04090019">
      <w:start w:val="1"/>
      <w:numFmt w:val="lowerLetter"/>
      <w:lvlText w:val="%2."/>
      <w:lvlJc w:val="left"/>
      <w:pPr>
        <w:ind w:left="1870" w:hanging="360"/>
      </w:pPr>
    </w:lvl>
    <w:lvl w:ilvl="2" w:tplc="0409001B">
      <w:start w:val="1"/>
      <w:numFmt w:val="lowerRoman"/>
      <w:lvlText w:val="%3."/>
      <w:lvlJc w:val="right"/>
      <w:pPr>
        <w:ind w:left="2590" w:hanging="180"/>
      </w:pPr>
    </w:lvl>
    <w:lvl w:ilvl="3" w:tplc="0409000F">
      <w:start w:val="1"/>
      <w:numFmt w:val="decimal"/>
      <w:lvlText w:val="%4."/>
      <w:lvlJc w:val="left"/>
      <w:pPr>
        <w:ind w:left="3310" w:hanging="360"/>
      </w:pPr>
    </w:lvl>
    <w:lvl w:ilvl="4" w:tplc="04090019">
      <w:start w:val="1"/>
      <w:numFmt w:val="lowerLetter"/>
      <w:lvlText w:val="%5."/>
      <w:lvlJc w:val="left"/>
      <w:pPr>
        <w:ind w:left="4030" w:hanging="360"/>
      </w:pPr>
    </w:lvl>
    <w:lvl w:ilvl="5" w:tplc="0409001B">
      <w:start w:val="1"/>
      <w:numFmt w:val="lowerRoman"/>
      <w:lvlText w:val="%6."/>
      <w:lvlJc w:val="right"/>
      <w:pPr>
        <w:ind w:left="4750" w:hanging="180"/>
      </w:pPr>
    </w:lvl>
    <w:lvl w:ilvl="6" w:tplc="0409000F">
      <w:start w:val="1"/>
      <w:numFmt w:val="decimal"/>
      <w:lvlText w:val="%7."/>
      <w:lvlJc w:val="left"/>
      <w:pPr>
        <w:ind w:left="5470" w:hanging="360"/>
      </w:pPr>
    </w:lvl>
    <w:lvl w:ilvl="7" w:tplc="04090019">
      <w:start w:val="1"/>
      <w:numFmt w:val="lowerLetter"/>
      <w:lvlText w:val="%8."/>
      <w:lvlJc w:val="left"/>
      <w:pPr>
        <w:ind w:left="6190" w:hanging="360"/>
      </w:pPr>
    </w:lvl>
    <w:lvl w:ilvl="8" w:tplc="0409001B">
      <w:start w:val="1"/>
      <w:numFmt w:val="lowerRoman"/>
      <w:lvlText w:val="%9."/>
      <w:lvlJc w:val="right"/>
      <w:pPr>
        <w:ind w:left="6910" w:hanging="180"/>
      </w:pPr>
    </w:lvl>
  </w:abstractNum>
  <w:abstractNum w:abstractNumId="6" w15:restartNumberingAfterBreak="0">
    <w:nsid w:val="7EB12E70"/>
    <w:multiLevelType w:val="hybridMultilevel"/>
    <w:tmpl w:val="856E319C"/>
    <w:lvl w:ilvl="0" w:tplc="FFFFFFFF">
      <w:start w:val="1"/>
      <w:numFmt w:val="bullet"/>
      <w:lvlText w:val="-"/>
      <w:lvlJc w:val="left"/>
      <w:pPr>
        <w:ind w:left="108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1"/>
  </w:num>
  <w:num w:numId="4">
    <w:abstractNumId w:val="2"/>
  </w:num>
  <w:num w:numId="5">
    <w:abstractNumId w:val="5"/>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US" w:vendorID="64" w:dllVersion="6" w:nlCheck="1" w:checkStyle="1"/>
  <w:activeWritingStyle w:appName="MSWord" w:lang="fr-CH" w:vendorID="64" w:dllVersion="6" w:nlCheck="1" w:checkStyle="0"/>
  <w:activeWritingStyle w:appName="MSWord" w:lang="en-GB" w:vendorID="64" w:dllVersion="6" w:nlCheck="1" w:checkStyle="1"/>
  <w:activeWritingStyle w:appName="MSWord" w:lang="es-ES" w:vendorID="64" w:dllVersion="6" w:nlCheck="1" w:checkStyle="0"/>
  <w:activeWritingStyle w:appName="MSWord" w:lang="fr-FR" w:vendorID="64" w:dllVersion="0" w:nlCheck="1" w:checkStyle="0"/>
  <w:activeWritingStyle w:appName="MSWord" w:lang="es-ES" w:vendorID="64" w:dllVersion="0" w:nlCheck="1" w:checkStyle="0"/>
  <w:activeWritingStyle w:appName="MSWord" w:lang="en-US" w:vendorID="64" w:dllVersion="0" w:nlCheck="1" w:checkStyle="0"/>
  <w:activeWritingStyle w:appName="MSWord" w:lang="en-GB" w:vendorID="64" w:dllVersion="0" w:nlCheck="1" w:checkStyle="0"/>
  <w:activeWritingStyle w:appName="MSWord" w:lang="fr-CH"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692B"/>
    <w:rsid w:val="00013ECB"/>
    <w:rsid w:val="0002050B"/>
    <w:rsid w:val="00023CCD"/>
    <w:rsid w:val="0003352F"/>
    <w:rsid w:val="00037824"/>
    <w:rsid w:val="000410E8"/>
    <w:rsid w:val="00041389"/>
    <w:rsid w:val="00054BDB"/>
    <w:rsid w:val="00054C62"/>
    <w:rsid w:val="00060500"/>
    <w:rsid w:val="000C06D8"/>
    <w:rsid w:val="000C2592"/>
    <w:rsid w:val="000C3977"/>
    <w:rsid w:val="000D5D26"/>
    <w:rsid w:val="00101A1E"/>
    <w:rsid w:val="00116F89"/>
    <w:rsid w:val="00126C9C"/>
    <w:rsid w:val="00140AE6"/>
    <w:rsid w:val="00141818"/>
    <w:rsid w:val="001475CB"/>
    <w:rsid w:val="00150800"/>
    <w:rsid w:val="0015528D"/>
    <w:rsid w:val="00162435"/>
    <w:rsid w:val="0016478F"/>
    <w:rsid w:val="00171AEB"/>
    <w:rsid w:val="001742A2"/>
    <w:rsid w:val="00177141"/>
    <w:rsid w:val="00185ABE"/>
    <w:rsid w:val="00193D62"/>
    <w:rsid w:val="00193D69"/>
    <w:rsid w:val="001B538C"/>
    <w:rsid w:val="001B6DA6"/>
    <w:rsid w:val="001C0AB1"/>
    <w:rsid w:val="001C5BA7"/>
    <w:rsid w:val="001F0F80"/>
    <w:rsid w:val="001F3EF1"/>
    <w:rsid w:val="002071CF"/>
    <w:rsid w:val="002127E1"/>
    <w:rsid w:val="00212B14"/>
    <w:rsid w:val="00215F00"/>
    <w:rsid w:val="00222A1C"/>
    <w:rsid w:val="00234D97"/>
    <w:rsid w:val="00242886"/>
    <w:rsid w:val="002746DD"/>
    <w:rsid w:val="00283F99"/>
    <w:rsid w:val="002A069A"/>
    <w:rsid w:val="002A5885"/>
    <w:rsid w:val="002B007D"/>
    <w:rsid w:val="002D238A"/>
    <w:rsid w:val="002D5A62"/>
    <w:rsid w:val="00313E0A"/>
    <w:rsid w:val="003235FF"/>
    <w:rsid w:val="003271AE"/>
    <w:rsid w:val="003562AC"/>
    <w:rsid w:val="00385522"/>
    <w:rsid w:val="00390816"/>
    <w:rsid w:val="00397416"/>
    <w:rsid w:val="003A6CEE"/>
    <w:rsid w:val="003B2FC1"/>
    <w:rsid w:val="003C7D41"/>
    <w:rsid w:val="003D2CC3"/>
    <w:rsid w:val="003D6F16"/>
    <w:rsid w:val="003F1A94"/>
    <w:rsid w:val="004018FE"/>
    <w:rsid w:val="00405FBE"/>
    <w:rsid w:val="004173D6"/>
    <w:rsid w:val="00430A40"/>
    <w:rsid w:val="00443261"/>
    <w:rsid w:val="00455824"/>
    <w:rsid w:val="0045585A"/>
    <w:rsid w:val="00456E47"/>
    <w:rsid w:val="00467932"/>
    <w:rsid w:val="00484B0E"/>
    <w:rsid w:val="004867CF"/>
    <w:rsid w:val="004B3D50"/>
    <w:rsid w:val="004E031C"/>
    <w:rsid w:val="004E0CDE"/>
    <w:rsid w:val="004E1CCF"/>
    <w:rsid w:val="004E4D61"/>
    <w:rsid w:val="004E76DF"/>
    <w:rsid w:val="005031C8"/>
    <w:rsid w:val="005207F5"/>
    <w:rsid w:val="005430E4"/>
    <w:rsid w:val="00560346"/>
    <w:rsid w:val="005623E5"/>
    <w:rsid w:val="00562F59"/>
    <w:rsid w:val="00567BC9"/>
    <w:rsid w:val="00576C49"/>
    <w:rsid w:val="005A368C"/>
    <w:rsid w:val="005B0C1A"/>
    <w:rsid w:val="005B5157"/>
    <w:rsid w:val="005B64C8"/>
    <w:rsid w:val="005B64F1"/>
    <w:rsid w:val="005B6A9C"/>
    <w:rsid w:val="005C5F12"/>
    <w:rsid w:val="005E6EC0"/>
    <w:rsid w:val="0061255C"/>
    <w:rsid w:val="00624C8E"/>
    <w:rsid w:val="0063237C"/>
    <w:rsid w:val="0063304E"/>
    <w:rsid w:val="00647CD9"/>
    <w:rsid w:val="0067019B"/>
    <w:rsid w:val="00677EE5"/>
    <w:rsid w:val="00680BAF"/>
    <w:rsid w:val="00694DEF"/>
    <w:rsid w:val="00696407"/>
    <w:rsid w:val="006B6441"/>
    <w:rsid w:val="006C1F88"/>
    <w:rsid w:val="006D4AC5"/>
    <w:rsid w:val="006E467F"/>
    <w:rsid w:val="006E64CF"/>
    <w:rsid w:val="006E707D"/>
    <w:rsid w:val="007042BC"/>
    <w:rsid w:val="00710978"/>
    <w:rsid w:val="0072456E"/>
    <w:rsid w:val="00745892"/>
    <w:rsid w:val="00750943"/>
    <w:rsid w:val="0076574B"/>
    <w:rsid w:val="007711EA"/>
    <w:rsid w:val="00773E5E"/>
    <w:rsid w:val="0078151A"/>
    <w:rsid w:val="007908B0"/>
    <w:rsid w:val="007A586C"/>
    <w:rsid w:val="007B0C8E"/>
    <w:rsid w:val="007B3864"/>
    <w:rsid w:val="007C0AA9"/>
    <w:rsid w:val="007D4536"/>
    <w:rsid w:val="007E7CB7"/>
    <w:rsid w:val="007F3502"/>
    <w:rsid w:val="008006E3"/>
    <w:rsid w:val="008069E9"/>
    <w:rsid w:val="008129B7"/>
    <w:rsid w:val="00816200"/>
    <w:rsid w:val="00826C2C"/>
    <w:rsid w:val="00847621"/>
    <w:rsid w:val="00847AAC"/>
    <w:rsid w:val="00854CBE"/>
    <w:rsid w:val="00896F2A"/>
    <w:rsid w:val="00897995"/>
    <w:rsid w:val="008A6F4F"/>
    <w:rsid w:val="008B2FB0"/>
    <w:rsid w:val="008C4C12"/>
    <w:rsid w:val="008C721E"/>
    <w:rsid w:val="008D642D"/>
    <w:rsid w:val="008F4C16"/>
    <w:rsid w:val="008F5053"/>
    <w:rsid w:val="008F5DA6"/>
    <w:rsid w:val="00902253"/>
    <w:rsid w:val="009110D6"/>
    <w:rsid w:val="00915ADE"/>
    <w:rsid w:val="00915D1A"/>
    <w:rsid w:val="00924F21"/>
    <w:rsid w:val="00925627"/>
    <w:rsid w:val="009261E4"/>
    <w:rsid w:val="009305AD"/>
    <w:rsid w:val="0093101F"/>
    <w:rsid w:val="00940148"/>
    <w:rsid w:val="00942C39"/>
    <w:rsid w:val="0097083D"/>
    <w:rsid w:val="0097156E"/>
    <w:rsid w:val="00971628"/>
    <w:rsid w:val="00994ED2"/>
    <w:rsid w:val="009A32A2"/>
    <w:rsid w:val="009C4D57"/>
    <w:rsid w:val="009D07CE"/>
    <w:rsid w:val="009E4C7E"/>
    <w:rsid w:val="009F63E3"/>
    <w:rsid w:val="00A06349"/>
    <w:rsid w:val="00A105C9"/>
    <w:rsid w:val="00A11F6E"/>
    <w:rsid w:val="00A25139"/>
    <w:rsid w:val="00A42CB4"/>
    <w:rsid w:val="00A776EF"/>
    <w:rsid w:val="00A858FD"/>
    <w:rsid w:val="00A9055C"/>
    <w:rsid w:val="00AB7F92"/>
    <w:rsid w:val="00AC39EE"/>
    <w:rsid w:val="00AE0A57"/>
    <w:rsid w:val="00AE421E"/>
    <w:rsid w:val="00AF2EDC"/>
    <w:rsid w:val="00B07BDD"/>
    <w:rsid w:val="00B1049D"/>
    <w:rsid w:val="00B30F18"/>
    <w:rsid w:val="00B41D84"/>
    <w:rsid w:val="00B433A3"/>
    <w:rsid w:val="00B57BF5"/>
    <w:rsid w:val="00B8343E"/>
    <w:rsid w:val="00B849D8"/>
    <w:rsid w:val="00B84E67"/>
    <w:rsid w:val="00B87220"/>
    <w:rsid w:val="00B9067C"/>
    <w:rsid w:val="00B93902"/>
    <w:rsid w:val="00B93B2A"/>
    <w:rsid w:val="00B96E25"/>
    <w:rsid w:val="00BA0C7B"/>
    <w:rsid w:val="00BB18B5"/>
    <w:rsid w:val="00BB6D34"/>
    <w:rsid w:val="00BC4591"/>
    <w:rsid w:val="00BF6D9F"/>
    <w:rsid w:val="00C20AB3"/>
    <w:rsid w:val="00C24302"/>
    <w:rsid w:val="00C35BB2"/>
    <w:rsid w:val="00C457CA"/>
    <w:rsid w:val="00C72A86"/>
    <w:rsid w:val="00C747B8"/>
    <w:rsid w:val="00C77E21"/>
    <w:rsid w:val="00C8036F"/>
    <w:rsid w:val="00CB1593"/>
    <w:rsid w:val="00CB74ED"/>
    <w:rsid w:val="00CC5B9E"/>
    <w:rsid w:val="00CC7208"/>
    <w:rsid w:val="00CE6184"/>
    <w:rsid w:val="00CF4264"/>
    <w:rsid w:val="00CF7F35"/>
    <w:rsid w:val="00D179EC"/>
    <w:rsid w:val="00D228F7"/>
    <w:rsid w:val="00D3023F"/>
    <w:rsid w:val="00D34E1C"/>
    <w:rsid w:val="00D56C5B"/>
    <w:rsid w:val="00D63222"/>
    <w:rsid w:val="00D81360"/>
    <w:rsid w:val="00D95965"/>
    <w:rsid w:val="00DA3655"/>
    <w:rsid w:val="00DA39DA"/>
    <w:rsid w:val="00DB089B"/>
    <w:rsid w:val="00DB4ED2"/>
    <w:rsid w:val="00DC0D75"/>
    <w:rsid w:val="00DD48FC"/>
    <w:rsid w:val="00DD55EB"/>
    <w:rsid w:val="00DF0D83"/>
    <w:rsid w:val="00DF12FB"/>
    <w:rsid w:val="00E114AD"/>
    <w:rsid w:val="00E2659D"/>
    <w:rsid w:val="00E64F6F"/>
    <w:rsid w:val="00E7658D"/>
    <w:rsid w:val="00E8506F"/>
    <w:rsid w:val="00EB0AC5"/>
    <w:rsid w:val="00EB25D9"/>
    <w:rsid w:val="00EC0F12"/>
    <w:rsid w:val="00ED59FA"/>
    <w:rsid w:val="00F03D61"/>
    <w:rsid w:val="00F12DCF"/>
    <w:rsid w:val="00F24D7C"/>
    <w:rsid w:val="00F40400"/>
    <w:rsid w:val="00F43A26"/>
    <w:rsid w:val="00F5440D"/>
    <w:rsid w:val="00F55293"/>
    <w:rsid w:val="00F62294"/>
    <w:rsid w:val="00F62F42"/>
    <w:rsid w:val="00F775D5"/>
    <w:rsid w:val="00F8692B"/>
    <w:rsid w:val="00F91636"/>
    <w:rsid w:val="00F93F1C"/>
    <w:rsid w:val="00F95D60"/>
    <w:rsid w:val="00F968FF"/>
    <w:rsid w:val="00FA73A8"/>
    <w:rsid w:val="00FB01DB"/>
    <w:rsid w:val="00FE547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1C8B38F"/>
  <w15:docId w15:val="{1334BA78-1D45-4FCB-A123-B9E0D018D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link w:val="Heading1Char"/>
    <w:qFormat/>
    <w:pPr>
      <w:keepNext/>
      <w:keepLines/>
      <w:spacing w:before="360"/>
      <w:ind w:left="794" w:hanging="794"/>
      <w:outlineLvl w:val="0"/>
    </w:pPr>
    <w:rPr>
      <w:b/>
    </w:rPr>
  </w:style>
  <w:style w:type="paragraph" w:styleId="Heading2">
    <w:name w:val="heading 2"/>
    <w:basedOn w:val="Heading1"/>
    <w:next w:val="Normal"/>
    <w:link w:val="Heading2Char"/>
    <w:qFormat/>
    <w:pPr>
      <w:spacing w:before="240"/>
      <w:outlineLvl w:val="1"/>
    </w:pPr>
  </w:style>
  <w:style w:type="paragraph" w:styleId="Heading3">
    <w:name w:val="heading 3"/>
    <w:basedOn w:val="Heading1"/>
    <w:next w:val="Normal"/>
    <w:link w:val="Heading3Char"/>
    <w:qFormat/>
    <w:pPr>
      <w:spacing w:before="160"/>
      <w:outlineLvl w:val="2"/>
    </w:pPr>
  </w:style>
  <w:style w:type="paragraph" w:styleId="Heading4">
    <w:name w:val="heading 4"/>
    <w:basedOn w:val="Heading3"/>
    <w:next w:val="Normal"/>
    <w:link w:val="Heading4Char"/>
    <w:qFormat/>
    <w:pPr>
      <w:tabs>
        <w:tab w:val="clear" w:pos="794"/>
        <w:tab w:val="left" w:pos="1021"/>
      </w:tabs>
      <w:ind w:left="1021" w:hanging="1021"/>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qFormat/>
    <w:pPr>
      <w:tabs>
        <w:tab w:val="clear" w:pos="1021"/>
        <w:tab w:val="clear" w:pos="1191"/>
      </w:tabs>
      <w:ind w:left="1588" w:hanging="1588"/>
      <w:outlineLvl w:val="5"/>
    </w:pPr>
  </w:style>
  <w:style w:type="paragraph" w:styleId="Heading7">
    <w:name w:val="heading 7"/>
    <w:basedOn w:val="Heading6"/>
    <w:next w:val="Normal"/>
    <w:link w:val="Heading7Char"/>
    <w:qFormat/>
    <w:pPr>
      <w:outlineLvl w:val="6"/>
    </w:pPr>
  </w:style>
  <w:style w:type="paragraph" w:styleId="Heading8">
    <w:name w:val="heading 8"/>
    <w:basedOn w:val="Heading6"/>
    <w:next w:val="Normal"/>
    <w:link w:val="Heading8Char"/>
    <w:qFormat/>
    <w:pPr>
      <w:outlineLvl w:val="7"/>
    </w:pPr>
  </w:style>
  <w:style w:type="paragraph" w:styleId="Heading9">
    <w:name w:val="heading 9"/>
    <w:basedOn w:val="Heading6"/>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pPr>
      <w:keepLines/>
      <w:spacing w:before="240" w:after="120"/>
      <w:jc w:val="center"/>
    </w:pPr>
    <w:rPr>
      <w:b/>
    </w:rPr>
  </w:style>
  <w:style w:type="paragraph" w:customStyle="1" w:styleId="Normalaftertitle">
    <w:name w:val="Normal_after_title"/>
    <w:basedOn w:val="Normal"/>
    <w:next w:val="Normal"/>
    <w:pPr>
      <w:spacing w:before="360"/>
    </w:pPr>
  </w:style>
  <w:style w:type="paragraph" w:customStyle="1" w:styleId="TabletitleBR">
    <w:name w:val="Table_title_BR"/>
    <w:basedOn w:val="Normal"/>
    <w:next w:val="Tablehead"/>
    <w:pPr>
      <w:keepNext/>
      <w:keepLines/>
      <w:spacing w:before="0" w:after="120"/>
      <w:jc w:val="center"/>
    </w:pPr>
    <w:rPr>
      <w:b/>
    </w:rPr>
  </w:style>
  <w:style w:type="paragraph" w:customStyle="1" w:styleId="Tablehead">
    <w:name w:val="Table_head"/>
    <w:basedOn w:val="Normal"/>
    <w:next w:val="Tabletext"/>
    <w:link w:val="TableheadChar"/>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qFormat/>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link w:val="enumlev1Char"/>
    <w:uiPriority w:val="99"/>
    <w:qFormat/>
    <w:pPr>
      <w:spacing w:before="80"/>
      <w:ind w:left="794" w:hanging="794"/>
    </w:pPr>
  </w:style>
  <w:style w:type="paragraph" w:customStyle="1" w:styleId="enumlev2">
    <w:name w:val="enumlev2"/>
    <w:basedOn w:val="enumlev1"/>
    <w:uiPriority w:val="99"/>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semiHidden/>
    <w:rPr>
      <w:position w:val="6"/>
      <w:sz w:val="18"/>
    </w:rPr>
  </w:style>
  <w:style w:type="paragraph" w:styleId="FootnoteText">
    <w:name w:val="footnote text"/>
    <w:basedOn w:val="Note"/>
    <w:link w:val="FootnoteTextChar"/>
    <w:semiHidden/>
    <w:pPr>
      <w:keepLines/>
      <w:tabs>
        <w:tab w:val="left" w:pos="255"/>
      </w:tabs>
      <w:ind w:left="255" w:hanging="255"/>
    </w:pPr>
  </w:style>
  <w:style w:type="paragraph" w:customStyle="1" w:styleId="Note">
    <w:name w:val="Note"/>
    <w:basedOn w:val="Normal"/>
    <w:pPr>
      <w:spacing w:before="80"/>
    </w:p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rPr>
      <w:b/>
      <w:color w:val="auto"/>
    </w:rPr>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character" w:styleId="Hyperlink">
    <w:name w:val="Hyperlink"/>
    <w:basedOn w:val="DefaultParagraphFont"/>
    <w:uiPriority w:val="99"/>
    <w:unhideWhenUsed/>
    <w:rsid w:val="00B9067C"/>
    <w:rPr>
      <w:color w:val="0000FF" w:themeColor="hyperlink"/>
      <w:u w:val="single"/>
    </w:rPr>
  </w:style>
  <w:style w:type="character" w:customStyle="1" w:styleId="UnresolvedMention1">
    <w:name w:val="Unresolved Mention1"/>
    <w:basedOn w:val="DefaultParagraphFont"/>
    <w:uiPriority w:val="99"/>
    <w:semiHidden/>
    <w:unhideWhenUsed/>
    <w:rsid w:val="00B9067C"/>
    <w:rPr>
      <w:color w:val="605E5C"/>
      <w:shd w:val="clear" w:color="auto" w:fill="E1DFDD"/>
    </w:rPr>
  </w:style>
  <w:style w:type="paragraph" w:styleId="Revision">
    <w:name w:val="Revision"/>
    <w:hidden/>
    <w:uiPriority w:val="99"/>
    <w:semiHidden/>
    <w:rsid w:val="00B9067C"/>
    <w:rPr>
      <w:rFonts w:ascii="Times New Roman" w:hAnsi="Times New Roman"/>
      <w:sz w:val="24"/>
      <w:lang w:val="fr-FR" w:eastAsia="en-US"/>
    </w:rPr>
  </w:style>
  <w:style w:type="character" w:styleId="FollowedHyperlink">
    <w:name w:val="FollowedHyperlink"/>
    <w:basedOn w:val="DefaultParagraphFont"/>
    <w:semiHidden/>
    <w:unhideWhenUsed/>
    <w:rsid w:val="00816200"/>
    <w:rPr>
      <w:color w:val="800080" w:themeColor="followedHyperlink"/>
      <w:u w:val="single"/>
    </w:rPr>
  </w:style>
  <w:style w:type="character" w:customStyle="1" w:styleId="enumlev1Char">
    <w:name w:val="enumlev1 Char"/>
    <w:basedOn w:val="DefaultParagraphFont"/>
    <w:link w:val="enumlev1"/>
    <w:uiPriority w:val="99"/>
    <w:locked/>
    <w:rsid w:val="00193D62"/>
    <w:rPr>
      <w:rFonts w:ascii="Times New Roman" w:hAnsi="Times New Roman"/>
      <w:sz w:val="24"/>
      <w:lang w:val="fr-FR" w:eastAsia="en-US"/>
    </w:rPr>
  </w:style>
  <w:style w:type="paragraph" w:styleId="ListParagraph">
    <w:name w:val="List Paragraph"/>
    <w:basedOn w:val="Normal"/>
    <w:uiPriority w:val="34"/>
    <w:qFormat/>
    <w:rsid w:val="00116F89"/>
    <w:pPr>
      <w:tabs>
        <w:tab w:val="clear" w:pos="794"/>
        <w:tab w:val="clear" w:pos="1191"/>
        <w:tab w:val="clear" w:pos="1588"/>
        <w:tab w:val="clear" w:pos="1985"/>
      </w:tabs>
      <w:overflowPunct/>
      <w:autoSpaceDE/>
      <w:autoSpaceDN/>
      <w:adjustRightInd/>
      <w:spacing w:before="0" w:after="160" w:line="259" w:lineRule="auto"/>
      <w:ind w:left="720"/>
      <w:contextualSpacing/>
      <w:textAlignment w:val="auto"/>
    </w:pPr>
    <w:rPr>
      <w:rFonts w:eastAsiaTheme="minorEastAsia" w:cstheme="minorBidi"/>
      <w:szCs w:val="22"/>
      <w:lang w:val="en-US" w:eastAsia="zh-CN"/>
    </w:rPr>
  </w:style>
  <w:style w:type="paragraph" w:customStyle="1" w:styleId="enumJustified">
    <w:name w:val="enum+ Justified"/>
    <w:aliases w:val="Left:  0 cm,Line spacing:  Double"/>
    <w:basedOn w:val="ListParagraph"/>
    <w:rsid w:val="00116F89"/>
    <w:pPr>
      <w:spacing w:line="480" w:lineRule="auto"/>
      <w:ind w:left="0"/>
      <w:jc w:val="both"/>
    </w:pPr>
  </w:style>
  <w:style w:type="paragraph" w:customStyle="1" w:styleId="Tabletitle">
    <w:name w:val="Table_title"/>
    <w:basedOn w:val="Normal"/>
    <w:next w:val="Tabletext"/>
    <w:rsid w:val="009305AD"/>
    <w:pPr>
      <w:keepNext/>
      <w:keepLines/>
      <w:tabs>
        <w:tab w:val="clear" w:pos="794"/>
        <w:tab w:val="clear" w:pos="1191"/>
        <w:tab w:val="clear" w:pos="1588"/>
        <w:tab w:val="clear" w:pos="1985"/>
        <w:tab w:val="left" w:pos="1134"/>
        <w:tab w:val="left" w:pos="1871"/>
        <w:tab w:val="left" w:pos="2268"/>
      </w:tabs>
      <w:spacing w:before="0" w:after="120"/>
      <w:jc w:val="center"/>
    </w:pPr>
    <w:rPr>
      <w:rFonts w:ascii="Times New Roman Bold" w:eastAsiaTheme="minorEastAsia" w:hAnsi="Times New Roman Bold"/>
      <w:b/>
      <w:sz w:val="20"/>
      <w:lang w:val="en-GB"/>
    </w:rPr>
  </w:style>
  <w:style w:type="table" w:customStyle="1" w:styleId="GridTable5Dark-Accent11">
    <w:name w:val="Grid Table 5 Dark - Accent 11"/>
    <w:basedOn w:val="TableNormal"/>
    <w:next w:val="GridTable5Dark-Accent1"/>
    <w:uiPriority w:val="50"/>
    <w:rsid w:val="003235F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1">
    <w:name w:val="Grid Table 5 Dark Accent 1"/>
    <w:basedOn w:val="TableNormal"/>
    <w:uiPriority w:val="50"/>
    <w:rsid w:val="003235F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customStyle="1" w:styleId="TableNo">
    <w:name w:val="Table_No"/>
    <w:basedOn w:val="Normal"/>
    <w:next w:val="Normal"/>
    <w:uiPriority w:val="99"/>
    <w:rsid w:val="003235FF"/>
    <w:pPr>
      <w:keepNext/>
      <w:tabs>
        <w:tab w:val="clear" w:pos="794"/>
        <w:tab w:val="clear" w:pos="1191"/>
        <w:tab w:val="clear" w:pos="1588"/>
        <w:tab w:val="clear" w:pos="1985"/>
        <w:tab w:val="left" w:pos="1134"/>
        <w:tab w:val="left" w:pos="1871"/>
        <w:tab w:val="left" w:pos="2268"/>
      </w:tabs>
      <w:spacing w:before="560" w:after="120"/>
      <w:jc w:val="center"/>
    </w:pPr>
    <w:rPr>
      <w:caps/>
      <w:lang w:val="en-GB"/>
    </w:rPr>
  </w:style>
  <w:style w:type="character" w:customStyle="1" w:styleId="TabletextChar">
    <w:name w:val="Table_text Char"/>
    <w:basedOn w:val="DefaultParagraphFont"/>
    <w:link w:val="Tabletext"/>
    <w:locked/>
    <w:rsid w:val="00567BC9"/>
    <w:rPr>
      <w:rFonts w:ascii="Times New Roman" w:hAnsi="Times New Roman"/>
      <w:sz w:val="22"/>
      <w:lang w:val="fr-FR" w:eastAsia="en-US"/>
    </w:rPr>
  </w:style>
  <w:style w:type="character" w:customStyle="1" w:styleId="TableheadChar">
    <w:name w:val="Table_head Char"/>
    <w:basedOn w:val="DefaultParagraphFont"/>
    <w:link w:val="Tablehead"/>
    <w:rsid w:val="00567BC9"/>
    <w:rPr>
      <w:rFonts w:ascii="Times New Roman" w:hAnsi="Times New Roman"/>
      <w:b/>
      <w:sz w:val="22"/>
      <w:lang w:val="fr-FR" w:eastAsia="en-US"/>
    </w:rPr>
  </w:style>
  <w:style w:type="table" w:customStyle="1" w:styleId="GridTable4-Accent122">
    <w:name w:val="Grid Table 4 - Accent 122"/>
    <w:basedOn w:val="TableNormal"/>
    <w:uiPriority w:val="49"/>
    <w:rsid w:val="00567BC9"/>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Heading4Char">
    <w:name w:val="Heading 4 Char"/>
    <w:basedOn w:val="DefaultParagraphFont"/>
    <w:link w:val="Heading4"/>
    <w:rsid w:val="00696407"/>
    <w:rPr>
      <w:rFonts w:ascii="Times New Roman" w:hAnsi="Times New Roman"/>
      <w:b/>
      <w:sz w:val="24"/>
      <w:lang w:val="fr-FR" w:eastAsia="en-US"/>
    </w:rPr>
  </w:style>
  <w:style w:type="paragraph" w:customStyle="1" w:styleId="Reasons">
    <w:name w:val="Reasons"/>
    <w:basedOn w:val="Normal"/>
    <w:qFormat/>
    <w:rsid w:val="005B0C1A"/>
    <w:pPr>
      <w:tabs>
        <w:tab w:val="clear" w:pos="794"/>
        <w:tab w:val="clear" w:pos="1191"/>
        <w:tab w:val="clear" w:pos="1588"/>
        <w:tab w:val="clear" w:pos="1985"/>
      </w:tabs>
      <w:overflowPunct/>
      <w:autoSpaceDE/>
      <w:autoSpaceDN/>
      <w:adjustRightInd/>
      <w:spacing w:before="0"/>
      <w:textAlignment w:val="auto"/>
    </w:pPr>
    <w:rPr>
      <w:lang w:val="en-US"/>
    </w:rPr>
  </w:style>
  <w:style w:type="character" w:styleId="CommentReference">
    <w:name w:val="annotation reference"/>
    <w:basedOn w:val="DefaultParagraphFont"/>
    <w:semiHidden/>
    <w:unhideWhenUsed/>
    <w:rsid w:val="008006E3"/>
    <w:rPr>
      <w:sz w:val="16"/>
      <w:szCs w:val="16"/>
    </w:rPr>
  </w:style>
  <w:style w:type="paragraph" w:styleId="CommentText">
    <w:name w:val="annotation text"/>
    <w:basedOn w:val="Normal"/>
    <w:link w:val="CommentTextChar"/>
    <w:semiHidden/>
    <w:unhideWhenUsed/>
    <w:rsid w:val="008006E3"/>
    <w:rPr>
      <w:sz w:val="20"/>
    </w:rPr>
  </w:style>
  <w:style w:type="character" w:customStyle="1" w:styleId="CommentTextChar">
    <w:name w:val="Comment Text Char"/>
    <w:basedOn w:val="DefaultParagraphFont"/>
    <w:link w:val="CommentText"/>
    <w:semiHidden/>
    <w:rsid w:val="008006E3"/>
    <w:rPr>
      <w:rFonts w:ascii="Times New Roman" w:hAnsi="Times New Roman"/>
      <w:lang w:val="fr-FR" w:eastAsia="en-US"/>
    </w:rPr>
  </w:style>
  <w:style w:type="paragraph" w:styleId="CommentSubject">
    <w:name w:val="annotation subject"/>
    <w:basedOn w:val="CommentText"/>
    <w:next w:val="CommentText"/>
    <w:link w:val="CommentSubjectChar"/>
    <w:semiHidden/>
    <w:unhideWhenUsed/>
    <w:rsid w:val="008006E3"/>
    <w:rPr>
      <w:b/>
      <w:bCs/>
    </w:rPr>
  </w:style>
  <w:style w:type="character" w:customStyle="1" w:styleId="CommentSubjectChar">
    <w:name w:val="Comment Subject Char"/>
    <w:basedOn w:val="CommentTextChar"/>
    <w:link w:val="CommentSubject"/>
    <w:semiHidden/>
    <w:rsid w:val="008006E3"/>
    <w:rPr>
      <w:rFonts w:ascii="Times New Roman" w:hAnsi="Times New Roman"/>
      <w:b/>
      <w:bCs/>
      <w:lang w:val="fr-FR" w:eastAsia="en-US"/>
    </w:rPr>
  </w:style>
  <w:style w:type="paragraph" w:styleId="BalloonText">
    <w:name w:val="Balloon Text"/>
    <w:basedOn w:val="Normal"/>
    <w:link w:val="BalloonTextChar"/>
    <w:semiHidden/>
    <w:unhideWhenUsed/>
    <w:rsid w:val="008006E3"/>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8006E3"/>
    <w:rPr>
      <w:rFonts w:ascii="Segoe UI" w:hAnsi="Segoe UI" w:cs="Segoe UI"/>
      <w:sz w:val="18"/>
      <w:szCs w:val="18"/>
      <w:lang w:val="fr-FR" w:eastAsia="en-US"/>
    </w:rPr>
  </w:style>
  <w:style w:type="character" w:customStyle="1" w:styleId="Heading1Char">
    <w:name w:val="Heading 1 Char"/>
    <w:basedOn w:val="DefaultParagraphFont"/>
    <w:link w:val="Heading1"/>
    <w:rsid w:val="005B6A9C"/>
    <w:rPr>
      <w:rFonts w:ascii="Times New Roman" w:hAnsi="Times New Roman"/>
      <w:b/>
      <w:sz w:val="24"/>
      <w:lang w:val="fr-FR" w:eastAsia="en-US"/>
    </w:rPr>
  </w:style>
  <w:style w:type="character" w:customStyle="1" w:styleId="Heading2Char">
    <w:name w:val="Heading 2 Char"/>
    <w:basedOn w:val="DefaultParagraphFont"/>
    <w:link w:val="Heading2"/>
    <w:rsid w:val="005B6A9C"/>
    <w:rPr>
      <w:rFonts w:ascii="Times New Roman" w:hAnsi="Times New Roman"/>
      <w:b/>
      <w:sz w:val="24"/>
      <w:lang w:val="fr-FR" w:eastAsia="en-US"/>
    </w:rPr>
  </w:style>
  <w:style w:type="character" w:customStyle="1" w:styleId="Heading3Char">
    <w:name w:val="Heading 3 Char"/>
    <w:basedOn w:val="DefaultParagraphFont"/>
    <w:link w:val="Heading3"/>
    <w:rsid w:val="005B6A9C"/>
    <w:rPr>
      <w:rFonts w:ascii="Times New Roman" w:hAnsi="Times New Roman"/>
      <w:b/>
      <w:sz w:val="24"/>
      <w:lang w:val="fr-FR" w:eastAsia="en-US"/>
    </w:rPr>
  </w:style>
  <w:style w:type="character" w:customStyle="1" w:styleId="Heading5Char">
    <w:name w:val="Heading 5 Char"/>
    <w:basedOn w:val="DefaultParagraphFont"/>
    <w:link w:val="Heading5"/>
    <w:rsid w:val="005B6A9C"/>
    <w:rPr>
      <w:rFonts w:ascii="Times New Roman" w:hAnsi="Times New Roman"/>
      <w:b/>
      <w:sz w:val="24"/>
      <w:lang w:val="fr-FR" w:eastAsia="en-US"/>
    </w:rPr>
  </w:style>
  <w:style w:type="character" w:customStyle="1" w:styleId="Heading6Char">
    <w:name w:val="Heading 6 Char"/>
    <w:basedOn w:val="DefaultParagraphFont"/>
    <w:link w:val="Heading6"/>
    <w:rsid w:val="005B6A9C"/>
    <w:rPr>
      <w:rFonts w:ascii="Times New Roman" w:hAnsi="Times New Roman"/>
      <w:b/>
      <w:sz w:val="24"/>
      <w:lang w:val="fr-FR" w:eastAsia="en-US"/>
    </w:rPr>
  </w:style>
  <w:style w:type="character" w:customStyle="1" w:styleId="Heading7Char">
    <w:name w:val="Heading 7 Char"/>
    <w:basedOn w:val="DefaultParagraphFont"/>
    <w:link w:val="Heading7"/>
    <w:rsid w:val="005B6A9C"/>
    <w:rPr>
      <w:rFonts w:ascii="Times New Roman" w:hAnsi="Times New Roman"/>
      <w:b/>
      <w:sz w:val="24"/>
      <w:lang w:val="fr-FR" w:eastAsia="en-US"/>
    </w:rPr>
  </w:style>
  <w:style w:type="character" w:customStyle="1" w:styleId="Heading8Char">
    <w:name w:val="Heading 8 Char"/>
    <w:basedOn w:val="DefaultParagraphFont"/>
    <w:link w:val="Heading8"/>
    <w:rsid w:val="005B6A9C"/>
    <w:rPr>
      <w:rFonts w:ascii="Times New Roman" w:hAnsi="Times New Roman"/>
      <w:b/>
      <w:sz w:val="24"/>
      <w:lang w:val="fr-FR" w:eastAsia="en-US"/>
    </w:rPr>
  </w:style>
  <w:style w:type="character" w:customStyle="1" w:styleId="Heading9Char">
    <w:name w:val="Heading 9 Char"/>
    <w:basedOn w:val="DefaultParagraphFont"/>
    <w:link w:val="Heading9"/>
    <w:rsid w:val="005B6A9C"/>
    <w:rPr>
      <w:rFonts w:ascii="Times New Roman" w:hAnsi="Times New Roman"/>
      <w:b/>
      <w:sz w:val="24"/>
      <w:lang w:val="fr-FR" w:eastAsia="en-US"/>
    </w:rPr>
  </w:style>
  <w:style w:type="paragraph" w:customStyle="1" w:styleId="msonormal0">
    <w:name w:val="msonormal"/>
    <w:basedOn w:val="Normal"/>
    <w:rsid w:val="005B6A9C"/>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US"/>
    </w:rPr>
  </w:style>
  <w:style w:type="character" w:customStyle="1" w:styleId="HeaderChar">
    <w:name w:val="Header Char"/>
    <w:basedOn w:val="DefaultParagraphFont"/>
    <w:link w:val="Header"/>
    <w:uiPriority w:val="99"/>
    <w:rsid w:val="005B6A9C"/>
    <w:rPr>
      <w:rFonts w:ascii="Times New Roman" w:hAnsi="Times New Roman"/>
      <w:sz w:val="18"/>
      <w:lang w:val="fr-FR" w:eastAsia="en-US"/>
    </w:rPr>
  </w:style>
  <w:style w:type="character" w:customStyle="1" w:styleId="FooterChar">
    <w:name w:val="Footer Char"/>
    <w:basedOn w:val="DefaultParagraphFont"/>
    <w:link w:val="Footer"/>
    <w:rsid w:val="005B6A9C"/>
    <w:rPr>
      <w:rFonts w:ascii="Times New Roman" w:hAnsi="Times New Roman"/>
      <w:caps/>
      <w:noProof/>
      <w:sz w:val="16"/>
      <w:lang w:val="fr-FR" w:eastAsia="en-US"/>
    </w:rPr>
  </w:style>
  <w:style w:type="character" w:customStyle="1" w:styleId="FootnoteTextChar">
    <w:name w:val="Footnote Text Char"/>
    <w:basedOn w:val="DefaultParagraphFont"/>
    <w:link w:val="FootnoteText"/>
    <w:semiHidden/>
    <w:rsid w:val="005B6A9C"/>
    <w:rPr>
      <w:rFonts w:ascii="Times New Roman" w:hAnsi="Times New Roman"/>
      <w:sz w:val="24"/>
      <w:lang w:val="fr-FR" w:eastAsia="en-US"/>
    </w:rPr>
  </w:style>
  <w:style w:type="character" w:customStyle="1" w:styleId="UnresolvedMention2">
    <w:name w:val="Unresolved Mention2"/>
    <w:basedOn w:val="DefaultParagraphFont"/>
    <w:uiPriority w:val="99"/>
    <w:semiHidden/>
    <w:unhideWhenUsed/>
    <w:rsid w:val="00DC0D75"/>
    <w:rPr>
      <w:color w:val="605E5C"/>
      <w:shd w:val="clear" w:color="auto" w:fill="E1DFDD"/>
    </w:rPr>
  </w:style>
  <w:style w:type="character" w:customStyle="1" w:styleId="UnresolvedMention3">
    <w:name w:val="Unresolved Mention3"/>
    <w:basedOn w:val="DefaultParagraphFont"/>
    <w:uiPriority w:val="99"/>
    <w:semiHidden/>
    <w:unhideWhenUsed/>
    <w:rsid w:val="007D45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47924">
      <w:bodyDiv w:val="1"/>
      <w:marLeft w:val="0"/>
      <w:marRight w:val="0"/>
      <w:marTop w:val="0"/>
      <w:marBottom w:val="0"/>
      <w:divBdr>
        <w:top w:val="none" w:sz="0" w:space="0" w:color="auto"/>
        <w:left w:val="none" w:sz="0" w:space="0" w:color="auto"/>
        <w:bottom w:val="none" w:sz="0" w:space="0" w:color="auto"/>
        <w:right w:val="none" w:sz="0" w:space="0" w:color="auto"/>
      </w:divBdr>
    </w:div>
    <w:div w:id="70155797">
      <w:bodyDiv w:val="1"/>
      <w:marLeft w:val="0"/>
      <w:marRight w:val="0"/>
      <w:marTop w:val="0"/>
      <w:marBottom w:val="0"/>
      <w:divBdr>
        <w:top w:val="none" w:sz="0" w:space="0" w:color="auto"/>
        <w:left w:val="none" w:sz="0" w:space="0" w:color="auto"/>
        <w:bottom w:val="none" w:sz="0" w:space="0" w:color="auto"/>
        <w:right w:val="none" w:sz="0" w:space="0" w:color="auto"/>
      </w:divBdr>
    </w:div>
    <w:div w:id="141775379">
      <w:bodyDiv w:val="1"/>
      <w:marLeft w:val="0"/>
      <w:marRight w:val="0"/>
      <w:marTop w:val="0"/>
      <w:marBottom w:val="0"/>
      <w:divBdr>
        <w:top w:val="none" w:sz="0" w:space="0" w:color="auto"/>
        <w:left w:val="none" w:sz="0" w:space="0" w:color="auto"/>
        <w:bottom w:val="none" w:sz="0" w:space="0" w:color="auto"/>
        <w:right w:val="none" w:sz="0" w:space="0" w:color="auto"/>
      </w:divBdr>
    </w:div>
    <w:div w:id="258485018">
      <w:bodyDiv w:val="1"/>
      <w:marLeft w:val="0"/>
      <w:marRight w:val="0"/>
      <w:marTop w:val="0"/>
      <w:marBottom w:val="0"/>
      <w:divBdr>
        <w:top w:val="none" w:sz="0" w:space="0" w:color="auto"/>
        <w:left w:val="none" w:sz="0" w:space="0" w:color="auto"/>
        <w:bottom w:val="none" w:sz="0" w:space="0" w:color="auto"/>
        <w:right w:val="none" w:sz="0" w:space="0" w:color="auto"/>
      </w:divBdr>
    </w:div>
    <w:div w:id="387076021">
      <w:bodyDiv w:val="1"/>
      <w:marLeft w:val="0"/>
      <w:marRight w:val="0"/>
      <w:marTop w:val="0"/>
      <w:marBottom w:val="0"/>
      <w:divBdr>
        <w:top w:val="none" w:sz="0" w:space="0" w:color="auto"/>
        <w:left w:val="none" w:sz="0" w:space="0" w:color="auto"/>
        <w:bottom w:val="none" w:sz="0" w:space="0" w:color="auto"/>
        <w:right w:val="none" w:sz="0" w:space="0" w:color="auto"/>
      </w:divBdr>
    </w:div>
    <w:div w:id="603391538">
      <w:bodyDiv w:val="1"/>
      <w:marLeft w:val="0"/>
      <w:marRight w:val="0"/>
      <w:marTop w:val="0"/>
      <w:marBottom w:val="0"/>
      <w:divBdr>
        <w:top w:val="none" w:sz="0" w:space="0" w:color="auto"/>
        <w:left w:val="none" w:sz="0" w:space="0" w:color="auto"/>
        <w:bottom w:val="none" w:sz="0" w:space="0" w:color="auto"/>
        <w:right w:val="none" w:sz="0" w:space="0" w:color="auto"/>
      </w:divBdr>
    </w:div>
    <w:div w:id="706568252">
      <w:bodyDiv w:val="1"/>
      <w:marLeft w:val="0"/>
      <w:marRight w:val="0"/>
      <w:marTop w:val="0"/>
      <w:marBottom w:val="0"/>
      <w:divBdr>
        <w:top w:val="none" w:sz="0" w:space="0" w:color="auto"/>
        <w:left w:val="none" w:sz="0" w:space="0" w:color="auto"/>
        <w:bottom w:val="none" w:sz="0" w:space="0" w:color="auto"/>
        <w:right w:val="none" w:sz="0" w:space="0" w:color="auto"/>
      </w:divBdr>
    </w:div>
    <w:div w:id="720515964">
      <w:bodyDiv w:val="1"/>
      <w:marLeft w:val="0"/>
      <w:marRight w:val="0"/>
      <w:marTop w:val="0"/>
      <w:marBottom w:val="0"/>
      <w:divBdr>
        <w:top w:val="none" w:sz="0" w:space="0" w:color="auto"/>
        <w:left w:val="none" w:sz="0" w:space="0" w:color="auto"/>
        <w:bottom w:val="none" w:sz="0" w:space="0" w:color="auto"/>
        <w:right w:val="none" w:sz="0" w:space="0" w:color="auto"/>
      </w:divBdr>
    </w:div>
    <w:div w:id="954168826">
      <w:bodyDiv w:val="1"/>
      <w:marLeft w:val="0"/>
      <w:marRight w:val="0"/>
      <w:marTop w:val="0"/>
      <w:marBottom w:val="0"/>
      <w:divBdr>
        <w:top w:val="none" w:sz="0" w:space="0" w:color="auto"/>
        <w:left w:val="none" w:sz="0" w:space="0" w:color="auto"/>
        <w:bottom w:val="none" w:sz="0" w:space="0" w:color="auto"/>
        <w:right w:val="none" w:sz="0" w:space="0" w:color="auto"/>
      </w:divBdr>
    </w:div>
    <w:div w:id="955019786">
      <w:bodyDiv w:val="1"/>
      <w:marLeft w:val="0"/>
      <w:marRight w:val="0"/>
      <w:marTop w:val="0"/>
      <w:marBottom w:val="0"/>
      <w:divBdr>
        <w:top w:val="none" w:sz="0" w:space="0" w:color="auto"/>
        <w:left w:val="none" w:sz="0" w:space="0" w:color="auto"/>
        <w:bottom w:val="none" w:sz="0" w:space="0" w:color="auto"/>
        <w:right w:val="none" w:sz="0" w:space="0" w:color="auto"/>
      </w:divBdr>
    </w:div>
    <w:div w:id="1254628591">
      <w:bodyDiv w:val="1"/>
      <w:marLeft w:val="0"/>
      <w:marRight w:val="0"/>
      <w:marTop w:val="0"/>
      <w:marBottom w:val="0"/>
      <w:divBdr>
        <w:top w:val="none" w:sz="0" w:space="0" w:color="auto"/>
        <w:left w:val="none" w:sz="0" w:space="0" w:color="auto"/>
        <w:bottom w:val="none" w:sz="0" w:space="0" w:color="auto"/>
        <w:right w:val="none" w:sz="0" w:space="0" w:color="auto"/>
      </w:divBdr>
    </w:div>
    <w:div w:id="1301038286">
      <w:bodyDiv w:val="1"/>
      <w:marLeft w:val="0"/>
      <w:marRight w:val="0"/>
      <w:marTop w:val="0"/>
      <w:marBottom w:val="0"/>
      <w:divBdr>
        <w:top w:val="none" w:sz="0" w:space="0" w:color="auto"/>
        <w:left w:val="none" w:sz="0" w:space="0" w:color="auto"/>
        <w:bottom w:val="none" w:sz="0" w:space="0" w:color="auto"/>
        <w:right w:val="none" w:sz="0" w:space="0" w:color="auto"/>
      </w:divBdr>
    </w:div>
    <w:div w:id="1396008529">
      <w:bodyDiv w:val="1"/>
      <w:marLeft w:val="0"/>
      <w:marRight w:val="0"/>
      <w:marTop w:val="0"/>
      <w:marBottom w:val="0"/>
      <w:divBdr>
        <w:top w:val="none" w:sz="0" w:space="0" w:color="auto"/>
        <w:left w:val="none" w:sz="0" w:space="0" w:color="auto"/>
        <w:bottom w:val="none" w:sz="0" w:space="0" w:color="auto"/>
        <w:right w:val="none" w:sz="0" w:space="0" w:color="auto"/>
      </w:divBdr>
    </w:div>
    <w:div w:id="1569463945">
      <w:bodyDiv w:val="1"/>
      <w:marLeft w:val="0"/>
      <w:marRight w:val="0"/>
      <w:marTop w:val="0"/>
      <w:marBottom w:val="0"/>
      <w:divBdr>
        <w:top w:val="none" w:sz="0" w:space="0" w:color="auto"/>
        <w:left w:val="none" w:sz="0" w:space="0" w:color="auto"/>
        <w:bottom w:val="none" w:sz="0" w:space="0" w:color="auto"/>
        <w:right w:val="none" w:sz="0" w:space="0" w:color="auto"/>
      </w:divBdr>
    </w:div>
    <w:div w:id="1887377243">
      <w:bodyDiv w:val="1"/>
      <w:marLeft w:val="0"/>
      <w:marRight w:val="0"/>
      <w:marTop w:val="0"/>
      <w:marBottom w:val="0"/>
      <w:divBdr>
        <w:top w:val="none" w:sz="0" w:space="0" w:color="auto"/>
        <w:left w:val="none" w:sz="0" w:space="0" w:color="auto"/>
        <w:bottom w:val="none" w:sz="0" w:space="0" w:color="auto"/>
        <w:right w:val="none" w:sz="0" w:space="0" w:color="auto"/>
      </w:divBdr>
    </w:div>
    <w:div w:id="1943369991">
      <w:bodyDiv w:val="1"/>
      <w:marLeft w:val="0"/>
      <w:marRight w:val="0"/>
      <w:marTop w:val="0"/>
      <w:marBottom w:val="0"/>
      <w:divBdr>
        <w:top w:val="none" w:sz="0" w:space="0" w:color="auto"/>
        <w:left w:val="none" w:sz="0" w:space="0" w:color="auto"/>
        <w:bottom w:val="none" w:sz="0" w:space="0" w:color="auto"/>
        <w:right w:val="none" w:sz="0" w:space="0" w:color="auto"/>
      </w:divBdr>
    </w:div>
    <w:div w:id="20101314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www.itu.int/go/ITU-R/wrc-23-irwsp-21" TargetMode="External"/><Relationship Id="rId117" Type="http://schemas.openxmlformats.org/officeDocument/2006/relationships/theme" Target="theme/theme1.xml"/><Relationship Id="rId21" Type="http://schemas.openxmlformats.org/officeDocument/2006/relationships/hyperlink" Target="https://www.itu.int/md/S21-DM-CIR-01017/en" TargetMode="External"/><Relationship Id="rId42" Type="http://schemas.openxmlformats.org/officeDocument/2006/relationships/hyperlink" Target="https://www.itu.int/bestofwrs/sessions/terrestrial-services/" TargetMode="External"/><Relationship Id="rId47" Type="http://schemas.openxmlformats.org/officeDocument/2006/relationships/header" Target="header2.xml"/><Relationship Id="rId63" Type="http://schemas.openxmlformats.org/officeDocument/2006/relationships/hyperlink" Target="https://www.itu.int/fr/mediacentre/backgrounders/Pages/Earth-stations-in-motion-satellite-issues.aspx" TargetMode="External"/><Relationship Id="rId68" Type="http://schemas.openxmlformats.org/officeDocument/2006/relationships/hyperlink" Target="https://www.itu.int/en/myitu/News/2021/02/12/10/47/Celebrating-resilience-radio-World-Radio-Day-2021-Mario-Maniewicz" TargetMode="External"/><Relationship Id="rId84" Type="http://schemas.openxmlformats.org/officeDocument/2006/relationships/hyperlink" Target="https://www.itu.int/hub/2021/06/should-space-become-the-18th-sdg/" TargetMode="External"/><Relationship Id="rId89" Type="http://schemas.openxmlformats.org/officeDocument/2006/relationships/hyperlink" Target="https://www.itu.int/hub/2021/10/aspiring-astrobiologist-aims-for-mars/" TargetMode="External"/><Relationship Id="rId112" Type="http://schemas.openxmlformats.org/officeDocument/2006/relationships/footer" Target="footer1.xml"/><Relationship Id="rId16" Type="http://schemas.openxmlformats.org/officeDocument/2006/relationships/hyperlink" Target="https://www.itu.int/md/S14-CL-INF-0004/fr" TargetMode="External"/><Relationship Id="rId107" Type="http://schemas.openxmlformats.org/officeDocument/2006/relationships/hyperlink" Target="https://www.itu.int/dms_pub/itu-r/md/19/wshwrc23/c/R19-WSHWRC23-C-0005!!PDF-E.pdf" TargetMode="External"/><Relationship Id="rId11" Type="http://schemas.openxmlformats.org/officeDocument/2006/relationships/hyperlink" Target="https://www.itu.int/md/S21-DM-CIR-01017/en" TargetMode="External"/><Relationship Id="rId24" Type="http://schemas.openxmlformats.org/officeDocument/2006/relationships/hyperlink" Target="https://www.itu.int/en/ITU-R/study-groups/rcpm/Pages/wrc-23-studies.aspx" TargetMode="External"/><Relationship Id="rId32" Type="http://schemas.openxmlformats.org/officeDocument/2006/relationships/hyperlink" Target="http://www.itu.int/wrc-23/booklet-wrc-23" TargetMode="External"/><Relationship Id="rId37" Type="http://schemas.openxmlformats.org/officeDocument/2006/relationships/hyperlink" Target="https://www.itu.int/fr/publications/ITU-R/Pages/publications.aspx?parent=R-REG-RR-2020&amp;media=electronic" TargetMode="External"/><Relationship Id="rId40" Type="http://schemas.openxmlformats.org/officeDocument/2006/relationships/hyperlink" Target="https://www.itu.int/bestofwrs/sessions/general-overview/" TargetMode="External"/><Relationship Id="rId45" Type="http://schemas.openxmlformats.org/officeDocument/2006/relationships/hyperlink" Target="https://creativecommons.org/licenses/by/3.0/igo/" TargetMode="External"/><Relationship Id="rId53" Type="http://schemas.openxmlformats.org/officeDocument/2006/relationships/hyperlink" Target="https://www.itu.int/en/ITU-R/Documents/ITU-R-FAQ-UTC.pdf" TargetMode="External"/><Relationship Id="rId58" Type="http://schemas.openxmlformats.org/officeDocument/2006/relationships/hyperlink" Target="https://www.itu.int/fr/mediacentre/backgrounders/Pages/5G-EMF-health.aspx" TargetMode="External"/><Relationship Id="rId66" Type="http://schemas.openxmlformats.org/officeDocument/2006/relationships/hyperlink" Target="https://www.itu.int/hub/publication/s-gen-news-2021-1/" TargetMode="External"/><Relationship Id="rId74" Type="http://schemas.openxmlformats.org/officeDocument/2006/relationships/hyperlink" Target="https://www.itu.int/hub/2021/02/what-do-space-science-radiocommunications-have-to-do-with-me/" TargetMode="External"/><Relationship Id="rId79" Type="http://schemas.openxmlformats.org/officeDocument/2006/relationships/hyperlink" Target="https://www.itu.int/hub/2021/04/home-but-never-alone-celebrating-world-amateur-radio-day/" TargetMode="External"/><Relationship Id="rId87" Type="http://schemas.openxmlformats.org/officeDocument/2006/relationships/hyperlink" Target="https://www.itu.int/hub/2021/09/scully-effect-entices-women-and-girls-into-stem-careers/" TargetMode="External"/><Relationship Id="rId102" Type="http://schemas.openxmlformats.org/officeDocument/2006/relationships/hyperlink" Target="https://www.itu.int/hub/publication/r-sp-lm-v-2021/" TargetMode="External"/><Relationship Id="rId110" Type="http://schemas.openxmlformats.org/officeDocument/2006/relationships/header" Target="header3.xml"/><Relationship Id="rId115" Type="http://schemas.openxmlformats.org/officeDocument/2006/relationships/footer" Target="footer3.xml"/><Relationship Id="rId5" Type="http://schemas.openxmlformats.org/officeDocument/2006/relationships/footnotes" Target="footnotes.xml"/><Relationship Id="rId61" Type="http://schemas.openxmlformats.org/officeDocument/2006/relationships/hyperlink" Target="https://www.itu.int/fr/mediacentre/backgrounders/Pages/itu-study-groups.aspx" TargetMode="External"/><Relationship Id="rId82" Type="http://schemas.openxmlformats.org/officeDocument/2006/relationships/hyperlink" Target="https://www.itu.int/hub/2021/04/envisioning-a-low-earth-orbit-economy/" TargetMode="External"/><Relationship Id="rId90" Type="http://schemas.openxmlformats.org/officeDocument/2006/relationships/hyperlink" Target="https://www.itu.int/hub/2021/11/managing-radio-frequency-spectrum-amid-a-new-space-race/" TargetMode="External"/><Relationship Id="rId95" Type="http://schemas.openxmlformats.org/officeDocument/2006/relationships/hyperlink" Target="https://www.itu.int/en/ITU-R/information/Pages/climate-change.aspx" TargetMode="External"/><Relationship Id="rId19" Type="http://schemas.openxmlformats.org/officeDocument/2006/relationships/hyperlink" Target="https://www.itu.int/md/S20-CL-C-0069/en" TargetMode="External"/><Relationship Id="rId14" Type="http://schemas.openxmlformats.org/officeDocument/2006/relationships/hyperlink" Target="https://www.itu.int/md/S08-CL-C-0056/fr" TargetMode="External"/><Relationship Id="rId22" Type="http://schemas.openxmlformats.org/officeDocument/2006/relationships/hyperlink" Target="https://www.itu.int/md/S21-SG-CIR-0049/en" TargetMode="External"/><Relationship Id="rId27" Type="http://schemas.openxmlformats.org/officeDocument/2006/relationships/hyperlink" Target="https://www.itu.int/md/R19-WSHWRC23-C-0028/en" TargetMode="External"/><Relationship Id="rId30" Type="http://schemas.openxmlformats.org/officeDocument/2006/relationships/hyperlink" Target="http://www.itu.int/net4/Proposals/CPI/WRC23" TargetMode="External"/><Relationship Id="rId35" Type="http://schemas.openxmlformats.org/officeDocument/2006/relationships/hyperlink" Target="http://www.itu.int/go/space/res35" TargetMode="External"/><Relationship Id="rId43" Type="http://schemas.openxmlformats.org/officeDocument/2006/relationships/hyperlink" Target="https://www.itu.int/bestofwrs/sessions/space-services/" TargetMode="External"/><Relationship Id="rId48" Type="http://schemas.openxmlformats.org/officeDocument/2006/relationships/image" Target="media/image3.png"/><Relationship Id="rId56" Type="http://schemas.openxmlformats.org/officeDocument/2006/relationships/hyperlink" Target="https://www.itu.int/en/ITU-R/terrestrial/Pages/by-categories-faq.aspx?maincategorizedby=1" TargetMode="External"/><Relationship Id="rId64" Type="http://schemas.openxmlformats.org/officeDocument/2006/relationships/hyperlink" Target="https://www.itu.int/fr/mediacentre/backgrounders/Pages/Non-geostationary-satellite-systems.aspx" TargetMode="External"/><Relationship Id="rId69" Type="http://schemas.openxmlformats.org/officeDocument/2006/relationships/hyperlink" Target="https://www.itu.int/en/myitu/News/2021/02/12/10/47/Celebrating-resilience-radio-World-Radio-Day-2021-Mario-Maniewicz" TargetMode="External"/><Relationship Id="rId77" Type="http://schemas.openxmlformats.org/officeDocument/2006/relationships/hyperlink" Target="https://www.itu.int/hub/2021/03/radio-regulations-key-to-observing-oceans-climate-and-weather/" TargetMode="External"/><Relationship Id="rId100" Type="http://schemas.openxmlformats.org/officeDocument/2006/relationships/hyperlink" Target="https://www.itu.int/en/myitu/Publications/2020/09/02/14/28/Maritime-Manual-2020" TargetMode="External"/><Relationship Id="rId105" Type="http://schemas.openxmlformats.org/officeDocument/2006/relationships/hyperlink" Target="https://www.itu.int/hub/publication/r-reg-rop-2021/" TargetMode="External"/><Relationship Id="rId113" Type="http://schemas.openxmlformats.org/officeDocument/2006/relationships/footer" Target="footer2.xml"/><Relationship Id="rId8" Type="http://schemas.openxmlformats.org/officeDocument/2006/relationships/hyperlink" Target="https://www.itu.int/md/R00-CA-CIR-0259/fr" TargetMode="External"/><Relationship Id="rId51" Type="http://schemas.openxmlformats.org/officeDocument/2006/relationships/hyperlink" Target="https://www.itu.int/fr/ITU-R/Pages/default.aspx" TargetMode="External"/><Relationship Id="rId72" Type="http://schemas.openxmlformats.org/officeDocument/2006/relationships/hyperlink" Target="https://www.itu.int/hub/2021/10/why-we-need-technical-standards-to-manage-radio-frequency-spectrum-efficiently/" TargetMode="External"/><Relationship Id="rId80" Type="http://schemas.openxmlformats.org/officeDocument/2006/relationships/hyperlink" Target="https://www.itu.int/hub/2021/04/why-media-matters-images-of-women-scientists-and-engineers/" TargetMode="External"/><Relationship Id="rId85" Type="http://schemas.openxmlformats.org/officeDocument/2006/relationships/hyperlink" Target="https://www.itu.int/hub/2021/06/boosting-diversity-in-the-aerospace-industry/" TargetMode="External"/><Relationship Id="rId93" Type="http://schemas.openxmlformats.org/officeDocument/2006/relationships/hyperlink" Target="https://www.itu.int/fr/action/ai/emerging-radio-technologies/Pages/default.aspx" TargetMode="External"/><Relationship Id="rId98" Type="http://schemas.openxmlformats.org/officeDocument/2006/relationships/hyperlink" Target="https://www.itu.int/en/myitu/Publications/2020/06/25/16/38/Final-Acts-of-WRC-19" TargetMode="External"/><Relationship Id="rId3" Type="http://schemas.openxmlformats.org/officeDocument/2006/relationships/settings" Target="settings.xml"/><Relationship Id="rId12" Type="http://schemas.openxmlformats.org/officeDocument/2006/relationships/hyperlink" Target="https://www.itu.int/md/S22-CL-C-0016/en" TargetMode="External"/><Relationship Id="rId17" Type="http://schemas.openxmlformats.org/officeDocument/2006/relationships/hyperlink" Target="https://www.itu.int/md/S14-CL-INF-0004/fr" TargetMode="External"/><Relationship Id="rId25" Type="http://schemas.openxmlformats.org/officeDocument/2006/relationships/hyperlink" Target="http://www.itu.int/go/wrc-23-regional" TargetMode="External"/><Relationship Id="rId33" Type="http://schemas.openxmlformats.org/officeDocument/2006/relationships/hyperlink" Target="https://www.itu.int/ITU-R/space/asreceived/Publication/AsReceived" TargetMode="External"/><Relationship Id="rId38" Type="http://schemas.openxmlformats.org/officeDocument/2006/relationships/hyperlink" Target="https://www.itu.int/hub/publication/r-reg-rr-2020/" TargetMode="External"/><Relationship Id="rId46" Type="http://schemas.openxmlformats.org/officeDocument/2006/relationships/header" Target="header1.xml"/><Relationship Id="rId59" Type="http://schemas.openxmlformats.org/officeDocument/2006/relationships/hyperlink" Target="https://www.itu.int/fr/mediacentre/backgrounders/Pages/High-altitude-platform-systems.aspx" TargetMode="External"/><Relationship Id="rId67" Type="http://schemas.openxmlformats.org/officeDocument/2006/relationships/hyperlink" Target="https://www.itu.int/hub/publication/s-gen-news-2021-2/" TargetMode="External"/><Relationship Id="rId103" Type="http://schemas.openxmlformats.org/officeDocument/2006/relationships/hyperlink" Target="https://www.itu.int/hub/publication/r-sp-lm-iv-2021/" TargetMode="External"/><Relationship Id="rId108" Type="http://schemas.openxmlformats.org/officeDocument/2006/relationships/hyperlink" Target="https://www.itu.int/md/R00-CA-CIR-0256/fr" TargetMode="External"/><Relationship Id="rId116" Type="http://schemas.openxmlformats.org/officeDocument/2006/relationships/fontTable" Target="fontTable.xml"/><Relationship Id="rId20" Type="http://schemas.openxmlformats.org/officeDocument/2006/relationships/hyperlink" Target="https://www.itu.int/md/S21-CL-C-0096/en" TargetMode="External"/><Relationship Id="rId41" Type="http://schemas.openxmlformats.org/officeDocument/2006/relationships/hyperlink" Target="https://www.itu.int/bestofwrs/sessions/radio-regulations-rr/" TargetMode="External"/><Relationship Id="rId54" Type="http://schemas.openxmlformats.org/officeDocument/2006/relationships/hyperlink" Target="https://www.itu.int/en/ITU-R/Documents/ITU-R-FAQ-IMT.pdf" TargetMode="External"/><Relationship Id="rId62" Type="http://schemas.openxmlformats.org/officeDocument/2006/relationships/hyperlink" Target="https://www.itu.int/fr/mediacentre/backgrounders/Pages/itu-r-managing-the-radio-frequency-spectrum-for-the-world.aspx" TargetMode="External"/><Relationship Id="rId70" Type="http://schemas.openxmlformats.org/officeDocument/2006/relationships/hyperlink" Target="https://www.un.org/fr/chronique-onu/nouveau-monde-nouvelle-radio%C2%A0-c%C3%A9l%C3%A9brer-la-r%C3%A9silience-du-m%C3%A9dium-le-plus-utilis%C3%A9-dans-le" TargetMode="External"/><Relationship Id="rId75" Type="http://schemas.openxmlformats.org/officeDocument/2006/relationships/hyperlink" Target="https://www.itu.int/hub/2021/02/radios-key-role-in-crisis-and-emergency-situations/" TargetMode="External"/><Relationship Id="rId83" Type="http://schemas.openxmlformats.org/officeDocument/2006/relationships/hyperlink" Target="https://www.itu.int/hub/2021/05/the-benefits-of-space-must-be-accessible-to-all/" TargetMode="External"/><Relationship Id="rId88" Type="http://schemas.openxmlformats.org/officeDocument/2006/relationships/hyperlink" Target="https://www.itu.int/hub/2021/10/reliable-space-services-why-and-how/" TargetMode="External"/><Relationship Id="rId91" Type="http://schemas.openxmlformats.org/officeDocument/2006/relationships/hyperlink" Target="https://www.itu.int/hub/2021/11/behind-the-latest-olympics-broadcasts-tv-tech-brings-the-world-together/" TargetMode="External"/><Relationship Id="rId96" Type="http://schemas.openxmlformats.org/officeDocument/2006/relationships/hyperlink" Target="https://www.itu.int/en/ITU-R/information/Pages/emergency.aspx" TargetMode="External"/><Relationship Id="rId111"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itu.int/md/S14-CL-INF-0004/fr" TargetMode="External"/><Relationship Id="rId23" Type="http://schemas.openxmlformats.org/officeDocument/2006/relationships/hyperlink" Target="https://www.itu.int/md/R00-CA-CIR-0251/en" TargetMode="External"/><Relationship Id="rId28" Type="http://schemas.openxmlformats.org/officeDocument/2006/relationships/hyperlink" Target="https://www.itu.int/en/ITU-R/information/events/webcast/Pages/default.aspx" TargetMode="External"/><Relationship Id="rId36" Type="http://schemas.openxmlformats.org/officeDocument/2006/relationships/hyperlink" Target="https://www.itu.int/en/ITUR/space/support/nonGSO/RES32/Pages/default.aspx" TargetMode="External"/><Relationship Id="rId49" Type="http://schemas.openxmlformats.org/officeDocument/2006/relationships/image" Target="media/image4.png"/><Relationship Id="rId57" Type="http://schemas.openxmlformats.org/officeDocument/2006/relationships/hyperlink" Target="https://www.itu.int/fr/mediacentre/backgrounders/Pages/5G-fifth-generation-of-mobile-technologies.aspx" TargetMode="External"/><Relationship Id="rId106" Type="http://schemas.openxmlformats.org/officeDocument/2006/relationships/hyperlink" Target="https://www.itu.int/fr/mediacentre/Pages/cm08-2020-Radiocommunication-Sector-gender-equality-equity-parity.aspx" TargetMode="External"/><Relationship Id="rId114" Type="http://schemas.openxmlformats.org/officeDocument/2006/relationships/header" Target="header5.xml"/><Relationship Id="rId10" Type="http://schemas.openxmlformats.org/officeDocument/2006/relationships/hyperlink" Target="https://www.itu.int/md/S21-CL-C-0016/en" TargetMode="External"/><Relationship Id="rId31" Type="http://schemas.openxmlformats.org/officeDocument/2006/relationships/hyperlink" Target="http://www.itu.int/wrc-23/" TargetMode="External"/><Relationship Id="rId44" Type="http://schemas.openxmlformats.org/officeDocument/2006/relationships/hyperlink" Target="https://www.itu.int/bestofwrs/sessions/itu-r-study-groups/" TargetMode="External"/><Relationship Id="rId52" Type="http://schemas.openxmlformats.org/officeDocument/2006/relationships/hyperlink" Target="https://www.itu.int/bestofwrs/" TargetMode="External"/><Relationship Id="rId60" Type="http://schemas.openxmlformats.org/officeDocument/2006/relationships/hyperlink" Target="https://www.itu.int/fr/mediacentre/backgrounders/Pages/Radiocommunications-for-keeping-ships-and-people-safe-at-sea.aspx" TargetMode="External"/><Relationship Id="rId65" Type="http://schemas.openxmlformats.org/officeDocument/2006/relationships/hyperlink" Target="https://www.itu.int/en/mediacentre/backgrounders/Pages/non-GSO-satellite-systems-with-short-duration-missions.aspx" TargetMode="External"/><Relationship Id="rId73" Type="http://schemas.openxmlformats.org/officeDocument/2006/relationships/hyperlink" Target="https://www.itu.int/hub/2021/02/beyond-5g-whats-next-for-imt/" TargetMode="External"/><Relationship Id="rId78" Type="http://schemas.openxmlformats.org/officeDocument/2006/relationships/hyperlink" Target="https://www.itu.int/hub/2021/03/monitoring-the-atmosphere-ocean-and-climate-from-space/" TargetMode="External"/><Relationship Id="rId81" Type="http://schemas.openxmlformats.org/officeDocument/2006/relationships/hyperlink" Target="https://soundcloud.com/ituproduction/itu-technologized-interview-with-robyn-gatens-director-international-space-station-nasa/s-pbh0D2H6g2c" TargetMode="External"/><Relationship Id="rId86" Type="http://schemas.openxmlformats.org/officeDocument/2006/relationships/hyperlink" Target="https://www.itu.int/hub/2021/06/satellites-to-connect-the-unconnected/" TargetMode="External"/><Relationship Id="rId94" Type="http://schemas.openxmlformats.org/officeDocument/2006/relationships/hyperlink" Target="https://www.itu.int/en/ITU-R/study-groups/rsg5/rwp5d/imt-2020/Pages/default.aspx" TargetMode="External"/><Relationship Id="rId99" Type="http://schemas.openxmlformats.org/officeDocument/2006/relationships/hyperlink" Target="https://www.itu.int/en/myitu/Publications/2020/09/02/14/23/Radio-Regulations-2020" TargetMode="External"/><Relationship Id="rId101" Type="http://schemas.openxmlformats.org/officeDocument/2006/relationships/hyperlink" Target="https://www.itu.int/en/myitu/Publications/2020/10/30/17/09/The-RR5-Table-of-Frequency-Allocations-software" TargetMode="External"/><Relationship Id="rId4" Type="http://schemas.openxmlformats.org/officeDocument/2006/relationships/webSettings" Target="webSettings.xml"/><Relationship Id="rId9" Type="http://schemas.openxmlformats.org/officeDocument/2006/relationships/hyperlink" Target="https://www.itu.int/fr/council/2021/Pages/default.aspx" TargetMode="External"/><Relationship Id="rId13" Type="http://schemas.openxmlformats.org/officeDocument/2006/relationships/image" Target="media/image2.emf"/><Relationship Id="rId18" Type="http://schemas.openxmlformats.org/officeDocument/2006/relationships/hyperlink" Target="https://www.itu.int/md/S21-RCLCWGLANG11-C-0002/fr" TargetMode="External"/><Relationship Id="rId39" Type="http://schemas.openxmlformats.org/officeDocument/2006/relationships/hyperlink" Target="https://www.itu.int/bestofwrs/sessions/library/" TargetMode="External"/><Relationship Id="rId109" Type="http://schemas.openxmlformats.org/officeDocument/2006/relationships/hyperlink" Target="https://www.itu.int/md/S22-CL-INF-0007/en" TargetMode="External"/><Relationship Id="rId34" Type="http://schemas.openxmlformats.org/officeDocument/2006/relationships/hyperlink" Target="https://www.itu.int/md/R00-CR-CIR-0475/en" TargetMode="External"/><Relationship Id="rId50" Type="http://schemas.openxmlformats.org/officeDocument/2006/relationships/image" Target="media/image5.png"/><Relationship Id="rId55" Type="http://schemas.openxmlformats.org/officeDocument/2006/relationships/hyperlink" Target="https://www.itu.int/en/ITU-R/Documents/ITU-R-FAQ-DD-DSO.pdf" TargetMode="External"/><Relationship Id="rId76" Type="http://schemas.openxmlformats.org/officeDocument/2006/relationships/hyperlink" Target="https://www.itu.int/hub/2021/03/be-so-good-they-cant-ignore-you-women-and-girls-in-stem/" TargetMode="External"/><Relationship Id="rId97" Type="http://schemas.openxmlformats.org/officeDocument/2006/relationships/hyperlink" Target="https://www.itu.int/fr/ITU-R/information/Pages/disabilities-divide.aspx" TargetMode="External"/><Relationship Id="rId104" Type="http://schemas.openxmlformats.org/officeDocument/2006/relationships/hyperlink" Target="https://www.itu.int/pub/R-REG-RRX/fr" TargetMode="External"/><Relationship Id="rId7" Type="http://schemas.openxmlformats.org/officeDocument/2006/relationships/image" Target="media/image1.jpeg"/><Relationship Id="rId71" Type="http://schemas.openxmlformats.org/officeDocument/2006/relationships/hyperlink" Target="https://www.itu.int/hub/2021/09/world-maritime-day-keeping-seafarers-safe-and-connected/" TargetMode="External"/><Relationship Id="rId92" Type="http://schemas.openxmlformats.org/officeDocument/2006/relationships/hyperlink" Target="https://www.itu.int/oth/R040200003F/fr" TargetMode="External"/><Relationship Id="rId2" Type="http://schemas.openxmlformats.org/officeDocument/2006/relationships/styles" Target="styles.xml"/><Relationship Id="rId29" Type="http://schemas.openxmlformats.org/officeDocument/2006/relationships/hyperlink" Target="https://www.itu.int/md/R19-WSHWRC23-C/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F%20-%20ITU\PF_RAG2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PF_RAG21.dotm</Template>
  <TotalTime>91</TotalTime>
  <Pages>39</Pages>
  <Words>16912</Words>
  <Characters>94205</Characters>
  <Application>Microsoft Office Word</Application>
  <DocSecurity>0</DocSecurity>
  <Lines>1544</Lines>
  <Paragraphs>591</Paragraphs>
  <ScaleCrop>false</ScaleCrop>
  <HeadingPairs>
    <vt:vector size="2" baseType="variant">
      <vt:variant>
        <vt:lpstr>Title</vt:lpstr>
      </vt:variant>
      <vt:variant>
        <vt:i4>1</vt:i4>
      </vt:variant>
    </vt:vector>
  </HeadingPairs>
  <TitlesOfParts>
    <vt:vector size="1" baseType="lpstr">
      <vt:lpstr>RAPPORT À LA VINGT-NEUVIÈME RÉUNION DU GROUPE CONSULTATIF DES RADIOCOMMUNICATIONS</vt:lpstr>
    </vt:vector>
  </TitlesOfParts>
  <Manager>General Secretariat - Pool</Manager>
  <Company>International Telecommunication Union (ITU)</Company>
  <LinksUpToDate>false</LinksUpToDate>
  <CharactersWithSpaces>110526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 À LA VINGT-NEUVIÈME RÉUNION DU GROUPE CONSULTATIF DES RADIOCOMMUNICATIONS</dc:title>
  <dc:subject>GROUPE CONSULTATIF DES RADIOCOMMUNICATIONS</dc:subject>
  <dc:creator>Directeur du Bureau des radiocommunications</dc:creator>
  <cp:keywords>RAG03-1</cp:keywords>
  <dc:description>Révision 1 du Document RAG/44-F  For: _x000d_Document date: 22 mars 2022_x000d_Saved by R03 at 13:46:36 on 31.03.22</dc:description>
  <cp:lastModifiedBy>BR</cp:lastModifiedBy>
  <cp:revision>8</cp:revision>
  <cp:lastPrinted>1999-10-11T14:58:00Z</cp:lastPrinted>
  <dcterms:created xsi:type="dcterms:W3CDTF">2022-03-31T10:10:00Z</dcterms:created>
  <dcterms:modified xsi:type="dcterms:W3CDTF">2022-04-01T07:02:00Z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Révision 1 du Document RAG/44-F</vt:lpwstr>
  </property>
  <property fmtid="{D5CDD505-2E9C-101B-9397-08002B2CF9AE}" pid="3" name="Docdate">
    <vt:lpwstr>22 mars 2022</vt:lpwstr>
  </property>
  <property fmtid="{D5CDD505-2E9C-101B-9397-08002B2CF9AE}" pid="4" name="Docorlang">
    <vt:lpwstr>Original: anglais</vt:lpwstr>
  </property>
  <property fmtid="{D5CDD505-2E9C-101B-9397-08002B2CF9AE}" pid="5" name="Docauthor">
    <vt:lpwstr>Directeur du Bureau des radiocommunications</vt:lpwstr>
  </property>
</Properties>
</file>