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713B0B" w14:paraId="44E53422" w14:textId="77777777" w:rsidTr="005A715D">
        <w:trPr>
          <w:cantSplit/>
        </w:trPr>
        <w:tc>
          <w:tcPr>
            <w:tcW w:w="6772" w:type="dxa"/>
            <w:vAlign w:val="center"/>
          </w:tcPr>
          <w:p w14:paraId="7D5FFE73" w14:textId="77777777" w:rsidR="0057336B" w:rsidRPr="00713B0B" w:rsidRDefault="0057336B" w:rsidP="005A715D">
            <w:pPr>
              <w:shd w:val="solid" w:color="FFFFFF" w:fill="FFFFFF"/>
              <w:tabs>
                <w:tab w:val="left" w:pos="568"/>
              </w:tabs>
              <w:spacing w:before="360" w:after="240"/>
              <w:rPr>
                <w:b/>
                <w:caps/>
                <w:sz w:val="32"/>
              </w:rPr>
            </w:pPr>
            <w:r w:rsidRPr="00713B0B">
              <w:rPr>
                <w:rFonts w:ascii="Verdana" w:hAnsi="Verdana" w:cs="Times New Roman Bold"/>
                <w:b/>
                <w:sz w:val="26"/>
                <w:szCs w:val="26"/>
              </w:rPr>
              <w:t>Grupo Asesor de Radiocomunicaciones</w:t>
            </w:r>
            <w:r w:rsidRPr="00713B0B">
              <w:rPr>
                <w:b/>
                <w:caps/>
                <w:sz w:val="32"/>
              </w:rPr>
              <w:br/>
            </w:r>
          </w:p>
        </w:tc>
        <w:tc>
          <w:tcPr>
            <w:tcW w:w="3117" w:type="dxa"/>
            <w:vAlign w:val="center"/>
          </w:tcPr>
          <w:p w14:paraId="66B18FC4" w14:textId="77777777" w:rsidR="0057336B" w:rsidRPr="00713B0B" w:rsidRDefault="00AB4BAD" w:rsidP="005A715D">
            <w:pPr>
              <w:shd w:val="solid" w:color="FFFFFF" w:fill="FFFFFF"/>
              <w:spacing w:before="0"/>
            </w:pPr>
            <w:r w:rsidRPr="00713B0B">
              <w:rPr>
                <w:noProof/>
                <w:lang w:eastAsia="zh-CN"/>
              </w:rPr>
              <w:drawing>
                <wp:inline distT="0" distB="0" distL="0" distR="0" wp14:anchorId="36590B98" wp14:editId="111E916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713B0B" w14:paraId="6E5285B6" w14:textId="77777777" w:rsidTr="005A715D">
        <w:trPr>
          <w:cantSplit/>
        </w:trPr>
        <w:tc>
          <w:tcPr>
            <w:tcW w:w="6772" w:type="dxa"/>
            <w:tcBorders>
              <w:bottom w:val="single" w:sz="12" w:space="0" w:color="auto"/>
            </w:tcBorders>
          </w:tcPr>
          <w:p w14:paraId="280DE5B4" w14:textId="77777777" w:rsidR="006E291F" w:rsidRPr="00713B0B" w:rsidRDefault="006E291F" w:rsidP="005A715D">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3831ECB4" w14:textId="77777777" w:rsidR="006E291F" w:rsidRPr="00713B0B" w:rsidRDefault="006E291F" w:rsidP="005A715D">
            <w:pPr>
              <w:shd w:val="solid" w:color="FFFFFF" w:fill="FFFFFF"/>
              <w:spacing w:before="0" w:after="48"/>
              <w:rPr>
                <w:sz w:val="22"/>
                <w:szCs w:val="22"/>
              </w:rPr>
            </w:pPr>
          </w:p>
        </w:tc>
      </w:tr>
      <w:tr w:rsidR="006E291F" w:rsidRPr="00713B0B" w14:paraId="2C7835F3" w14:textId="77777777" w:rsidTr="005A715D">
        <w:trPr>
          <w:cantSplit/>
        </w:trPr>
        <w:tc>
          <w:tcPr>
            <w:tcW w:w="6772" w:type="dxa"/>
            <w:tcBorders>
              <w:top w:val="single" w:sz="12" w:space="0" w:color="auto"/>
            </w:tcBorders>
          </w:tcPr>
          <w:p w14:paraId="6EE08C87" w14:textId="77777777" w:rsidR="006E291F" w:rsidRPr="00713B0B" w:rsidRDefault="006E291F" w:rsidP="005A715D">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377C0929" w14:textId="77777777" w:rsidR="006E291F" w:rsidRPr="00713B0B" w:rsidRDefault="006E291F" w:rsidP="005A715D">
            <w:pPr>
              <w:shd w:val="solid" w:color="FFFFFF" w:fill="FFFFFF"/>
              <w:spacing w:before="0" w:after="48"/>
              <w:rPr>
                <w:rFonts w:ascii="Verdana" w:hAnsi="Verdana"/>
                <w:sz w:val="22"/>
                <w:szCs w:val="22"/>
              </w:rPr>
            </w:pPr>
          </w:p>
        </w:tc>
      </w:tr>
      <w:tr w:rsidR="005A715D" w:rsidRPr="00713B0B" w14:paraId="6E8BC8F6" w14:textId="77777777" w:rsidTr="005A715D">
        <w:trPr>
          <w:cantSplit/>
        </w:trPr>
        <w:tc>
          <w:tcPr>
            <w:tcW w:w="6772" w:type="dxa"/>
            <w:vMerge w:val="restart"/>
          </w:tcPr>
          <w:p w14:paraId="1ABA6CC4" w14:textId="77777777" w:rsidR="005A715D" w:rsidRPr="00713B0B" w:rsidRDefault="005A715D" w:rsidP="005A715D">
            <w:pPr>
              <w:shd w:val="solid" w:color="FFFFFF" w:fill="FFFFFF"/>
              <w:spacing w:after="240"/>
              <w:rPr>
                <w:sz w:val="20"/>
              </w:rPr>
            </w:pPr>
            <w:bookmarkStart w:id="0" w:name="dnum" w:colFirst="1" w:colLast="1"/>
          </w:p>
        </w:tc>
        <w:tc>
          <w:tcPr>
            <w:tcW w:w="3117" w:type="dxa"/>
          </w:tcPr>
          <w:p w14:paraId="7CEB6B99" w14:textId="22491574" w:rsidR="005A715D" w:rsidRPr="00713B0B" w:rsidRDefault="005A715D" w:rsidP="005A715D">
            <w:pPr>
              <w:shd w:val="solid" w:color="FFFFFF" w:fill="FFFFFF"/>
              <w:spacing w:before="0"/>
              <w:rPr>
                <w:rFonts w:ascii="Verdana" w:hAnsi="Verdana"/>
                <w:sz w:val="20"/>
              </w:rPr>
            </w:pPr>
            <w:r w:rsidRPr="00713B0B">
              <w:rPr>
                <w:rFonts w:ascii="Verdana" w:hAnsi="Verdana"/>
                <w:b/>
                <w:bCs/>
                <w:sz w:val="20"/>
              </w:rPr>
              <w:t>Addéndum 1 al</w:t>
            </w:r>
            <w:r w:rsidRPr="00713B0B">
              <w:rPr>
                <w:rFonts w:ascii="Verdana" w:hAnsi="Verdana"/>
                <w:b/>
                <w:bCs/>
                <w:sz w:val="20"/>
              </w:rPr>
              <w:br/>
              <w:t>Documento RAG/44-S</w:t>
            </w:r>
          </w:p>
        </w:tc>
      </w:tr>
      <w:tr w:rsidR="005A715D" w:rsidRPr="00713B0B" w14:paraId="445F290E" w14:textId="77777777" w:rsidTr="005A715D">
        <w:trPr>
          <w:cantSplit/>
        </w:trPr>
        <w:tc>
          <w:tcPr>
            <w:tcW w:w="6772" w:type="dxa"/>
            <w:vMerge/>
          </w:tcPr>
          <w:p w14:paraId="03A9734A" w14:textId="77777777" w:rsidR="005A715D" w:rsidRPr="00713B0B" w:rsidRDefault="005A715D" w:rsidP="005A715D">
            <w:pPr>
              <w:spacing w:before="60"/>
              <w:jc w:val="center"/>
              <w:rPr>
                <w:b/>
                <w:smallCaps/>
                <w:sz w:val="32"/>
              </w:rPr>
            </w:pPr>
            <w:bookmarkStart w:id="1" w:name="ddate" w:colFirst="1" w:colLast="1"/>
            <w:bookmarkEnd w:id="0"/>
          </w:p>
        </w:tc>
        <w:tc>
          <w:tcPr>
            <w:tcW w:w="3117" w:type="dxa"/>
          </w:tcPr>
          <w:p w14:paraId="16B8A358" w14:textId="0BC3C120" w:rsidR="005A715D" w:rsidRPr="00713B0B" w:rsidRDefault="005A715D" w:rsidP="005A715D">
            <w:pPr>
              <w:shd w:val="solid" w:color="FFFFFF" w:fill="FFFFFF"/>
              <w:spacing w:before="0"/>
              <w:rPr>
                <w:rFonts w:ascii="Verdana" w:hAnsi="Verdana"/>
                <w:sz w:val="20"/>
              </w:rPr>
            </w:pPr>
            <w:r w:rsidRPr="00713B0B">
              <w:rPr>
                <w:rFonts w:ascii="Verdana" w:hAnsi="Verdana"/>
                <w:b/>
                <w:bCs/>
                <w:sz w:val="20"/>
              </w:rPr>
              <w:t>4 de marzo de 2022</w:t>
            </w:r>
          </w:p>
        </w:tc>
      </w:tr>
      <w:tr w:rsidR="005A715D" w:rsidRPr="00713B0B" w14:paraId="1FC8E75E" w14:textId="77777777" w:rsidTr="005A715D">
        <w:trPr>
          <w:cantSplit/>
        </w:trPr>
        <w:tc>
          <w:tcPr>
            <w:tcW w:w="6772" w:type="dxa"/>
            <w:vMerge/>
          </w:tcPr>
          <w:p w14:paraId="11B6DFDF" w14:textId="77777777" w:rsidR="005A715D" w:rsidRPr="00713B0B" w:rsidRDefault="005A715D" w:rsidP="005A715D">
            <w:pPr>
              <w:spacing w:before="60"/>
              <w:jc w:val="center"/>
              <w:rPr>
                <w:b/>
                <w:smallCaps/>
                <w:sz w:val="32"/>
              </w:rPr>
            </w:pPr>
            <w:bookmarkStart w:id="2" w:name="dorlang" w:colFirst="1" w:colLast="1"/>
            <w:bookmarkEnd w:id="1"/>
          </w:p>
        </w:tc>
        <w:tc>
          <w:tcPr>
            <w:tcW w:w="3117" w:type="dxa"/>
          </w:tcPr>
          <w:p w14:paraId="2FB72310" w14:textId="7DC35D4D" w:rsidR="005A715D" w:rsidRPr="00713B0B" w:rsidRDefault="005A715D" w:rsidP="005A715D">
            <w:pPr>
              <w:shd w:val="solid" w:color="FFFFFF" w:fill="FFFFFF"/>
              <w:spacing w:before="0" w:after="120"/>
              <w:rPr>
                <w:rFonts w:ascii="Verdana" w:hAnsi="Verdana"/>
                <w:sz w:val="20"/>
              </w:rPr>
            </w:pPr>
            <w:r w:rsidRPr="00713B0B">
              <w:rPr>
                <w:rFonts w:ascii="Verdana" w:hAnsi="Verdana"/>
                <w:b/>
                <w:bCs/>
                <w:sz w:val="20"/>
              </w:rPr>
              <w:t>Original: inglés</w:t>
            </w:r>
          </w:p>
        </w:tc>
      </w:tr>
      <w:tr w:rsidR="005A715D" w:rsidRPr="00713B0B" w14:paraId="12341F4E" w14:textId="77777777" w:rsidTr="008F0106">
        <w:trPr>
          <w:cantSplit/>
        </w:trPr>
        <w:tc>
          <w:tcPr>
            <w:tcW w:w="9889" w:type="dxa"/>
            <w:gridSpan w:val="2"/>
          </w:tcPr>
          <w:p w14:paraId="7960D0B8" w14:textId="7C27FE40" w:rsidR="005A715D" w:rsidRPr="00713B0B" w:rsidRDefault="005A715D" w:rsidP="005A715D">
            <w:pPr>
              <w:pStyle w:val="Source"/>
            </w:pPr>
            <w:bookmarkStart w:id="3" w:name="dsource" w:colFirst="0" w:colLast="0"/>
            <w:bookmarkEnd w:id="2"/>
            <w:r w:rsidRPr="00713B0B">
              <w:t>Director de la Oficina de Radiocomunicaciones</w:t>
            </w:r>
          </w:p>
        </w:tc>
      </w:tr>
      <w:tr w:rsidR="005A715D" w:rsidRPr="00713B0B" w14:paraId="76DA1EA1" w14:textId="77777777" w:rsidTr="008F0106">
        <w:trPr>
          <w:cantSplit/>
        </w:trPr>
        <w:tc>
          <w:tcPr>
            <w:tcW w:w="9889" w:type="dxa"/>
            <w:gridSpan w:val="2"/>
          </w:tcPr>
          <w:p w14:paraId="4453C8AF" w14:textId="0C9287FA" w:rsidR="005A715D" w:rsidRPr="00713B0B" w:rsidRDefault="005A715D" w:rsidP="005A715D">
            <w:pPr>
              <w:pStyle w:val="Title1"/>
            </w:pPr>
            <w:bookmarkStart w:id="4" w:name="dtitle1" w:colFirst="0" w:colLast="0"/>
            <w:bookmarkEnd w:id="3"/>
            <w:r w:rsidRPr="00713B0B">
              <w:t>INFORME A LA VIGÉSIM</w:t>
            </w:r>
            <w:r w:rsidR="00020749">
              <w:t>A</w:t>
            </w:r>
            <w:r w:rsidRPr="00713B0B">
              <w:t xml:space="preserve"> NOVENA REUNIÓN DEL</w:t>
            </w:r>
            <w:r w:rsidRPr="00713B0B">
              <w:br/>
              <w:t>GRUPO ASESOR DE RADIOCOMUNICACIONES</w:t>
            </w:r>
          </w:p>
          <w:p w14:paraId="74A19B92" w14:textId="5D46CB83" w:rsidR="005A715D" w:rsidRPr="00713B0B" w:rsidRDefault="005A715D" w:rsidP="005A715D">
            <w:pPr>
              <w:pStyle w:val="Title1"/>
            </w:pPr>
            <w:r w:rsidRPr="00713B0B">
              <w:t>ACTIVIDADES DE LAS COMISIONES DE ESTUDIO</w:t>
            </w:r>
          </w:p>
        </w:tc>
      </w:tr>
      <w:tr w:rsidR="00357002" w:rsidRPr="00713B0B" w14:paraId="1222338E" w14:textId="77777777" w:rsidTr="008F0106">
        <w:trPr>
          <w:cantSplit/>
        </w:trPr>
        <w:tc>
          <w:tcPr>
            <w:tcW w:w="9889" w:type="dxa"/>
            <w:gridSpan w:val="2"/>
          </w:tcPr>
          <w:p w14:paraId="5CF3DAEA" w14:textId="77777777" w:rsidR="00357002" w:rsidRPr="00713B0B" w:rsidRDefault="00357002" w:rsidP="00357002">
            <w:pPr>
              <w:pStyle w:val="Title2"/>
            </w:pPr>
          </w:p>
        </w:tc>
      </w:tr>
    </w:tbl>
    <w:p w14:paraId="6581BCFC" w14:textId="40598EA6" w:rsidR="005A715D" w:rsidRPr="00713B0B" w:rsidRDefault="005A715D" w:rsidP="005A715D">
      <w:pPr>
        <w:pStyle w:val="Heading1"/>
      </w:pPr>
      <w:bookmarkStart w:id="5" w:name="_Toc445972779"/>
      <w:bookmarkEnd w:id="4"/>
      <w:r w:rsidRPr="00713B0B">
        <w:t>1</w:t>
      </w:r>
      <w:r w:rsidRPr="00713B0B">
        <w:tab/>
      </w:r>
      <w:bookmarkEnd w:id="5"/>
      <w:r w:rsidRPr="00713B0B">
        <w:t>Métodos de trabajo</w:t>
      </w:r>
    </w:p>
    <w:p w14:paraId="3D3C0A5B" w14:textId="30D64E25" w:rsidR="005A715D" w:rsidRPr="00713B0B" w:rsidRDefault="005A715D" w:rsidP="005A715D">
      <w:r w:rsidRPr="00713B0B">
        <w:t>Las actividades de las Comisiones de Estudio (CE) se llevaron a cabo en el marco de una estructura estable de Comisiones de Estudio y Grupos de Trabajo (GT), con ciertas modificaciones para tener en cuenta las decisiones de la Primera Sesión de la Reunión Preparatoria de la Conferencia para la</w:t>
      </w:r>
      <w:r w:rsidR="00824C15">
        <w:t> </w:t>
      </w:r>
      <w:r w:rsidRPr="00713B0B">
        <w:t>CMR-23 (RPC23-1). Los métodos de trabajo se aplicaron satisfactoriamente de acuerdo con la Resolución UIT R 1 y las Directrices asociadas para los métodos de trabajo, que se actualizaron en 2020.</w:t>
      </w:r>
    </w:p>
    <w:p w14:paraId="436613BC" w14:textId="77777777" w:rsidR="005A715D" w:rsidRPr="00713B0B" w:rsidRDefault="005A715D" w:rsidP="005A715D">
      <w:pPr>
        <w:pStyle w:val="Heading1"/>
      </w:pPr>
      <w:bookmarkStart w:id="6" w:name="_Toc445972780"/>
      <w:r w:rsidRPr="00713B0B">
        <w:t>2</w:t>
      </w:r>
      <w:r w:rsidRPr="00713B0B">
        <w:tab/>
      </w:r>
      <w:bookmarkEnd w:id="6"/>
      <w:r w:rsidRPr="00713B0B">
        <w:t>Acceso a los documentos de la reunión</w:t>
      </w:r>
    </w:p>
    <w:p w14:paraId="3E0FE27F" w14:textId="77777777" w:rsidR="005A715D" w:rsidRPr="00713B0B" w:rsidRDefault="005A715D" w:rsidP="005A715D">
      <w:r w:rsidRPr="00713B0B">
        <w:t>De conformidad con lo dispuesto en la Resolución UIT-R 1, el personal de la Secretaría publica en el plazo de un día hábil los documentos de la reunión «tal como se reciben» en la página web creada al efecto y las versiones oficiales se incluyen en la dirección web en el plazo de tres días hábiles.</w:t>
      </w:r>
    </w:p>
    <w:p w14:paraId="0270FBC1" w14:textId="77777777" w:rsidR="005A715D" w:rsidRPr="00713B0B" w:rsidRDefault="005A715D" w:rsidP="005A715D">
      <w:pPr>
        <w:pStyle w:val="Heading1"/>
      </w:pPr>
      <w:bookmarkStart w:id="7" w:name="_Toc445972781"/>
      <w:r w:rsidRPr="00713B0B">
        <w:t>3</w:t>
      </w:r>
      <w:r w:rsidRPr="00713B0B">
        <w:tab/>
      </w:r>
      <w:bookmarkEnd w:id="7"/>
      <w:r w:rsidRPr="00713B0B">
        <w:t>Medios de trabajo electrónicos</w:t>
      </w:r>
    </w:p>
    <w:p w14:paraId="4376D7E1" w14:textId="77777777" w:rsidR="005A715D" w:rsidRPr="00713B0B" w:rsidRDefault="005A715D" w:rsidP="005A715D">
      <w:r w:rsidRPr="00713B0B">
        <w:t>Se continúa haciendo hincapié en la utilización de los medios electrónicos, que ha aportado notables ventajas a los delegados y una importante reducción del consumo de papel.</w:t>
      </w:r>
    </w:p>
    <w:p w14:paraId="4144B87E" w14:textId="77777777" w:rsidR="005A715D" w:rsidRPr="00713B0B" w:rsidRDefault="005A715D" w:rsidP="005A715D">
      <w:pPr>
        <w:pStyle w:val="Heading2"/>
      </w:pPr>
      <w:bookmarkStart w:id="8" w:name="_Toc445972782"/>
      <w:r w:rsidRPr="00713B0B">
        <w:t>3.1</w:t>
      </w:r>
      <w:r w:rsidRPr="00713B0B">
        <w:tab/>
      </w:r>
      <w:bookmarkEnd w:id="8"/>
      <w:r w:rsidRPr="00713B0B">
        <w:t>Sitio web SharePoint</w:t>
      </w:r>
    </w:p>
    <w:p w14:paraId="04669DE2" w14:textId="45207B51" w:rsidR="005A715D" w:rsidRPr="00713B0B" w:rsidRDefault="005A715D" w:rsidP="005A715D">
      <w:r w:rsidRPr="00713B0B">
        <w:t>La práctica habitual es acceder a la documentación durante las reuniones a través de un sitio web SharePoint.</w:t>
      </w:r>
    </w:p>
    <w:p w14:paraId="6FC38DFD" w14:textId="66D16E2E" w:rsidR="005A715D" w:rsidRPr="00713B0B" w:rsidRDefault="005A715D" w:rsidP="005A715D">
      <w:r w:rsidRPr="00713B0B">
        <w:t xml:space="preserve">Los sitios web SharePoint de los Grupos por </w:t>
      </w:r>
      <w:r w:rsidR="008D6185" w:rsidRPr="00713B0B">
        <w:t>c</w:t>
      </w:r>
      <w:r w:rsidRPr="00713B0B">
        <w:t>orrespondencia y de Relator se han utilizado sobremanera en los periodos entre reuniones de los GT.</w:t>
      </w:r>
    </w:p>
    <w:p w14:paraId="3C2B072A" w14:textId="77777777" w:rsidR="005A715D" w:rsidRPr="00713B0B" w:rsidRDefault="005A715D" w:rsidP="005A715D">
      <w:pPr>
        <w:pStyle w:val="Heading2"/>
      </w:pPr>
      <w:bookmarkStart w:id="9" w:name="_Toc445972783"/>
      <w:r w:rsidRPr="00713B0B">
        <w:lastRenderedPageBreak/>
        <w:t>3.2</w:t>
      </w:r>
      <w:r w:rsidRPr="00713B0B">
        <w:tab/>
      </w:r>
      <w:bookmarkEnd w:id="9"/>
      <w:r w:rsidRPr="00713B0B">
        <w:t>Sincronización de ficheros</w:t>
      </w:r>
    </w:p>
    <w:p w14:paraId="59BEB198" w14:textId="77777777" w:rsidR="005A715D" w:rsidRPr="00713B0B" w:rsidRDefault="005A715D" w:rsidP="005A715D">
      <w:r w:rsidRPr="00713B0B">
        <w:t>Se ha actualizado un sistema de sincronización de ficheros para todas las reuniones de CE/GT a fin de facilitar durante las reuniones el acceso a las versiones más recientes de los documentos y a las atribuciones de salas de reunión.</w:t>
      </w:r>
    </w:p>
    <w:p w14:paraId="03AFFE2C" w14:textId="77777777" w:rsidR="005A715D" w:rsidRPr="00713B0B" w:rsidRDefault="005A715D" w:rsidP="005A715D">
      <w:pPr>
        <w:pStyle w:val="Heading2"/>
      </w:pPr>
      <w:bookmarkStart w:id="10" w:name="_Toc445972784"/>
      <w:r w:rsidRPr="00713B0B">
        <w:t>3.3</w:t>
      </w:r>
      <w:r w:rsidRPr="00713B0B">
        <w:tab/>
      </w:r>
      <w:bookmarkEnd w:id="10"/>
      <w:r w:rsidRPr="00713B0B">
        <w:t>Lista de participantes en línea</w:t>
      </w:r>
    </w:p>
    <w:p w14:paraId="11B68B52" w14:textId="77777777" w:rsidR="005A715D" w:rsidRPr="00713B0B" w:rsidRDefault="005A715D" w:rsidP="005A715D">
      <w:r w:rsidRPr="00713B0B">
        <w:t>Se han publicado versiones en línea de las listas de participantes en todas las reuniones de las CE y de los GT. El acceso a esta versión en línea está restringido a los usuarios de TIES. La lista dinámica puede consultarse basándose en parámetros tales como el nombre, el miembro y el cargo que ocupa en la delegación.</w:t>
      </w:r>
    </w:p>
    <w:p w14:paraId="230B7825" w14:textId="77777777" w:rsidR="005A715D" w:rsidRPr="00713B0B" w:rsidRDefault="005A715D" w:rsidP="005A715D">
      <w:pPr>
        <w:pStyle w:val="Heading2"/>
      </w:pPr>
      <w:bookmarkStart w:id="11" w:name="_Toc445972785"/>
      <w:r w:rsidRPr="00713B0B">
        <w:t>3.4</w:t>
      </w:r>
      <w:r w:rsidRPr="00713B0B">
        <w:tab/>
      </w:r>
      <w:bookmarkEnd w:id="11"/>
      <w:r w:rsidRPr="00713B0B">
        <w:t>Participación a distancia</w:t>
      </w:r>
    </w:p>
    <w:p w14:paraId="0A0CF57E" w14:textId="77777777" w:rsidR="005A715D" w:rsidRPr="00713B0B" w:rsidRDefault="005A715D" w:rsidP="005A715D">
      <w:r w:rsidRPr="00713B0B">
        <w:t>A raíz de las circunstancias excepcionales derivadas del brote de Coronavirus (COVID-19), se decidió dar prioridad a la salud y la seguridad de todos los participantes y, a su vez, garantizar niveles adecuados de participación. Por consiguiente, todas las reuniones de las CE del UIT-R y de sus GT, incluido el Grupo de Tareas Especiales (GTE) 6/1, se han celebrado de forma totalmente virtual desde abril de 2020 hasta la fecha.</w:t>
      </w:r>
    </w:p>
    <w:p w14:paraId="2E329248" w14:textId="77777777" w:rsidR="005A715D" w:rsidRPr="00713B0B" w:rsidRDefault="005A715D" w:rsidP="005A715D">
      <w:r w:rsidRPr="00713B0B">
        <w:t xml:space="preserve">Todas las reuniones se han organizado con el acuerdo de los respectivos equipos de gestión de las CE del UIT-R. Se consultó a los Estados Miembros de la UIT si las reuniones de las CE podrían celebrarse excepcionalmente sólo en inglés. </w:t>
      </w:r>
      <w:bookmarkStart w:id="12" w:name="lt_pId039"/>
      <w:r w:rsidRPr="00713B0B">
        <w:t>Así, la mayoría de las reuniones de las CE se han celebrado únicamente en inglés. En noviembre de 2021 se decidió volver a celebrar las reuniones de las CE con interpretación en los seis idiomas oficiales de las Naciones Unidas. Para celebrar las reuniones en los seis idiomas oficiales de las Naciones Unidas se utilizó la plataforma</w:t>
      </w:r>
      <w:bookmarkStart w:id="13" w:name="lt_pId041"/>
      <w:bookmarkEnd w:id="12"/>
      <w:r w:rsidRPr="00713B0B">
        <w:t xml:space="preserve"> Zoom.</w:t>
      </w:r>
      <w:bookmarkEnd w:id="13"/>
    </w:p>
    <w:p w14:paraId="65228DC6" w14:textId="77777777" w:rsidR="005A715D" w:rsidRPr="00713B0B" w:rsidRDefault="005A715D" w:rsidP="005A715D">
      <w:r w:rsidRPr="00713B0B">
        <w:t xml:space="preserve">La Oficina ha investigado qué plataformas podrían responder mejor a las necesidades de las reuniones de las CE y los GT y se decidió por «GoToWebinar» y «GoToMeeting» para las reuniones de los GT y el Grupo de Tareas Especiales (GTE) 6/1. Tras la evolución ulterior y la armonización de las herramientas electrónicas a nivel de la UIT, también se han utilizado plataformas como Zoom o Interprefy, cuando la situación lo permitía. </w:t>
      </w:r>
      <w:bookmarkStart w:id="14" w:name="lt_pId044"/>
      <w:r w:rsidRPr="00713B0B">
        <w:t>A partir de marzo de 2022 las Comisiones de Estudio del UIT-R utilizarán paulatinamente Zoom lo más posible para ir armonizando la utilización de la misma plataforma en toda la UIT.</w:t>
      </w:r>
      <w:bookmarkEnd w:id="14"/>
    </w:p>
    <w:p w14:paraId="79A5D8EA" w14:textId="77777777" w:rsidR="005A715D" w:rsidRPr="00713B0B" w:rsidRDefault="005A715D" w:rsidP="005A715D">
      <w:r w:rsidRPr="00713B0B">
        <w:t>Habida cuenta de que pueden surgir problemas técnicos en cualquier momento durante las reuniones virtuales y en respuesta a la petición del Grupo Asesor de Radiocomunicaciones (GAR), cada GT ha identificado a uno o dos Vicepresidentes, que harán un estrecho seguimiento de los trabajos de sus respectivos Grupos y que deberán estar preparados para asumir el papel del Presidente, en caso necesario.</w:t>
      </w:r>
    </w:p>
    <w:p w14:paraId="6A7F901A" w14:textId="77777777" w:rsidR="005A715D" w:rsidRPr="00713B0B" w:rsidRDefault="005A715D" w:rsidP="005A715D">
      <w:r w:rsidRPr="00713B0B">
        <w:t>Durante las sesiones plenarias de todas las reuniones de las CE y los GT se facilitó la transmisión del audio por la web en todos los idiomas disponibles.</w:t>
      </w:r>
    </w:p>
    <w:p w14:paraId="3AC82277" w14:textId="77777777" w:rsidR="005A715D" w:rsidRPr="00713B0B" w:rsidRDefault="005A715D" w:rsidP="005A715D">
      <w:r w:rsidRPr="00713B0B">
        <w:t>Debido a la diversidad de husos horarios derivados de la ubicación geográfica de los participantes en estas reuniones virtuales y a la necesidad de respetar un horario de trabajo aceptable, las horas de trabajo estaban muy limitadas en comparación con las de las reuniones presenciales. Debido a esta limitación de tiempo durante las reuniones virtuales, se ha creado un gran número de Grupos por correspondencia (GC) para avanzar en los trabajos entre reuniones. Los Grupos de Relator (GR) y los Grupos de Relatores Intersectoriales (GRI) continúan sus actividades.</w:t>
      </w:r>
    </w:p>
    <w:p w14:paraId="2ADF1416" w14:textId="0D53CF53" w:rsidR="005A715D" w:rsidRPr="00713B0B" w:rsidRDefault="005A715D" w:rsidP="00357002">
      <w:bookmarkStart w:id="15" w:name="lt_pId050"/>
      <w:r w:rsidRPr="00713B0B">
        <w:t xml:space="preserve">El horario de trabajo durante las reuniones virtuales sigue siendo un tema sensible. En un </w:t>
      </w:r>
      <w:r w:rsidR="006239F0" w:rsidRPr="00713B0B">
        <w:t>intento</w:t>
      </w:r>
      <w:r w:rsidRPr="00713B0B">
        <w:t xml:space="preserve"> por repartir la carga de horas laborables entre los participantes de las Regiones </w:t>
      </w:r>
      <w:r w:rsidR="00020749">
        <w:t>2</w:t>
      </w:r>
      <w:r w:rsidRPr="00713B0B">
        <w:t xml:space="preserve"> y 3, las reuniones de los GT</w:t>
      </w:r>
      <w:bookmarkStart w:id="16" w:name="lt_pId051"/>
      <w:bookmarkEnd w:id="15"/>
      <w:r w:rsidRPr="00713B0B">
        <w:t xml:space="preserve"> 3J, 3K y 3M de abril de 2021 se celebraron fuera del horario habitual de Ginebra (es decir, de las 00.00 a las 03.00 horas).</w:t>
      </w:r>
      <w:bookmarkEnd w:id="16"/>
      <w:r w:rsidRPr="00713B0B">
        <w:t xml:space="preserve"> </w:t>
      </w:r>
      <w:bookmarkStart w:id="17" w:name="lt_pId052"/>
      <w:r w:rsidRPr="00713B0B">
        <w:t xml:space="preserve">Esta configuración fue adoptada </w:t>
      </w:r>
      <w:r w:rsidR="006239F0" w:rsidRPr="00713B0B">
        <w:t>también</w:t>
      </w:r>
      <w:r w:rsidRPr="00713B0B">
        <w:t xml:space="preserve"> por algunos de sus </w:t>
      </w:r>
      <w:r w:rsidRPr="00713B0B">
        <w:lastRenderedPageBreak/>
        <w:t xml:space="preserve">Grupos por Correspondencia, cuyas sesiones de debate fueron rotando </w:t>
      </w:r>
      <w:r w:rsidR="000C480A">
        <w:t>ocho</w:t>
      </w:r>
      <w:r w:rsidRPr="00713B0B">
        <w:t xml:space="preserve"> horas tras cada sesión. Cabe señalar que esta configuración ha aumentado drásticamente los costes de personal debido a la contratación de personal externo a la UIT para asistir a las reuniones de otros servicios de la UIT</w:t>
      </w:r>
      <w:bookmarkStart w:id="18" w:name="lt_pId053"/>
      <w:bookmarkEnd w:id="17"/>
      <w:r w:rsidRPr="00713B0B">
        <w:t>.</w:t>
      </w:r>
      <w:bookmarkEnd w:id="18"/>
    </w:p>
    <w:p w14:paraId="4B125633" w14:textId="77777777" w:rsidR="005A715D" w:rsidRPr="00713B0B" w:rsidRDefault="005A715D" w:rsidP="005A715D">
      <w:pPr>
        <w:pStyle w:val="Heading2"/>
      </w:pPr>
      <w:bookmarkStart w:id="19" w:name="_Toc445972786"/>
      <w:r w:rsidRPr="00713B0B">
        <w:t>3.5</w:t>
      </w:r>
      <w:r w:rsidRPr="00713B0B">
        <w:tab/>
      </w:r>
      <w:bookmarkEnd w:id="19"/>
      <w:r w:rsidRPr="00713B0B">
        <w:t>Páginas web de las Comisiones de Estudio</w:t>
      </w:r>
    </w:p>
    <w:p w14:paraId="1981C3F0" w14:textId="77777777" w:rsidR="005A715D" w:rsidRPr="00713B0B" w:rsidRDefault="005A715D" w:rsidP="005A715D">
      <w:r w:rsidRPr="00713B0B">
        <w:t>En consonancia con la política de la UIT, las páginas web se actualizan continuamente para proporcionar la información necesaria a los delegados.</w:t>
      </w:r>
    </w:p>
    <w:p w14:paraId="06AC9FA4" w14:textId="78F34F4F" w:rsidR="005A715D" w:rsidRPr="00713B0B" w:rsidRDefault="005A715D" w:rsidP="000C480A">
      <w:r w:rsidRPr="00713B0B">
        <w:t>La lista de GC/GR figura en un enlace específico de la página principal de cada CE y están armonizados para todas las CE.</w:t>
      </w:r>
      <w:r w:rsidR="000C480A">
        <w:t xml:space="preserve"> </w:t>
      </w:r>
      <w:r w:rsidRPr="00713B0B">
        <w:t>En el enlace de cada GC/GR, el usuario puede acceder a la información sobre el nombre del grupo, la página de SharePoint, el Relator/Presidente/Convocante, la lista de correo, el archivo, etc. y otra información necesaria.</w:t>
      </w:r>
    </w:p>
    <w:p w14:paraId="2774FDEB" w14:textId="77777777" w:rsidR="005A715D" w:rsidRPr="00713B0B" w:rsidRDefault="005A715D" w:rsidP="005A715D">
      <w:pPr>
        <w:pStyle w:val="Heading2"/>
      </w:pPr>
      <w:bookmarkStart w:id="20" w:name="_Toc445972789"/>
      <w:r w:rsidRPr="00713B0B">
        <w:t>3.6</w:t>
      </w:r>
      <w:r w:rsidRPr="00713B0B">
        <w:tab/>
      </w:r>
      <w:bookmarkEnd w:id="20"/>
      <w:r w:rsidRPr="00713B0B">
        <w:t>Subtitulado</w:t>
      </w:r>
    </w:p>
    <w:p w14:paraId="4E3DE1B5" w14:textId="77777777" w:rsidR="005A715D" w:rsidRPr="00713B0B" w:rsidRDefault="005A715D" w:rsidP="005A715D">
      <w:r w:rsidRPr="00713B0B">
        <w:t>Desde diciembre de 2013, todas las reuniones de las CE están dotadas con subtitulado en directo en inglés. De acuerdo con los comentarios recibidos, este servicio se considera en general positivo dado que se trata también de una ayuda para que los delegados puedan seguir los debates. Sin embargo, la exactitud del subtitulado, sobre todo en lo que respecta a las bandas de frecuencias, los acrónimos propios de las radiocomunicaciones, y los nombres de los delegados suele ser deficiente.</w:t>
      </w:r>
    </w:p>
    <w:p w14:paraId="3708C594" w14:textId="77777777" w:rsidR="005A715D" w:rsidRPr="00713B0B" w:rsidRDefault="005A715D" w:rsidP="005A715D">
      <w:pPr>
        <w:pStyle w:val="Heading1"/>
      </w:pPr>
      <w:r w:rsidRPr="00713B0B">
        <w:t>4</w:t>
      </w:r>
      <w:r w:rsidRPr="00713B0B">
        <w:tab/>
        <w:t>Participación</w:t>
      </w:r>
    </w:p>
    <w:p w14:paraId="66909D06" w14:textId="6947FCBF" w:rsidR="005A715D" w:rsidRPr="00713B0B" w:rsidRDefault="005A715D" w:rsidP="005A715D">
      <w:r w:rsidRPr="00713B0B">
        <w:t>El nivel de participación en las reuniones de las Comisiones de Estudio y los Grupos de Trabajo del</w:t>
      </w:r>
      <w:r w:rsidR="00824C15">
        <w:t> </w:t>
      </w:r>
      <w:r w:rsidRPr="00713B0B">
        <w:t>UIT-R ha aumentado considerablemente desde 2003, sobre todo en 2020 y 2021, cuando todas las reuniones se han celebrado por medios electrónicos. Esto resulta muy alentador, pero al mismo tiempo puede crear algunas dificultades si esas cifras se utilizan para estimar la futura participación en las reuniones presenciales.</w:t>
      </w:r>
    </w:p>
    <w:p w14:paraId="54E4DC59" w14:textId="4ED154D9" w:rsidR="005A715D" w:rsidRPr="00713B0B" w:rsidRDefault="005A715D" w:rsidP="005A715D">
      <w:r w:rsidRPr="00713B0B">
        <w:t>El número de participantes en los grupos más grandes puede rebasar ahora los 600</w:t>
      </w:r>
      <w:r w:rsidR="00824C15">
        <w:t> </w:t>
      </w:r>
      <w:r w:rsidRPr="00713B0B">
        <w:t xml:space="preserve">participantes. La participación media por reunión es ahora del orden de 235 participantes (véase la </w:t>
      </w:r>
      <w:r w:rsidR="000C480A" w:rsidRPr="00713B0B">
        <w:t>Figura</w:t>
      </w:r>
      <w:r w:rsidR="00824C15">
        <w:t> </w:t>
      </w:r>
      <w:r w:rsidRPr="00713B0B">
        <w:t>1).</w:t>
      </w:r>
    </w:p>
    <w:p w14:paraId="6AE6351F" w14:textId="77777777" w:rsidR="005A715D" w:rsidRPr="00713B0B" w:rsidRDefault="005A715D" w:rsidP="000C480A">
      <w:pPr>
        <w:pStyle w:val="FigureNoBR"/>
        <w:rPr>
          <w:b/>
        </w:rPr>
      </w:pPr>
      <w:r w:rsidRPr="00713B0B">
        <w:lastRenderedPageBreak/>
        <w:t>Figura 1</w:t>
      </w:r>
    </w:p>
    <w:p w14:paraId="1C90CA98" w14:textId="77777777" w:rsidR="005A715D" w:rsidRPr="00713B0B" w:rsidRDefault="005A715D" w:rsidP="00A30E39">
      <w:pPr>
        <w:pStyle w:val="FiguretitleBR"/>
        <w:keepNext/>
        <w:spacing w:after="120"/>
        <w:rPr>
          <w:sz w:val="22"/>
          <w:szCs w:val="22"/>
        </w:rPr>
      </w:pPr>
      <w:r w:rsidRPr="00713B0B">
        <w:rPr>
          <w:sz w:val="22"/>
          <w:szCs w:val="22"/>
        </w:rPr>
        <w:t xml:space="preserve">Participación general media en reuniones de Comisiones de </w:t>
      </w:r>
      <w:r w:rsidRPr="00713B0B">
        <w:rPr>
          <w:sz w:val="22"/>
          <w:szCs w:val="22"/>
        </w:rPr>
        <w:br/>
        <w:t>Estudio/Grupos de Trabajo del UIT-R por año desde 2003</w:t>
      </w:r>
    </w:p>
    <w:p w14:paraId="50B1FE8F" w14:textId="77777777" w:rsidR="000C480A" w:rsidRPr="00921CBB" w:rsidRDefault="000C480A" w:rsidP="000C480A">
      <w:pPr>
        <w:pStyle w:val="Figure"/>
      </w:pPr>
      <w:r w:rsidRPr="00921CBB">
        <w:rPr>
          <w:noProof/>
          <w:lang w:eastAsia="zh-CN"/>
        </w:rPr>
        <w:drawing>
          <wp:inline distT="0" distB="0" distL="0" distR="0" wp14:anchorId="577F91E8" wp14:editId="65A6FBC5">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859289" w14:textId="539F7263" w:rsidR="005A715D" w:rsidRPr="000C480A" w:rsidRDefault="005A715D" w:rsidP="000C480A">
      <w:pPr>
        <w:pStyle w:val="Figurelegend"/>
        <w:tabs>
          <w:tab w:val="left" w:pos="426"/>
        </w:tabs>
      </w:pPr>
      <w:r w:rsidRPr="000C480A">
        <w:t>*</w:t>
      </w:r>
      <w:r w:rsidR="000C480A" w:rsidRPr="000C480A">
        <w:tab/>
      </w:r>
      <w:r w:rsidRPr="000C480A">
        <w:t xml:space="preserve">Los valores más altos corresponden a los años en los que hay menos </w:t>
      </w:r>
      <w:r w:rsidR="006239F0" w:rsidRPr="000C480A">
        <w:t>reuniones,</w:t>
      </w:r>
      <w:r w:rsidRPr="000C480A">
        <w:t xml:space="preserve"> pero un mayor número de participantes,</w:t>
      </w:r>
      <w:r w:rsidR="000C480A" w:rsidRPr="000C480A">
        <w:t xml:space="preserve"> </w:t>
      </w:r>
      <w:r w:rsidRPr="000C480A">
        <w:t>como la RPC-2.</w:t>
      </w:r>
    </w:p>
    <w:p w14:paraId="53537187" w14:textId="1B5670B9" w:rsidR="005A715D" w:rsidRPr="000C480A" w:rsidRDefault="005A715D" w:rsidP="000C480A">
      <w:pPr>
        <w:pStyle w:val="Figurelegend"/>
        <w:tabs>
          <w:tab w:val="left" w:pos="426"/>
        </w:tabs>
      </w:pPr>
      <w:r w:rsidRPr="000C480A">
        <w:t>**</w:t>
      </w:r>
      <w:r w:rsidR="000C480A" w:rsidRPr="000C480A">
        <w:tab/>
      </w:r>
      <w:r w:rsidRPr="000C480A">
        <w:t>Los valores más elevados corresponden al año en el que la mayoría de las reuniones se celebraron por medios electrónicos.</w:t>
      </w:r>
    </w:p>
    <w:p w14:paraId="43372721" w14:textId="77777777" w:rsidR="005A715D" w:rsidRPr="00713B0B" w:rsidRDefault="005A715D" w:rsidP="005A715D">
      <w:pPr>
        <w:pStyle w:val="Heading1"/>
      </w:pPr>
      <w:r w:rsidRPr="00713B0B">
        <w:t>5</w:t>
      </w:r>
      <w:r w:rsidRPr="00713B0B">
        <w:tab/>
        <w:t>Salas de reunión</w:t>
      </w:r>
    </w:p>
    <w:p w14:paraId="35E4E3B9" w14:textId="77777777" w:rsidR="005A715D" w:rsidRPr="00713B0B" w:rsidRDefault="005A715D" w:rsidP="005A715D">
      <w:pPr>
        <w:keepNext/>
        <w:keepLines/>
      </w:pPr>
      <w:r w:rsidRPr="00713B0B">
        <w:t>La escasez de salas de reunión en la Sede de la UIT sigue presentando serios problemas para la planificación eficaz de las reuniones. Este problema se ha visto agravado por los siguientes factores:</w:t>
      </w:r>
    </w:p>
    <w:p w14:paraId="2900F5AB" w14:textId="77777777" w:rsidR="005A715D" w:rsidRPr="00713B0B" w:rsidRDefault="005A715D" w:rsidP="005A715D">
      <w:pPr>
        <w:pStyle w:val="enumlev1"/>
      </w:pPr>
      <w:r w:rsidRPr="00713B0B">
        <w:t>–</w:t>
      </w:r>
      <w:r w:rsidRPr="00713B0B">
        <w:tab/>
        <w:t>el creciente número de reuniones previstas por los tres Sectores y la Secretaría General;</w:t>
      </w:r>
    </w:p>
    <w:p w14:paraId="24DD6336" w14:textId="77777777" w:rsidR="005A715D" w:rsidRPr="00713B0B" w:rsidRDefault="005A715D" w:rsidP="005A715D">
      <w:pPr>
        <w:pStyle w:val="enumlev1"/>
      </w:pPr>
      <w:r w:rsidRPr="00713B0B">
        <w:t>–</w:t>
      </w:r>
      <w:r w:rsidRPr="00713B0B">
        <w:tab/>
        <w:t>la escasez de salas de reunión con aforo de más de 120 participantes;</w:t>
      </w:r>
    </w:p>
    <w:p w14:paraId="5C33CA09" w14:textId="77777777" w:rsidR="005A715D" w:rsidRPr="00713B0B" w:rsidRDefault="005A715D" w:rsidP="005A715D">
      <w:pPr>
        <w:pStyle w:val="enumlev1"/>
      </w:pPr>
      <w:r w:rsidRPr="00713B0B">
        <w:t>–</w:t>
      </w:r>
      <w:r w:rsidRPr="00713B0B">
        <w:tab/>
        <w:t>la necesidad de evitar que las fechas de las reuniones se solapen o coincidan con las de otras;</w:t>
      </w:r>
    </w:p>
    <w:p w14:paraId="49DA96AF" w14:textId="77777777" w:rsidR="005A715D" w:rsidRPr="00713B0B" w:rsidRDefault="005A715D" w:rsidP="005A715D">
      <w:pPr>
        <w:pStyle w:val="enumlev1"/>
      </w:pPr>
      <w:r w:rsidRPr="00713B0B">
        <w:t>–</w:t>
      </w:r>
      <w:r w:rsidRPr="00713B0B">
        <w:tab/>
        <w:t>la limitada disponibilidad y la gran antelación necesaria para reservar instalaciones;</w:t>
      </w:r>
    </w:p>
    <w:p w14:paraId="61D38220" w14:textId="370156C1" w:rsidR="005A715D" w:rsidRPr="00713B0B" w:rsidRDefault="005A715D" w:rsidP="000C480A">
      <w:pPr>
        <w:pStyle w:val="enumlev1"/>
      </w:pPr>
      <w:r w:rsidRPr="00713B0B">
        <w:t>–</w:t>
      </w:r>
      <w:r w:rsidRPr="00713B0B">
        <w:tab/>
      </w:r>
      <w:bookmarkStart w:id="21" w:name="lt_pId088"/>
      <w:r w:rsidRPr="00713B0B">
        <w:t xml:space="preserve">la </w:t>
      </w:r>
      <w:r w:rsidRPr="000C480A">
        <w:t>demolición</w:t>
      </w:r>
      <w:r w:rsidRPr="00713B0B">
        <w:t xml:space="preserve"> del edificio Varembé y la construcción del nuevo edificio de la UIT tendrán consecuencias para un gran número de salas de reunión, pues durante la demolición las salas de reunión de los edificios </w:t>
      </w:r>
      <w:r w:rsidR="000C480A">
        <w:t xml:space="preserve">de la </w:t>
      </w:r>
      <w:r w:rsidRPr="00713B0B">
        <w:t>Torre y Montbrillant no podrán utilizarse debido al ruido.</w:t>
      </w:r>
      <w:bookmarkEnd w:id="21"/>
    </w:p>
    <w:p w14:paraId="0A33FB91" w14:textId="00B6B561" w:rsidR="005A715D" w:rsidRPr="00713B0B" w:rsidRDefault="005A715D" w:rsidP="005A715D">
      <w:pPr>
        <w:rPr>
          <w:sz w:val="22"/>
        </w:rPr>
      </w:pPr>
      <w:r w:rsidRPr="00713B0B">
        <w:t xml:space="preserve">Por consiguiente, en los próximos años será necesario celebrar un mayor número de reuniones fuera de la Sede de la UIT – combinando la participación a distancia con la participación presencial. A tal efecto, durante este periodo, si la situación derivada de la pandemia lo permite, se agradecerán especialmente las ofertas de los </w:t>
      </w:r>
      <w:r w:rsidR="000C480A">
        <w:t>m</w:t>
      </w:r>
      <w:r w:rsidRPr="00713B0B">
        <w:t>iembros para acoger reuniones de CE/GT.</w:t>
      </w:r>
    </w:p>
    <w:p w14:paraId="07469969" w14:textId="77777777" w:rsidR="005A715D" w:rsidRPr="00713B0B" w:rsidRDefault="005A715D" w:rsidP="005A715D">
      <w:pPr>
        <w:pStyle w:val="Heading1"/>
      </w:pPr>
      <w:r w:rsidRPr="00713B0B">
        <w:lastRenderedPageBreak/>
        <w:t>6</w:t>
      </w:r>
      <w:r w:rsidRPr="00713B0B">
        <w:tab/>
        <w:t>Actividades de las Comisiones de Estudio</w:t>
      </w:r>
    </w:p>
    <w:p w14:paraId="3A77F94F" w14:textId="7C59092D" w:rsidR="005A715D" w:rsidRPr="00713B0B" w:rsidRDefault="005A715D" w:rsidP="00824C15">
      <w:pPr>
        <w:spacing w:after="120"/>
      </w:pPr>
      <w:r w:rsidRPr="00713B0B">
        <w:t>A continuación, se describen algunas de las actividades realizadas por cada CE. En el siguiente Cuadro se resume la situación de los estudios realizados por las CE del UIT-R desde el GAR-21, así como la producción de Recomendaciones UIT-R e Informes UIT-R aprobados desde entonces.</w:t>
      </w:r>
    </w:p>
    <w:tbl>
      <w:tblPr>
        <w:tblStyle w:val="TableGrid1"/>
        <w:tblW w:w="5000" w:type="pct"/>
        <w:jc w:val="center"/>
        <w:tblLook w:val="04A0" w:firstRow="1" w:lastRow="0" w:firstColumn="1" w:lastColumn="0" w:noHBand="0" w:noVBand="1"/>
      </w:tblPr>
      <w:tblGrid>
        <w:gridCol w:w="1115"/>
        <w:gridCol w:w="2506"/>
        <w:gridCol w:w="2393"/>
        <w:gridCol w:w="1274"/>
        <w:gridCol w:w="2341"/>
      </w:tblGrid>
      <w:tr w:rsidR="005A715D" w:rsidRPr="00713B0B" w14:paraId="08AD04CB" w14:textId="77777777" w:rsidTr="00DE3F34">
        <w:trPr>
          <w:trHeight w:val="287"/>
          <w:tblHeader/>
          <w:jc w:val="center"/>
        </w:trPr>
        <w:tc>
          <w:tcPr>
            <w:tcW w:w="1115" w:type="dxa"/>
            <w:vMerge w:val="restart"/>
            <w:tcBorders>
              <w:right w:val="single" w:sz="4" w:space="0" w:color="000000"/>
            </w:tcBorders>
            <w:shd w:val="clear" w:color="auto" w:fill="DBE5F1" w:themeFill="accent1" w:themeFillTint="33"/>
          </w:tcPr>
          <w:p w14:paraId="27A40CF7" w14:textId="77777777" w:rsidR="005A715D" w:rsidRPr="00713B0B" w:rsidRDefault="005A715D" w:rsidP="00DE3F34">
            <w:pPr>
              <w:pStyle w:val="Tablehead"/>
            </w:pPr>
            <w:r w:rsidRPr="00713B0B">
              <w:t>Comisión de Estudio</w:t>
            </w:r>
          </w:p>
        </w:tc>
        <w:tc>
          <w:tcPr>
            <w:tcW w:w="6173" w:type="dxa"/>
            <w:gridSpan w:val="3"/>
            <w:tcBorders>
              <w:left w:val="single" w:sz="4" w:space="0" w:color="000000"/>
            </w:tcBorders>
            <w:shd w:val="clear" w:color="auto" w:fill="DBE5F1" w:themeFill="accent1" w:themeFillTint="33"/>
          </w:tcPr>
          <w:p w14:paraId="5B921B39" w14:textId="77777777" w:rsidR="005A715D" w:rsidRPr="00713B0B" w:rsidRDefault="005A715D" w:rsidP="00DE3F34">
            <w:pPr>
              <w:pStyle w:val="Tablehead"/>
            </w:pPr>
            <w:r w:rsidRPr="00713B0B">
              <w:t>Situación de los estudios</w:t>
            </w:r>
          </w:p>
        </w:tc>
        <w:tc>
          <w:tcPr>
            <w:tcW w:w="2341" w:type="dxa"/>
            <w:tcBorders>
              <w:left w:val="single" w:sz="4" w:space="0" w:color="000000"/>
            </w:tcBorders>
            <w:shd w:val="clear" w:color="auto" w:fill="DBE5F1" w:themeFill="accent1" w:themeFillTint="33"/>
          </w:tcPr>
          <w:p w14:paraId="0F2B3C17" w14:textId="77777777" w:rsidR="005A715D" w:rsidRPr="00713B0B" w:rsidRDefault="005A715D" w:rsidP="005A715D">
            <w:pPr>
              <w:pStyle w:val="Tablehead"/>
            </w:pPr>
          </w:p>
        </w:tc>
      </w:tr>
      <w:tr w:rsidR="005A715D" w:rsidRPr="00713B0B" w14:paraId="12F73D9C" w14:textId="77777777" w:rsidTr="00DE3F34">
        <w:trPr>
          <w:trHeight w:val="270"/>
          <w:tblHeader/>
          <w:jc w:val="center"/>
        </w:trPr>
        <w:tc>
          <w:tcPr>
            <w:tcW w:w="1115" w:type="dxa"/>
            <w:vMerge/>
            <w:tcBorders>
              <w:bottom w:val="single" w:sz="4" w:space="0" w:color="000000"/>
              <w:right w:val="single" w:sz="4" w:space="0" w:color="000000"/>
            </w:tcBorders>
            <w:shd w:val="clear" w:color="auto" w:fill="DBE5F1" w:themeFill="accent1" w:themeFillTint="33"/>
            <w:vAlign w:val="center"/>
          </w:tcPr>
          <w:p w14:paraId="709D8954" w14:textId="77777777" w:rsidR="005A715D" w:rsidRPr="00713B0B" w:rsidDel="00A14716" w:rsidRDefault="005A715D" w:rsidP="005A715D">
            <w:pPr>
              <w:pStyle w:val="Tablehead"/>
            </w:pPr>
          </w:p>
        </w:tc>
        <w:tc>
          <w:tcPr>
            <w:tcW w:w="2506" w:type="dxa"/>
            <w:tcBorders>
              <w:left w:val="single" w:sz="4" w:space="0" w:color="000000"/>
            </w:tcBorders>
            <w:shd w:val="clear" w:color="auto" w:fill="DBE5F1" w:themeFill="accent1" w:themeFillTint="33"/>
          </w:tcPr>
          <w:p w14:paraId="66AA5473" w14:textId="4EAB830B" w:rsidR="005A715D" w:rsidRPr="00713B0B" w:rsidRDefault="005A715D" w:rsidP="00DE3F34">
            <w:pPr>
              <w:pStyle w:val="Tablehead"/>
            </w:pPr>
            <w:r w:rsidRPr="00713B0B">
              <w:t>Recomendaciones UIT</w:t>
            </w:r>
            <w:r w:rsidR="00DE3F34">
              <w:noBreakHyphen/>
            </w:r>
            <w:r w:rsidRPr="00713B0B">
              <w:t>R aprobadas</w:t>
            </w:r>
          </w:p>
        </w:tc>
        <w:tc>
          <w:tcPr>
            <w:tcW w:w="2393" w:type="dxa"/>
            <w:tcBorders>
              <w:left w:val="single" w:sz="4" w:space="0" w:color="000000"/>
            </w:tcBorders>
            <w:shd w:val="clear" w:color="auto" w:fill="DBE5F1" w:themeFill="accent1" w:themeFillTint="33"/>
          </w:tcPr>
          <w:p w14:paraId="2F76A036" w14:textId="77777777" w:rsidR="005A715D" w:rsidRPr="00713B0B" w:rsidRDefault="005A715D" w:rsidP="00DE3F34">
            <w:pPr>
              <w:pStyle w:val="Tablehead"/>
            </w:pPr>
            <w:r w:rsidRPr="00713B0B">
              <w:t>Informes UIT-R aprobados</w:t>
            </w:r>
          </w:p>
        </w:tc>
        <w:tc>
          <w:tcPr>
            <w:tcW w:w="1274" w:type="dxa"/>
            <w:tcBorders>
              <w:left w:val="single" w:sz="4" w:space="0" w:color="000000"/>
            </w:tcBorders>
            <w:shd w:val="clear" w:color="auto" w:fill="DBE5F1" w:themeFill="accent1" w:themeFillTint="33"/>
          </w:tcPr>
          <w:p w14:paraId="74ED08B0" w14:textId="77777777" w:rsidR="005A715D" w:rsidRPr="00713B0B" w:rsidRDefault="005A715D" w:rsidP="00DE3F34">
            <w:pPr>
              <w:pStyle w:val="Tablehead"/>
            </w:pPr>
            <w:r w:rsidRPr="00713B0B">
              <w:t>Cuestiones UIT-R aprobadas</w:t>
            </w:r>
          </w:p>
        </w:tc>
        <w:tc>
          <w:tcPr>
            <w:tcW w:w="2341" w:type="dxa"/>
            <w:tcBorders>
              <w:left w:val="single" w:sz="4" w:space="0" w:color="000000"/>
            </w:tcBorders>
            <w:shd w:val="clear" w:color="auto" w:fill="DBE5F1" w:themeFill="accent1" w:themeFillTint="33"/>
          </w:tcPr>
          <w:p w14:paraId="4473364F" w14:textId="1EA2E6FA" w:rsidR="005A715D" w:rsidRPr="00713B0B" w:rsidRDefault="005A715D" w:rsidP="00DE3F34">
            <w:pPr>
              <w:pStyle w:val="Tablehead"/>
            </w:pPr>
            <w:bookmarkStart w:id="22" w:name="lt_pId100"/>
            <w:r w:rsidRPr="00713B0B">
              <w:t>Manuales UIT-R aprobados</w:t>
            </w:r>
            <w:bookmarkEnd w:id="22"/>
          </w:p>
        </w:tc>
      </w:tr>
      <w:tr w:rsidR="005A715D" w:rsidRPr="00713B0B" w14:paraId="132A30D1" w14:textId="77777777" w:rsidTr="00DE3F34">
        <w:trPr>
          <w:trHeight w:val="270"/>
          <w:jc w:val="center"/>
        </w:trPr>
        <w:tc>
          <w:tcPr>
            <w:tcW w:w="1115" w:type="dxa"/>
            <w:tcBorders>
              <w:right w:val="single" w:sz="4" w:space="0" w:color="000000"/>
            </w:tcBorders>
            <w:shd w:val="clear" w:color="auto" w:fill="auto"/>
          </w:tcPr>
          <w:p w14:paraId="32033309" w14:textId="73C24AB7" w:rsidR="005A715D" w:rsidRPr="00DE3F34" w:rsidDel="00A14716" w:rsidRDefault="005A715D" w:rsidP="00DE3F34">
            <w:pPr>
              <w:pStyle w:val="Tabletext"/>
              <w:jc w:val="center"/>
              <w:rPr>
                <w:b/>
                <w:bCs/>
              </w:rPr>
            </w:pPr>
            <w:r w:rsidRPr="00DE3F34">
              <w:rPr>
                <w:b/>
                <w:bCs/>
              </w:rPr>
              <w:t>CE</w:t>
            </w:r>
            <w:r w:rsidR="00F61563">
              <w:rPr>
                <w:b/>
                <w:bCs/>
              </w:rPr>
              <w:t> </w:t>
            </w:r>
            <w:r w:rsidRPr="00DE3F34">
              <w:rPr>
                <w:b/>
                <w:bCs/>
              </w:rPr>
              <w:t>1</w:t>
            </w:r>
          </w:p>
        </w:tc>
        <w:tc>
          <w:tcPr>
            <w:tcW w:w="2506" w:type="dxa"/>
            <w:tcBorders>
              <w:left w:val="single" w:sz="4" w:space="0" w:color="000000"/>
            </w:tcBorders>
            <w:shd w:val="clear" w:color="auto" w:fill="auto"/>
          </w:tcPr>
          <w:p w14:paraId="3FC99DF0" w14:textId="2D4C9A82" w:rsidR="005A715D" w:rsidRPr="00713B0B" w:rsidRDefault="00DE3F34" w:rsidP="00DE3F34">
            <w:pPr>
              <w:pStyle w:val="Tabletext"/>
            </w:pPr>
            <w:r w:rsidRPr="00DE3F34">
              <w:rPr>
                <w:lang w:val="en-GB" w:eastAsia="ja-JP"/>
              </w:rPr>
              <w:t>SM.2140-0, SM.2139-0, SM.575</w:t>
            </w:r>
            <w:r>
              <w:rPr>
                <w:lang w:val="en-GB" w:eastAsia="ja-JP"/>
              </w:rPr>
              <w:noBreakHyphen/>
            </w:r>
            <w:r w:rsidRPr="00DE3F34">
              <w:rPr>
                <w:lang w:val="en-GB" w:eastAsia="ja-JP"/>
              </w:rPr>
              <w:t>3</w:t>
            </w:r>
          </w:p>
        </w:tc>
        <w:tc>
          <w:tcPr>
            <w:tcW w:w="2393" w:type="dxa"/>
            <w:tcBorders>
              <w:left w:val="single" w:sz="4" w:space="0" w:color="000000"/>
            </w:tcBorders>
            <w:shd w:val="clear" w:color="auto" w:fill="auto"/>
          </w:tcPr>
          <w:p w14:paraId="34BCC679" w14:textId="034522EF" w:rsidR="005A715D" w:rsidRPr="00713B0B" w:rsidRDefault="00DE3F34" w:rsidP="00503B16">
            <w:pPr>
              <w:pStyle w:val="Tabletext"/>
            </w:pPr>
            <w:r w:rsidRPr="00DE3F34">
              <w:rPr>
                <w:lang w:eastAsia="ja-JP"/>
              </w:rPr>
              <w:t>SM.2486-0, SM.2392</w:t>
            </w:r>
            <w:r>
              <w:rPr>
                <w:lang w:eastAsia="ja-JP"/>
              </w:rPr>
              <w:noBreakHyphen/>
            </w:r>
            <w:r w:rsidRPr="00DE3F34">
              <w:rPr>
                <w:lang w:eastAsia="ja-JP"/>
              </w:rPr>
              <w:t>1, SM.2351</w:t>
            </w:r>
            <w:r>
              <w:rPr>
                <w:lang w:eastAsia="ja-JP"/>
              </w:rPr>
              <w:noBreakHyphen/>
            </w:r>
            <w:r w:rsidRPr="00DE3F34">
              <w:rPr>
                <w:lang w:eastAsia="ja-JP"/>
              </w:rPr>
              <w:t>3, SM.2303</w:t>
            </w:r>
            <w:r>
              <w:rPr>
                <w:lang w:eastAsia="ja-JP"/>
              </w:rPr>
              <w:noBreakHyphen/>
            </w:r>
            <w:r w:rsidRPr="00DE3F34">
              <w:rPr>
                <w:lang w:eastAsia="ja-JP"/>
              </w:rPr>
              <w:t>3, SM.2153</w:t>
            </w:r>
            <w:r>
              <w:rPr>
                <w:lang w:eastAsia="ja-JP"/>
              </w:rPr>
              <w:noBreakHyphen/>
            </w:r>
            <w:r w:rsidRPr="00DE3F34">
              <w:rPr>
                <w:lang w:eastAsia="ja-JP"/>
              </w:rPr>
              <w:t>8, SM.2093</w:t>
            </w:r>
            <w:r>
              <w:rPr>
                <w:lang w:eastAsia="ja-JP"/>
              </w:rPr>
              <w:t>-</w:t>
            </w:r>
            <w:r w:rsidRPr="00DE3F34">
              <w:rPr>
                <w:lang w:eastAsia="ja-JP"/>
              </w:rPr>
              <w:t>4</w:t>
            </w:r>
          </w:p>
        </w:tc>
        <w:tc>
          <w:tcPr>
            <w:tcW w:w="1274" w:type="dxa"/>
            <w:tcBorders>
              <w:left w:val="single" w:sz="4" w:space="0" w:color="000000"/>
            </w:tcBorders>
            <w:shd w:val="clear" w:color="auto" w:fill="auto"/>
          </w:tcPr>
          <w:p w14:paraId="4916D1F8" w14:textId="77777777" w:rsidR="005A715D" w:rsidRPr="00713B0B" w:rsidRDefault="005A715D" w:rsidP="005A715D">
            <w:pPr>
              <w:pStyle w:val="Tabletext"/>
            </w:pPr>
            <w:r w:rsidRPr="00713B0B">
              <w:rPr>
                <w:sz w:val="20"/>
              </w:rPr>
              <w:t>242/1</w:t>
            </w:r>
          </w:p>
        </w:tc>
        <w:tc>
          <w:tcPr>
            <w:tcW w:w="2341" w:type="dxa"/>
            <w:tcBorders>
              <w:left w:val="single" w:sz="4" w:space="0" w:color="000000"/>
            </w:tcBorders>
          </w:tcPr>
          <w:p w14:paraId="0B81F1E9" w14:textId="77777777" w:rsidR="005A715D" w:rsidRPr="00713B0B" w:rsidRDefault="005A715D" w:rsidP="005A715D">
            <w:pPr>
              <w:pStyle w:val="Tabletext"/>
            </w:pPr>
          </w:p>
        </w:tc>
      </w:tr>
      <w:tr w:rsidR="005A715D" w:rsidRPr="00713B0B" w14:paraId="733E7A02" w14:textId="77777777" w:rsidTr="00DE3F34">
        <w:trPr>
          <w:trHeight w:val="270"/>
          <w:jc w:val="center"/>
        </w:trPr>
        <w:tc>
          <w:tcPr>
            <w:tcW w:w="1115" w:type="dxa"/>
            <w:tcBorders>
              <w:right w:val="single" w:sz="4" w:space="0" w:color="000000"/>
            </w:tcBorders>
            <w:shd w:val="clear" w:color="auto" w:fill="auto"/>
          </w:tcPr>
          <w:p w14:paraId="549F8C1B" w14:textId="001B4335" w:rsidR="005A715D" w:rsidRPr="00DE3F34" w:rsidDel="00A14716" w:rsidRDefault="005A715D" w:rsidP="00DE3F34">
            <w:pPr>
              <w:pStyle w:val="Tabletext"/>
              <w:jc w:val="center"/>
              <w:rPr>
                <w:b/>
                <w:bCs/>
              </w:rPr>
            </w:pPr>
            <w:r w:rsidRPr="00DE3F34">
              <w:rPr>
                <w:b/>
                <w:bCs/>
              </w:rPr>
              <w:t>CE</w:t>
            </w:r>
            <w:r w:rsidR="00F61563">
              <w:rPr>
                <w:b/>
                <w:bCs/>
              </w:rPr>
              <w:t> </w:t>
            </w:r>
            <w:r w:rsidRPr="00DE3F34">
              <w:rPr>
                <w:b/>
                <w:bCs/>
              </w:rPr>
              <w:t>3</w:t>
            </w:r>
          </w:p>
        </w:tc>
        <w:tc>
          <w:tcPr>
            <w:tcW w:w="2506" w:type="dxa"/>
            <w:tcBorders>
              <w:left w:val="single" w:sz="4" w:space="0" w:color="000000"/>
            </w:tcBorders>
            <w:shd w:val="clear" w:color="auto" w:fill="auto"/>
            <w:vAlign w:val="center"/>
          </w:tcPr>
          <w:p w14:paraId="07CEBAE8" w14:textId="5B8C8430" w:rsidR="005A715D" w:rsidRPr="00713B0B" w:rsidRDefault="00DE3F34" w:rsidP="00DE3F34">
            <w:pPr>
              <w:pStyle w:val="Tabletext"/>
            </w:pPr>
            <w:r w:rsidRPr="008F0E4A">
              <w:t>P.2108-1, P.2040-2, P.2001-4, P.1812-6, P.1411-11, P.1409</w:t>
            </w:r>
            <w:r w:rsidRPr="008F0E4A">
              <w:noBreakHyphen/>
              <w:t>2, P.1407-8, P.1238</w:t>
            </w:r>
            <w:r w:rsidRPr="008F0E4A">
              <w:noBreakHyphen/>
              <w:t>11, P.1144-11, P.833</w:t>
            </w:r>
            <w:r w:rsidRPr="008F0E4A">
              <w:noBreakHyphen/>
              <w:t>10, P.619-5, P.534-6, P.530</w:t>
            </w:r>
            <w:r w:rsidRPr="008F0E4A">
              <w:noBreakHyphen/>
              <w:t>18, P.528-5, P.527</w:t>
            </w:r>
            <w:r w:rsidRPr="008F0E4A">
              <w:noBreakHyphen/>
              <w:t>6, P.452-17, P.372</w:t>
            </w:r>
            <w:r w:rsidRPr="008F0E4A">
              <w:noBreakHyphen/>
              <w:t>15, P.311-18</w:t>
            </w:r>
          </w:p>
        </w:tc>
        <w:tc>
          <w:tcPr>
            <w:tcW w:w="2393" w:type="dxa"/>
            <w:tcBorders>
              <w:left w:val="single" w:sz="4" w:space="0" w:color="000000"/>
            </w:tcBorders>
            <w:shd w:val="clear" w:color="auto" w:fill="auto"/>
          </w:tcPr>
          <w:p w14:paraId="20E51A9E" w14:textId="651DAE9D" w:rsidR="005A715D" w:rsidRPr="00713B0B" w:rsidRDefault="00DE3F34" w:rsidP="00DE3F34">
            <w:pPr>
              <w:pStyle w:val="Tabletext"/>
            </w:pPr>
            <w:r w:rsidRPr="00DE3F34">
              <w:rPr>
                <w:lang w:val="en-GB"/>
              </w:rPr>
              <w:t>P.2406-2, P.2346</w:t>
            </w:r>
            <w:r w:rsidRPr="00DE3F34">
              <w:rPr>
                <w:lang w:val="en-GB"/>
              </w:rPr>
              <w:noBreakHyphen/>
              <w:t>4</w:t>
            </w:r>
          </w:p>
        </w:tc>
        <w:tc>
          <w:tcPr>
            <w:tcW w:w="1274" w:type="dxa"/>
            <w:tcBorders>
              <w:left w:val="single" w:sz="4" w:space="0" w:color="000000"/>
            </w:tcBorders>
            <w:shd w:val="clear" w:color="auto" w:fill="auto"/>
          </w:tcPr>
          <w:p w14:paraId="103AEC0E" w14:textId="77777777" w:rsidR="005A715D" w:rsidRPr="00713B0B" w:rsidRDefault="005A715D" w:rsidP="005A715D">
            <w:pPr>
              <w:pStyle w:val="Tabletext"/>
            </w:pPr>
          </w:p>
        </w:tc>
        <w:tc>
          <w:tcPr>
            <w:tcW w:w="2341" w:type="dxa"/>
            <w:tcBorders>
              <w:left w:val="single" w:sz="4" w:space="0" w:color="000000"/>
            </w:tcBorders>
          </w:tcPr>
          <w:p w14:paraId="3F7E8198" w14:textId="77777777" w:rsidR="005A715D" w:rsidRPr="00713B0B" w:rsidRDefault="005A715D" w:rsidP="005A715D">
            <w:pPr>
              <w:pStyle w:val="Tabletext"/>
            </w:pPr>
          </w:p>
        </w:tc>
      </w:tr>
      <w:tr w:rsidR="005A715D" w:rsidRPr="00713B0B" w14:paraId="2EC3FF5F" w14:textId="77777777" w:rsidTr="00DE3F34">
        <w:trPr>
          <w:trHeight w:val="270"/>
          <w:jc w:val="center"/>
        </w:trPr>
        <w:tc>
          <w:tcPr>
            <w:tcW w:w="1115" w:type="dxa"/>
            <w:tcBorders>
              <w:right w:val="single" w:sz="4" w:space="0" w:color="000000"/>
            </w:tcBorders>
            <w:shd w:val="clear" w:color="auto" w:fill="auto"/>
          </w:tcPr>
          <w:p w14:paraId="3EDB9E1B" w14:textId="4EB5BAAC" w:rsidR="005A715D" w:rsidRPr="00DE3F34" w:rsidDel="00A14716" w:rsidRDefault="005A715D" w:rsidP="00DE3F34">
            <w:pPr>
              <w:pStyle w:val="Tabletext"/>
              <w:jc w:val="center"/>
              <w:rPr>
                <w:b/>
                <w:bCs/>
              </w:rPr>
            </w:pPr>
            <w:r w:rsidRPr="00DE3F34">
              <w:rPr>
                <w:b/>
                <w:bCs/>
              </w:rPr>
              <w:t>CE</w:t>
            </w:r>
            <w:r w:rsidR="00F61563">
              <w:rPr>
                <w:b/>
                <w:bCs/>
              </w:rPr>
              <w:t> </w:t>
            </w:r>
            <w:r w:rsidRPr="00DE3F34">
              <w:rPr>
                <w:b/>
                <w:bCs/>
              </w:rPr>
              <w:t>4</w:t>
            </w:r>
          </w:p>
        </w:tc>
        <w:tc>
          <w:tcPr>
            <w:tcW w:w="2506" w:type="dxa"/>
            <w:tcBorders>
              <w:left w:val="single" w:sz="4" w:space="0" w:color="000000" w:themeColor="text1"/>
            </w:tcBorders>
            <w:shd w:val="clear" w:color="auto" w:fill="auto"/>
          </w:tcPr>
          <w:p w14:paraId="0A4D438F" w14:textId="38456175" w:rsidR="005A715D" w:rsidRPr="00713B0B" w:rsidRDefault="00DE3F34" w:rsidP="00DE3F34">
            <w:pPr>
              <w:pStyle w:val="Tabletext"/>
            </w:pPr>
            <w:r w:rsidRPr="00DE3F34">
              <w:rPr>
                <w:lang w:val="en-GB"/>
              </w:rPr>
              <w:t>M.1902-2, M.1901-3, M.1787-4, S.2131-1, S.1714-1</w:t>
            </w:r>
          </w:p>
        </w:tc>
        <w:tc>
          <w:tcPr>
            <w:tcW w:w="2393" w:type="dxa"/>
            <w:tcBorders>
              <w:left w:val="single" w:sz="4" w:space="0" w:color="000000" w:themeColor="text1"/>
            </w:tcBorders>
            <w:shd w:val="clear" w:color="auto" w:fill="auto"/>
          </w:tcPr>
          <w:p w14:paraId="51257EF1" w14:textId="1FC44BF0" w:rsidR="005A715D" w:rsidRPr="00713B0B" w:rsidRDefault="00DE3F34" w:rsidP="00DE3F34">
            <w:pPr>
              <w:pStyle w:val="Tabletext"/>
            </w:pPr>
            <w:r w:rsidRPr="00DE3F34">
              <w:rPr>
                <w:lang w:val="en-GB"/>
              </w:rPr>
              <w:t>BO.2497-0, M.2496-0, M.2220-1</w:t>
            </w:r>
          </w:p>
        </w:tc>
        <w:tc>
          <w:tcPr>
            <w:tcW w:w="1274" w:type="dxa"/>
            <w:tcBorders>
              <w:left w:val="single" w:sz="4" w:space="0" w:color="000000"/>
            </w:tcBorders>
            <w:shd w:val="clear" w:color="auto" w:fill="auto"/>
          </w:tcPr>
          <w:p w14:paraId="2683D405" w14:textId="77777777" w:rsidR="005A715D" w:rsidRPr="00713B0B" w:rsidRDefault="005A715D" w:rsidP="005A715D">
            <w:pPr>
              <w:pStyle w:val="Tabletext"/>
            </w:pPr>
          </w:p>
        </w:tc>
        <w:tc>
          <w:tcPr>
            <w:tcW w:w="2341" w:type="dxa"/>
            <w:tcBorders>
              <w:left w:val="single" w:sz="4" w:space="0" w:color="000000"/>
            </w:tcBorders>
          </w:tcPr>
          <w:p w14:paraId="2A698FF2" w14:textId="77777777" w:rsidR="005A715D" w:rsidRPr="00713B0B" w:rsidRDefault="005A715D" w:rsidP="005A715D">
            <w:pPr>
              <w:pStyle w:val="Tabletext"/>
            </w:pPr>
          </w:p>
        </w:tc>
      </w:tr>
      <w:tr w:rsidR="005A715D" w:rsidRPr="00713B0B" w14:paraId="000C5743" w14:textId="77777777" w:rsidTr="00DE3F34">
        <w:trPr>
          <w:trHeight w:val="270"/>
          <w:jc w:val="center"/>
        </w:trPr>
        <w:tc>
          <w:tcPr>
            <w:tcW w:w="1115" w:type="dxa"/>
            <w:tcBorders>
              <w:right w:val="single" w:sz="4" w:space="0" w:color="000000"/>
            </w:tcBorders>
            <w:shd w:val="clear" w:color="auto" w:fill="auto"/>
          </w:tcPr>
          <w:p w14:paraId="3028ABCA" w14:textId="1B32D240" w:rsidR="005A715D" w:rsidRPr="00DE3F34" w:rsidDel="00A14716" w:rsidRDefault="005A715D" w:rsidP="00DE3F34">
            <w:pPr>
              <w:pStyle w:val="Tabletext"/>
              <w:jc w:val="center"/>
              <w:rPr>
                <w:b/>
                <w:bCs/>
              </w:rPr>
            </w:pPr>
            <w:r w:rsidRPr="00DE3F34">
              <w:rPr>
                <w:b/>
                <w:bCs/>
              </w:rPr>
              <w:t>CE</w:t>
            </w:r>
            <w:r w:rsidR="00F61563">
              <w:rPr>
                <w:b/>
                <w:bCs/>
              </w:rPr>
              <w:t> </w:t>
            </w:r>
            <w:r w:rsidRPr="00DE3F34">
              <w:rPr>
                <w:b/>
                <w:bCs/>
              </w:rPr>
              <w:t>5</w:t>
            </w:r>
          </w:p>
        </w:tc>
        <w:tc>
          <w:tcPr>
            <w:tcW w:w="2506" w:type="dxa"/>
            <w:tcBorders>
              <w:left w:val="single" w:sz="4" w:space="0" w:color="000000"/>
            </w:tcBorders>
            <w:shd w:val="clear" w:color="auto" w:fill="auto"/>
          </w:tcPr>
          <w:p w14:paraId="23533AC7" w14:textId="59230D9D" w:rsidR="005A715D" w:rsidRPr="00713B0B" w:rsidRDefault="00DE3F34" w:rsidP="00DE3F34">
            <w:pPr>
              <w:pStyle w:val="Tabletext"/>
            </w:pPr>
            <w:r w:rsidRPr="008F0E4A">
              <w:t>F.2005-1, F.1777-3, F.749-4, F.637-5, F.595</w:t>
            </w:r>
            <w:r w:rsidRPr="008F0E4A">
              <w:noBreakHyphen/>
              <w:t>11, M.2150-1, M.2092-1, M.2012-5, M.1824-2, M.1796-3, M.1465-4</w:t>
            </w:r>
          </w:p>
        </w:tc>
        <w:tc>
          <w:tcPr>
            <w:tcW w:w="2393" w:type="dxa"/>
            <w:tcBorders>
              <w:left w:val="single" w:sz="4" w:space="0" w:color="000000"/>
            </w:tcBorders>
            <w:shd w:val="clear" w:color="auto" w:fill="auto"/>
          </w:tcPr>
          <w:p w14:paraId="4B02A854" w14:textId="61800B89" w:rsidR="005A715D" w:rsidRPr="00713B0B" w:rsidRDefault="00DE3F34" w:rsidP="00DE3F34">
            <w:pPr>
              <w:pStyle w:val="Tabletext"/>
            </w:pPr>
            <w:r w:rsidRPr="00DE3F34">
              <w:rPr>
                <w:lang w:val="en-GB"/>
              </w:rPr>
              <w:t>M.2501-0, M.2500-0, M.2499-0, M.2498-0, M.2291-2, M.2480-1</w:t>
            </w:r>
          </w:p>
        </w:tc>
        <w:tc>
          <w:tcPr>
            <w:tcW w:w="1274" w:type="dxa"/>
            <w:tcBorders>
              <w:left w:val="single" w:sz="4" w:space="0" w:color="000000"/>
            </w:tcBorders>
            <w:shd w:val="clear" w:color="auto" w:fill="auto"/>
          </w:tcPr>
          <w:p w14:paraId="400075A8" w14:textId="77777777" w:rsidR="005A715D" w:rsidRPr="00713B0B" w:rsidRDefault="005A715D" w:rsidP="005A715D">
            <w:pPr>
              <w:pStyle w:val="Tabletext"/>
            </w:pPr>
            <w:r w:rsidRPr="00713B0B">
              <w:t>263/5</w:t>
            </w:r>
          </w:p>
        </w:tc>
        <w:tc>
          <w:tcPr>
            <w:tcW w:w="2341" w:type="dxa"/>
            <w:tcBorders>
              <w:left w:val="single" w:sz="4" w:space="0" w:color="000000"/>
            </w:tcBorders>
          </w:tcPr>
          <w:p w14:paraId="20471EF3" w14:textId="249FFF22" w:rsidR="00824C15" w:rsidRDefault="005A715D" w:rsidP="003E5909">
            <w:pPr>
              <w:pStyle w:val="Tabletext"/>
            </w:pPr>
            <w:bookmarkStart w:id="23" w:name="lt_pId115"/>
            <w:r w:rsidRPr="00713B0B">
              <w:t xml:space="preserve">Servicio móvil </w:t>
            </w:r>
            <w:r w:rsidR="00DE3F34">
              <w:t>t</w:t>
            </w:r>
            <w:r w:rsidRPr="00713B0B">
              <w:t xml:space="preserve">errestre (incluso acceso inalámbrico) – Volumen 4: </w:t>
            </w:r>
            <w:r w:rsidR="00DE3F34" w:rsidRPr="00713B0B">
              <w:t xml:space="preserve">Sistemas </w:t>
            </w:r>
            <w:r w:rsidRPr="00713B0B">
              <w:t xml:space="preserve">de </w:t>
            </w:r>
            <w:r w:rsidR="00824C15" w:rsidRPr="00713B0B">
              <w:t>transporte inteligente</w:t>
            </w:r>
            <w:bookmarkStart w:id="24" w:name="lt_pId116"/>
            <w:bookmarkEnd w:id="23"/>
          </w:p>
          <w:p w14:paraId="6CAE9162" w14:textId="52EE6FE2" w:rsidR="005A715D" w:rsidRPr="00713B0B" w:rsidRDefault="005A715D" w:rsidP="003E5909">
            <w:pPr>
              <w:pStyle w:val="Tabletext"/>
            </w:pPr>
            <w:r w:rsidRPr="00713B0B">
              <w:t>Manual sobre Telecomunicaciones Móviles Internacionales (IMT)</w:t>
            </w:r>
            <w:bookmarkEnd w:id="24"/>
          </w:p>
        </w:tc>
      </w:tr>
      <w:tr w:rsidR="005A715D" w:rsidRPr="00713B0B" w14:paraId="2AB5D526" w14:textId="77777777" w:rsidTr="00DE3F34">
        <w:trPr>
          <w:trHeight w:val="270"/>
          <w:jc w:val="center"/>
        </w:trPr>
        <w:tc>
          <w:tcPr>
            <w:tcW w:w="1115" w:type="dxa"/>
            <w:tcBorders>
              <w:right w:val="single" w:sz="4" w:space="0" w:color="000000"/>
            </w:tcBorders>
            <w:shd w:val="clear" w:color="auto" w:fill="auto"/>
          </w:tcPr>
          <w:p w14:paraId="747C6626" w14:textId="5A19CF17" w:rsidR="005A715D" w:rsidRPr="00DE3F34" w:rsidDel="00A14716" w:rsidRDefault="005A715D" w:rsidP="00DE3F34">
            <w:pPr>
              <w:pStyle w:val="Tabletext"/>
              <w:jc w:val="center"/>
              <w:rPr>
                <w:b/>
                <w:bCs/>
              </w:rPr>
            </w:pPr>
            <w:r w:rsidRPr="00DE3F34">
              <w:rPr>
                <w:b/>
                <w:bCs/>
              </w:rPr>
              <w:t>CE</w:t>
            </w:r>
            <w:r w:rsidR="00F61563">
              <w:rPr>
                <w:b/>
                <w:bCs/>
              </w:rPr>
              <w:t> </w:t>
            </w:r>
            <w:r w:rsidRPr="00DE3F34">
              <w:rPr>
                <w:b/>
                <w:bCs/>
              </w:rPr>
              <w:t>6</w:t>
            </w:r>
          </w:p>
        </w:tc>
        <w:tc>
          <w:tcPr>
            <w:tcW w:w="2506" w:type="dxa"/>
            <w:tcBorders>
              <w:left w:val="single" w:sz="4" w:space="0" w:color="000000"/>
            </w:tcBorders>
            <w:shd w:val="clear" w:color="auto" w:fill="auto"/>
          </w:tcPr>
          <w:p w14:paraId="6367C494" w14:textId="7DA31158" w:rsidR="005A715D" w:rsidRPr="00713B0B" w:rsidRDefault="00DE3F34" w:rsidP="00DE3F34">
            <w:pPr>
              <w:pStyle w:val="Tabletext"/>
            </w:pPr>
            <w:r w:rsidRPr="00DE3F34">
              <w:rPr>
                <w:lang w:val="en-GB"/>
              </w:rPr>
              <w:t>BS.2143-0, BS.1114</w:t>
            </w:r>
            <w:r>
              <w:rPr>
                <w:lang w:val="en-GB"/>
              </w:rPr>
              <w:noBreakHyphen/>
            </w:r>
            <w:r w:rsidRPr="00DE3F34">
              <w:rPr>
                <w:lang w:val="en-GB"/>
              </w:rPr>
              <w:t>12, BT.2077-3, BT.2075</w:t>
            </w:r>
            <w:r>
              <w:rPr>
                <w:lang w:val="en-GB"/>
              </w:rPr>
              <w:noBreakHyphen/>
            </w:r>
            <w:r w:rsidRPr="00DE3F34">
              <w:rPr>
                <w:lang w:val="en-GB"/>
              </w:rPr>
              <w:t>4, BT.2073</w:t>
            </w:r>
            <w:r>
              <w:rPr>
                <w:lang w:val="en-GB"/>
              </w:rPr>
              <w:noBreakHyphen/>
            </w:r>
            <w:r w:rsidRPr="00DE3F34">
              <w:rPr>
                <w:lang w:val="en-GB"/>
              </w:rPr>
              <w:t>2, BT.2036</w:t>
            </w:r>
            <w:r>
              <w:rPr>
                <w:lang w:val="en-GB"/>
              </w:rPr>
              <w:noBreakHyphen/>
            </w:r>
            <w:r w:rsidRPr="00DE3F34">
              <w:rPr>
                <w:lang w:val="en-GB"/>
              </w:rPr>
              <w:t>4, BT.2033</w:t>
            </w:r>
            <w:r>
              <w:rPr>
                <w:lang w:val="en-GB"/>
              </w:rPr>
              <w:noBreakHyphen/>
            </w:r>
            <w:r w:rsidRPr="00DE3F34">
              <w:rPr>
                <w:lang w:val="en-GB"/>
              </w:rPr>
              <w:t>2, BT.1871</w:t>
            </w:r>
            <w:r>
              <w:rPr>
                <w:lang w:val="en-GB"/>
              </w:rPr>
              <w:noBreakHyphen/>
            </w:r>
            <w:r w:rsidRPr="00DE3F34">
              <w:rPr>
                <w:lang w:val="en-GB"/>
              </w:rPr>
              <w:t>3, BT.1203</w:t>
            </w:r>
            <w:r>
              <w:rPr>
                <w:lang w:val="en-GB"/>
              </w:rPr>
              <w:noBreakHyphen/>
            </w:r>
            <w:r w:rsidRPr="00DE3F34">
              <w:rPr>
                <w:lang w:val="en-GB"/>
              </w:rPr>
              <w:t>3</w:t>
            </w:r>
          </w:p>
        </w:tc>
        <w:tc>
          <w:tcPr>
            <w:tcW w:w="2393" w:type="dxa"/>
            <w:tcBorders>
              <w:left w:val="single" w:sz="4" w:space="0" w:color="000000"/>
            </w:tcBorders>
            <w:shd w:val="clear" w:color="auto" w:fill="auto"/>
          </w:tcPr>
          <w:p w14:paraId="1EED444C" w14:textId="305D601D" w:rsidR="005A715D" w:rsidRPr="00713B0B" w:rsidRDefault="00DE3F34" w:rsidP="00DE3F34">
            <w:pPr>
              <w:pStyle w:val="Tabletext"/>
            </w:pPr>
            <w:r w:rsidRPr="008F0E4A">
              <w:t>BS.2494-0, BS.2493-0, BS.2384-2, BT.2495-0, BT.2485-0, BT.2470-2, BT.2469-2, BT.2468-1, BT.2467-1, BT.2447-2, BT.2446-1, BT.2420-3, BT.2408-4, BT.2400-4, BT.2390</w:t>
            </w:r>
            <w:r w:rsidRPr="008F0E4A">
              <w:noBreakHyphen/>
              <w:t>10, BT.2383</w:t>
            </w:r>
            <w:r w:rsidRPr="008F0E4A">
              <w:noBreakHyphen/>
              <w:t>3, BT.2343-7, BT.2302-1, BT.2301-3, BT.2267-11, BT.2254</w:t>
            </w:r>
            <w:r w:rsidRPr="008F0E4A">
              <w:noBreakHyphen/>
              <w:t>5, BT.2245-9, BT.2140</w:t>
            </w:r>
            <w:r w:rsidRPr="008F0E4A">
              <w:noBreakHyphen/>
              <w:t>13</w:t>
            </w:r>
          </w:p>
        </w:tc>
        <w:tc>
          <w:tcPr>
            <w:tcW w:w="1274" w:type="dxa"/>
            <w:tcBorders>
              <w:left w:val="single" w:sz="4" w:space="0" w:color="000000"/>
            </w:tcBorders>
            <w:shd w:val="clear" w:color="auto" w:fill="auto"/>
          </w:tcPr>
          <w:p w14:paraId="0F61EBFB" w14:textId="77777777" w:rsidR="005A715D" w:rsidRPr="00713B0B" w:rsidRDefault="005A715D" w:rsidP="003E5909">
            <w:pPr>
              <w:pStyle w:val="Tabletext"/>
            </w:pPr>
            <w:r w:rsidRPr="00713B0B">
              <w:t>132-6/6</w:t>
            </w:r>
          </w:p>
        </w:tc>
        <w:tc>
          <w:tcPr>
            <w:tcW w:w="2341" w:type="dxa"/>
            <w:tcBorders>
              <w:left w:val="single" w:sz="4" w:space="0" w:color="000000"/>
            </w:tcBorders>
          </w:tcPr>
          <w:p w14:paraId="3AA6C3E4" w14:textId="77777777" w:rsidR="005A715D" w:rsidRPr="00713B0B" w:rsidRDefault="005A715D" w:rsidP="003E5909">
            <w:pPr>
              <w:pStyle w:val="Tabletext"/>
            </w:pPr>
            <w:bookmarkStart w:id="25" w:name="lt_pId121"/>
            <w:bookmarkStart w:id="26" w:name="_Hlk94687254"/>
            <w:r w:rsidRPr="00713B0B">
              <w:t>Manual sobre la implantación de redes y sistemas de radiodifusión de televisión digital terrenal</w:t>
            </w:r>
            <w:bookmarkEnd w:id="25"/>
            <w:bookmarkEnd w:id="26"/>
          </w:p>
        </w:tc>
      </w:tr>
      <w:tr w:rsidR="005A715D" w:rsidRPr="00713B0B" w14:paraId="29DA1E82" w14:textId="77777777" w:rsidTr="00DE3F34">
        <w:trPr>
          <w:trHeight w:val="270"/>
          <w:jc w:val="center"/>
        </w:trPr>
        <w:tc>
          <w:tcPr>
            <w:tcW w:w="1115" w:type="dxa"/>
            <w:tcBorders>
              <w:bottom w:val="single" w:sz="4" w:space="0" w:color="000000"/>
              <w:right w:val="single" w:sz="4" w:space="0" w:color="000000"/>
            </w:tcBorders>
            <w:shd w:val="clear" w:color="auto" w:fill="auto"/>
          </w:tcPr>
          <w:p w14:paraId="1CBEEC0C" w14:textId="36B0B1A8" w:rsidR="005A715D" w:rsidRPr="00DE3F34" w:rsidRDefault="005A715D" w:rsidP="00DE3F34">
            <w:pPr>
              <w:pStyle w:val="Tabletext"/>
              <w:jc w:val="center"/>
              <w:rPr>
                <w:b/>
                <w:bCs/>
              </w:rPr>
            </w:pPr>
            <w:r w:rsidRPr="00DE3F34">
              <w:rPr>
                <w:b/>
                <w:bCs/>
              </w:rPr>
              <w:t>CE</w:t>
            </w:r>
            <w:r w:rsidR="00F61563">
              <w:rPr>
                <w:b/>
                <w:bCs/>
              </w:rPr>
              <w:t> </w:t>
            </w:r>
            <w:r w:rsidRPr="00DE3F34">
              <w:rPr>
                <w:b/>
                <w:bCs/>
              </w:rPr>
              <w:t>7</w:t>
            </w:r>
          </w:p>
        </w:tc>
        <w:tc>
          <w:tcPr>
            <w:tcW w:w="2506" w:type="dxa"/>
            <w:tcBorders>
              <w:left w:val="single" w:sz="4" w:space="0" w:color="000000" w:themeColor="text1"/>
            </w:tcBorders>
            <w:shd w:val="clear" w:color="auto" w:fill="auto"/>
          </w:tcPr>
          <w:p w14:paraId="637248A5" w14:textId="2E1A415C" w:rsidR="005A715D" w:rsidRPr="00713B0B" w:rsidRDefault="00DE3F34" w:rsidP="00DE3F34">
            <w:pPr>
              <w:pStyle w:val="Tabletext"/>
            </w:pPr>
            <w:r w:rsidRPr="00DE3F34">
              <w:rPr>
                <w:lang w:val="fr-FR"/>
              </w:rPr>
              <w:t>RA.1031-3, RS.2105</w:t>
            </w:r>
            <w:r>
              <w:rPr>
                <w:lang w:val="fr-FR"/>
              </w:rPr>
              <w:noBreakHyphen/>
            </w:r>
            <w:r w:rsidRPr="00DE3F34">
              <w:rPr>
                <w:lang w:val="fr-FR"/>
              </w:rPr>
              <w:t>2, RS.1861</w:t>
            </w:r>
            <w:r>
              <w:rPr>
                <w:lang w:val="fr-FR"/>
              </w:rPr>
              <w:noBreakHyphen/>
            </w:r>
            <w:r w:rsidRPr="00DE3F34">
              <w:rPr>
                <w:lang w:val="fr-FR"/>
              </w:rPr>
              <w:t>1, SA.2142</w:t>
            </w:r>
            <w:r>
              <w:rPr>
                <w:lang w:val="fr-FR"/>
              </w:rPr>
              <w:noBreakHyphen/>
            </w:r>
            <w:r w:rsidRPr="00DE3F34">
              <w:rPr>
                <w:lang w:val="fr-FR"/>
              </w:rPr>
              <w:t>0, SA.2141</w:t>
            </w:r>
            <w:r>
              <w:rPr>
                <w:lang w:val="fr-FR"/>
              </w:rPr>
              <w:noBreakHyphen/>
            </w:r>
            <w:r w:rsidRPr="00DE3F34">
              <w:rPr>
                <w:lang w:val="fr-FR"/>
              </w:rPr>
              <w:t>0</w:t>
            </w:r>
          </w:p>
        </w:tc>
        <w:tc>
          <w:tcPr>
            <w:tcW w:w="2393" w:type="dxa"/>
            <w:tcBorders>
              <w:left w:val="single" w:sz="4" w:space="0" w:color="000000" w:themeColor="text1"/>
            </w:tcBorders>
            <w:shd w:val="clear" w:color="auto" w:fill="auto"/>
          </w:tcPr>
          <w:p w14:paraId="3259DC4D" w14:textId="29F4D883" w:rsidR="005A715D" w:rsidRPr="00713B0B" w:rsidRDefault="00DE3F34" w:rsidP="00DE3F34">
            <w:pPr>
              <w:pStyle w:val="Tabletext"/>
              <w:rPr>
                <w:highlight w:val="lightGray"/>
              </w:rPr>
            </w:pPr>
            <w:r w:rsidRPr="00DE3F34">
              <w:rPr>
                <w:lang w:val="fr-FR"/>
              </w:rPr>
              <w:t>RA.2259-1, RS.2492-0, RS.2491-0, RS.2490-0, RS.2489-0, RS.2068-2, SA.2488-0, TF.2487-0</w:t>
            </w:r>
          </w:p>
        </w:tc>
        <w:tc>
          <w:tcPr>
            <w:tcW w:w="1274" w:type="dxa"/>
            <w:tcBorders>
              <w:left w:val="single" w:sz="4" w:space="0" w:color="000000" w:themeColor="text1"/>
            </w:tcBorders>
            <w:shd w:val="clear" w:color="auto" w:fill="auto"/>
          </w:tcPr>
          <w:p w14:paraId="3C654134" w14:textId="77777777" w:rsidR="005A715D" w:rsidRPr="00713B0B" w:rsidRDefault="005A715D" w:rsidP="003E5909">
            <w:pPr>
              <w:pStyle w:val="Tabletext"/>
              <w:rPr>
                <w:highlight w:val="lightGray"/>
              </w:rPr>
            </w:pPr>
            <w:r w:rsidRPr="00713B0B">
              <w:t>258/7, 259/7</w:t>
            </w:r>
          </w:p>
        </w:tc>
        <w:tc>
          <w:tcPr>
            <w:tcW w:w="2341" w:type="dxa"/>
            <w:tcBorders>
              <w:left w:val="single" w:sz="4" w:space="0" w:color="000000"/>
            </w:tcBorders>
          </w:tcPr>
          <w:p w14:paraId="13832975" w14:textId="77777777" w:rsidR="005A715D" w:rsidRPr="00713B0B" w:rsidRDefault="005A715D" w:rsidP="005A715D">
            <w:pPr>
              <w:pStyle w:val="Tabletext"/>
              <w:rPr>
                <w:highlight w:val="lightGray"/>
              </w:rPr>
            </w:pPr>
          </w:p>
        </w:tc>
      </w:tr>
    </w:tbl>
    <w:p w14:paraId="2FD13320" w14:textId="6315DFC3" w:rsidR="005A715D" w:rsidRPr="00713B0B" w:rsidRDefault="005A715D" w:rsidP="00E51B5F">
      <w:pPr>
        <w:pStyle w:val="Heading2"/>
        <w:tabs>
          <w:tab w:val="center" w:pos="4819"/>
        </w:tabs>
      </w:pPr>
      <w:bookmarkStart w:id="27" w:name="_Toc445972792"/>
      <w:r w:rsidRPr="00713B0B">
        <w:lastRenderedPageBreak/>
        <w:t>6.1</w:t>
      </w:r>
      <w:r w:rsidRPr="00713B0B">
        <w:tab/>
        <w:t>Comisión de Estudio 1</w:t>
      </w:r>
      <w:bookmarkEnd w:id="27"/>
    </w:p>
    <w:p w14:paraId="07A31A8F" w14:textId="77777777" w:rsidR="005A715D" w:rsidRPr="00713B0B" w:rsidRDefault="005A715D" w:rsidP="003E5909">
      <w:r w:rsidRPr="00713B0B">
        <w:t>La CE 1 sigue elaborando Recomendaciones, Informes y Manuales del UIT</w:t>
      </w:r>
      <w:r w:rsidRPr="00713B0B">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las emisiones no deseadas, el mantenimiento del diccionario de datos, la reorganización del espectro, la medición de la utilización del espectro, las utilizaciones sin licencia y compartidas del espectro, el acceso dinámico al espectro, las redes inteligentes y la transmisión inalámbrica de potencia.</w:t>
      </w:r>
    </w:p>
    <w:p w14:paraId="173EA1D0" w14:textId="0573CF12" w:rsidR="005A715D" w:rsidRPr="00713B0B" w:rsidRDefault="005A715D" w:rsidP="003E5909">
      <w:r w:rsidRPr="00713B0B">
        <w:t>En la última reunión virtual de la CE</w:t>
      </w:r>
      <w:r w:rsidR="00F61563">
        <w:t> </w:t>
      </w:r>
      <w:r w:rsidRPr="00713B0B">
        <w:t>1, celebrada en línea en junio de 2021, tras la dimisión del Sr.</w:t>
      </w:r>
      <w:r w:rsidR="00F61563">
        <w:t> </w:t>
      </w:r>
      <w:r w:rsidRPr="00713B0B">
        <w:t>Kibet Boruett (Kenya), el Sr. Bin Liu (China) fue nombrado Presidente del GT</w:t>
      </w:r>
      <w:r w:rsidR="00F61563">
        <w:t> </w:t>
      </w:r>
      <w:r w:rsidRPr="00713B0B">
        <w:t xml:space="preserve">1B y la </w:t>
      </w:r>
      <w:r w:rsidR="006239F0" w:rsidRPr="00713B0B">
        <w:t>Sra.</w:t>
      </w:r>
      <w:r w:rsidR="00F61563">
        <w:t> </w:t>
      </w:r>
      <w:r w:rsidRPr="00713B0B">
        <w:t>Tatiana Sukhodolskaia (Rusia) fue nombrada Vicepresidenta del GT</w:t>
      </w:r>
      <w:r w:rsidR="00F61563">
        <w:t> </w:t>
      </w:r>
      <w:r w:rsidRPr="00713B0B">
        <w:t>1B en sustitución del Sr.</w:t>
      </w:r>
      <w:r w:rsidR="00F61563">
        <w:t> </w:t>
      </w:r>
      <w:r w:rsidRPr="00713B0B">
        <w:t>Bin Liu.</w:t>
      </w:r>
    </w:p>
    <w:p w14:paraId="58D27570" w14:textId="1CF11D0E" w:rsidR="005A715D" w:rsidRPr="00713B0B" w:rsidRDefault="005A715D" w:rsidP="003E5909">
      <w:r w:rsidRPr="00713B0B">
        <w:t>Los GT</w:t>
      </w:r>
      <w:r w:rsidR="00F61563">
        <w:t> </w:t>
      </w:r>
      <w:r w:rsidRPr="00713B0B">
        <w:t>1A, 1B y 1C se reunieron en línea en mayo-junio y en noviembre de 2021. Se elaboraron una nueva Cuestión UIT-R, dos Recomendaciones UIT-R nuevas y una revisada, que posteriormente fueron adoptadas y aprobadas. La CE</w:t>
      </w:r>
      <w:r w:rsidR="00F61563">
        <w:t> 1</w:t>
      </w:r>
      <w:r w:rsidRPr="00713B0B">
        <w:t xml:space="preserve"> también aprobó un Informe UIT-R nuevo y cinco revisados.</w:t>
      </w:r>
    </w:p>
    <w:p w14:paraId="1CF03177" w14:textId="210FE9A4" w:rsidR="005A715D" w:rsidRPr="00713B0B" w:rsidRDefault="005A715D" w:rsidP="005A715D">
      <w:pPr>
        <w:pStyle w:val="Headingb"/>
      </w:pPr>
      <w:bookmarkStart w:id="28" w:name="lt_pId137"/>
      <w:r w:rsidRPr="00713B0B">
        <w:t>Cuestión UIT-R:</w:t>
      </w:r>
      <w:bookmarkEnd w:id="28"/>
    </w:p>
    <w:p w14:paraId="45A66BA9" w14:textId="21879EA9" w:rsidR="005A715D" w:rsidRPr="00713B0B" w:rsidRDefault="005A715D" w:rsidP="005A715D">
      <w:pPr>
        <w:pStyle w:val="enumlev1"/>
      </w:pPr>
      <w:r w:rsidRPr="00713B0B">
        <w:t>–</w:t>
      </w:r>
      <w:r w:rsidRPr="00713B0B">
        <w:tab/>
        <w:t xml:space="preserve">242/1 </w:t>
      </w:r>
      <w:r w:rsidR="000B7EA8">
        <w:t>«</w:t>
      </w:r>
      <w:r w:rsidRPr="00713B0B">
        <w:t xml:space="preserve">Marco de gestión del espectro para la introducción de </w:t>
      </w:r>
      <w:r w:rsidR="00C0536E">
        <w:t>s</w:t>
      </w:r>
      <w:r w:rsidRPr="00713B0B">
        <w:t>istemas de imágenes de radar de penetración en el suelo y en las paredes</w:t>
      </w:r>
      <w:r w:rsidR="000B7EA8">
        <w:t>»</w:t>
      </w:r>
    </w:p>
    <w:p w14:paraId="1C7D0C89" w14:textId="77777777" w:rsidR="005A715D" w:rsidRPr="00713B0B" w:rsidRDefault="005A715D" w:rsidP="003E5909">
      <w:pPr>
        <w:pStyle w:val="Headingb"/>
      </w:pPr>
      <w:r w:rsidRPr="00713B0B">
        <w:t>Recomendaciones UIT-R:</w:t>
      </w:r>
    </w:p>
    <w:p w14:paraId="0456AAF5" w14:textId="50E8B34C" w:rsidR="005A715D" w:rsidRPr="00713B0B" w:rsidRDefault="005A715D" w:rsidP="005A715D">
      <w:pPr>
        <w:pStyle w:val="enumlev1"/>
      </w:pPr>
      <w:r w:rsidRPr="00713B0B">
        <w:t>–</w:t>
      </w:r>
      <w:r w:rsidRPr="00713B0B">
        <w:tab/>
        <w:t xml:space="preserve">SM.2140-0 </w:t>
      </w:r>
      <w:r w:rsidR="000B7EA8">
        <w:t>«</w:t>
      </w:r>
      <w:r w:rsidRPr="00713B0B">
        <w:t>Evaluación del rendimiento de unidades móviles de radiogoniometría en el entorno operativo</w:t>
      </w:r>
      <w:r w:rsidR="000B7EA8">
        <w:t>»</w:t>
      </w:r>
    </w:p>
    <w:p w14:paraId="0BE91B8D" w14:textId="4517FA2B" w:rsidR="005A715D" w:rsidRPr="00713B0B" w:rsidRDefault="005A715D" w:rsidP="005A715D">
      <w:pPr>
        <w:pStyle w:val="enumlev1"/>
      </w:pPr>
      <w:r w:rsidRPr="00713B0B">
        <w:t>–</w:t>
      </w:r>
      <w:r w:rsidRPr="00713B0B">
        <w:tab/>
        <w:t xml:space="preserve">SM.2139-0 </w:t>
      </w:r>
      <w:r w:rsidR="000B7EA8">
        <w:t>«</w:t>
      </w:r>
      <w:r w:rsidRPr="00713B0B">
        <w:t>Procedimiento de prueba para determinar la precisión de los sistemas de</w:t>
      </w:r>
      <w:r w:rsidR="003C000A">
        <w:t> </w:t>
      </w:r>
      <w:r w:rsidRPr="00713B0B">
        <w:t>TDOA</w:t>
      </w:r>
      <w:r w:rsidR="000B7EA8">
        <w:t>»</w:t>
      </w:r>
    </w:p>
    <w:p w14:paraId="08D29996" w14:textId="4B6F81AB" w:rsidR="005A715D" w:rsidRPr="00713B0B" w:rsidRDefault="005A715D" w:rsidP="005A715D">
      <w:pPr>
        <w:pStyle w:val="enumlev1"/>
      </w:pPr>
      <w:r w:rsidRPr="00713B0B">
        <w:t>–</w:t>
      </w:r>
      <w:r w:rsidRPr="00713B0B">
        <w:tab/>
        <w:t xml:space="preserve">SM.575-3 </w:t>
      </w:r>
      <w:r w:rsidR="000B7EA8">
        <w:t>«</w:t>
      </w:r>
      <w:r w:rsidRPr="00713B0B">
        <w:t>Protección de las estaciones fijas de comprobación técnica contra la interferencia ocasionada por transmisores cercanos o potentes</w:t>
      </w:r>
      <w:r w:rsidR="000B7EA8">
        <w:t>»</w:t>
      </w:r>
    </w:p>
    <w:p w14:paraId="125ACD29" w14:textId="0D9AD042" w:rsidR="005A715D" w:rsidRPr="00713B0B" w:rsidRDefault="005A715D" w:rsidP="005A715D">
      <w:pPr>
        <w:pStyle w:val="Headingb"/>
      </w:pPr>
      <w:r w:rsidRPr="00713B0B">
        <w:t>Informes UIT</w:t>
      </w:r>
      <w:r w:rsidR="00F61563">
        <w:noBreakHyphen/>
      </w:r>
      <w:r w:rsidRPr="00713B0B">
        <w:t>R:</w:t>
      </w:r>
    </w:p>
    <w:p w14:paraId="407D642D" w14:textId="7951CCC4" w:rsidR="005A715D" w:rsidRPr="00713B0B" w:rsidRDefault="005A715D" w:rsidP="005A715D">
      <w:pPr>
        <w:pStyle w:val="enumlev1"/>
      </w:pPr>
      <w:r w:rsidRPr="00713B0B">
        <w:t>–</w:t>
      </w:r>
      <w:r w:rsidRPr="00713B0B">
        <w:tab/>
        <w:t xml:space="preserve">SM.2486-0 </w:t>
      </w:r>
      <w:r w:rsidR="000B7EA8">
        <w:t>«</w:t>
      </w:r>
      <w:r w:rsidRPr="00713B0B">
        <w:t>Utilización de drones comerciales para las tareas de comprobación técnica del espectro del UIT-R</w:t>
      </w:r>
      <w:r w:rsidR="000B7EA8">
        <w:t>»</w:t>
      </w:r>
    </w:p>
    <w:p w14:paraId="2578FABA" w14:textId="62A747F5" w:rsidR="005A715D" w:rsidRPr="00713B0B" w:rsidRDefault="005A715D" w:rsidP="005A715D">
      <w:pPr>
        <w:pStyle w:val="enumlev1"/>
      </w:pPr>
      <w:r w:rsidRPr="00713B0B">
        <w:t>–</w:t>
      </w:r>
      <w:r w:rsidRPr="00713B0B">
        <w:tab/>
        <w:t xml:space="preserve">SM.2392-1 </w:t>
      </w:r>
      <w:r w:rsidR="000B7EA8">
        <w:t>«</w:t>
      </w:r>
      <w:r w:rsidRPr="00713B0B">
        <w:t>Aplicaciones de la transmisión inalámbrica de potencia por haces radioeléctricos</w:t>
      </w:r>
      <w:r w:rsidR="000B7EA8">
        <w:t>»</w:t>
      </w:r>
    </w:p>
    <w:p w14:paraId="2D376606" w14:textId="323213DA" w:rsidR="005A715D" w:rsidRPr="00713B0B" w:rsidRDefault="005A715D" w:rsidP="005A715D">
      <w:pPr>
        <w:pStyle w:val="enumlev1"/>
      </w:pPr>
      <w:r w:rsidRPr="00713B0B">
        <w:t>–</w:t>
      </w:r>
      <w:r w:rsidRPr="00713B0B">
        <w:tab/>
        <w:t xml:space="preserve">SM.2351-3 </w:t>
      </w:r>
      <w:r w:rsidR="000B7EA8">
        <w:t>«</w:t>
      </w:r>
      <w:r w:rsidRPr="00713B0B">
        <w:t>Sistemas de gestión de servicios públicos por red inteligente</w:t>
      </w:r>
      <w:r w:rsidR="000B7EA8">
        <w:t>»</w:t>
      </w:r>
    </w:p>
    <w:p w14:paraId="4151AD5A" w14:textId="043DAFFC" w:rsidR="005A715D" w:rsidRPr="00713B0B" w:rsidRDefault="005A715D" w:rsidP="005A715D">
      <w:pPr>
        <w:pStyle w:val="enumlev1"/>
      </w:pPr>
      <w:r w:rsidRPr="00713B0B">
        <w:t>–</w:t>
      </w:r>
      <w:r w:rsidRPr="00713B0B">
        <w:tab/>
        <w:t xml:space="preserve">SM.2303-3 </w:t>
      </w:r>
      <w:r w:rsidR="000B7EA8">
        <w:t>«</w:t>
      </w:r>
      <w:r w:rsidRPr="00713B0B">
        <w:t>Transmisión inalámbrica de potencia mediante tecnologías distintas de las de haces radioeléctricos</w:t>
      </w:r>
      <w:r w:rsidR="000B7EA8">
        <w:t>»</w:t>
      </w:r>
    </w:p>
    <w:p w14:paraId="75741FDF" w14:textId="4DCF7E11" w:rsidR="005A715D" w:rsidRPr="00713B0B" w:rsidRDefault="005A715D" w:rsidP="005A715D">
      <w:pPr>
        <w:pStyle w:val="enumlev1"/>
      </w:pPr>
      <w:r w:rsidRPr="00713B0B">
        <w:t>–</w:t>
      </w:r>
      <w:r w:rsidRPr="00713B0B">
        <w:tab/>
        <w:t xml:space="preserve">SM.2153-8 </w:t>
      </w:r>
      <w:r w:rsidR="000B7EA8">
        <w:t>«</w:t>
      </w:r>
      <w:r w:rsidRPr="00713B0B">
        <w:t>Parámetros técnicos y de funcionamiento de los dispositivos de radiocomunicaciones de corto alcance y utilización del espectro por los mismos</w:t>
      </w:r>
      <w:r w:rsidR="000B7EA8">
        <w:t>»</w:t>
      </w:r>
    </w:p>
    <w:p w14:paraId="02F7A779" w14:textId="46DE1CF8" w:rsidR="005A715D" w:rsidRPr="00713B0B" w:rsidRDefault="005A715D" w:rsidP="005A715D">
      <w:pPr>
        <w:pStyle w:val="enumlev1"/>
      </w:pPr>
      <w:r w:rsidRPr="00713B0B">
        <w:t>–</w:t>
      </w:r>
      <w:r w:rsidRPr="00713B0B">
        <w:tab/>
        <w:t xml:space="preserve">SM.2093-4 </w:t>
      </w:r>
      <w:r w:rsidR="000B7EA8">
        <w:t>«</w:t>
      </w:r>
      <w:r w:rsidRPr="00713B0B">
        <w:t>Orientaciones sobre el marco reglamentario para la gestión nacional del espectro</w:t>
      </w:r>
      <w:r w:rsidR="000B7EA8">
        <w:t>»</w:t>
      </w:r>
    </w:p>
    <w:p w14:paraId="71E0915D" w14:textId="51E64707" w:rsidR="005A715D" w:rsidRPr="00713B0B" w:rsidRDefault="005A715D" w:rsidP="005A715D">
      <w:pPr>
        <w:rPr>
          <w:b/>
        </w:rPr>
      </w:pPr>
      <w:r w:rsidRPr="00713B0B">
        <w:t>Las próximas reuniones de la CE</w:t>
      </w:r>
      <w:r w:rsidR="00F61563">
        <w:t> </w:t>
      </w:r>
      <w:r w:rsidRPr="00713B0B">
        <w:t>1 y sus GT están previstas del 28 de junio al 8 de julio de 2022.</w:t>
      </w:r>
    </w:p>
    <w:p w14:paraId="4F3596C5" w14:textId="77777777" w:rsidR="005A715D" w:rsidRPr="00713B0B" w:rsidRDefault="005A715D" w:rsidP="005A715D">
      <w:pPr>
        <w:pStyle w:val="Heading2"/>
      </w:pPr>
      <w:bookmarkStart w:id="29" w:name="_Toc445972793"/>
      <w:r w:rsidRPr="00713B0B">
        <w:lastRenderedPageBreak/>
        <w:t>6.2</w:t>
      </w:r>
      <w:r w:rsidRPr="00713B0B">
        <w:tab/>
        <w:t>Comisión de Estudio 3</w:t>
      </w:r>
      <w:bookmarkEnd w:id="29"/>
    </w:p>
    <w:p w14:paraId="55E5E965" w14:textId="05C939D6" w:rsidR="005A715D" w:rsidRPr="00713B0B" w:rsidRDefault="005A715D" w:rsidP="005A715D">
      <w:r w:rsidRPr="00713B0B">
        <w:t>Al continuar sus trabajos sobre medición de la propagación, análisis de datos, modelización y predicción en diversas partes del espectro hasta 375 THz y, de este modo, sentar las bases del diseño de sistemas de radiocomunicaciones y la evaluación de interferencias, la CE 3 sigue revisando o elaborando nuevos informes, recomendaciones y manuales en el marco de su mandato. La CE 3 y sus Grupos de Trabajo también siguen prestando asistencia a las demás CE del UIT-R en relación los aspectos de predicción de la propagación de ondas radioeléctricas, más concretamente los relativos a el diseño de sistemas y los estudios de compartición, que a menudo se necesitan para los trabajos relativos a los puntos del orden del día de la CMR. Desde la reunión del GAR en 2021, se han adoptado y aprobado 18 Recomendaciones UIT-R revisadas. En su última reunión, la CE</w:t>
      </w:r>
      <w:r w:rsidR="00AF1501">
        <w:t> </w:t>
      </w:r>
      <w:r w:rsidRPr="00713B0B">
        <w:t>3 adoptó y aprobó dos Informes UIT-R revisados. Además, se efectuaron enmiendas de forma en seis</w:t>
      </w:r>
      <w:r w:rsidR="00AF1501">
        <w:t> </w:t>
      </w:r>
      <w:r w:rsidRPr="00713B0B">
        <w:t>Recomendaciones UIT-R.</w:t>
      </w:r>
    </w:p>
    <w:p w14:paraId="70379BC2" w14:textId="5E6D3C97" w:rsidR="005A715D" w:rsidRPr="00713B0B" w:rsidRDefault="005A715D" w:rsidP="005A715D">
      <w:bookmarkStart w:id="30" w:name="lt_pId168"/>
      <w:r w:rsidRPr="00713B0B">
        <w:t>Habida cuenta de las sugerencias formuladas por el GAR en su reunión de mayo de 2020 y por la reunión de Presidentes/Vicepresidentes de junio de 2020, el GT</w:t>
      </w:r>
      <w:r w:rsidR="00AF1501">
        <w:t> </w:t>
      </w:r>
      <w:r w:rsidRPr="00713B0B">
        <w:t>3M nombró a un segundo Vicepresidente, el Prof. Leke Lin (China), cuyo nombramiento fue refrendado por la CE</w:t>
      </w:r>
      <w:r w:rsidR="00AF1501">
        <w:t> </w:t>
      </w:r>
      <w:r w:rsidRPr="00713B0B">
        <w:t>3</w:t>
      </w:r>
      <w:bookmarkStart w:id="31" w:name="lt_pId169"/>
      <w:bookmarkEnd w:id="30"/>
      <w:r w:rsidRPr="00713B0B">
        <w:t>.</w:t>
      </w:r>
      <w:bookmarkEnd w:id="31"/>
    </w:p>
    <w:p w14:paraId="205F5A0A" w14:textId="76473B20" w:rsidR="005A715D" w:rsidRPr="00713B0B" w:rsidRDefault="005A715D" w:rsidP="003E5909">
      <w:bookmarkStart w:id="32" w:name="lt_pId170"/>
      <w:r w:rsidRPr="00713B0B">
        <w:t xml:space="preserve">A fin de avanzar en sus trabajos, los GT 3J, 3K, 3L y 3M crearon varios Grupos por </w:t>
      </w:r>
      <w:r w:rsidR="008D6185" w:rsidRPr="00713B0B">
        <w:t>c</w:t>
      </w:r>
      <w:r w:rsidRPr="00713B0B">
        <w:t xml:space="preserve">orrespondencia adicionales, lo que aumentó considerablemente el número de horas de trabajo entre reuniones oficiales. Tal es la práctica habitual de estos Grupos de Trabajo, que han estado empleando así los Grupos por </w:t>
      </w:r>
      <w:r w:rsidR="008D6185" w:rsidRPr="00713B0B">
        <w:t>c</w:t>
      </w:r>
      <w:r w:rsidRPr="00713B0B">
        <w:t xml:space="preserve">orrespondencia desde hace más de diez años, sobre todo porque esos Grupos de Trabajo generalmente sólo se reúnen una vez al año y el estudio de algunos de los temas que les corresponden a veces se prolonga durante más de cinco, incluso diez, años. Por consiguiente, no debe entenderse que esa utilización de los Grupos por </w:t>
      </w:r>
      <w:r w:rsidR="008D6185" w:rsidRPr="00713B0B">
        <w:t>c</w:t>
      </w:r>
      <w:r w:rsidRPr="00713B0B">
        <w:t>orrespondencia responde única y exclusivamente a la situación creada por la pandemia de</w:t>
      </w:r>
      <w:bookmarkStart w:id="33" w:name="lt_pId172"/>
      <w:bookmarkEnd w:id="32"/>
      <w:r w:rsidRPr="00713B0B">
        <w:t xml:space="preserve"> COVID-19.</w:t>
      </w:r>
      <w:bookmarkEnd w:id="33"/>
    </w:p>
    <w:p w14:paraId="050DEF27" w14:textId="0C3E105F" w:rsidR="005A715D" w:rsidRPr="00713B0B" w:rsidRDefault="005A715D" w:rsidP="005A715D">
      <w:pPr>
        <w:rPr>
          <w:szCs w:val="24"/>
        </w:rPr>
      </w:pPr>
      <w:r w:rsidRPr="00713B0B">
        <w:rPr>
          <w:szCs w:val="24"/>
        </w:rPr>
        <w:t>Las Recomendaciones de la serie P siguen siendo las más populares de todas las series de Recomendaciones del UIT-R, pues contabilizan 411</w:t>
      </w:r>
      <w:r w:rsidR="00452A54">
        <w:rPr>
          <w:szCs w:val="24"/>
        </w:rPr>
        <w:t> </w:t>
      </w:r>
      <w:r w:rsidRPr="00713B0B">
        <w:rPr>
          <w:szCs w:val="24"/>
        </w:rPr>
        <w:t>176 descargas cuando la segunda serie más popular tiene 405</w:t>
      </w:r>
      <w:r w:rsidR="00452A54">
        <w:rPr>
          <w:szCs w:val="24"/>
        </w:rPr>
        <w:t> </w:t>
      </w:r>
      <w:r w:rsidRPr="00713B0B">
        <w:rPr>
          <w:szCs w:val="24"/>
        </w:rPr>
        <w:t>769, lo que revela su importancia para todos los usuarios de sistemas de radiocomunicaciones en la UIT y en la comunidad de radiocomunicaciones en general.</w:t>
      </w:r>
    </w:p>
    <w:p w14:paraId="029C6385" w14:textId="1B9C0A64" w:rsidR="005A715D" w:rsidRPr="00713B0B" w:rsidDel="009934C4" w:rsidRDefault="005A715D" w:rsidP="005A715D">
      <w:pPr>
        <w:pStyle w:val="Headingb"/>
      </w:pPr>
      <w:r w:rsidRPr="002E5370">
        <w:t>Recomendaci</w:t>
      </w:r>
      <w:r w:rsidR="003C000A">
        <w:t>o</w:t>
      </w:r>
      <w:r w:rsidRPr="002E5370">
        <w:t>n</w:t>
      </w:r>
      <w:r w:rsidR="003C000A">
        <w:t>es</w:t>
      </w:r>
      <w:r w:rsidRPr="002E5370">
        <w:t xml:space="preserve"> UIT-R:</w:t>
      </w:r>
    </w:p>
    <w:p w14:paraId="44A28935" w14:textId="08175331" w:rsidR="005A715D" w:rsidRPr="00713B0B" w:rsidRDefault="003E5909" w:rsidP="005A715D">
      <w:pPr>
        <w:pStyle w:val="enumlev1"/>
      </w:pPr>
      <w:bookmarkStart w:id="34" w:name="_Toc445972794"/>
      <w:r w:rsidRPr="00713B0B">
        <w:t>–</w:t>
      </w:r>
      <w:r w:rsidR="005A715D" w:rsidRPr="00713B0B">
        <w:tab/>
        <w:t>P.2108-1 «Predicción de las pérdidas debidas a la ocupación del suelo»</w:t>
      </w:r>
    </w:p>
    <w:p w14:paraId="2A769052" w14:textId="39E973E9" w:rsidR="005A715D" w:rsidRPr="00713B0B" w:rsidRDefault="005A715D" w:rsidP="005A715D">
      <w:pPr>
        <w:pStyle w:val="enumlev1"/>
      </w:pPr>
      <w:r w:rsidRPr="00713B0B">
        <w:t>–</w:t>
      </w:r>
      <w:r w:rsidRPr="00713B0B">
        <w:tab/>
        <w:t>P.2040-2 «Efectos de los materiales y estructuras de construcción en la propagación de las ondas radioeléctricas por encima de unos 100</w:t>
      </w:r>
      <w:r w:rsidR="002E5370">
        <w:t> </w:t>
      </w:r>
      <w:r w:rsidRPr="00713B0B">
        <w:t>MHz»</w:t>
      </w:r>
    </w:p>
    <w:p w14:paraId="218B7102" w14:textId="77777777" w:rsidR="005A715D" w:rsidRPr="00713B0B" w:rsidRDefault="005A715D" w:rsidP="005A715D">
      <w:pPr>
        <w:pStyle w:val="enumlev1"/>
      </w:pPr>
      <w:r w:rsidRPr="003C6725">
        <w:t>–</w:t>
      </w:r>
      <w:r w:rsidRPr="00713B0B">
        <w:tab/>
        <w:t>P.2001-4 «Modelo de propagación terrenal de gran alcance polivalente en la gama de frecuencias de 30 MHz a 50 GHz»</w:t>
      </w:r>
    </w:p>
    <w:p w14:paraId="7D7B1DAF" w14:textId="77777777" w:rsidR="005A715D" w:rsidRPr="00713B0B" w:rsidRDefault="005A715D" w:rsidP="005A715D">
      <w:pPr>
        <w:pStyle w:val="enumlev1"/>
      </w:pPr>
      <w:r w:rsidRPr="00713B0B">
        <w:t>–</w:t>
      </w:r>
      <w:r w:rsidRPr="00713B0B">
        <w:tab/>
        <w:t>P.1812-6 «Método de predicción de la propagación específico del trayecto para servicios terrenales punto a zona en la gama de frecuencias de 30 MHz a 6 000 MHz»</w:t>
      </w:r>
    </w:p>
    <w:p w14:paraId="772EB91C" w14:textId="77777777" w:rsidR="005A715D" w:rsidRPr="00713B0B" w:rsidRDefault="005A715D" w:rsidP="005A715D">
      <w:pPr>
        <w:pStyle w:val="enumlev1"/>
      </w:pPr>
      <w:r w:rsidRPr="00713B0B">
        <w:t>–</w:t>
      </w:r>
      <w:r w:rsidRPr="00713B0B">
        <w:tab/>
        <w:t>P.1411-11 «Datos de propagación y métodos de predicción para la planificación de los sistemas de radiocomunicaciones de exteriores de corto alcance y redes de radiocomunicaciones de área local en la gama de frecuencias de 300 MHz a 100 GHz»</w:t>
      </w:r>
    </w:p>
    <w:p w14:paraId="56804ECC" w14:textId="77777777" w:rsidR="005A715D" w:rsidRPr="00713B0B" w:rsidRDefault="005A715D" w:rsidP="005A715D">
      <w:pPr>
        <w:pStyle w:val="enumlev1"/>
      </w:pPr>
      <w:r w:rsidRPr="00713B0B">
        <w:t>–</w:t>
      </w:r>
      <w:r w:rsidRPr="00713B0B">
        <w:tab/>
        <w:t>P.1409-2 «Datos de propagación y métodos de predicción para sistemas que utilizan estaciones en plataformas a gran altitud y otras estaciones elevadas en la estratosfera en frecuencias superiores a 0,7 GHz aproximadamente»</w:t>
      </w:r>
    </w:p>
    <w:p w14:paraId="135BCA0B" w14:textId="77777777" w:rsidR="005A715D" w:rsidRPr="00713B0B" w:rsidRDefault="005A715D" w:rsidP="005A715D">
      <w:pPr>
        <w:pStyle w:val="enumlev1"/>
      </w:pPr>
      <w:r w:rsidRPr="00713B0B">
        <w:t>–</w:t>
      </w:r>
      <w:r w:rsidRPr="00713B0B">
        <w:tab/>
        <w:t>P.1407-8 «Propagación por trayectos múltiples y parametrización de sus características»</w:t>
      </w:r>
    </w:p>
    <w:p w14:paraId="4362CAFB" w14:textId="77777777" w:rsidR="005A715D" w:rsidRPr="00713B0B" w:rsidRDefault="005A715D" w:rsidP="005A715D">
      <w:pPr>
        <w:pStyle w:val="enumlev1"/>
      </w:pPr>
      <w:r w:rsidRPr="00713B0B">
        <w:t>–</w:t>
      </w:r>
      <w:r w:rsidRPr="00713B0B">
        <w:tab/>
        <w:t>P.1238-11 «Datos de propagación y métodos de predicción para la planificación de sistemas de radiocomunicaciones en interiores y redes radioeléctricas de área local en la gama de frecuencias de 300 MHz a 450 GHz»</w:t>
      </w:r>
    </w:p>
    <w:p w14:paraId="4011E7DC" w14:textId="77777777" w:rsidR="005A715D" w:rsidRPr="00713B0B" w:rsidRDefault="005A715D" w:rsidP="005A715D">
      <w:pPr>
        <w:pStyle w:val="enumlev1"/>
      </w:pPr>
      <w:r w:rsidRPr="00713B0B">
        <w:lastRenderedPageBreak/>
        <w:t>–</w:t>
      </w:r>
      <w:r w:rsidRPr="00713B0B">
        <w:tab/>
        <w:t>P.1144-11 «Guía para la aplicación de los métodos de propagación de la Comisión de Estudio 3 de Radiocomunicaciones»</w:t>
      </w:r>
    </w:p>
    <w:p w14:paraId="09F8B340" w14:textId="77777777" w:rsidR="005A715D" w:rsidRPr="00713B0B" w:rsidRDefault="005A715D" w:rsidP="005A715D">
      <w:pPr>
        <w:pStyle w:val="enumlev1"/>
      </w:pPr>
      <w:r w:rsidRPr="00713B0B">
        <w:t>–</w:t>
      </w:r>
      <w:r w:rsidRPr="00713B0B">
        <w:tab/>
        <w:t>P.833-10 «Atenuación debida a la vegetación»</w:t>
      </w:r>
    </w:p>
    <w:p w14:paraId="250146F0" w14:textId="77777777" w:rsidR="005A715D" w:rsidRPr="00713B0B" w:rsidRDefault="005A715D" w:rsidP="005A715D">
      <w:pPr>
        <w:pStyle w:val="enumlev1"/>
      </w:pPr>
      <w:r w:rsidRPr="00713B0B">
        <w:t>–</w:t>
      </w:r>
      <w:r w:rsidRPr="00713B0B">
        <w:tab/>
        <w:t>P.619-5 «Datos de propagación necesarios para evaluar la interferencia entre estaciones en el espacio y estaciones sobre la superficie de la Tierra»</w:t>
      </w:r>
    </w:p>
    <w:p w14:paraId="3D0B30DE" w14:textId="77777777" w:rsidR="005A715D" w:rsidRPr="00713B0B" w:rsidRDefault="005A715D" w:rsidP="005A715D">
      <w:pPr>
        <w:pStyle w:val="enumlev1"/>
      </w:pPr>
      <w:r w:rsidRPr="00713B0B">
        <w:t>–</w:t>
      </w:r>
      <w:r w:rsidRPr="00713B0B">
        <w:tab/>
        <w:t>P.534-6 «Método para calcular la intensidad de campo en presencia de la capa E esporádica»</w:t>
      </w:r>
    </w:p>
    <w:p w14:paraId="715E79A8" w14:textId="77777777" w:rsidR="005A715D" w:rsidRPr="00713B0B" w:rsidRDefault="005A715D" w:rsidP="005A715D">
      <w:pPr>
        <w:pStyle w:val="enumlev1"/>
      </w:pPr>
      <w:r w:rsidRPr="00713B0B">
        <w:t>–</w:t>
      </w:r>
      <w:r w:rsidRPr="00713B0B">
        <w:tab/>
        <w:t>P.530-18 «Datos de propagación y métodos de predicción necesarios para el diseño de sistemas terrenales con visibilidad directa»</w:t>
      </w:r>
    </w:p>
    <w:p w14:paraId="506E0709" w14:textId="77777777" w:rsidR="005A715D" w:rsidRPr="00713B0B" w:rsidRDefault="005A715D" w:rsidP="005A715D">
      <w:pPr>
        <w:pStyle w:val="enumlev1"/>
      </w:pPr>
      <w:r w:rsidRPr="00713B0B">
        <w:t>–</w:t>
      </w:r>
      <w:r w:rsidRPr="00713B0B">
        <w:tab/>
        <w:t>P.528-5 «Método de predicción de la propagación para los servicios móvil aeronáutico y de radionavegación aeronáutica que utilizan las bandas de ondas métricas, decimétricas y centimétricas»</w:t>
      </w:r>
    </w:p>
    <w:p w14:paraId="2810B86A" w14:textId="77777777" w:rsidR="005A715D" w:rsidRPr="00713B0B" w:rsidRDefault="005A715D" w:rsidP="005A715D">
      <w:pPr>
        <w:pStyle w:val="enumlev1"/>
      </w:pPr>
      <w:r w:rsidRPr="00713B0B">
        <w:t>–</w:t>
      </w:r>
      <w:r w:rsidRPr="00713B0B">
        <w:tab/>
        <w:t>P.527-6 «Características eléctricas de la superficie de la Tierra»</w:t>
      </w:r>
    </w:p>
    <w:p w14:paraId="247F93AD" w14:textId="77777777" w:rsidR="005A715D" w:rsidRPr="00713B0B" w:rsidRDefault="005A715D" w:rsidP="005A715D">
      <w:pPr>
        <w:pStyle w:val="enumlev1"/>
      </w:pPr>
      <w:r w:rsidRPr="00713B0B">
        <w:t>–</w:t>
      </w:r>
      <w:r w:rsidRPr="00713B0B">
        <w:tab/>
        <w:t>P.452-17 «Procedimiento de predicción para evaluar la interferencia entre estaciones situadas en la superficie de la Tierra a frecuencias superiores a unos 0,1 GHz»</w:t>
      </w:r>
    </w:p>
    <w:p w14:paraId="4D510D2B" w14:textId="77777777" w:rsidR="005A715D" w:rsidRPr="00713B0B" w:rsidRDefault="005A715D" w:rsidP="005A715D">
      <w:pPr>
        <w:pStyle w:val="enumlev1"/>
      </w:pPr>
      <w:r w:rsidRPr="00713B0B">
        <w:t>–</w:t>
      </w:r>
      <w:r w:rsidRPr="00713B0B">
        <w:tab/>
        <w:t>P.372-15 «Ruido radioeléctrico»</w:t>
      </w:r>
    </w:p>
    <w:p w14:paraId="397302BD" w14:textId="77777777" w:rsidR="005A715D" w:rsidRPr="00713B0B" w:rsidRDefault="005A715D" w:rsidP="005A715D">
      <w:pPr>
        <w:pStyle w:val="enumlev1"/>
      </w:pPr>
      <w:r w:rsidRPr="00713B0B">
        <w:t>–</w:t>
      </w:r>
      <w:r w:rsidRPr="00713B0B">
        <w:tab/>
        <w:t>P.311-18 «Recopilación, presentación y análisis de los datos obtenidos mediante estudios relativos a la propagación de las ondas radioeléctricas»</w:t>
      </w:r>
    </w:p>
    <w:p w14:paraId="0C3CD784" w14:textId="0B1F91DF" w:rsidR="005A715D" w:rsidRPr="00713B0B" w:rsidRDefault="005A715D" w:rsidP="005A715D">
      <w:pPr>
        <w:pStyle w:val="Headingb"/>
      </w:pPr>
      <w:r w:rsidRPr="00713B0B">
        <w:t>Informe</w:t>
      </w:r>
      <w:r w:rsidR="003C000A">
        <w:t>s</w:t>
      </w:r>
      <w:r w:rsidRPr="00713B0B">
        <w:t xml:space="preserve"> UIT-R:</w:t>
      </w:r>
    </w:p>
    <w:p w14:paraId="1524A80A" w14:textId="68833FCD" w:rsidR="005A715D" w:rsidRPr="00713B0B" w:rsidRDefault="005A715D" w:rsidP="005A715D">
      <w:pPr>
        <w:pStyle w:val="enumlev1"/>
      </w:pPr>
      <w:r w:rsidRPr="00713B0B">
        <w:t>–</w:t>
      </w:r>
      <w:r w:rsidRPr="00713B0B">
        <w:tab/>
        <w:t xml:space="preserve">P.2406-2 </w:t>
      </w:r>
      <w:r w:rsidR="006239F0" w:rsidRPr="00713B0B">
        <w:t>«</w:t>
      </w:r>
      <w:r w:rsidR="003C6725" w:rsidRPr="003C000A">
        <w:t>Estudios de datos y modelos de propagación de trayectos cortos para sistemas de radiocomunicaciones terrenales en la gama de frecuencias 6 GHz a 450 GHz</w:t>
      </w:r>
      <w:r w:rsidR="006239F0" w:rsidRPr="00713B0B" w:rsidDel="00987B65">
        <w:t>»</w:t>
      </w:r>
    </w:p>
    <w:p w14:paraId="3A4F4D3E" w14:textId="7043768F" w:rsidR="005A715D" w:rsidRPr="00713B0B" w:rsidRDefault="005A715D" w:rsidP="005A715D">
      <w:pPr>
        <w:pStyle w:val="enumlev1"/>
      </w:pPr>
      <w:r w:rsidRPr="00713B0B">
        <w:t>–</w:t>
      </w:r>
      <w:r w:rsidRPr="00713B0B">
        <w:tab/>
        <w:t xml:space="preserve">P.2346-3 </w:t>
      </w:r>
      <w:r w:rsidR="006239F0" w:rsidRPr="00713B0B">
        <w:t>«</w:t>
      </w:r>
      <w:r w:rsidR="003C6725" w:rsidRPr="003C000A">
        <w:t>Recopilación de datos experimentales de pérdidas de entrada en edificio</w:t>
      </w:r>
      <w:r w:rsidRPr="00713B0B">
        <w:t>»</w:t>
      </w:r>
    </w:p>
    <w:p w14:paraId="0F53138D" w14:textId="5EEA8445" w:rsidR="005A715D" w:rsidRPr="00713B0B" w:rsidRDefault="005A715D" w:rsidP="005A715D">
      <w:r w:rsidRPr="00713B0B">
        <w:t>El próximo bloque de reuniones de los GT</w:t>
      </w:r>
      <w:r w:rsidR="003C6725">
        <w:t> </w:t>
      </w:r>
      <w:r w:rsidRPr="00713B0B">
        <w:t>3J, 3K, 3L y 3M está previsto del 30 de mayo al 10 de junio de 2022 y el de la CE</w:t>
      </w:r>
      <w:r w:rsidR="003C6725">
        <w:t> </w:t>
      </w:r>
      <w:r w:rsidRPr="00713B0B">
        <w:t>3, del 3 al 13 de junio de 2022.</w:t>
      </w:r>
    </w:p>
    <w:p w14:paraId="0121BB67" w14:textId="77777777" w:rsidR="005A715D" w:rsidRPr="00713B0B" w:rsidRDefault="005A715D" w:rsidP="005A715D">
      <w:pPr>
        <w:pStyle w:val="Heading2"/>
      </w:pPr>
      <w:r w:rsidRPr="00854042">
        <w:t>6.3</w:t>
      </w:r>
      <w:r w:rsidRPr="00854042">
        <w:tab/>
        <w:t>Comisión de Estudio 4</w:t>
      </w:r>
      <w:bookmarkEnd w:id="34"/>
    </w:p>
    <w:p w14:paraId="061F1438" w14:textId="77777777" w:rsidR="005A715D" w:rsidRPr="00713B0B" w:rsidRDefault="005A715D" w:rsidP="005A715D">
      <w:r w:rsidRPr="00713B0B">
        <w:t>La CE 4 sigue estudiando sistemas fijos, móviles, de radiodifusión y de radiodeterminación por satélite, características de red, interfaces radioeléctricas, objetivos de calidad de funcionamiento y disponibilidad, así como compartición de recursos órbita/espectro entre sistemas de satélite OSG y no OSG, que permitan el desarrollo sostenible del ecosistema espacial.</w:t>
      </w:r>
    </w:p>
    <w:p w14:paraId="71576BDA" w14:textId="77777777" w:rsidR="005A715D" w:rsidRPr="00713B0B" w:rsidRDefault="005A715D" w:rsidP="003E5909">
      <w:pPr>
        <w:rPr>
          <w:szCs w:val="24"/>
        </w:rPr>
      </w:pPr>
      <w:r w:rsidRPr="00713B0B">
        <w:t>Los Grupos de Trabajo de la Comisión de Estudio 4 siguen adelante con los preparativos para la CMR-23 en relación con los puntos del orden del día de los que son los responsables, así como con otros puntos del orden del día para los que son grupos colaboradores.</w:t>
      </w:r>
      <w:r w:rsidRPr="00713B0B">
        <w:rPr>
          <w:szCs w:val="24"/>
        </w:rPr>
        <w:t xml:space="preserve"> </w:t>
      </w:r>
      <w:bookmarkStart w:id="35" w:name="lt_pId221"/>
      <w:r w:rsidRPr="00713B0B">
        <w:rPr>
          <w:szCs w:val="24"/>
        </w:rPr>
        <w:t>También se ha avanzado la elaboración del proyecto de nuevo Informe sobre satélites pequeños.</w:t>
      </w:r>
      <w:bookmarkEnd w:id="35"/>
    </w:p>
    <w:p w14:paraId="41D188C8" w14:textId="4D231099" w:rsidR="005A715D" w:rsidRPr="00713B0B" w:rsidRDefault="005A715D" w:rsidP="003E5909">
      <w:bookmarkStart w:id="36" w:name="lt_pId222"/>
      <w:r w:rsidRPr="00713B0B">
        <w:t>Los GT</w:t>
      </w:r>
      <w:r w:rsidR="00C0536E">
        <w:t> </w:t>
      </w:r>
      <w:r w:rsidRPr="00713B0B">
        <w:t xml:space="preserve">4A, 4B y 4C han creado varios Grupos por </w:t>
      </w:r>
      <w:r w:rsidR="008D6185" w:rsidRPr="00713B0B">
        <w:t>c</w:t>
      </w:r>
      <w:r w:rsidRPr="00713B0B">
        <w:t xml:space="preserve">orrespondencia para avanzar sus trabajos entre reuniones oficiales. En 2021, los Grupos por </w:t>
      </w:r>
      <w:r w:rsidR="008D6185" w:rsidRPr="00713B0B">
        <w:t>c</w:t>
      </w:r>
      <w:r w:rsidRPr="00713B0B">
        <w:t>orrespondencia creados por el GT</w:t>
      </w:r>
      <w:bookmarkStart w:id="37" w:name="lt_pId223"/>
      <w:bookmarkEnd w:id="36"/>
      <w:r w:rsidR="00692058">
        <w:t> </w:t>
      </w:r>
      <w:r w:rsidRPr="00713B0B">
        <w:t>4A se reunieron más de 94 horas.</w:t>
      </w:r>
      <w:bookmarkEnd w:id="37"/>
    </w:p>
    <w:p w14:paraId="1E79418A" w14:textId="6334B2B2" w:rsidR="005A715D" w:rsidRPr="00713B0B" w:rsidRDefault="005A715D" w:rsidP="003E5909">
      <w:bookmarkStart w:id="38" w:name="lt_pId224"/>
      <w:r w:rsidRPr="00713B0B">
        <w:t>Desde la celebración del GAR-21, se han adoptado y aprobado cinco Recomendaciones UIT-R revisadas. La CE</w:t>
      </w:r>
      <w:r w:rsidR="00854042">
        <w:t> </w:t>
      </w:r>
      <w:r w:rsidRPr="00713B0B">
        <w:t>4 también aprobó dos Informes UIT-R nuevos y uno revisado</w:t>
      </w:r>
      <w:bookmarkStart w:id="39" w:name="lt_pId225"/>
      <w:bookmarkEnd w:id="38"/>
      <w:r w:rsidRPr="00713B0B">
        <w:t>.</w:t>
      </w:r>
      <w:bookmarkEnd w:id="39"/>
    </w:p>
    <w:p w14:paraId="2CD41FA7" w14:textId="24314CBC" w:rsidR="005A715D" w:rsidRPr="00713B0B" w:rsidDel="009934C4" w:rsidRDefault="005A715D" w:rsidP="005A715D">
      <w:pPr>
        <w:pStyle w:val="Headingb"/>
      </w:pPr>
      <w:r w:rsidRPr="00FA3E88">
        <w:t>Recomendaci</w:t>
      </w:r>
      <w:r w:rsidR="003C000A">
        <w:t>o</w:t>
      </w:r>
      <w:r w:rsidRPr="00FA3E88">
        <w:t>n</w:t>
      </w:r>
      <w:r w:rsidR="003C000A">
        <w:t>es</w:t>
      </w:r>
      <w:r w:rsidRPr="00FA3E88">
        <w:t xml:space="preserve"> UIT-R:</w:t>
      </w:r>
    </w:p>
    <w:p w14:paraId="60CF1F4F" w14:textId="77777777" w:rsidR="005A715D" w:rsidRPr="00713B0B" w:rsidRDefault="005A715D" w:rsidP="005A715D">
      <w:pPr>
        <w:pStyle w:val="enumlev1"/>
      </w:pPr>
      <w:r w:rsidRPr="00713B0B">
        <w:t>–</w:t>
      </w:r>
      <w:r w:rsidRPr="00713B0B">
        <w:tab/>
        <w:t>M.1902-2 «Características y criterios de protección de las estaciones terrenas receptoras del servicio de radionavegación por satélite (espacio-Tierra) que funcionan en la banda 1 215</w:t>
      </w:r>
      <w:r w:rsidRPr="00713B0B">
        <w:noBreakHyphen/>
        <w:t>1 300 MHz»</w:t>
      </w:r>
    </w:p>
    <w:p w14:paraId="04F10B25" w14:textId="4C4D9532" w:rsidR="005A715D" w:rsidRPr="00713B0B" w:rsidRDefault="005A715D" w:rsidP="005A715D">
      <w:pPr>
        <w:pStyle w:val="enumlev1"/>
      </w:pPr>
      <w:r w:rsidRPr="00713B0B">
        <w:lastRenderedPageBreak/>
        <w:t>–</w:t>
      </w:r>
      <w:r w:rsidRPr="00713B0B">
        <w:tab/>
        <w:t>M.1901-3 «Directrices sobre Recomendaciones del UIT</w:t>
      </w:r>
      <w:r w:rsidR="00FA3E88">
        <w:noBreakHyphen/>
      </w:r>
      <w:r w:rsidRPr="00713B0B">
        <w:t>R relativas a sistemas y redes del servicio de radionavegación por satélite que funcionan en las bandas de frecuencias 1 164</w:t>
      </w:r>
      <w:r w:rsidRPr="00713B0B">
        <w:noBreakHyphen/>
        <w:t>1 215 MHz, 1 215-1 300 MHz, 1 559</w:t>
      </w:r>
      <w:r w:rsidRPr="00713B0B">
        <w:noBreakHyphen/>
        <w:t>1 610 MHz, 5 000-5 010 MHz y 5 010</w:t>
      </w:r>
      <w:r w:rsidRPr="00713B0B">
        <w:noBreakHyphen/>
        <w:t>5 030 MHz»</w:t>
      </w:r>
    </w:p>
    <w:p w14:paraId="2E453E12" w14:textId="14906324" w:rsidR="005A715D" w:rsidRPr="00713B0B" w:rsidRDefault="005A715D" w:rsidP="005A715D">
      <w:pPr>
        <w:pStyle w:val="enumlev1"/>
        <w:rPr>
          <w:iCs/>
        </w:rPr>
      </w:pPr>
      <w:r w:rsidRPr="00713B0B">
        <w:t>–</w:t>
      </w:r>
      <w:r w:rsidRPr="00713B0B">
        <w:tab/>
      </w:r>
      <w:r w:rsidRPr="00713B0B">
        <w:rPr>
          <w:iCs/>
        </w:rPr>
        <w:t>M.1787-</w:t>
      </w:r>
      <w:r w:rsidR="00FA3E88">
        <w:rPr>
          <w:iCs/>
        </w:rPr>
        <w:t>4</w:t>
      </w:r>
      <w:r w:rsidRPr="00713B0B">
        <w:rPr>
          <w:iCs/>
        </w:rPr>
        <w:t xml:space="preserve"> «Descripción de sistemas y redes del servicio de radionavegación por satélite (espacio Tierra y espacio-espacio) y características técnicas de estaciones espaciales transmisoras que funcionan en las bandas 1</w:t>
      </w:r>
      <w:r w:rsidR="00FA3E88">
        <w:rPr>
          <w:iCs/>
        </w:rPr>
        <w:t> </w:t>
      </w:r>
      <w:r w:rsidRPr="00713B0B">
        <w:rPr>
          <w:iCs/>
        </w:rPr>
        <w:t>164</w:t>
      </w:r>
      <w:r w:rsidR="00FA3E88">
        <w:rPr>
          <w:iCs/>
        </w:rPr>
        <w:noBreakHyphen/>
      </w:r>
      <w:r w:rsidRPr="00713B0B">
        <w:rPr>
          <w:iCs/>
        </w:rPr>
        <w:t>1</w:t>
      </w:r>
      <w:r w:rsidR="00FA3E88">
        <w:rPr>
          <w:iCs/>
        </w:rPr>
        <w:t> </w:t>
      </w:r>
      <w:r w:rsidRPr="00713B0B">
        <w:rPr>
          <w:iCs/>
        </w:rPr>
        <w:t>215</w:t>
      </w:r>
      <w:r w:rsidR="00FA3E88">
        <w:rPr>
          <w:iCs/>
        </w:rPr>
        <w:t> </w:t>
      </w:r>
      <w:r w:rsidRPr="00713B0B">
        <w:rPr>
          <w:iCs/>
        </w:rPr>
        <w:t>MHz, 1</w:t>
      </w:r>
      <w:r w:rsidR="00FA3E88">
        <w:rPr>
          <w:iCs/>
        </w:rPr>
        <w:t> </w:t>
      </w:r>
      <w:r w:rsidRPr="00713B0B">
        <w:rPr>
          <w:iCs/>
        </w:rPr>
        <w:t>215-1</w:t>
      </w:r>
      <w:r w:rsidR="00FA3E88">
        <w:rPr>
          <w:iCs/>
        </w:rPr>
        <w:t> </w:t>
      </w:r>
      <w:r w:rsidRPr="00713B0B">
        <w:rPr>
          <w:iCs/>
        </w:rPr>
        <w:t>300</w:t>
      </w:r>
      <w:r w:rsidR="00FA3E88">
        <w:rPr>
          <w:iCs/>
        </w:rPr>
        <w:t> </w:t>
      </w:r>
      <w:r w:rsidRPr="00713B0B">
        <w:rPr>
          <w:iCs/>
        </w:rPr>
        <w:t>MHz y 1</w:t>
      </w:r>
      <w:r w:rsidR="00FA3E88">
        <w:rPr>
          <w:iCs/>
        </w:rPr>
        <w:t> </w:t>
      </w:r>
      <w:r w:rsidRPr="00713B0B">
        <w:rPr>
          <w:iCs/>
        </w:rPr>
        <w:t>559</w:t>
      </w:r>
      <w:r w:rsidR="00FA3E88">
        <w:rPr>
          <w:iCs/>
        </w:rPr>
        <w:noBreakHyphen/>
      </w:r>
      <w:r w:rsidRPr="00713B0B">
        <w:rPr>
          <w:iCs/>
        </w:rPr>
        <w:t>1</w:t>
      </w:r>
      <w:r w:rsidR="00FA3E88">
        <w:rPr>
          <w:iCs/>
        </w:rPr>
        <w:t> </w:t>
      </w:r>
      <w:r w:rsidRPr="00713B0B">
        <w:rPr>
          <w:iCs/>
        </w:rPr>
        <w:t>610</w:t>
      </w:r>
      <w:r w:rsidR="00FA3E88">
        <w:rPr>
          <w:iCs/>
        </w:rPr>
        <w:t> </w:t>
      </w:r>
      <w:r w:rsidRPr="00713B0B">
        <w:rPr>
          <w:iCs/>
        </w:rPr>
        <w:t>MHz»</w:t>
      </w:r>
    </w:p>
    <w:p w14:paraId="316AF1C9" w14:textId="77777777" w:rsidR="005A715D" w:rsidRPr="00713B0B" w:rsidRDefault="005A715D" w:rsidP="005A715D">
      <w:pPr>
        <w:pStyle w:val="enumlev1"/>
      </w:pPr>
      <w:r w:rsidRPr="00713B0B">
        <w:t>–</w:t>
      </w:r>
      <w:r w:rsidRPr="00713B0B">
        <w:tab/>
        <w:t>S.2131-1 «Método para determinar los objetivos de calidad de funcionamiento para trayectos digitales ficticios de referencia que utilizan codificación y modulación adaptativas»</w:t>
      </w:r>
    </w:p>
    <w:p w14:paraId="6ECA7D2A" w14:textId="77777777" w:rsidR="005A715D" w:rsidRPr="00713B0B" w:rsidRDefault="005A715D" w:rsidP="005A715D">
      <w:pPr>
        <w:pStyle w:val="enumlev1"/>
      </w:pPr>
      <w:r w:rsidRPr="00713B0B">
        <w:t>–</w:t>
      </w:r>
      <w:r w:rsidRPr="00713B0B">
        <w:tab/>
        <w:t>S.1714 «Metodología estática para calcular la dfpe</w:t>
      </w:r>
      <w:r w:rsidRPr="00713B0B">
        <w:rPr>
          <w:vertAlign w:val="subscript"/>
        </w:rPr>
        <w:sym w:font="Symbol" w:char="F0AF"/>
      </w:r>
      <w:r w:rsidRPr="00713B0B">
        <w:t xml:space="preserve"> a fin de facilitar la coordinación de antenas de gran tamaño en virtud de los números 9.7A y 9.7B del Reglamento de Radiocomunicaciones»</w:t>
      </w:r>
    </w:p>
    <w:p w14:paraId="6930A998" w14:textId="77777777" w:rsidR="005A715D" w:rsidRPr="00713B0B" w:rsidRDefault="005A715D" w:rsidP="005A715D">
      <w:pPr>
        <w:pStyle w:val="Headingb"/>
      </w:pPr>
      <w:r w:rsidRPr="00614459">
        <w:t>Informes UIT-R:</w:t>
      </w:r>
    </w:p>
    <w:p w14:paraId="0AE71772" w14:textId="11EAF2D0" w:rsidR="005A715D" w:rsidRPr="00713B0B" w:rsidRDefault="005A715D" w:rsidP="005A715D">
      <w:pPr>
        <w:pStyle w:val="enumlev1"/>
      </w:pPr>
      <w:r w:rsidRPr="00713B0B">
        <w:t>–</w:t>
      </w:r>
      <w:r w:rsidRPr="00713B0B">
        <w:tab/>
      </w:r>
      <w:bookmarkStart w:id="40" w:name="lt_pId239"/>
      <w:r w:rsidRPr="00713B0B">
        <w:t xml:space="preserve">BO.2497-0 </w:t>
      </w:r>
      <w:r w:rsidR="000B7EA8">
        <w:t>«</w:t>
      </w:r>
      <w:r w:rsidRPr="00713B0B">
        <w:t>Characteristics and effectiveness of frequency sharing criteria for the broadcasting-satellite service in Regions 1 and 3 subject to RR Appendix 30</w:t>
      </w:r>
      <w:bookmarkEnd w:id="40"/>
      <w:r w:rsidR="000B7EA8">
        <w:t>»</w:t>
      </w:r>
    </w:p>
    <w:p w14:paraId="5E7B211E" w14:textId="242664DA" w:rsidR="005A715D" w:rsidRPr="00713B0B" w:rsidRDefault="005A715D" w:rsidP="005A715D">
      <w:pPr>
        <w:pStyle w:val="enumlev1"/>
      </w:pPr>
      <w:r w:rsidRPr="00713B0B">
        <w:t>–</w:t>
      </w:r>
      <w:r w:rsidRPr="00713B0B">
        <w:tab/>
      </w:r>
      <w:bookmarkStart w:id="41" w:name="lt_pId241"/>
      <w:r w:rsidRPr="00713B0B">
        <w:t xml:space="preserve">M.2496-0 </w:t>
      </w:r>
      <w:r w:rsidR="000B7EA8">
        <w:t>«</w:t>
      </w:r>
      <w:r w:rsidRPr="00713B0B">
        <w:t>Use of radionavigation-satellite service receiver characteristics in assessment of interference from pulsed sources in the 1 164-1 215 MHz, 1 215-1 300 MHz and 1 559</w:t>
      </w:r>
      <w:r w:rsidRPr="00713B0B">
        <w:noBreakHyphen/>
        <w:t>1 610 MHz frequency bands</w:t>
      </w:r>
      <w:bookmarkEnd w:id="41"/>
      <w:r w:rsidR="000B7EA8">
        <w:t>»</w:t>
      </w:r>
    </w:p>
    <w:p w14:paraId="34B25849" w14:textId="661D2475" w:rsidR="005A715D" w:rsidRPr="00713B0B" w:rsidRDefault="005A715D" w:rsidP="00614459">
      <w:pPr>
        <w:pStyle w:val="enumlev1"/>
      </w:pPr>
      <w:r w:rsidRPr="00713B0B">
        <w:t>–</w:t>
      </w:r>
      <w:r w:rsidRPr="00713B0B">
        <w:tab/>
        <w:t xml:space="preserve">M.2220-1 </w:t>
      </w:r>
      <w:r w:rsidR="006239F0" w:rsidRPr="00713B0B">
        <w:t>«</w:t>
      </w:r>
      <w:r w:rsidR="00614459" w:rsidRPr="003C000A">
        <w:t>Método de cálculo para determinar los parámetros de interferencia agregada de sistemas de radiofrecuencia de impulsos operando en las bandas 1 164-1 215 MHz y 1 215</w:t>
      </w:r>
      <w:r w:rsidR="00614459" w:rsidRPr="003C000A">
        <w:noBreakHyphen/>
        <w:t>1 300 MHz, y cerca de ellas, que pueden afectar a receptores del servicio de radionavegación por satélite en aeronaves y en tierra, operando en esas bandas de frecuencias</w:t>
      </w:r>
      <w:r w:rsidRPr="00713B0B">
        <w:t>»</w:t>
      </w:r>
    </w:p>
    <w:p w14:paraId="38F1C0F0" w14:textId="13746CFA" w:rsidR="005A715D" w:rsidRPr="00713B0B" w:rsidRDefault="005A715D" w:rsidP="005A715D">
      <w:pPr>
        <w:tabs>
          <w:tab w:val="clear" w:pos="794"/>
          <w:tab w:val="clear" w:pos="1191"/>
          <w:tab w:val="clear" w:pos="1588"/>
          <w:tab w:val="clear" w:pos="1985"/>
        </w:tabs>
      </w:pPr>
      <w:r w:rsidRPr="00713B0B">
        <w:t>La próxima reunión de los GT</w:t>
      </w:r>
      <w:r w:rsidR="003C000A">
        <w:t> </w:t>
      </w:r>
      <w:r w:rsidRPr="00713B0B">
        <w:t>4A, 4B y 4C tendrá lugar del 4 al 20 de mayo de 2022. La reunión de la CE</w:t>
      </w:r>
      <w:r w:rsidR="00614459">
        <w:t> </w:t>
      </w:r>
      <w:r w:rsidRPr="00713B0B">
        <w:t>4 está prevista para el 23 de septiembre de 2022.</w:t>
      </w:r>
    </w:p>
    <w:p w14:paraId="2D83778D" w14:textId="77777777" w:rsidR="005A715D" w:rsidRPr="00713B0B" w:rsidRDefault="005A715D" w:rsidP="005A715D">
      <w:pPr>
        <w:pStyle w:val="Heading2"/>
      </w:pPr>
      <w:bookmarkStart w:id="42" w:name="_Toc445972795"/>
      <w:r w:rsidRPr="00A83BB4">
        <w:t>6.4</w:t>
      </w:r>
      <w:r w:rsidRPr="00A83BB4">
        <w:tab/>
        <w:t>Comisión de Estudio 5</w:t>
      </w:r>
      <w:bookmarkEnd w:id="42"/>
    </w:p>
    <w:p w14:paraId="278E3730" w14:textId="77777777" w:rsidR="005A715D" w:rsidRPr="00713B0B" w:rsidRDefault="005A715D" w:rsidP="005A715D">
      <w:r w:rsidRPr="00713B0B">
        <w:t>La CE 5 sigue estudiando sistemas y redes para los servicios fijo, móvil, de radiodeterminación, de aficionados y de aficionados por satélite, abriendo camino a la continuación del desarrollo de todos esos servicios y, en particular, IMT, HAPS, STI y PPDR.</w:t>
      </w:r>
    </w:p>
    <w:p w14:paraId="15E7F38C" w14:textId="67D976FD" w:rsidR="005A715D" w:rsidRPr="00713B0B" w:rsidRDefault="005A715D" w:rsidP="005A715D">
      <w:bookmarkStart w:id="43" w:name="lt_pId249"/>
      <w:r w:rsidRPr="00713B0B">
        <w:t>En 2021, el GT</w:t>
      </w:r>
      <w:r w:rsidR="00A83BB4">
        <w:t> </w:t>
      </w:r>
      <w:r w:rsidRPr="00713B0B">
        <w:t>5A nombró dos Vicepresidentes (Sra. Amy Sanders (EE.UU.) y Sr. Michael Krämer (Intel Corporation)).</w:t>
      </w:r>
      <w:bookmarkEnd w:id="43"/>
      <w:r w:rsidRPr="00713B0B">
        <w:t xml:space="preserve"> </w:t>
      </w:r>
      <w:bookmarkStart w:id="44" w:name="lt_pId250"/>
      <w:r w:rsidRPr="00713B0B">
        <w:t>Asimismo, el GT</w:t>
      </w:r>
      <w:r w:rsidR="00A83BB4">
        <w:t> </w:t>
      </w:r>
      <w:r w:rsidRPr="00713B0B">
        <w:t>5B nombró al Sr. Jia Huang (China) y al Sr. Martin Weber (Alemania) Vicepresidentes. La CE</w:t>
      </w:r>
      <w:r w:rsidR="00A83BB4">
        <w:t> </w:t>
      </w:r>
      <w:r w:rsidRPr="00713B0B">
        <w:t>5 refrendó esos nombramientos</w:t>
      </w:r>
      <w:bookmarkStart w:id="45" w:name="lt_pId251"/>
      <w:bookmarkEnd w:id="44"/>
      <w:r w:rsidRPr="00713B0B">
        <w:t>.</w:t>
      </w:r>
      <w:bookmarkEnd w:id="45"/>
    </w:p>
    <w:p w14:paraId="7E7703CB" w14:textId="4FD71981" w:rsidR="005A715D" w:rsidRPr="00713B0B" w:rsidRDefault="005A715D" w:rsidP="005A715D">
      <w:pPr>
        <w:rPr>
          <w:szCs w:val="24"/>
        </w:rPr>
      </w:pPr>
      <w:r w:rsidRPr="00713B0B">
        <w:rPr>
          <w:szCs w:val="24"/>
        </w:rPr>
        <w:t>En su reunión de noviembre de 2021, el GT</w:t>
      </w:r>
      <w:r w:rsidR="00A83BB4">
        <w:rPr>
          <w:szCs w:val="24"/>
        </w:rPr>
        <w:t> </w:t>
      </w:r>
      <w:r w:rsidRPr="00713B0B">
        <w:rPr>
          <w:szCs w:val="24"/>
        </w:rPr>
        <w:t xml:space="preserve">5C acordó iniciar los estudios requeridos en virtud de la Resolución </w:t>
      </w:r>
      <w:hyperlink r:id="rId9" w:history="1">
        <w:r w:rsidR="00A83BB4">
          <w:rPr>
            <w:rStyle w:val="Hyperlink"/>
            <w:szCs w:val="24"/>
          </w:rPr>
          <w:t>UIT-R 59-2</w:t>
        </w:r>
      </w:hyperlink>
      <w:r w:rsidRPr="00713B0B">
        <w:rPr>
          <w:szCs w:val="24"/>
        </w:rPr>
        <w:t>, sobre la disponibilidad de bandas de frecuencias para la armonización mundial y/o regional y las condiciones para su utilización por el periodismo electrónico terrenal (ENG) y propuso un formato normalizado para la comunicación de esa información a la UIT.</w:t>
      </w:r>
      <w:r w:rsidRPr="00713B0B">
        <w:t xml:space="preserve"> Por medio de l</w:t>
      </w:r>
      <w:r w:rsidRPr="00713B0B">
        <w:rPr>
          <w:szCs w:val="24"/>
        </w:rPr>
        <w:t xml:space="preserve">a Circular Administrativa </w:t>
      </w:r>
      <w:hyperlink r:id="rId10" w:history="1">
        <w:r w:rsidRPr="00A83BB4">
          <w:rPr>
            <w:rStyle w:val="Hyperlink"/>
            <w:szCs w:val="24"/>
          </w:rPr>
          <w:t>CACE/1008</w:t>
        </w:r>
      </w:hyperlink>
      <w:r w:rsidRPr="00713B0B">
        <w:rPr>
          <w:szCs w:val="24"/>
        </w:rPr>
        <w:t xml:space="preserve"> se informó a los Estados Miembros de esta labor y de la necesidad de recabar la información pertinente de las administraciones nacionales.</w:t>
      </w:r>
      <w:r w:rsidRPr="00713B0B">
        <w:t xml:space="preserve"> Se ha creado</w:t>
      </w:r>
      <w:r w:rsidRPr="00713B0B">
        <w:rPr>
          <w:szCs w:val="24"/>
        </w:rPr>
        <w:t xml:space="preserve"> una página web del UIT-R para consolidar los enlaces a las listas de información sobre ENG de las administraciones.</w:t>
      </w:r>
      <w:r w:rsidRPr="00713B0B">
        <w:rPr>
          <w:rFonts w:ascii="Calibri" w:hAnsi="Calibri" w:cs="Calibri"/>
          <w:szCs w:val="22"/>
        </w:rPr>
        <w:t xml:space="preserve"> </w:t>
      </w:r>
      <w:r w:rsidRPr="00713B0B">
        <w:rPr>
          <w:szCs w:val="24"/>
        </w:rPr>
        <w:t>La finalidad de esta base de datos es proporcionar la información necesaria para facilitar las operaciones de ENG en un país (o zona).</w:t>
      </w:r>
    </w:p>
    <w:p w14:paraId="36D97CF4" w14:textId="721A1F35" w:rsidR="005A715D" w:rsidRPr="00713B0B" w:rsidRDefault="005A715D" w:rsidP="00AC2775">
      <w:pPr>
        <w:keepNext/>
        <w:keepLines/>
      </w:pPr>
      <w:r w:rsidRPr="00D7454A">
        <w:lastRenderedPageBreak/>
        <w:t>Se</w:t>
      </w:r>
      <w:r w:rsidRPr="00713B0B">
        <w:t xml:space="preserve"> aprobaron una Cuestión UIT-R nueva, once Recomendaciones revisadas, así como cuatro Informes UIT-R nuevos y dos revisados pertenecientes al ámbito de competencia de la CE 5. El</w:t>
      </w:r>
      <w:r w:rsidR="00AC2775">
        <w:t> </w:t>
      </w:r>
      <w:r w:rsidRPr="00713B0B">
        <w:t>GT</w:t>
      </w:r>
      <w:r w:rsidR="00AC2775">
        <w:t> </w:t>
      </w:r>
      <w:r w:rsidRPr="00713B0B">
        <w:t xml:space="preserve">5D actualizó el </w:t>
      </w:r>
      <w:r w:rsidR="00D7454A">
        <w:t>«</w:t>
      </w:r>
      <w:r w:rsidRPr="00713B0B">
        <w:t>Manual sobre tendencias mundiales de las IMT</w:t>
      </w:r>
      <w:r w:rsidR="00D7454A">
        <w:t>»</w:t>
      </w:r>
      <w:r w:rsidRPr="00713B0B">
        <w:t xml:space="preserve"> para incluir las interfaces radioeléctricas IMT-2020, convirtiéndolo en el </w:t>
      </w:r>
      <w:r w:rsidR="00D7454A">
        <w:t>«</w:t>
      </w:r>
      <w:r w:rsidRPr="00713B0B">
        <w:t>Manual sobre las IMT</w:t>
      </w:r>
      <w:r w:rsidR="00D7454A">
        <w:t>»</w:t>
      </w:r>
      <w:r w:rsidRPr="00713B0B">
        <w:t>. El GT</w:t>
      </w:r>
      <w:r w:rsidR="00AC2775">
        <w:t> </w:t>
      </w:r>
      <w:r w:rsidRPr="00713B0B">
        <w:t xml:space="preserve">5A también aprobó una nueva edición del Manual del servicio móvil terrestre (incluso acceso inalámbrico) </w:t>
      </w:r>
      <w:r w:rsidR="00AC2775">
        <w:t>–</w:t>
      </w:r>
      <w:r w:rsidR="006239F0" w:rsidRPr="00713B0B">
        <w:t xml:space="preserve"> Volumen</w:t>
      </w:r>
      <w:r w:rsidR="00AC2775">
        <w:t> </w:t>
      </w:r>
      <w:r w:rsidRPr="00713B0B">
        <w:t>4: Sistemas de transporte inteligentes. Además, el GT</w:t>
      </w:r>
      <w:r w:rsidR="00AC2775">
        <w:t> </w:t>
      </w:r>
      <w:r w:rsidRPr="00713B0B">
        <w:t xml:space="preserve">5A decidió suprimir el </w:t>
      </w:r>
      <w:hyperlink r:id="rId11" w:history="1">
        <w:r w:rsidRPr="003C000A">
          <w:rPr>
            <w:rStyle w:val="Hyperlink"/>
          </w:rPr>
          <w:t>Compendio de los trabajos de la UIT sobre telecomunicaciones de emergencia</w:t>
        </w:r>
      </w:hyperlink>
      <w:r w:rsidRPr="00713B0B">
        <w:t>, decisión que fue refrendada por la</w:t>
      </w:r>
      <w:r w:rsidR="00AC2775">
        <w:t> </w:t>
      </w:r>
      <w:r w:rsidRPr="00713B0B">
        <w:t>CE</w:t>
      </w:r>
      <w:r w:rsidR="00824C15">
        <w:t> </w:t>
      </w:r>
      <w:r w:rsidRPr="00713B0B">
        <w:t>5.</w:t>
      </w:r>
    </w:p>
    <w:p w14:paraId="509B805F" w14:textId="7017E9FC" w:rsidR="005A715D" w:rsidRPr="00713B0B" w:rsidRDefault="005A715D" w:rsidP="005A715D">
      <w:pPr>
        <w:pStyle w:val="Headingb"/>
      </w:pPr>
      <w:bookmarkStart w:id="46" w:name="lt_pId262"/>
      <w:r w:rsidRPr="009459DD">
        <w:t>Cuestión UIT-R:</w:t>
      </w:r>
      <w:bookmarkEnd w:id="46"/>
    </w:p>
    <w:p w14:paraId="78988D48" w14:textId="77777777" w:rsidR="005A715D" w:rsidRPr="00713B0B" w:rsidRDefault="005A715D" w:rsidP="005A715D">
      <w:pPr>
        <w:pStyle w:val="enumlev1"/>
      </w:pPr>
      <w:r w:rsidRPr="00713B0B">
        <w:t>–</w:t>
      </w:r>
      <w:r w:rsidRPr="00713B0B">
        <w:tab/>
        <w:t>263/5 «</w:t>
      </w:r>
      <w:r w:rsidRPr="00713B0B">
        <w:rPr>
          <w:szCs w:val="22"/>
        </w:rPr>
        <w:t>Estudios relacionados con el futuro desarrollo de los RSTT</w:t>
      </w:r>
      <w:r w:rsidRPr="00713B0B">
        <w:t>»</w:t>
      </w:r>
    </w:p>
    <w:p w14:paraId="0F70FC05" w14:textId="77777777" w:rsidR="005A715D" w:rsidRPr="00713B0B" w:rsidRDefault="005A715D" w:rsidP="005A715D">
      <w:pPr>
        <w:pStyle w:val="Headingb"/>
      </w:pPr>
      <w:r w:rsidRPr="004051AD">
        <w:t>Recomendaciones UIT-R:</w:t>
      </w:r>
    </w:p>
    <w:p w14:paraId="7C80FED7" w14:textId="77777777" w:rsidR="005A715D" w:rsidRPr="00713B0B" w:rsidRDefault="005A715D" w:rsidP="005A715D">
      <w:pPr>
        <w:pStyle w:val="enumlev1"/>
      </w:pPr>
      <w:r w:rsidRPr="00713B0B">
        <w:t>–</w:t>
      </w:r>
      <w:r w:rsidRPr="00713B0B">
        <w:tab/>
        <w:t>F.2005-1 «Disposiciones de bloques y de canales de radiofrecuencias para sistemas fijos inalámbricos que funcionan en la banda 42 GHz (de 40,5 a 43,5 GHz)»</w:t>
      </w:r>
    </w:p>
    <w:p w14:paraId="7BBD72B1" w14:textId="11798730" w:rsidR="005A715D" w:rsidRPr="00713B0B" w:rsidRDefault="005A715D" w:rsidP="005A715D">
      <w:pPr>
        <w:pStyle w:val="enumlev1"/>
      </w:pPr>
      <w:r w:rsidRPr="00713B0B">
        <w:t>–</w:t>
      </w:r>
      <w:r w:rsidRPr="00713B0B">
        <w:tab/>
        <w:t>F.1777-3 «Características de los sistemas de radiodifusión de televisión en exteriores, periodismo electrónico y producción electrónica en el terreno en el servicio móvil que se utilizarán en los estudios de compartición</w:t>
      </w:r>
      <w:r w:rsidR="004051AD">
        <w:t>»</w:t>
      </w:r>
    </w:p>
    <w:p w14:paraId="2DE5E26B" w14:textId="0EB6BCED" w:rsidR="005A715D" w:rsidRPr="00713B0B" w:rsidRDefault="005A715D" w:rsidP="005A715D">
      <w:pPr>
        <w:pStyle w:val="enumlev1"/>
      </w:pPr>
      <w:r w:rsidRPr="00713B0B">
        <w:t>–</w:t>
      </w:r>
      <w:r w:rsidRPr="00713B0B">
        <w:tab/>
        <w:t>F.749-4 «Disposición de canales radio de radiofrecuencias para sistemas del servicio fijo que funcionan en subbandas de la banda 36-40,5</w:t>
      </w:r>
      <w:r w:rsidR="004051AD">
        <w:t> </w:t>
      </w:r>
      <w:r w:rsidRPr="00713B0B">
        <w:t>GHz»</w:t>
      </w:r>
    </w:p>
    <w:p w14:paraId="672BEEEC" w14:textId="24242536" w:rsidR="005A715D" w:rsidRPr="00713B0B" w:rsidRDefault="005A715D" w:rsidP="005A715D">
      <w:pPr>
        <w:pStyle w:val="enumlev1"/>
      </w:pPr>
      <w:r w:rsidRPr="00713B0B">
        <w:t>–</w:t>
      </w:r>
      <w:r w:rsidRPr="00713B0B">
        <w:tab/>
        <w:t xml:space="preserve">F.637-5 </w:t>
      </w:r>
      <w:r w:rsidR="006239F0" w:rsidRPr="00713B0B">
        <w:t>«Disposición</w:t>
      </w:r>
      <w:r w:rsidRPr="00713B0B">
        <w:t xml:space="preserve"> de radiocanales para los sistemas inalámbricos fijos que funcionan en la banda 21,2-23,6 </w:t>
      </w:r>
      <w:r w:rsidR="006239F0" w:rsidRPr="00713B0B">
        <w:t>GHz»</w:t>
      </w:r>
    </w:p>
    <w:p w14:paraId="1B79BB96" w14:textId="77777777" w:rsidR="005A715D" w:rsidRPr="00713B0B" w:rsidRDefault="005A715D" w:rsidP="005A715D">
      <w:pPr>
        <w:pStyle w:val="enumlev1"/>
      </w:pPr>
      <w:r w:rsidRPr="00713B0B">
        <w:t>–</w:t>
      </w:r>
      <w:r w:rsidRPr="00713B0B">
        <w:tab/>
        <w:t>F.595-11 «Disposición de radiocanales para sistemas inalámbricos fijos que funcionan en la banda de frecuencias 17,7-19,7 GHz»</w:t>
      </w:r>
    </w:p>
    <w:p w14:paraId="281E39E4" w14:textId="137A83E0" w:rsidR="005A715D" w:rsidRPr="00713B0B" w:rsidRDefault="005A715D" w:rsidP="005A715D">
      <w:pPr>
        <w:pStyle w:val="enumlev1"/>
      </w:pPr>
      <w:r w:rsidRPr="00713B0B">
        <w:t>–</w:t>
      </w:r>
      <w:r w:rsidRPr="00713B0B">
        <w:tab/>
        <w:t>M.2150-1 «Especificaciones detalladas de las interfaces radioeléctricas terrenales de las telecomunicaciones móviles internacionales – 2020 (IMT-2020)»</w:t>
      </w:r>
    </w:p>
    <w:p w14:paraId="2A9FB5D9" w14:textId="5E21EF8E" w:rsidR="005A715D" w:rsidRPr="00713B0B" w:rsidRDefault="005A715D" w:rsidP="005A715D">
      <w:pPr>
        <w:pStyle w:val="enumlev1"/>
      </w:pPr>
      <w:r w:rsidRPr="00713B0B">
        <w:t>–</w:t>
      </w:r>
      <w:r w:rsidRPr="00713B0B">
        <w:tab/>
        <w:t xml:space="preserve">M.2092-1 «Características técnicas para un sistema de intercambio de datos en ondas métricas en la banda de onda métricas del servicio móvil </w:t>
      </w:r>
      <w:r w:rsidR="006239F0" w:rsidRPr="00713B0B">
        <w:t>marítimo»</w:t>
      </w:r>
    </w:p>
    <w:p w14:paraId="4C100D63" w14:textId="56F009DA" w:rsidR="005A715D" w:rsidRPr="00713B0B" w:rsidRDefault="005A715D" w:rsidP="005A715D">
      <w:pPr>
        <w:pStyle w:val="enumlev1"/>
      </w:pPr>
      <w:r w:rsidRPr="00713B0B">
        <w:t>–</w:t>
      </w:r>
      <w:r w:rsidRPr="00713B0B">
        <w:tab/>
        <w:t>M.2012-5 «Especificaciones detalladas de las interfaces radioeléctricas terrenales de las telecomunicaciones móviles internacionales – Avanzadas (IMT-Avanzadas)»</w:t>
      </w:r>
    </w:p>
    <w:p w14:paraId="1EDE7AB7" w14:textId="56F4AF94" w:rsidR="005A715D" w:rsidRPr="00713B0B" w:rsidRDefault="005A715D" w:rsidP="005A715D">
      <w:pPr>
        <w:pStyle w:val="enumlev1"/>
      </w:pPr>
      <w:r w:rsidRPr="00713B0B">
        <w:t>–</w:t>
      </w:r>
      <w:r w:rsidRPr="00713B0B">
        <w:tab/>
        <w:t>M.1824-2 «</w:t>
      </w:r>
      <w:r w:rsidR="00521586" w:rsidRPr="00824C15">
        <w:rPr>
          <w:lang w:val="en-US"/>
        </w:rPr>
        <w:t>System characteristics of television outside broadcast, electronic news gathering and electronic field production in the mobile service for use in sharing studies</w:t>
      </w:r>
      <w:r w:rsidRPr="00713B0B">
        <w:t>»</w:t>
      </w:r>
    </w:p>
    <w:p w14:paraId="58167999" w14:textId="205C5124" w:rsidR="005A715D" w:rsidRPr="00713B0B" w:rsidRDefault="005A715D" w:rsidP="005A715D">
      <w:pPr>
        <w:pStyle w:val="enumlev1"/>
      </w:pPr>
      <w:r w:rsidRPr="00713B0B">
        <w:t>–</w:t>
      </w:r>
      <w:r w:rsidRPr="00713B0B">
        <w:tab/>
        <w:t xml:space="preserve">M.1796-3 </w:t>
      </w:r>
      <w:r w:rsidR="000B7EA8">
        <w:t>«</w:t>
      </w:r>
      <w:r w:rsidRPr="00713B0B">
        <w:t>Características y criterios de protección de los radares que funcionan en el servicio de radiodeterminación en la banda de frecuencias 8 500-10 680</w:t>
      </w:r>
      <w:r w:rsidR="003C000A">
        <w:t> </w:t>
      </w:r>
      <w:r w:rsidRPr="00713B0B">
        <w:t>MHz</w:t>
      </w:r>
      <w:r w:rsidR="000B7EA8">
        <w:t>»</w:t>
      </w:r>
    </w:p>
    <w:p w14:paraId="7143C87B" w14:textId="5C3244CC" w:rsidR="005A715D" w:rsidRPr="00713B0B" w:rsidRDefault="005A715D" w:rsidP="005A715D">
      <w:pPr>
        <w:pStyle w:val="enumlev1"/>
      </w:pPr>
      <w:r w:rsidRPr="00713B0B">
        <w:t>–</w:t>
      </w:r>
      <w:r w:rsidRPr="00713B0B">
        <w:tab/>
        <w:t xml:space="preserve">M.1465-4 </w:t>
      </w:r>
      <w:r w:rsidR="000B7EA8">
        <w:t>«</w:t>
      </w:r>
      <w:r w:rsidRPr="00713B0B">
        <w:t>Características y criterios de protección de los radares que funcionan en el servicio de radiodeterminación en la banda de frecuencias 3 100-3 700 MHz</w:t>
      </w:r>
      <w:r w:rsidR="000B7EA8">
        <w:t>»</w:t>
      </w:r>
    </w:p>
    <w:p w14:paraId="506F1816" w14:textId="77777777" w:rsidR="005A715D" w:rsidRPr="00713B0B" w:rsidRDefault="005A715D" w:rsidP="005A715D">
      <w:pPr>
        <w:pStyle w:val="Headingb"/>
      </w:pPr>
      <w:r w:rsidRPr="00713B0B">
        <w:t>Informes UIT-R:</w:t>
      </w:r>
    </w:p>
    <w:p w14:paraId="50FBD224" w14:textId="3C6D783C" w:rsidR="005A715D" w:rsidRPr="00713B0B" w:rsidRDefault="005A715D" w:rsidP="004051AD">
      <w:pPr>
        <w:pStyle w:val="enumlev1"/>
        <w:rPr>
          <w:lang w:eastAsia="ja-JP"/>
        </w:rPr>
      </w:pPr>
      <w:r w:rsidRPr="009F1D73">
        <w:t>–</w:t>
      </w:r>
      <w:r w:rsidRPr="00713B0B">
        <w:tab/>
      </w:r>
      <w:bookmarkStart w:id="47" w:name="lt_pId290"/>
      <w:r w:rsidRPr="00713B0B">
        <w:rPr>
          <w:lang w:eastAsia="ja-JP"/>
        </w:rPr>
        <w:t xml:space="preserve">M.2501-0 </w:t>
      </w:r>
      <w:r w:rsidR="000B7EA8">
        <w:rPr>
          <w:lang w:eastAsia="ja-JP"/>
        </w:rPr>
        <w:t>«</w:t>
      </w:r>
      <w:bookmarkEnd w:id="47"/>
      <w:r w:rsidR="00521586" w:rsidRPr="00824C15">
        <w:rPr>
          <w:lang w:val="en-US" w:eastAsia="ja-JP"/>
        </w:rPr>
        <w:t>Technical and operational characteristics of the foreign object debris detection system operating in the frequency range 92-100 GHz</w:t>
      </w:r>
      <w:r w:rsidR="000B7EA8">
        <w:rPr>
          <w:lang w:eastAsia="ja-JP"/>
        </w:rPr>
        <w:t>»</w:t>
      </w:r>
    </w:p>
    <w:p w14:paraId="67B99A39" w14:textId="301BD624" w:rsidR="005A715D" w:rsidRPr="00713B0B" w:rsidRDefault="005A715D" w:rsidP="005A715D">
      <w:pPr>
        <w:pStyle w:val="enumlev1"/>
        <w:rPr>
          <w:i/>
          <w:iCs/>
          <w:szCs w:val="22"/>
          <w:lang w:eastAsia="ja-JP"/>
        </w:rPr>
      </w:pPr>
      <w:r w:rsidRPr="00713B0B">
        <w:rPr>
          <w:szCs w:val="22"/>
          <w:lang w:eastAsia="ja-JP"/>
        </w:rPr>
        <w:t>–</w:t>
      </w:r>
      <w:r w:rsidRPr="00713B0B">
        <w:rPr>
          <w:szCs w:val="22"/>
          <w:lang w:eastAsia="ja-JP"/>
        </w:rPr>
        <w:tab/>
      </w:r>
      <w:bookmarkStart w:id="48" w:name="lt_pId292"/>
      <w:r w:rsidRPr="00713B0B">
        <w:rPr>
          <w:szCs w:val="22"/>
          <w:lang w:eastAsia="ja-JP"/>
        </w:rPr>
        <w:t xml:space="preserve">M.2500-0 </w:t>
      </w:r>
      <w:r w:rsidR="000B7EA8">
        <w:rPr>
          <w:szCs w:val="22"/>
          <w:lang w:eastAsia="ja-JP"/>
        </w:rPr>
        <w:t>«</w:t>
      </w:r>
      <w:r w:rsidRPr="00713B0B">
        <w:rPr>
          <w:szCs w:val="22"/>
          <w:lang w:eastAsia="ja-JP"/>
        </w:rPr>
        <w:t>Coexistence between high-speed railway radiocommunication system between train and trackside operating in the frequency bands 92-94 GHz, 94.1-100 GHz and 102</w:t>
      </w:r>
      <w:r w:rsidRPr="00713B0B">
        <w:rPr>
          <w:szCs w:val="22"/>
          <w:lang w:eastAsia="ja-JP"/>
        </w:rPr>
        <w:noBreakHyphen/>
        <w:t>109.5 GHz, and radio astronomy service and Earth exploration-satellite service (EESS) (active) and EESS (passive) services</w:t>
      </w:r>
      <w:bookmarkEnd w:id="48"/>
      <w:r w:rsidR="000B7EA8">
        <w:rPr>
          <w:szCs w:val="22"/>
          <w:lang w:eastAsia="ja-JP"/>
        </w:rPr>
        <w:t>»</w:t>
      </w:r>
    </w:p>
    <w:p w14:paraId="565E732B" w14:textId="727D30AF" w:rsidR="005A715D" w:rsidRPr="00713B0B" w:rsidRDefault="005A715D" w:rsidP="005A715D">
      <w:pPr>
        <w:pStyle w:val="enumlev1"/>
        <w:rPr>
          <w:szCs w:val="22"/>
          <w:lang w:eastAsia="ja-JP"/>
        </w:rPr>
      </w:pPr>
      <w:r w:rsidRPr="00713B0B">
        <w:rPr>
          <w:szCs w:val="22"/>
          <w:lang w:eastAsia="ja-JP"/>
        </w:rPr>
        <w:t>–</w:t>
      </w:r>
      <w:r w:rsidRPr="00713B0B">
        <w:rPr>
          <w:szCs w:val="22"/>
          <w:lang w:eastAsia="ja-JP"/>
        </w:rPr>
        <w:tab/>
      </w:r>
      <w:bookmarkStart w:id="49" w:name="lt_pId294"/>
      <w:r w:rsidRPr="00713B0B">
        <w:rPr>
          <w:szCs w:val="22"/>
          <w:lang w:eastAsia="ja-JP"/>
        </w:rPr>
        <w:t xml:space="preserve">M.2499-0 </w:t>
      </w:r>
      <w:r w:rsidR="000B7EA8">
        <w:rPr>
          <w:szCs w:val="22"/>
          <w:lang w:eastAsia="ja-JP"/>
        </w:rPr>
        <w:t>«</w:t>
      </w:r>
      <w:r w:rsidRPr="00824C15">
        <w:rPr>
          <w:szCs w:val="22"/>
          <w:lang w:val="en-US" w:eastAsia="ja-JP"/>
        </w:rPr>
        <w:t>Synchronization of IMT-2020 TDD networks</w:t>
      </w:r>
      <w:bookmarkEnd w:id="49"/>
      <w:r w:rsidR="000B7EA8">
        <w:rPr>
          <w:szCs w:val="22"/>
          <w:lang w:eastAsia="ja-JP"/>
        </w:rPr>
        <w:t>»</w:t>
      </w:r>
    </w:p>
    <w:p w14:paraId="00751922" w14:textId="4649F59D" w:rsidR="005A715D" w:rsidRPr="00713B0B" w:rsidRDefault="005A715D" w:rsidP="005A715D">
      <w:pPr>
        <w:pStyle w:val="enumlev1"/>
        <w:rPr>
          <w:lang w:eastAsia="ja-JP"/>
        </w:rPr>
      </w:pPr>
      <w:r w:rsidRPr="00713B0B">
        <w:rPr>
          <w:szCs w:val="22"/>
          <w:lang w:eastAsia="ja-JP"/>
        </w:rPr>
        <w:t>–</w:t>
      </w:r>
      <w:r w:rsidRPr="00713B0B">
        <w:rPr>
          <w:szCs w:val="22"/>
          <w:lang w:eastAsia="ja-JP"/>
        </w:rPr>
        <w:tab/>
      </w:r>
      <w:bookmarkStart w:id="50" w:name="lt_pId296"/>
      <w:r w:rsidRPr="00713B0B">
        <w:rPr>
          <w:szCs w:val="22"/>
          <w:lang w:eastAsia="ja-JP"/>
        </w:rPr>
        <w:t xml:space="preserve">M.2498-0 </w:t>
      </w:r>
      <w:bookmarkEnd w:id="50"/>
      <w:r w:rsidR="006239F0" w:rsidRPr="00713B0B">
        <w:t>«</w:t>
      </w:r>
      <w:r w:rsidR="006239F0" w:rsidRPr="00824C15">
        <w:rPr>
          <w:szCs w:val="22"/>
          <w:lang w:val="en-US" w:eastAsia="ja-JP"/>
        </w:rPr>
        <w:t>The</w:t>
      </w:r>
      <w:r w:rsidRPr="00824C15">
        <w:rPr>
          <w:szCs w:val="22"/>
          <w:lang w:val="en-US" w:eastAsia="ja-JP"/>
        </w:rPr>
        <w:t xml:space="preserve"> outcome of </w:t>
      </w:r>
      <w:r w:rsidR="00C25749" w:rsidRPr="00824C15">
        <w:rPr>
          <w:szCs w:val="22"/>
          <w:lang w:val="en-US" w:eastAsia="ja-JP"/>
        </w:rPr>
        <w:t>"</w:t>
      </w:r>
      <w:r w:rsidRPr="00824C15">
        <w:rPr>
          <w:szCs w:val="22"/>
          <w:lang w:val="en-US" w:eastAsia="ja-JP"/>
        </w:rPr>
        <w:t>Way Forward Option 2</w:t>
      </w:r>
      <w:r w:rsidR="00C25749" w:rsidRPr="00824C15">
        <w:rPr>
          <w:szCs w:val="22"/>
          <w:lang w:val="en-US" w:eastAsia="ja-JP"/>
        </w:rPr>
        <w:t>"</w:t>
      </w:r>
      <w:r w:rsidRPr="00824C15">
        <w:rPr>
          <w:szCs w:val="22"/>
          <w:lang w:val="en-US" w:eastAsia="ja-JP"/>
        </w:rPr>
        <w:t xml:space="preserve"> for </w:t>
      </w:r>
      <w:r w:rsidR="00C25749" w:rsidRPr="00824C15">
        <w:rPr>
          <w:szCs w:val="22"/>
          <w:lang w:val="en-US" w:eastAsia="ja-JP"/>
        </w:rPr>
        <w:t>"</w:t>
      </w:r>
      <w:r w:rsidRPr="00824C15">
        <w:rPr>
          <w:szCs w:val="22"/>
          <w:lang w:val="en-US" w:eastAsia="ja-JP"/>
        </w:rPr>
        <w:t>ETSI (TC DECT) and DECT Forum Proponent</w:t>
      </w:r>
      <w:r w:rsidR="00C25749" w:rsidRPr="00824C15">
        <w:rPr>
          <w:szCs w:val="22"/>
          <w:lang w:val="en-US" w:eastAsia="ja-JP"/>
        </w:rPr>
        <w:t>"</w:t>
      </w:r>
      <w:r w:rsidRPr="00824C15">
        <w:rPr>
          <w:szCs w:val="22"/>
          <w:lang w:val="en-US" w:eastAsia="ja-JP"/>
        </w:rPr>
        <w:t xml:space="preserve"> of the evaluation, consensus building and decision of the IMT-2020</w:t>
      </w:r>
      <w:r w:rsidRPr="00713B0B">
        <w:rPr>
          <w:lang w:eastAsia="ja-JP"/>
        </w:rPr>
        <w:t>»</w:t>
      </w:r>
    </w:p>
    <w:p w14:paraId="2751DF08" w14:textId="216F17D5" w:rsidR="005A715D" w:rsidRPr="00713B0B" w:rsidRDefault="005A715D" w:rsidP="005A715D">
      <w:pPr>
        <w:pStyle w:val="enumlev1"/>
      </w:pPr>
      <w:r w:rsidRPr="00713B0B">
        <w:lastRenderedPageBreak/>
        <w:t>–</w:t>
      </w:r>
      <w:r w:rsidRPr="00713B0B">
        <w:tab/>
        <w:t>M.2480</w:t>
      </w:r>
      <w:r w:rsidRPr="00713B0B">
        <w:noBreakHyphen/>
      </w:r>
      <w:r w:rsidR="00D411D1">
        <w:t>1</w:t>
      </w:r>
      <w:r w:rsidRPr="00713B0B">
        <w:t xml:space="preserve"> </w:t>
      </w:r>
      <w:r w:rsidR="006239F0" w:rsidRPr="00713B0B">
        <w:t>«</w:t>
      </w:r>
      <w:r w:rsidR="00D411D1" w:rsidRPr="00521586">
        <w:t>Enfoques nacionales de algunos países respecto de la implementación de sistemas IMT terrenales en bandas identificadas para las IM</w:t>
      </w:r>
      <w:r w:rsidR="006239F0" w:rsidRPr="00521586">
        <w:t>T</w:t>
      </w:r>
      <w:r w:rsidR="006239F0" w:rsidRPr="00713B0B" w:rsidDel="00C64479">
        <w:t>»</w:t>
      </w:r>
    </w:p>
    <w:p w14:paraId="0AE5F9CC" w14:textId="227923E6" w:rsidR="005A715D" w:rsidRPr="00713B0B" w:rsidRDefault="005A715D" w:rsidP="005A715D">
      <w:pPr>
        <w:pStyle w:val="enumlev1"/>
      </w:pPr>
      <w:r w:rsidRPr="009F1D73">
        <w:t>–</w:t>
      </w:r>
      <w:r w:rsidRPr="00713B0B">
        <w:tab/>
        <w:t xml:space="preserve">M.2291-2 </w:t>
      </w:r>
      <w:r w:rsidR="006239F0" w:rsidRPr="00713B0B">
        <w:t>«</w:t>
      </w:r>
      <w:r w:rsidR="009F1D73" w:rsidRPr="00521586">
        <w:t>Utilización de las telecomunicaciones móviles internacionales (IMT) para aplicaciones de protección pública y operaciones de socorro (PPDR) de banda ancha</w:t>
      </w:r>
      <w:r w:rsidR="006239F0" w:rsidRPr="00713B0B" w:rsidDel="00C64479">
        <w:t>»</w:t>
      </w:r>
    </w:p>
    <w:p w14:paraId="33ACB574" w14:textId="5EC4DBE2" w:rsidR="005A715D" w:rsidRPr="00713B0B" w:rsidRDefault="009459DD" w:rsidP="003E5909">
      <w:pPr>
        <w:pStyle w:val="Headingb"/>
      </w:pPr>
      <w:bookmarkStart w:id="51" w:name="lt_pId301"/>
      <w:r w:rsidRPr="009459DD">
        <w:t>Manuales UIT-R</w:t>
      </w:r>
      <w:r w:rsidR="005A715D" w:rsidRPr="00713B0B">
        <w:t>:</w:t>
      </w:r>
      <w:bookmarkEnd w:id="51"/>
    </w:p>
    <w:p w14:paraId="03B9F707" w14:textId="0C92E268" w:rsidR="005A715D" w:rsidRPr="00713B0B" w:rsidRDefault="005A715D" w:rsidP="005A715D">
      <w:pPr>
        <w:pStyle w:val="enumlev1"/>
      </w:pPr>
      <w:r w:rsidRPr="00713B0B">
        <w:t>–</w:t>
      </w:r>
      <w:r w:rsidRPr="00713B0B">
        <w:tab/>
        <w:t xml:space="preserve">Servicio móvil terrestre (incluso acceso inalámbrico) </w:t>
      </w:r>
      <w:r w:rsidR="009F1D73">
        <w:t>–</w:t>
      </w:r>
      <w:r w:rsidR="006239F0" w:rsidRPr="00713B0B">
        <w:t xml:space="preserve"> Volumen</w:t>
      </w:r>
      <w:r w:rsidRPr="00713B0B">
        <w:t xml:space="preserve"> 4: Sistemas de transporte inteligentes</w:t>
      </w:r>
    </w:p>
    <w:p w14:paraId="10467524" w14:textId="77777777" w:rsidR="005A715D" w:rsidRPr="00713B0B" w:rsidRDefault="005A715D" w:rsidP="005A715D">
      <w:pPr>
        <w:pStyle w:val="enumlev1"/>
      </w:pPr>
      <w:r w:rsidRPr="00713B0B">
        <w:t>–</w:t>
      </w:r>
      <w:r w:rsidRPr="00713B0B">
        <w:tab/>
        <w:t>Manual sobre Telecomunicaciones Móviles Internacionales</w:t>
      </w:r>
    </w:p>
    <w:p w14:paraId="7A089AA3" w14:textId="7B501478" w:rsidR="005A715D" w:rsidRPr="00713B0B" w:rsidRDefault="005A715D" w:rsidP="005A715D">
      <w:r w:rsidRPr="009F1D73">
        <w:t>Tras</w:t>
      </w:r>
      <w:r w:rsidRPr="00713B0B">
        <w:t xml:space="preserve"> haber </w:t>
      </w:r>
      <w:r w:rsidR="006239F0" w:rsidRPr="00713B0B">
        <w:t>finalizado y</w:t>
      </w:r>
      <w:r w:rsidRPr="00713B0B">
        <w:t xml:space="preserve"> aprobado la Recomendación UIT-R M.2150, que contiene las especificaciones de las IMT-2020, en febrero de 2021, se incluyó una cuarta interfaz radioeléctrica normalizada y se publicó en febrero de 2022 la Recomendación UIT-R M.2150-1. El GT 5D del</w:t>
      </w:r>
      <w:r w:rsidR="00521586">
        <w:t> </w:t>
      </w:r>
      <w:r w:rsidRPr="00713B0B">
        <w:t>UIT-R ha comenzado además a trabajar en las «IMT para 2030 y más allá», y ha pedido a las organizaciones externas que presenten sus contribuciones sobre las futuras tendencias tecnológicas, así como sobre una perspectiva armonizada.</w:t>
      </w:r>
    </w:p>
    <w:p w14:paraId="37215C62" w14:textId="13B537E8" w:rsidR="005A715D" w:rsidRPr="00713B0B" w:rsidRDefault="005A715D" w:rsidP="005A715D">
      <w:r w:rsidRPr="00713B0B">
        <w:t>Está previsto celebrar las reuniones de los GT</w:t>
      </w:r>
      <w:r w:rsidR="009F1D73">
        <w:t> </w:t>
      </w:r>
      <w:r w:rsidRPr="00713B0B">
        <w:t>5A y 5C del 23 de mayo al 3 de junio de 2022 y las del GT</w:t>
      </w:r>
      <w:r w:rsidR="009F1D73">
        <w:t> </w:t>
      </w:r>
      <w:r w:rsidRPr="00713B0B">
        <w:t>5B del 29 de marzo al 8 de abril de 2022. La 41ª reunión del GT</w:t>
      </w:r>
      <w:r w:rsidR="009F1D73">
        <w:t> </w:t>
      </w:r>
      <w:r w:rsidRPr="00713B0B">
        <w:t>5D se celebrará del 13 al 24 de junio de 2022. Para adelantar los trabajos relativos a los puntos 1.1 y 1.2 del orden del día de la CMR</w:t>
      </w:r>
      <w:r w:rsidR="009F1D73">
        <w:t>-</w:t>
      </w:r>
      <w:r w:rsidRPr="00713B0B">
        <w:t xml:space="preserve">23 y el número </w:t>
      </w:r>
      <w:r w:rsidRPr="009F1D73">
        <w:rPr>
          <w:b/>
          <w:bCs/>
        </w:rPr>
        <w:t>21.5</w:t>
      </w:r>
      <w:r w:rsidRPr="00713B0B">
        <w:t xml:space="preserve"> del Reglamento de Radiocomunicaciones (RR) se ha previsto celebrar una </w:t>
      </w:r>
      <w:r w:rsidR="000B7EA8">
        <w:t>«</w:t>
      </w:r>
      <w:r w:rsidRPr="00713B0B">
        <w:t>reunión intermedia</w:t>
      </w:r>
      <w:r w:rsidR="000B7EA8">
        <w:t>»</w:t>
      </w:r>
      <w:r w:rsidRPr="00713B0B">
        <w:t xml:space="preserve"> del Grupo de Trabajo sobre aspectos del espectro y preparativos de la CMR-23 del 19 al 22 de abril de 2022. La reunión </w:t>
      </w:r>
      <w:r w:rsidR="006239F0" w:rsidRPr="00713B0B">
        <w:t>de</w:t>
      </w:r>
      <w:r w:rsidR="009F1D73">
        <w:t xml:space="preserve"> </w:t>
      </w:r>
      <w:r w:rsidR="006239F0" w:rsidRPr="00713B0B">
        <w:t>l</w:t>
      </w:r>
      <w:r w:rsidR="009F1D73">
        <w:t>a</w:t>
      </w:r>
      <w:r w:rsidRPr="00713B0B">
        <w:t xml:space="preserve"> CE</w:t>
      </w:r>
      <w:r w:rsidR="009F1D73">
        <w:t> </w:t>
      </w:r>
      <w:r w:rsidRPr="00713B0B">
        <w:t>5 está prevista para los días 28 y 29 de noviembre de 2022.</w:t>
      </w:r>
    </w:p>
    <w:p w14:paraId="15E1F2E5" w14:textId="77777777" w:rsidR="005A715D" w:rsidRPr="00713B0B" w:rsidRDefault="005A715D" w:rsidP="005A715D">
      <w:pPr>
        <w:pStyle w:val="Heading2"/>
      </w:pPr>
      <w:bookmarkStart w:id="52" w:name="_Toc445972796"/>
      <w:r w:rsidRPr="00713B0B">
        <w:t>6.5</w:t>
      </w:r>
      <w:r w:rsidRPr="00713B0B">
        <w:tab/>
        <w:t>Comisión de Estudio 6</w:t>
      </w:r>
      <w:bookmarkEnd w:id="52"/>
    </w:p>
    <w:p w14:paraId="1830061F" w14:textId="77777777" w:rsidR="005A715D" w:rsidRPr="00713B0B" w:rsidRDefault="005A715D" w:rsidP="005A715D">
      <w:r w:rsidRPr="00713B0B">
        <w:t>La CE 6 prosigue los estudios sobre radiodifusión de comunicaciones, en particular en nuevos aspectos como las tecnologías avanzadas para la radiodifusión digital terrenal, una plataforma mundial para los servicios de radiodifusión, la televisión de elevada gama dinámica (HDR-TV), los sistemas de radiodifusión y banda ancha integradas (IBB), nuevos códec de audio y vídeo para la radiodifusión digital, los sistemas audiovisuales de inmersión avanzados (AIAV), especificaciones de reproductor para los sistemas los sistemas avanzados de sonido, las aplicaciones de inteligencia artificial para la radiodifusión la accesibilidad audiovisual (AVA) y la preparación de los puntos y temas del orden del día de la CMR-23 relacionados con los servicios de radiodifusión.</w:t>
      </w:r>
    </w:p>
    <w:p w14:paraId="05679F51" w14:textId="77036691" w:rsidR="005A715D" w:rsidRPr="00713B0B" w:rsidRDefault="005A715D" w:rsidP="005A715D">
      <w:r w:rsidRPr="00713B0B">
        <w:t>La CE</w:t>
      </w:r>
      <w:r w:rsidR="009F1D73">
        <w:t> </w:t>
      </w:r>
      <w:r w:rsidRPr="00713B0B">
        <w:t>6 también ha coordinado de manera activa los trabajos de interés común con las CE</w:t>
      </w:r>
      <w:r w:rsidR="009F1D73">
        <w:t> </w:t>
      </w:r>
      <w:r w:rsidRPr="00713B0B">
        <w:t>9 y 16 del UIT-T mediante Grupos de Relator intersectoriales (GRI) sobre accesibilidad audiovisual (GRI</w:t>
      </w:r>
      <w:r w:rsidRPr="00713B0B">
        <w:noBreakHyphen/>
        <w:t>AVA) y sistemas de radiodifusión y banda ancha integradas (GRI-IBB).</w:t>
      </w:r>
    </w:p>
    <w:p w14:paraId="7357A7E9" w14:textId="27245D53" w:rsidR="005A715D" w:rsidRPr="00713B0B" w:rsidRDefault="005A715D" w:rsidP="005A715D">
      <w:pPr>
        <w:rPr>
          <w:spacing w:val="-2"/>
        </w:rPr>
      </w:pPr>
      <w:r w:rsidRPr="00713B0B">
        <w:t xml:space="preserve">Se aprobaron una Cuestión UIT-R nueva, una </w:t>
      </w:r>
      <w:r w:rsidR="00713B0B" w:rsidRPr="00713B0B">
        <w:t>Recomendaci</w:t>
      </w:r>
      <w:r w:rsidR="009F1D73">
        <w:t>ó</w:t>
      </w:r>
      <w:r w:rsidR="00713B0B" w:rsidRPr="00713B0B">
        <w:t>n</w:t>
      </w:r>
      <w:r w:rsidRPr="00713B0B">
        <w:t xml:space="preserve"> UIT-R nueva y ocho revisadas, y cuatro Informes nuevos y 19 revisados. Además, se aportaron modificaciones de edición en tres Recomendaciones UIT-R.</w:t>
      </w:r>
    </w:p>
    <w:p w14:paraId="04D18C69" w14:textId="653432AB" w:rsidR="005A715D" w:rsidRPr="00713B0B" w:rsidRDefault="005A715D" w:rsidP="005A715D">
      <w:pPr>
        <w:pStyle w:val="Headingb"/>
      </w:pPr>
      <w:r w:rsidRPr="00713B0B">
        <w:t>Cuesti</w:t>
      </w:r>
      <w:r w:rsidR="00521586">
        <w:t>ó</w:t>
      </w:r>
      <w:r w:rsidRPr="00713B0B">
        <w:t>n UIT-R:</w:t>
      </w:r>
    </w:p>
    <w:p w14:paraId="760447DF" w14:textId="77777777" w:rsidR="005A715D" w:rsidRPr="00713B0B" w:rsidRDefault="005A715D" w:rsidP="005A715D">
      <w:pPr>
        <w:pStyle w:val="enumlev1"/>
      </w:pPr>
      <w:r w:rsidRPr="00713B0B">
        <w:t>–</w:t>
      </w:r>
      <w:r w:rsidRPr="00713B0B">
        <w:tab/>
        <w:t>132-6/6 «Planificación de la radiodifusión de televisión terrenal digital»</w:t>
      </w:r>
    </w:p>
    <w:p w14:paraId="1D462AE7" w14:textId="77777777" w:rsidR="005A715D" w:rsidRPr="00713B0B" w:rsidRDefault="005A715D" w:rsidP="003E5909">
      <w:pPr>
        <w:pStyle w:val="Headingb"/>
      </w:pPr>
      <w:r w:rsidRPr="00713B0B">
        <w:t>Recomendaciones UIT-R:</w:t>
      </w:r>
    </w:p>
    <w:p w14:paraId="227C4392" w14:textId="77777777" w:rsidR="005A715D" w:rsidRPr="00713B0B" w:rsidRDefault="005A715D" w:rsidP="005A715D">
      <w:pPr>
        <w:pStyle w:val="enumlev1"/>
      </w:pPr>
      <w:r w:rsidRPr="00713B0B">
        <w:t>–</w:t>
      </w:r>
      <w:r w:rsidRPr="00713B0B">
        <w:tab/>
        <w:t>BS.2143-0 «</w:t>
      </w:r>
      <w:r w:rsidRPr="00357002">
        <w:t>Método de transmisión para señales de audio y datos no MIC por interfaces de audio digital para la producción y el intercambio de programas</w:t>
      </w:r>
      <w:r w:rsidRPr="00713B0B">
        <w:t>»</w:t>
      </w:r>
    </w:p>
    <w:p w14:paraId="1438F40F" w14:textId="6ED6BAF2" w:rsidR="005A715D" w:rsidRPr="00713B0B" w:rsidRDefault="005A715D" w:rsidP="005A715D">
      <w:pPr>
        <w:pStyle w:val="enumlev1"/>
      </w:pPr>
      <w:r w:rsidRPr="00713B0B">
        <w:t>–</w:t>
      </w:r>
      <w:r w:rsidRPr="00713B0B">
        <w:tab/>
      </w:r>
      <w:bookmarkStart w:id="53" w:name="lt_pId325"/>
      <w:r w:rsidRPr="00713B0B">
        <w:t xml:space="preserve">BS.1114-12 «Sistemas de radiodifusión </w:t>
      </w:r>
      <w:r w:rsidR="00944544">
        <w:t>s</w:t>
      </w:r>
      <w:r w:rsidRPr="00713B0B">
        <w:t xml:space="preserve">onora digital terrenal para </w:t>
      </w:r>
      <w:r w:rsidR="00713B0B" w:rsidRPr="00713B0B">
        <w:t>receptores</w:t>
      </w:r>
      <w:r w:rsidRPr="00713B0B">
        <w:t xml:space="preserve"> en vehículos portátiles y fijos en la gama de frecuencias 30-3 000 MHz</w:t>
      </w:r>
      <w:bookmarkEnd w:id="53"/>
      <w:r w:rsidRPr="00713B0B">
        <w:t>»</w:t>
      </w:r>
    </w:p>
    <w:p w14:paraId="67F7A9E1" w14:textId="77777777" w:rsidR="005A715D" w:rsidRPr="00713B0B" w:rsidRDefault="005A715D" w:rsidP="005A715D">
      <w:pPr>
        <w:pStyle w:val="enumlev1"/>
      </w:pPr>
      <w:r w:rsidRPr="00713B0B">
        <w:lastRenderedPageBreak/>
        <w:t>–</w:t>
      </w:r>
      <w:r w:rsidRPr="00713B0B">
        <w:tab/>
        <w:t>BT.2077-3 «Interfaces digitales en serie y en tiempo real para señales de TVUAD»</w:t>
      </w:r>
    </w:p>
    <w:p w14:paraId="233D130D" w14:textId="77777777" w:rsidR="005A715D" w:rsidRPr="00713B0B" w:rsidRDefault="005A715D" w:rsidP="005A715D">
      <w:pPr>
        <w:pStyle w:val="enumlev1"/>
      </w:pPr>
      <w:r w:rsidRPr="00713B0B">
        <w:t>–</w:t>
      </w:r>
      <w:r w:rsidRPr="00713B0B">
        <w:tab/>
        <w:t>BT.2075-4 «Sistema integrado de radiodifusión-banda ancha»</w:t>
      </w:r>
    </w:p>
    <w:p w14:paraId="0FAE9988" w14:textId="3BF20109" w:rsidR="005A715D" w:rsidRPr="00713B0B" w:rsidRDefault="005A715D" w:rsidP="005A715D">
      <w:pPr>
        <w:pStyle w:val="enumlev1"/>
      </w:pPr>
      <w:r w:rsidRPr="00713B0B">
        <w:t>–</w:t>
      </w:r>
      <w:r w:rsidRPr="00713B0B">
        <w:tab/>
        <w:t>BT.2073-2 «Utilización de la norma de codificación de vídeo de gran eficacia</w:t>
      </w:r>
      <w:r w:rsidR="003E5909" w:rsidRPr="00713B0B">
        <w:t xml:space="preserve"> </w:t>
      </w:r>
      <w:r w:rsidRPr="00713B0B">
        <w:t>para aplicaciones de radiodifusión de TVUAD y TVAD»</w:t>
      </w:r>
    </w:p>
    <w:p w14:paraId="3844B99E" w14:textId="0908FC78" w:rsidR="005A715D" w:rsidRPr="00713B0B" w:rsidRDefault="005A715D" w:rsidP="005A715D">
      <w:pPr>
        <w:pStyle w:val="enumlev1"/>
      </w:pPr>
      <w:r w:rsidRPr="00713B0B">
        <w:t>–</w:t>
      </w:r>
      <w:r w:rsidRPr="00713B0B">
        <w:tab/>
        <w:t xml:space="preserve">BT.2036-4 «Características de un sistema receptor de referencia para la planificación de frecuencias de sistemas de televisión digital </w:t>
      </w:r>
      <w:r w:rsidR="006239F0" w:rsidRPr="00713B0B">
        <w:t>terrenal»</w:t>
      </w:r>
    </w:p>
    <w:p w14:paraId="3F91B99E" w14:textId="316E3637" w:rsidR="005A715D" w:rsidRPr="00713B0B" w:rsidRDefault="005A715D" w:rsidP="005A715D">
      <w:pPr>
        <w:pStyle w:val="enumlev1"/>
      </w:pPr>
      <w:r w:rsidRPr="00713B0B">
        <w:t>–</w:t>
      </w:r>
      <w:r w:rsidRPr="00713B0B">
        <w:tab/>
        <w:t xml:space="preserve">BT.2033-2 </w:t>
      </w:r>
      <w:r w:rsidR="006239F0" w:rsidRPr="00713B0B">
        <w:t>«Criterios</w:t>
      </w:r>
      <w:r w:rsidRPr="00713B0B">
        <w:t xml:space="preserve"> para la planificación, incluidas las relaciones de protección, para la segunda generación de los sistemas de radiodifusión de televisión digital terrenal en las bandas de ondas métricas/decimétricas»</w:t>
      </w:r>
    </w:p>
    <w:p w14:paraId="548AA65C" w14:textId="77777777" w:rsidR="005A715D" w:rsidRPr="00713B0B" w:rsidRDefault="005A715D" w:rsidP="005A715D">
      <w:pPr>
        <w:pStyle w:val="enumlev1"/>
      </w:pPr>
      <w:r w:rsidRPr="00713B0B">
        <w:t>–</w:t>
      </w:r>
      <w:r w:rsidRPr="00713B0B">
        <w:tab/>
        <w:t>BT.1871-3 «Requisitos de usuario para los micrófonos inalámbricos, los dispositivos de control intraauriculares y los sistemas inalámbricos de audio multicanal»</w:t>
      </w:r>
    </w:p>
    <w:p w14:paraId="7DED99B1" w14:textId="30959F73" w:rsidR="005A715D" w:rsidRPr="00713B0B" w:rsidRDefault="005A715D" w:rsidP="005A715D">
      <w:pPr>
        <w:pStyle w:val="enumlev1"/>
      </w:pPr>
      <w:r w:rsidRPr="00357002">
        <w:t>–</w:t>
      </w:r>
      <w:r w:rsidRPr="00357002">
        <w:tab/>
        <w:t>BT.</w:t>
      </w:r>
      <w:r w:rsidRPr="00713B0B">
        <w:t xml:space="preserve">1203-3 </w:t>
      </w:r>
      <w:r w:rsidR="006239F0" w:rsidRPr="00713B0B">
        <w:t>«Requisitos</w:t>
      </w:r>
      <w:r w:rsidRPr="00713B0B">
        <w:t xml:space="preserve"> de usuario para la codificación genérica con reducción de velocidad binaria de vídeo de señales digitales de televisión para un sistema de televisión de extremo a extremo»</w:t>
      </w:r>
    </w:p>
    <w:p w14:paraId="1F2E1596" w14:textId="77777777" w:rsidR="005A715D" w:rsidRPr="00713B0B" w:rsidRDefault="005A715D" w:rsidP="005A715D">
      <w:pPr>
        <w:pStyle w:val="Headingb"/>
      </w:pPr>
      <w:r w:rsidRPr="00247FD1">
        <w:t>Informes UIT-R:</w:t>
      </w:r>
    </w:p>
    <w:p w14:paraId="45FEDFC0" w14:textId="1B2AC600" w:rsidR="005A715D" w:rsidRPr="00357002" w:rsidRDefault="005A715D" w:rsidP="005A715D">
      <w:pPr>
        <w:pStyle w:val="enumlev1"/>
      </w:pPr>
      <w:r w:rsidRPr="00357002">
        <w:t>–</w:t>
      </w:r>
      <w:r w:rsidRPr="00357002">
        <w:tab/>
        <w:t xml:space="preserve">BS.2494-0 </w:t>
      </w:r>
      <w:r w:rsidR="000B7EA8" w:rsidRPr="00357002">
        <w:t>«</w:t>
      </w:r>
      <w:r w:rsidRPr="00357002">
        <w:t>Sound test materials for advanced sound systems</w:t>
      </w:r>
      <w:r w:rsidR="000B7EA8" w:rsidRPr="00357002">
        <w:t>»</w:t>
      </w:r>
    </w:p>
    <w:p w14:paraId="5DDAB4CC" w14:textId="2DCE6FFD" w:rsidR="005A715D" w:rsidRPr="00357002" w:rsidRDefault="005A715D" w:rsidP="005A715D">
      <w:pPr>
        <w:pStyle w:val="enumlev1"/>
      </w:pPr>
      <w:r w:rsidRPr="00357002">
        <w:t>–</w:t>
      </w:r>
      <w:r w:rsidRPr="00357002">
        <w:tab/>
        <w:t xml:space="preserve">BS.2493-0 </w:t>
      </w:r>
      <w:r w:rsidR="000B7EA8" w:rsidRPr="00357002">
        <w:t>«</w:t>
      </w:r>
      <w:r w:rsidRPr="00357002">
        <w:t>Practical implementation of broadcast systems using audio codecs for ITU advanced sound systems</w:t>
      </w:r>
      <w:r w:rsidR="000B7EA8" w:rsidRPr="00357002">
        <w:t>»</w:t>
      </w:r>
    </w:p>
    <w:p w14:paraId="2A56CD1A" w14:textId="7CCC43E2" w:rsidR="005A715D" w:rsidRPr="00357002" w:rsidRDefault="005A715D" w:rsidP="005A715D">
      <w:pPr>
        <w:pStyle w:val="enumlev1"/>
      </w:pPr>
      <w:r w:rsidRPr="00357002">
        <w:t>–</w:t>
      </w:r>
      <w:r w:rsidRPr="00357002">
        <w:tab/>
        <w:t>BS.2384-2 «</w:t>
      </w:r>
      <w:r w:rsidR="00944544" w:rsidRPr="00521586">
        <w:t>Aspectos de implementación relativos a la introducción de la radiodifusión digital terrenal sonora y de multimedios y la transición a la misma</w:t>
      </w:r>
      <w:r w:rsidRPr="00357002">
        <w:t>»</w:t>
      </w:r>
    </w:p>
    <w:p w14:paraId="5F0733DD" w14:textId="341F035C" w:rsidR="005A715D" w:rsidRPr="00357002" w:rsidRDefault="005A715D" w:rsidP="005A715D">
      <w:pPr>
        <w:pStyle w:val="enumlev1"/>
      </w:pPr>
      <w:r w:rsidRPr="00357002">
        <w:t>–</w:t>
      </w:r>
      <w:r w:rsidRPr="00357002">
        <w:tab/>
        <w:t xml:space="preserve">BT.2495-0 </w:t>
      </w:r>
      <w:r w:rsidR="000B7EA8" w:rsidRPr="00357002">
        <w:t>«</w:t>
      </w:r>
      <w:r w:rsidRPr="00824C15">
        <w:rPr>
          <w:lang w:val="en-US"/>
        </w:rPr>
        <w:t>Methods for laboratory and field measurements for the assessment of ATSC</w:t>
      </w:r>
      <w:r w:rsidR="00944544" w:rsidRPr="00824C15">
        <w:rPr>
          <w:lang w:val="en-US"/>
        </w:rPr>
        <w:t> </w:t>
      </w:r>
      <w:r w:rsidRPr="00824C15">
        <w:rPr>
          <w:lang w:val="en-US"/>
        </w:rPr>
        <w:t>3.0 reception quality</w:t>
      </w:r>
      <w:r w:rsidR="000B7EA8" w:rsidRPr="00357002">
        <w:t>»</w:t>
      </w:r>
    </w:p>
    <w:p w14:paraId="325D81D3" w14:textId="4ED439FC" w:rsidR="005A715D" w:rsidRPr="00357002" w:rsidRDefault="005A715D" w:rsidP="005A715D">
      <w:pPr>
        <w:pStyle w:val="enumlev1"/>
      </w:pPr>
      <w:r w:rsidRPr="00357002">
        <w:t>–</w:t>
      </w:r>
      <w:r w:rsidRPr="00357002">
        <w:tab/>
        <w:t>BT.2485-0 «</w:t>
      </w:r>
      <w:r w:rsidR="000154CE" w:rsidRPr="00521586">
        <w:t>Planificación avanzada de redes y métodos de transmisión para la mejora de la radiodifusión de televisión digital terrenal</w:t>
      </w:r>
      <w:r w:rsidRPr="00357002">
        <w:t>»</w:t>
      </w:r>
    </w:p>
    <w:p w14:paraId="484A3BA4" w14:textId="35B27762" w:rsidR="005A715D" w:rsidRPr="00357002" w:rsidRDefault="005A715D" w:rsidP="005A715D">
      <w:pPr>
        <w:pStyle w:val="enumlev1"/>
      </w:pPr>
      <w:r w:rsidRPr="00357002">
        <w:t>–</w:t>
      </w:r>
      <w:r w:rsidRPr="00357002">
        <w:tab/>
        <w:t>BT.2470-2 «</w:t>
      </w:r>
      <w:r w:rsidR="000154CE" w:rsidRPr="00521586">
        <w:t>Uso de la simulación Monte Carlo para modelizar la interferencia a los RTDT</w:t>
      </w:r>
      <w:r w:rsidRPr="00357002">
        <w:t>»</w:t>
      </w:r>
    </w:p>
    <w:p w14:paraId="62DEE110" w14:textId="1AE79A2A" w:rsidR="005A715D" w:rsidRPr="00357002" w:rsidRDefault="005A715D" w:rsidP="005A715D">
      <w:pPr>
        <w:pStyle w:val="enumlev1"/>
      </w:pPr>
      <w:r w:rsidRPr="00357002">
        <w:t>–</w:t>
      </w:r>
      <w:r w:rsidRPr="00357002">
        <w:tab/>
        <w:t>BT.2469-2 «</w:t>
      </w:r>
      <w:r w:rsidR="00F33878" w:rsidRPr="00521586">
        <w:t>Características de los sistemas de radiodifusión terrenal digital en la banda de frecuencias 174-230 MH</w:t>
      </w:r>
      <w:r w:rsidRPr="00357002">
        <w:t>»</w:t>
      </w:r>
    </w:p>
    <w:p w14:paraId="1B6CFE87" w14:textId="14FF8FDD" w:rsidR="005A715D" w:rsidRPr="00357002" w:rsidRDefault="005A715D" w:rsidP="005A715D">
      <w:pPr>
        <w:pStyle w:val="enumlev1"/>
      </w:pPr>
      <w:r w:rsidRPr="00357002">
        <w:t>–</w:t>
      </w:r>
      <w:r w:rsidRPr="00357002">
        <w:tab/>
        <w:t>BT.2468-1 «</w:t>
      </w:r>
      <w:r w:rsidR="000154CE" w:rsidRPr="00521586">
        <w:t>Orientación para la selección de parámetros de sistema y la implementación de sistemas RTDT de segunda generación</w:t>
      </w:r>
      <w:r w:rsidRPr="00357002">
        <w:t>»</w:t>
      </w:r>
    </w:p>
    <w:p w14:paraId="3F6D411B" w14:textId="3D57C219" w:rsidR="005A715D" w:rsidRPr="00357002" w:rsidRDefault="005A715D" w:rsidP="005A715D">
      <w:pPr>
        <w:pStyle w:val="enumlev1"/>
      </w:pPr>
      <w:r w:rsidRPr="00357002">
        <w:t>–</w:t>
      </w:r>
      <w:r w:rsidRPr="00357002">
        <w:tab/>
        <w:t>BT.2467-1 «</w:t>
      </w:r>
      <w:r w:rsidR="000154CE" w:rsidRPr="00521586">
        <w:t>Métodos para la evaluación de la calidad de servicio de los sistemas RTDT de segunda generación</w:t>
      </w:r>
      <w:r w:rsidRPr="00357002">
        <w:t>»</w:t>
      </w:r>
    </w:p>
    <w:p w14:paraId="5D678E43" w14:textId="2BCAEAC8" w:rsidR="005A715D" w:rsidRPr="00357002" w:rsidRDefault="005A715D" w:rsidP="005A715D">
      <w:pPr>
        <w:pStyle w:val="enumlev1"/>
      </w:pPr>
      <w:r w:rsidRPr="00357002">
        <w:t>–</w:t>
      </w:r>
      <w:r w:rsidRPr="00357002">
        <w:tab/>
        <w:t>BT.2447-2 «</w:t>
      </w:r>
      <w:r w:rsidR="000154CE" w:rsidRPr="00521586">
        <w:t>Sistemas de inteligencia artificial para la producción y el intercambio de programas</w:t>
      </w:r>
      <w:r w:rsidRPr="00357002">
        <w:t>»</w:t>
      </w:r>
    </w:p>
    <w:p w14:paraId="68C977EE" w14:textId="6653A81F" w:rsidR="005A715D" w:rsidRPr="00357002" w:rsidRDefault="005A715D" w:rsidP="005A715D">
      <w:pPr>
        <w:pStyle w:val="enumlev1"/>
      </w:pPr>
      <w:r w:rsidRPr="00357002">
        <w:t>–</w:t>
      </w:r>
      <w:r w:rsidRPr="00357002">
        <w:tab/>
        <w:t>BT.2446-1 «</w:t>
      </w:r>
      <w:r w:rsidR="007652DB" w:rsidRPr="00521586">
        <w:t>Métodos para lograr la conversión entre contenido de elevada gama dinámica y contenido de gama dinámica convencional, y viceversa</w:t>
      </w:r>
      <w:r w:rsidRPr="00357002">
        <w:t>»</w:t>
      </w:r>
    </w:p>
    <w:p w14:paraId="140ACC44" w14:textId="77D21B75" w:rsidR="005A715D" w:rsidRPr="00357002" w:rsidRDefault="005A715D" w:rsidP="005A715D">
      <w:pPr>
        <w:pStyle w:val="enumlev1"/>
      </w:pPr>
      <w:r w:rsidRPr="00357002">
        <w:t>–</w:t>
      </w:r>
      <w:r w:rsidRPr="00357002">
        <w:tab/>
        <w:t>BT.2420-3 «Collection of usage scenarios of advanced immersive sensory media systems».</w:t>
      </w:r>
    </w:p>
    <w:p w14:paraId="7D4B0845" w14:textId="2429EB93" w:rsidR="005A715D" w:rsidRPr="00357002" w:rsidRDefault="005A715D" w:rsidP="005A715D">
      <w:pPr>
        <w:pStyle w:val="enumlev1"/>
      </w:pPr>
      <w:r w:rsidRPr="00357002">
        <w:t>–</w:t>
      </w:r>
      <w:r w:rsidRPr="00357002">
        <w:tab/>
        <w:t>BT.2408-4 «</w:t>
      </w:r>
      <w:r w:rsidR="000431BD" w:rsidRPr="00521586">
        <w:t>Orientaciones para las prácticas de funcionamiento de la producción de televisión HDR</w:t>
      </w:r>
      <w:r w:rsidRPr="00357002">
        <w:t>»</w:t>
      </w:r>
    </w:p>
    <w:p w14:paraId="4289286A" w14:textId="1855B9E2" w:rsidR="005A715D" w:rsidRPr="00357002" w:rsidRDefault="005A715D" w:rsidP="005A715D">
      <w:pPr>
        <w:pStyle w:val="enumlev1"/>
      </w:pPr>
      <w:r w:rsidRPr="00357002">
        <w:t>–</w:t>
      </w:r>
      <w:r w:rsidRPr="00357002">
        <w:tab/>
        <w:t>BT.2400-4 «</w:t>
      </w:r>
      <w:r w:rsidR="000431BD" w:rsidRPr="00521586">
        <w:t>Hipótesis de utilización, requisitos y elementos técnicos de una plataforma mundial para el servicio de radiodifusión</w:t>
      </w:r>
      <w:r w:rsidRPr="00357002">
        <w:t>»</w:t>
      </w:r>
    </w:p>
    <w:p w14:paraId="22E05356" w14:textId="6217E875" w:rsidR="005A715D" w:rsidRPr="00357002" w:rsidRDefault="005A715D" w:rsidP="005A715D">
      <w:pPr>
        <w:pStyle w:val="enumlev1"/>
      </w:pPr>
      <w:r w:rsidRPr="00357002">
        <w:t>–</w:t>
      </w:r>
      <w:r w:rsidRPr="00357002">
        <w:tab/>
        <w:t>BT.2390-10 «</w:t>
      </w:r>
      <w:r w:rsidR="00DE34C9" w:rsidRPr="00521586">
        <w:t>Televisión de elevada gama dinámica para la producción y el intercambio internacional de programas</w:t>
      </w:r>
      <w:r w:rsidRPr="00357002">
        <w:t>»</w:t>
      </w:r>
    </w:p>
    <w:p w14:paraId="12E9C224" w14:textId="39C0F4CF" w:rsidR="005A715D" w:rsidRPr="00357002" w:rsidRDefault="005A715D" w:rsidP="005A715D">
      <w:pPr>
        <w:pStyle w:val="enumlev1"/>
      </w:pPr>
      <w:r w:rsidRPr="00357002">
        <w:lastRenderedPageBreak/>
        <w:t>–</w:t>
      </w:r>
      <w:r w:rsidRPr="00357002">
        <w:tab/>
        <w:t>BT.2383-3 «Typical frequency sharing characteristics for digital terrestrial television broadcasting systems in the frequency band 470-862 MHz»</w:t>
      </w:r>
    </w:p>
    <w:p w14:paraId="2CC9A5E3" w14:textId="219F0122" w:rsidR="005A715D" w:rsidRPr="00357002" w:rsidRDefault="005A715D" w:rsidP="005A715D">
      <w:pPr>
        <w:pStyle w:val="enumlev1"/>
      </w:pPr>
      <w:r w:rsidRPr="00357002">
        <w:t>–</w:t>
      </w:r>
      <w:r w:rsidRPr="00357002">
        <w:tab/>
        <w:t>BT.2343-7 «</w:t>
      </w:r>
      <w:r w:rsidR="00A10F30" w:rsidRPr="00521586">
        <w:t>Conjuntos de pruebas sobre el terreno de la TVUAD en redes TDT</w:t>
      </w:r>
      <w:r w:rsidRPr="00357002">
        <w:t>»</w:t>
      </w:r>
    </w:p>
    <w:p w14:paraId="4EEDC1E4" w14:textId="1B2A404D" w:rsidR="005A715D" w:rsidRPr="00357002" w:rsidRDefault="005A715D" w:rsidP="005A715D">
      <w:pPr>
        <w:pStyle w:val="enumlev1"/>
      </w:pPr>
      <w:bookmarkStart w:id="54" w:name="_Hlk35349188"/>
      <w:r w:rsidRPr="00357002">
        <w:t>–</w:t>
      </w:r>
      <w:r w:rsidRPr="00357002">
        <w:tab/>
        <w:t xml:space="preserve">BT.2302-1 </w:t>
      </w:r>
      <w:r w:rsidR="000B7EA8" w:rsidRPr="00357002">
        <w:t>«</w:t>
      </w:r>
      <w:r w:rsidRPr="00357002">
        <w:t>Spectrum requirements for terrestrial television broadcasting in the UHF frequency band in Region 1 and the Islamic Republic of Iran</w:t>
      </w:r>
      <w:r w:rsidR="000B7EA8" w:rsidRPr="00357002">
        <w:t>»</w:t>
      </w:r>
    </w:p>
    <w:p w14:paraId="12342C29" w14:textId="0475D136" w:rsidR="005A715D" w:rsidRPr="00357002" w:rsidRDefault="005A715D" w:rsidP="00812A93">
      <w:pPr>
        <w:pStyle w:val="enumlev1"/>
      </w:pPr>
      <w:r w:rsidRPr="00357002">
        <w:t>–</w:t>
      </w:r>
      <w:r w:rsidRPr="00357002">
        <w:tab/>
        <w:t xml:space="preserve">BT.2301-3 </w:t>
      </w:r>
      <w:r w:rsidR="000B7EA8" w:rsidRPr="00357002">
        <w:t>«</w:t>
      </w:r>
      <w:r w:rsidR="00A10F30" w:rsidRPr="00521586">
        <w:t>Informes nacionales sobre el terreno sobre la introducción de las IMT en las bandas con atribución a título coprimario a los servicios de radiodifusión y móvil</w:t>
      </w:r>
      <w:r w:rsidR="000B7EA8" w:rsidRPr="00357002">
        <w:t>»</w:t>
      </w:r>
    </w:p>
    <w:p w14:paraId="768EDCAF" w14:textId="3235A0EE" w:rsidR="005A715D" w:rsidRPr="00357002" w:rsidRDefault="005A715D" w:rsidP="005A715D">
      <w:pPr>
        <w:pStyle w:val="enumlev1"/>
      </w:pPr>
      <w:r w:rsidRPr="00357002">
        <w:t>–</w:t>
      </w:r>
      <w:r w:rsidRPr="00357002">
        <w:tab/>
        <w:t>BT.2267-11 «</w:t>
      </w:r>
      <w:r w:rsidR="00F7453A" w:rsidRPr="00521586">
        <w:t>Sistemas de radiodifusión y banda ancha integradas</w:t>
      </w:r>
      <w:r w:rsidRPr="00357002">
        <w:t>»</w:t>
      </w:r>
    </w:p>
    <w:p w14:paraId="24A49771" w14:textId="1512D461" w:rsidR="00812A93" w:rsidRPr="00357002" w:rsidRDefault="005A715D" w:rsidP="00812A93">
      <w:pPr>
        <w:pStyle w:val="enumlev1"/>
      </w:pPr>
      <w:r w:rsidRPr="000A2C90">
        <w:t>–</w:t>
      </w:r>
      <w:r w:rsidRPr="000A2C90">
        <w:tab/>
      </w:r>
      <w:bookmarkStart w:id="55" w:name="lt_pId382"/>
      <w:r w:rsidRPr="000A2C90">
        <w:t xml:space="preserve">BT.2254-5 </w:t>
      </w:r>
      <w:r w:rsidR="000B7EA8" w:rsidRPr="000A2C90">
        <w:t>«</w:t>
      </w:r>
      <w:bookmarkEnd w:id="55"/>
      <w:r w:rsidR="000A2C90" w:rsidRPr="00521586">
        <w:t>Aspectos relativos a la planificación de frecuencias y redes de DVB-T2</w:t>
      </w:r>
      <w:r w:rsidR="000B7EA8" w:rsidRPr="000A2C90">
        <w:t>»</w:t>
      </w:r>
      <w:bookmarkStart w:id="56" w:name="lt_pId384"/>
    </w:p>
    <w:p w14:paraId="7D2C5866" w14:textId="49FEA21E" w:rsidR="005A715D" w:rsidRPr="00357002" w:rsidRDefault="00812A93" w:rsidP="00812A93">
      <w:pPr>
        <w:pStyle w:val="enumlev1"/>
      </w:pPr>
      <w:r w:rsidRPr="00357002">
        <w:t>–</w:t>
      </w:r>
      <w:r w:rsidRPr="00357002">
        <w:tab/>
      </w:r>
      <w:r w:rsidR="005A715D" w:rsidRPr="00357002">
        <w:t xml:space="preserve">BT.2245-9 </w:t>
      </w:r>
      <w:r w:rsidR="000B7EA8" w:rsidRPr="00357002">
        <w:t>«</w:t>
      </w:r>
      <w:r w:rsidR="005A715D" w:rsidRPr="00357002">
        <w:t>HDTV and UHDTV including HDR-TV test materials for assessment of picture quality</w:t>
      </w:r>
      <w:bookmarkEnd w:id="56"/>
      <w:r w:rsidR="000B7EA8" w:rsidRPr="00357002">
        <w:t>»</w:t>
      </w:r>
    </w:p>
    <w:p w14:paraId="29483FD6" w14:textId="70BAF629" w:rsidR="005A715D" w:rsidRPr="00357002" w:rsidRDefault="005A715D" w:rsidP="005A715D">
      <w:pPr>
        <w:pStyle w:val="enumlev1"/>
      </w:pPr>
      <w:r w:rsidRPr="00357002">
        <w:t>–</w:t>
      </w:r>
      <w:r w:rsidRPr="00357002">
        <w:tab/>
        <w:t>BT.2140-13 «</w:t>
      </w:r>
      <w:r w:rsidR="00F7453A" w:rsidRPr="00521586">
        <w:t>Transición de la radiodifusión terrenal analógica a la digital</w:t>
      </w:r>
      <w:r w:rsidRPr="00357002">
        <w:t>»</w:t>
      </w:r>
    </w:p>
    <w:p w14:paraId="53C5B51B" w14:textId="69E33959" w:rsidR="005A715D" w:rsidRPr="00713B0B" w:rsidRDefault="005A715D" w:rsidP="005A715D">
      <w:pPr>
        <w:pStyle w:val="Headingb"/>
      </w:pPr>
      <w:bookmarkStart w:id="57" w:name="lt_pId387"/>
      <w:r w:rsidRPr="00247FD1">
        <w:t>Manual UIT-R:</w:t>
      </w:r>
      <w:bookmarkEnd w:id="57"/>
    </w:p>
    <w:p w14:paraId="62C1A7C5" w14:textId="77777777" w:rsidR="005A715D" w:rsidRPr="00713B0B" w:rsidRDefault="005A715D" w:rsidP="00812A93">
      <w:pPr>
        <w:pStyle w:val="enumlev1"/>
        <w:rPr>
          <w:lang w:eastAsia="es-ES_tradnl"/>
        </w:rPr>
      </w:pPr>
      <w:r w:rsidRPr="00713B0B">
        <w:t>–</w:t>
      </w:r>
      <w:r w:rsidRPr="00713B0B">
        <w:tab/>
        <w:t>Manual sobre la implantación de redes y sistemas de radiodifusión de televisión digital terrenal</w:t>
      </w:r>
    </w:p>
    <w:p w14:paraId="3A4E1E0A" w14:textId="6F95A643" w:rsidR="005A715D" w:rsidRPr="00713B0B" w:rsidRDefault="005A715D" w:rsidP="00812A93">
      <w:pPr>
        <w:rPr>
          <w:lang w:eastAsia="ja-JP"/>
        </w:rPr>
      </w:pPr>
      <w:r w:rsidRPr="00713B0B">
        <w:rPr>
          <w:lang w:eastAsia="ja-JP"/>
        </w:rPr>
        <w:t>Las próximas reuniones de la CE</w:t>
      </w:r>
      <w:r w:rsidR="00247FD1">
        <w:rPr>
          <w:lang w:eastAsia="ja-JP"/>
        </w:rPr>
        <w:t> </w:t>
      </w:r>
      <w:r w:rsidRPr="00713B0B">
        <w:rPr>
          <w:lang w:eastAsia="ja-JP"/>
        </w:rPr>
        <w:t xml:space="preserve">6 y sus GT tendrán lugar del 7 al 18 de marzo </w:t>
      </w:r>
      <w:r w:rsidR="00247FD1">
        <w:rPr>
          <w:lang w:eastAsia="ja-JP"/>
        </w:rPr>
        <w:t xml:space="preserve">de </w:t>
      </w:r>
      <w:r w:rsidRPr="00713B0B">
        <w:rPr>
          <w:lang w:eastAsia="ja-JP"/>
        </w:rPr>
        <w:t>2022. El</w:t>
      </w:r>
      <w:r w:rsidR="008D1EF1">
        <w:rPr>
          <w:lang w:eastAsia="ja-JP"/>
        </w:rPr>
        <w:t> </w:t>
      </w:r>
      <w:r w:rsidRPr="00713B0B">
        <w:rPr>
          <w:lang w:eastAsia="ja-JP"/>
        </w:rPr>
        <w:t>GTE</w:t>
      </w:r>
      <w:r w:rsidR="00247FD1">
        <w:rPr>
          <w:lang w:eastAsia="ja-JP"/>
        </w:rPr>
        <w:t> </w:t>
      </w:r>
      <w:r w:rsidRPr="00713B0B">
        <w:rPr>
          <w:lang w:eastAsia="ja-JP"/>
        </w:rPr>
        <w:t>6/1 se reunirá del 21 de febrero al 4 de marzo de 2022.</w:t>
      </w:r>
    </w:p>
    <w:bookmarkEnd w:id="54"/>
    <w:p w14:paraId="61E32791" w14:textId="77777777" w:rsidR="005A715D" w:rsidRPr="00713B0B" w:rsidRDefault="005A715D" w:rsidP="00812A93">
      <w:pPr>
        <w:pStyle w:val="Headingb"/>
      </w:pPr>
      <w:r w:rsidRPr="0050210F">
        <w:t>6.6</w:t>
      </w:r>
      <w:r w:rsidRPr="0050210F">
        <w:tab/>
      </w:r>
      <w:bookmarkStart w:id="58" w:name="lt_pId393"/>
      <w:r w:rsidRPr="0050210F">
        <w:t>Comisión de Estudio 7</w:t>
      </w:r>
      <w:bookmarkEnd w:id="58"/>
    </w:p>
    <w:p w14:paraId="6271DFE2" w14:textId="77777777" w:rsidR="005A715D" w:rsidRPr="00713B0B" w:rsidRDefault="005A715D" w:rsidP="005A715D">
      <w:bookmarkStart w:id="59" w:name="lt_pId394"/>
      <w:r w:rsidRPr="00713B0B">
        <w:t>La CE 7 sigue elaborando Recomendaciones, Informes y Manuales del UIT-R utilizados para desarrollar y garantizar el funcionamiento sin interferencias de los sistemas para operaciones espaciales, investigación espacial, exploración de la Tierra y meteorología (incluida la utilización conexa de enlaces en el servicio entre satélites), la radioastronomía y la astronomía por radar, la difusión, recepción y la coordinación de servicios de frecuencias patrón y señales horarias (incluida la aplicación de técnicas de satélite) a escala mundial.</w:t>
      </w:r>
    </w:p>
    <w:p w14:paraId="45A6C4C2" w14:textId="7B4F4BFA" w:rsidR="005A715D" w:rsidRPr="00713B0B" w:rsidRDefault="005A715D" w:rsidP="005A715D">
      <w:bookmarkStart w:id="60" w:name="lt_pId395"/>
      <w:bookmarkEnd w:id="59"/>
      <w:r w:rsidRPr="00713B0B">
        <w:t>Los sistemas vinculados con la CE</w:t>
      </w:r>
      <w:r w:rsidR="0007559C">
        <w:t> </w:t>
      </w:r>
      <w:r w:rsidRPr="00713B0B">
        <w:t>7 se emplean en actividades que constituyen una parte crítica en nuestra vida cotidiana, tales como:</w:t>
      </w:r>
    </w:p>
    <w:p w14:paraId="29D71048" w14:textId="77777777" w:rsidR="005A715D" w:rsidRPr="00357002" w:rsidRDefault="005A715D" w:rsidP="005A715D">
      <w:pPr>
        <w:pStyle w:val="enumlev1"/>
      </w:pPr>
      <w:r w:rsidRPr="00357002">
        <w:t>–</w:t>
      </w:r>
      <w:r w:rsidRPr="00357002">
        <w:tab/>
        <w:t>supervisión de medio ambiente a nivel mundial – la atmosfera (incluida la emisión de gases de efecto invernadero), los océanos, la superficie terrestre, la biomasa, etc.;</w:t>
      </w:r>
    </w:p>
    <w:p w14:paraId="3A9870C6" w14:textId="77777777" w:rsidR="005A715D" w:rsidRPr="00357002" w:rsidRDefault="005A715D" w:rsidP="005A715D">
      <w:pPr>
        <w:pStyle w:val="enumlev1"/>
      </w:pPr>
      <w:r w:rsidRPr="00357002">
        <w:t>–</w:t>
      </w:r>
      <w:r w:rsidRPr="00357002">
        <w:tab/>
        <w:t>previsiones meteorológicas y supervisión y predicción del cambio climático;</w:t>
      </w:r>
    </w:p>
    <w:p w14:paraId="052B34E0" w14:textId="77777777" w:rsidR="005A715D" w:rsidRPr="00357002" w:rsidRDefault="005A715D" w:rsidP="005A715D">
      <w:pPr>
        <w:pStyle w:val="enumlev1"/>
      </w:pPr>
      <w:r w:rsidRPr="00357002">
        <w:t>–</w:t>
      </w:r>
      <w:r w:rsidRPr="00357002">
        <w:tab/>
        <w:t>detección y seguimiento de diversas catástrofes naturales y artificiales (terremotos, maremotos, huracanes, incendios forestales, derrames de crudo, etc.);</w:t>
      </w:r>
    </w:p>
    <w:p w14:paraId="659819CA" w14:textId="77777777" w:rsidR="005A715D" w:rsidRPr="00357002" w:rsidRDefault="005A715D" w:rsidP="005A715D">
      <w:pPr>
        <w:pStyle w:val="enumlev1"/>
      </w:pPr>
      <w:r w:rsidRPr="00357002">
        <w:t>–</w:t>
      </w:r>
      <w:r w:rsidRPr="00357002">
        <w:tab/>
        <w:t>información de alerta/avisos; y</w:t>
      </w:r>
    </w:p>
    <w:p w14:paraId="17223EDD" w14:textId="77777777" w:rsidR="005A715D" w:rsidRPr="00357002" w:rsidRDefault="005A715D" w:rsidP="005A715D">
      <w:pPr>
        <w:pStyle w:val="enumlev1"/>
      </w:pPr>
      <w:r w:rsidRPr="00357002">
        <w:t>–</w:t>
      </w:r>
      <w:r w:rsidRPr="00357002">
        <w:tab/>
        <w:t>evaluación de daños y planificación de las operaciones de socorro.</w:t>
      </w:r>
    </w:p>
    <w:p w14:paraId="17D26E04" w14:textId="6C48FA81" w:rsidR="005A715D" w:rsidRPr="00713B0B" w:rsidRDefault="005A715D" w:rsidP="00812A93">
      <w:bookmarkStart w:id="61" w:name="lt_pId406"/>
      <w:bookmarkStart w:id="62" w:name="_Toc445972798"/>
      <w:bookmarkEnd w:id="60"/>
      <w:r w:rsidRPr="00713B0B">
        <w:t>El Sr. Joseph Achkar (Francia) fue nombrado Presidente del GT</w:t>
      </w:r>
      <w:r w:rsidR="0050210F">
        <w:t> </w:t>
      </w:r>
      <w:r w:rsidRPr="00713B0B">
        <w:t>7A tras el fallecimiento repentino del anterior Presidente del GT 7A, Sr. Ronald Beard (EE.UU.).</w:t>
      </w:r>
      <w:bookmarkEnd w:id="61"/>
      <w:r w:rsidRPr="00713B0B">
        <w:t xml:space="preserve"> </w:t>
      </w:r>
      <w:bookmarkStart w:id="63" w:name="lt_pId407"/>
      <w:r w:rsidRPr="00713B0B">
        <w:t>Además, se nombraron cuatro</w:t>
      </w:r>
      <w:r w:rsidR="0050210F">
        <w:t> </w:t>
      </w:r>
      <w:r w:rsidRPr="00713B0B">
        <w:t>Vicepresidentes (Sr. Ted Berman (EE.UU.), Sr. Keving Knights (Australia), Sr. Anton Stepanov (Rusia) y Sr. Philippe Tristant (Francia)) para el GT</w:t>
      </w:r>
      <w:r w:rsidR="0050210F">
        <w:t> </w:t>
      </w:r>
      <w:r w:rsidRPr="00713B0B">
        <w:t>7B.</w:t>
      </w:r>
      <w:bookmarkEnd w:id="63"/>
      <w:r w:rsidRPr="00713B0B">
        <w:t xml:space="preserve"> </w:t>
      </w:r>
      <w:bookmarkStart w:id="64" w:name="lt_pId408"/>
      <w:r w:rsidRPr="00713B0B">
        <w:t>El GT 7C nombró Vicepresidente al Sr. Tarcisio Aurélio Bakaus (Bélgica).</w:t>
      </w:r>
      <w:bookmarkEnd w:id="64"/>
    </w:p>
    <w:p w14:paraId="7ED35F19" w14:textId="45CAF1F3" w:rsidR="005A715D" w:rsidRPr="00713B0B" w:rsidRDefault="005A715D" w:rsidP="00812A93">
      <w:bookmarkStart w:id="65" w:name="lt_pId409"/>
      <w:r w:rsidRPr="00713B0B">
        <w:t xml:space="preserve">Se aprobaron dos </w:t>
      </w:r>
      <w:r w:rsidR="00713B0B" w:rsidRPr="00713B0B">
        <w:t>Recomendaciones</w:t>
      </w:r>
      <w:r w:rsidRPr="00713B0B">
        <w:t xml:space="preserve"> UIT-R nuevas y tres revisadas, dos Cuestiones UIT-R nuevas y seis Informes nuevos y dos revisados.</w:t>
      </w:r>
      <w:bookmarkEnd w:id="65"/>
    </w:p>
    <w:p w14:paraId="0DF44582" w14:textId="46BF2258" w:rsidR="005A715D" w:rsidRPr="00713B0B" w:rsidRDefault="005A715D" w:rsidP="005A715D">
      <w:pPr>
        <w:pStyle w:val="Headingb"/>
      </w:pPr>
      <w:bookmarkStart w:id="66" w:name="lt_pId410"/>
      <w:r w:rsidRPr="0050210F">
        <w:t>Cuestiones UIT-R:</w:t>
      </w:r>
      <w:bookmarkEnd w:id="66"/>
    </w:p>
    <w:p w14:paraId="6F1B56C7" w14:textId="4F827C94" w:rsidR="005A715D" w:rsidRPr="00713B0B" w:rsidRDefault="005A715D" w:rsidP="00812A93">
      <w:pPr>
        <w:pStyle w:val="enumlev1"/>
      </w:pPr>
      <w:r w:rsidRPr="00713B0B">
        <w:t>–</w:t>
      </w:r>
      <w:r w:rsidRPr="00713B0B">
        <w:tab/>
        <w:t xml:space="preserve">258/7 </w:t>
      </w:r>
      <w:r w:rsidR="000B7EA8">
        <w:t>«</w:t>
      </w:r>
      <w:r w:rsidRPr="00713B0B">
        <w:t>VLBI geodésica</w:t>
      </w:r>
      <w:r w:rsidR="000B7EA8">
        <w:t>»</w:t>
      </w:r>
    </w:p>
    <w:p w14:paraId="06DD063C" w14:textId="56462A36" w:rsidR="005A715D" w:rsidRPr="00713B0B" w:rsidRDefault="005A715D" w:rsidP="00812A93">
      <w:pPr>
        <w:pStyle w:val="enumlev1"/>
      </w:pPr>
      <w:r w:rsidRPr="00713B0B">
        <w:lastRenderedPageBreak/>
        <w:t>–</w:t>
      </w:r>
      <w:r w:rsidRPr="00713B0B">
        <w:tab/>
        <w:t xml:space="preserve">259/7 </w:t>
      </w:r>
      <w:r w:rsidR="000B7EA8">
        <w:t>«</w:t>
      </w:r>
      <w:r w:rsidRPr="00713B0B">
        <w:t>Aplicaciones de cronometría y definición de segundo</w:t>
      </w:r>
      <w:r w:rsidR="000B7EA8">
        <w:t>»</w:t>
      </w:r>
    </w:p>
    <w:p w14:paraId="6844DBAD" w14:textId="2D9570FF" w:rsidR="005A715D" w:rsidRPr="00713B0B" w:rsidRDefault="005A715D" w:rsidP="005A715D">
      <w:pPr>
        <w:pStyle w:val="Headingb"/>
      </w:pPr>
      <w:bookmarkStart w:id="67" w:name="lt_pId415"/>
      <w:r w:rsidRPr="0050210F">
        <w:t>Recomendaciones UIT-R:</w:t>
      </w:r>
      <w:bookmarkEnd w:id="67"/>
    </w:p>
    <w:p w14:paraId="34AC584F" w14:textId="3FB142A8" w:rsidR="005A715D" w:rsidRPr="00713B0B" w:rsidRDefault="005A715D" w:rsidP="00812A93">
      <w:pPr>
        <w:pStyle w:val="enumlev1"/>
      </w:pPr>
      <w:r w:rsidRPr="00713B0B">
        <w:t>–</w:t>
      </w:r>
      <w:r w:rsidRPr="00713B0B">
        <w:tab/>
        <w:t xml:space="preserve">RA.1031-3 </w:t>
      </w:r>
      <w:r w:rsidR="000B7EA8">
        <w:t>«</w:t>
      </w:r>
      <w:r w:rsidRPr="00713B0B">
        <w:t>Protección del servicio de radioastronomía en las bandas de frecuencias compartidas con servicios activos</w:t>
      </w:r>
      <w:r w:rsidR="000B7EA8">
        <w:t>»</w:t>
      </w:r>
    </w:p>
    <w:p w14:paraId="52C4AE15" w14:textId="7F0EB3F1" w:rsidR="005A715D" w:rsidRPr="00357002" w:rsidRDefault="005A715D" w:rsidP="00812A93">
      <w:pPr>
        <w:pStyle w:val="enumlev1"/>
      </w:pPr>
      <w:r w:rsidRPr="00713B0B">
        <w:t>–</w:t>
      </w:r>
      <w:r w:rsidRPr="00713B0B">
        <w:tab/>
        <w:t xml:space="preserve">RS.2105-1 </w:t>
      </w:r>
      <w:r w:rsidR="000B7EA8">
        <w:t>«</w:t>
      </w:r>
      <w:r w:rsidRPr="00713B0B">
        <w:t>Características técnicas y operativas típicas de los sistemas del servicio de exploración de la Tierra</w:t>
      </w:r>
      <w:r w:rsidRPr="00357002">
        <w:t xml:space="preserve"> por satélite (activo) que utilizan atribuciones entre</w:t>
      </w:r>
      <w:r w:rsidR="00F7453A">
        <w:t xml:space="preserve"> </w:t>
      </w:r>
      <w:r w:rsidRPr="00357002">
        <w:t>432 MHz y 238</w:t>
      </w:r>
      <w:r w:rsidR="00F7453A">
        <w:t> </w:t>
      </w:r>
      <w:r w:rsidRPr="00357002">
        <w:t>GHz</w:t>
      </w:r>
      <w:r w:rsidR="000B7EA8" w:rsidRPr="00357002">
        <w:t>»</w:t>
      </w:r>
    </w:p>
    <w:p w14:paraId="5E573E3C" w14:textId="69C401B9" w:rsidR="005A715D" w:rsidRPr="00357002" w:rsidRDefault="005A715D" w:rsidP="00812A93">
      <w:pPr>
        <w:pStyle w:val="enumlev1"/>
      </w:pPr>
      <w:r w:rsidRPr="00357002">
        <w:t>–</w:t>
      </w:r>
      <w:r w:rsidRPr="00357002">
        <w:tab/>
        <w:t xml:space="preserve">RS.1861-1 </w:t>
      </w:r>
      <w:r w:rsidR="000B7EA8" w:rsidRPr="00357002">
        <w:t>«</w:t>
      </w:r>
      <w:r w:rsidRPr="00357002">
        <w:t>Características técnicas y operativas de los sistemas del servicio de exploración de la Tierra por satélite (pasivo) que utilizan atribuciones entre</w:t>
      </w:r>
      <w:r w:rsidR="0050210F">
        <w:t xml:space="preserve"> </w:t>
      </w:r>
      <w:r w:rsidRPr="00357002">
        <w:t>1,4 y 275</w:t>
      </w:r>
      <w:r w:rsidR="0050210F">
        <w:t> </w:t>
      </w:r>
      <w:r w:rsidRPr="00357002">
        <w:t>GHz</w:t>
      </w:r>
      <w:r w:rsidR="000B7EA8" w:rsidRPr="00357002">
        <w:t>»</w:t>
      </w:r>
    </w:p>
    <w:p w14:paraId="53FB5F22" w14:textId="3C4D5490" w:rsidR="005A715D" w:rsidRPr="00357002" w:rsidRDefault="005A715D" w:rsidP="00812A93">
      <w:pPr>
        <w:pStyle w:val="enumlev1"/>
      </w:pPr>
      <w:r w:rsidRPr="00713B0B">
        <w:t>–</w:t>
      </w:r>
      <w:r w:rsidRPr="00713B0B">
        <w:tab/>
        <w:t xml:space="preserve">SA.2142-0 </w:t>
      </w:r>
      <w:r w:rsidR="000B7EA8">
        <w:t>«</w:t>
      </w:r>
      <w:r w:rsidR="00F7453A" w:rsidRPr="00824C15">
        <w:t>Metodologías para el cálculo de las zonas de coordinación en torno a las estaciones terrenas del servicio de exploración de la Tierra por satélite y del servicio de investigación espacial para evitar la interferencia perjudicial causada por los sistemas IMT</w:t>
      </w:r>
      <w:r w:rsidR="00F7453A" w:rsidRPr="00824C15">
        <w:noBreakHyphen/>
        <w:t>2020 en las bandas de frecuencias 25,5-27 GHz y 37-38 GHz</w:t>
      </w:r>
      <w:r w:rsidR="000B7EA8" w:rsidRPr="00357002">
        <w:t>»</w:t>
      </w:r>
    </w:p>
    <w:p w14:paraId="6D7D854C" w14:textId="01675E2F" w:rsidR="005A715D" w:rsidRPr="00713B0B" w:rsidRDefault="005A715D" w:rsidP="00812A93">
      <w:pPr>
        <w:pStyle w:val="enumlev1"/>
      </w:pPr>
      <w:r w:rsidRPr="006239F0">
        <w:t>–</w:t>
      </w:r>
      <w:r w:rsidRPr="006239F0">
        <w:tab/>
        <w:t xml:space="preserve">SA.2141-0 </w:t>
      </w:r>
      <w:r w:rsidR="000B7EA8">
        <w:t>«</w:t>
      </w:r>
      <w:r w:rsidRPr="006239F0">
        <w:t>Características de los sistemas del servicio de investigación espacial en la</w:t>
      </w:r>
      <w:r w:rsidRPr="00713B0B">
        <w:t xml:space="preserve"> gama de frecuencias 14,8-15,35</w:t>
      </w:r>
      <w:r w:rsidR="0050210F">
        <w:t> </w:t>
      </w:r>
      <w:r w:rsidRPr="00713B0B">
        <w:t>GHz</w:t>
      </w:r>
      <w:r w:rsidR="000B7EA8">
        <w:t>»</w:t>
      </w:r>
    </w:p>
    <w:p w14:paraId="036FAEAC" w14:textId="5C5F474F" w:rsidR="005A715D" w:rsidRPr="00713B0B" w:rsidRDefault="005A715D" w:rsidP="005A715D">
      <w:pPr>
        <w:pStyle w:val="Headingb"/>
      </w:pPr>
      <w:bookmarkStart w:id="68" w:name="lt_pId426"/>
      <w:r w:rsidRPr="00C50B8C">
        <w:t>Informes UIT-R:</w:t>
      </w:r>
      <w:bookmarkEnd w:id="68"/>
    </w:p>
    <w:p w14:paraId="6E8CABE9" w14:textId="65ED6D7C" w:rsidR="005A715D" w:rsidRPr="00713B0B" w:rsidRDefault="005A715D" w:rsidP="00812A93">
      <w:pPr>
        <w:pStyle w:val="enumlev1"/>
      </w:pPr>
      <w:r w:rsidRPr="00713B0B">
        <w:t>–</w:t>
      </w:r>
      <w:r w:rsidRPr="00713B0B">
        <w:tab/>
      </w:r>
      <w:bookmarkStart w:id="69" w:name="lt_pId428"/>
      <w:r w:rsidRPr="00713B0B">
        <w:t xml:space="preserve">RA 2259-1 </w:t>
      </w:r>
      <w:r w:rsidR="000B7EA8">
        <w:t>«</w:t>
      </w:r>
      <w:r w:rsidRPr="00713B0B">
        <w:t>Characteristics of radio quiet zones</w:t>
      </w:r>
      <w:bookmarkEnd w:id="69"/>
      <w:r w:rsidR="000B7EA8">
        <w:t>»</w:t>
      </w:r>
    </w:p>
    <w:p w14:paraId="25AC0906" w14:textId="33F00811" w:rsidR="005A715D" w:rsidRPr="00713B0B" w:rsidRDefault="005A715D" w:rsidP="00357002">
      <w:pPr>
        <w:pStyle w:val="enumlev1"/>
      </w:pPr>
      <w:r w:rsidRPr="00713B0B">
        <w:t>–</w:t>
      </w:r>
      <w:r w:rsidRPr="00713B0B">
        <w:tab/>
      </w:r>
      <w:bookmarkStart w:id="70" w:name="lt_pId430"/>
      <w:r w:rsidRPr="00713B0B">
        <w:t xml:space="preserve">RS.2492-0 </w:t>
      </w:r>
      <w:r w:rsidR="000B7EA8">
        <w:t>«</w:t>
      </w:r>
      <w:r w:rsidRPr="00824C15">
        <w:rPr>
          <w:lang w:val="en-US"/>
        </w:rPr>
        <w:t>Global survey of radio frequency interference observed by SMOS radiometer in the EESS (passive) band 1 400-1 427 MHz</w:t>
      </w:r>
      <w:bookmarkEnd w:id="70"/>
      <w:r w:rsidR="000B7EA8" w:rsidRPr="00357002">
        <w:t>»</w:t>
      </w:r>
    </w:p>
    <w:p w14:paraId="53E2FCED" w14:textId="2B408216" w:rsidR="005A715D" w:rsidRPr="00713B0B" w:rsidRDefault="005A715D" w:rsidP="00812A93">
      <w:pPr>
        <w:pStyle w:val="enumlev1"/>
      </w:pPr>
      <w:r w:rsidRPr="00713B0B">
        <w:t>–</w:t>
      </w:r>
      <w:r w:rsidRPr="00713B0B">
        <w:tab/>
      </w:r>
      <w:bookmarkStart w:id="71" w:name="lt_pId432"/>
      <w:r w:rsidRPr="00713B0B">
        <w:t xml:space="preserve">RS.2491-0 </w:t>
      </w:r>
      <w:r w:rsidR="000B7EA8">
        <w:t>«</w:t>
      </w:r>
      <w:r w:rsidRPr="00713B0B">
        <w:t>Global survey of radio frequency interference observed by the SMAP radar in the 1 215-1 300 MHz band and the SMAP radiometer in the 1 400-1 427 MHz band</w:t>
      </w:r>
      <w:bookmarkEnd w:id="71"/>
      <w:r w:rsidR="000B7EA8">
        <w:t>»</w:t>
      </w:r>
    </w:p>
    <w:p w14:paraId="460DF075" w14:textId="1085FB84" w:rsidR="005A715D" w:rsidRPr="00357002" w:rsidRDefault="005A715D" w:rsidP="00812A93">
      <w:pPr>
        <w:pStyle w:val="enumlev1"/>
      </w:pPr>
      <w:r w:rsidRPr="00713B0B">
        <w:t>–</w:t>
      </w:r>
      <w:r w:rsidRPr="00713B0B">
        <w:tab/>
      </w:r>
      <w:bookmarkStart w:id="72" w:name="lt_pId434"/>
      <w:r w:rsidRPr="00713B0B">
        <w:t xml:space="preserve">RS.2490-0 </w:t>
      </w:r>
      <w:r w:rsidR="000B7EA8">
        <w:t>«</w:t>
      </w:r>
      <w:r w:rsidRPr="00824C15">
        <w:rPr>
          <w:lang w:val="en-US"/>
        </w:rPr>
        <w:t>Global survey of radio frequency interference observed by the Aquarius scatterometer in the 1 215-1 300 MHz band and the Aquarius radiometer in the 1</w:t>
      </w:r>
      <w:r w:rsidR="00824C15" w:rsidRPr="00824C15">
        <w:rPr>
          <w:lang w:val="en-US"/>
        </w:rPr>
        <w:t> </w:t>
      </w:r>
      <w:r w:rsidRPr="00824C15">
        <w:rPr>
          <w:lang w:val="en-US"/>
        </w:rPr>
        <w:t>400</w:t>
      </w:r>
      <w:r w:rsidR="00824C15" w:rsidRPr="00824C15">
        <w:rPr>
          <w:lang w:val="en-US"/>
        </w:rPr>
        <w:noBreakHyphen/>
      </w:r>
      <w:r w:rsidRPr="00824C15">
        <w:rPr>
          <w:lang w:val="en-US"/>
        </w:rPr>
        <w:t>1</w:t>
      </w:r>
      <w:r w:rsidR="00824C15" w:rsidRPr="00824C15">
        <w:rPr>
          <w:lang w:val="en-US"/>
        </w:rPr>
        <w:t> </w:t>
      </w:r>
      <w:r w:rsidRPr="00824C15">
        <w:rPr>
          <w:lang w:val="en-US"/>
        </w:rPr>
        <w:t>427</w:t>
      </w:r>
      <w:r w:rsidR="00824C15" w:rsidRPr="00824C15">
        <w:rPr>
          <w:lang w:val="en-US"/>
        </w:rPr>
        <w:t> </w:t>
      </w:r>
      <w:r w:rsidRPr="00824C15">
        <w:rPr>
          <w:lang w:val="en-US"/>
        </w:rPr>
        <w:t>MHz band</w:t>
      </w:r>
      <w:bookmarkEnd w:id="72"/>
      <w:r w:rsidR="000B7EA8" w:rsidRPr="00357002">
        <w:t>»</w:t>
      </w:r>
    </w:p>
    <w:p w14:paraId="1FCE829C" w14:textId="396D48A4" w:rsidR="005A715D" w:rsidRPr="00713B0B" w:rsidRDefault="005A715D" w:rsidP="00812A93">
      <w:pPr>
        <w:pStyle w:val="enumlev1"/>
      </w:pPr>
      <w:r w:rsidRPr="00713B0B">
        <w:t>–</w:t>
      </w:r>
      <w:r w:rsidRPr="00713B0B">
        <w:tab/>
      </w:r>
      <w:bookmarkStart w:id="73" w:name="lt_pId436"/>
      <w:r w:rsidRPr="00713B0B">
        <w:t xml:space="preserve">RS.2489-0 </w:t>
      </w:r>
      <w:r w:rsidR="000B7EA8">
        <w:t>«</w:t>
      </w:r>
      <w:r w:rsidRPr="00713B0B">
        <w:t>Technical and operational characteristics of ground-based passive sensors operating in the 51-58 GHz frequency range</w:t>
      </w:r>
      <w:bookmarkEnd w:id="73"/>
      <w:r w:rsidR="000B7EA8">
        <w:t>»</w:t>
      </w:r>
    </w:p>
    <w:p w14:paraId="507566CC" w14:textId="07DA15FC" w:rsidR="005A715D" w:rsidRPr="00357002" w:rsidRDefault="005A715D" w:rsidP="00812A93">
      <w:pPr>
        <w:pStyle w:val="enumlev1"/>
      </w:pPr>
      <w:r w:rsidRPr="00357002">
        <w:t>–</w:t>
      </w:r>
      <w:r w:rsidRPr="00357002">
        <w:tab/>
        <w:t xml:space="preserve">RS.2068-2 </w:t>
      </w:r>
      <w:r w:rsidR="000B7EA8" w:rsidRPr="00357002">
        <w:t>«</w:t>
      </w:r>
      <w:r w:rsidR="005C1F10" w:rsidRPr="00824C15">
        <w:t xml:space="preserve">Utilización actual y futura de la banda </w:t>
      </w:r>
      <w:r w:rsidRPr="00824C15">
        <w:t>13</w:t>
      </w:r>
      <w:r w:rsidR="005C1F10" w:rsidRPr="00824C15">
        <w:t>,</w:t>
      </w:r>
      <w:r w:rsidRPr="00824C15">
        <w:t>25-13</w:t>
      </w:r>
      <w:r w:rsidR="005C1F10" w:rsidRPr="00824C15">
        <w:t>,</w:t>
      </w:r>
      <w:r w:rsidRPr="00824C15">
        <w:t xml:space="preserve">75 GHz </w:t>
      </w:r>
      <w:r w:rsidR="005C1F10" w:rsidRPr="00824C15">
        <w:t>para sensores activos a bordo de vehículos espaciales</w:t>
      </w:r>
      <w:r w:rsidR="000B7EA8" w:rsidRPr="00357002">
        <w:t>»</w:t>
      </w:r>
    </w:p>
    <w:p w14:paraId="42F58EEE" w14:textId="39D4BAF2" w:rsidR="005A715D" w:rsidRPr="00713B0B" w:rsidRDefault="005A715D" w:rsidP="00812A93">
      <w:pPr>
        <w:pStyle w:val="enumlev1"/>
      </w:pPr>
      <w:r w:rsidRPr="00713B0B">
        <w:t>–</w:t>
      </w:r>
      <w:r w:rsidRPr="00713B0B">
        <w:tab/>
      </w:r>
      <w:bookmarkStart w:id="74" w:name="lt_pId440"/>
      <w:r w:rsidRPr="00713B0B">
        <w:t xml:space="preserve">SA.2488-0 </w:t>
      </w:r>
      <w:r w:rsidR="000B7EA8">
        <w:t>«</w:t>
      </w:r>
      <w:r w:rsidRPr="00713B0B">
        <w:t>Characteristics to be used for assessing interference to systems operating in the Earth exploration-satellite and meteorological-satellite services, and for conducting sharing studies</w:t>
      </w:r>
      <w:bookmarkEnd w:id="74"/>
      <w:r w:rsidR="000B7EA8">
        <w:t>»</w:t>
      </w:r>
    </w:p>
    <w:p w14:paraId="61790CBC" w14:textId="0BEE45C9" w:rsidR="005A715D" w:rsidRPr="00357002" w:rsidRDefault="005A715D" w:rsidP="00812A93">
      <w:pPr>
        <w:pStyle w:val="enumlev1"/>
      </w:pPr>
      <w:r w:rsidRPr="00713B0B">
        <w:t>–</w:t>
      </w:r>
      <w:r w:rsidRPr="00713B0B">
        <w:tab/>
      </w:r>
      <w:bookmarkStart w:id="75" w:name="lt_pId442"/>
      <w:r w:rsidRPr="00713B0B">
        <w:t xml:space="preserve">TF.2487-0 </w:t>
      </w:r>
      <w:r w:rsidR="000B7EA8">
        <w:t>«</w:t>
      </w:r>
      <w:r w:rsidRPr="00357002">
        <w:t>Protection criteria for systems in the standard frequency and time signal services</w:t>
      </w:r>
      <w:bookmarkEnd w:id="75"/>
      <w:r w:rsidR="000B7EA8" w:rsidRPr="00357002">
        <w:t>»</w:t>
      </w:r>
    </w:p>
    <w:p w14:paraId="7BEA850D" w14:textId="3098290E" w:rsidR="005A715D" w:rsidRPr="00713B0B" w:rsidRDefault="005A715D" w:rsidP="00812A93">
      <w:bookmarkStart w:id="76" w:name="lt_pId443"/>
      <w:r w:rsidRPr="00713B0B">
        <w:t>Los GT</w:t>
      </w:r>
      <w:r w:rsidR="00C50B8C">
        <w:t> </w:t>
      </w:r>
      <w:r w:rsidRPr="00713B0B">
        <w:t>7A, 7B, 7C y 7D se reunirán del 25 de abril al 6 de mayo de 2022.</w:t>
      </w:r>
      <w:bookmarkEnd w:id="76"/>
      <w:r w:rsidRPr="00713B0B">
        <w:t xml:space="preserve"> </w:t>
      </w:r>
      <w:bookmarkStart w:id="77" w:name="lt_pId444"/>
      <w:r w:rsidRPr="00713B0B">
        <w:t xml:space="preserve">Se prevé celebrar la próxima reunión de la Comisión de Estudio 7 del 26 de septiembre al 7 de octubre de 2022 en Ginebra </w:t>
      </w:r>
      <w:r w:rsidR="00020749">
        <w:t>(</w:t>
      </w:r>
      <w:r w:rsidRPr="00713B0B">
        <w:t>Suiza</w:t>
      </w:r>
      <w:r w:rsidR="00020749">
        <w:t>)</w:t>
      </w:r>
      <w:r w:rsidRPr="00713B0B">
        <w:t>.</w:t>
      </w:r>
      <w:bookmarkEnd w:id="77"/>
    </w:p>
    <w:p w14:paraId="4E993267" w14:textId="77777777" w:rsidR="005A715D" w:rsidRPr="00713B0B" w:rsidRDefault="005A715D" w:rsidP="005A715D">
      <w:pPr>
        <w:pStyle w:val="Heading2"/>
      </w:pPr>
      <w:r w:rsidRPr="00C50B8C">
        <w:t>6.7</w:t>
      </w:r>
      <w:r w:rsidRPr="00C50B8C">
        <w:tab/>
      </w:r>
      <w:bookmarkEnd w:id="62"/>
      <w:r w:rsidRPr="00C50B8C">
        <w:t>Comité de Coordinación del Vocabulario</w:t>
      </w:r>
    </w:p>
    <w:p w14:paraId="662F7CD9" w14:textId="77777777" w:rsidR="005A715D" w:rsidRPr="00713B0B" w:rsidRDefault="005A715D" w:rsidP="00812A93">
      <w:r w:rsidRPr="00713B0B">
        <w:t>Los Expertos del Comité de Coordinación del Vocabulario (CCV) seguirán ayudando en los trabajos para garantizar la coherencia entre los distintos términos y definiciones, filtrar todas las propuestas procedentes de las Comisiones de Estudio de Radiocomunicaciones y validar los términos y definiciones antes de incorporarlos a la base de datos terminológica de la UIT.</w:t>
      </w:r>
    </w:p>
    <w:p w14:paraId="46D56C18" w14:textId="77777777" w:rsidR="005A715D" w:rsidRPr="00713B0B" w:rsidRDefault="005A715D" w:rsidP="00C50B8C">
      <w:pPr>
        <w:keepNext/>
        <w:keepLines/>
        <w:rPr>
          <w:bCs/>
          <w:iCs/>
          <w:lang w:bidi="en-US"/>
        </w:rPr>
      </w:pPr>
      <w:r w:rsidRPr="00713B0B">
        <w:lastRenderedPageBreak/>
        <w:t>Después de la aprobación de la Resolución 1386 del Consejo: «Comité de Coordinación de Terminología de la UIT (CCT UIT)», las reuniones del CCT UIT se celebran haciendo amplio uso de los métodos electrónicos. Se está trabajando en la mejora de la base de datos terminológica de la UIT.</w:t>
      </w:r>
    </w:p>
    <w:p w14:paraId="04A0B7B4" w14:textId="5A2FE638" w:rsidR="005A715D" w:rsidRPr="00713B0B" w:rsidRDefault="005A715D" w:rsidP="005A715D">
      <w:pPr>
        <w:pStyle w:val="Heading2"/>
      </w:pPr>
      <w:r w:rsidRPr="00713B0B">
        <w:t>6.8</w:t>
      </w:r>
      <w:r w:rsidRPr="00713B0B">
        <w:tab/>
      </w:r>
      <w:bookmarkStart w:id="78" w:name="lt_pId451"/>
      <w:r w:rsidRPr="00713B0B">
        <w:t>Preparativos para la RPC23-2 y la CMR-23</w:t>
      </w:r>
      <w:bookmarkEnd w:id="78"/>
    </w:p>
    <w:p w14:paraId="24B425D8" w14:textId="75632124" w:rsidR="005A715D" w:rsidRPr="00713B0B" w:rsidRDefault="005A715D" w:rsidP="00812A93">
      <w:bookmarkStart w:id="79" w:name="lt_pId452"/>
      <w:bookmarkStart w:id="80" w:name="_Toc445972799"/>
      <w:r w:rsidRPr="00713B0B">
        <w:t xml:space="preserve">Véase la sección 5 del Documento </w:t>
      </w:r>
      <w:hyperlink r:id="rId12" w:history="1">
        <w:r w:rsidRPr="00713B0B">
          <w:rPr>
            <w:rStyle w:val="Hyperlink"/>
          </w:rPr>
          <w:t>RAG/44</w:t>
        </w:r>
      </w:hyperlink>
      <w:r w:rsidRPr="00713B0B">
        <w:t>.</w:t>
      </w:r>
      <w:bookmarkEnd w:id="79"/>
    </w:p>
    <w:p w14:paraId="2E1CA4D0" w14:textId="77777777" w:rsidR="005A715D" w:rsidRPr="00713B0B" w:rsidRDefault="005A715D" w:rsidP="005A715D">
      <w:pPr>
        <w:pStyle w:val="Heading1"/>
      </w:pPr>
      <w:r w:rsidRPr="00713B0B">
        <w:t>7</w:t>
      </w:r>
      <w:r w:rsidRPr="00713B0B">
        <w:tab/>
      </w:r>
      <w:bookmarkEnd w:id="80"/>
      <w:r w:rsidRPr="00713B0B">
        <w:t>Coordinación y colaboración con el UIT-D y el UIT-T y con otras organizaciones</w:t>
      </w:r>
    </w:p>
    <w:p w14:paraId="1BEB9522" w14:textId="77777777" w:rsidR="005A715D" w:rsidRPr="00713B0B" w:rsidRDefault="005A715D" w:rsidP="005A715D">
      <w:r w:rsidRPr="00713B0B">
        <w:t>Las actividades intersectoriales han continuado durante el periodo, centrándose especialmente en los temas prioritarios de la UIT del cambio climático, las comunicaciones de emergencia y la accesibilidad.</w:t>
      </w:r>
    </w:p>
    <w:p w14:paraId="37C4FD76" w14:textId="77777777" w:rsidR="005A715D" w:rsidRPr="00713B0B" w:rsidRDefault="005A715D" w:rsidP="00C50B8C">
      <w:pPr>
        <w:pStyle w:val="Headingi"/>
      </w:pPr>
      <w:r w:rsidRPr="00713B0B">
        <w:t>•</w:t>
      </w:r>
      <w:r w:rsidRPr="00713B0B">
        <w:tab/>
        <w:t>UIT-D</w:t>
      </w:r>
    </w:p>
    <w:p w14:paraId="1B3C75FB" w14:textId="77777777" w:rsidR="005A715D" w:rsidRPr="00713B0B" w:rsidRDefault="005A715D" w:rsidP="005A715D">
      <w:r w:rsidRPr="00713B0B">
        <w:t>La BR sigue contribuyendo a los diversos talleres y seminarios de la BDT. Estos eventos ofrecen la oportunidad de presentar las actividades de normalización del UIT-R y, a su vez, demostrar su contribución a la Resolución 123 (Rev. Dubái, 2018) para reducir la disparidad en materia de normalización.</w:t>
      </w:r>
    </w:p>
    <w:p w14:paraId="7986D70D" w14:textId="24D60A74" w:rsidR="005A715D" w:rsidRPr="00713B0B" w:rsidRDefault="005A715D" w:rsidP="005A715D">
      <w:r w:rsidRPr="00713B0B">
        <w:t>La BR participó activamente en las reuniones de las CE del UIT-D para presentar las últimas evoluciones de los trabajos de las CE del UIT-R, así como orientaciones sobre las Recomendaciones, los Informes y los Manuales del UIT-R de especial interés para los países en desarrollo). Se invitó a las CE del UIT-D a examinar la información del UIT-R presentada con el fin de evitar la duplicación de esfuerzos y aprovechar los resultados de los trabajos realizados por las</w:t>
      </w:r>
      <w:r w:rsidR="00C50B8C">
        <w:t> </w:t>
      </w:r>
      <w:r w:rsidRPr="00713B0B">
        <w:t>CE del UIT-R.</w:t>
      </w:r>
    </w:p>
    <w:p w14:paraId="44F508C1" w14:textId="77777777" w:rsidR="005A715D" w:rsidRPr="00C50B8C" w:rsidRDefault="005A715D" w:rsidP="00C50B8C">
      <w:pPr>
        <w:pStyle w:val="Headingi"/>
      </w:pPr>
      <w:r w:rsidRPr="00713B0B">
        <w:t>•</w:t>
      </w:r>
      <w:r w:rsidRPr="00713B0B">
        <w:tab/>
        <w:t>UIT-T</w:t>
      </w:r>
    </w:p>
    <w:p w14:paraId="075DB7D9" w14:textId="77777777" w:rsidR="005A715D" w:rsidRPr="00713B0B" w:rsidRDefault="005A715D" w:rsidP="005A715D">
      <w:r w:rsidRPr="00713B0B">
        <w:t>Además del cambio climático y las comunicaciones de emergencia, los temas de interés tanto para el UIT-R como para el UIT-T comprenden las IMT-2020, los efectos de la exposición de las personas a las frecuencias radioeléctricas, los sistemas de transmisión por líneas eléctricas, la red eléctrica inteligente, las ciudades inteligentes, EMC/EMI, los sistemas de transporte inteligentes, la accesibilidad de los medios audiovisuales, la política común de patentes y los derechos de propiedad intelectual.</w:t>
      </w:r>
    </w:p>
    <w:p w14:paraId="3162AA3E" w14:textId="77777777" w:rsidR="005A715D" w:rsidRPr="00713B0B" w:rsidRDefault="005A715D" w:rsidP="005A715D">
      <w:bookmarkStart w:id="81" w:name="_Toc445972800"/>
      <w:r w:rsidRPr="00713B0B">
        <w:t>Sigue siendo necesaria una estrecha coordinación sobre diversos temas que estudia el UIT-T que tienen implicaciones para los sistemas de radiocomunicaciones, a efectos de reducir así las posibilidades de solapamiento, duplicación y conflicto entre los trabajos de los dos Sectores.</w:t>
      </w:r>
    </w:p>
    <w:p w14:paraId="3129DF05" w14:textId="77777777" w:rsidR="005A715D" w:rsidRPr="00C50B8C" w:rsidRDefault="005A715D" w:rsidP="00C50B8C">
      <w:pPr>
        <w:pStyle w:val="Headingi"/>
      </w:pPr>
      <w:r w:rsidRPr="00713B0B">
        <w:t>•</w:t>
      </w:r>
      <w:r w:rsidRPr="00713B0B">
        <w:tab/>
        <w:t>Otras organizaciones</w:t>
      </w:r>
    </w:p>
    <w:p w14:paraId="2E5D9C22" w14:textId="560F32CA" w:rsidR="005A715D" w:rsidRPr="00713B0B" w:rsidRDefault="005A715D" w:rsidP="005A715D">
      <w:pPr>
        <w:rPr>
          <w:spacing w:val="-2"/>
        </w:rPr>
      </w:pPr>
      <w:r w:rsidRPr="00713B0B">
        <w:t xml:space="preserve">Ha continuado la colaboración activa entre las CE del UIT-R y otras organizaciones, haciendo la correspondiente referencia, cuando ha sido necesario, a la Resolución </w:t>
      </w:r>
      <w:hyperlink r:id="rId13" w:history="1">
        <w:r w:rsidRPr="00C50B8C">
          <w:rPr>
            <w:rStyle w:val="Hyperlink"/>
          </w:rPr>
          <w:t>UIT-R 9</w:t>
        </w:r>
      </w:hyperlink>
      <w:r w:rsidRPr="00713B0B">
        <w:t>.</w:t>
      </w:r>
    </w:p>
    <w:p w14:paraId="583B8B9B" w14:textId="77777777" w:rsidR="005A715D" w:rsidRPr="00713B0B" w:rsidRDefault="005A715D" w:rsidP="00812A93">
      <w:bookmarkStart w:id="82" w:name="_Hlk34147600"/>
      <w:r w:rsidRPr="00713B0B">
        <w:t>La Oficina siguió manteniendo una estrecha cooperación con numerosas organizaciones internacionales y regionales, con los objetivos siguientes:</w:t>
      </w:r>
    </w:p>
    <w:p w14:paraId="7F67AF8B" w14:textId="77777777" w:rsidR="005A715D" w:rsidRPr="00713B0B" w:rsidRDefault="005A715D" w:rsidP="005A715D">
      <w:pPr>
        <w:pStyle w:val="enumlev1"/>
      </w:pPr>
      <w:r w:rsidRPr="00713B0B">
        <w:t>1)</w:t>
      </w:r>
      <w:r w:rsidRPr="00713B0B">
        <w:tab/>
        <w:t>promover el diálogo entre organismos que tienen intereses comunes;</w:t>
      </w:r>
    </w:p>
    <w:p w14:paraId="47C65976" w14:textId="77777777" w:rsidR="005A715D" w:rsidRPr="00713B0B" w:rsidRDefault="005A715D" w:rsidP="005A715D">
      <w:pPr>
        <w:pStyle w:val="enumlev1"/>
      </w:pPr>
      <w:r w:rsidRPr="00713B0B">
        <w:t>2)</w:t>
      </w:r>
      <w:r w:rsidRPr="00713B0B">
        <w:tab/>
        <w:t>mejorar la coordinación de tal forma que conduzca a una preparación más eficaz de eventos tales como las CMR; y</w:t>
      </w:r>
    </w:p>
    <w:p w14:paraId="1F62E859" w14:textId="77777777" w:rsidR="005A715D" w:rsidRPr="00713B0B" w:rsidRDefault="005A715D" w:rsidP="005A715D">
      <w:pPr>
        <w:pStyle w:val="enumlev1"/>
      </w:pPr>
      <w:r w:rsidRPr="00713B0B">
        <w:t>3)</w:t>
      </w:r>
      <w:r w:rsidRPr="00713B0B">
        <w:tab/>
        <w:t>mantener al UIT</w:t>
      </w:r>
      <w:r w:rsidRPr="00713B0B">
        <w:noBreakHyphen/>
        <w:t>R al tanto de las actividades pertinentes realizadas en otras organizaciones, a fin de planificar de manera más estratégica los programas de trabajo.</w:t>
      </w:r>
    </w:p>
    <w:p w14:paraId="30786810" w14:textId="77777777" w:rsidR="005A715D" w:rsidRPr="00713B0B" w:rsidRDefault="005A715D" w:rsidP="005A715D">
      <w:pPr>
        <w:rPr>
          <w:szCs w:val="24"/>
          <w:highlight w:val="cyan"/>
        </w:rPr>
      </w:pPr>
      <w:r w:rsidRPr="00713B0B">
        <w:lastRenderedPageBreak/>
        <w:t>La Oficina continua su estrecha colaboración con las organizaciones internacionales y regionales pertinentes que tratan de la utilización de espectro, incluidas las organizaciones regionales de telecomunicaciones reconocidas por la UIT para la coordinación regional (la APT, el ASMG, la ATU, la CEPT, la CITEL y la CRC), las organizaciones de radiodifusión (ABU, ASBU, EBU y HFCC) o las centradas en la utilización de servicios de radiocomunicaciones específicos (por ejemplo, la ITSO, la ESOA, el GVF, la GSMA) mediante la promoción y participación en eventos de creación de capacidad sobre la aplicación del Reglamento de Radiocomunicaciones, incluyendo los seminarios mundiales de radiocomunicaciones y los seminarios regionales de radiocomunicaciones.</w:t>
      </w:r>
    </w:p>
    <w:p w14:paraId="163CFD77" w14:textId="77777777" w:rsidR="005A715D" w:rsidRPr="00713B0B" w:rsidRDefault="005A715D" w:rsidP="005A715D">
      <w:r w:rsidRPr="00713B0B">
        <w:t>La Oficina sigue participando en las actividades de la Global Standards Collaboration (GSC). Se ha mantenido la participación en los de la Asociación 3GPP y la colaboración con el IEEE, dada su importancia y pertinencia para los trabajos de la CE 5. Otras áreas importantes de coordinación de las actividades de las Comisiones de Estudio incluyen en particular las existentes con la Organización Meteorológica Mundial, el Comité Internacional Especial de Perturbaciones Radioeléctricas, la Organización Mundial de la Salud, la ISO, la CEI (incluido el CISPR), el Grupo de Coordinación de Frecuencias Espaciales y varias otras organizaciones en función de las necesidades.</w:t>
      </w:r>
    </w:p>
    <w:p w14:paraId="3CD474EE" w14:textId="77777777" w:rsidR="005A715D" w:rsidRPr="00713B0B" w:rsidRDefault="005A715D" w:rsidP="005A715D">
      <w:r w:rsidRPr="00713B0B">
        <w:t>La Oficina ha garantizado la coordinación y cooperación con la Comisión de las Naciones Unidas sobre la Utilización del Espacio Ultraterrestre con Fines Pacíficos (UN COPUOS), la Organización Marítima Internacional (OMI), la Organización Internacional de Telecomunicaciones Móviles Satélite (IMSO), la Oficina Internacional de Pesos y Medidas (BIPM), la Organización Internacional de Telecomunicaciones por Satélite (ITSO), COSPAS SARSAT, el Comité Internacional de la Cruz Roja (CICR) y la Organización de Aviación Civil Internacional (OACI) con respecto a la aplicación de los textos de la UIT con carácter de tratado. Los expertos de la BR también participaron en diversas reuniones de esas organizaciones.</w:t>
      </w:r>
    </w:p>
    <w:p w14:paraId="3D9698DD" w14:textId="2440A75C" w:rsidR="005A715D" w:rsidRPr="00713B0B" w:rsidRDefault="005A715D" w:rsidP="00495E58">
      <w:bookmarkStart w:id="83" w:name="lt_pId479"/>
      <w:r w:rsidRPr="00713B0B">
        <w:t>La Unión Internacional de Ciencias Radioeléctricas (URSI) celebró su 34ª Asamblea General y Simposio Científico en septiembre de 2021 y aprobó dos resoluciones de interés para el UIT-R. En la primera se expone la opini</w:t>
      </w:r>
      <w:r w:rsidR="006239F0">
        <w:t>ó</w:t>
      </w:r>
      <w:r w:rsidRPr="00713B0B">
        <w:t xml:space="preserve">n de los científicos radioeléctricos de la URSI sobre la necesidad de una escala temporal de referencia continua, en respuesta a la Resolución </w:t>
      </w:r>
      <w:r w:rsidRPr="00713B0B">
        <w:rPr>
          <w:b/>
          <w:bCs/>
        </w:rPr>
        <w:t>655 (CMR-15)</w:t>
      </w:r>
      <w:r w:rsidRPr="00C50B8C">
        <w:t xml:space="preserve">. </w:t>
      </w:r>
      <w:r w:rsidRPr="00713B0B">
        <w:t>En la segunda se propone estrechar la relación entre la URSI y la UIT.</w:t>
      </w:r>
      <w:bookmarkEnd w:id="83"/>
    </w:p>
    <w:p w14:paraId="55733E49" w14:textId="4CCE96A9" w:rsidR="005A715D" w:rsidRPr="00713B0B" w:rsidRDefault="005A715D" w:rsidP="00495E58">
      <w:bookmarkStart w:id="84" w:name="lt_pId480"/>
      <w:r w:rsidRPr="00713B0B">
        <w:t>El objetivo de esa segunda resolución es trabajar estrechamente con la UIT creando un Grupo de Trabajo Intercomisional URSI-UIT a fin de identificar las esferas que pueden influir en la evolución de las telecomunicaciones a largo plazo; mantener informada a la comunidad de la URSI acerca de las cuestiones específicas planteadas por las Comisiones de Estudio de la UIT y los puntos del orden del día de la CMR, en especial los que corresponden al ámbito de competencia de las Comisiones de la URSI; estimular y coordinar estudios, colaboraciones y simposios sobre dichas cuestiones de la UIT y preparar declaraciones de la URSI sobre esos temas en el formato adecuado, y crear grupos de tareas especiales o de otro tipo, según proceda, para llevar a cabo las tareas expuestas.</w:t>
      </w:r>
      <w:bookmarkEnd w:id="84"/>
    </w:p>
    <w:bookmarkEnd w:id="82"/>
    <w:p w14:paraId="69A92355" w14:textId="77777777" w:rsidR="005A715D" w:rsidRPr="00713B0B" w:rsidRDefault="005A715D" w:rsidP="005A715D">
      <w:pPr>
        <w:pStyle w:val="Heading1"/>
      </w:pPr>
      <w:r w:rsidRPr="00713B0B">
        <w:t>8</w:t>
      </w:r>
      <w:r w:rsidRPr="00713B0B">
        <w:tab/>
      </w:r>
      <w:bookmarkEnd w:id="81"/>
      <w:r w:rsidRPr="00713B0B">
        <w:t>Otras actividades intersectoriales</w:t>
      </w:r>
    </w:p>
    <w:p w14:paraId="18BD628D" w14:textId="77777777" w:rsidR="005A715D" w:rsidRPr="00713B0B" w:rsidRDefault="005A715D" w:rsidP="005A715D">
      <w:r w:rsidRPr="00713B0B">
        <w:t>La BR ha participado activamente en otras actividades intersectoriales referentes a los trabajos de las CE del UIT-R, a saber:</w:t>
      </w:r>
    </w:p>
    <w:p w14:paraId="347A7990" w14:textId="4CCB9782" w:rsidR="005A715D" w:rsidRPr="00713B0B" w:rsidRDefault="005A715D" w:rsidP="005A715D">
      <w:pPr>
        <w:pStyle w:val="enumlev1"/>
      </w:pPr>
      <w:r w:rsidRPr="00713B0B">
        <w:t>–</w:t>
      </w:r>
      <w:r w:rsidRPr="00713B0B">
        <w:tab/>
        <w:t xml:space="preserve">Cambio climático y comunicaciones de emergencia: </w:t>
      </w:r>
      <w:r w:rsidR="00D30B54">
        <w:t>l</w:t>
      </w:r>
      <w:r w:rsidRPr="00713B0B">
        <w:t>a BR participa en las actividades intersectoriales coordinadas por el Grupo Especial sobre Cambio Climático y Telecomunicaciones de Emergencia de la UIT para la aplicación de la Resolución 136 (Rev. Dubái, 2018). Se realizaron estudios en respuesta a la Resolución </w:t>
      </w:r>
      <w:hyperlink r:id="rId14" w:history="1">
        <w:r w:rsidRPr="00C50B8C">
          <w:rPr>
            <w:rStyle w:val="Hyperlink"/>
          </w:rPr>
          <w:t>UIT-R 60-2</w:t>
        </w:r>
      </w:hyperlink>
      <w:r w:rsidRPr="00713B0B">
        <w:t xml:space="preserve"> </w:t>
      </w:r>
      <w:r w:rsidRPr="00713B0B">
        <w:lastRenderedPageBreak/>
        <w:t xml:space="preserve">(Reducción del consumo de energía para la protección del medio ambiente y la reducción del cambio climático mediante la utilización de tecnologías y sistemas de TIC/radiocomunicaciones). </w:t>
      </w:r>
    </w:p>
    <w:p w14:paraId="599667F2" w14:textId="03E3A352" w:rsidR="005A715D" w:rsidRPr="00713B0B" w:rsidRDefault="005A715D" w:rsidP="005A715D">
      <w:pPr>
        <w:pStyle w:val="enumlev1"/>
      </w:pPr>
      <w:r w:rsidRPr="00713B0B">
        <w:t>–</w:t>
      </w:r>
      <w:r w:rsidRPr="00713B0B">
        <w:tab/>
        <w:t xml:space="preserve">Accesibilidad: </w:t>
      </w:r>
      <w:r w:rsidR="00D30B54">
        <w:t>e</w:t>
      </w:r>
      <w:r w:rsidRPr="00713B0B">
        <w:t>l UIT-R participa activamente en la JCA-AHF (Actividad Conjunta de Coordinación sobre accesibilidad y factores humanos) del UIT-T.</w:t>
      </w:r>
    </w:p>
    <w:p w14:paraId="7A1E988F" w14:textId="61C27245" w:rsidR="005A715D" w:rsidRPr="00713B0B" w:rsidRDefault="005A715D" w:rsidP="005A715D">
      <w:pPr>
        <w:pStyle w:val="enumlev1"/>
      </w:pPr>
      <w:r w:rsidRPr="00713B0B">
        <w:t>–</w:t>
      </w:r>
      <w:r w:rsidRPr="00713B0B">
        <w:tab/>
        <w:t xml:space="preserve">Espectro/CEM: </w:t>
      </w:r>
      <w:r w:rsidR="00D30B54">
        <w:t>c</w:t>
      </w:r>
      <w:r w:rsidRPr="00713B0B">
        <w:t>uando se aborden temas relacionados con el espectro/la compatibilidad electromagnética, se garantiza una estrecha coordinación con los grupos o comisiones del UIT-R pertinentes antes de coordinarse con organizaciones externas, en particular cuando el UIT-R ya disponga de una colaboración asentada y eficiente con esas organizaciones.</w:t>
      </w:r>
    </w:p>
    <w:p w14:paraId="02CFAA80" w14:textId="5764825F" w:rsidR="005A715D" w:rsidRPr="00713B0B" w:rsidRDefault="005A715D" w:rsidP="00495E58">
      <w:pPr>
        <w:pStyle w:val="enumlev1"/>
      </w:pPr>
      <w:r w:rsidRPr="00713B0B">
        <w:t>–</w:t>
      </w:r>
      <w:r w:rsidRPr="00713B0B">
        <w:tab/>
        <w:t xml:space="preserve">CMSI y GTC sobre la CMSI y los ODS: </w:t>
      </w:r>
      <w:r w:rsidR="00D30B54">
        <w:t>e</w:t>
      </w:r>
      <w:r w:rsidRPr="00713B0B">
        <w:t xml:space="preserve">n respuesta a la Resolución 140 (Rev. Dubái, 2018) de la Conferencia de Plenipotenciarios, </w:t>
      </w:r>
      <w:bookmarkStart w:id="85" w:name="_Toc406754246"/>
      <w:r w:rsidRPr="00713B0B">
        <w:t>Función de la UIT en la aplicación de los resultados de la Cumbre Mundial sobre la Sociedad de la Información y de la Agenda 2030 para el Desarrollo Sostenible, así como en sus procesos de seguimiento y revisión</w:t>
      </w:r>
      <w:bookmarkEnd w:id="85"/>
      <w:r w:rsidRPr="00713B0B">
        <w:t xml:space="preserve">, el UIT-R mantiene una sana coordinación con el GTC sobre la CMSI y los ODS y facilita información actualizada sobre los trabajos realizados por las Comisiones de Estudio del UIT-R en relación con las </w:t>
      </w:r>
      <w:r w:rsidR="00D30B54">
        <w:t>l</w:t>
      </w:r>
      <w:r w:rsidRPr="00713B0B">
        <w:t xml:space="preserve">íneas de </w:t>
      </w:r>
      <w:r w:rsidR="00D30B54">
        <w:t>a</w:t>
      </w:r>
      <w:r w:rsidRPr="00713B0B">
        <w:t>cción de la CMSI y para la consecución de los Objetivos de Desarrollo Sostenible (ODS). El Departamento de Comisiones de Estudio (SGD) de la BR ha preparado y puesto en línea un sitio web en el que se enumeran las publicaciones del UIT-R relacionadas con cada ODS, que puede consultarse en la dirección</w:t>
      </w:r>
      <w:bookmarkStart w:id="86" w:name="lt_pId494"/>
      <w:r w:rsidRPr="00713B0B">
        <w:t xml:space="preserve">: </w:t>
      </w:r>
      <w:hyperlink r:id="rId15" w:history="1">
        <w:r w:rsidR="00D30B54" w:rsidRPr="002644EE">
          <w:rPr>
            <w:rStyle w:val="Hyperlink"/>
          </w:rPr>
          <w:t>https://www.itu.int/en/ITU-R/study-groups/Pages/Sustainable-dev-goals.aspx</w:t>
        </w:r>
      </w:hyperlink>
      <w:r w:rsidRPr="00713B0B">
        <w:t>.</w:t>
      </w:r>
      <w:bookmarkEnd w:id="86"/>
    </w:p>
    <w:p w14:paraId="73CCB069" w14:textId="77777777" w:rsidR="005A715D" w:rsidRPr="00713B0B" w:rsidRDefault="005A715D" w:rsidP="00495E58">
      <w:pPr>
        <w:pStyle w:val="enumlev1"/>
      </w:pPr>
      <w:r w:rsidRPr="00713B0B">
        <w:tab/>
      </w:r>
      <w:bookmarkStart w:id="87" w:name="lt_pId495"/>
      <w:r w:rsidRPr="00713B0B">
        <w:t>Además, el Director y la Directora Adjunta de la BR seguirán participando en las sesiones políticas de alto nivel y en las sesiones TalkX de la CMSI organizadas en el marco del Foro de la CMSI.</w:t>
      </w:r>
      <w:bookmarkEnd w:id="87"/>
    </w:p>
    <w:p w14:paraId="0E98AA08" w14:textId="0BBD812F" w:rsidR="005A715D" w:rsidRPr="00713B0B" w:rsidRDefault="005A715D" w:rsidP="00020749">
      <w:pPr>
        <w:pStyle w:val="enumlev1"/>
      </w:pPr>
      <w:r w:rsidRPr="00713B0B">
        <w:t>–</w:t>
      </w:r>
      <w:r w:rsidRPr="00713B0B">
        <w:tab/>
      </w:r>
      <w:bookmarkStart w:id="88" w:name="lt_pId497"/>
      <w:r w:rsidRPr="00713B0B">
        <w:t xml:space="preserve">El UIT-R participó activamente en la organización del </w:t>
      </w:r>
      <w:r w:rsidR="00D30B54">
        <w:t>t</w:t>
      </w:r>
      <w:r w:rsidRPr="00713B0B">
        <w:t>aller de la UIT sobre el futur</w:t>
      </w:r>
      <w:r w:rsidR="00D30B54">
        <w:t>o</w:t>
      </w:r>
      <w:r w:rsidRPr="00713B0B">
        <w:t xml:space="preserve"> de la televisión en Europa y el </w:t>
      </w:r>
      <w:r w:rsidR="00D30B54">
        <w:t>t</w:t>
      </w:r>
      <w:r w:rsidRPr="00713B0B">
        <w:t>aller de la UIT sobre el futuro de la televisión en Asia-Pacífico.</w:t>
      </w:r>
      <w:bookmarkEnd w:id="88"/>
    </w:p>
    <w:p w14:paraId="11BF9F18" w14:textId="77777777" w:rsidR="005A715D" w:rsidRPr="00713B0B" w:rsidRDefault="005A715D" w:rsidP="005A715D">
      <w:pPr>
        <w:pStyle w:val="enumlev1"/>
        <w:rPr>
          <w:rFonts w:asciiTheme="majorBidi" w:hAnsiTheme="majorBidi" w:cstheme="majorBidi"/>
          <w:szCs w:val="24"/>
        </w:rPr>
      </w:pPr>
      <w:r w:rsidRPr="00713B0B">
        <w:t>–</w:t>
      </w:r>
      <w:r w:rsidRPr="00713B0B">
        <w:tab/>
        <w:t>Preparación de las reuniones de la UIT y participación en las mismas: La BR sigue participando en las actividades referentes a los próximos grandes eventos, conferencias y reuniones de la UIT, así como su preparación en relación con los trabajos de las CE del UIT-R. Estas actividades se realizan en apoyo de la Conferencia de Plenipotenciarios, el Consejo de la UIT, la AMNT, la CMDT, la CMSI y ITU TELECOM World</w:t>
      </w:r>
      <w:r w:rsidRPr="00713B0B">
        <w:rPr>
          <w:rFonts w:asciiTheme="majorBidi" w:hAnsiTheme="majorBidi" w:cstheme="majorBidi"/>
          <w:szCs w:val="24"/>
        </w:rPr>
        <w:t>.</w:t>
      </w:r>
    </w:p>
    <w:p w14:paraId="7F47194E" w14:textId="77777777" w:rsidR="005A715D" w:rsidRPr="00713B0B" w:rsidRDefault="005A715D" w:rsidP="005A715D">
      <w:pPr>
        <w:pStyle w:val="Heading1"/>
      </w:pPr>
      <w:r w:rsidRPr="00D30B54">
        <w:t>9</w:t>
      </w:r>
      <w:r w:rsidRPr="00D30B54">
        <w:tab/>
        <w:t>Acciones solicitadas por el GAR en su reunión de 2021</w:t>
      </w:r>
    </w:p>
    <w:p w14:paraId="65A2D160" w14:textId="392CD594" w:rsidR="005A715D" w:rsidRPr="00713B0B" w:rsidRDefault="005A715D" w:rsidP="00495E58">
      <w:bookmarkStart w:id="89" w:name="lt_pId503"/>
      <w:r w:rsidRPr="00713B0B">
        <w:t xml:space="preserve">En respuesta a lo solicitado por el GAR en su reunión de 2021, tal y como se recoge en el Resumen de Conclusiones (Circular Administrativa </w:t>
      </w:r>
      <w:hyperlink r:id="rId16" w:history="1">
        <w:r w:rsidRPr="00713B0B">
          <w:rPr>
            <w:rStyle w:val="Hyperlink"/>
          </w:rPr>
          <w:t>CA/256</w:t>
        </w:r>
      </w:hyperlink>
      <w:r w:rsidRPr="00713B0B">
        <w:t>), el SGD de la BR ha puesto en marcha lo siguiente:</w:t>
      </w:r>
      <w:bookmarkEnd w:id="89"/>
    </w:p>
    <w:p w14:paraId="32473C72" w14:textId="77777777" w:rsidR="005A715D" w:rsidRPr="00713B0B" w:rsidRDefault="005A715D" w:rsidP="005A715D">
      <w:pPr>
        <w:pStyle w:val="Heading2"/>
      </w:pPr>
      <w:r w:rsidRPr="00D30B54">
        <w:t>9.1</w:t>
      </w:r>
      <w:r w:rsidRPr="00D30B54">
        <w:tab/>
      </w:r>
      <w:bookmarkStart w:id="90" w:name="lt_pId505"/>
      <w:r w:rsidRPr="00D30B54">
        <w:t>Últimos logros de las Comisiones de Estudio y Grupos de Trabajo del UIT-R de interés para las Comisiones de Estudio del UIT-D</w:t>
      </w:r>
      <w:bookmarkEnd w:id="90"/>
    </w:p>
    <w:p w14:paraId="71E6C2D1" w14:textId="0ADF12E2" w:rsidR="005A715D" w:rsidRPr="00020749" w:rsidRDefault="005A715D" w:rsidP="00020749">
      <w:bookmarkStart w:id="91" w:name="lt_pId506"/>
      <w:r w:rsidRPr="00020749">
        <w:t xml:space="preserve">En su última reunión de abril de 2021 el GAR accedió a la solicitud de animar a los Presidentes de las CE y los GT del UIT-R a facilitar por medio de los mecanismos existentes resúmenes de los últimos logros de sus CE o GT correspondientes de interés para las CE del UIT-D pertinentes. En respuesta a dicha solicitud, el SGD de la BR mantiene al día todos los productos recientemente aprobados por las CE y los GT. Esta información se publica periódicamente en el </w:t>
      </w:r>
      <w:bookmarkStart w:id="92" w:name="lt_pId508"/>
      <w:bookmarkEnd w:id="91"/>
      <w:r w:rsidR="00020749">
        <w:fldChar w:fldCharType="begin"/>
      </w:r>
      <w:r w:rsidR="00020749">
        <w:instrText xml:space="preserve"> HYPERLINK "https://www.itu.int/dms_pub/itu-r/oth/0a/0e/R0A0E0000E80001PDFE.pdf" </w:instrText>
      </w:r>
      <w:r w:rsidR="00020749">
        <w:fldChar w:fldCharType="separate"/>
      </w:r>
      <w:r w:rsidRPr="00020749">
        <w:rPr>
          <w:rStyle w:val="Hyperlink"/>
        </w:rPr>
        <w:t>sitio web de las CE del UIT-R</w:t>
      </w:r>
      <w:r w:rsidR="00020749">
        <w:fldChar w:fldCharType="end"/>
      </w:r>
      <w:r w:rsidRPr="00020749">
        <w:t>.</w:t>
      </w:r>
      <w:bookmarkEnd w:id="92"/>
      <w:r w:rsidRPr="00020749">
        <w:t xml:space="preserve"> </w:t>
      </w:r>
      <w:bookmarkStart w:id="93" w:name="lt_pId509"/>
      <w:r w:rsidRPr="00020749">
        <w:t xml:space="preserve">El archivo contiene una lista de textos de reciente aprobación, en orden cronológico, correspondientes al periodo de estudios 2019-2023, así como una breve descripción del contenido </w:t>
      </w:r>
      <w:r w:rsidRPr="00020749">
        <w:lastRenderedPageBreak/>
        <w:t>de cada documento. El SGD de la BR indica, además, las Comisiones de Estudio o Cuestiones del UIT-D y/o del UIT-T para las que cada documento del UIT-R puede ser pertinente</w:t>
      </w:r>
      <w:bookmarkStart w:id="94" w:name="lt_pId510"/>
      <w:bookmarkEnd w:id="93"/>
      <w:r w:rsidRPr="00020749">
        <w:t>.</w:t>
      </w:r>
      <w:bookmarkEnd w:id="94"/>
    </w:p>
    <w:p w14:paraId="3CCCD139" w14:textId="77777777" w:rsidR="005A715D" w:rsidRPr="00713B0B" w:rsidRDefault="005A715D" w:rsidP="005A715D">
      <w:pPr>
        <w:pStyle w:val="Heading2"/>
      </w:pPr>
      <w:r w:rsidRPr="00D30B54">
        <w:t>9.2</w:t>
      </w:r>
      <w:r w:rsidRPr="00D30B54">
        <w:tab/>
      </w:r>
      <w:bookmarkStart w:id="95" w:name="lt_pId512"/>
      <w:r w:rsidRPr="00D30B54">
        <w:t>Perfeccionamiento de las directrices para mejorar las reuniones-e</w:t>
      </w:r>
      <w:bookmarkEnd w:id="95"/>
    </w:p>
    <w:p w14:paraId="188356F2" w14:textId="5AA591B3" w:rsidR="005A715D" w:rsidRPr="00713B0B" w:rsidRDefault="005A715D" w:rsidP="00495E58">
      <w:bookmarkStart w:id="96" w:name="lt_pId513"/>
      <w:r w:rsidRPr="00713B0B">
        <w:t>Siguiendo los consejos del GAR, el SGD de la BR se ha esforzado en mejorar la manera de llevar a cabo reuniones-e. Para ello se han preparado y publicado, con suficiente antelación a las reuniones de los GT y CE concernidos, documentos informativos</w:t>
      </w:r>
      <w:bookmarkStart w:id="97" w:name="lt_pId514"/>
      <w:bookmarkEnd w:id="96"/>
      <w:r w:rsidRPr="00713B0B">
        <w:t xml:space="preserve"> (INFO) con directrices detalladas sobre la conexión a la plataforma. En dichos documentos INFO se incluyen recordatorios a la aplicación del Reglamento </w:t>
      </w:r>
      <w:r w:rsidR="00D30B54">
        <w:t>g</w:t>
      </w:r>
      <w:r w:rsidRPr="00713B0B">
        <w:t>eneral de las conferencias, asambleas y reuniones de la Unión a fin de garantizar que las reuniones se celebran de manera fluida. Asimismo, se han realizado sesiones de prueba con los delegados y se han organizado formaciones sobre la utilización de las plataformas específicamente para los Presidentes. Antes y durante las reuniones se ha prestado asistencia a los delegados con problemas técnicos para conectarse a distancia a las reuniones</w:t>
      </w:r>
      <w:bookmarkStart w:id="98" w:name="lt_pId517"/>
      <w:bookmarkEnd w:id="97"/>
      <w:r w:rsidRPr="00713B0B">
        <w:t>.</w:t>
      </w:r>
      <w:bookmarkEnd w:id="98"/>
    </w:p>
    <w:p w14:paraId="01AB3039" w14:textId="3FCB3369" w:rsidR="005A715D" w:rsidRPr="00020749" w:rsidRDefault="005A715D" w:rsidP="00495E58">
      <w:bookmarkStart w:id="99" w:name="lt_pId518"/>
      <w:r w:rsidRPr="00020749">
        <w:t>La BR sigue estudiando la manera de mejorar las reuniones-e en colaboración con el Departamento</w:t>
      </w:r>
      <w:r w:rsidR="00D30B54">
        <w:t> </w:t>
      </w:r>
      <w:r w:rsidRPr="00020749">
        <w:t>IS y el equipo de Inscripciones del UIT-R.</w:t>
      </w:r>
      <w:bookmarkEnd w:id="99"/>
    </w:p>
    <w:p w14:paraId="1C4DC1F0" w14:textId="77777777" w:rsidR="005A715D" w:rsidRPr="00713B0B" w:rsidRDefault="005A715D" w:rsidP="00495E58">
      <w:pPr>
        <w:pStyle w:val="Heading2"/>
      </w:pPr>
      <w:r w:rsidRPr="00713B0B">
        <w:t>9.3</w:t>
      </w:r>
      <w:r w:rsidRPr="00713B0B">
        <w:tab/>
      </w:r>
      <w:bookmarkStart w:id="100" w:name="lt_pId520"/>
      <w:r w:rsidRPr="00713B0B">
        <w:t>Igualdad, equidad y paridad de género en los cargos directivos de las Comisiones de Estudio y los Grupos de Trabajo del UIT-R</w:t>
      </w:r>
      <w:bookmarkEnd w:id="100"/>
    </w:p>
    <w:p w14:paraId="6E15DF90" w14:textId="39AFD800" w:rsidR="005A715D" w:rsidRPr="00713B0B" w:rsidRDefault="005A715D" w:rsidP="00495E58">
      <w:bookmarkStart w:id="101" w:name="lt_pId521"/>
      <w:r w:rsidRPr="00713B0B">
        <w:t>Por invitación del GAR y en armonía con la Declaración de Género de la CMR-19, el GT</w:t>
      </w:r>
      <w:r w:rsidR="00D30B54">
        <w:t> </w:t>
      </w:r>
      <w:r w:rsidRPr="00713B0B">
        <w:t>1B nombró a la Sra. Tatiana Sukhodolskaia Vicepresident</w:t>
      </w:r>
      <w:r w:rsidR="00D30B54">
        <w:t>a</w:t>
      </w:r>
      <w:r w:rsidRPr="00713B0B">
        <w:t xml:space="preserve"> de ese Grupo. Cabe señalar también que en varios GT y el GTE</w:t>
      </w:r>
      <w:bookmarkStart w:id="102" w:name="lt_pId522"/>
      <w:bookmarkEnd w:id="101"/>
      <w:r w:rsidRPr="00713B0B">
        <w:t xml:space="preserve"> 6/1 se ha experimentado un aumento del número de mujeres que dirigen Grupos de Trabajo (GT), Subgrupos de Trabajo (SGT) y Grupos de Redacción (DG). Sin embargo, hay que decir que, dado el elevado nivel técnico de los temas estudiados por algunos GT, el número de expertas es muy reducido y no suele ser fácil alcanzar la paridad</w:t>
      </w:r>
      <w:bookmarkStart w:id="103" w:name="lt_pId523"/>
      <w:bookmarkEnd w:id="102"/>
      <w:r w:rsidRPr="00713B0B">
        <w:t>.</w:t>
      </w:r>
      <w:bookmarkEnd w:id="103"/>
    </w:p>
    <w:p w14:paraId="582E8D2C" w14:textId="77777777" w:rsidR="005A715D" w:rsidRPr="00713B0B" w:rsidRDefault="005A715D" w:rsidP="005A715D">
      <w:pPr>
        <w:pStyle w:val="Heading2"/>
      </w:pPr>
      <w:r w:rsidRPr="00B10375">
        <w:t>9.4</w:t>
      </w:r>
      <w:r w:rsidRPr="00B10375">
        <w:tab/>
      </w:r>
      <w:bookmarkStart w:id="104" w:name="lt_pId525"/>
      <w:r w:rsidRPr="00B10375">
        <w:t>Actualización y armonización de los sitios web de las Comisiones de Estudio y los Grupos de Trabajo del UIT-R</w:t>
      </w:r>
      <w:bookmarkEnd w:id="104"/>
    </w:p>
    <w:p w14:paraId="0CEAC68D" w14:textId="2B1BC802" w:rsidR="005A715D" w:rsidRPr="00713B0B" w:rsidRDefault="005A715D" w:rsidP="00495E58">
      <w:bookmarkStart w:id="105" w:name="lt_pId526"/>
      <w:r w:rsidRPr="00713B0B">
        <w:t xml:space="preserve">Los sitios web de las CE y los GT del UIT-R se actualizan periódicamente para facilitar a los </w:t>
      </w:r>
      <w:r w:rsidR="00B10375">
        <w:t>m</w:t>
      </w:r>
      <w:r w:rsidRPr="00713B0B">
        <w:t>iembros la información más reciente. El SGD de la BR intenta, en la medida de lo posible, armonizar la presentación de los sitios web de las Comisiones de Estudio y Grupos de Trabajo del</w:t>
      </w:r>
      <w:r w:rsidR="00B10375">
        <w:t> </w:t>
      </w:r>
      <w:r w:rsidRPr="00713B0B">
        <w:t>UIT-R, del CCV, el CVC y la RPC</w:t>
      </w:r>
      <w:bookmarkStart w:id="106" w:name="lt_pId527"/>
      <w:bookmarkEnd w:id="105"/>
      <w:r w:rsidRPr="00713B0B">
        <w:t>.</w:t>
      </w:r>
      <w:bookmarkEnd w:id="106"/>
    </w:p>
    <w:p w14:paraId="25CFC27A" w14:textId="77777777" w:rsidR="005A715D" w:rsidRPr="00713B0B" w:rsidRDefault="005A715D" w:rsidP="00495E58">
      <w:pPr>
        <w:pStyle w:val="Heading2"/>
      </w:pPr>
      <w:r w:rsidRPr="00B10375">
        <w:t>9.5</w:t>
      </w:r>
      <w:r w:rsidRPr="00B10375">
        <w:tab/>
      </w:r>
      <w:bookmarkStart w:id="107" w:name="lt_pId529"/>
      <w:r w:rsidRPr="00B10375">
        <w:t>Primera sesión de la reunión del GAR celebrada el 24 de febrero de 2022</w:t>
      </w:r>
      <w:bookmarkEnd w:id="107"/>
    </w:p>
    <w:p w14:paraId="2E647F17" w14:textId="77777777" w:rsidR="005A715D" w:rsidRPr="00713B0B" w:rsidRDefault="005A715D" w:rsidP="00495E58">
      <w:pPr>
        <w:rPr>
          <w:lang w:eastAsia="zh-CN"/>
        </w:rPr>
      </w:pPr>
      <w:bookmarkStart w:id="108" w:name="lt_pId530"/>
      <w:r w:rsidRPr="00713B0B">
        <w:rPr>
          <w:lang w:eastAsia="zh-CN"/>
        </w:rPr>
        <w:t>En su reunión celebrada el 24 de febrero de 2022, el Grupo Asesor de Radiocomunicaciones (GAR) examinó los proyectos de Plan Estratégico y Financiero del UIT-R y se le presentaron, entre otras cosas, las medidas previstas para la reanudación de las reuniones del UIT-R presenciales con participación a distancia.</w:t>
      </w:r>
      <w:bookmarkEnd w:id="108"/>
    </w:p>
    <w:p w14:paraId="606C54BE" w14:textId="77777777" w:rsidR="005A715D" w:rsidRPr="00713B0B" w:rsidRDefault="005A715D" w:rsidP="00495E58">
      <w:pPr>
        <w:rPr>
          <w:lang w:eastAsia="zh-CN"/>
        </w:rPr>
      </w:pPr>
      <w:bookmarkStart w:id="109" w:name="lt_pId531"/>
      <w:r w:rsidRPr="00713B0B">
        <w:rPr>
          <w:lang w:eastAsia="zh-CN"/>
        </w:rPr>
        <w:t>Durante el debate, los participantes formularon las sugerencias y observaciones siguientes a los Presidentes de las CE/GT para la preparación de reuniones presenciales con participación a distancia.</w:t>
      </w:r>
      <w:bookmarkEnd w:id="109"/>
    </w:p>
    <w:p w14:paraId="36FBF07D" w14:textId="77777777" w:rsidR="005A715D" w:rsidRPr="00713B0B" w:rsidRDefault="005A715D" w:rsidP="00495E58">
      <w:pPr>
        <w:pStyle w:val="Headingb"/>
      </w:pPr>
      <w:bookmarkStart w:id="110" w:name="lt_pId532"/>
      <w:r w:rsidRPr="00A55149">
        <w:t>Solicitudes formuladas a los Presidentes de las CE/GT:</w:t>
      </w:r>
      <w:bookmarkEnd w:id="110"/>
    </w:p>
    <w:p w14:paraId="7A45C1B9" w14:textId="4C9BDED5" w:rsidR="005A715D" w:rsidRPr="00713B0B" w:rsidRDefault="005A715D" w:rsidP="00495E58">
      <w:pPr>
        <w:pStyle w:val="enumlev1"/>
      </w:pPr>
      <w:r w:rsidRPr="00713B0B">
        <w:t>−</w:t>
      </w:r>
      <w:r w:rsidRPr="00713B0B">
        <w:tab/>
      </w:r>
      <w:bookmarkStart w:id="111" w:name="lt_pId534"/>
      <w:r w:rsidRPr="00713B0B">
        <w:t>Tomar en consideración la zona horaria de los participantes a la hora de planificar las sesiones. Se sugirió utilizar y mostrar, de ser factible, relojes mundiales para mostrar las diferencias horarias en todo el mundo</w:t>
      </w:r>
      <w:bookmarkStart w:id="112" w:name="lt_pId535"/>
      <w:bookmarkEnd w:id="111"/>
      <w:r w:rsidRPr="00713B0B">
        <w:t xml:space="preserve"> (</w:t>
      </w:r>
      <w:hyperlink r:id="rId17" w:history="1">
        <w:r w:rsidR="00A55149" w:rsidRPr="002644EE">
          <w:rPr>
            <w:rStyle w:val="Hyperlink"/>
          </w:rPr>
          <w:t>https://www.inside.net/ITUclocks/</w:t>
        </w:r>
      </w:hyperlink>
      <w:r w:rsidRPr="00713B0B">
        <w:t>).</w:t>
      </w:r>
      <w:bookmarkEnd w:id="112"/>
    </w:p>
    <w:p w14:paraId="6125E000" w14:textId="78A7CE7D" w:rsidR="005A715D" w:rsidRPr="00713B0B" w:rsidRDefault="005A715D" w:rsidP="00495E58">
      <w:pPr>
        <w:pStyle w:val="enumlev1"/>
      </w:pPr>
      <w:r w:rsidRPr="00713B0B">
        <w:t>−</w:t>
      </w:r>
      <w:r w:rsidRPr="00713B0B">
        <w:tab/>
      </w:r>
      <w:bookmarkStart w:id="113" w:name="lt_pId537"/>
      <w:r w:rsidRPr="00713B0B">
        <w:t>Limitar la duración de las intervenciones para optimizar la reunión y avanzar los trabajos.</w:t>
      </w:r>
      <w:bookmarkEnd w:id="113"/>
    </w:p>
    <w:p w14:paraId="050F3B57" w14:textId="38982BA5" w:rsidR="005A715D" w:rsidRPr="00713B0B" w:rsidRDefault="005A715D" w:rsidP="00495E58">
      <w:pPr>
        <w:pStyle w:val="enumlev1"/>
      </w:pPr>
      <w:r w:rsidRPr="00713B0B">
        <w:lastRenderedPageBreak/>
        <w:t>−</w:t>
      </w:r>
      <w:r w:rsidRPr="00713B0B">
        <w:tab/>
      </w:r>
      <w:bookmarkStart w:id="114" w:name="lt_pId539"/>
      <w:r w:rsidRPr="00713B0B">
        <w:t xml:space="preserve">Respetar el horario e intentar respetar las horas de trabajo acordadas para planificar las reuniones. Procurar evitar, en la medida de lo </w:t>
      </w:r>
      <w:r w:rsidR="00495E58" w:rsidRPr="00713B0B">
        <w:t>posible</w:t>
      </w:r>
      <w:r w:rsidRPr="00713B0B">
        <w:t>, la utilización de los periodos</w:t>
      </w:r>
      <w:bookmarkStart w:id="115" w:name="lt_pId540"/>
      <w:bookmarkEnd w:id="114"/>
      <w:r w:rsidRPr="00713B0B">
        <w:t xml:space="preserve"> 0, 5 y 6, es decir, celebrar reuniones antes de las 09.00 horas y después de las 17.00 horas CET.</w:t>
      </w:r>
      <w:bookmarkEnd w:id="115"/>
    </w:p>
    <w:p w14:paraId="34643C31" w14:textId="77777777" w:rsidR="005A715D" w:rsidRPr="00713B0B" w:rsidRDefault="005A715D" w:rsidP="00495E58">
      <w:pPr>
        <w:pStyle w:val="enumlev1"/>
      </w:pPr>
      <w:r w:rsidRPr="00713B0B">
        <w:t>−</w:t>
      </w:r>
      <w:r w:rsidRPr="00713B0B">
        <w:tab/>
      </w:r>
      <w:bookmarkStart w:id="116" w:name="lt_pId542"/>
      <w:r w:rsidRPr="00713B0B">
        <w:t>Evitar la celebración de numerosas sesiones en paralelo.</w:t>
      </w:r>
      <w:bookmarkEnd w:id="116"/>
    </w:p>
    <w:p w14:paraId="0465F780" w14:textId="77777777" w:rsidR="005A715D" w:rsidRPr="00713B0B" w:rsidRDefault="005A715D" w:rsidP="00495E58">
      <w:pPr>
        <w:pStyle w:val="enumlev1"/>
      </w:pPr>
      <w:r w:rsidRPr="00713B0B">
        <w:t>−</w:t>
      </w:r>
      <w:r w:rsidRPr="00713B0B">
        <w:tab/>
      </w:r>
      <w:bookmarkStart w:id="117" w:name="lt_pId544"/>
      <w:r w:rsidRPr="00713B0B">
        <w:t>Desalentar la celebración de reuniones durante el fin de semana.</w:t>
      </w:r>
      <w:bookmarkEnd w:id="117"/>
    </w:p>
    <w:p w14:paraId="56D498DB" w14:textId="2D81936E" w:rsidR="005A715D" w:rsidRPr="00713B0B" w:rsidRDefault="005A715D" w:rsidP="00495E58">
      <w:pPr>
        <w:pStyle w:val="enumlev1"/>
      </w:pPr>
      <w:r w:rsidRPr="00713B0B">
        <w:t>−</w:t>
      </w:r>
      <w:r w:rsidRPr="00713B0B">
        <w:tab/>
      </w:r>
      <w:bookmarkStart w:id="118" w:name="lt_pId546"/>
      <w:r w:rsidRPr="00713B0B">
        <w:t xml:space="preserve">Limitar la creación de demasiados Grupos por </w:t>
      </w:r>
      <w:r w:rsidR="008D6185" w:rsidRPr="00713B0B">
        <w:t>c</w:t>
      </w:r>
      <w:r w:rsidRPr="00713B0B">
        <w:t>orrespondencia (GC).</w:t>
      </w:r>
      <w:bookmarkEnd w:id="118"/>
    </w:p>
    <w:p w14:paraId="34F8DB9B" w14:textId="50964B6C" w:rsidR="005A715D" w:rsidRPr="00713B0B" w:rsidRDefault="005A715D" w:rsidP="00495E58">
      <w:pPr>
        <w:pStyle w:val="Heading3"/>
      </w:pPr>
      <w:r w:rsidRPr="00713B0B">
        <w:t>9.6</w:t>
      </w:r>
      <w:r w:rsidRPr="00713B0B">
        <w:tab/>
      </w:r>
      <w:bookmarkStart w:id="119" w:name="lt_pId548"/>
      <w:r w:rsidR="006239F0" w:rsidRPr="00713B0B">
        <w:t>Decimoctava</w:t>
      </w:r>
      <w:r w:rsidRPr="00713B0B">
        <w:t xml:space="preserve"> reunión de los Presidentes y Vicepresidentes de las Comisiones de Estudio de Radiocomunicaciones (CVC-18)</w:t>
      </w:r>
      <w:bookmarkEnd w:id="119"/>
    </w:p>
    <w:p w14:paraId="4A0D9F2D" w14:textId="77777777" w:rsidR="005A715D" w:rsidRPr="00713B0B" w:rsidRDefault="005A715D" w:rsidP="00495E58">
      <w:bookmarkStart w:id="120" w:name="lt_pId549"/>
      <w:r w:rsidRPr="00713B0B">
        <w:t>La 18ª reunión de los Presidentes y Vicepresidentes de las CE del UIT-R fue convocada por el Director de la BR y se celebró por medios electrónicos el 24 de enero de 2022.</w:t>
      </w:r>
      <w:bookmarkEnd w:id="120"/>
      <w:r w:rsidRPr="00713B0B">
        <w:t xml:space="preserve"> </w:t>
      </w:r>
      <w:bookmarkStart w:id="121" w:name="lt_pId550"/>
      <w:r w:rsidRPr="00713B0B">
        <w:t>También estaban invitados a esta reunión los Presidentes y Vicepresidentes de la RPC y del GAR, así como los (co)relatores de capítulos del informe de la RPC.</w:t>
      </w:r>
      <w:bookmarkEnd w:id="121"/>
    </w:p>
    <w:p w14:paraId="07A06156" w14:textId="58A99761" w:rsidR="005A715D" w:rsidRPr="00713B0B" w:rsidRDefault="005A715D" w:rsidP="00495E58">
      <w:bookmarkStart w:id="122" w:name="lt_pId551"/>
      <w:r w:rsidRPr="00713B0B">
        <w:t>Los principales temas tratados durante esta sesión fueron el calendario de reuniones de 2022, las consecuencias de la construcción del nuevo edificio de la UIT sobre la disponibilidad de salas de reunión, los métodos de trabajo vigentes durante las reuniones-e y la posibilidad d</w:t>
      </w:r>
      <w:r w:rsidR="00A55149">
        <w:t>e</w:t>
      </w:r>
      <w:r w:rsidRPr="00713B0B">
        <w:t xml:space="preserve"> reanudar las reuniones presenciales con participación a distancia. También se dieron a conocer la situación en que se encuentran los estudios de cada Comisión y sus necesidades para completar los estudios en las próximas reuniones y preparar los proyectos de texto de la RPC a tiempo para la RPC</w:t>
      </w:r>
      <w:bookmarkStart w:id="123" w:name="lt_pId552"/>
      <w:bookmarkEnd w:id="122"/>
      <w:r w:rsidRPr="00713B0B">
        <w:t>23-2.</w:t>
      </w:r>
      <w:bookmarkEnd w:id="123"/>
    </w:p>
    <w:p w14:paraId="2EC2C782" w14:textId="259B7ED1" w:rsidR="005A715D" w:rsidRPr="00713B0B" w:rsidRDefault="005A715D" w:rsidP="00495E58">
      <w:bookmarkStart w:id="124" w:name="lt_pId553"/>
      <w:r w:rsidRPr="00713B0B">
        <w:t xml:space="preserve">El resumen de la 18ª reunión del CVC puede encontrarse en el Documento </w:t>
      </w:r>
      <w:hyperlink r:id="rId18" w:history="1">
        <w:r w:rsidRPr="00713B0B">
          <w:rPr>
            <w:rStyle w:val="Hyperlink"/>
          </w:rPr>
          <w:t>CVC/5</w:t>
        </w:r>
      </w:hyperlink>
      <w:r w:rsidRPr="00713B0B">
        <w:t>.</w:t>
      </w:r>
      <w:bookmarkEnd w:id="124"/>
    </w:p>
    <w:p w14:paraId="3A8E342A" w14:textId="77777777" w:rsidR="005A715D" w:rsidRPr="00713B0B" w:rsidRDefault="005A715D" w:rsidP="00495E58">
      <w:pPr>
        <w:pStyle w:val="Heading2"/>
      </w:pPr>
      <w:r w:rsidRPr="00713B0B">
        <w:t>9.7</w:t>
      </w:r>
      <w:r w:rsidRPr="00713B0B">
        <w:tab/>
      </w:r>
      <w:bookmarkStart w:id="125" w:name="lt_pId555"/>
      <w:r w:rsidRPr="00713B0B">
        <w:t>Información sobre la asistencia</w:t>
      </w:r>
      <w:bookmarkEnd w:id="125"/>
    </w:p>
    <w:p w14:paraId="7C740D24" w14:textId="77777777" w:rsidR="005A715D" w:rsidRPr="00713B0B" w:rsidRDefault="005A715D" w:rsidP="00824C15">
      <w:bookmarkStart w:id="126" w:name="lt_pId556"/>
      <w:r w:rsidRPr="00713B0B">
        <w:t>El GAR-21 contó con la participación de casi todos los Presidentes de las CE, los GT y los GTE y del 35% de los Vicepresidentes.</w:t>
      </w:r>
      <w:bookmarkEnd w:id="126"/>
    </w:p>
    <w:p w14:paraId="2F355E8E" w14:textId="77777777" w:rsidR="00495E58" w:rsidRPr="00713B0B" w:rsidRDefault="005A715D" w:rsidP="00020749">
      <w:bookmarkStart w:id="127" w:name="lt_pId557"/>
      <w:r w:rsidRPr="00713B0B">
        <w:t>Los Presidentes y Vicepresidentes han asistido a la mayoría de las reuniones de sus Grupos correspondientes (CE, GT y GTE 6/1).</w:t>
      </w:r>
      <w:bookmarkEnd w:id="127"/>
    </w:p>
    <w:p w14:paraId="2A6CC643" w14:textId="77777777" w:rsidR="00020749" w:rsidRPr="008F0E4A" w:rsidRDefault="00020749" w:rsidP="00411C49">
      <w:pPr>
        <w:pStyle w:val="Reasons"/>
        <w:rPr>
          <w:lang w:val="fr-CH"/>
        </w:rPr>
      </w:pPr>
    </w:p>
    <w:p w14:paraId="29FEB482" w14:textId="77777777" w:rsidR="00020749" w:rsidRDefault="00020749">
      <w:pPr>
        <w:jc w:val="center"/>
      </w:pPr>
      <w:r>
        <w:t>______________</w:t>
      </w:r>
    </w:p>
    <w:sectPr w:rsidR="00020749" w:rsidSect="004D6C09">
      <w:headerReference w:type="defaul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BB71" w14:textId="77777777" w:rsidR="005A715D" w:rsidRDefault="005A715D">
      <w:r>
        <w:separator/>
      </w:r>
    </w:p>
  </w:endnote>
  <w:endnote w:type="continuationSeparator" w:id="0">
    <w:p w14:paraId="5871257B" w14:textId="77777777" w:rsidR="005A715D" w:rsidRDefault="005A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3915" w14:textId="77777777" w:rsidR="005A715D" w:rsidRDefault="005A715D">
      <w:r>
        <w:t>____________________</w:t>
      </w:r>
    </w:p>
  </w:footnote>
  <w:footnote w:type="continuationSeparator" w:id="0">
    <w:p w14:paraId="4AF61F9F" w14:textId="77777777" w:rsidR="005A715D" w:rsidRDefault="005A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6867" w14:textId="77777777" w:rsidR="00CC5942" w:rsidRDefault="00CC5942" w:rsidP="00CC5942">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p w14:paraId="7F92E055" w14:textId="51166462" w:rsidR="00616601" w:rsidRPr="00CC5942" w:rsidRDefault="00CC5942" w:rsidP="00CC5942">
    <w:pPr>
      <w:pStyle w:val="Header"/>
    </w:pPr>
    <w:r>
      <w:rPr>
        <w:lang w:val="es-ES"/>
      </w:rPr>
      <w:t>RAG/44</w:t>
    </w:r>
    <w:r w:rsidR="00E51B5F">
      <w:rPr>
        <w:lang w:val="es-ES"/>
      </w:rPr>
      <w:t>(Add.1)</w:t>
    </w:r>
    <w:r>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5D"/>
    <w:rsid w:val="000154CE"/>
    <w:rsid w:val="00020749"/>
    <w:rsid w:val="000431BD"/>
    <w:rsid w:val="0007559C"/>
    <w:rsid w:val="000A2C90"/>
    <w:rsid w:val="000B3B20"/>
    <w:rsid w:val="000B7EA8"/>
    <w:rsid w:val="000C480A"/>
    <w:rsid w:val="000C62BA"/>
    <w:rsid w:val="000D756D"/>
    <w:rsid w:val="0012592F"/>
    <w:rsid w:val="001F2F50"/>
    <w:rsid w:val="002315CB"/>
    <w:rsid w:val="00243C57"/>
    <w:rsid w:val="00247FD1"/>
    <w:rsid w:val="002E5370"/>
    <w:rsid w:val="003069B0"/>
    <w:rsid w:val="0031432E"/>
    <w:rsid w:val="0034043B"/>
    <w:rsid w:val="00357002"/>
    <w:rsid w:val="003A2948"/>
    <w:rsid w:val="003C000A"/>
    <w:rsid w:val="003C6725"/>
    <w:rsid w:val="003E5909"/>
    <w:rsid w:val="004051AD"/>
    <w:rsid w:val="00414D8B"/>
    <w:rsid w:val="00452A54"/>
    <w:rsid w:val="00482905"/>
    <w:rsid w:val="00494752"/>
    <w:rsid w:val="00495E58"/>
    <w:rsid w:val="004D0A4C"/>
    <w:rsid w:val="004D6C09"/>
    <w:rsid w:val="0050210F"/>
    <w:rsid w:val="00503B16"/>
    <w:rsid w:val="00521586"/>
    <w:rsid w:val="0057336B"/>
    <w:rsid w:val="005A2195"/>
    <w:rsid w:val="005A715D"/>
    <w:rsid w:val="005C1F10"/>
    <w:rsid w:val="005D3E02"/>
    <w:rsid w:val="00610642"/>
    <w:rsid w:val="00614459"/>
    <w:rsid w:val="00616601"/>
    <w:rsid w:val="006239F0"/>
    <w:rsid w:val="00646EEF"/>
    <w:rsid w:val="00663829"/>
    <w:rsid w:val="00692058"/>
    <w:rsid w:val="006A42AB"/>
    <w:rsid w:val="006B5313"/>
    <w:rsid w:val="006E291F"/>
    <w:rsid w:val="00713B0B"/>
    <w:rsid w:val="007652DB"/>
    <w:rsid w:val="00812A93"/>
    <w:rsid w:val="00824C15"/>
    <w:rsid w:val="008506C9"/>
    <w:rsid w:val="00854042"/>
    <w:rsid w:val="008D1EF1"/>
    <w:rsid w:val="008D6185"/>
    <w:rsid w:val="008F0106"/>
    <w:rsid w:val="008F0E4A"/>
    <w:rsid w:val="00924B63"/>
    <w:rsid w:val="00944544"/>
    <w:rsid w:val="009459DD"/>
    <w:rsid w:val="00982618"/>
    <w:rsid w:val="009C205E"/>
    <w:rsid w:val="009F1D73"/>
    <w:rsid w:val="009F7D43"/>
    <w:rsid w:val="00A0579C"/>
    <w:rsid w:val="00A10F30"/>
    <w:rsid w:val="00A30E39"/>
    <w:rsid w:val="00A40F21"/>
    <w:rsid w:val="00A55149"/>
    <w:rsid w:val="00A7663C"/>
    <w:rsid w:val="00A83BB4"/>
    <w:rsid w:val="00AB4BAD"/>
    <w:rsid w:val="00AC2775"/>
    <w:rsid w:val="00AF1501"/>
    <w:rsid w:val="00B10375"/>
    <w:rsid w:val="00B32E51"/>
    <w:rsid w:val="00C0536E"/>
    <w:rsid w:val="00C25749"/>
    <w:rsid w:val="00C50B8C"/>
    <w:rsid w:val="00C837F0"/>
    <w:rsid w:val="00CB7A43"/>
    <w:rsid w:val="00CC5942"/>
    <w:rsid w:val="00CF4CAC"/>
    <w:rsid w:val="00D30B54"/>
    <w:rsid w:val="00D411D1"/>
    <w:rsid w:val="00D51E1E"/>
    <w:rsid w:val="00D7454A"/>
    <w:rsid w:val="00DE34C9"/>
    <w:rsid w:val="00DE3F34"/>
    <w:rsid w:val="00DE77E6"/>
    <w:rsid w:val="00DF6E62"/>
    <w:rsid w:val="00E51B5F"/>
    <w:rsid w:val="00E72EA7"/>
    <w:rsid w:val="00EA4101"/>
    <w:rsid w:val="00EE08AF"/>
    <w:rsid w:val="00F23715"/>
    <w:rsid w:val="00F33878"/>
    <w:rsid w:val="00F61563"/>
    <w:rsid w:val="00F7453A"/>
    <w:rsid w:val="00F769A5"/>
    <w:rsid w:val="00F77D5F"/>
    <w:rsid w:val="00FA3E88"/>
    <w:rsid w:val="00FD1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BF517"/>
  <w15:docId w15:val="{D113B479-C137-40B7-9E38-F30AA0BE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link w:val="RectitleChar"/>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uiPriority w:val="99"/>
    <w:semiHidden/>
    <w:rsid w:val="004D6C09"/>
    <w:rPr>
      <w:position w:val="6"/>
      <w:sz w:val="18"/>
    </w:rPr>
  </w:style>
  <w:style w:type="paragraph" w:styleId="FootnoteText">
    <w:name w:val="footnote text"/>
    <w:basedOn w:val="Note"/>
    <w:link w:val="FootnoteTextChar"/>
    <w:uiPriority w:val="99"/>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uiPriority w:val="99"/>
    <w:semiHidden/>
    <w:rsid w:val="005A715D"/>
    <w:rPr>
      <w:rFonts w:ascii="Times New Roman" w:hAnsi="Times New Roman"/>
      <w:sz w:val="24"/>
      <w:lang w:val="es-ES_tradnl" w:eastAsia="en-US"/>
    </w:rPr>
  </w:style>
  <w:style w:type="character" w:styleId="Hyperlink">
    <w:name w:val="Hyperlink"/>
    <w:basedOn w:val="DefaultParagraphFont"/>
    <w:uiPriority w:val="99"/>
    <w:unhideWhenUsed/>
    <w:rsid w:val="005A715D"/>
    <w:rPr>
      <w:color w:val="0000FF" w:themeColor="hyperlink"/>
      <w:u w:val="single"/>
    </w:rPr>
  </w:style>
  <w:style w:type="character" w:customStyle="1" w:styleId="Heading1Char">
    <w:name w:val="Heading 1 Char"/>
    <w:basedOn w:val="DefaultParagraphFont"/>
    <w:link w:val="Heading1"/>
    <w:uiPriority w:val="9"/>
    <w:rsid w:val="005A715D"/>
    <w:rPr>
      <w:rFonts w:ascii="Times New Roman" w:hAnsi="Times New Roman"/>
      <w:b/>
      <w:sz w:val="24"/>
      <w:lang w:val="es-ES_tradnl" w:eastAsia="en-US"/>
    </w:rPr>
  </w:style>
  <w:style w:type="character" w:customStyle="1" w:styleId="HeaderChar">
    <w:name w:val="Header Char"/>
    <w:basedOn w:val="DefaultParagraphFont"/>
    <w:link w:val="Header"/>
    <w:uiPriority w:val="99"/>
    <w:rsid w:val="005A715D"/>
    <w:rPr>
      <w:rFonts w:ascii="Times New Roman" w:hAnsi="Times New Roman"/>
      <w:sz w:val="18"/>
      <w:lang w:val="es-ES_tradnl" w:eastAsia="en-US"/>
    </w:rPr>
  </w:style>
  <w:style w:type="character" w:customStyle="1" w:styleId="FooterChar">
    <w:name w:val="Footer Char"/>
    <w:basedOn w:val="DefaultParagraphFont"/>
    <w:link w:val="Footer"/>
    <w:uiPriority w:val="99"/>
    <w:rsid w:val="005A715D"/>
    <w:rPr>
      <w:rFonts w:ascii="Times New Roman" w:hAnsi="Times New Roman"/>
      <w:caps/>
      <w:noProof/>
      <w:sz w:val="16"/>
      <w:lang w:val="es-ES_tradnl" w:eastAsia="en-US"/>
    </w:rPr>
  </w:style>
  <w:style w:type="paragraph" w:customStyle="1" w:styleId="Reasons">
    <w:name w:val="Reasons"/>
    <w:basedOn w:val="Normal"/>
    <w:qFormat/>
    <w:rsid w:val="005A715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5A715D"/>
    <w:rPr>
      <w:rFonts w:ascii="Times New Roman" w:hAnsi="Times New Roman"/>
      <w:sz w:val="24"/>
      <w:lang w:val="es-ES_tradnl" w:eastAsia="en-US"/>
    </w:rPr>
  </w:style>
  <w:style w:type="character" w:customStyle="1" w:styleId="enumlev1Char">
    <w:name w:val="enumlev1 Char"/>
    <w:basedOn w:val="DefaultParagraphFont"/>
    <w:link w:val="enumlev1"/>
    <w:uiPriority w:val="99"/>
    <w:locked/>
    <w:rsid w:val="005A715D"/>
    <w:rPr>
      <w:rFonts w:ascii="Times New Roman" w:hAnsi="Times New Roman"/>
      <w:sz w:val="24"/>
      <w:lang w:val="es-ES_tradnl" w:eastAsia="en-US"/>
    </w:rPr>
  </w:style>
  <w:style w:type="character" w:customStyle="1" w:styleId="TabletextChar">
    <w:name w:val="Table_text Char"/>
    <w:basedOn w:val="DefaultParagraphFont"/>
    <w:link w:val="Tabletext"/>
    <w:qFormat/>
    <w:locked/>
    <w:rsid w:val="005A715D"/>
    <w:rPr>
      <w:rFonts w:ascii="Times New Roman" w:hAnsi="Times New Roman"/>
      <w:sz w:val="22"/>
      <w:lang w:val="es-ES_tradnl" w:eastAsia="en-US"/>
    </w:rPr>
  </w:style>
  <w:style w:type="table" w:customStyle="1" w:styleId="TableGrid1">
    <w:name w:val="Table Grid1"/>
    <w:basedOn w:val="TableNormal"/>
    <w:next w:val="TableGrid"/>
    <w:rsid w:val="005A715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715D"/>
    <w:rPr>
      <w:rFonts w:ascii="Times New Roman" w:hAnsi="Times New Roman"/>
      <w:b/>
      <w:sz w:val="22"/>
      <w:lang w:val="es-ES_tradnl" w:eastAsia="en-US"/>
    </w:rPr>
  </w:style>
  <w:style w:type="table" w:styleId="TableGrid">
    <w:name w:val="Table Grid"/>
    <w:basedOn w:val="TableNormal"/>
    <w:rsid w:val="005A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715D"/>
    <w:rPr>
      <w:sz w:val="16"/>
      <w:szCs w:val="16"/>
    </w:rPr>
  </w:style>
  <w:style w:type="paragraph" w:styleId="CommentText">
    <w:name w:val="annotation text"/>
    <w:basedOn w:val="Normal"/>
    <w:link w:val="CommentTextChar"/>
    <w:semiHidden/>
    <w:unhideWhenUsed/>
    <w:rsid w:val="005A715D"/>
    <w:rPr>
      <w:sz w:val="20"/>
    </w:rPr>
  </w:style>
  <w:style w:type="character" w:customStyle="1" w:styleId="CommentTextChar">
    <w:name w:val="Comment Text Char"/>
    <w:basedOn w:val="DefaultParagraphFont"/>
    <w:link w:val="CommentText"/>
    <w:semiHidden/>
    <w:rsid w:val="005A715D"/>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A715D"/>
    <w:rPr>
      <w:b/>
      <w:bCs/>
    </w:rPr>
  </w:style>
  <w:style w:type="character" w:customStyle="1" w:styleId="CommentSubjectChar">
    <w:name w:val="Comment Subject Char"/>
    <w:basedOn w:val="CommentTextChar"/>
    <w:link w:val="CommentSubject"/>
    <w:semiHidden/>
    <w:rsid w:val="005A715D"/>
    <w:rPr>
      <w:rFonts w:ascii="Times New Roman" w:hAnsi="Times New Roman"/>
      <w:b/>
      <w:bCs/>
      <w:lang w:val="es-ES_tradnl" w:eastAsia="en-US"/>
    </w:rPr>
  </w:style>
  <w:style w:type="character" w:customStyle="1" w:styleId="HeadingbChar">
    <w:name w:val="Heading_b Char"/>
    <w:link w:val="Headingb"/>
    <w:locked/>
    <w:rsid w:val="005A715D"/>
    <w:rPr>
      <w:rFonts w:ascii="Times New Roman" w:hAnsi="Times New Roman"/>
      <w:b/>
      <w:sz w:val="24"/>
      <w:lang w:val="es-ES_tradnl" w:eastAsia="en-US"/>
    </w:rPr>
  </w:style>
  <w:style w:type="character" w:customStyle="1" w:styleId="RectitleChar">
    <w:name w:val="Rec_title Char"/>
    <w:link w:val="Rectitle"/>
    <w:rsid w:val="005A715D"/>
    <w:rPr>
      <w:rFonts w:ascii="Times New Roman" w:hAnsi="Times New Roman"/>
      <w:b/>
      <w:sz w:val="28"/>
      <w:lang w:val="es-ES_tradnl" w:eastAsia="en-US"/>
    </w:rPr>
  </w:style>
  <w:style w:type="character" w:styleId="FollowedHyperlink">
    <w:name w:val="FollowedHyperlink"/>
    <w:basedOn w:val="DefaultParagraphFont"/>
    <w:semiHidden/>
    <w:unhideWhenUsed/>
    <w:rsid w:val="003E5909"/>
    <w:rPr>
      <w:color w:val="800080" w:themeColor="followedHyperlink"/>
      <w:u w:val="single"/>
    </w:rPr>
  </w:style>
  <w:style w:type="character" w:styleId="UnresolvedMention">
    <w:name w:val="Unresolved Mention"/>
    <w:basedOn w:val="DefaultParagraphFont"/>
    <w:uiPriority w:val="99"/>
    <w:semiHidden/>
    <w:unhideWhenUsed/>
    <w:rsid w:val="0002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tu.int/pub/R-RES-R.9/es" TargetMode="External"/><Relationship Id="rId18" Type="http://schemas.openxmlformats.org/officeDocument/2006/relationships/hyperlink" Target="https://www.itu.int/md/R19-CVC-C-0005/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R20-RAG-C-0044/es" TargetMode="External"/><Relationship Id="rId17" Type="http://schemas.openxmlformats.org/officeDocument/2006/relationships/hyperlink" Target="https://www.inside.net/ITUclocks/" TargetMode="External"/><Relationship Id="rId2" Type="http://schemas.openxmlformats.org/officeDocument/2006/relationships/styles" Target="styles.xml"/><Relationship Id="rId16" Type="http://schemas.openxmlformats.org/officeDocument/2006/relationships/hyperlink" Target="https://www.itu.int/md/R00-CA-CIR-0256/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net/ITU-R/terrestrial/res647/docs/Compendium.pdf" TargetMode="External"/><Relationship Id="rId5" Type="http://schemas.openxmlformats.org/officeDocument/2006/relationships/footnotes" Target="footnotes.xml"/><Relationship Id="rId15" Type="http://schemas.openxmlformats.org/officeDocument/2006/relationships/hyperlink" Target="https://www.itu.int/en/ITU-R/study-groups/Pages/Sustainable-dev-goals.aspx" TargetMode="External"/><Relationship Id="rId10" Type="http://schemas.openxmlformats.org/officeDocument/2006/relationships/hyperlink" Target="https://www.itu.int/md/R00-CACE-CIR-1008/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www.itu.int%2Fdms_pub%2Fitu-r%2Fopb%2Fres%2FR-RES-R.59-2-2019-MSW-S.docx&amp;wdOrigin=BROWSELINK" TargetMode="External"/><Relationship Id="rId14" Type="http://schemas.openxmlformats.org/officeDocument/2006/relationships/hyperlink" Target="https://www.itu.int/pub/R-RES-R.60/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605-4217-8020-D6C6131ADB0D}"/>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05-4217-8020-D6C6131ADB0D}"/>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605-4217-8020-D6C6131ADB0D}"/>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05-4217-8020-D6C6131ADB0D}"/>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605-4217-8020-D6C6131ADB0D}"/>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05-4217-8020-D6C6131ADB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Sheet1!$B$2:$B$20</c:f>
              <c:strCache>
                <c:ptCount val="19"/>
                <c:pt idx="0">
                  <c:v>2003 (CMR-03)</c:v>
                </c:pt>
                <c:pt idx="1">
                  <c:v>2004</c:v>
                </c:pt>
                <c:pt idx="2">
                  <c:v>2005</c:v>
                </c:pt>
                <c:pt idx="3">
                  <c:v>2006</c:v>
                </c:pt>
                <c:pt idx="4">
                  <c:v>2007 (CMR-07)</c:v>
                </c:pt>
                <c:pt idx="5">
                  <c:v>2008</c:v>
                </c:pt>
                <c:pt idx="6">
                  <c:v>2009</c:v>
                </c:pt>
                <c:pt idx="7">
                  <c:v>2010</c:v>
                </c:pt>
                <c:pt idx="8">
                  <c:v>2011</c:v>
                </c:pt>
                <c:pt idx="9">
                  <c:v>2012 (CMR-12)</c:v>
                </c:pt>
                <c:pt idx="10">
                  <c:v>2013</c:v>
                </c:pt>
                <c:pt idx="11">
                  <c:v>2014</c:v>
                </c:pt>
                <c:pt idx="12">
                  <c:v>2015 (CMR-15)</c:v>
                </c:pt>
                <c:pt idx="13">
                  <c:v>2016</c:v>
                </c:pt>
                <c:pt idx="14">
                  <c:v>2017</c:v>
                </c:pt>
                <c:pt idx="15">
                  <c:v>2018</c:v>
                </c:pt>
                <c:pt idx="16">
                  <c:v>2019 (CMR-19)</c:v>
                </c:pt>
                <c:pt idx="17">
                  <c:v>2020</c:v>
                </c:pt>
                <c:pt idx="18">
                  <c:v>2021</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6-1605-4217-8020-D6C6131ADB0D}"/>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2E49-2B73-43BF-B283-CCDE8527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555</TotalTime>
  <Pages>19</Pages>
  <Words>8262</Words>
  <Characters>46174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INFORME A LA VIGÉSIMO NOVENA REUNIÓN DEL GRUPO ASESOR DE RADIOCOMUNICACIONES ACTIVIDADES DE LAS COMISIONES DE ESTUDIO</vt:lpstr>
    </vt:vector>
  </TitlesOfParts>
  <Manager>General Secretariat - Pool</Manager>
  <Company>International Telecommunication Union (ITU)</Company>
  <LinksUpToDate>false</LinksUpToDate>
  <CharactersWithSpaces>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NOVENA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RAG/44-S  For: _x000d_Document date: 4 de marzo de 2022_x000d_Saved by ITU51013820 at 16:29:51 on 15/03/2022</dc:description>
  <cp:lastModifiedBy>BR</cp:lastModifiedBy>
  <cp:revision>40</cp:revision>
  <cp:lastPrinted>1993-02-18T11:12:00Z</cp:lastPrinted>
  <dcterms:created xsi:type="dcterms:W3CDTF">2022-03-15T11:36:00Z</dcterms:created>
  <dcterms:modified xsi:type="dcterms:W3CDTF">2022-03-24T09:38:00Z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RAG/44-S</vt:lpwstr>
  </property>
  <property fmtid="{D5CDD505-2E9C-101B-9397-08002B2CF9AE}" pid="3" name="Docdate">
    <vt:lpwstr>4 de marzo de 2022</vt:lpwstr>
  </property>
  <property fmtid="{D5CDD505-2E9C-101B-9397-08002B2CF9AE}" pid="4" name="Docorlang">
    <vt:lpwstr>Original: inglés</vt:lpwstr>
  </property>
  <property fmtid="{D5CDD505-2E9C-101B-9397-08002B2CF9AE}" pid="5" name="Docauthor">
    <vt:lpwstr>Director de la Oficina de Radiocomunicaciones</vt:lpwstr>
  </property>
</Properties>
</file>