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8B638C9" w14:textId="77777777" w:rsidTr="00553F66">
        <w:trPr>
          <w:cantSplit/>
          <w:trHeight w:val="20"/>
        </w:trPr>
        <w:tc>
          <w:tcPr>
            <w:tcW w:w="6619" w:type="dxa"/>
          </w:tcPr>
          <w:p w14:paraId="384EA67B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3C558AAF" w14:textId="77777777" w:rsidR="00280E04" w:rsidRDefault="00553F66" w:rsidP="00827482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</w:rPr>
              <w:drawing>
                <wp:inline distT="0" distB="0" distL="0" distR="0" wp14:anchorId="56C2AF96" wp14:editId="05D6DF8B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E3F2FCB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1AD4F5C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0CA5C2E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BBC268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9196BD8" w14:textId="77777777" w:rsidR="00280E04" w:rsidRPr="00BD6EF3" w:rsidRDefault="00280E04" w:rsidP="00600E58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F4B02EE" w14:textId="77777777" w:rsidR="00280E04" w:rsidRPr="00BD6EF3" w:rsidRDefault="00280E04" w:rsidP="00600E58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30601A" w14:paraId="517E4AD4" w14:textId="77777777" w:rsidTr="00553F66">
        <w:trPr>
          <w:cantSplit/>
        </w:trPr>
        <w:tc>
          <w:tcPr>
            <w:tcW w:w="6619" w:type="dxa"/>
            <w:vMerge w:val="restart"/>
          </w:tcPr>
          <w:p w14:paraId="1C1FAAA5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  <w:lang w:bidi="ar-EG"/>
              </w:rPr>
            </w:pPr>
          </w:p>
        </w:tc>
        <w:tc>
          <w:tcPr>
            <w:tcW w:w="3053" w:type="dxa"/>
            <w:vAlign w:val="center"/>
          </w:tcPr>
          <w:p w14:paraId="05E230FF" w14:textId="5AF87DC5" w:rsidR="0030601A" w:rsidRPr="0012545F" w:rsidRDefault="005723C8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الإضافة 1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30601A" w:rsidRPr="0012545F">
              <w:rPr>
                <w:rFonts w:hint="cs"/>
                <w:rtl/>
              </w:rPr>
              <w:t>ل</w:t>
            </w:r>
            <w:r w:rsidR="0030601A" w:rsidRPr="0012545F">
              <w:rPr>
                <w:rtl/>
              </w:rPr>
              <w:t>و</w:t>
            </w:r>
            <w:r w:rsidR="0030601A" w:rsidRPr="0012545F">
              <w:rPr>
                <w:rFonts w:hint="cs"/>
                <w:rtl/>
              </w:rPr>
              <w:t xml:space="preserve">ثيقة </w:t>
            </w:r>
            <w:r w:rsidR="0030601A">
              <w:t>RAG/</w:t>
            </w:r>
            <w:r>
              <w:t>39</w:t>
            </w:r>
            <w:r w:rsidR="0030601A" w:rsidRPr="0012545F">
              <w:t>-A</w:t>
            </w:r>
          </w:p>
        </w:tc>
      </w:tr>
      <w:tr w:rsidR="0030601A" w14:paraId="2522BCE1" w14:textId="77777777" w:rsidTr="00553F66">
        <w:trPr>
          <w:cantSplit/>
        </w:trPr>
        <w:tc>
          <w:tcPr>
            <w:tcW w:w="6619" w:type="dxa"/>
            <w:vMerge/>
          </w:tcPr>
          <w:p w14:paraId="75097696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71754F4" w14:textId="28C6E28A" w:rsidR="0030601A" w:rsidRPr="0012545F" w:rsidRDefault="005723C8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 xml:space="preserve">7 فبراير </w:t>
            </w:r>
            <w:r w:rsidR="00801238">
              <w:t>2022</w:t>
            </w:r>
          </w:p>
        </w:tc>
      </w:tr>
      <w:tr w:rsidR="0030601A" w14:paraId="263595C6" w14:textId="77777777" w:rsidTr="00553F66">
        <w:trPr>
          <w:cantSplit/>
        </w:trPr>
        <w:tc>
          <w:tcPr>
            <w:tcW w:w="6619" w:type="dxa"/>
            <w:vMerge/>
          </w:tcPr>
          <w:p w14:paraId="40B4CBF8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7301C6D4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5723C8" w14:paraId="0003CC8F" w14:textId="77777777" w:rsidTr="00553F66">
        <w:trPr>
          <w:cantSplit/>
        </w:trPr>
        <w:tc>
          <w:tcPr>
            <w:tcW w:w="9672" w:type="dxa"/>
            <w:gridSpan w:val="2"/>
          </w:tcPr>
          <w:p w14:paraId="70BF8FFD" w14:textId="314BF03D" w:rsidR="005723C8" w:rsidRPr="00E621A3" w:rsidRDefault="005723C8" w:rsidP="005723C8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الأمانة العامة</w:t>
            </w:r>
            <w:r w:rsidRPr="00817BF1">
              <w:rPr>
                <w:rFonts w:hint="cs"/>
                <w:rtl/>
              </w:rPr>
              <w:t xml:space="preserve"> </w:t>
            </w:r>
          </w:p>
        </w:tc>
      </w:tr>
      <w:tr w:rsidR="005723C8" w14:paraId="09FAE78E" w14:textId="77777777" w:rsidTr="00126CC1">
        <w:trPr>
          <w:cantSplit/>
        </w:trPr>
        <w:tc>
          <w:tcPr>
            <w:tcW w:w="9672" w:type="dxa"/>
            <w:gridSpan w:val="2"/>
            <w:shd w:val="clear" w:color="auto" w:fill="auto"/>
          </w:tcPr>
          <w:p w14:paraId="2CCB2FF0" w14:textId="7F99E095" w:rsidR="005723C8" w:rsidRPr="00600E58" w:rsidRDefault="00600E58" w:rsidP="00BD0A41">
            <w:pPr>
              <w:pStyle w:val="Title1"/>
              <w:spacing w:before="240"/>
              <w:rPr>
                <w:rtl/>
                <w:lang w:bidi="ar-LB"/>
              </w:rPr>
            </w:pPr>
            <w:r w:rsidRPr="00600E58">
              <w:rPr>
                <w:rFonts w:hint="cs"/>
                <w:rtl/>
                <w:lang w:bidi="ar-SA"/>
              </w:rPr>
              <w:t xml:space="preserve">فريق العمل التابع للمجلس المعني بالخطتين </w:t>
            </w:r>
            <w:r w:rsidR="00BD0A41">
              <w:rPr>
                <w:rtl/>
                <w:lang w:bidi="ar-SA"/>
              </w:rPr>
              <w:br/>
            </w:r>
            <w:r w:rsidRPr="00600E58">
              <w:rPr>
                <w:rFonts w:hint="cs"/>
                <w:rtl/>
                <w:lang w:bidi="ar-SA"/>
              </w:rPr>
              <w:t>الاستراتيجية والمالية للفترة</w:t>
            </w:r>
            <w:r w:rsidRPr="00600E58">
              <w:rPr>
                <w:rFonts w:hint="eastAsia"/>
                <w:rtl/>
                <w:lang w:bidi="ar-SA"/>
              </w:rPr>
              <w:t> </w:t>
            </w:r>
            <w:r w:rsidRPr="00600E58">
              <w:t>2027</w:t>
            </w:r>
            <w:r w:rsidRPr="00600E58">
              <w:noBreakHyphen/>
              <w:t>2024</w:t>
            </w:r>
            <w:r w:rsidR="00BD0A41">
              <w:rPr>
                <w:rFonts w:hint="cs"/>
                <w:rtl/>
                <w:lang w:bidi="ar-SA"/>
              </w:rPr>
              <w:t>:</w:t>
            </w:r>
            <w:r w:rsidR="00BD0A41">
              <w:rPr>
                <w:rtl/>
                <w:lang w:bidi="ar-SA"/>
              </w:rPr>
              <w:br/>
            </w:r>
            <w:r w:rsidR="00126CC1" w:rsidRPr="008549E0">
              <w:rPr>
                <w:rFonts w:hint="cs"/>
                <w:rtl/>
                <w:lang w:bidi="ar-LB"/>
              </w:rPr>
              <w:t>وثيقة معلومات بشأن</w:t>
            </w:r>
            <w:r w:rsidR="00126CC1">
              <w:rPr>
                <w:rFonts w:hint="cs"/>
                <w:rtl/>
                <w:lang w:bidi="ar-LB"/>
              </w:rPr>
              <w:t xml:space="preserve"> إطار نتائج مشروع الخطة الاستراتيجية </w:t>
            </w:r>
            <w:r w:rsidR="00BD0A41">
              <w:rPr>
                <w:rtl/>
                <w:lang w:bidi="ar-LB"/>
              </w:rPr>
              <w:br/>
            </w:r>
            <w:r w:rsidR="00126CC1">
              <w:rPr>
                <w:rFonts w:hint="cs"/>
                <w:rtl/>
                <w:lang w:bidi="ar-LB"/>
              </w:rPr>
              <w:t>للاتحاد الدولي للاتصالات للفترة 2024-2027</w:t>
            </w:r>
          </w:p>
        </w:tc>
      </w:tr>
      <w:tr w:rsidR="0012545F" w14:paraId="6B638A5E" w14:textId="77777777" w:rsidTr="00553F66">
        <w:trPr>
          <w:cantSplit/>
        </w:trPr>
        <w:tc>
          <w:tcPr>
            <w:tcW w:w="9672" w:type="dxa"/>
            <w:gridSpan w:val="2"/>
          </w:tcPr>
          <w:p w14:paraId="7991D9F5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64C03234" w14:textId="77777777" w:rsidR="00EE60E9" w:rsidRDefault="00EE60E9" w:rsidP="008614B8">
      <w:pPr>
        <w:rPr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09"/>
      </w:tblGrid>
      <w:tr w:rsidR="005723C8" w:rsidRPr="00817BF1" w14:paraId="140F8CD2" w14:textId="77777777" w:rsidTr="004547B3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4026D" w14:textId="77777777" w:rsidR="005723C8" w:rsidRPr="00817BF1" w:rsidRDefault="005723C8" w:rsidP="004547B3">
            <w:pPr>
              <w:rPr>
                <w:b/>
                <w:bCs/>
                <w:rtl/>
              </w:rPr>
            </w:pPr>
            <w:r w:rsidRPr="00817BF1">
              <w:rPr>
                <w:rFonts w:hint="cs"/>
                <w:b/>
                <w:bCs/>
                <w:rtl/>
              </w:rPr>
              <w:t>ملخص</w:t>
            </w:r>
          </w:p>
          <w:p w14:paraId="6F95B94A" w14:textId="351F5D1B" w:rsidR="00126CC1" w:rsidRDefault="00126CC1" w:rsidP="008549E0">
            <w:pPr>
              <w:rPr>
                <w:rtl/>
                <w:lang w:bidi="ar-EG"/>
              </w:rPr>
            </w:pPr>
            <w:r w:rsidRPr="00BD0A41">
              <w:rPr>
                <w:rFonts w:hint="cs"/>
                <w:rtl/>
                <w:lang w:bidi="ar-EG"/>
              </w:rPr>
              <w:t xml:space="preserve">تقدم الوثيقة </w:t>
            </w:r>
            <w:r w:rsidRPr="00BD0A41">
              <w:t>CWG-SFP-3/INF-2</w:t>
            </w:r>
            <w:r w:rsidRPr="00BD0A41">
              <w:rPr>
                <w:rFonts w:hint="cs"/>
                <w:rtl/>
              </w:rPr>
              <w:t xml:space="preserve"> (انظر الملحق) الصادرة عن </w:t>
            </w:r>
            <w:hyperlink r:id="rId13" w:history="1">
              <w:r w:rsidRPr="00BD0A41">
                <w:rPr>
                  <w:rStyle w:val="Hyperlink"/>
                  <w:rtl/>
                  <w:lang w:bidi="ar-EG"/>
                </w:rPr>
                <w:t xml:space="preserve">فريق العمل التابع للمجلس المعني بالخطتين الاستراتيجية والمالية للفترة </w:t>
              </w:r>
              <w:r w:rsidR="00BD0A41" w:rsidRPr="00BD0A41">
                <w:rPr>
                  <w:rStyle w:val="Hyperlink"/>
                  <w:lang w:bidi="ar-EG"/>
                </w:rPr>
                <w:t>2027-2024</w:t>
              </w:r>
            </w:hyperlink>
            <w:r w:rsidRPr="00BD0A41">
              <w:rPr>
                <w:rtl/>
                <w:lang w:bidi="ar-EG"/>
              </w:rPr>
              <w:t xml:space="preserve"> </w:t>
            </w:r>
            <w:r w:rsidRPr="00BD0A41">
              <w:rPr>
                <w:rFonts w:hint="cs"/>
                <w:rtl/>
                <w:lang w:bidi="ar-EG"/>
              </w:rPr>
              <w:t>إطار النتائج المفصلة لمشروع الخطة الاستراتيجية للاتحاد للفترة 2024-2027</w:t>
            </w:r>
            <w:r w:rsidR="00282A22" w:rsidRPr="00BD0A41">
              <w:rPr>
                <w:rFonts w:hint="cs"/>
                <w:rtl/>
                <w:lang w:bidi="ar-EG"/>
              </w:rPr>
              <w:t>،</w:t>
            </w:r>
            <w:r w:rsidRPr="00BD0A41">
              <w:rPr>
                <w:rFonts w:hint="cs"/>
                <w:rtl/>
                <w:lang w:bidi="ar-EG"/>
              </w:rPr>
              <w:t xml:space="preserve"> بما </w:t>
            </w:r>
            <w:r w:rsidR="008549E0" w:rsidRPr="00BD0A41">
              <w:rPr>
                <w:rFonts w:hint="cs"/>
                <w:rtl/>
                <w:lang w:bidi="ar-EG"/>
              </w:rPr>
              <w:t>فيه</w:t>
            </w:r>
            <w:r w:rsidRPr="00BD0A41">
              <w:rPr>
                <w:rFonts w:hint="cs"/>
                <w:rtl/>
                <w:lang w:bidi="ar-EG"/>
              </w:rPr>
              <w:t xml:space="preserve"> مؤشرات </w:t>
            </w:r>
            <w:r w:rsidR="00155FAB" w:rsidRPr="00BD0A41">
              <w:rPr>
                <w:rFonts w:hint="eastAsia"/>
                <w:rtl/>
                <w:lang w:bidi="ar-EG"/>
              </w:rPr>
              <w:t>المقاصد</w:t>
            </w:r>
            <w:r w:rsidR="00155FAB" w:rsidRPr="00BD0A41">
              <w:rPr>
                <w:rFonts w:hint="cs"/>
                <w:rtl/>
                <w:lang w:bidi="ar-EG"/>
              </w:rPr>
              <w:t xml:space="preserve"> </w:t>
            </w:r>
            <w:r w:rsidRPr="00BD0A41">
              <w:rPr>
                <w:rFonts w:hint="cs"/>
                <w:rtl/>
                <w:lang w:bidi="ar-EG"/>
              </w:rPr>
              <w:t>وا</w:t>
            </w:r>
            <w:r w:rsidR="00282A22" w:rsidRPr="00BD0A41">
              <w:rPr>
                <w:rFonts w:hint="cs"/>
                <w:rtl/>
                <w:lang w:bidi="ar-EG"/>
              </w:rPr>
              <w:t>لنتائج.</w:t>
            </w:r>
          </w:p>
          <w:p w14:paraId="71AA6551" w14:textId="74D37754" w:rsidR="005723C8" w:rsidRPr="00817BF1" w:rsidRDefault="005723C8" w:rsidP="004547B3">
            <w:pPr>
              <w:rPr>
                <w:b/>
                <w:bCs/>
                <w:rtl/>
                <w:lang w:bidi="ar-EG"/>
              </w:rPr>
            </w:pPr>
            <w:r w:rsidRPr="00817BF1">
              <w:rPr>
                <w:rFonts w:hint="cs"/>
                <w:b/>
                <w:bCs/>
                <w:rtl/>
                <w:lang w:bidi="ar-EG"/>
              </w:rPr>
              <w:t>الإجراء المطلوب</w:t>
            </w:r>
          </w:p>
          <w:p w14:paraId="30FDCF89" w14:textId="6684F2C4" w:rsidR="005723C8" w:rsidRPr="00817BF1" w:rsidRDefault="00600E58" w:rsidP="00282A22">
            <w:pPr>
              <w:spacing w:after="120"/>
              <w:rPr>
                <w:rFonts w:ascii="Times New Roman" w:hAnsi="Times New Roman" w:cs="Times New Roman"/>
                <w:lang w:bidi="ar-EG"/>
              </w:rPr>
            </w:pPr>
            <w:r w:rsidRPr="00600E58">
              <w:rPr>
                <w:rFonts w:hint="cs"/>
                <w:b/>
                <w:rtl/>
              </w:rPr>
              <w:t xml:space="preserve">يُدعى الفريق الاستشاري للاتصالات الراديوية إلى استعراض هذه </w:t>
            </w:r>
            <w:r w:rsidR="00282A22">
              <w:rPr>
                <w:rFonts w:hint="cs"/>
                <w:b/>
                <w:rtl/>
              </w:rPr>
              <w:t>الوثيقة</w:t>
            </w:r>
            <w:r w:rsidRPr="00600E58">
              <w:rPr>
                <w:rFonts w:hint="cs"/>
                <w:b/>
                <w:rtl/>
              </w:rPr>
              <w:t xml:space="preserve"> وتقديم أي توجيهات يراها مناسبة.</w:t>
            </w:r>
          </w:p>
        </w:tc>
      </w:tr>
    </w:tbl>
    <w:p w14:paraId="11A2002C" w14:textId="10CF3DF2" w:rsidR="00600E58" w:rsidRDefault="00600E58" w:rsidP="00600E58">
      <w:pPr>
        <w:spacing w:before="600"/>
        <w:jc w:val="left"/>
        <w:rPr>
          <w:rtl/>
        </w:rPr>
      </w:pPr>
      <w:r w:rsidRPr="00600E58">
        <w:rPr>
          <w:rFonts w:hint="cs"/>
          <w:b/>
          <w:bCs/>
          <w:rtl/>
        </w:rPr>
        <w:t>الملحق</w:t>
      </w:r>
      <w:r>
        <w:rPr>
          <w:rFonts w:hint="cs"/>
          <w:rtl/>
        </w:rPr>
        <w:t>: 1</w:t>
      </w:r>
    </w:p>
    <w:p w14:paraId="3C314F8C" w14:textId="56601861" w:rsidR="00600E58" w:rsidRPr="00BD0A41" w:rsidRDefault="00710827" w:rsidP="00B6247D">
      <w:pPr>
        <w:rPr>
          <w:spacing w:val="6"/>
          <w:rtl/>
        </w:rPr>
      </w:pPr>
      <w:hyperlink r:id="rId14" w:history="1">
        <w:r w:rsidR="00B6247D" w:rsidRPr="00BD0A41">
          <w:rPr>
            <w:rStyle w:val="Hyperlink"/>
            <w:spacing w:val="6"/>
          </w:rPr>
          <w:t>CWG-SFP-3/INF-2</w:t>
        </w:r>
      </w:hyperlink>
      <w:r w:rsidR="00600E58" w:rsidRPr="00BD0A41">
        <w:rPr>
          <w:rFonts w:hint="cs"/>
          <w:spacing w:val="6"/>
          <w:rtl/>
        </w:rPr>
        <w:t xml:space="preserve">: </w:t>
      </w:r>
      <w:r w:rsidR="00B6247D" w:rsidRPr="00BD0A41">
        <w:rPr>
          <w:rFonts w:hint="cs"/>
          <w:spacing w:val="6"/>
          <w:rtl/>
        </w:rPr>
        <w:t xml:space="preserve">وثيقة معلومات بشأن إطار </w:t>
      </w:r>
      <w:r w:rsidR="00155FAB" w:rsidRPr="00BD0A41">
        <w:rPr>
          <w:rFonts w:hint="cs"/>
          <w:spacing w:val="6"/>
          <w:rtl/>
        </w:rPr>
        <w:t>ال</w:t>
      </w:r>
      <w:r w:rsidR="00B6247D" w:rsidRPr="00BD0A41">
        <w:rPr>
          <w:rFonts w:hint="cs"/>
          <w:spacing w:val="6"/>
          <w:rtl/>
        </w:rPr>
        <w:t xml:space="preserve">نتائج </w:t>
      </w:r>
      <w:r w:rsidR="00155FAB" w:rsidRPr="00BD0A41">
        <w:rPr>
          <w:rFonts w:hint="cs"/>
          <w:spacing w:val="6"/>
          <w:rtl/>
        </w:rPr>
        <w:t>ل</w:t>
      </w:r>
      <w:r w:rsidR="00B6247D" w:rsidRPr="00BD0A41">
        <w:rPr>
          <w:rFonts w:hint="cs"/>
          <w:spacing w:val="6"/>
          <w:rtl/>
        </w:rPr>
        <w:t>مشروع الخطة الاستراتيجية للاتحاد الدولي للاتصالات للفترة 2024-2027.</w:t>
      </w:r>
      <w:r w:rsidR="00600E58" w:rsidRPr="00BD0A41">
        <w:rPr>
          <w:rFonts w:hint="cs"/>
          <w:spacing w:val="6"/>
          <w:rtl/>
        </w:rPr>
        <w:t xml:space="preserve"> </w:t>
      </w:r>
    </w:p>
    <w:p w14:paraId="062C4E57" w14:textId="77777777" w:rsidR="00600E58" w:rsidRDefault="00600E5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  <w:sectPr w:rsidR="00600E58" w:rsidSect="004D4AE6">
          <w:headerReference w:type="even" r:id="rId15"/>
          <w:headerReference w:type="default" r:id="rId16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  <w:r>
        <w:rPr>
          <w:rtl/>
        </w:rPr>
        <w:br w:type="page"/>
      </w:r>
    </w:p>
    <w:p w14:paraId="2F42BB12" w14:textId="79ADAB3A" w:rsidR="00600E58" w:rsidRDefault="00600E58" w:rsidP="00600E58">
      <w:pPr>
        <w:pStyle w:val="AnnexNo"/>
      </w:pPr>
      <w:r>
        <w:rPr>
          <w:rFonts w:hint="cs"/>
          <w:rtl/>
        </w:rPr>
        <w:lastRenderedPageBreak/>
        <w:t xml:space="preserve">الملحق </w:t>
      </w:r>
    </w:p>
    <w:p w14:paraId="5CA24E5E" w14:textId="77777777" w:rsidR="00600E58" w:rsidRPr="00DA794D" w:rsidRDefault="00600E58" w:rsidP="00600E58">
      <w:pPr>
        <w:pStyle w:val="Annextitle"/>
        <w:bidi w:val="0"/>
      </w:pPr>
      <w:bookmarkStart w:id="1" w:name="lt_pId023"/>
      <w:r w:rsidRPr="00DA794D">
        <w:t>CWG-SFP-3/INF-2: INFORMATION DOCUMENT ON THE</w:t>
      </w:r>
      <w:bookmarkEnd w:id="1"/>
      <w:r w:rsidRPr="00DA794D">
        <w:t xml:space="preserve"> </w:t>
      </w:r>
      <w:r w:rsidRPr="00DA794D">
        <w:br/>
      </w:r>
      <w:bookmarkStart w:id="2" w:name="lt_pId024"/>
      <w:r w:rsidRPr="00DA794D">
        <w:t>RESULTS FRAMEWORK OF THE DRAFT ITU STRATEGIC PLAN 2024-2027</w:t>
      </w:r>
      <w:bookmarkEnd w:id="2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3260"/>
        <w:gridCol w:w="958"/>
      </w:tblGrid>
      <w:tr w:rsidR="00600E58" w:rsidRPr="00DA794D" w14:paraId="4CF541F8" w14:textId="77777777" w:rsidTr="00E67824">
        <w:trPr>
          <w:cantSplit/>
        </w:trPr>
        <w:tc>
          <w:tcPr>
            <w:tcW w:w="6096" w:type="dxa"/>
            <w:vAlign w:val="center"/>
          </w:tcPr>
          <w:p w14:paraId="0A3A6AD3" w14:textId="77777777" w:rsidR="00600E58" w:rsidRPr="00DA794D" w:rsidRDefault="00600E58" w:rsidP="00600E58">
            <w:pPr>
              <w:bidi w:val="0"/>
              <w:spacing w:after="120" w:line="259" w:lineRule="auto"/>
              <w:jc w:val="left"/>
              <w:rPr>
                <w:rFonts w:ascii="Calibri" w:eastAsia="SimSun" w:hAnsi="Calibri" w:cs="Arial"/>
                <w:b/>
                <w:position w:val="6"/>
                <w:sz w:val="26"/>
                <w:szCs w:val="26"/>
              </w:rPr>
            </w:pPr>
            <w:bookmarkStart w:id="3" w:name="lt_pId025"/>
            <w:r w:rsidRPr="00DA794D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t>Council Working Group for</w:t>
            </w:r>
            <w:bookmarkEnd w:id="3"/>
            <w:r w:rsidRPr="00DA794D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br/>
            </w:r>
            <w:bookmarkStart w:id="4" w:name="lt_pId026"/>
            <w:r w:rsidRPr="00DA794D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t>Strategic and Financial Plans 2024-2027</w:t>
            </w:r>
            <w:bookmarkEnd w:id="4"/>
            <w:r w:rsidRPr="00DA794D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br/>
            </w:r>
            <w:bookmarkStart w:id="5" w:name="lt_pId027"/>
            <w:r w:rsidRPr="00DA794D">
              <w:rPr>
                <w:rFonts w:ascii="Calibri" w:eastAsia="SimSun" w:hAnsi="Calibri" w:cs="Calibri"/>
                <w:b/>
                <w:spacing w:val="-2"/>
                <w:szCs w:val="24"/>
              </w:rPr>
              <w:t xml:space="preserve">Third meeting </w:t>
            </w:r>
            <w:r w:rsidRPr="00DA794D">
              <w:rPr>
                <w:rFonts w:ascii="Calibri" w:eastAsia="Calibri" w:hAnsi="Calibri" w:cs="Calibri"/>
                <w:b/>
                <w:color w:val="000000"/>
                <w:spacing w:val="-2"/>
                <w:szCs w:val="24"/>
              </w:rPr>
              <w:t xml:space="preserve">– </w:t>
            </w:r>
            <w:r w:rsidRPr="00DA794D">
              <w:rPr>
                <w:rFonts w:ascii="Calibri" w:eastAsia="SimSun" w:hAnsi="Calibri" w:cs="Calibri"/>
                <w:b/>
                <w:spacing w:val="-2"/>
                <w:szCs w:val="24"/>
              </w:rPr>
              <w:t>21 and 22 February 2022</w:t>
            </w:r>
            <w:bookmarkEnd w:id="5"/>
          </w:p>
        </w:tc>
        <w:tc>
          <w:tcPr>
            <w:tcW w:w="4218" w:type="dxa"/>
            <w:gridSpan w:val="2"/>
          </w:tcPr>
          <w:p w14:paraId="7E20D76C" w14:textId="77777777" w:rsidR="00600E58" w:rsidRPr="00DA794D" w:rsidRDefault="00600E58" w:rsidP="00600E58">
            <w:pPr>
              <w:spacing w:after="120" w:line="240" w:lineRule="atLeast"/>
              <w:jc w:val="right"/>
              <w:rPr>
                <w:rFonts w:ascii="Calibri" w:eastAsia="SimSun" w:hAnsi="Calibri" w:cs="Arial"/>
              </w:rPr>
            </w:pPr>
            <w:r w:rsidRPr="00DA794D">
              <w:rPr>
                <w:rFonts w:ascii="Calibri" w:eastAsia="SimSun" w:hAnsi="Calibri" w:cs="Arial"/>
                <w:noProof/>
              </w:rPr>
              <w:drawing>
                <wp:inline distT="0" distB="0" distL="0" distR="0" wp14:anchorId="15859BEE" wp14:editId="41BBA90B">
                  <wp:extent cx="682321" cy="720000"/>
                  <wp:effectExtent l="0" t="0" r="3810" b="4445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45782" name="Picture 5" descr="A picture containing text,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E58" w:rsidRPr="00DA794D" w14:paraId="7B4C9CCE" w14:textId="77777777" w:rsidTr="00E67824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77F0AB1F" w14:textId="77777777" w:rsidR="00600E58" w:rsidRPr="00DA794D" w:rsidRDefault="00600E58" w:rsidP="00E67824">
            <w:pPr>
              <w:snapToGrid w:val="0"/>
              <w:rPr>
                <w:rFonts w:ascii="Calibri" w:eastAsia="SimSun" w:hAnsi="Calibri" w:cs="Arial"/>
                <w:b/>
                <w:smallCaps/>
              </w:rPr>
            </w:pPr>
          </w:p>
        </w:tc>
        <w:tc>
          <w:tcPr>
            <w:tcW w:w="4218" w:type="dxa"/>
            <w:gridSpan w:val="2"/>
            <w:tcBorders>
              <w:top w:val="single" w:sz="12" w:space="0" w:color="auto"/>
            </w:tcBorders>
          </w:tcPr>
          <w:p w14:paraId="66E1B0E8" w14:textId="77777777" w:rsidR="00600E58" w:rsidRPr="00DA794D" w:rsidRDefault="00600E58" w:rsidP="00E67824">
            <w:pPr>
              <w:snapToGrid w:val="0"/>
              <w:ind w:left="209"/>
              <w:rPr>
                <w:rFonts w:ascii="Verdana" w:eastAsia="SimSun" w:hAnsi="Verdana" w:cs="Arial"/>
              </w:rPr>
            </w:pPr>
          </w:p>
        </w:tc>
      </w:tr>
      <w:tr w:rsidR="00600E58" w:rsidRPr="00710827" w14:paraId="2BB461B1" w14:textId="77777777" w:rsidTr="00E67824">
        <w:trPr>
          <w:cantSplit/>
          <w:trHeight w:val="23"/>
        </w:trPr>
        <w:tc>
          <w:tcPr>
            <w:tcW w:w="6096" w:type="dxa"/>
            <w:vMerge w:val="restart"/>
          </w:tcPr>
          <w:p w14:paraId="45287396" w14:textId="77777777" w:rsidR="00600E58" w:rsidRPr="00DA794D" w:rsidRDefault="00600E58" w:rsidP="00E67824">
            <w:pPr>
              <w:snapToGrid w:val="0"/>
              <w:rPr>
                <w:rFonts w:ascii="Calibri" w:eastAsia="SimSun" w:hAnsi="Calibri" w:cs="Arial"/>
                <w:b/>
              </w:rPr>
            </w:pPr>
            <w:bookmarkStart w:id="6" w:name="dmeeting" w:colFirst="0" w:colLast="0"/>
          </w:p>
        </w:tc>
        <w:tc>
          <w:tcPr>
            <w:tcW w:w="4218" w:type="dxa"/>
            <w:gridSpan w:val="2"/>
          </w:tcPr>
          <w:p w14:paraId="3BE718EF" w14:textId="77777777" w:rsidR="00600E58" w:rsidRPr="00DA794D" w:rsidRDefault="00600E58" w:rsidP="00600E58">
            <w:pPr>
              <w:bidi w:val="0"/>
              <w:snapToGrid w:val="0"/>
              <w:ind w:left="57"/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</w:pPr>
            <w:bookmarkStart w:id="7" w:name="lt_pId028"/>
            <w:r w:rsidRPr="00DA794D"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  <w:t>Document CWG-SFP-3/INF-2-E</w:t>
            </w:r>
            <w:bookmarkEnd w:id="7"/>
          </w:p>
        </w:tc>
      </w:tr>
      <w:bookmarkEnd w:id="6"/>
      <w:tr w:rsidR="00600E58" w:rsidRPr="00DA794D" w14:paraId="3D05E649" w14:textId="77777777" w:rsidTr="00E67824">
        <w:trPr>
          <w:cantSplit/>
          <w:trHeight w:val="23"/>
        </w:trPr>
        <w:tc>
          <w:tcPr>
            <w:tcW w:w="6096" w:type="dxa"/>
            <w:vMerge/>
          </w:tcPr>
          <w:p w14:paraId="4214871C" w14:textId="77777777" w:rsidR="00600E58" w:rsidRPr="00DA794D" w:rsidRDefault="00600E58" w:rsidP="00E67824">
            <w:pPr>
              <w:snapToGrid w:val="0"/>
              <w:rPr>
                <w:rFonts w:ascii="Calibri" w:eastAsia="SimSun" w:hAnsi="Calibri" w:cs="Arial"/>
                <w:b/>
                <w:lang w:val="it-IT"/>
              </w:rPr>
            </w:pPr>
          </w:p>
        </w:tc>
        <w:tc>
          <w:tcPr>
            <w:tcW w:w="4218" w:type="dxa"/>
            <w:gridSpan w:val="2"/>
          </w:tcPr>
          <w:p w14:paraId="289025C6" w14:textId="77777777" w:rsidR="00600E58" w:rsidRPr="00DA794D" w:rsidRDefault="00600E58" w:rsidP="00600E58">
            <w:pPr>
              <w:bidi w:val="0"/>
              <w:snapToGrid w:val="0"/>
              <w:ind w:left="57"/>
              <w:rPr>
                <w:rFonts w:ascii="Calibri" w:eastAsia="SimSun" w:hAnsi="Calibri" w:cs="Calibri"/>
                <w:b/>
                <w:szCs w:val="24"/>
              </w:rPr>
            </w:pPr>
            <w:r w:rsidRPr="00DA794D">
              <w:rPr>
                <w:rFonts w:ascii="Calibri" w:eastAsia="SimSun" w:hAnsi="Calibri" w:cs="Calibri"/>
                <w:b/>
                <w:szCs w:val="24"/>
              </w:rPr>
              <w:t xml:space="preserve">3 </w:t>
            </w:r>
            <w:bookmarkStart w:id="8" w:name="lt_pId030"/>
            <w:r w:rsidRPr="00DA794D">
              <w:rPr>
                <w:rFonts w:ascii="Calibri" w:eastAsia="SimSun" w:hAnsi="Calibri" w:cs="Calibri"/>
                <w:b/>
                <w:szCs w:val="24"/>
              </w:rPr>
              <w:t>February 2022</w:t>
            </w:r>
            <w:bookmarkEnd w:id="8"/>
          </w:p>
        </w:tc>
      </w:tr>
      <w:tr w:rsidR="00600E58" w:rsidRPr="00DA794D" w14:paraId="7ADF08D6" w14:textId="77777777" w:rsidTr="00E67824">
        <w:trPr>
          <w:cantSplit/>
          <w:trHeight w:val="80"/>
        </w:trPr>
        <w:tc>
          <w:tcPr>
            <w:tcW w:w="6096" w:type="dxa"/>
            <w:vMerge/>
          </w:tcPr>
          <w:p w14:paraId="266051B1" w14:textId="77777777" w:rsidR="00600E58" w:rsidRPr="00DA794D" w:rsidRDefault="00600E58" w:rsidP="00E67824">
            <w:pPr>
              <w:snapToGrid w:val="0"/>
              <w:rPr>
                <w:rFonts w:ascii="Calibri" w:eastAsia="SimSun" w:hAnsi="Calibri" w:cs="Arial"/>
                <w:b/>
              </w:rPr>
            </w:pPr>
          </w:p>
        </w:tc>
        <w:tc>
          <w:tcPr>
            <w:tcW w:w="4218" w:type="dxa"/>
            <w:gridSpan w:val="2"/>
          </w:tcPr>
          <w:p w14:paraId="582ABE9A" w14:textId="77777777" w:rsidR="00600E58" w:rsidRPr="00DA794D" w:rsidRDefault="00600E58" w:rsidP="00600E58">
            <w:pPr>
              <w:bidi w:val="0"/>
              <w:snapToGrid w:val="0"/>
              <w:ind w:left="57"/>
              <w:rPr>
                <w:rFonts w:ascii="Calibri" w:eastAsia="SimSun" w:hAnsi="Calibri" w:cs="Calibri"/>
                <w:b/>
                <w:szCs w:val="24"/>
              </w:rPr>
            </w:pPr>
            <w:bookmarkStart w:id="9" w:name="lt_pId031"/>
            <w:r w:rsidRPr="00DA794D">
              <w:rPr>
                <w:rFonts w:ascii="Calibri" w:eastAsia="SimSun" w:hAnsi="Calibri" w:cs="Calibri"/>
                <w:b/>
                <w:szCs w:val="24"/>
              </w:rPr>
              <w:t>English only</w:t>
            </w:r>
            <w:bookmarkEnd w:id="9"/>
          </w:p>
        </w:tc>
      </w:tr>
      <w:tr w:rsidR="00600E58" w:rsidRPr="00DA794D" w14:paraId="441E960B" w14:textId="77777777" w:rsidTr="00E67824">
        <w:trPr>
          <w:cantSplit/>
          <w:trHeight w:val="80"/>
        </w:trPr>
        <w:tc>
          <w:tcPr>
            <w:tcW w:w="10314" w:type="dxa"/>
            <w:gridSpan w:val="3"/>
          </w:tcPr>
          <w:p w14:paraId="5962F359" w14:textId="77777777" w:rsidR="00600E58" w:rsidRPr="00DA794D" w:rsidRDefault="00600E58" w:rsidP="00600E58">
            <w:pPr>
              <w:bidi w:val="0"/>
              <w:spacing w:before="720" w:after="120"/>
              <w:jc w:val="center"/>
              <w:rPr>
                <w:rFonts w:ascii="Calibri" w:eastAsia="SimSun" w:hAnsi="Calibri" w:cs="Arial"/>
                <w:b/>
                <w:sz w:val="28"/>
                <w:szCs w:val="28"/>
              </w:rPr>
            </w:pPr>
            <w:bookmarkStart w:id="10" w:name="lt_pId032"/>
            <w:r w:rsidRPr="00DA794D">
              <w:rPr>
                <w:rFonts w:ascii="Calibri" w:eastAsia="SimSun" w:hAnsi="Calibri" w:cs="Arial"/>
                <w:b/>
                <w:sz w:val="28"/>
                <w:szCs w:val="28"/>
              </w:rPr>
              <w:t>Note by the Secretariat</w:t>
            </w:r>
            <w:bookmarkEnd w:id="10"/>
          </w:p>
        </w:tc>
      </w:tr>
      <w:tr w:rsidR="00600E58" w:rsidRPr="00DA794D" w14:paraId="0EE20561" w14:textId="77777777" w:rsidTr="00E67824">
        <w:trPr>
          <w:cantSplit/>
          <w:trHeight w:val="80"/>
        </w:trPr>
        <w:tc>
          <w:tcPr>
            <w:tcW w:w="10314" w:type="dxa"/>
            <w:gridSpan w:val="3"/>
          </w:tcPr>
          <w:p w14:paraId="646EEF5F" w14:textId="77777777" w:rsidR="00600E58" w:rsidRPr="00DA794D" w:rsidRDefault="00600E58" w:rsidP="00600E58">
            <w:pPr>
              <w:bidi w:val="0"/>
              <w:spacing w:before="240" w:after="120"/>
              <w:jc w:val="center"/>
              <w:rPr>
                <w:rFonts w:ascii="Calibri" w:eastAsia="SimSun" w:hAnsi="Calibri" w:cs="Arial"/>
                <w:caps/>
                <w:sz w:val="28"/>
                <w:szCs w:val="28"/>
              </w:rPr>
            </w:pPr>
            <w:bookmarkStart w:id="11" w:name="lt_pId033"/>
            <w:r w:rsidRPr="00DA794D">
              <w:rPr>
                <w:rFonts w:ascii="Calibri" w:eastAsia="SimSun" w:hAnsi="Calibri" w:cs="Arial"/>
                <w:caps/>
                <w:sz w:val="28"/>
                <w:szCs w:val="28"/>
              </w:rPr>
              <w:t>information Document on the Results Framework</w:t>
            </w:r>
            <w:bookmarkEnd w:id="11"/>
            <w:r w:rsidRPr="00DA794D">
              <w:rPr>
                <w:rFonts w:ascii="Calibri" w:eastAsia="SimSun" w:hAnsi="Calibri" w:cs="Arial"/>
                <w:caps/>
                <w:sz w:val="28"/>
                <w:szCs w:val="28"/>
              </w:rPr>
              <w:br/>
            </w:r>
            <w:bookmarkStart w:id="12" w:name="lt_pId034"/>
            <w:r w:rsidRPr="00DA794D">
              <w:rPr>
                <w:rFonts w:ascii="Calibri" w:eastAsia="SimSun" w:hAnsi="Calibri" w:cs="Arial"/>
                <w:caps/>
                <w:sz w:val="28"/>
                <w:szCs w:val="28"/>
              </w:rPr>
              <w:t>of the Draft ITU Strategic Plan 2024-2027</w:t>
            </w:r>
            <w:bookmarkEnd w:id="12"/>
          </w:p>
        </w:tc>
      </w:tr>
      <w:tr w:rsidR="00600E58" w:rsidRPr="00DA794D" w14:paraId="4580E9A5" w14:textId="77777777" w:rsidTr="00E67824">
        <w:trPr>
          <w:cantSplit/>
          <w:trHeight w:val="80"/>
        </w:trPr>
        <w:tc>
          <w:tcPr>
            <w:tcW w:w="10314" w:type="dxa"/>
            <w:gridSpan w:val="3"/>
          </w:tcPr>
          <w:p w14:paraId="0FF50301" w14:textId="77777777" w:rsidR="00600E58" w:rsidRPr="00DA794D" w:rsidRDefault="00600E58" w:rsidP="00E67824">
            <w:pPr>
              <w:spacing w:before="240" w:after="120"/>
              <w:jc w:val="center"/>
              <w:rPr>
                <w:rFonts w:ascii="Calibri" w:eastAsia="SimSun" w:hAnsi="Calibri" w:cs="Arial"/>
                <w:caps/>
                <w:sz w:val="28"/>
                <w:szCs w:val="28"/>
              </w:rPr>
            </w:pPr>
          </w:p>
        </w:tc>
      </w:tr>
      <w:tr w:rsidR="00600E58" w:rsidRPr="00DA794D" w14:paraId="00CB6245" w14:textId="77777777" w:rsidTr="00E67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04630" w14:textId="77777777" w:rsidR="00600E58" w:rsidRPr="00DA794D" w:rsidRDefault="00600E58" w:rsidP="00600E58">
            <w:pPr>
              <w:bidi w:val="0"/>
              <w:snapToGrid w:val="0"/>
              <w:spacing w:after="120"/>
              <w:ind w:left="869" w:hanging="869"/>
              <w:rPr>
                <w:rFonts w:ascii="Calibri" w:eastAsia="SimSun" w:hAnsi="Calibri" w:cs="Arial"/>
                <w:b/>
                <w:bCs/>
                <w:szCs w:val="24"/>
              </w:rPr>
            </w:pPr>
            <w:bookmarkStart w:id="13" w:name="lt_pId035"/>
            <w:r w:rsidRPr="00DA794D">
              <w:rPr>
                <w:rFonts w:ascii="Calibri" w:eastAsia="SimSun" w:hAnsi="Calibri" w:cs="Arial"/>
                <w:b/>
                <w:bCs/>
                <w:szCs w:val="24"/>
              </w:rPr>
              <w:t>Summary</w:t>
            </w:r>
            <w:bookmarkEnd w:id="13"/>
          </w:p>
          <w:p w14:paraId="22E1AB2E" w14:textId="77777777" w:rsidR="00600E58" w:rsidRPr="00DA794D" w:rsidRDefault="00600E58" w:rsidP="00600E58">
            <w:pPr>
              <w:bidi w:val="0"/>
              <w:snapToGrid w:val="0"/>
              <w:spacing w:after="120"/>
              <w:ind w:right="64"/>
              <w:rPr>
                <w:rFonts w:ascii="Calibri" w:eastAsia="SimSun" w:hAnsi="Calibri" w:cs="Arial"/>
                <w:szCs w:val="24"/>
              </w:rPr>
            </w:pPr>
            <w:bookmarkStart w:id="14" w:name="lt_pId036"/>
            <w:r w:rsidRPr="00DA794D">
              <w:rPr>
                <w:rFonts w:ascii="Calibri" w:eastAsia="SimSun" w:hAnsi="Calibri" w:cs="Arial"/>
                <w:szCs w:val="24"/>
              </w:rPr>
              <w:t xml:space="preserve">This document presents the detailed Results Framework including the Target and Outcome Indicators, to be incorporated in </w:t>
            </w:r>
            <w:r w:rsidRPr="00DA794D">
              <w:rPr>
                <w:rFonts w:ascii="Calibri" w:eastAsia="SimSun" w:hAnsi="Calibri" w:cs="Arial"/>
                <w:i/>
                <w:iCs/>
                <w:szCs w:val="24"/>
              </w:rPr>
              <w:t>Section 3: Results Framework</w:t>
            </w:r>
            <w:r w:rsidRPr="00DA794D">
              <w:rPr>
                <w:rFonts w:ascii="Calibri" w:eastAsia="SimSun" w:hAnsi="Calibri" w:cs="Arial"/>
                <w:szCs w:val="24"/>
              </w:rPr>
              <w:t xml:space="preserve"> of the draft strategic plan, after the endorsement of the strategic goals, </w:t>
            </w:r>
            <w:proofErr w:type="gramStart"/>
            <w:r w:rsidRPr="00DA794D">
              <w:rPr>
                <w:rFonts w:ascii="Calibri" w:eastAsia="SimSun" w:hAnsi="Calibri" w:cs="Arial"/>
                <w:szCs w:val="24"/>
              </w:rPr>
              <w:t>targets</w:t>
            </w:r>
            <w:proofErr w:type="gramEnd"/>
            <w:r w:rsidRPr="00DA794D">
              <w:rPr>
                <w:rFonts w:ascii="Calibri" w:eastAsia="SimSun" w:hAnsi="Calibri" w:cs="Arial"/>
                <w:szCs w:val="24"/>
              </w:rPr>
              <w:t xml:space="preserve"> and thematic priorities.</w:t>
            </w:r>
            <w:bookmarkEnd w:id="14"/>
          </w:p>
          <w:p w14:paraId="4670D469" w14:textId="77777777" w:rsidR="00600E58" w:rsidRPr="00DA794D" w:rsidRDefault="00600E58" w:rsidP="00600E58">
            <w:pPr>
              <w:bidi w:val="0"/>
              <w:snapToGrid w:val="0"/>
              <w:spacing w:after="120"/>
              <w:ind w:right="64"/>
              <w:rPr>
                <w:rFonts w:ascii="Calibri" w:eastAsia="SimSun" w:hAnsi="Calibri" w:cs="Arial"/>
                <w:szCs w:val="24"/>
              </w:rPr>
            </w:pPr>
          </w:p>
          <w:p w14:paraId="71918BAB" w14:textId="77777777" w:rsidR="00600E58" w:rsidRPr="00DA794D" w:rsidRDefault="00600E58" w:rsidP="00600E58">
            <w:pPr>
              <w:bidi w:val="0"/>
              <w:snapToGrid w:val="0"/>
              <w:spacing w:after="120"/>
              <w:ind w:left="862" w:hanging="868"/>
              <w:rPr>
                <w:rFonts w:ascii="Calibri" w:eastAsia="SimSun" w:hAnsi="Calibri" w:cs="Arial"/>
                <w:b/>
                <w:bCs/>
                <w:szCs w:val="24"/>
              </w:rPr>
            </w:pPr>
            <w:bookmarkStart w:id="15" w:name="lt_pId037"/>
            <w:r w:rsidRPr="00DA794D">
              <w:rPr>
                <w:rFonts w:ascii="Calibri" w:eastAsia="SimSun" w:hAnsi="Calibri" w:cs="Arial"/>
                <w:b/>
                <w:bCs/>
                <w:szCs w:val="24"/>
              </w:rPr>
              <w:t>Action required</w:t>
            </w:r>
            <w:bookmarkEnd w:id="15"/>
          </w:p>
          <w:p w14:paraId="77A822EB" w14:textId="77777777" w:rsidR="00600E58" w:rsidRPr="00DA794D" w:rsidRDefault="00600E58" w:rsidP="00600E58">
            <w:pPr>
              <w:bidi w:val="0"/>
              <w:snapToGrid w:val="0"/>
              <w:spacing w:after="120"/>
              <w:ind w:right="64"/>
              <w:rPr>
                <w:rFonts w:ascii="Calibri" w:eastAsia="SimSun" w:hAnsi="Calibri" w:cs="Arial"/>
                <w:szCs w:val="24"/>
              </w:rPr>
            </w:pPr>
            <w:bookmarkStart w:id="16" w:name="lt_pId038"/>
            <w:r w:rsidRPr="00DA794D">
              <w:rPr>
                <w:rFonts w:ascii="Calibri" w:eastAsia="SimSun" w:hAnsi="Calibri" w:cs="Arial"/>
                <w:szCs w:val="24"/>
              </w:rPr>
              <w:t xml:space="preserve">The Council Working Group is invited to </w:t>
            </w:r>
            <w:r w:rsidRPr="00DA794D">
              <w:rPr>
                <w:rFonts w:ascii="Calibri" w:eastAsia="SimSun" w:hAnsi="Calibri" w:cs="Arial"/>
                <w:b/>
                <w:bCs/>
                <w:szCs w:val="24"/>
              </w:rPr>
              <w:t>note</w:t>
            </w:r>
            <w:r w:rsidRPr="00DA794D">
              <w:rPr>
                <w:rFonts w:ascii="Calibri" w:eastAsia="SimSun" w:hAnsi="Calibri" w:cs="Arial"/>
                <w:szCs w:val="24"/>
              </w:rPr>
              <w:t xml:space="preserve"> this document.</w:t>
            </w:r>
            <w:bookmarkEnd w:id="16"/>
          </w:p>
          <w:p w14:paraId="08507EB2" w14:textId="77777777" w:rsidR="00600E58" w:rsidRPr="00DA794D" w:rsidRDefault="00600E58" w:rsidP="00600E58">
            <w:pPr>
              <w:bidi w:val="0"/>
              <w:snapToGrid w:val="0"/>
              <w:spacing w:after="120"/>
              <w:ind w:right="64"/>
              <w:rPr>
                <w:rFonts w:ascii="Calibri" w:eastAsia="SimSun" w:hAnsi="Calibri" w:cs="Arial"/>
                <w:szCs w:val="24"/>
              </w:rPr>
            </w:pPr>
            <w:r w:rsidRPr="00DA794D">
              <w:rPr>
                <w:rFonts w:ascii="Calibri" w:eastAsia="SimSun" w:hAnsi="Calibri" w:cs="Arial"/>
                <w:szCs w:val="24"/>
              </w:rPr>
              <w:t>________________</w:t>
            </w:r>
          </w:p>
          <w:p w14:paraId="131926BE" w14:textId="77777777" w:rsidR="00600E58" w:rsidRPr="00DA794D" w:rsidRDefault="00600E58" w:rsidP="00600E58">
            <w:pPr>
              <w:bidi w:val="0"/>
              <w:snapToGrid w:val="0"/>
              <w:spacing w:after="120"/>
              <w:ind w:left="862" w:hanging="868"/>
              <w:rPr>
                <w:rFonts w:ascii="Calibri" w:eastAsia="SimSun" w:hAnsi="Calibri" w:cs="Arial"/>
                <w:b/>
                <w:bCs/>
                <w:szCs w:val="24"/>
              </w:rPr>
            </w:pPr>
            <w:bookmarkStart w:id="17" w:name="lt_pId040"/>
            <w:r w:rsidRPr="00DA794D">
              <w:rPr>
                <w:rFonts w:ascii="Calibri" w:eastAsia="SimSun" w:hAnsi="Calibri" w:cs="Arial"/>
                <w:b/>
                <w:bCs/>
                <w:szCs w:val="24"/>
              </w:rPr>
              <w:t>References</w:t>
            </w:r>
            <w:bookmarkEnd w:id="17"/>
          </w:p>
          <w:p w14:paraId="46F003B7" w14:textId="77777777" w:rsidR="00600E58" w:rsidRPr="00DA794D" w:rsidRDefault="00710827" w:rsidP="00600E58">
            <w:pPr>
              <w:bidi w:val="0"/>
              <w:snapToGrid w:val="0"/>
              <w:spacing w:after="120"/>
              <w:ind w:right="64"/>
              <w:rPr>
                <w:rFonts w:ascii="Calibri" w:eastAsia="SimSun" w:hAnsi="Calibri" w:cs="Arial"/>
                <w:szCs w:val="24"/>
              </w:rPr>
            </w:pPr>
            <w:hyperlink r:id="rId18" w:history="1">
              <w:bookmarkStart w:id="18" w:name="lt_pId041"/>
              <w:r w:rsidR="00600E58" w:rsidRPr="00DA794D">
                <w:rPr>
                  <w:rFonts w:ascii="Calibri" w:eastAsia="SimSun" w:hAnsi="Calibri" w:cs="Arial"/>
                  <w:color w:val="0563C1"/>
                  <w:szCs w:val="24"/>
                  <w:u w:val="single"/>
                </w:rPr>
                <w:t>Resolution 71 (Rev. Dubai, 2018)</w:t>
              </w:r>
              <w:bookmarkEnd w:id="18"/>
            </w:hyperlink>
          </w:p>
        </w:tc>
      </w:tr>
    </w:tbl>
    <w:p w14:paraId="593151F6" w14:textId="3F72B4FC" w:rsidR="00600E58" w:rsidRDefault="00600E5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br w:type="page"/>
      </w:r>
    </w:p>
    <w:p w14:paraId="2E960C54" w14:textId="76A7EA36" w:rsidR="00600E58" w:rsidRPr="00600E58" w:rsidRDefault="00600E58" w:rsidP="00600E58">
      <w:pPr>
        <w:keepNext/>
        <w:keepLines/>
        <w:tabs>
          <w:tab w:val="center" w:pos="4876"/>
        </w:tabs>
        <w:bidi w:val="0"/>
        <w:spacing w:before="360" w:after="120"/>
        <w:outlineLvl w:val="0"/>
        <w:rPr>
          <w:rFonts w:eastAsia="Yu Gothic Light"/>
          <w:b/>
          <w:color w:val="2F5496"/>
          <w:sz w:val="26"/>
          <w:szCs w:val="32"/>
        </w:rPr>
      </w:pPr>
      <w:bookmarkStart w:id="19" w:name="lt_pId042"/>
      <w:r w:rsidRPr="00600E58">
        <w:rPr>
          <w:rFonts w:eastAsia="Yu Gothic Light"/>
          <w:b/>
          <w:color w:val="2F5496"/>
          <w:sz w:val="26"/>
          <w:szCs w:val="32"/>
        </w:rPr>
        <w:lastRenderedPageBreak/>
        <w:t>ITU Results Framework 2024-2027</w:t>
      </w:r>
      <w:bookmarkEnd w:id="19"/>
    </w:p>
    <w:p w14:paraId="1EFB9200" w14:textId="77777777" w:rsidR="00600E58" w:rsidRPr="00600E58" w:rsidRDefault="00600E58" w:rsidP="00600E58">
      <w:pPr>
        <w:keepNext/>
        <w:bidi w:val="0"/>
        <w:spacing w:before="360" w:after="120"/>
        <w:rPr>
          <w:rFonts w:eastAsia="SimSun"/>
          <w:b/>
          <w:szCs w:val="24"/>
        </w:rPr>
      </w:pPr>
      <w:bookmarkStart w:id="20" w:name="lt_pId043"/>
      <w:r w:rsidRPr="00600E58">
        <w:rPr>
          <w:rFonts w:eastAsia="SimSun"/>
          <w:b/>
          <w:szCs w:val="24"/>
        </w:rPr>
        <w:t>A.</w:t>
      </w:r>
      <w:bookmarkEnd w:id="20"/>
      <w:r w:rsidRPr="00600E58">
        <w:rPr>
          <w:rFonts w:eastAsia="SimSun"/>
          <w:b/>
          <w:szCs w:val="24"/>
        </w:rPr>
        <w:t xml:space="preserve"> </w:t>
      </w:r>
      <w:bookmarkStart w:id="21" w:name="lt_pId044"/>
      <w:r w:rsidRPr="00600E58">
        <w:rPr>
          <w:rFonts w:eastAsia="SimSun"/>
          <w:b/>
          <w:szCs w:val="24"/>
        </w:rPr>
        <w:t>Strategic Goals and Targets</w:t>
      </w:r>
      <w:bookmarkEnd w:id="21"/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846"/>
        <w:gridCol w:w="4252"/>
        <w:gridCol w:w="4820"/>
      </w:tblGrid>
      <w:tr w:rsidR="00600E58" w:rsidRPr="00600E58" w14:paraId="109F5598" w14:textId="77777777" w:rsidTr="00E67824">
        <w:tc>
          <w:tcPr>
            <w:tcW w:w="846" w:type="dxa"/>
            <w:shd w:val="clear" w:color="auto" w:fill="4472C4"/>
          </w:tcPr>
          <w:p w14:paraId="4D53354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22" w:name="lt_pId045"/>
            <w:r w:rsidRPr="00600E58">
              <w:rPr>
                <w:bCs/>
                <w:color w:val="FFFFFF"/>
                <w:sz w:val="20"/>
              </w:rPr>
              <w:t>Goal</w:t>
            </w:r>
            <w:bookmarkEnd w:id="22"/>
          </w:p>
        </w:tc>
        <w:tc>
          <w:tcPr>
            <w:tcW w:w="4252" w:type="dxa"/>
            <w:shd w:val="clear" w:color="auto" w:fill="8EAADB"/>
          </w:tcPr>
          <w:p w14:paraId="0C2F5151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23" w:name="lt_pId046"/>
            <w:r w:rsidRPr="00600E58">
              <w:rPr>
                <w:b/>
                <w:bCs/>
                <w:sz w:val="20"/>
              </w:rPr>
              <w:t>Targets</w:t>
            </w:r>
            <w:bookmarkEnd w:id="23"/>
          </w:p>
        </w:tc>
        <w:tc>
          <w:tcPr>
            <w:tcW w:w="4820" w:type="dxa"/>
            <w:shd w:val="clear" w:color="auto" w:fill="D9E2F3"/>
          </w:tcPr>
          <w:p w14:paraId="0E4F3B3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24" w:name="lt_pId047"/>
            <w:r w:rsidRPr="00600E58">
              <w:rPr>
                <w:sz w:val="20"/>
              </w:rPr>
              <w:t>Target indicators</w:t>
            </w:r>
            <w:bookmarkEnd w:id="24"/>
          </w:p>
        </w:tc>
      </w:tr>
      <w:tr w:rsidR="00600E58" w:rsidRPr="00600E58" w14:paraId="524724B6" w14:textId="77777777" w:rsidTr="00E67824">
        <w:tc>
          <w:tcPr>
            <w:tcW w:w="846" w:type="dxa"/>
            <w:vMerge w:val="restart"/>
            <w:textDirection w:val="btLr"/>
            <w:vAlign w:val="center"/>
          </w:tcPr>
          <w:p w14:paraId="4BA36CED" w14:textId="77777777" w:rsidR="00600E58" w:rsidRPr="00600E58" w:rsidRDefault="00600E58" w:rsidP="00600E58">
            <w:pPr>
              <w:bidi w:val="0"/>
              <w:spacing w:before="60" w:after="60" w:line="240" w:lineRule="exact"/>
              <w:ind w:left="113" w:right="113"/>
              <w:jc w:val="center"/>
              <w:rPr>
                <w:b/>
                <w:sz w:val="20"/>
              </w:rPr>
            </w:pPr>
            <w:bookmarkStart w:id="25" w:name="lt_pId048"/>
            <w:r w:rsidRPr="00600E58">
              <w:rPr>
                <w:b/>
                <w:sz w:val="20"/>
              </w:rPr>
              <w:t>Universal Connectivity</w:t>
            </w:r>
            <w:bookmarkEnd w:id="25"/>
          </w:p>
        </w:tc>
        <w:tc>
          <w:tcPr>
            <w:tcW w:w="4252" w:type="dxa"/>
          </w:tcPr>
          <w:p w14:paraId="5796AF9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26" w:name="lt_pId049"/>
            <w:r w:rsidRPr="00600E58">
              <w:rPr>
                <w:b/>
                <w:bCs/>
                <w:sz w:val="20"/>
              </w:rPr>
              <w:t>1.1: Universal broadband coverage</w:t>
            </w:r>
            <w:bookmarkEnd w:id="26"/>
          </w:p>
        </w:tc>
        <w:tc>
          <w:tcPr>
            <w:tcW w:w="4820" w:type="dxa"/>
          </w:tcPr>
          <w:p w14:paraId="4ADB187C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27" w:name="lt_pId050"/>
            <w:r w:rsidRPr="00600E58">
              <w:rPr>
                <w:sz w:val="20"/>
              </w:rPr>
              <w:t>- Percentage of the world population covered by broadband services (SDG indicator for Target 9.1.c – ITU is the custodian)</w:t>
            </w:r>
            <w:bookmarkEnd w:id="27"/>
          </w:p>
        </w:tc>
      </w:tr>
      <w:tr w:rsidR="00600E58" w:rsidRPr="00600E58" w14:paraId="42B7FD65" w14:textId="77777777" w:rsidTr="00E67824">
        <w:tc>
          <w:tcPr>
            <w:tcW w:w="846" w:type="dxa"/>
            <w:vMerge/>
          </w:tcPr>
          <w:p w14:paraId="0E5847E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6BCAAD4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28" w:name="lt_pId051"/>
            <w:r w:rsidRPr="00600E58">
              <w:rPr>
                <w:b/>
                <w:bCs/>
                <w:sz w:val="20"/>
              </w:rPr>
              <w:t>1.2: Broadband services to be affordable for all</w:t>
            </w:r>
            <w:bookmarkEnd w:id="28"/>
          </w:p>
        </w:tc>
        <w:tc>
          <w:tcPr>
            <w:tcW w:w="4820" w:type="dxa"/>
          </w:tcPr>
          <w:p w14:paraId="5966402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29" w:name="lt_pId052"/>
            <w:r w:rsidRPr="00600E58">
              <w:rPr>
                <w:sz w:val="20"/>
              </w:rPr>
              <w:t>- Cost of entry-level broadband services in developing countries as % of monthly Gross National Income (GNI) per capita</w:t>
            </w:r>
            <w:bookmarkEnd w:id="29"/>
          </w:p>
        </w:tc>
      </w:tr>
      <w:tr w:rsidR="00600E58" w:rsidRPr="00600E58" w14:paraId="7B9F906A" w14:textId="77777777" w:rsidTr="00E67824">
        <w:tc>
          <w:tcPr>
            <w:tcW w:w="846" w:type="dxa"/>
            <w:vMerge/>
          </w:tcPr>
          <w:p w14:paraId="2780F4BE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1939E9D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30" w:name="lt_pId053"/>
            <w:r w:rsidRPr="00600E58">
              <w:rPr>
                <w:b/>
                <w:bCs/>
                <w:sz w:val="20"/>
              </w:rPr>
              <w:t>1.3: Broadband access to every household</w:t>
            </w:r>
            <w:bookmarkEnd w:id="30"/>
          </w:p>
        </w:tc>
        <w:tc>
          <w:tcPr>
            <w:tcW w:w="4820" w:type="dxa"/>
          </w:tcPr>
          <w:p w14:paraId="5DCC2475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31" w:name="lt_pId054"/>
            <w:r w:rsidRPr="00600E58">
              <w:rPr>
                <w:sz w:val="20"/>
              </w:rPr>
              <w:t>- Percentage of households with access to the Internet (per level of development; urban/rural)</w:t>
            </w:r>
            <w:bookmarkEnd w:id="31"/>
          </w:p>
        </w:tc>
      </w:tr>
      <w:tr w:rsidR="00600E58" w:rsidRPr="00600E58" w14:paraId="4C52ECBC" w14:textId="77777777" w:rsidTr="00E67824">
        <w:tc>
          <w:tcPr>
            <w:tcW w:w="846" w:type="dxa"/>
            <w:vMerge w:val="restart"/>
            <w:textDirection w:val="btLr"/>
            <w:vAlign w:val="center"/>
          </w:tcPr>
          <w:p w14:paraId="337432A3" w14:textId="77777777" w:rsidR="00600E58" w:rsidRPr="00600E58" w:rsidRDefault="00600E58" w:rsidP="00600E58">
            <w:pPr>
              <w:bidi w:val="0"/>
              <w:spacing w:before="60" w:after="60" w:line="240" w:lineRule="exact"/>
              <w:ind w:left="113" w:right="113"/>
              <w:jc w:val="center"/>
              <w:rPr>
                <w:b/>
                <w:sz w:val="20"/>
              </w:rPr>
            </w:pPr>
            <w:bookmarkStart w:id="32" w:name="lt_pId055"/>
            <w:r w:rsidRPr="00600E58">
              <w:rPr>
                <w:b/>
                <w:sz w:val="20"/>
              </w:rPr>
              <w:t>Sustainable Digital Transformation</w:t>
            </w:r>
            <w:bookmarkEnd w:id="32"/>
          </w:p>
        </w:tc>
        <w:tc>
          <w:tcPr>
            <w:tcW w:w="4252" w:type="dxa"/>
          </w:tcPr>
          <w:p w14:paraId="0BC76212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33" w:name="lt_pId056"/>
            <w:r w:rsidRPr="00600E58">
              <w:rPr>
                <w:b/>
                <w:bCs/>
                <w:sz w:val="20"/>
              </w:rPr>
              <w:t>2.1: Universal usage of Internet by individuals</w:t>
            </w:r>
            <w:bookmarkEnd w:id="33"/>
          </w:p>
        </w:tc>
        <w:tc>
          <w:tcPr>
            <w:tcW w:w="4820" w:type="dxa"/>
          </w:tcPr>
          <w:p w14:paraId="7B0A119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34" w:name="lt_pId057"/>
            <w:r w:rsidRPr="00600E58">
              <w:rPr>
                <w:sz w:val="20"/>
              </w:rPr>
              <w:t>- Percentage of individuals using the Internet (broken-down by urban/rural; aggregated by region, level of development) (SDG indicator for Target 17.8.1 – ITU is the custodian)</w:t>
            </w:r>
            <w:bookmarkEnd w:id="34"/>
          </w:p>
        </w:tc>
      </w:tr>
      <w:tr w:rsidR="00600E58" w:rsidRPr="00600E58" w14:paraId="1D84A3ED" w14:textId="77777777" w:rsidTr="00E67824">
        <w:tc>
          <w:tcPr>
            <w:tcW w:w="846" w:type="dxa"/>
            <w:vMerge/>
          </w:tcPr>
          <w:p w14:paraId="2450B86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</w:p>
        </w:tc>
        <w:tc>
          <w:tcPr>
            <w:tcW w:w="4252" w:type="dxa"/>
          </w:tcPr>
          <w:p w14:paraId="47BEDB3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35" w:name="lt_pId058"/>
            <w:r w:rsidRPr="00600E58">
              <w:rPr>
                <w:b/>
                <w:bCs/>
                <w:sz w:val="20"/>
              </w:rPr>
              <w:t>2.2: All digital gaps to be bridged (</w:t>
            </w:r>
            <w:proofErr w:type="gramStart"/>
            <w:r w:rsidRPr="00600E58">
              <w:rPr>
                <w:b/>
                <w:bCs/>
                <w:sz w:val="20"/>
              </w:rPr>
              <w:t>in particular gender</w:t>
            </w:r>
            <w:proofErr w:type="gramEnd"/>
            <w:r w:rsidRPr="00600E58">
              <w:rPr>
                <w:b/>
                <w:bCs/>
                <w:sz w:val="20"/>
              </w:rPr>
              <w:t>, age, urban/rural)</w:t>
            </w:r>
            <w:bookmarkEnd w:id="35"/>
          </w:p>
        </w:tc>
        <w:tc>
          <w:tcPr>
            <w:tcW w:w="4820" w:type="dxa"/>
          </w:tcPr>
          <w:p w14:paraId="7FEC0B91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36" w:name="lt_pId059"/>
            <w:r w:rsidRPr="00600E58">
              <w:rPr>
                <w:sz w:val="20"/>
              </w:rPr>
              <w:t>- Percentage of individuals using the Internet (broken-down by age, gender, accessibility)</w:t>
            </w:r>
            <w:bookmarkEnd w:id="36"/>
          </w:p>
        </w:tc>
      </w:tr>
      <w:tr w:rsidR="00600E58" w:rsidRPr="00600E58" w14:paraId="559BB7AE" w14:textId="77777777" w:rsidTr="00E67824">
        <w:tc>
          <w:tcPr>
            <w:tcW w:w="846" w:type="dxa"/>
            <w:vMerge/>
          </w:tcPr>
          <w:p w14:paraId="04918475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</w:p>
        </w:tc>
        <w:tc>
          <w:tcPr>
            <w:tcW w:w="4252" w:type="dxa"/>
          </w:tcPr>
          <w:p w14:paraId="5D93294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37" w:name="lt_pId060"/>
            <w:r w:rsidRPr="00600E58">
              <w:rPr>
                <w:b/>
                <w:bCs/>
                <w:sz w:val="20"/>
              </w:rPr>
              <w:t>2.3: Universal usage of Internet by businesses</w:t>
            </w:r>
            <w:bookmarkEnd w:id="37"/>
          </w:p>
        </w:tc>
        <w:tc>
          <w:tcPr>
            <w:tcW w:w="4820" w:type="dxa"/>
          </w:tcPr>
          <w:p w14:paraId="71A4AD5D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38" w:name="lt_pId061"/>
            <w:r w:rsidRPr="00600E58">
              <w:rPr>
                <w:sz w:val="20"/>
              </w:rPr>
              <w:t>- Percentage of business using the Internet, total and by size</w:t>
            </w:r>
            <w:bookmarkEnd w:id="38"/>
          </w:p>
        </w:tc>
      </w:tr>
      <w:tr w:rsidR="00600E58" w:rsidRPr="00600E58" w14:paraId="0D5EDA17" w14:textId="77777777" w:rsidTr="00E67824">
        <w:tc>
          <w:tcPr>
            <w:tcW w:w="846" w:type="dxa"/>
            <w:vMerge/>
          </w:tcPr>
          <w:p w14:paraId="51E26175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</w:p>
        </w:tc>
        <w:tc>
          <w:tcPr>
            <w:tcW w:w="4252" w:type="dxa"/>
          </w:tcPr>
          <w:p w14:paraId="74C197C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39" w:name="lt_pId062"/>
            <w:r w:rsidRPr="00600E58">
              <w:rPr>
                <w:b/>
                <w:bCs/>
                <w:sz w:val="20"/>
              </w:rPr>
              <w:t>2.4: Universal access to the Internet for all schools</w:t>
            </w:r>
            <w:bookmarkEnd w:id="39"/>
          </w:p>
        </w:tc>
        <w:tc>
          <w:tcPr>
            <w:tcW w:w="4820" w:type="dxa"/>
          </w:tcPr>
          <w:p w14:paraId="41E871B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40" w:name="lt_pId063"/>
            <w:r w:rsidRPr="00600E58">
              <w:rPr>
                <w:sz w:val="20"/>
              </w:rPr>
              <w:t>- Percentage of schools with Internet access</w:t>
            </w:r>
            <w:bookmarkEnd w:id="40"/>
          </w:p>
        </w:tc>
      </w:tr>
      <w:tr w:rsidR="00600E58" w:rsidRPr="00600E58" w14:paraId="445C1F9C" w14:textId="77777777" w:rsidTr="00E67824">
        <w:tc>
          <w:tcPr>
            <w:tcW w:w="846" w:type="dxa"/>
            <w:vMerge/>
          </w:tcPr>
          <w:p w14:paraId="0AE153B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</w:p>
        </w:tc>
        <w:tc>
          <w:tcPr>
            <w:tcW w:w="4252" w:type="dxa"/>
          </w:tcPr>
          <w:p w14:paraId="01553F2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41" w:name="lt_pId064"/>
            <w:r w:rsidRPr="00600E58">
              <w:rPr>
                <w:b/>
                <w:bCs/>
                <w:sz w:val="20"/>
              </w:rPr>
              <w:t>2.5: Majority of individuals to have digital skills</w:t>
            </w:r>
            <w:bookmarkEnd w:id="41"/>
          </w:p>
        </w:tc>
        <w:tc>
          <w:tcPr>
            <w:tcW w:w="4820" w:type="dxa"/>
          </w:tcPr>
          <w:p w14:paraId="3E65042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42" w:name="lt_pId065"/>
            <w:r w:rsidRPr="00600E58">
              <w:rPr>
                <w:sz w:val="20"/>
              </w:rPr>
              <w:t>- Percentage of youth and adults with information and communications technology (ICT) skills, by type of skill (SDG indicator 4.4.1 – ITU is the custodian)</w:t>
            </w:r>
            <w:bookmarkEnd w:id="42"/>
          </w:p>
        </w:tc>
      </w:tr>
      <w:tr w:rsidR="00600E58" w:rsidRPr="00600E58" w14:paraId="2844E522" w14:textId="77777777" w:rsidTr="00E67824">
        <w:tc>
          <w:tcPr>
            <w:tcW w:w="846" w:type="dxa"/>
            <w:vMerge/>
          </w:tcPr>
          <w:p w14:paraId="1D357CC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</w:p>
        </w:tc>
        <w:tc>
          <w:tcPr>
            <w:tcW w:w="4252" w:type="dxa"/>
          </w:tcPr>
          <w:p w14:paraId="28001D8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43" w:name="lt_pId066"/>
            <w:r w:rsidRPr="00600E58">
              <w:rPr>
                <w:b/>
                <w:bCs/>
                <w:sz w:val="20"/>
              </w:rPr>
              <w:t>2.6: Majority of individuals to be interacting with government services online</w:t>
            </w:r>
            <w:bookmarkEnd w:id="43"/>
          </w:p>
        </w:tc>
        <w:tc>
          <w:tcPr>
            <w:tcW w:w="4820" w:type="dxa"/>
          </w:tcPr>
          <w:p w14:paraId="277AACD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44" w:name="lt_pId067"/>
            <w:r w:rsidRPr="00600E58">
              <w:rPr>
                <w:sz w:val="20"/>
              </w:rPr>
              <w:t>- Percentage of population interacting with government services online</w:t>
            </w:r>
            <w:bookmarkEnd w:id="44"/>
          </w:p>
        </w:tc>
      </w:tr>
      <w:tr w:rsidR="00600E58" w:rsidRPr="00600E58" w14:paraId="6D53D2C6" w14:textId="77777777" w:rsidTr="00E67824">
        <w:tc>
          <w:tcPr>
            <w:tcW w:w="846" w:type="dxa"/>
            <w:vMerge/>
          </w:tcPr>
          <w:p w14:paraId="761711F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</w:p>
        </w:tc>
        <w:tc>
          <w:tcPr>
            <w:tcW w:w="4252" w:type="dxa"/>
          </w:tcPr>
          <w:p w14:paraId="6E18BE3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bCs/>
                <w:sz w:val="20"/>
              </w:rPr>
            </w:pPr>
            <w:bookmarkStart w:id="45" w:name="lt_pId068"/>
            <w:r w:rsidRPr="00600E58">
              <w:rPr>
                <w:b/>
                <w:bCs/>
                <w:sz w:val="20"/>
              </w:rPr>
              <w:t>2.7: Significantly improve ICTs contribution to climate action</w:t>
            </w:r>
            <w:bookmarkEnd w:id="45"/>
          </w:p>
        </w:tc>
        <w:tc>
          <w:tcPr>
            <w:tcW w:w="4820" w:type="dxa"/>
          </w:tcPr>
          <w:p w14:paraId="4646387E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46" w:name="lt_pId069"/>
            <w:r w:rsidRPr="00600E58">
              <w:rPr>
                <w:sz w:val="20"/>
              </w:rPr>
              <w:t>- Global e-waste recycling rate</w:t>
            </w:r>
            <w:bookmarkEnd w:id="46"/>
          </w:p>
          <w:p w14:paraId="0EF2250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47" w:name="lt_pId070"/>
            <w:r w:rsidRPr="00600E58">
              <w:rPr>
                <w:sz w:val="20"/>
              </w:rPr>
              <w:t>- Net telecommunication/ICT-enabled Greenhouse Gas abatement</w:t>
            </w:r>
            <w:bookmarkEnd w:id="47"/>
          </w:p>
          <w:p w14:paraId="7A8221B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</w:rPr>
            </w:pPr>
            <w:bookmarkStart w:id="48" w:name="lt_pId071"/>
            <w:r w:rsidRPr="00600E58">
              <w:rPr>
                <w:sz w:val="20"/>
              </w:rPr>
              <w:t>- Total ICTs Carbon footprint (broken-down by type of service/provider)</w:t>
            </w:r>
            <w:bookmarkEnd w:id="48"/>
          </w:p>
        </w:tc>
      </w:tr>
    </w:tbl>
    <w:p w14:paraId="576D335A" w14:textId="16FD20F7" w:rsidR="00600E58" w:rsidRPr="00600E58" w:rsidRDefault="00600E58" w:rsidP="00600E58">
      <w:pPr>
        <w:keepNext/>
        <w:bidi w:val="0"/>
        <w:spacing w:before="240" w:after="120"/>
        <w:jc w:val="left"/>
        <w:rPr>
          <w:rFonts w:eastAsia="SimSun"/>
          <w:b/>
          <w:szCs w:val="24"/>
        </w:rPr>
      </w:pPr>
      <w:bookmarkStart w:id="49" w:name="lt_pId072"/>
      <w:r w:rsidRPr="00600E58">
        <w:rPr>
          <w:rFonts w:eastAsia="SimSun"/>
          <w:b/>
          <w:szCs w:val="24"/>
        </w:rPr>
        <w:t>B.</w:t>
      </w:r>
      <w:bookmarkEnd w:id="49"/>
      <w:r w:rsidRPr="00600E58">
        <w:rPr>
          <w:rFonts w:eastAsia="SimSun"/>
          <w:b/>
          <w:szCs w:val="24"/>
        </w:rPr>
        <w:t xml:space="preserve"> </w:t>
      </w:r>
      <w:bookmarkStart w:id="50" w:name="lt_pId073"/>
      <w:r w:rsidRPr="00600E58">
        <w:rPr>
          <w:rFonts w:eastAsia="SimSun"/>
          <w:b/>
          <w:szCs w:val="24"/>
        </w:rPr>
        <w:t>Thematic Priorities and Outcomes</w:t>
      </w:r>
      <w:bookmarkEnd w:id="50"/>
    </w:p>
    <w:tbl>
      <w:tblPr>
        <w:tblStyle w:val="TableGrid1"/>
        <w:tblW w:w="9918" w:type="dxa"/>
        <w:tblLayout w:type="fixed"/>
        <w:tblLook w:val="04A0" w:firstRow="1" w:lastRow="0" w:firstColumn="1" w:lastColumn="0" w:noHBand="0" w:noVBand="1"/>
      </w:tblPr>
      <w:tblGrid>
        <w:gridCol w:w="1395"/>
        <w:gridCol w:w="3703"/>
        <w:gridCol w:w="4820"/>
      </w:tblGrid>
      <w:tr w:rsidR="00600E58" w:rsidRPr="00600E58" w14:paraId="6153911C" w14:textId="77777777" w:rsidTr="00E67824">
        <w:trPr>
          <w:trHeight w:val="101"/>
          <w:tblHeader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A5A5A5"/>
          </w:tcPr>
          <w:p w14:paraId="7103A67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bookmarkStart w:id="51" w:name="lt_pId074"/>
            <w:r w:rsidRPr="00600E58">
              <w:rPr>
                <w:b/>
                <w:sz w:val="20"/>
                <w:szCs w:val="20"/>
              </w:rPr>
              <w:t>Thematic Priorities</w:t>
            </w:r>
            <w:bookmarkEnd w:id="51"/>
          </w:p>
        </w:tc>
        <w:tc>
          <w:tcPr>
            <w:tcW w:w="3703" w:type="dxa"/>
            <w:shd w:val="clear" w:color="auto" w:fill="C9C9C9"/>
          </w:tcPr>
          <w:p w14:paraId="34158902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Cs/>
                <w:sz w:val="20"/>
                <w:szCs w:val="20"/>
              </w:rPr>
            </w:pPr>
            <w:bookmarkStart w:id="52" w:name="lt_pId075"/>
            <w:r w:rsidRPr="00600E58">
              <w:rPr>
                <w:bCs/>
                <w:sz w:val="20"/>
                <w:szCs w:val="20"/>
              </w:rPr>
              <w:t>Outcome</w:t>
            </w:r>
            <w:bookmarkEnd w:id="52"/>
          </w:p>
        </w:tc>
        <w:tc>
          <w:tcPr>
            <w:tcW w:w="4820" w:type="dxa"/>
            <w:shd w:val="clear" w:color="auto" w:fill="DBDBDB"/>
          </w:tcPr>
          <w:p w14:paraId="3935D5B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Cs/>
                <w:sz w:val="20"/>
                <w:szCs w:val="20"/>
              </w:rPr>
            </w:pPr>
            <w:bookmarkStart w:id="53" w:name="lt_pId076"/>
            <w:r w:rsidRPr="00600E58">
              <w:rPr>
                <w:bCs/>
                <w:sz w:val="20"/>
                <w:szCs w:val="20"/>
              </w:rPr>
              <w:t>Outcome indicators</w:t>
            </w:r>
            <w:bookmarkEnd w:id="53"/>
          </w:p>
        </w:tc>
      </w:tr>
      <w:tr w:rsidR="00600E58" w:rsidRPr="00600E58" w14:paraId="4755E987" w14:textId="77777777" w:rsidTr="00E67824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5DF2C6A5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bookmarkStart w:id="54" w:name="lt_pId077"/>
            <w:r w:rsidRPr="00600E58">
              <w:rPr>
                <w:b/>
                <w:sz w:val="20"/>
                <w:szCs w:val="20"/>
                <w:lang w:val="en-US"/>
              </w:rPr>
              <w:t>Spectrum &amp; Satellite Orbits</w:t>
            </w:r>
            <w:bookmarkEnd w:id="54"/>
          </w:p>
        </w:tc>
        <w:tc>
          <w:tcPr>
            <w:tcW w:w="3703" w:type="dxa"/>
          </w:tcPr>
          <w:p w14:paraId="45BBA23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1. </w:t>
            </w:r>
            <w:bookmarkStart w:id="55" w:name="lt_pId079"/>
            <w:r w:rsidRPr="00600E58">
              <w:rPr>
                <w:b/>
                <w:sz w:val="20"/>
                <w:szCs w:val="20"/>
              </w:rPr>
              <w:t>Radio-frequency spectrum and associated satellite orbital resources are efficiently and equitably allocated and used.</w:t>
            </w:r>
            <w:bookmarkEnd w:id="55"/>
          </w:p>
          <w:p w14:paraId="4A4B4F5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i/>
                <w:iCs/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56" w:name="lt_pId080"/>
            <w:r w:rsidRPr="00600E58">
              <w:rPr>
                <w:i/>
                <w:iCs/>
                <w:sz w:val="20"/>
                <w:szCs w:val="20"/>
              </w:rPr>
              <w:t>a. Increased number of countries having access to radio spectrum and associated orbits for satellite projects and systems, as recorded in the Master International Frequency Register (MIFR)</w:t>
            </w:r>
            <w:bookmarkEnd w:id="56"/>
          </w:p>
          <w:p w14:paraId="462F359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57" w:name="lt_pId081"/>
            <w:r w:rsidRPr="00600E58">
              <w:rPr>
                <w:i/>
                <w:iCs/>
                <w:sz w:val="20"/>
                <w:szCs w:val="20"/>
              </w:rPr>
              <w:t>b. Increased number of countries having terrestrial frequency assignments recorded in the MIFR</w:t>
            </w:r>
            <w:bookmarkEnd w:id="57"/>
          </w:p>
        </w:tc>
        <w:tc>
          <w:tcPr>
            <w:tcW w:w="4820" w:type="dxa"/>
          </w:tcPr>
          <w:p w14:paraId="1C26AC4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</w:p>
          <w:p w14:paraId="12AD01C2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rFonts w:eastAsia="Yu Mincho"/>
                <w:sz w:val="20"/>
                <w:szCs w:val="20"/>
              </w:rPr>
            </w:pPr>
            <w:bookmarkStart w:id="58" w:name="lt_pId082"/>
            <w:r w:rsidRPr="00600E58">
              <w:rPr>
                <w:sz w:val="20"/>
                <w:szCs w:val="20"/>
              </w:rPr>
              <w:t>- Number of countries having satellite networks recorded in the MIFR</w:t>
            </w:r>
            <w:bookmarkEnd w:id="58"/>
          </w:p>
          <w:p w14:paraId="122925A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rFonts w:eastAsia="Yu Mincho"/>
                <w:sz w:val="20"/>
                <w:szCs w:val="20"/>
              </w:rPr>
            </w:pPr>
            <w:bookmarkStart w:id="59" w:name="lt_pId083"/>
            <w:r w:rsidRPr="00600E58">
              <w:rPr>
                <w:sz w:val="20"/>
                <w:szCs w:val="20"/>
              </w:rPr>
              <w:t>- Number of countries having earth stations recorded in the MIFR</w:t>
            </w:r>
            <w:bookmarkEnd w:id="59"/>
          </w:p>
          <w:p w14:paraId="4F9637A8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rFonts w:eastAsia="Yu Mincho"/>
                <w:sz w:val="20"/>
                <w:szCs w:val="20"/>
              </w:rPr>
            </w:pPr>
            <w:bookmarkStart w:id="60" w:name="lt_pId084"/>
            <w:r w:rsidRPr="00600E58">
              <w:rPr>
                <w:sz w:val="20"/>
                <w:szCs w:val="20"/>
              </w:rPr>
              <w:t>- Number of countries which registered satellite networks in the MIFR within the last 4-year period</w:t>
            </w:r>
            <w:bookmarkEnd w:id="60"/>
          </w:p>
          <w:p w14:paraId="50E2068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rFonts w:eastAsia="Yu Mincho"/>
                <w:sz w:val="20"/>
                <w:szCs w:val="20"/>
              </w:rPr>
            </w:pPr>
            <w:bookmarkStart w:id="61" w:name="lt_pId085"/>
            <w:r w:rsidRPr="00600E58">
              <w:rPr>
                <w:sz w:val="20"/>
                <w:szCs w:val="20"/>
              </w:rPr>
              <w:t>- Number of countries which registered earth stations in the MIFR within the last 4-year period</w:t>
            </w:r>
            <w:bookmarkEnd w:id="61"/>
          </w:p>
          <w:p w14:paraId="0A20D1A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</w:p>
          <w:p w14:paraId="28184D3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rFonts w:eastAsia="Yu Mincho"/>
                <w:sz w:val="20"/>
                <w:szCs w:val="20"/>
              </w:rPr>
            </w:pPr>
            <w:bookmarkStart w:id="62" w:name="lt_pId086"/>
            <w:r w:rsidRPr="00600E58">
              <w:rPr>
                <w:sz w:val="20"/>
                <w:szCs w:val="20"/>
              </w:rPr>
              <w:lastRenderedPageBreak/>
              <w:t>- Number of countries which registered terrestrial assignments in the MIFR within the last 4-year period</w:t>
            </w:r>
            <w:bookmarkEnd w:id="62"/>
          </w:p>
        </w:tc>
      </w:tr>
      <w:tr w:rsidR="00600E58" w:rsidRPr="00600E58" w14:paraId="14F44AAF" w14:textId="77777777" w:rsidTr="00E67824">
        <w:trPr>
          <w:trHeight w:val="101"/>
        </w:trPr>
        <w:tc>
          <w:tcPr>
            <w:tcW w:w="1395" w:type="dxa"/>
            <w:vMerge/>
          </w:tcPr>
          <w:p w14:paraId="45ECB7A2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254DA8A8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2. </w:t>
            </w:r>
            <w:bookmarkStart w:id="63" w:name="lt_pId088"/>
            <w:r w:rsidRPr="00600E58">
              <w:rPr>
                <w:b/>
                <w:sz w:val="20"/>
                <w:szCs w:val="20"/>
              </w:rPr>
              <w:t>Harmful interferences are avoided</w:t>
            </w:r>
            <w:bookmarkEnd w:id="63"/>
          </w:p>
          <w:p w14:paraId="2F4BF09A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i/>
                <w:iCs/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64" w:name="lt_pId089"/>
            <w:r w:rsidRPr="00600E58">
              <w:rPr>
                <w:i/>
                <w:iCs/>
                <w:sz w:val="20"/>
                <w:szCs w:val="20"/>
              </w:rPr>
              <w:t>a. High percentage of spectrum assigned to satellite networks which is free from harmful interference</w:t>
            </w:r>
            <w:bookmarkEnd w:id="64"/>
          </w:p>
          <w:p w14:paraId="0F5A06E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65" w:name="lt_pId090"/>
            <w:r w:rsidRPr="00600E58">
              <w:rPr>
                <w:i/>
                <w:iCs/>
                <w:sz w:val="20"/>
                <w:szCs w:val="20"/>
              </w:rPr>
              <w:t>b. Increased percentage of assignments to terrestrial services recorded in the MIFR which are free from harmful interference</w:t>
            </w:r>
            <w:bookmarkEnd w:id="65"/>
          </w:p>
        </w:tc>
        <w:tc>
          <w:tcPr>
            <w:tcW w:w="4820" w:type="dxa"/>
          </w:tcPr>
          <w:p w14:paraId="0BC8C12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66" w:name="lt_pId091"/>
            <w:r w:rsidRPr="00600E58">
              <w:rPr>
                <w:sz w:val="20"/>
                <w:szCs w:val="20"/>
              </w:rPr>
              <w:t>- Percentage of spectrum assigned to satellite networks that is free from reported harmful interference</w:t>
            </w:r>
            <w:bookmarkEnd w:id="66"/>
          </w:p>
          <w:p w14:paraId="2FA62C0A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67" w:name="lt_pId092"/>
            <w:r w:rsidRPr="00600E58">
              <w:rPr>
                <w:sz w:val="20"/>
                <w:szCs w:val="20"/>
              </w:rPr>
              <w:t>- Percentage of assignments to terrestrial services recorded in the MIFR that is free from harmful interference</w:t>
            </w:r>
            <w:bookmarkEnd w:id="67"/>
          </w:p>
        </w:tc>
      </w:tr>
      <w:tr w:rsidR="00600E58" w:rsidRPr="00600E58" w14:paraId="135B8039" w14:textId="77777777" w:rsidTr="00E67824">
        <w:trPr>
          <w:trHeight w:val="101"/>
        </w:trPr>
        <w:tc>
          <w:tcPr>
            <w:tcW w:w="1395" w:type="dxa"/>
            <w:vMerge/>
          </w:tcPr>
          <w:p w14:paraId="7AE1E74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47716D9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3. </w:t>
            </w:r>
            <w:bookmarkStart w:id="68" w:name="lt_pId094"/>
            <w:r w:rsidRPr="00600E58">
              <w:rPr>
                <w:b/>
                <w:sz w:val="20"/>
                <w:szCs w:val="20"/>
              </w:rPr>
              <w:t>Enhanced application of spectrum management principles and techniques</w:t>
            </w:r>
            <w:bookmarkEnd w:id="68"/>
          </w:p>
        </w:tc>
        <w:tc>
          <w:tcPr>
            <w:tcW w:w="4820" w:type="dxa"/>
          </w:tcPr>
          <w:p w14:paraId="658751D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69" w:name="lt_pId095"/>
            <w:r w:rsidRPr="00600E58">
              <w:rPr>
                <w:sz w:val="20"/>
                <w:szCs w:val="20"/>
              </w:rPr>
              <w:t>- Number of downloads of documents from SM series</w:t>
            </w:r>
            <w:bookmarkEnd w:id="69"/>
          </w:p>
        </w:tc>
      </w:tr>
      <w:tr w:rsidR="00600E58" w:rsidRPr="00600E58" w14:paraId="36089D8B" w14:textId="77777777" w:rsidTr="00E67824">
        <w:trPr>
          <w:trHeight w:val="101"/>
        </w:trPr>
        <w:tc>
          <w:tcPr>
            <w:tcW w:w="1395" w:type="dxa"/>
            <w:vMerge/>
          </w:tcPr>
          <w:p w14:paraId="3852B96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589EEB0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4. </w:t>
            </w:r>
            <w:bookmarkStart w:id="70" w:name="lt_pId097"/>
            <w:r w:rsidRPr="00600E58">
              <w:rPr>
                <w:b/>
                <w:sz w:val="20"/>
                <w:szCs w:val="20"/>
              </w:rPr>
              <w:t xml:space="preserve">Advancement of </w:t>
            </w:r>
            <w:proofErr w:type="spellStart"/>
            <w:r w:rsidRPr="00600E58">
              <w:rPr>
                <w:b/>
                <w:sz w:val="20"/>
                <w:szCs w:val="20"/>
              </w:rPr>
              <w:t>radiowave</w:t>
            </w:r>
            <w:proofErr w:type="spellEnd"/>
            <w:r w:rsidRPr="00600E58">
              <w:rPr>
                <w:b/>
                <w:sz w:val="20"/>
                <w:szCs w:val="20"/>
              </w:rPr>
              <w:t xml:space="preserve"> propagation modelling and prediction</w:t>
            </w:r>
            <w:bookmarkEnd w:id="70"/>
          </w:p>
        </w:tc>
        <w:tc>
          <w:tcPr>
            <w:tcW w:w="4820" w:type="dxa"/>
          </w:tcPr>
          <w:p w14:paraId="63AB19C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71" w:name="lt_pId098"/>
            <w:r w:rsidRPr="00600E58">
              <w:rPr>
                <w:sz w:val="20"/>
                <w:szCs w:val="20"/>
              </w:rPr>
              <w:t>- Number of downloads of documents from P series</w:t>
            </w:r>
            <w:bookmarkEnd w:id="71"/>
          </w:p>
        </w:tc>
      </w:tr>
      <w:tr w:rsidR="00600E58" w:rsidRPr="00600E58" w14:paraId="5BFF0D2E" w14:textId="77777777" w:rsidTr="00E67824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0390A475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bookmarkStart w:id="72" w:name="lt_pId099"/>
            <w:r w:rsidRPr="00600E58">
              <w:rPr>
                <w:b/>
                <w:sz w:val="20"/>
                <w:szCs w:val="20"/>
              </w:rPr>
              <w:t>International numbering resources</w:t>
            </w:r>
            <w:bookmarkEnd w:id="72"/>
          </w:p>
        </w:tc>
        <w:tc>
          <w:tcPr>
            <w:tcW w:w="3703" w:type="dxa"/>
          </w:tcPr>
          <w:p w14:paraId="5F01D081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1. </w:t>
            </w:r>
            <w:bookmarkStart w:id="73" w:name="lt_pId101"/>
            <w:r w:rsidRPr="00600E58">
              <w:rPr>
                <w:b/>
                <w:sz w:val="20"/>
                <w:szCs w:val="20"/>
              </w:rPr>
              <w:t>Efficient use of international telecommunication numbering, naming, addressing and identification resources in accordance with ITU-T Recommendations and procedures</w:t>
            </w:r>
            <w:bookmarkEnd w:id="73"/>
          </w:p>
        </w:tc>
        <w:tc>
          <w:tcPr>
            <w:tcW w:w="4820" w:type="dxa"/>
          </w:tcPr>
          <w:p w14:paraId="63A8C0F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74" w:name="lt_pId102"/>
            <w:r w:rsidRPr="00600E58">
              <w:rPr>
                <w:sz w:val="20"/>
                <w:szCs w:val="20"/>
              </w:rPr>
              <w:t>- Number of notifications on changes to national numbering plans</w:t>
            </w:r>
            <w:bookmarkEnd w:id="74"/>
          </w:p>
        </w:tc>
      </w:tr>
      <w:tr w:rsidR="00600E58" w:rsidRPr="00600E58" w14:paraId="5AF488D6" w14:textId="77777777" w:rsidTr="00E67824">
        <w:trPr>
          <w:trHeight w:val="101"/>
        </w:trPr>
        <w:tc>
          <w:tcPr>
            <w:tcW w:w="1395" w:type="dxa"/>
            <w:vMerge/>
          </w:tcPr>
          <w:p w14:paraId="62A994EC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1EC2FB3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2. </w:t>
            </w:r>
            <w:bookmarkStart w:id="75" w:name="lt_pId104"/>
            <w:r w:rsidRPr="00600E58">
              <w:rPr>
                <w:b/>
                <w:sz w:val="20"/>
                <w:szCs w:val="20"/>
              </w:rPr>
              <w:t>Enhanced availability of international telecommunication services</w:t>
            </w:r>
            <w:bookmarkEnd w:id="75"/>
          </w:p>
        </w:tc>
        <w:tc>
          <w:tcPr>
            <w:tcW w:w="4820" w:type="dxa"/>
          </w:tcPr>
          <w:p w14:paraId="392BA8B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76" w:name="lt_pId105"/>
            <w:r w:rsidRPr="00600E58">
              <w:rPr>
                <w:sz w:val="20"/>
                <w:szCs w:val="20"/>
              </w:rPr>
              <w:t>- Number and type of assignments</w:t>
            </w:r>
            <w:bookmarkEnd w:id="76"/>
          </w:p>
        </w:tc>
      </w:tr>
      <w:tr w:rsidR="00600E58" w:rsidRPr="00600E58" w14:paraId="09420893" w14:textId="77777777" w:rsidTr="00E67824">
        <w:trPr>
          <w:trHeight w:val="97"/>
        </w:trPr>
        <w:tc>
          <w:tcPr>
            <w:tcW w:w="1395" w:type="dxa"/>
            <w:vMerge/>
          </w:tcPr>
          <w:p w14:paraId="72326C7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1377A1DE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3. </w:t>
            </w:r>
            <w:bookmarkStart w:id="77" w:name="lt_pId107"/>
            <w:r w:rsidRPr="00600E58">
              <w:rPr>
                <w:b/>
                <w:sz w:val="20"/>
                <w:szCs w:val="20"/>
              </w:rPr>
              <w:t>Reduced misuse of numbering resources</w:t>
            </w:r>
            <w:bookmarkEnd w:id="77"/>
          </w:p>
        </w:tc>
        <w:tc>
          <w:tcPr>
            <w:tcW w:w="4820" w:type="dxa"/>
          </w:tcPr>
          <w:p w14:paraId="6F8981B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78" w:name="lt_pId108"/>
            <w:r w:rsidRPr="00600E58">
              <w:rPr>
                <w:sz w:val="20"/>
                <w:szCs w:val="20"/>
              </w:rPr>
              <w:t>- Number of E.164 misuse notifications</w:t>
            </w:r>
            <w:bookmarkEnd w:id="78"/>
          </w:p>
        </w:tc>
      </w:tr>
      <w:tr w:rsidR="00600E58" w:rsidRPr="00600E58" w14:paraId="1990BC0C" w14:textId="77777777" w:rsidTr="00E67824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454FA0C8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bookmarkStart w:id="79" w:name="lt_pId109"/>
            <w:r w:rsidRPr="00600E58">
              <w:rPr>
                <w:b/>
                <w:sz w:val="20"/>
                <w:szCs w:val="20"/>
              </w:rPr>
              <w:t>Infrastructure &amp; services</w:t>
            </w:r>
            <w:bookmarkEnd w:id="79"/>
          </w:p>
        </w:tc>
        <w:tc>
          <w:tcPr>
            <w:tcW w:w="3703" w:type="dxa"/>
          </w:tcPr>
          <w:p w14:paraId="1AD7E70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1. </w:t>
            </w:r>
            <w:bookmarkStart w:id="80" w:name="lt_pId111"/>
            <w:r w:rsidRPr="00600E58">
              <w:rPr>
                <w:b/>
                <w:sz w:val="20"/>
                <w:szCs w:val="20"/>
              </w:rPr>
              <w:t>Enhanced access to fixed and mobile broadband services</w:t>
            </w:r>
            <w:bookmarkEnd w:id="80"/>
          </w:p>
        </w:tc>
        <w:tc>
          <w:tcPr>
            <w:tcW w:w="4820" w:type="dxa"/>
          </w:tcPr>
          <w:p w14:paraId="67C6F798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81" w:name="lt_pId112"/>
            <w:r w:rsidRPr="00600E58">
              <w:rPr>
                <w:sz w:val="20"/>
                <w:szCs w:val="20"/>
              </w:rPr>
              <w:t>- Number and percentage of fixed / mobile broadband subscriptions (SDG indicator for Target 17.6.2 – ITU is the custodian)</w:t>
            </w:r>
            <w:bookmarkEnd w:id="81"/>
          </w:p>
          <w:p w14:paraId="57156C51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82" w:name="lt_pId113"/>
            <w:r w:rsidRPr="00600E58">
              <w:rPr>
                <w:sz w:val="20"/>
                <w:szCs w:val="20"/>
              </w:rPr>
              <w:t>- Percentage of fixed broadband subscriptions (by throughput)</w:t>
            </w:r>
            <w:bookmarkEnd w:id="82"/>
          </w:p>
          <w:p w14:paraId="6BE9410E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83" w:name="lt_pId114"/>
            <w:r w:rsidRPr="00600E58">
              <w:rPr>
                <w:sz w:val="20"/>
                <w:szCs w:val="20"/>
              </w:rPr>
              <w:t>- Percentage of population covered (by type of network)</w:t>
            </w:r>
            <w:bookmarkEnd w:id="83"/>
          </w:p>
          <w:p w14:paraId="6E71A9EC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84" w:name="lt_pId115"/>
            <w:r w:rsidRPr="00600E58">
              <w:rPr>
                <w:sz w:val="20"/>
                <w:szCs w:val="20"/>
              </w:rPr>
              <w:t>- Number of countries with National Emergency Telecommunication Plan as part of their national and local disaster risk reduction strategies</w:t>
            </w:r>
            <w:bookmarkEnd w:id="84"/>
          </w:p>
        </w:tc>
      </w:tr>
      <w:tr w:rsidR="00600E58" w:rsidRPr="00600E58" w14:paraId="4581C8AA" w14:textId="77777777" w:rsidTr="00E67824">
        <w:trPr>
          <w:trHeight w:val="97"/>
        </w:trPr>
        <w:tc>
          <w:tcPr>
            <w:tcW w:w="1395" w:type="dxa"/>
            <w:vMerge/>
          </w:tcPr>
          <w:p w14:paraId="608ACED5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482D9D3E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2. </w:t>
            </w:r>
            <w:bookmarkStart w:id="85" w:name="lt_pId117"/>
            <w:r w:rsidRPr="00600E58">
              <w:rPr>
                <w:b/>
                <w:sz w:val="20"/>
                <w:szCs w:val="20"/>
              </w:rPr>
              <w:t>Enhanced access to all radiocommunication services</w:t>
            </w:r>
            <w:bookmarkEnd w:id="85"/>
          </w:p>
          <w:p w14:paraId="18F6218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i/>
                <w:iCs/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86" w:name="lt_pId118"/>
            <w:r w:rsidRPr="00600E58">
              <w:rPr>
                <w:i/>
                <w:iCs/>
                <w:sz w:val="20"/>
                <w:szCs w:val="20"/>
              </w:rPr>
              <w:t>a. Increased percentage of countries which have completed the transition to digital terrestrial television broadcasting</w:t>
            </w:r>
            <w:bookmarkEnd w:id="86"/>
          </w:p>
          <w:p w14:paraId="3570EEE4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i/>
                <w:iCs/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87" w:name="lt_pId119"/>
            <w:r w:rsidRPr="00600E58">
              <w:rPr>
                <w:i/>
                <w:iCs/>
                <w:sz w:val="20"/>
                <w:szCs w:val="20"/>
              </w:rPr>
              <w:t>b. Increased number of devices with radionavigation-satellite reception</w:t>
            </w:r>
            <w:bookmarkEnd w:id="87"/>
          </w:p>
          <w:p w14:paraId="4889792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88" w:name="lt_pId120"/>
            <w:r w:rsidRPr="00600E58">
              <w:rPr>
                <w:i/>
                <w:iCs/>
                <w:sz w:val="20"/>
                <w:szCs w:val="20"/>
              </w:rPr>
              <w:t>c. Increased number of Earth exploration satellites in operation and corresponding number of countries operating Earth exploration satellites</w:t>
            </w:r>
            <w:bookmarkEnd w:id="88"/>
          </w:p>
        </w:tc>
        <w:tc>
          <w:tcPr>
            <w:tcW w:w="4820" w:type="dxa"/>
          </w:tcPr>
          <w:p w14:paraId="5CFA4661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89" w:name="lt_pId121"/>
            <w:r w:rsidRPr="00600E58">
              <w:rPr>
                <w:sz w:val="20"/>
                <w:szCs w:val="20"/>
              </w:rPr>
              <w:t>- Percentage of countries which have completed the transition to digital terrestrial television</w:t>
            </w:r>
            <w:bookmarkEnd w:id="89"/>
          </w:p>
          <w:p w14:paraId="086AD65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</w:p>
          <w:p w14:paraId="05ACF4E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90" w:name="lt_pId122"/>
            <w:r w:rsidRPr="00600E58">
              <w:rPr>
                <w:sz w:val="20"/>
                <w:szCs w:val="20"/>
              </w:rPr>
              <w:t>- Number of operational GNSS constellations/satellites</w:t>
            </w:r>
            <w:bookmarkEnd w:id="90"/>
          </w:p>
          <w:p w14:paraId="573B6DEC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i/>
                <w:iCs/>
                <w:sz w:val="20"/>
                <w:szCs w:val="20"/>
              </w:rPr>
            </w:pPr>
            <w:bookmarkStart w:id="91" w:name="lt_pId123"/>
            <w:r w:rsidRPr="00600E5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600E58">
              <w:rPr>
                <w:i/>
                <w:iCs/>
                <w:sz w:val="20"/>
                <w:szCs w:val="20"/>
              </w:rPr>
              <w:t>the</w:t>
            </w:r>
            <w:proofErr w:type="gramEnd"/>
            <w:r w:rsidRPr="00600E58">
              <w:rPr>
                <w:i/>
                <w:iCs/>
                <w:sz w:val="20"/>
                <w:szCs w:val="20"/>
              </w:rPr>
              <w:t xml:space="preserve"> number of satellites may include several times the same operational satellite since more than one satellite network may support the operations of an actual satellite)</w:t>
            </w:r>
            <w:bookmarkEnd w:id="91"/>
          </w:p>
          <w:p w14:paraId="1DF4DF3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92" w:name="lt_pId124"/>
            <w:r w:rsidRPr="00600E58">
              <w:rPr>
                <w:sz w:val="20"/>
                <w:szCs w:val="20"/>
              </w:rPr>
              <w:t>- Number of devices with GNSS embedded Rx (billions)</w:t>
            </w:r>
            <w:bookmarkEnd w:id="92"/>
          </w:p>
          <w:p w14:paraId="5622EFD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</w:p>
          <w:p w14:paraId="15587FF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93" w:name="lt_pId125"/>
            <w:r w:rsidRPr="00600E58">
              <w:rPr>
                <w:sz w:val="20"/>
                <w:szCs w:val="20"/>
              </w:rPr>
              <w:t>- Number of Earth exploration satellites (Constellations/GSO systems/all satellites)</w:t>
            </w:r>
            <w:bookmarkEnd w:id="93"/>
          </w:p>
          <w:p w14:paraId="7F323E02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94" w:name="lt_pId126"/>
            <w:r w:rsidRPr="00600E58">
              <w:rPr>
                <w:sz w:val="20"/>
                <w:szCs w:val="20"/>
              </w:rPr>
              <w:t>- Number of countries operating Earth exploration satellites/ number of countries using data or products from Earth exploration satellites</w:t>
            </w:r>
            <w:bookmarkEnd w:id="94"/>
          </w:p>
        </w:tc>
      </w:tr>
      <w:tr w:rsidR="00600E58" w:rsidRPr="00600E58" w14:paraId="27BEE3E6" w14:textId="77777777" w:rsidTr="00E67824">
        <w:trPr>
          <w:trHeight w:val="97"/>
        </w:trPr>
        <w:tc>
          <w:tcPr>
            <w:tcW w:w="1395" w:type="dxa"/>
            <w:vMerge/>
          </w:tcPr>
          <w:p w14:paraId="1EFBF801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4365F47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3. </w:t>
            </w:r>
            <w:bookmarkStart w:id="95" w:name="lt_pId128"/>
            <w:r w:rsidRPr="00600E58">
              <w:rPr>
                <w:b/>
                <w:sz w:val="20"/>
                <w:szCs w:val="20"/>
              </w:rPr>
              <w:t>Enhanced interoperability and performance of infrastructure and services</w:t>
            </w:r>
            <w:bookmarkEnd w:id="95"/>
          </w:p>
        </w:tc>
        <w:tc>
          <w:tcPr>
            <w:tcW w:w="4820" w:type="dxa"/>
          </w:tcPr>
          <w:p w14:paraId="3960324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96" w:name="lt_pId129"/>
            <w:r w:rsidRPr="00600E58">
              <w:rPr>
                <w:sz w:val="20"/>
                <w:szCs w:val="20"/>
              </w:rPr>
              <w:t>- Number of approved ITU-T Recommendations, Corrigenda, Amendments and Supplements pertaining to infrastructure and services</w:t>
            </w:r>
            <w:bookmarkEnd w:id="96"/>
          </w:p>
          <w:p w14:paraId="3A74A3D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97" w:name="lt_pId130"/>
            <w:r w:rsidRPr="00600E58">
              <w:rPr>
                <w:sz w:val="20"/>
                <w:szCs w:val="20"/>
              </w:rPr>
              <w:t>- Number of downloads of ITU-T Recommendations, Corrigenda, Amendments and Supplements pertaining to infrastructure and services</w:t>
            </w:r>
            <w:bookmarkEnd w:id="97"/>
          </w:p>
        </w:tc>
      </w:tr>
      <w:tr w:rsidR="00600E58" w:rsidRPr="00600E58" w14:paraId="46A7AF90" w14:textId="77777777" w:rsidTr="00E67824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139B22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bookmarkStart w:id="98" w:name="lt_pId131"/>
            <w:r w:rsidRPr="00600E58">
              <w:rPr>
                <w:b/>
                <w:sz w:val="20"/>
                <w:szCs w:val="20"/>
              </w:rPr>
              <w:t>Applications</w:t>
            </w:r>
            <w:bookmarkEnd w:id="98"/>
          </w:p>
        </w:tc>
        <w:tc>
          <w:tcPr>
            <w:tcW w:w="3703" w:type="dxa"/>
          </w:tcPr>
          <w:p w14:paraId="7D73E2C5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1. </w:t>
            </w:r>
            <w:bookmarkStart w:id="99" w:name="lt_pId133"/>
            <w:r w:rsidRPr="00600E58">
              <w:rPr>
                <w:b/>
                <w:sz w:val="20"/>
                <w:szCs w:val="20"/>
              </w:rPr>
              <w:t>Enhanced interoperability and performance of applications</w:t>
            </w:r>
            <w:bookmarkEnd w:id="99"/>
          </w:p>
        </w:tc>
        <w:tc>
          <w:tcPr>
            <w:tcW w:w="4820" w:type="dxa"/>
          </w:tcPr>
          <w:p w14:paraId="61CF9BA5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00" w:name="lt_pId134"/>
            <w:r w:rsidRPr="00600E58">
              <w:rPr>
                <w:sz w:val="20"/>
                <w:szCs w:val="20"/>
              </w:rPr>
              <w:t>- Number of approved ITU-T Recommendations, Corrigenda, Amendments and Supplements pertaining to applications</w:t>
            </w:r>
            <w:bookmarkEnd w:id="100"/>
          </w:p>
          <w:p w14:paraId="7493015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01" w:name="lt_pId135"/>
            <w:r w:rsidRPr="00600E58">
              <w:rPr>
                <w:sz w:val="20"/>
                <w:szCs w:val="20"/>
              </w:rPr>
              <w:t>- Number of downloads of ITU-T Recommendations, Corrigenda, Amendments and Supplements pertaining to applications</w:t>
            </w:r>
            <w:bookmarkEnd w:id="101"/>
          </w:p>
        </w:tc>
      </w:tr>
      <w:tr w:rsidR="00600E58" w:rsidRPr="00600E58" w14:paraId="7D660A64" w14:textId="77777777" w:rsidTr="00E67824">
        <w:trPr>
          <w:trHeight w:val="97"/>
        </w:trPr>
        <w:tc>
          <w:tcPr>
            <w:tcW w:w="1395" w:type="dxa"/>
            <w:vMerge/>
          </w:tcPr>
          <w:p w14:paraId="2A070772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6AB57BF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2. </w:t>
            </w:r>
            <w:bookmarkStart w:id="102" w:name="lt_pId137"/>
            <w:r w:rsidRPr="00600E58">
              <w:rPr>
                <w:b/>
                <w:sz w:val="20"/>
                <w:szCs w:val="20"/>
              </w:rPr>
              <w:t>Enhanced adoption and use of e-government applications</w:t>
            </w:r>
            <w:bookmarkEnd w:id="102"/>
          </w:p>
        </w:tc>
        <w:tc>
          <w:tcPr>
            <w:tcW w:w="4820" w:type="dxa"/>
          </w:tcPr>
          <w:p w14:paraId="4F61FE4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03" w:name="lt_pId138"/>
            <w:r w:rsidRPr="00600E58">
              <w:rPr>
                <w:sz w:val="20"/>
                <w:szCs w:val="20"/>
              </w:rPr>
              <w:t>- Percentage of use of e-government applications</w:t>
            </w:r>
            <w:bookmarkEnd w:id="103"/>
          </w:p>
        </w:tc>
      </w:tr>
      <w:tr w:rsidR="00600E58" w:rsidRPr="00600E58" w14:paraId="66C21D2C" w14:textId="77777777" w:rsidTr="00E67824">
        <w:trPr>
          <w:trHeight w:val="97"/>
        </w:trPr>
        <w:tc>
          <w:tcPr>
            <w:tcW w:w="1395" w:type="dxa"/>
            <w:vMerge/>
          </w:tcPr>
          <w:p w14:paraId="4EA99B88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5BC09E5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3. </w:t>
            </w:r>
            <w:bookmarkStart w:id="104" w:name="lt_pId140"/>
            <w:r w:rsidRPr="00600E58">
              <w:rPr>
                <w:b/>
                <w:sz w:val="20"/>
                <w:szCs w:val="20"/>
              </w:rPr>
              <w:t>Enhanced adoption of digital applications</w:t>
            </w:r>
            <w:bookmarkEnd w:id="104"/>
          </w:p>
        </w:tc>
        <w:tc>
          <w:tcPr>
            <w:tcW w:w="4820" w:type="dxa"/>
          </w:tcPr>
          <w:p w14:paraId="0786C1E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05" w:name="lt_pId141"/>
            <w:r w:rsidRPr="00600E58">
              <w:rPr>
                <w:sz w:val="20"/>
                <w:szCs w:val="20"/>
              </w:rPr>
              <w:t>- Adoption of digital strategies</w:t>
            </w:r>
            <w:bookmarkEnd w:id="105"/>
          </w:p>
          <w:p w14:paraId="57C9760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06" w:name="lt_pId142"/>
            <w:r w:rsidRPr="00600E58">
              <w:rPr>
                <w:sz w:val="20"/>
                <w:szCs w:val="20"/>
              </w:rPr>
              <w:t>- Percentage of use of digital applications</w:t>
            </w:r>
            <w:bookmarkEnd w:id="106"/>
          </w:p>
        </w:tc>
      </w:tr>
      <w:tr w:rsidR="00600E58" w:rsidRPr="00600E58" w14:paraId="164DFD0B" w14:textId="77777777" w:rsidTr="00E67824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3FE5FC0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bookmarkStart w:id="107" w:name="lt_pId143"/>
            <w:r w:rsidRPr="00600E58">
              <w:rPr>
                <w:b/>
                <w:sz w:val="20"/>
                <w:szCs w:val="20"/>
              </w:rPr>
              <w:t>Enabling environment</w:t>
            </w:r>
            <w:bookmarkEnd w:id="107"/>
          </w:p>
        </w:tc>
        <w:tc>
          <w:tcPr>
            <w:tcW w:w="3703" w:type="dxa"/>
          </w:tcPr>
          <w:p w14:paraId="75024041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1. </w:t>
            </w:r>
            <w:bookmarkStart w:id="108" w:name="lt_pId145"/>
            <w:r w:rsidRPr="00600E58">
              <w:rPr>
                <w:b/>
                <w:sz w:val="20"/>
                <w:szCs w:val="20"/>
              </w:rPr>
              <w:t>Conducive policy and regulatory environment</w:t>
            </w:r>
            <w:bookmarkEnd w:id="108"/>
          </w:p>
        </w:tc>
        <w:tc>
          <w:tcPr>
            <w:tcW w:w="4820" w:type="dxa"/>
          </w:tcPr>
          <w:p w14:paraId="7267E1CA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09" w:name="lt_pId146"/>
            <w:r w:rsidRPr="00600E58">
              <w:rPr>
                <w:sz w:val="20"/>
                <w:szCs w:val="20"/>
              </w:rPr>
              <w:t>- Number of countries advancing to the next generation of regulation (G1-G4) and/or to a higher level of preparedness for the digital transformation (G5)</w:t>
            </w:r>
            <w:bookmarkEnd w:id="109"/>
          </w:p>
        </w:tc>
      </w:tr>
      <w:tr w:rsidR="00600E58" w:rsidRPr="00600E58" w14:paraId="7F9CD421" w14:textId="77777777" w:rsidTr="00E67824">
        <w:trPr>
          <w:trHeight w:val="97"/>
        </w:trPr>
        <w:tc>
          <w:tcPr>
            <w:tcW w:w="1395" w:type="dxa"/>
            <w:vMerge/>
          </w:tcPr>
          <w:p w14:paraId="48F14FC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6C8F969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2. </w:t>
            </w:r>
            <w:bookmarkStart w:id="110" w:name="lt_pId148"/>
            <w:r w:rsidRPr="00600E58">
              <w:rPr>
                <w:b/>
                <w:sz w:val="20"/>
                <w:szCs w:val="20"/>
              </w:rPr>
              <w:t>Digitally skilled users</w:t>
            </w:r>
            <w:bookmarkEnd w:id="110"/>
          </w:p>
        </w:tc>
        <w:tc>
          <w:tcPr>
            <w:tcW w:w="4820" w:type="dxa"/>
          </w:tcPr>
          <w:p w14:paraId="5B91B36A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11" w:name="lt_pId149"/>
            <w:r w:rsidRPr="00600E58">
              <w:rPr>
                <w:sz w:val="20"/>
                <w:szCs w:val="20"/>
              </w:rPr>
              <w:t xml:space="preserve">- Percentage of digitally skilled users – by level (basic skills, standard </w:t>
            </w:r>
            <w:proofErr w:type="gramStart"/>
            <w:r w:rsidRPr="00600E58">
              <w:rPr>
                <w:sz w:val="20"/>
                <w:szCs w:val="20"/>
              </w:rPr>
              <w:t>skills</w:t>
            </w:r>
            <w:proofErr w:type="gramEnd"/>
            <w:r w:rsidRPr="00600E58">
              <w:rPr>
                <w:sz w:val="20"/>
                <w:szCs w:val="20"/>
              </w:rPr>
              <w:t xml:space="preserve"> and advanced skills)</w:t>
            </w:r>
            <w:bookmarkEnd w:id="111"/>
          </w:p>
        </w:tc>
      </w:tr>
      <w:tr w:rsidR="00600E58" w:rsidRPr="00600E58" w14:paraId="5E187F4B" w14:textId="77777777" w:rsidTr="00E67824">
        <w:trPr>
          <w:trHeight w:val="97"/>
        </w:trPr>
        <w:tc>
          <w:tcPr>
            <w:tcW w:w="1395" w:type="dxa"/>
            <w:vMerge/>
          </w:tcPr>
          <w:p w14:paraId="3E82E20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3E264A6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3. </w:t>
            </w:r>
            <w:bookmarkStart w:id="112" w:name="lt_pId151"/>
            <w:r w:rsidRPr="00600E58">
              <w:rPr>
                <w:b/>
                <w:sz w:val="20"/>
                <w:szCs w:val="20"/>
              </w:rPr>
              <w:t>Enhanced digital inclusion (including women and girls, youth, indigenous people, older persons and persons with disabilities and specific needs)</w:t>
            </w:r>
            <w:bookmarkEnd w:id="112"/>
          </w:p>
        </w:tc>
        <w:tc>
          <w:tcPr>
            <w:tcW w:w="4820" w:type="dxa"/>
          </w:tcPr>
          <w:p w14:paraId="5E01817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13" w:name="lt_pId152"/>
            <w:r w:rsidRPr="00600E58">
              <w:rPr>
                <w:sz w:val="20"/>
                <w:szCs w:val="20"/>
              </w:rPr>
              <w:t>- Mobile phone ownership (by gender) (SDG indicator 5.b.1 – ITU is the custodian)</w:t>
            </w:r>
            <w:bookmarkEnd w:id="113"/>
          </w:p>
          <w:p w14:paraId="7AD1DFC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14" w:name="lt_pId153"/>
            <w:r w:rsidRPr="00600E58">
              <w:rPr>
                <w:sz w:val="20"/>
                <w:szCs w:val="20"/>
              </w:rPr>
              <w:t>- Internet use gender gap</w:t>
            </w:r>
            <w:bookmarkEnd w:id="114"/>
          </w:p>
          <w:p w14:paraId="608355D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15" w:name="lt_pId154"/>
            <w:r w:rsidRPr="00600E58">
              <w:rPr>
                <w:sz w:val="20"/>
                <w:szCs w:val="20"/>
              </w:rPr>
              <w:t xml:space="preserve">- Internet use generational gap – Youth (&lt;15, 15-24) and </w:t>
            </w:r>
            <w:proofErr w:type="gramStart"/>
            <w:r w:rsidRPr="00600E58">
              <w:rPr>
                <w:sz w:val="20"/>
                <w:szCs w:val="20"/>
              </w:rPr>
              <w:t>Older</w:t>
            </w:r>
            <w:proofErr w:type="gramEnd"/>
            <w:r w:rsidRPr="00600E58">
              <w:rPr>
                <w:sz w:val="20"/>
                <w:szCs w:val="20"/>
              </w:rPr>
              <w:t xml:space="preserve"> persons (&gt;75)</w:t>
            </w:r>
            <w:bookmarkEnd w:id="115"/>
          </w:p>
          <w:p w14:paraId="29813D4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16" w:name="lt_pId155"/>
            <w:r w:rsidRPr="00600E58">
              <w:rPr>
                <w:sz w:val="20"/>
                <w:szCs w:val="20"/>
              </w:rPr>
              <w:t>- Number of countries with enabling environments ensuring accessible telecommunications/ICTs for persons with disabilities</w:t>
            </w:r>
            <w:bookmarkEnd w:id="116"/>
          </w:p>
        </w:tc>
      </w:tr>
      <w:tr w:rsidR="00600E58" w:rsidRPr="00600E58" w14:paraId="1A75D260" w14:textId="77777777" w:rsidTr="00E67824">
        <w:trPr>
          <w:trHeight w:val="97"/>
        </w:trPr>
        <w:tc>
          <w:tcPr>
            <w:tcW w:w="1395" w:type="dxa"/>
            <w:vMerge/>
          </w:tcPr>
          <w:p w14:paraId="6CD84A6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40ABD37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4. </w:t>
            </w:r>
            <w:bookmarkStart w:id="117" w:name="lt_pId157"/>
            <w:r w:rsidRPr="00600E58">
              <w:rPr>
                <w:b/>
                <w:sz w:val="20"/>
                <w:szCs w:val="20"/>
              </w:rPr>
              <w:t>Enhanced ability of all countries, in particular developing countries, to develop, access, implement and influence ITU’s international standards and regulations</w:t>
            </w:r>
            <w:bookmarkEnd w:id="117"/>
          </w:p>
          <w:p w14:paraId="1ADC925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i/>
                <w:iCs/>
                <w:sz w:val="20"/>
                <w:szCs w:val="20"/>
              </w:rPr>
            </w:pPr>
          </w:p>
          <w:p w14:paraId="1AE5DA3C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i/>
                <w:iCs/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118" w:name="lt_pId158"/>
            <w:r w:rsidRPr="00600E58">
              <w:rPr>
                <w:i/>
                <w:iCs/>
                <w:sz w:val="20"/>
                <w:szCs w:val="20"/>
              </w:rPr>
              <w:t>a. Bridging the standardization gap - Enhanced ability of all countries, in particular developing countries, to develop, access, implement and influence ITU-T Recommendations</w:t>
            </w:r>
            <w:bookmarkEnd w:id="118"/>
          </w:p>
          <w:p w14:paraId="7EF1FB1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i/>
                <w:iCs/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119" w:name="lt_pId159"/>
            <w:r w:rsidRPr="00600E58">
              <w:rPr>
                <w:i/>
                <w:iCs/>
                <w:sz w:val="20"/>
                <w:szCs w:val="20"/>
              </w:rPr>
              <w:t xml:space="preserve">b. Increased knowledge and know-how on the Radio Regulations, Rules of Procedures, regional agreements, </w:t>
            </w:r>
            <w:proofErr w:type="gramStart"/>
            <w:r w:rsidRPr="00600E58">
              <w:rPr>
                <w:i/>
                <w:iCs/>
                <w:sz w:val="20"/>
                <w:szCs w:val="20"/>
              </w:rPr>
              <w:t>recommendations</w:t>
            </w:r>
            <w:proofErr w:type="gramEnd"/>
            <w:r w:rsidRPr="00600E58">
              <w:rPr>
                <w:i/>
                <w:iCs/>
                <w:sz w:val="20"/>
                <w:szCs w:val="20"/>
              </w:rPr>
              <w:t xml:space="preserve"> and best practices on spectrum use</w:t>
            </w:r>
            <w:bookmarkEnd w:id="119"/>
          </w:p>
          <w:p w14:paraId="243ADCFA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Cs/>
                <w:sz w:val="20"/>
                <w:szCs w:val="20"/>
              </w:rPr>
            </w:pPr>
            <w:r w:rsidRPr="00600E58">
              <w:rPr>
                <w:i/>
                <w:iCs/>
                <w:sz w:val="20"/>
                <w:szCs w:val="20"/>
              </w:rPr>
              <w:t xml:space="preserve">   </w:t>
            </w:r>
            <w:bookmarkStart w:id="120" w:name="lt_pId160"/>
            <w:r w:rsidRPr="00600E58">
              <w:rPr>
                <w:i/>
                <w:iCs/>
                <w:sz w:val="20"/>
                <w:szCs w:val="20"/>
              </w:rPr>
              <w:t xml:space="preserve">c. Increased participation in ITU-R activities (including through remote participation), </w:t>
            </w:r>
            <w:proofErr w:type="gramStart"/>
            <w:r w:rsidRPr="00600E58">
              <w:rPr>
                <w:i/>
                <w:iCs/>
                <w:sz w:val="20"/>
                <w:szCs w:val="20"/>
              </w:rPr>
              <w:t>in particular by</w:t>
            </w:r>
            <w:proofErr w:type="gramEnd"/>
            <w:r w:rsidRPr="00600E58">
              <w:rPr>
                <w:i/>
                <w:iCs/>
                <w:sz w:val="20"/>
                <w:szCs w:val="20"/>
              </w:rPr>
              <w:t xml:space="preserve"> developing countries</w:t>
            </w:r>
            <w:bookmarkEnd w:id="120"/>
          </w:p>
        </w:tc>
        <w:tc>
          <w:tcPr>
            <w:tcW w:w="4820" w:type="dxa"/>
          </w:tcPr>
          <w:p w14:paraId="013C3612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21" w:name="lt_pId161"/>
            <w:r w:rsidRPr="00600E58">
              <w:rPr>
                <w:sz w:val="20"/>
                <w:szCs w:val="20"/>
              </w:rPr>
              <w:t>- Total number of ITU-T study group leadership positions held, by level of development</w:t>
            </w:r>
            <w:bookmarkEnd w:id="121"/>
          </w:p>
          <w:p w14:paraId="7DF2FC72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22" w:name="lt_pId162"/>
            <w:r w:rsidRPr="00600E58">
              <w:rPr>
                <w:sz w:val="20"/>
                <w:szCs w:val="20"/>
              </w:rPr>
              <w:t>- Total number of ITU-T study group meetings / participants</w:t>
            </w:r>
            <w:bookmarkEnd w:id="122"/>
          </w:p>
          <w:p w14:paraId="6DCB8C3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23" w:name="lt_pId163"/>
            <w:r w:rsidRPr="00600E58">
              <w:rPr>
                <w:sz w:val="20"/>
                <w:szCs w:val="20"/>
              </w:rPr>
              <w:t>- Total number of countries represented in ITU-T study group meetings, by level of development</w:t>
            </w:r>
            <w:bookmarkEnd w:id="123"/>
          </w:p>
          <w:p w14:paraId="34CDECAC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24" w:name="lt_pId164"/>
            <w:r w:rsidRPr="00600E58">
              <w:rPr>
                <w:sz w:val="20"/>
                <w:szCs w:val="20"/>
              </w:rPr>
              <w:t>- Total number of contributions submitted to ITU-T study group meetings, by level of development of contributing organization</w:t>
            </w:r>
            <w:bookmarkEnd w:id="124"/>
          </w:p>
          <w:p w14:paraId="5AFD573A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25" w:name="lt_pId165"/>
            <w:r w:rsidRPr="00600E58">
              <w:rPr>
                <w:sz w:val="20"/>
                <w:szCs w:val="20"/>
              </w:rPr>
              <w:t>- Total number of ITU-T Recommendation downloads</w:t>
            </w:r>
            <w:bookmarkEnd w:id="125"/>
          </w:p>
          <w:p w14:paraId="4408369E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26" w:name="lt_pId166"/>
            <w:r w:rsidRPr="00600E58">
              <w:rPr>
                <w:sz w:val="20"/>
                <w:szCs w:val="20"/>
              </w:rPr>
              <w:t>- Total number of workshops and other events in support of ITU-T study groups / participants</w:t>
            </w:r>
            <w:bookmarkEnd w:id="126"/>
          </w:p>
          <w:p w14:paraId="0A24307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</w:p>
          <w:p w14:paraId="2964936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27" w:name="lt_pId167"/>
            <w:r w:rsidRPr="00600E58">
              <w:rPr>
                <w:sz w:val="20"/>
                <w:szCs w:val="20"/>
              </w:rPr>
              <w:t>- Number of ITU-R free online publication downloads (millions)</w:t>
            </w:r>
            <w:bookmarkEnd w:id="127"/>
          </w:p>
          <w:p w14:paraId="1278DE5F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28" w:name="lt_pId168"/>
            <w:r w:rsidRPr="00600E58">
              <w:rPr>
                <w:sz w:val="20"/>
                <w:szCs w:val="20"/>
              </w:rPr>
              <w:t xml:space="preserve">- Total number of events/participants in ITU seminars, </w:t>
            </w:r>
            <w:proofErr w:type="gramStart"/>
            <w:r w:rsidRPr="00600E58">
              <w:rPr>
                <w:sz w:val="20"/>
                <w:szCs w:val="20"/>
              </w:rPr>
              <w:t>workshops</w:t>
            </w:r>
            <w:proofErr w:type="gramEnd"/>
            <w:r w:rsidRPr="00600E58">
              <w:rPr>
                <w:sz w:val="20"/>
                <w:szCs w:val="20"/>
              </w:rPr>
              <w:t xml:space="preserve"> and capacity-building events (world and regional seminars, and symposiums) organized by BR</w:t>
            </w:r>
            <w:bookmarkEnd w:id="128"/>
          </w:p>
          <w:p w14:paraId="41F79C35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29" w:name="lt_pId169"/>
            <w:r w:rsidRPr="00600E58">
              <w:rPr>
                <w:sz w:val="20"/>
                <w:szCs w:val="20"/>
              </w:rPr>
              <w:lastRenderedPageBreak/>
              <w:t>- Number of technical assistances for terrestrial services provided/countries receiving /and time spent (days)</w:t>
            </w:r>
            <w:bookmarkEnd w:id="129"/>
          </w:p>
          <w:p w14:paraId="533071D9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</w:p>
          <w:p w14:paraId="048C6E73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30" w:name="lt_pId170"/>
            <w:r w:rsidRPr="00600E58">
              <w:rPr>
                <w:sz w:val="20"/>
                <w:szCs w:val="20"/>
              </w:rPr>
              <w:t xml:space="preserve">- Total number of events/participants in ITU-R conferences, </w:t>
            </w:r>
            <w:proofErr w:type="gramStart"/>
            <w:r w:rsidRPr="00600E58">
              <w:rPr>
                <w:sz w:val="20"/>
                <w:szCs w:val="20"/>
              </w:rPr>
              <w:t>assemblies</w:t>
            </w:r>
            <w:proofErr w:type="gramEnd"/>
            <w:r w:rsidRPr="00600E58">
              <w:rPr>
                <w:sz w:val="20"/>
                <w:szCs w:val="20"/>
              </w:rPr>
              <w:t xml:space="preserve"> and Study Group-related meetings</w:t>
            </w:r>
            <w:bookmarkEnd w:id="130"/>
          </w:p>
        </w:tc>
      </w:tr>
      <w:tr w:rsidR="00600E58" w:rsidRPr="00600E58" w14:paraId="7F6111C1" w14:textId="77777777" w:rsidTr="00E67824">
        <w:trPr>
          <w:trHeight w:val="97"/>
        </w:trPr>
        <w:tc>
          <w:tcPr>
            <w:tcW w:w="1395" w:type="dxa"/>
            <w:vMerge/>
          </w:tcPr>
          <w:p w14:paraId="351460E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69D54D7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5. </w:t>
            </w:r>
            <w:bookmarkStart w:id="131" w:name="lt_pId172"/>
            <w:r w:rsidRPr="00600E58">
              <w:rPr>
                <w:b/>
                <w:sz w:val="20"/>
                <w:szCs w:val="20"/>
              </w:rPr>
              <w:t>Enhanced adoption of e-waste policies and strategies</w:t>
            </w:r>
            <w:bookmarkEnd w:id="131"/>
          </w:p>
        </w:tc>
        <w:tc>
          <w:tcPr>
            <w:tcW w:w="4820" w:type="dxa"/>
          </w:tcPr>
          <w:p w14:paraId="37098AC6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32" w:name="lt_pId173"/>
            <w:r w:rsidRPr="00600E58">
              <w:rPr>
                <w:sz w:val="20"/>
                <w:szCs w:val="20"/>
              </w:rPr>
              <w:t>- Number of countries applying harmonized data collection methodology</w:t>
            </w:r>
            <w:bookmarkEnd w:id="132"/>
          </w:p>
          <w:p w14:paraId="041D9EC8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33" w:name="lt_pId174"/>
            <w:r w:rsidRPr="00600E58">
              <w:rPr>
                <w:sz w:val="20"/>
                <w:szCs w:val="20"/>
              </w:rPr>
              <w:t xml:space="preserve">- Number of countries with a WEEE policy, </w:t>
            </w:r>
            <w:proofErr w:type="gramStart"/>
            <w:r w:rsidRPr="00600E58">
              <w:rPr>
                <w:sz w:val="20"/>
                <w:szCs w:val="20"/>
              </w:rPr>
              <w:t>legislation</w:t>
            </w:r>
            <w:proofErr w:type="gramEnd"/>
            <w:r w:rsidRPr="00600E58">
              <w:rPr>
                <w:sz w:val="20"/>
                <w:szCs w:val="20"/>
              </w:rPr>
              <w:t xml:space="preserve"> or regulation</w:t>
            </w:r>
            <w:bookmarkEnd w:id="133"/>
          </w:p>
        </w:tc>
      </w:tr>
      <w:tr w:rsidR="00600E58" w:rsidRPr="00600E58" w14:paraId="7F41FF7F" w14:textId="77777777" w:rsidTr="00E67824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49F314A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bookmarkStart w:id="134" w:name="lt_pId175"/>
            <w:r w:rsidRPr="00600E58">
              <w:rPr>
                <w:b/>
                <w:sz w:val="20"/>
                <w:szCs w:val="20"/>
              </w:rPr>
              <w:t>Cybersecurity</w:t>
            </w:r>
            <w:bookmarkEnd w:id="134"/>
          </w:p>
        </w:tc>
        <w:tc>
          <w:tcPr>
            <w:tcW w:w="3703" w:type="dxa"/>
          </w:tcPr>
          <w:p w14:paraId="0D6CD232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1. </w:t>
            </w:r>
            <w:bookmarkStart w:id="135" w:name="lt_pId177"/>
            <w:r w:rsidRPr="00600E58">
              <w:rPr>
                <w:b/>
                <w:sz w:val="20"/>
                <w:szCs w:val="20"/>
              </w:rPr>
              <w:t>Enhanced capacity of ITU membership to build trust and confidence in the use of ICTs</w:t>
            </w:r>
            <w:bookmarkEnd w:id="135"/>
          </w:p>
        </w:tc>
        <w:tc>
          <w:tcPr>
            <w:tcW w:w="4820" w:type="dxa"/>
          </w:tcPr>
          <w:p w14:paraId="22C87520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36" w:name="lt_pId178"/>
            <w:r w:rsidRPr="00600E58">
              <w:rPr>
                <w:sz w:val="20"/>
                <w:szCs w:val="20"/>
              </w:rPr>
              <w:t>- Global Cybersecurity Index (GCI): Number of countries achieving a score of 85 or higher on the GCI</w:t>
            </w:r>
            <w:bookmarkEnd w:id="136"/>
          </w:p>
        </w:tc>
      </w:tr>
      <w:tr w:rsidR="00600E58" w:rsidRPr="00600E58" w14:paraId="149BAE3B" w14:textId="77777777" w:rsidTr="00E67824">
        <w:trPr>
          <w:trHeight w:val="97"/>
        </w:trPr>
        <w:tc>
          <w:tcPr>
            <w:tcW w:w="1395" w:type="dxa"/>
            <w:vMerge/>
          </w:tcPr>
          <w:p w14:paraId="21F3B827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</w:tcPr>
          <w:p w14:paraId="1DEC8451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600E58">
              <w:rPr>
                <w:b/>
                <w:sz w:val="20"/>
                <w:szCs w:val="20"/>
              </w:rPr>
              <w:t xml:space="preserve">2. </w:t>
            </w:r>
            <w:bookmarkStart w:id="137" w:name="lt_pId180"/>
            <w:r w:rsidRPr="00600E58">
              <w:rPr>
                <w:b/>
                <w:sz w:val="20"/>
                <w:szCs w:val="20"/>
              </w:rPr>
              <w:t xml:space="preserve">Enhanced knowledge, </w:t>
            </w:r>
            <w:proofErr w:type="gramStart"/>
            <w:r w:rsidRPr="00600E58">
              <w:rPr>
                <w:b/>
                <w:sz w:val="20"/>
                <w:szCs w:val="20"/>
              </w:rPr>
              <w:t>interoperability</w:t>
            </w:r>
            <w:proofErr w:type="gramEnd"/>
            <w:r w:rsidRPr="00600E58">
              <w:rPr>
                <w:b/>
                <w:sz w:val="20"/>
                <w:szCs w:val="20"/>
              </w:rPr>
              <w:t xml:space="preserve"> and performance with respect to secure network infrastructure, services and applications</w:t>
            </w:r>
            <w:bookmarkEnd w:id="137"/>
          </w:p>
        </w:tc>
        <w:tc>
          <w:tcPr>
            <w:tcW w:w="4820" w:type="dxa"/>
          </w:tcPr>
          <w:p w14:paraId="159CCA3B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38" w:name="lt_pId181"/>
            <w:r w:rsidRPr="00600E58">
              <w:rPr>
                <w:sz w:val="20"/>
                <w:szCs w:val="20"/>
              </w:rPr>
              <w:t>- Number of approved ITU-T Recommendations, Corrigenda, Amendments and Supplements pertaining to security</w:t>
            </w:r>
            <w:bookmarkEnd w:id="138"/>
          </w:p>
          <w:p w14:paraId="3B06F2C1" w14:textId="77777777" w:rsidR="00600E58" w:rsidRPr="00600E58" w:rsidRDefault="00600E58" w:rsidP="00600E58">
            <w:pPr>
              <w:bidi w:val="0"/>
              <w:spacing w:before="60" w:after="60" w:line="240" w:lineRule="exact"/>
              <w:rPr>
                <w:sz w:val="20"/>
                <w:szCs w:val="20"/>
              </w:rPr>
            </w:pPr>
            <w:bookmarkStart w:id="139" w:name="lt_pId182"/>
            <w:r w:rsidRPr="00600E58">
              <w:rPr>
                <w:sz w:val="20"/>
                <w:szCs w:val="20"/>
              </w:rPr>
              <w:t>- Number of downloads of ITU-T Recommendations, Corrigenda, Amendments and Supplements pertaining to security</w:t>
            </w:r>
            <w:bookmarkEnd w:id="139"/>
          </w:p>
        </w:tc>
      </w:tr>
    </w:tbl>
    <w:p w14:paraId="75123686" w14:textId="76C57EE5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first" r:id="rId19"/>
      <w:footerReference w:type="first" r:id="rId20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1FC3" w14:textId="77777777" w:rsidR="008C6882" w:rsidRDefault="008C6882" w:rsidP="002919E1">
      <w:r>
        <w:separator/>
      </w:r>
    </w:p>
    <w:p w14:paraId="2A7120EE" w14:textId="77777777" w:rsidR="008C6882" w:rsidRDefault="008C6882" w:rsidP="002919E1"/>
    <w:p w14:paraId="510920ED" w14:textId="77777777" w:rsidR="008C6882" w:rsidRDefault="008C6882" w:rsidP="002919E1"/>
    <w:p w14:paraId="66411576" w14:textId="77777777" w:rsidR="008C6882" w:rsidRDefault="008C6882"/>
  </w:endnote>
  <w:endnote w:type="continuationSeparator" w:id="0">
    <w:p w14:paraId="02C3FFFC" w14:textId="77777777" w:rsidR="008C6882" w:rsidRDefault="008C6882" w:rsidP="002919E1">
      <w:r>
        <w:continuationSeparator/>
      </w:r>
    </w:p>
    <w:p w14:paraId="344010F5" w14:textId="77777777" w:rsidR="008C6882" w:rsidRDefault="008C6882" w:rsidP="002919E1"/>
    <w:p w14:paraId="18D75981" w14:textId="77777777" w:rsidR="008C6882" w:rsidRDefault="008C6882" w:rsidP="002919E1"/>
    <w:p w14:paraId="189173D2" w14:textId="77777777" w:rsidR="008C6882" w:rsidRDefault="008C6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CAD1" w14:textId="441B1AA1" w:rsidR="00600E58" w:rsidRPr="008B1926" w:rsidRDefault="00600E58" w:rsidP="00600E58">
    <w:pPr>
      <w:jc w:val="center"/>
      <w:rPr>
        <w:rFonts w:ascii="Calibri" w:eastAsia="MS Mincho" w:hAnsi="Calibri" w:cs="Arial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E342" w14:textId="77777777" w:rsidR="008C6882" w:rsidRDefault="008C6882" w:rsidP="002919E1">
      <w:r>
        <w:t>___________________</w:t>
      </w:r>
    </w:p>
  </w:footnote>
  <w:footnote w:type="continuationSeparator" w:id="0">
    <w:p w14:paraId="2485C325" w14:textId="77777777" w:rsidR="008C6882" w:rsidRDefault="008C6882" w:rsidP="002919E1">
      <w:r>
        <w:continuationSeparator/>
      </w:r>
    </w:p>
    <w:p w14:paraId="3A9C3743" w14:textId="77777777" w:rsidR="008C6882" w:rsidRDefault="008C6882" w:rsidP="002919E1"/>
    <w:p w14:paraId="1600D07F" w14:textId="77777777" w:rsidR="008C6882" w:rsidRDefault="008C6882" w:rsidP="002919E1"/>
    <w:p w14:paraId="384B52BB" w14:textId="77777777" w:rsidR="008C6882" w:rsidRDefault="008C6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82F5" w14:textId="77777777" w:rsidR="00281F5F" w:rsidRDefault="00281F5F" w:rsidP="002919E1"/>
  <w:p w14:paraId="29DDC513" w14:textId="77777777" w:rsidR="00281F5F" w:rsidRDefault="00281F5F" w:rsidP="002919E1"/>
  <w:p w14:paraId="3BDE3C1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D235" w14:textId="54466EBF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549E0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600E58">
      <w:rPr>
        <w:rStyle w:val="PageNumber"/>
      </w:rPr>
      <w:t>39(Add.1)</w:t>
    </w:r>
    <w:r w:rsidR="00A809E8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FA1D" w14:textId="59144C28" w:rsidR="00600E58" w:rsidRPr="0088384B" w:rsidRDefault="00600E58" w:rsidP="00600E58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549E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RAG/39(Add.1)-A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E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EE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A3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C8"/>
    <w:rsid w:val="00011021"/>
    <w:rsid w:val="000114EC"/>
    <w:rsid w:val="00011F8C"/>
    <w:rsid w:val="00013F12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75B9"/>
    <w:rsid w:val="00123AA6"/>
    <w:rsid w:val="0012545F"/>
    <w:rsid w:val="00126CC1"/>
    <w:rsid w:val="00136B82"/>
    <w:rsid w:val="001464F2"/>
    <w:rsid w:val="00155FAB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2A22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33185"/>
    <w:rsid w:val="004636E2"/>
    <w:rsid w:val="00464B03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23C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0E58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4B90"/>
    <w:rsid w:val="006B658C"/>
    <w:rsid w:val="006D2674"/>
    <w:rsid w:val="006E38D0"/>
    <w:rsid w:val="006E465B"/>
    <w:rsid w:val="006F70BF"/>
    <w:rsid w:val="00710827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01238"/>
    <w:rsid w:val="00810482"/>
    <w:rsid w:val="00817568"/>
    <w:rsid w:val="008204AC"/>
    <w:rsid w:val="008261C2"/>
    <w:rsid w:val="00827482"/>
    <w:rsid w:val="00830D96"/>
    <w:rsid w:val="008549E0"/>
    <w:rsid w:val="0085569D"/>
    <w:rsid w:val="00855B59"/>
    <w:rsid w:val="0085774F"/>
    <w:rsid w:val="008614B8"/>
    <w:rsid w:val="008657CB"/>
    <w:rsid w:val="00873A6F"/>
    <w:rsid w:val="00875909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6882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0893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56A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4965"/>
    <w:rsid w:val="00B357E9"/>
    <w:rsid w:val="00B4164D"/>
    <w:rsid w:val="00B425C1"/>
    <w:rsid w:val="00B606BA"/>
    <w:rsid w:val="00B6247D"/>
    <w:rsid w:val="00B66817"/>
    <w:rsid w:val="00B71E3B"/>
    <w:rsid w:val="00B721D5"/>
    <w:rsid w:val="00B81CB5"/>
    <w:rsid w:val="00B8351F"/>
    <w:rsid w:val="00B86C44"/>
    <w:rsid w:val="00B9727C"/>
    <w:rsid w:val="00BA7D44"/>
    <w:rsid w:val="00BD0A41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E677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C1476B"/>
  <w15:docId w15:val="{DEA86C28-3080-43F7-AAB4-58903FE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00E58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5FAB"/>
    <w:rPr>
      <w:rFonts w:ascii="Dubai" w:hAnsi="Dubai" w:cs="Duba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en/council/CWG-SFP-2024-2027/Pages/default.aspx" TargetMode="External"/><Relationship Id="rId18" Type="http://schemas.openxmlformats.org/officeDocument/2006/relationships/hyperlink" Target="https://www.itu.int/en/council/Documents/basic-texts/RES-071-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WGSFP3-INF-0002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06A045-26B9-4AF1-BE64-19924CF1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1518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Elbahnassawy, Ganat</dc:creator>
  <cp:keywords>WRC-12</cp:keywords>
  <cp:lastModifiedBy>BR</cp:lastModifiedBy>
  <cp:revision>4</cp:revision>
  <cp:lastPrinted>2019-06-26T10:10:00Z</cp:lastPrinted>
  <dcterms:created xsi:type="dcterms:W3CDTF">2022-02-09T08:43:00Z</dcterms:created>
  <dcterms:modified xsi:type="dcterms:W3CDTF">2022-02-09T09:07:00Z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