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0A82AF96" w14:textId="77777777" w:rsidTr="00553F66">
        <w:trPr>
          <w:cantSplit/>
          <w:trHeight w:val="20"/>
        </w:trPr>
        <w:tc>
          <w:tcPr>
            <w:tcW w:w="6619" w:type="dxa"/>
          </w:tcPr>
          <w:p w14:paraId="27D9DE40" w14:textId="77777777" w:rsidR="00280E04" w:rsidRPr="00136B82" w:rsidRDefault="0057610B" w:rsidP="00827482">
            <w:pPr>
              <w:pStyle w:val="LOGO"/>
              <w:framePr w:hSpace="0" w:wrap="auto" w:xAlign="left" w:yAlign="inline"/>
              <w:spacing w:before="480"/>
              <w:rPr>
                <w:rtl/>
              </w:rPr>
            </w:pPr>
            <w:r>
              <w:rPr>
                <w:rFonts w:hint="cs"/>
                <w:rtl/>
              </w:rPr>
              <w:t>الفريق الاستشاري للاتصالات الراديوية</w:t>
            </w:r>
          </w:p>
        </w:tc>
        <w:tc>
          <w:tcPr>
            <w:tcW w:w="3053" w:type="dxa"/>
          </w:tcPr>
          <w:p w14:paraId="6C300D7F" w14:textId="77777777" w:rsidR="00280E04" w:rsidRDefault="00553F66" w:rsidP="00827482">
            <w:pPr>
              <w:spacing w:before="0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C126C1">
              <w:rPr>
                <w:noProof/>
                <w:lang w:eastAsia="zh-CN"/>
              </w:rPr>
              <w:drawing>
                <wp:inline distT="0" distB="0" distL="0" distR="0" wp14:anchorId="62169806" wp14:editId="17D2FAB8">
                  <wp:extent cx="844492" cy="844492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6F628E06" w14:textId="77777777" w:rsidTr="00553F66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5296B714" w14:textId="77777777" w:rsidR="00280E04" w:rsidRPr="00960962" w:rsidRDefault="00280E04" w:rsidP="002F3031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7AFA4CD5" w14:textId="77777777" w:rsidR="00280E04" w:rsidRPr="00A9645C" w:rsidRDefault="00280E04" w:rsidP="002F3031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42C184B6" w14:textId="77777777" w:rsidTr="00553F66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32EF65C1" w14:textId="77777777"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251F7468" w14:textId="77777777"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745940" w14:paraId="6F03FD5A" w14:textId="77777777" w:rsidTr="00553F66">
        <w:trPr>
          <w:cantSplit/>
        </w:trPr>
        <w:tc>
          <w:tcPr>
            <w:tcW w:w="6619" w:type="dxa"/>
            <w:vMerge w:val="restart"/>
          </w:tcPr>
          <w:p w14:paraId="150D062C" w14:textId="77777777" w:rsidR="00745940" w:rsidRPr="0012545F" w:rsidRDefault="00745940" w:rsidP="00745940">
            <w:pPr>
              <w:pStyle w:val="Committee"/>
              <w:framePr w:hSpace="0" w:wrap="auto" w:hAnchor="text" w:yAlign="inline"/>
              <w:bidi/>
              <w:spacing w:before="20" w:after="2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2FB28779" w14:textId="0CEAEA10" w:rsidR="00745940" w:rsidRPr="0012545F" w:rsidRDefault="00745940" w:rsidP="00745940">
            <w:pPr>
              <w:pStyle w:val="Adress"/>
              <w:framePr w:hSpace="0" w:wrap="auto" w:xAlign="left" w:yAlign="inline"/>
              <w:spacing w:before="20" w:after="20"/>
              <w:rPr>
                <w:rtl/>
              </w:rPr>
            </w:pPr>
            <w:r w:rsidRPr="0012545F">
              <w:rPr>
                <w:rtl/>
              </w:rPr>
              <w:t>ا</w:t>
            </w:r>
            <w:r w:rsidRPr="0012545F">
              <w:rPr>
                <w:rFonts w:hint="cs"/>
                <w:rtl/>
              </w:rPr>
              <w:t>ل</w:t>
            </w:r>
            <w:r w:rsidRPr="0012545F">
              <w:rPr>
                <w:rtl/>
              </w:rPr>
              <w:t>و</w:t>
            </w:r>
            <w:r w:rsidRPr="0012545F">
              <w:rPr>
                <w:rFonts w:hint="cs"/>
                <w:rtl/>
              </w:rPr>
              <w:t xml:space="preserve">ثيقة </w:t>
            </w:r>
            <w:r>
              <w:t>RAG/31</w:t>
            </w:r>
            <w:r w:rsidRPr="0012545F">
              <w:t>-A</w:t>
            </w:r>
          </w:p>
        </w:tc>
      </w:tr>
      <w:tr w:rsidR="00745940" w14:paraId="3125440A" w14:textId="77777777" w:rsidTr="00553F66">
        <w:trPr>
          <w:cantSplit/>
        </w:trPr>
        <w:tc>
          <w:tcPr>
            <w:tcW w:w="6619" w:type="dxa"/>
            <w:vMerge/>
          </w:tcPr>
          <w:p w14:paraId="071B6214" w14:textId="77777777" w:rsidR="00745940" w:rsidRPr="0012545F" w:rsidRDefault="00745940" w:rsidP="00745940">
            <w:pPr>
              <w:pStyle w:val="Adress"/>
              <w:framePr w:hSpace="0" w:wrap="auto" w:xAlign="left" w:yAlign="inline"/>
              <w:spacing w:before="20" w:after="2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408E60D3" w14:textId="00359DF5" w:rsidR="00745940" w:rsidRPr="0012545F" w:rsidRDefault="00745940" w:rsidP="00745940">
            <w:pPr>
              <w:pStyle w:val="Adress"/>
              <w:framePr w:hSpace="0" w:wrap="auto" w:xAlign="left" w:yAlign="inline"/>
              <w:spacing w:before="20" w:after="20"/>
              <w:rPr>
                <w:rtl/>
              </w:rPr>
            </w:pPr>
            <w:r>
              <w:rPr>
                <w:rFonts w:hint="cs"/>
                <w:rtl/>
              </w:rPr>
              <w:t>12 مارس</w:t>
            </w:r>
            <w:r w:rsidRPr="0012545F">
              <w:rPr>
                <w:rFonts w:hint="cs"/>
                <w:rtl/>
              </w:rPr>
              <w:t xml:space="preserve"> </w:t>
            </w:r>
            <w:r>
              <w:t>2021</w:t>
            </w:r>
          </w:p>
        </w:tc>
      </w:tr>
      <w:tr w:rsidR="00745940" w14:paraId="4C82DEB5" w14:textId="77777777" w:rsidTr="00553F66">
        <w:trPr>
          <w:cantSplit/>
        </w:trPr>
        <w:tc>
          <w:tcPr>
            <w:tcW w:w="6619" w:type="dxa"/>
            <w:vMerge/>
          </w:tcPr>
          <w:p w14:paraId="7DAFEEBF" w14:textId="77777777" w:rsidR="00745940" w:rsidRPr="0012545F" w:rsidRDefault="00745940" w:rsidP="00745940">
            <w:pPr>
              <w:pStyle w:val="Adress"/>
              <w:framePr w:hSpace="0" w:wrap="auto" w:xAlign="left" w:yAlign="inline"/>
              <w:spacing w:before="20" w:after="20"/>
              <w:rPr>
                <w:rFonts w:eastAsia="SimSun"/>
                <w:rtl/>
              </w:rPr>
            </w:pPr>
          </w:p>
        </w:tc>
        <w:tc>
          <w:tcPr>
            <w:tcW w:w="3053" w:type="dxa"/>
            <w:vAlign w:val="center"/>
          </w:tcPr>
          <w:p w14:paraId="616721A7" w14:textId="77777777" w:rsidR="00745940" w:rsidRPr="0012545F" w:rsidRDefault="00745940" w:rsidP="00745940">
            <w:pPr>
              <w:pStyle w:val="Adress"/>
              <w:framePr w:hSpace="0" w:wrap="auto" w:xAlign="left" w:yAlign="inline"/>
              <w:spacing w:before="20" w:after="20"/>
              <w:rPr>
                <w:rFonts w:eastAsia="SimSun"/>
              </w:rPr>
            </w:pPr>
            <w:r w:rsidRPr="0012545F">
              <w:rPr>
                <w:rFonts w:hint="cs"/>
                <w:rtl/>
              </w:rPr>
              <w:t>الأصل: بالإنكليزية</w:t>
            </w:r>
          </w:p>
        </w:tc>
      </w:tr>
      <w:tr w:rsidR="00764079" w14:paraId="38821032" w14:textId="77777777" w:rsidTr="00553F66">
        <w:trPr>
          <w:cantSplit/>
        </w:trPr>
        <w:tc>
          <w:tcPr>
            <w:tcW w:w="9672" w:type="dxa"/>
            <w:gridSpan w:val="2"/>
          </w:tcPr>
          <w:p w14:paraId="53A693D4" w14:textId="5434FF75" w:rsidR="00764079" w:rsidRPr="00E621A3" w:rsidRDefault="009C4D59" w:rsidP="009C4D59">
            <w:pPr>
              <w:pStyle w:val="Source"/>
              <w:rPr>
                <w:rtl/>
              </w:rPr>
            </w:pPr>
            <w:r w:rsidRPr="009C4D59">
              <w:rPr>
                <w:rtl/>
                <w:lang w:bidi="ar-SA"/>
              </w:rPr>
              <w:t>جمهورية البرازيل الاتحادية</w:t>
            </w:r>
          </w:p>
        </w:tc>
      </w:tr>
      <w:tr w:rsidR="00764079" w14:paraId="4997E9BC" w14:textId="77777777" w:rsidTr="00553F66">
        <w:trPr>
          <w:cantSplit/>
        </w:trPr>
        <w:tc>
          <w:tcPr>
            <w:tcW w:w="9672" w:type="dxa"/>
            <w:gridSpan w:val="2"/>
          </w:tcPr>
          <w:p w14:paraId="70B42261" w14:textId="3C69DBFD" w:rsidR="00764079" w:rsidRPr="009C4D59" w:rsidRDefault="00F50666" w:rsidP="00745940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 xml:space="preserve">مقترح بشأن </w:t>
            </w:r>
            <w:r w:rsidR="009C4D59" w:rsidRPr="009C4D59">
              <w:rPr>
                <w:rFonts w:hint="cs"/>
                <w:rtl/>
              </w:rPr>
              <w:t xml:space="preserve">مشروع </w:t>
            </w:r>
            <w:r w:rsidR="009C4D59" w:rsidRPr="009C4D59">
              <w:rPr>
                <w:rFonts w:hint="cs"/>
                <w:rtl/>
                <w:lang w:bidi="ar-SY"/>
              </w:rPr>
              <w:t xml:space="preserve">اختصاصات فريق العمل بالمراسلة رقم </w:t>
            </w:r>
            <w:r w:rsidR="009C4D59" w:rsidRPr="009C4D59">
              <w:t>2</w:t>
            </w:r>
            <w:r w:rsidR="009C4D59" w:rsidRPr="009C4D59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rtl/>
                <w:lang w:bidi="ar-SY"/>
              </w:rPr>
              <w:br/>
            </w:r>
            <w:r w:rsidR="009C4D59" w:rsidRPr="009C4D59">
              <w:rPr>
                <w:rFonts w:hint="cs"/>
                <w:rtl/>
                <w:lang w:bidi="ar-SY"/>
              </w:rPr>
              <w:t>التابع للفريق الاستشاري للاتصالات الراديوية والمعني ب</w:t>
            </w:r>
            <w:r w:rsidR="004654C6">
              <w:rPr>
                <w:rFonts w:hint="cs"/>
                <w:rtl/>
                <w:lang w:bidi="ar-SA"/>
              </w:rPr>
              <w:t>ال</w:t>
            </w:r>
            <w:r w:rsidR="009C4D59" w:rsidRPr="009C4D59">
              <w:rPr>
                <w:rFonts w:hint="cs"/>
                <w:rtl/>
                <w:lang w:bidi="ar-SY"/>
              </w:rPr>
              <w:t xml:space="preserve">مراجعة </w:t>
            </w:r>
            <w:r w:rsidR="00580DBD">
              <w:rPr>
                <w:rFonts w:hint="cs"/>
                <w:rtl/>
                <w:lang w:bidi="ar-SY"/>
              </w:rPr>
              <w:t>الممكنة</w:t>
            </w:r>
            <w:r w:rsidR="004654C6">
              <w:rPr>
                <w:rFonts w:hint="cs"/>
                <w:rtl/>
                <w:lang w:bidi="ar-SY"/>
              </w:rPr>
              <w:t xml:space="preserve"> ل</w:t>
            </w:r>
            <w:r w:rsidR="009C4D59" w:rsidRPr="009C4D59">
              <w:rPr>
                <w:rFonts w:hint="cs"/>
                <w:rtl/>
                <w:lang w:bidi="ar-SY"/>
              </w:rPr>
              <w:t xml:space="preserve">لقرارين </w:t>
            </w:r>
            <w:r w:rsidR="009C4D59" w:rsidRPr="009C4D59">
              <w:t>ITU-R 1-8</w:t>
            </w:r>
            <w:r w:rsidR="009C4D59" w:rsidRPr="009C4D59">
              <w:rPr>
                <w:rFonts w:hint="cs"/>
                <w:rtl/>
                <w:lang w:bidi="ar-SY"/>
              </w:rPr>
              <w:t xml:space="preserve"> </w:t>
            </w:r>
            <w:r w:rsidR="009C4D59" w:rsidRPr="009C4D59">
              <w:rPr>
                <w:rFonts w:hint="cs"/>
                <w:rtl/>
              </w:rPr>
              <w:t>و</w:t>
            </w:r>
            <w:r w:rsidR="009C4D59" w:rsidRPr="009C4D59">
              <w:t>ITU-R 15-6</w:t>
            </w:r>
          </w:p>
        </w:tc>
      </w:tr>
      <w:tr w:rsidR="0012545F" w14:paraId="566D2C48" w14:textId="77777777" w:rsidTr="00553F66">
        <w:trPr>
          <w:cantSplit/>
        </w:trPr>
        <w:tc>
          <w:tcPr>
            <w:tcW w:w="9672" w:type="dxa"/>
            <w:gridSpan w:val="2"/>
          </w:tcPr>
          <w:p w14:paraId="63EEACEF" w14:textId="77777777" w:rsidR="0012545F" w:rsidRDefault="0012545F" w:rsidP="0012545F">
            <w:pPr>
              <w:rPr>
                <w:rtl/>
              </w:rPr>
            </w:pPr>
          </w:p>
        </w:tc>
      </w:tr>
    </w:tbl>
    <w:p w14:paraId="3548AFBB" w14:textId="7BE35BDD" w:rsidR="00EE60E9" w:rsidRDefault="009C4D59" w:rsidP="009C4D59">
      <w:pPr>
        <w:pStyle w:val="Heading1"/>
        <w:rPr>
          <w:rtl/>
        </w:rPr>
      </w:pPr>
      <w:r>
        <w:rPr>
          <w:rFonts w:hint="cs"/>
          <w:rtl/>
        </w:rPr>
        <w:t>1</w:t>
      </w:r>
      <w:r>
        <w:rPr>
          <w:rtl/>
        </w:rPr>
        <w:tab/>
      </w:r>
      <w:r>
        <w:rPr>
          <w:rFonts w:hint="cs"/>
          <w:rtl/>
        </w:rPr>
        <w:t>مقدمة</w:t>
      </w:r>
    </w:p>
    <w:p w14:paraId="5C4830DC" w14:textId="7023DF2A" w:rsidR="009C4D59" w:rsidRDefault="009C4D59" w:rsidP="009C4D59">
      <w:pPr>
        <w:rPr>
          <w:lang w:bidi="ar-EG"/>
        </w:rPr>
      </w:pPr>
      <w:r w:rsidRPr="009C4D59">
        <w:rPr>
          <w:rtl/>
          <w:lang w:bidi="ar-EG"/>
        </w:rPr>
        <w:t xml:space="preserve">طبقاً للفقرات من </w:t>
      </w:r>
      <w:r w:rsidRPr="009C4D59">
        <w:t>1.4.A1</w:t>
      </w:r>
      <w:r w:rsidRPr="009C4D59">
        <w:rPr>
          <w:rFonts w:hint="cs"/>
          <w:rtl/>
          <w:lang w:bidi="ar-EG"/>
        </w:rPr>
        <w:t xml:space="preserve"> إلى </w:t>
      </w:r>
      <w:r w:rsidRPr="009C4D59">
        <w:t>4.4.A1</w:t>
      </w:r>
      <w:r w:rsidRPr="009C4D59">
        <w:rPr>
          <w:rFonts w:hint="cs"/>
          <w:rtl/>
          <w:lang w:bidi="ar-EG"/>
        </w:rPr>
        <w:t xml:space="preserve"> </w:t>
      </w:r>
      <w:r w:rsidRPr="009C4D59">
        <w:rPr>
          <w:rtl/>
          <w:lang w:bidi="ar-EG"/>
        </w:rPr>
        <w:t xml:space="preserve">من القرار </w:t>
      </w:r>
      <w:r w:rsidRPr="009C4D59">
        <w:t>ITU-R 1-8</w:t>
      </w:r>
      <w:r w:rsidRPr="009C4D59">
        <w:rPr>
          <w:rFonts w:hint="cs"/>
          <w:rtl/>
          <w:lang w:bidi="ar-EG"/>
        </w:rPr>
        <w:t xml:space="preserve">، دعت جمعية الاتصالات الراديوية لعام 2019 في الوثيقة </w:t>
      </w:r>
      <w:hyperlink r:id="rId13" w:history="1">
        <w:r w:rsidRPr="009C4D59">
          <w:rPr>
            <w:rStyle w:val="Hyperlink"/>
          </w:rPr>
          <w:t>RA19/84</w:t>
        </w:r>
        <w:r w:rsidRPr="009C4D59">
          <w:rPr>
            <w:rStyle w:val="Hyperlink"/>
            <w:rFonts w:hint="cs"/>
            <w:rtl/>
            <w:lang w:bidi="ar-EG"/>
          </w:rPr>
          <w:t xml:space="preserve"> </w:t>
        </w:r>
        <w:r w:rsidRPr="009C4D59">
          <w:rPr>
            <w:rStyle w:val="Hyperlink"/>
            <w:rFonts w:hint="cs"/>
            <w:rtl/>
          </w:rPr>
          <w:t>(تقـرير موجز للجلسة العامة السادسة لجمعية الاتصالات الراديوية)</w:t>
        </w:r>
      </w:hyperlink>
      <w:r>
        <w:rPr>
          <w:rFonts w:hint="cs"/>
          <w:rtl/>
        </w:rPr>
        <w:t xml:space="preserve"> </w:t>
      </w:r>
      <w:r w:rsidRPr="009C4D59">
        <w:rPr>
          <w:rFonts w:hint="cs"/>
          <w:rtl/>
          <w:lang w:bidi="ar-EG"/>
        </w:rPr>
        <w:t xml:space="preserve">"الفريق الاستشاري للاتصالات الراديوية إلى تحديد التعديلات الممكنة للقرار </w:t>
      </w:r>
      <w:r w:rsidRPr="009C4D59">
        <w:t>ITU-R 1</w:t>
      </w:r>
      <w:r w:rsidRPr="009C4D59">
        <w:rPr>
          <w:rFonts w:hint="cs"/>
          <w:rtl/>
        </w:rPr>
        <w:t xml:space="preserve"> فيما</w:t>
      </w:r>
      <w:r w:rsidRPr="009C4D59">
        <w:rPr>
          <w:rFonts w:hint="eastAsia"/>
          <w:rtl/>
        </w:rPr>
        <w:t> </w:t>
      </w:r>
      <w:r w:rsidRPr="009C4D59">
        <w:rPr>
          <w:rFonts w:hint="cs"/>
          <w:rtl/>
        </w:rPr>
        <w:t>يتعلق بإجراءات الموافقة في حال اتصال النص قيد النظر بمواضيع تُعنى بها لجان دراسات متعددة" و"</w:t>
      </w:r>
      <w:r w:rsidRPr="009C4D59">
        <w:rPr>
          <w:rFonts w:hint="cs"/>
          <w:rtl/>
          <w:lang w:bidi="ar-EG"/>
        </w:rPr>
        <w:t>باستعراض المدة القصوى لتولي رؤساء فرق عمل الاتصالات الراديوية لمناصبهم".</w:t>
      </w:r>
    </w:p>
    <w:p w14:paraId="408A7027" w14:textId="3FAB2B32" w:rsidR="002F3E46" w:rsidRPr="00961A51" w:rsidRDefault="00961A51" w:rsidP="009C4D59">
      <w:pPr>
        <w:rPr>
          <w:rtl/>
          <w:lang w:bidi="ar-EG"/>
        </w:rPr>
      </w:pPr>
      <w:r>
        <w:rPr>
          <w:rFonts w:hint="cs"/>
          <w:rtl/>
        </w:rPr>
        <w:t xml:space="preserve">وفقاً لمداولات اجتماع الفريق الاستشاري للاتصالات الراديوية لعام 2020، </w:t>
      </w:r>
      <w:r w:rsidR="009C4D59" w:rsidRPr="009C4D59">
        <w:rPr>
          <w:rFonts w:hint="cs"/>
          <w:rtl/>
          <w:lang w:bidi="ar-EG"/>
        </w:rPr>
        <w:t>واستناداً إلى مقترحات من الدول الأعضاء وأعضاء القطاع وبالتشاور مع رؤساء لجان الدراسات،</w:t>
      </w:r>
      <w:r>
        <w:rPr>
          <w:rFonts w:hint="cs"/>
          <w:rtl/>
          <w:lang w:bidi="ar-EG"/>
        </w:rPr>
        <w:t xml:space="preserve"> أُعد مشروع اختصاصات</w:t>
      </w:r>
      <w:r w:rsidR="009C4D59" w:rsidRPr="009C4D59">
        <w:rPr>
          <w:rFonts w:hint="cs"/>
          <w:rtl/>
          <w:lang w:bidi="ar-EG"/>
        </w:rPr>
        <w:t xml:space="preserve"> </w:t>
      </w:r>
      <w:r w:rsidR="009C4D59" w:rsidRPr="009C4D59">
        <w:rPr>
          <w:rtl/>
          <w:lang w:bidi="ar-EG"/>
        </w:rPr>
        <w:t>فريق العمل بالمراسلة رقم 2 التابع للفريق الاستشاري للاتصالات الراديوية</w:t>
      </w:r>
      <w:r w:rsidR="009C4D59" w:rsidRPr="009C4D59">
        <w:rPr>
          <w:rFonts w:hint="cs"/>
          <w:rtl/>
          <w:lang w:bidi="ar-EG"/>
        </w:rPr>
        <w:t xml:space="preserve"> </w:t>
      </w:r>
      <w:r w:rsidR="009C4D59" w:rsidRPr="009C4D59">
        <w:t>(RAG CG-2)</w:t>
      </w:r>
      <w:r w:rsidR="009C4D59" w:rsidRPr="009C4D59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الذي أنشئ ل</w:t>
      </w:r>
      <w:r w:rsidR="009C4D59" w:rsidRPr="009C4D59">
        <w:rPr>
          <w:rFonts w:hint="cs"/>
          <w:rtl/>
          <w:lang w:bidi="ar-EG"/>
        </w:rPr>
        <w:t xml:space="preserve">تقديم تعديلات </w:t>
      </w:r>
      <w:r w:rsidR="00580DBD">
        <w:rPr>
          <w:rFonts w:hint="cs"/>
          <w:rtl/>
          <w:lang w:bidi="ar-EG"/>
        </w:rPr>
        <w:t>ممكنة</w:t>
      </w:r>
      <w:r w:rsidR="009C4D59" w:rsidRPr="009C4D59">
        <w:rPr>
          <w:rFonts w:hint="cs"/>
          <w:rtl/>
          <w:lang w:bidi="ar-EG"/>
        </w:rPr>
        <w:t xml:space="preserve"> ل</w:t>
      </w:r>
      <w:r w:rsidR="00E80A96">
        <w:rPr>
          <w:rFonts w:hint="cs"/>
          <w:rtl/>
        </w:rPr>
        <w:t>ل</w:t>
      </w:r>
      <w:r w:rsidR="009C4D59" w:rsidRPr="009C4D59">
        <w:rPr>
          <w:rFonts w:hint="cs"/>
          <w:rtl/>
          <w:lang w:bidi="ar-EG"/>
        </w:rPr>
        <w:t xml:space="preserve">قرارين </w:t>
      </w:r>
      <w:r w:rsidR="009C4D59" w:rsidRPr="009C4D59">
        <w:t>ITU-R 1-8</w:t>
      </w:r>
      <w:r w:rsidR="009C4D59" w:rsidRPr="009C4D59">
        <w:rPr>
          <w:rFonts w:hint="cs"/>
          <w:rtl/>
          <w:lang w:bidi="ar-EG"/>
        </w:rPr>
        <w:t xml:space="preserve"> و</w:t>
      </w:r>
      <w:r w:rsidR="009C4D59" w:rsidRPr="009C4D59">
        <w:t>ITU-R 15-6</w:t>
      </w:r>
      <w:r>
        <w:rPr>
          <w:rFonts w:hint="cs"/>
          <w:rtl/>
          <w:lang w:bidi="ar-EG"/>
        </w:rPr>
        <w:t>.</w:t>
      </w:r>
    </w:p>
    <w:p w14:paraId="77DD6BF4" w14:textId="696309B0" w:rsidR="009C4D59" w:rsidRDefault="00961A51" w:rsidP="009C4D59">
      <w:r>
        <w:rPr>
          <w:rFonts w:hint="cs"/>
          <w:rtl/>
          <w:lang w:bidi="ar-EG"/>
        </w:rPr>
        <w:t>وبناءً على ذلك، ووفقاً لمناقشات الفريق الاستشاري للاتصالات الراديوية في 2020، تقترح البرازيل الموافقة على مشروع الاختصاصات الوارد في الملحق.</w:t>
      </w:r>
    </w:p>
    <w:p w14:paraId="19FD4C21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</w:pPr>
      <w:r>
        <w:rPr>
          <w:rtl/>
        </w:rPr>
        <w:br w:type="page"/>
      </w:r>
    </w:p>
    <w:p w14:paraId="3131CAB3" w14:textId="570B1B59" w:rsidR="009C4D59" w:rsidRDefault="009C4D59" w:rsidP="009C4D59">
      <w:pPr>
        <w:pStyle w:val="AnnexNo0"/>
        <w:rPr>
          <w:rtl/>
          <w:lang w:bidi="ar-EG"/>
        </w:rPr>
      </w:pPr>
      <w:r>
        <w:rPr>
          <w:rFonts w:hint="cs"/>
          <w:rtl/>
        </w:rPr>
        <w:lastRenderedPageBreak/>
        <w:t xml:space="preserve">الملحق </w:t>
      </w:r>
    </w:p>
    <w:p w14:paraId="5E39F850" w14:textId="708F4594" w:rsidR="009C4D59" w:rsidRDefault="009C4D59" w:rsidP="009C4D59">
      <w:pPr>
        <w:pStyle w:val="Annextitle0"/>
        <w:rPr>
          <w:rtl/>
        </w:rPr>
      </w:pPr>
      <w:r>
        <w:rPr>
          <w:rFonts w:hint="cs"/>
          <w:rtl/>
          <w:lang w:bidi="ar-EG"/>
        </w:rPr>
        <w:t xml:space="preserve">مشروع </w:t>
      </w:r>
      <w:r w:rsidRPr="003532C6">
        <w:rPr>
          <w:rFonts w:hint="cs"/>
          <w:rtl/>
        </w:rPr>
        <w:t>اختصاصات فريق العمل بالمراسلة</w:t>
      </w:r>
      <w:r>
        <w:rPr>
          <w:rFonts w:hint="cs"/>
          <w:rtl/>
        </w:rPr>
        <w:t xml:space="preserve"> رقم </w:t>
      </w:r>
      <w:r>
        <w:t>2</w:t>
      </w:r>
      <w:r w:rsidRPr="003532C6">
        <w:rPr>
          <w:rFonts w:hint="cs"/>
          <w:rtl/>
        </w:rPr>
        <w:t xml:space="preserve"> التابع للفريق الاستشاري للاتصالات الراديوية والمعني </w:t>
      </w:r>
      <w:r>
        <w:rPr>
          <w:rFonts w:hint="cs"/>
          <w:rtl/>
        </w:rPr>
        <w:t>ب</w:t>
      </w:r>
      <w:r w:rsidR="005011B4">
        <w:rPr>
          <w:rFonts w:hint="cs"/>
          <w:rtl/>
          <w:lang w:bidi="ar-SA"/>
        </w:rPr>
        <w:t>ال</w:t>
      </w:r>
      <w:r>
        <w:rPr>
          <w:rFonts w:hint="cs"/>
          <w:rtl/>
        </w:rPr>
        <w:t>مراجعة</w:t>
      </w:r>
      <w:r w:rsidRPr="003532C6">
        <w:rPr>
          <w:rFonts w:hint="cs"/>
          <w:rtl/>
        </w:rPr>
        <w:t xml:space="preserve"> </w:t>
      </w:r>
      <w:r>
        <w:rPr>
          <w:rFonts w:hint="cs"/>
          <w:rtl/>
        </w:rPr>
        <w:t>ا</w:t>
      </w:r>
      <w:r w:rsidR="005011B4">
        <w:rPr>
          <w:rFonts w:hint="cs"/>
          <w:rtl/>
        </w:rPr>
        <w:t>لممكنة ل</w:t>
      </w:r>
      <w:r>
        <w:rPr>
          <w:rFonts w:hint="cs"/>
          <w:rtl/>
        </w:rPr>
        <w:t>لقرارين</w:t>
      </w:r>
      <w:r w:rsidRPr="003532C6">
        <w:rPr>
          <w:rFonts w:hint="cs"/>
          <w:rtl/>
        </w:rPr>
        <w:t xml:space="preserve"> </w:t>
      </w:r>
      <w:r w:rsidRPr="003532C6">
        <w:rPr>
          <w:lang w:bidi="ar-EG"/>
        </w:rPr>
        <w:t xml:space="preserve">ITU-R </w:t>
      </w:r>
      <w:r>
        <w:rPr>
          <w:lang w:bidi="ar-EG"/>
        </w:rPr>
        <w:t>1</w:t>
      </w:r>
      <w:r w:rsidRPr="003532C6">
        <w:rPr>
          <w:lang w:bidi="ar-EG"/>
        </w:rPr>
        <w:t>-</w:t>
      </w:r>
      <w:r>
        <w:rPr>
          <w:lang w:bidi="ar-EG"/>
        </w:rPr>
        <w:t>8</w:t>
      </w:r>
      <w:r w:rsidRPr="003532C6"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>و</w:t>
      </w:r>
      <w:r>
        <w:rPr>
          <w:lang w:bidi="ar-EG"/>
        </w:rPr>
        <w:t>ITU-R 15-6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(RAG CG</w:t>
      </w:r>
      <w:r>
        <w:rPr>
          <w:lang w:bidi="ar-EG"/>
        </w:rPr>
        <w:noBreakHyphen/>
        <w:t>2)</w:t>
      </w:r>
    </w:p>
    <w:p w14:paraId="733B9E16" w14:textId="77777777" w:rsidR="009C4D59" w:rsidRDefault="009C4D59" w:rsidP="009C4D59">
      <w:pPr>
        <w:pStyle w:val="Headingb0"/>
        <w:rPr>
          <w:rtl/>
          <w:lang w:bidi="ar-EG"/>
        </w:rPr>
      </w:pPr>
      <w:r>
        <w:rPr>
          <w:rFonts w:hint="cs"/>
          <w:rtl/>
          <w:lang w:bidi="ar-EG"/>
        </w:rPr>
        <w:t>مقدمة</w:t>
      </w:r>
    </w:p>
    <w:p w14:paraId="512CA8E7" w14:textId="432CE8AC" w:rsidR="009C4D59" w:rsidRDefault="009C4D59" w:rsidP="009C4D59">
      <w:pPr>
        <w:rPr>
          <w:rtl/>
          <w:lang w:bidi="ar-EG"/>
        </w:rPr>
      </w:pPr>
      <w:r w:rsidRPr="002D3D6E">
        <w:rPr>
          <w:rtl/>
          <w:lang w:bidi="ar-EG"/>
        </w:rPr>
        <w:t xml:space="preserve">طبقاً للفقرات من </w:t>
      </w:r>
      <w:r>
        <w:rPr>
          <w:lang w:bidi="ar-EG"/>
        </w:rPr>
        <w:t>1.4.A1</w:t>
      </w:r>
      <w:r>
        <w:rPr>
          <w:rFonts w:hint="cs"/>
          <w:rtl/>
          <w:lang w:bidi="ar-EG"/>
        </w:rPr>
        <w:t xml:space="preserve"> إلى </w:t>
      </w:r>
      <w:r>
        <w:rPr>
          <w:lang w:bidi="ar-EG"/>
        </w:rPr>
        <w:t>4.4.A1</w:t>
      </w:r>
      <w:r>
        <w:rPr>
          <w:rFonts w:hint="cs"/>
          <w:rtl/>
          <w:lang w:bidi="ar-EG"/>
        </w:rPr>
        <w:t xml:space="preserve"> </w:t>
      </w:r>
      <w:r w:rsidRPr="002D3D6E">
        <w:rPr>
          <w:rtl/>
          <w:lang w:bidi="ar-EG"/>
        </w:rPr>
        <w:t xml:space="preserve">من القرار </w:t>
      </w:r>
      <w:r w:rsidRPr="002D3D6E">
        <w:rPr>
          <w:lang w:bidi="ar-EG"/>
        </w:rPr>
        <w:t>ITU-R 1-8</w:t>
      </w:r>
      <w:r>
        <w:rPr>
          <w:rFonts w:hint="cs"/>
          <w:rtl/>
          <w:lang w:bidi="ar-EG"/>
        </w:rPr>
        <w:t xml:space="preserve">، دعت جمعية الاتصالات الراديوية لعام 2019 في الوثيقة </w:t>
      </w:r>
      <w:hyperlink r:id="rId14" w:history="1">
        <w:r w:rsidRPr="009C4D59">
          <w:rPr>
            <w:rStyle w:val="Hyperlink"/>
            <w:lang w:bidi="ar-EG"/>
          </w:rPr>
          <w:t>RA19/84</w:t>
        </w:r>
      </w:hyperlink>
      <w:r>
        <w:rPr>
          <w:rFonts w:hint="cs"/>
          <w:rtl/>
          <w:lang w:bidi="ar-EG"/>
        </w:rPr>
        <w:t xml:space="preserve"> "</w:t>
      </w:r>
      <w:r w:rsidRPr="00B958ED">
        <w:rPr>
          <w:rFonts w:hint="cs"/>
          <w:rtl/>
          <w:lang w:bidi="ar-EG"/>
        </w:rPr>
        <w:t xml:space="preserve">الفريق الاستشاري للاتصالات الراديوية إلى تحديد التعديلات الممكنة للقرار </w:t>
      </w:r>
      <w:r w:rsidRPr="00B958ED">
        <w:rPr>
          <w:lang w:bidi="ar-EG"/>
        </w:rPr>
        <w:t>ITU-R 1</w:t>
      </w:r>
      <w:r w:rsidRPr="00B958ED">
        <w:rPr>
          <w:rFonts w:hint="cs"/>
          <w:rtl/>
        </w:rPr>
        <w:t xml:space="preserve"> فيما</w:t>
      </w:r>
      <w:r w:rsidRPr="00B958ED">
        <w:rPr>
          <w:rFonts w:hint="eastAsia"/>
          <w:rtl/>
        </w:rPr>
        <w:t> </w:t>
      </w:r>
      <w:r w:rsidRPr="00B958ED">
        <w:rPr>
          <w:rFonts w:hint="cs"/>
          <w:rtl/>
        </w:rPr>
        <w:t>يتعلق بإجراءات الموافقة في حال اتصال النص قيد النظر بمواضيع تُعنى بها لجان دراسات متعددة</w:t>
      </w:r>
      <w:r>
        <w:rPr>
          <w:rFonts w:hint="cs"/>
          <w:rtl/>
        </w:rPr>
        <w:t>" و"</w:t>
      </w:r>
      <w:r w:rsidRPr="008664DF">
        <w:rPr>
          <w:rFonts w:hint="cs"/>
          <w:rtl/>
          <w:lang w:bidi="ar-EG"/>
        </w:rPr>
        <w:t>باستعراض المدة القصوى لتولي رؤساء فرق عمل الاتصالات الراديوية</w:t>
      </w:r>
      <w:r>
        <w:rPr>
          <w:rFonts w:hint="cs"/>
          <w:rtl/>
          <w:lang w:bidi="ar-EG"/>
        </w:rPr>
        <w:t xml:space="preserve"> لمناصبهم". واستناداً إلى مقترحات من الدول الأعضاء وأعضاء القطاع وبالتشاور مع رؤساء لجان الدراسات، يدعى </w:t>
      </w:r>
      <w:r w:rsidRPr="002D3D6E">
        <w:rPr>
          <w:rtl/>
          <w:lang w:bidi="ar-EG"/>
        </w:rPr>
        <w:t>فريق العمل بالمراسلة رقم 2 التابع للفريق الاستشاري للاتصالات الراديوية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(RAG CG-2)</w:t>
      </w:r>
      <w:r>
        <w:rPr>
          <w:rFonts w:hint="cs"/>
          <w:rtl/>
          <w:lang w:bidi="ar-EG"/>
        </w:rPr>
        <w:t xml:space="preserve"> إلى تقديم تعديلات </w:t>
      </w:r>
      <w:r w:rsidR="00580DBD">
        <w:rPr>
          <w:rFonts w:hint="cs"/>
          <w:rtl/>
          <w:lang w:bidi="ar-EG"/>
        </w:rPr>
        <w:t>ممكنة</w:t>
      </w:r>
      <w:r>
        <w:rPr>
          <w:rFonts w:hint="cs"/>
          <w:rtl/>
          <w:lang w:bidi="ar-EG"/>
        </w:rPr>
        <w:t xml:space="preserve"> </w:t>
      </w:r>
      <w:r w:rsidR="00E80A96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 xml:space="preserve">لقرارين </w:t>
      </w:r>
      <w:r>
        <w:rPr>
          <w:lang w:bidi="ar-EG"/>
        </w:rPr>
        <w:t>ITU-R 1-8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ITU-R 15-6</w:t>
      </w:r>
      <w:r w:rsidR="00E80A96">
        <w:rPr>
          <w:rFonts w:hint="cs"/>
          <w:rtl/>
          <w:lang w:bidi="ar-EG"/>
        </w:rPr>
        <w:t xml:space="preserve">، وفقاً للاختصاصات </w:t>
      </w:r>
      <w:r>
        <w:rPr>
          <w:rFonts w:hint="cs"/>
          <w:rtl/>
          <w:lang w:bidi="ar-EG"/>
        </w:rPr>
        <w:t>التالية:</w:t>
      </w:r>
    </w:p>
    <w:p w14:paraId="395889F3" w14:textId="24F97132" w:rsidR="009C4D59" w:rsidRDefault="009C4D59" w:rsidP="009C4D59">
      <w:pPr>
        <w:pStyle w:val="Heading1"/>
      </w:pPr>
      <w:r>
        <w:t>1</w:t>
      </w:r>
      <w:r>
        <w:rPr>
          <w:rtl/>
        </w:rPr>
        <w:tab/>
      </w:r>
      <w:r>
        <w:rPr>
          <w:rFonts w:hint="cs"/>
          <w:rtl/>
        </w:rPr>
        <w:t xml:space="preserve">مراجعة </w:t>
      </w:r>
      <w:r w:rsidR="00580DBD">
        <w:rPr>
          <w:rFonts w:hint="cs"/>
          <w:rtl/>
        </w:rPr>
        <w:t>ممكنة</w:t>
      </w:r>
      <w:r>
        <w:rPr>
          <w:rFonts w:hint="cs"/>
          <w:rtl/>
        </w:rPr>
        <w:t xml:space="preserve"> للقرار </w:t>
      </w:r>
      <w:r>
        <w:t>ITU-R 1-8</w:t>
      </w:r>
      <w:r>
        <w:rPr>
          <w:rFonts w:hint="cs"/>
          <w:rtl/>
        </w:rPr>
        <w:t xml:space="preserve"> فيما يتعلق بالقسم </w:t>
      </w:r>
      <w:r>
        <w:t>3.1.2.6.A2</w:t>
      </w:r>
    </w:p>
    <w:p w14:paraId="14B0F590" w14:textId="77777777" w:rsidR="009C4D59" w:rsidRDefault="009C4D59" w:rsidP="009C4D59">
      <w:pPr>
        <w:pStyle w:val="enumlev10"/>
        <w:rPr>
          <w:lang w:bidi="ar-EG"/>
        </w:rPr>
      </w:pPr>
      <w:r>
        <w:rPr>
          <w:lang w:bidi="ar-EG"/>
        </w:rPr>
        <w:t>1</w:t>
      </w:r>
      <w:r>
        <w:rPr>
          <w:lang w:bidi="ar-EG"/>
        </w:rPr>
        <w:tab/>
      </w:r>
      <w:r>
        <w:rPr>
          <w:rFonts w:hint="cs"/>
          <w:rtl/>
          <w:lang w:bidi="ar-EG"/>
        </w:rPr>
        <w:t>إجراءات</w:t>
      </w:r>
      <w:r>
        <w:rPr>
          <w:rFonts w:hint="cs"/>
          <w:rtl/>
        </w:rPr>
        <w:t xml:space="preserve"> الاعتماد و</w:t>
      </w:r>
      <w:r w:rsidRPr="00065B9F">
        <w:rPr>
          <w:rFonts w:hint="cs"/>
          <w:rtl/>
        </w:rPr>
        <w:t xml:space="preserve">الموافقة في حال اتصال </w:t>
      </w:r>
      <w:r>
        <w:rPr>
          <w:rFonts w:hint="cs"/>
          <w:rtl/>
        </w:rPr>
        <w:t>نص</w:t>
      </w:r>
      <w:r w:rsidRPr="00065B9F">
        <w:rPr>
          <w:rFonts w:hint="cs"/>
          <w:rtl/>
        </w:rPr>
        <w:t xml:space="preserve"> بمواضيع تُعنى بها لجان دراسات متعددة</w:t>
      </w:r>
      <w:r w:rsidRPr="00065B9F">
        <w:rPr>
          <w:rFonts w:hint="cs"/>
          <w:rtl/>
          <w:lang w:bidi="ar-EG"/>
        </w:rPr>
        <w:t xml:space="preserve">، وكذلك فيما يتعلق بتعميم </w:t>
      </w:r>
      <w:r w:rsidRPr="00065B9F">
        <w:rPr>
          <w:rFonts w:hint="cs"/>
          <w:rtl/>
        </w:rPr>
        <w:t>أي اعتراضات ترد أثناء عملية</w:t>
      </w:r>
      <w:r w:rsidRPr="00065B9F">
        <w:rPr>
          <w:rFonts w:hint="eastAsia"/>
          <w:rtl/>
        </w:rPr>
        <w:t> </w:t>
      </w:r>
      <w:proofErr w:type="gramStart"/>
      <w:r w:rsidRPr="00065B9F">
        <w:rPr>
          <w:rFonts w:hint="cs"/>
          <w:rtl/>
        </w:rPr>
        <w:t>الموافقة</w:t>
      </w:r>
      <w:r>
        <w:rPr>
          <w:rFonts w:hint="cs"/>
          <w:rtl/>
        </w:rPr>
        <w:t>؛</w:t>
      </w:r>
      <w:proofErr w:type="gramEnd"/>
    </w:p>
    <w:p w14:paraId="63C95753" w14:textId="77777777" w:rsidR="009C4D59" w:rsidRDefault="009C4D59" w:rsidP="009C4D59">
      <w:pPr>
        <w:pStyle w:val="enumlev10"/>
        <w:rPr>
          <w:rtl/>
          <w:lang w:bidi="ar-EG"/>
        </w:rPr>
      </w:pPr>
      <w:r>
        <w:rPr>
          <w:lang w:bidi="ar-EG"/>
        </w:rPr>
        <w:t>2</w:t>
      </w:r>
      <w:r>
        <w:rPr>
          <w:lang w:bidi="ar-EG"/>
        </w:rPr>
        <w:tab/>
      </w:r>
      <w:r>
        <w:rPr>
          <w:rFonts w:hint="cs"/>
          <w:rtl/>
          <w:lang w:bidi="ar-EG"/>
        </w:rPr>
        <w:t>الحاجة إلى إدخال تعديلات</w:t>
      </w:r>
      <w:r w:rsidRPr="00AE305F">
        <w:rPr>
          <w:rtl/>
          <w:lang w:bidi="ar-EG"/>
        </w:rPr>
        <w:t>،</w:t>
      </w:r>
      <w:r>
        <w:rPr>
          <w:rFonts w:hint="cs"/>
          <w:rtl/>
          <w:lang w:bidi="ar-EG"/>
        </w:rPr>
        <w:t xml:space="preserve"> </w:t>
      </w:r>
      <w:r w:rsidRPr="00AE305F">
        <w:rPr>
          <w:rtl/>
          <w:lang w:bidi="ar-EG"/>
        </w:rPr>
        <w:t>إن وجدت،</w:t>
      </w:r>
      <w:r>
        <w:rPr>
          <w:rFonts w:hint="cs"/>
          <w:rtl/>
          <w:lang w:bidi="ar-EG"/>
        </w:rPr>
        <w:t xml:space="preserve"> على أساليب عمل قطاع الاتصالات الراديوية فيما يتعلق بالاعتماد والموافقة بالنسبة إلى التوصيات التي تهم لجان دراسات متعددة لقطاع الاتصالات </w:t>
      </w:r>
      <w:proofErr w:type="gramStart"/>
      <w:r>
        <w:rPr>
          <w:rFonts w:hint="cs"/>
          <w:rtl/>
          <w:lang w:bidi="ar-EG"/>
        </w:rPr>
        <w:t>الراديوية؛</w:t>
      </w:r>
      <w:proofErr w:type="gramEnd"/>
    </w:p>
    <w:p w14:paraId="3E27E5F7" w14:textId="77777777" w:rsidR="009C4D59" w:rsidRDefault="009C4D59" w:rsidP="009C4D59">
      <w:pPr>
        <w:pStyle w:val="enumlev10"/>
        <w:rPr>
          <w:lang w:bidi="ar-EG"/>
        </w:rPr>
      </w:pPr>
      <w:r>
        <w:rPr>
          <w:lang w:bidi="ar-EG"/>
        </w:rPr>
        <w:t>3</w:t>
      </w:r>
      <w:r>
        <w:rPr>
          <w:lang w:bidi="ar-EG"/>
        </w:rPr>
        <w:tab/>
      </w:r>
      <w:r>
        <w:rPr>
          <w:rFonts w:hint="cs"/>
          <w:rtl/>
          <w:lang w:bidi="ar-EG"/>
        </w:rPr>
        <w:t>الحاجة إلى تصويب أي حالات إغفال و/أو تناقض، إن وجدت، في النصوص الحالية.</w:t>
      </w:r>
    </w:p>
    <w:p w14:paraId="1BAE1444" w14:textId="60AD1367" w:rsidR="009C4D59" w:rsidRPr="00BE0254" w:rsidRDefault="009C4D59" w:rsidP="009C4D59">
      <w:pPr>
        <w:pStyle w:val="Heading1"/>
        <w:rPr>
          <w:rtl/>
        </w:rPr>
      </w:pPr>
      <w:r>
        <w:t>2</w:t>
      </w:r>
      <w:r>
        <w:tab/>
      </w:r>
      <w:r>
        <w:rPr>
          <w:rFonts w:hint="cs"/>
          <w:rtl/>
        </w:rPr>
        <w:t xml:space="preserve">مراجعة </w:t>
      </w:r>
      <w:r w:rsidR="00580DBD">
        <w:rPr>
          <w:rFonts w:hint="cs"/>
          <w:rtl/>
        </w:rPr>
        <w:t>ممكنة</w:t>
      </w:r>
      <w:r>
        <w:rPr>
          <w:rFonts w:hint="cs"/>
          <w:rtl/>
        </w:rPr>
        <w:t xml:space="preserve"> للقرار </w:t>
      </w:r>
      <w:r>
        <w:t>ITU-R 15-6</w:t>
      </w:r>
      <w:r>
        <w:rPr>
          <w:rFonts w:hint="cs"/>
          <w:rtl/>
        </w:rPr>
        <w:t xml:space="preserve"> فيما يتعلق بما يلي:</w:t>
      </w:r>
    </w:p>
    <w:p w14:paraId="004C3EE3" w14:textId="10BEAE71" w:rsidR="009C4D59" w:rsidRDefault="009C4D59" w:rsidP="009C4D59">
      <w:pPr>
        <w:rPr>
          <w:lang w:bidi="ar-EG"/>
        </w:rPr>
      </w:pPr>
      <w:r>
        <w:rPr>
          <w:lang w:bidi="ar-EG"/>
        </w:rPr>
        <w:t>1.2</w:t>
      </w:r>
      <w:r>
        <w:rPr>
          <w:lang w:bidi="ar-EG"/>
        </w:rPr>
        <w:tab/>
      </w:r>
      <w:r>
        <w:rPr>
          <w:rFonts w:hint="cs"/>
          <w:rtl/>
          <w:lang w:bidi="ar-EG"/>
        </w:rPr>
        <w:t>إمكانية تحديد مدة قصوى ل</w:t>
      </w:r>
      <w:r w:rsidR="00663A7B">
        <w:rPr>
          <w:rFonts w:hint="cs"/>
          <w:rtl/>
        </w:rPr>
        <w:t xml:space="preserve">تولي مناصب </w:t>
      </w:r>
      <w:r>
        <w:rPr>
          <w:rFonts w:hint="cs"/>
          <w:rtl/>
          <w:lang w:bidi="ar-EG"/>
        </w:rPr>
        <w:t>رؤساء فرق عمل قطاع الاتصالات الراديوية.</w:t>
      </w:r>
    </w:p>
    <w:p w14:paraId="08153733" w14:textId="1F050608" w:rsidR="009C4D59" w:rsidRDefault="009C4D59" w:rsidP="009C4D59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يبدأ الفريق </w:t>
      </w:r>
      <w:bookmarkStart w:id="1" w:name="_Hlk42142313"/>
      <w:r w:rsidRPr="00321FC3">
        <w:rPr>
          <w:lang w:bidi="ar-EG"/>
        </w:rPr>
        <w:t>RAG CG-2</w:t>
      </w:r>
      <w:r>
        <w:rPr>
          <w:rFonts w:hint="cs"/>
          <w:rtl/>
          <w:lang w:bidi="ar-EG"/>
        </w:rPr>
        <w:t xml:space="preserve"> </w:t>
      </w:r>
      <w:bookmarkEnd w:id="1"/>
      <w:r>
        <w:rPr>
          <w:rFonts w:hint="cs"/>
          <w:rtl/>
          <w:lang w:bidi="ar-EG"/>
        </w:rPr>
        <w:t xml:space="preserve">أعماله </w:t>
      </w:r>
      <w:r w:rsidR="00E80A96">
        <w:rPr>
          <w:rFonts w:hint="cs"/>
          <w:rtl/>
          <w:lang w:bidi="ar-EG"/>
        </w:rPr>
        <w:t>أثناء</w:t>
      </w:r>
      <w:r>
        <w:rPr>
          <w:rFonts w:hint="cs"/>
          <w:rtl/>
          <w:lang w:bidi="ar-EG"/>
        </w:rPr>
        <w:t xml:space="preserve"> </w:t>
      </w:r>
      <w:bookmarkStart w:id="2" w:name="_Hlk42142290"/>
      <w:r>
        <w:rPr>
          <w:rFonts w:hint="cs"/>
          <w:rtl/>
          <w:lang w:bidi="ar-EG"/>
        </w:rPr>
        <w:t xml:space="preserve">اجتماع الفريق الاستشاري للاتصالات الراديوية لعام 2021 </w:t>
      </w:r>
      <w:bookmarkEnd w:id="2"/>
      <w:r>
        <w:rPr>
          <w:rFonts w:hint="cs"/>
          <w:rtl/>
          <w:lang w:bidi="ar-EG"/>
        </w:rPr>
        <w:t xml:space="preserve">ويقدم نتائج عمله إلى </w:t>
      </w:r>
      <w:r w:rsidRPr="00321FC3">
        <w:rPr>
          <w:rtl/>
          <w:lang w:bidi="ar-EG"/>
        </w:rPr>
        <w:t>اجتماع الفريق الاستشاري للاتصالات الراديوية لعام</w:t>
      </w:r>
      <w:r>
        <w:rPr>
          <w:rFonts w:hint="cs"/>
          <w:rtl/>
          <w:lang w:bidi="ar-EG"/>
        </w:rPr>
        <w:t xml:space="preserve"> 2022 كي ينظر فيها، مع مراعاة المعلومات الواردة في القسم </w:t>
      </w:r>
      <w:r>
        <w:rPr>
          <w:lang w:bidi="ar-EG"/>
        </w:rPr>
        <w:t>1.1.3</w:t>
      </w:r>
      <w:r>
        <w:rPr>
          <w:rFonts w:hint="cs"/>
          <w:rtl/>
          <w:lang w:bidi="ar-EG"/>
        </w:rPr>
        <w:t xml:space="preserve"> من </w:t>
      </w:r>
      <w:hyperlink r:id="rId15" w:history="1">
        <w:r w:rsidRPr="009C4D59">
          <w:rPr>
            <w:rStyle w:val="Hyperlink"/>
            <w:rFonts w:hint="cs"/>
            <w:rtl/>
            <w:lang w:bidi="ar-EG"/>
          </w:rPr>
          <w:t>الوثيقة</w:t>
        </w:r>
        <w:r w:rsidRPr="009C4D59">
          <w:rPr>
            <w:rStyle w:val="Hyperlink"/>
            <w:rFonts w:hint="eastAsia"/>
            <w:rtl/>
            <w:lang w:bidi="ar-EG"/>
          </w:rPr>
          <w:t> </w:t>
        </w:r>
        <w:r w:rsidRPr="009C4D59">
          <w:rPr>
            <w:rStyle w:val="Hyperlink"/>
            <w:lang w:bidi="ar-EG"/>
          </w:rPr>
          <w:t>RAG20/1(Rev.1)</w:t>
        </w:r>
        <w:r w:rsidRPr="009C4D59">
          <w:rPr>
            <w:rStyle w:val="Hyperlink"/>
            <w:rFonts w:hint="cs"/>
            <w:rtl/>
            <w:lang w:bidi="ar-EG"/>
          </w:rPr>
          <w:t xml:space="preserve"> (</w:t>
        </w:r>
        <w:r w:rsidRPr="009C4D59">
          <w:rPr>
            <w:rStyle w:val="Hyperlink"/>
            <w:rtl/>
          </w:rPr>
          <w:t xml:space="preserve">تقرير إلى الاجتماع </w:t>
        </w:r>
        <w:r w:rsidRPr="009C4D59">
          <w:rPr>
            <w:rStyle w:val="Hyperlink"/>
            <w:rFonts w:hint="cs"/>
            <w:rtl/>
          </w:rPr>
          <w:t xml:space="preserve">السابع والعشرين </w:t>
        </w:r>
        <w:r w:rsidRPr="009C4D59">
          <w:rPr>
            <w:rStyle w:val="Hyperlink"/>
            <w:rtl/>
          </w:rPr>
          <w:t>للفريق</w:t>
        </w:r>
        <w:r w:rsidRPr="009C4D59">
          <w:rPr>
            <w:rStyle w:val="Hyperlink"/>
            <w:rFonts w:hint="cs"/>
            <w:rtl/>
          </w:rPr>
          <w:t xml:space="preserve"> </w:t>
        </w:r>
        <w:r w:rsidRPr="009C4D59">
          <w:rPr>
            <w:rStyle w:val="Hyperlink"/>
            <w:rtl/>
          </w:rPr>
          <w:t>الاستشاري للاتصالات الراديوية</w:t>
        </w:r>
        <w:r w:rsidRPr="009C4D59">
          <w:rPr>
            <w:rStyle w:val="Hyperlink"/>
            <w:rFonts w:hint="cs"/>
            <w:rtl/>
          </w:rPr>
          <w:t xml:space="preserve"> - المراجعة 1 - مدير مكتب الاتصالات الراديوية</w:t>
        </w:r>
        <w:r w:rsidRPr="009C4D59">
          <w:rPr>
            <w:rStyle w:val="Hyperlink"/>
            <w:rFonts w:hint="cs"/>
            <w:rtl/>
            <w:lang w:bidi="ar-EG"/>
          </w:rPr>
          <w:t>)</w:t>
        </w:r>
      </w:hyperlink>
      <w:r>
        <w:rPr>
          <w:rFonts w:hint="cs"/>
          <w:rtl/>
          <w:lang w:bidi="ar-EG"/>
        </w:rPr>
        <w:t xml:space="preserve"> وأي مقترحات أخرى ذات صلة تقدم إلى الفريق </w:t>
      </w:r>
      <w:r w:rsidRPr="003565CF">
        <w:rPr>
          <w:lang w:bidi="ar-EG"/>
        </w:rPr>
        <w:t>RAG CG-2</w:t>
      </w:r>
      <w:r w:rsidRPr="003565CF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في إطار الاختصاصات أعلاه. </w:t>
      </w:r>
    </w:p>
    <w:p w14:paraId="30F363DD" w14:textId="77777777" w:rsidR="009C4D59" w:rsidRPr="00D545E5" w:rsidRDefault="009C4D59" w:rsidP="009C4D59">
      <w:pPr>
        <w:rPr>
          <w:spacing w:val="-4"/>
          <w:rtl/>
          <w:lang w:bidi="ar-EG"/>
        </w:rPr>
      </w:pPr>
      <w:r w:rsidRPr="00D545E5">
        <w:rPr>
          <w:rFonts w:hint="cs"/>
          <w:spacing w:val="-4"/>
          <w:rtl/>
          <w:lang w:bidi="ar-EG"/>
        </w:rPr>
        <w:t xml:space="preserve">وينبغي للفريق </w:t>
      </w:r>
      <w:r w:rsidRPr="00D545E5">
        <w:rPr>
          <w:spacing w:val="-4"/>
          <w:lang w:bidi="ar-EG"/>
        </w:rPr>
        <w:t>RAG CG-2</w:t>
      </w:r>
      <w:r w:rsidRPr="00D545E5">
        <w:rPr>
          <w:rFonts w:hint="cs"/>
          <w:spacing w:val="-4"/>
          <w:rtl/>
          <w:lang w:bidi="ar-EG"/>
        </w:rPr>
        <w:t xml:space="preserve"> أن يؤدي أعماله عن طريق المراسلة، بأقصى قدر ممكن، طبقاً للفقرة </w:t>
      </w:r>
      <w:r w:rsidRPr="00D545E5">
        <w:rPr>
          <w:spacing w:val="-4"/>
          <w:lang w:bidi="ar-EG"/>
        </w:rPr>
        <w:t>7.2.3.A1</w:t>
      </w:r>
      <w:r w:rsidRPr="00D545E5">
        <w:rPr>
          <w:rFonts w:hint="cs"/>
          <w:spacing w:val="-4"/>
          <w:rtl/>
          <w:lang w:bidi="ar-EG"/>
        </w:rPr>
        <w:t xml:space="preserve"> من القرار </w:t>
      </w:r>
      <w:r w:rsidRPr="00D545E5">
        <w:rPr>
          <w:spacing w:val="-4"/>
          <w:lang w:bidi="ar-EG"/>
        </w:rPr>
        <w:t>ITU-R 1-8</w:t>
      </w:r>
      <w:r w:rsidRPr="00D545E5">
        <w:rPr>
          <w:rFonts w:hint="cs"/>
          <w:spacing w:val="-4"/>
          <w:rtl/>
          <w:lang w:bidi="ar-EG"/>
        </w:rPr>
        <w:t>.</w:t>
      </w:r>
    </w:p>
    <w:p w14:paraId="01234720" w14:textId="79554F6F" w:rsidR="009C4D59" w:rsidRDefault="009C4D59" w:rsidP="009C4D59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ورئيس </w:t>
      </w:r>
      <w:r w:rsidRPr="003532C6">
        <w:rPr>
          <w:rFonts w:hint="cs"/>
          <w:rtl/>
        </w:rPr>
        <w:t>فريق العمل بالمراسلة</w:t>
      </w:r>
      <w:r>
        <w:rPr>
          <w:rFonts w:hint="cs"/>
          <w:rtl/>
        </w:rPr>
        <w:t xml:space="preserve"> رقم </w:t>
      </w:r>
      <w:r>
        <w:t>2</w:t>
      </w:r>
      <w:r w:rsidRPr="003532C6">
        <w:rPr>
          <w:rFonts w:hint="cs"/>
          <w:rtl/>
        </w:rPr>
        <w:t xml:space="preserve"> التابع للفريق الاستشاري للاتصالات الراديوية والمعني </w:t>
      </w:r>
      <w:r>
        <w:rPr>
          <w:rFonts w:hint="cs"/>
          <w:rtl/>
        </w:rPr>
        <w:t>ب</w:t>
      </w:r>
      <w:r w:rsidR="00663A7B">
        <w:rPr>
          <w:rFonts w:hint="cs"/>
          <w:rtl/>
        </w:rPr>
        <w:t>ال</w:t>
      </w:r>
      <w:r>
        <w:rPr>
          <w:rFonts w:hint="cs"/>
          <w:rtl/>
        </w:rPr>
        <w:t>مراجعة</w:t>
      </w:r>
      <w:r w:rsidRPr="003532C6">
        <w:rPr>
          <w:rFonts w:hint="cs"/>
          <w:rtl/>
        </w:rPr>
        <w:t xml:space="preserve"> </w:t>
      </w:r>
      <w:r>
        <w:rPr>
          <w:rFonts w:hint="cs"/>
          <w:rtl/>
        </w:rPr>
        <w:t>ا</w:t>
      </w:r>
      <w:r w:rsidR="00663A7B">
        <w:rPr>
          <w:rFonts w:hint="cs"/>
          <w:rtl/>
        </w:rPr>
        <w:t>لممكنة ل</w:t>
      </w:r>
      <w:r>
        <w:rPr>
          <w:rFonts w:hint="cs"/>
          <w:rtl/>
        </w:rPr>
        <w:t>لقرارين</w:t>
      </w:r>
      <w:r>
        <w:rPr>
          <w:rFonts w:hint="eastAsia"/>
          <w:rtl/>
        </w:rPr>
        <w:t> </w:t>
      </w:r>
      <w:r w:rsidRPr="003532C6">
        <w:rPr>
          <w:lang w:bidi="ar-EG"/>
        </w:rPr>
        <w:t>ITU</w:t>
      </w:r>
      <w:r>
        <w:rPr>
          <w:lang w:bidi="ar-EG"/>
        </w:rPr>
        <w:noBreakHyphen/>
      </w:r>
      <w:r w:rsidRPr="003532C6">
        <w:rPr>
          <w:lang w:bidi="ar-EG"/>
        </w:rPr>
        <w:t>R</w:t>
      </w:r>
      <w:r>
        <w:rPr>
          <w:lang w:bidi="ar-EG"/>
        </w:rPr>
        <w:t> 1</w:t>
      </w:r>
      <w:r>
        <w:rPr>
          <w:lang w:bidi="ar-EG"/>
        </w:rPr>
        <w:noBreakHyphen/>
        <w:t>8</w:t>
      </w:r>
      <w:r w:rsidRPr="003532C6"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>و</w:t>
      </w:r>
      <w:r>
        <w:rPr>
          <w:lang w:bidi="ar-EG"/>
        </w:rPr>
        <w:t>ITU-R 15-6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(RAG CG</w:t>
      </w:r>
      <w:r>
        <w:rPr>
          <w:lang w:bidi="ar-EG"/>
        </w:rPr>
        <w:noBreakHyphen/>
        <w:t>2)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RAG CG-2</w:t>
      </w:r>
      <w:r>
        <w:rPr>
          <w:rFonts w:hint="cs"/>
          <w:rtl/>
          <w:lang w:bidi="ar-EG"/>
        </w:rPr>
        <w:t xml:space="preserve"> هو </w:t>
      </w:r>
      <w:r w:rsidRPr="003D495B">
        <w:rPr>
          <w:highlight w:val="yellow"/>
          <w:lang w:bidi="ar-EG"/>
        </w:rPr>
        <w:t>&gt;</w:t>
      </w:r>
      <w:r w:rsidRPr="003D495B">
        <w:rPr>
          <w:rFonts w:hint="cs"/>
          <w:highlight w:val="yellow"/>
          <w:rtl/>
          <w:lang w:bidi="ar-EG"/>
        </w:rPr>
        <w:t>الاسم</w:t>
      </w:r>
      <w:r w:rsidRPr="003D495B">
        <w:rPr>
          <w:highlight w:val="yellow"/>
          <w:lang w:bidi="ar-EG"/>
        </w:rPr>
        <w:t>&lt;</w:t>
      </w:r>
      <w:r>
        <w:rPr>
          <w:rFonts w:hint="cs"/>
          <w:rtl/>
          <w:lang w:bidi="ar-EG"/>
        </w:rPr>
        <w:t xml:space="preserve"> (البريد الإلكتروني: </w:t>
      </w:r>
      <w:r w:rsidRPr="00FA7E55">
        <w:rPr>
          <w:highlight w:val="yellow"/>
          <w:rtl/>
          <w:lang w:bidi="ar-EG"/>
        </w:rPr>
        <w:t>&lt;</w:t>
      </w:r>
      <w:proofErr w:type="spellStart"/>
      <w:r w:rsidRPr="00FA7E55">
        <w:rPr>
          <w:highlight w:val="yellow"/>
          <w:lang w:bidi="ar-EG"/>
        </w:rPr>
        <w:t>email@address</w:t>
      </w:r>
      <w:proofErr w:type="spellEnd"/>
      <w:r w:rsidRPr="00FA7E55">
        <w:rPr>
          <w:highlight w:val="yellow"/>
          <w:rtl/>
          <w:lang w:bidi="ar-EG"/>
        </w:rPr>
        <w:t>&gt;</w:t>
      </w:r>
      <w:r>
        <w:rPr>
          <w:rFonts w:hint="cs"/>
          <w:rtl/>
          <w:lang w:bidi="ar-EG"/>
        </w:rPr>
        <w:t>).</w:t>
      </w:r>
    </w:p>
    <w:p w14:paraId="044AF051" w14:textId="5A821125" w:rsidR="009C4D59" w:rsidRDefault="00FA7E55" w:rsidP="009C4D59">
      <w:pPr>
        <w:rPr>
          <w:rtl/>
          <w:lang w:bidi="ar-EG"/>
        </w:rPr>
      </w:pPr>
      <w:r>
        <w:rPr>
          <w:rFonts w:hint="cs"/>
          <w:rtl/>
        </w:rPr>
        <w:t xml:space="preserve">ويلزم أن يقدم الفريق تقريره </w:t>
      </w:r>
      <w:r w:rsidR="009C4D59">
        <w:rPr>
          <w:rFonts w:hint="cs"/>
          <w:rtl/>
          <w:lang w:bidi="ar-EG"/>
        </w:rPr>
        <w:t>قبل 45 يوماً من الاجتماع المقبل للفريق الاستشاري للاتصالات الراديوية في 2022.</w:t>
      </w:r>
    </w:p>
    <w:p w14:paraId="49F21241" w14:textId="416C3891" w:rsidR="009C4D59" w:rsidRDefault="009C4D59" w:rsidP="009C4D59">
      <w:pPr>
        <w:rPr>
          <w:lang w:bidi="ar-EG"/>
        </w:rPr>
      </w:pPr>
      <w:r w:rsidRPr="00754921">
        <w:rPr>
          <w:rtl/>
          <w:lang w:bidi="ar-EG"/>
        </w:rPr>
        <w:t>وستقدَّم في الصفحة الإلكترونية للفريق الاستشاري معلومات أخرى تتعلق بعمل فريق العمل بالمراسلة.</w:t>
      </w:r>
    </w:p>
    <w:p w14:paraId="34920D57" w14:textId="77777777" w:rsidR="0039465C" w:rsidRPr="0039465C" w:rsidRDefault="0039465C" w:rsidP="0039465C">
      <w:pPr>
        <w:spacing w:before="600"/>
        <w:jc w:val="center"/>
      </w:pPr>
      <w:r w:rsidRPr="0039465C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9465C" w:rsidRPr="0039465C" w:rsidSect="004D4AE6">
      <w:headerReference w:type="even" r:id="rId16"/>
      <w:headerReference w:type="default" r:id="rId17"/>
      <w:footerReference w:type="default" r:id="rId18"/>
      <w:footerReference w:type="first" r:id="rId19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A484B" w14:textId="77777777" w:rsidR="009C4D59" w:rsidRDefault="009C4D59" w:rsidP="002919E1">
      <w:r>
        <w:separator/>
      </w:r>
    </w:p>
    <w:p w14:paraId="6744283B" w14:textId="77777777" w:rsidR="009C4D59" w:rsidRDefault="009C4D59" w:rsidP="002919E1"/>
    <w:p w14:paraId="3CC8481C" w14:textId="77777777" w:rsidR="009C4D59" w:rsidRDefault="009C4D59" w:rsidP="002919E1"/>
    <w:p w14:paraId="6A832A7E" w14:textId="77777777" w:rsidR="009C4D59" w:rsidRDefault="009C4D59"/>
  </w:endnote>
  <w:endnote w:type="continuationSeparator" w:id="0">
    <w:p w14:paraId="7C8D121D" w14:textId="77777777" w:rsidR="009C4D59" w:rsidRDefault="009C4D59" w:rsidP="002919E1">
      <w:r>
        <w:continuationSeparator/>
      </w:r>
    </w:p>
    <w:p w14:paraId="4AFCCDE8" w14:textId="77777777" w:rsidR="009C4D59" w:rsidRDefault="009C4D59" w:rsidP="002919E1"/>
    <w:p w14:paraId="5F74225C" w14:textId="77777777" w:rsidR="009C4D59" w:rsidRDefault="009C4D59" w:rsidP="002919E1"/>
    <w:p w14:paraId="0556FE8A" w14:textId="77777777" w:rsidR="009C4D59" w:rsidRDefault="009C4D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58FFC" w14:textId="3D72D57A" w:rsidR="00281F5F" w:rsidRPr="0012545F" w:rsidRDefault="0012545F" w:rsidP="0012545F">
    <w:pPr>
      <w:pStyle w:val="Footer"/>
      <w:tabs>
        <w:tab w:val="clear" w:pos="1134"/>
        <w:tab w:val="clear" w:pos="1871"/>
        <w:tab w:val="clear" w:pos="2268"/>
        <w:tab w:val="clear" w:pos="5812"/>
        <w:tab w:val="center" w:pos="5670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49028C">
      <w:rPr>
        <w:noProof/>
      </w:rPr>
      <w:t>P:\ARA\ITU-R\AG\RAG\RAG21\000\031A.docx</w:t>
    </w:r>
    <w:r>
      <w:fldChar w:fldCharType="end"/>
    </w:r>
    <w:proofErr w:type="gramStart"/>
    <w:r w:rsidRPr="00A809E8">
      <w:t xml:space="preserve">   (</w:t>
    </w:r>
    <w:proofErr w:type="gramEnd"/>
    <w:r w:rsidR="0086161F">
      <w:t>484856</w:t>
    </w:r>
    <w:r w:rsidRPr="00A809E8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29CAB" w14:textId="1AC2B4F4" w:rsidR="00281F5F" w:rsidRPr="00A809E8" w:rsidRDefault="00281F5F" w:rsidP="00A35E1F">
    <w:pPr>
      <w:pStyle w:val="Footer"/>
      <w:tabs>
        <w:tab w:val="clear" w:pos="1134"/>
        <w:tab w:val="clear" w:pos="1871"/>
        <w:tab w:val="clear" w:pos="2268"/>
        <w:tab w:val="clear" w:pos="5812"/>
        <w:tab w:val="center" w:pos="5670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49028C">
      <w:rPr>
        <w:noProof/>
      </w:rPr>
      <w:t>P:\ARA\ITU-R\AG\RAG\RAG21\000\031A.docx</w:t>
    </w:r>
    <w:r>
      <w:fldChar w:fldCharType="end"/>
    </w:r>
    <w:proofErr w:type="gramStart"/>
    <w:r w:rsidRPr="00A809E8">
      <w:t xml:space="preserve">   (</w:t>
    </w:r>
    <w:proofErr w:type="gramEnd"/>
    <w:r w:rsidR="0086161F">
      <w:t>484856</w:t>
    </w:r>
    <w:r w:rsidRPr="00A809E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924D6" w14:textId="77777777" w:rsidR="009C4D59" w:rsidRDefault="009C4D59" w:rsidP="002919E1">
      <w:r>
        <w:t>___________________</w:t>
      </w:r>
    </w:p>
  </w:footnote>
  <w:footnote w:type="continuationSeparator" w:id="0">
    <w:p w14:paraId="3DEA42FF" w14:textId="77777777" w:rsidR="009C4D59" w:rsidRDefault="009C4D59" w:rsidP="002919E1">
      <w:r>
        <w:continuationSeparator/>
      </w:r>
    </w:p>
    <w:p w14:paraId="5F191710" w14:textId="77777777" w:rsidR="009C4D59" w:rsidRDefault="009C4D59" w:rsidP="002919E1"/>
    <w:p w14:paraId="6096A644" w14:textId="77777777" w:rsidR="009C4D59" w:rsidRDefault="009C4D59" w:rsidP="002919E1"/>
    <w:p w14:paraId="0E75564C" w14:textId="77777777" w:rsidR="009C4D59" w:rsidRDefault="009C4D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5E59F" w14:textId="77777777" w:rsidR="00281F5F" w:rsidRDefault="00281F5F" w:rsidP="002919E1"/>
  <w:p w14:paraId="0106D983" w14:textId="77777777" w:rsidR="00281F5F" w:rsidRDefault="00281F5F" w:rsidP="002919E1"/>
  <w:p w14:paraId="7ED31468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0A270" w14:textId="1130478B" w:rsidR="00281F5F" w:rsidRPr="0088384B" w:rsidRDefault="00281F5F" w:rsidP="005730DF">
    <w:pPr>
      <w:bidi w:val="0"/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2F3031">
      <w:rPr>
        <w:rStyle w:val="PageNumber"/>
      </w:rPr>
      <w:t>R</w:t>
    </w:r>
    <w:r w:rsidR="0057610B">
      <w:rPr>
        <w:rStyle w:val="PageNumber"/>
      </w:rPr>
      <w:t>AG</w:t>
    </w:r>
    <w:r w:rsidR="00A809E8">
      <w:rPr>
        <w:rStyle w:val="PageNumber"/>
      </w:rPr>
      <w:t>/</w:t>
    </w:r>
    <w:r w:rsidR="009C4D59">
      <w:rPr>
        <w:rStyle w:val="PageNumber"/>
      </w:rPr>
      <w:t>31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EAA9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A419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C447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A43B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68D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59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6B82"/>
    <w:rsid w:val="001464F2"/>
    <w:rsid w:val="00167364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7612C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031"/>
    <w:rsid w:val="002F3E46"/>
    <w:rsid w:val="00311E3F"/>
    <w:rsid w:val="00314B1E"/>
    <w:rsid w:val="003240F2"/>
    <w:rsid w:val="0033737F"/>
    <w:rsid w:val="00353652"/>
    <w:rsid w:val="003569E1"/>
    <w:rsid w:val="003815E2"/>
    <w:rsid w:val="00381FAD"/>
    <w:rsid w:val="00382A66"/>
    <w:rsid w:val="003923B1"/>
    <w:rsid w:val="0039465C"/>
    <w:rsid w:val="003965FE"/>
    <w:rsid w:val="003B27AD"/>
    <w:rsid w:val="003B4F23"/>
    <w:rsid w:val="003C12F6"/>
    <w:rsid w:val="003C3A13"/>
    <w:rsid w:val="003D495B"/>
    <w:rsid w:val="003E02EF"/>
    <w:rsid w:val="003E1D90"/>
    <w:rsid w:val="00400CD4"/>
    <w:rsid w:val="004147B9"/>
    <w:rsid w:val="00422C04"/>
    <w:rsid w:val="00423A40"/>
    <w:rsid w:val="00426144"/>
    <w:rsid w:val="004636E2"/>
    <w:rsid w:val="004654C6"/>
    <w:rsid w:val="00470CBD"/>
    <w:rsid w:val="0047407D"/>
    <w:rsid w:val="0049028C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F0BED"/>
    <w:rsid w:val="005011B4"/>
    <w:rsid w:val="00505FCA"/>
    <w:rsid w:val="00510C2D"/>
    <w:rsid w:val="00515279"/>
    <w:rsid w:val="00516042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3F66"/>
    <w:rsid w:val="00554AE7"/>
    <w:rsid w:val="00564746"/>
    <w:rsid w:val="0056512C"/>
    <w:rsid w:val="00567F38"/>
    <w:rsid w:val="005730DF"/>
    <w:rsid w:val="0057610B"/>
    <w:rsid w:val="00576D0A"/>
    <w:rsid w:val="00576FCC"/>
    <w:rsid w:val="00580DBD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77C0"/>
    <w:rsid w:val="00663A7B"/>
    <w:rsid w:val="006779A4"/>
    <w:rsid w:val="00680A66"/>
    <w:rsid w:val="00681391"/>
    <w:rsid w:val="00694690"/>
    <w:rsid w:val="0069526C"/>
    <w:rsid w:val="006A12AC"/>
    <w:rsid w:val="006A2162"/>
    <w:rsid w:val="006B4B90"/>
    <w:rsid w:val="006B658C"/>
    <w:rsid w:val="006D2674"/>
    <w:rsid w:val="006E38D0"/>
    <w:rsid w:val="006E465B"/>
    <w:rsid w:val="006F70BF"/>
    <w:rsid w:val="00716B1D"/>
    <w:rsid w:val="007248EC"/>
    <w:rsid w:val="00726744"/>
    <w:rsid w:val="00731150"/>
    <w:rsid w:val="00734E41"/>
    <w:rsid w:val="007351CE"/>
    <w:rsid w:val="00736DCC"/>
    <w:rsid w:val="00741855"/>
    <w:rsid w:val="00742B73"/>
    <w:rsid w:val="00744E3C"/>
    <w:rsid w:val="00745940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E6847"/>
    <w:rsid w:val="007E6B0A"/>
    <w:rsid w:val="007F08CA"/>
    <w:rsid w:val="007F7FC3"/>
    <w:rsid w:val="00800D75"/>
    <w:rsid w:val="00810482"/>
    <w:rsid w:val="00817568"/>
    <w:rsid w:val="008204AC"/>
    <w:rsid w:val="008261C2"/>
    <w:rsid w:val="00827482"/>
    <w:rsid w:val="00830D96"/>
    <w:rsid w:val="0085569D"/>
    <w:rsid w:val="00855B59"/>
    <w:rsid w:val="0085774F"/>
    <w:rsid w:val="008614B8"/>
    <w:rsid w:val="0086161F"/>
    <w:rsid w:val="008657CB"/>
    <w:rsid w:val="00873A6F"/>
    <w:rsid w:val="0088384B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08AB"/>
    <w:rsid w:val="008E2CBE"/>
    <w:rsid w:val="008E32DD"/>
    <w:rsid w:val="008F4626"/>
    <w:rsid w:val="009004DF"/>
    <w:rsid w:val="00904AA5"/>
    <w:rsid w:val="00951718"/>
    <w:rsid w:val="00960962"/>
    <w:rsid w:val="00961A51"/>
    <w:rsid w:val="00972CE0"/>
    <w:rsid w:val="00984B69"/>
    <w:rsid w:val="009A3D30"/>
    <w:rsid w:val="009C4D59"/>
    <w:rsid w:val="009D6348"/>
    <w:rsid w:val="009E5007"/>
    <w:rsid w:val="009E613F"/>
    <w:rsid w:val="009F042B"/>
    <w:rsid w:val="00A03F63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4E09"/>
    <w:rsid w:val="00C3693C"/>
    <w:rsid w:val="00C449F7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D1574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7387"/>
    <w:rsid w:val="00DF2A6A"/>
    <w:rsid w:val="00DF3B72"/>
    <w:rsid w:val="00E10821"/>
    <w:rsid w:val="00E2489D"/>
    <w:rsid w:val="00E26520"/>
    <w:rsid w:val="00E26732"/>
    <w:rsid w:val="00E343A3"/>
    <w:rsid w:val="00E47277"/>
    <w:rsid w:val="00E51BFA"/>
    <w:rsid w:val="00E621A3"/>
    <w:rsid w:val="00E80A96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50666"/>
    <w:rsid w:val="00F776B7"/>
    <w:rsid w:val="00F84613"/>
    <w:rsid w:val="00F8654D"/>
    <w:rsid w:val="00F900C9"/>
    <w:rsid w:val="00F92C96"/>
    <w:rsid w:val="00F97D1C"/>
    <w:rsid w:val="00FA0D4E"/>
    <w:rsid w:val="00FA7E55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DE14905"/>
  <w15:docId w15:val="{3CFAEF4D-0712-486E-96A5-8E705CBC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D75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6577C0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6577C0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D51BB8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tabs>
        <w:tab w:val="clear" w:pos="1134"/>
        <w:tab w:val="clear" w:pos="1871"/>
        <w:tab w:val="clear" w:pos="2268"/>
      </w:tabs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A27205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27205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5431B5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5431B5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5431B5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F97D1C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8614B8"/>
    <w:pPr>
      <w:spacing w:after="360"/>
    </w:pPr>
  </w:style>
  <w:style w:type="paragraph" w:customStyle="1" w:styleId="Equationlegend">
    <w:name w:val="Equation_legend"/>
    <w:basedOn w:val="NormalIndent"/>
    <w:rsid w:val="002D6BB4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C4D5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paragraph" w:customStyle="1" w:styleId="AnnexNo0">
    <w:name w:val="Annex No"/>
    <w:basedOn w:val="Normal"/>
    <w:qFormat/>
    <w:rsid w:val="009C4D59"/>
    <w:pPr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SY"/>
    </w:rPr>
  </w:style>
  <w:style w:type="paragraph" w:customStyle="1" w:styleId="Annextitle0">
    <w:name w:val="Annex title"/>
    <w:basedOn w:val="AnnexNo0"/>
    <w:qFormat/>
    <w:rsid w:val="009C4D59"/>
    <w:pPr>
      <w:keepNext/>
      <w:keepLines/>
      <w:spacing w:before="120" w:after="360"/>
    </w:pPr>
    <w:rPr>
      <w:b/>
      <w:bCs/>
      <w:sz w:val="28"/>
      <w:szCs w:val="28"/>
    </w:rPr>
  </w:style>
  <w:style w:type="paragraph" w:customStyle="1" w:styleId="enumlev10">
    <w:name w:val="enumlev 1"/>
    <w:basedOn w:val="Normal"/>
    <w:qFormat/>
    <w:rsid w:val="009C4D59"/>
    <w:pPr>
      <w:tabs>
        <w:tab w:val="clear" w:pos="1134"/>
        <w:tab w:val="clear" w:pos="1871"/>
        <w:tab w:val="clear" w:pos="2268"/>
        <w:tab w:val="left" w:pos="794"/>
      </w:tabs>
      <w:spacing w:before="80"/>
      <w:ind w:left="794" w:hanging="794"/>
      <w:outlineLvl w:val="0"/>
    </w:pPr>
    <w:rPr>
      <w:rFonts w:eastAsiaTheme="minorEastAsia"/>
      <w:lang w:eastAsia="zh-CN" w:bidi="ar-SY"/>
    </w:rPr>
  </w:style>
  <w:style w:type="paragraph" w:customStyle="1" w:styleId="Headingb0">
    <w:name w:val="Heading b"/>
    <w:basedOn w:val="Normal"/>
    <w:qFormat/>
    <w:rsid w:val="009C4D59"/>
    <w:pPr>
      <w:keepNext/>
      <w:tabs>
        <w:tab w:val="clear" w:pos="1134"/>
        <w:tab w:val="clear" w:pos="1871"/>
        <w:tab w:val="clear" w:pos="2268"/>
        <w:tab w:val="left" w:pos="794"/>
      </w:tabs>
      <w:spacing w:before="240"/>
      <w:ind w:left="1134" w:hanging="1134"/>
    </w:pPr>
    <w:rPr>
      <w:rFonts w:eastAsiaTheme="minorEastAsia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R19-RA19-C-0084/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R20-RAG-C-0001/en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R19-RA19-C-0084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893A09B-EEE6-4C53-B7B9-57B7D6E6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533</Words>
  <Characters>3272</Characters>
  <Application>Microsoft Office Word</Application>
  <DocSecurity>0</DocSecurity>
  <Lines>93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Elbahnassawy, Ganat</dc:creator>
  <cp:keywords>WRC-12</cp:keywords>
  <cp:lastModifiedBy>Arabic</cp:lastModifiedBy>
  <cp:revision>6</cp:revision>
  <cp:lastPrinted>2019-06-26T10:10:00Z</cp:lastPrinted>
  <dcterms:created xsi:type="dcterms:W3CDTF">2021-03-16T13:19:00Z</dcterms:created>
  <dcterms:modified xsi:type="dcterms:W3CDTF">2021-03-16T14:07:00Z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