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D846C6" w14:paraId="6A55C86E" w14:textId="77777777" w:rsidTr="00443261">
        <w:trPr>
          <w:cantSplit/>
        </w:trPr>
        <w:tc>
          <w:tcPr>
            <w:tcW w:w="6771" w:type="dxa"/>
            <w:vAlign w:val="center"/>
          </w:tcPr>
          <w:p w14:paraId="775984D5" w14:textId="77777777" w:rsidR="00443261" w:rsidRPr="00D846C6" w:rsidRDefault="00443261" w:rsidP="00BD74CF">
            <w:pPr>
              <w:shd w:val="solid" w:color="FFFFFF" w:fill="FFFFFF"/>
              <w:spacing w:before="360" w:after="240"/>
              <w:rPr>
                <w:rFonts w:ascii="Verdana" w:hAnsi="Verdana"/>
                <w:b/>
                <w:bCs/>
              </w:rPr>
            </w:pPr>
            <w:r w:rsidRPr="00D846C6">
              <w:rPr>
                <w:rFonts w:ascii="Verdana" w:hAnsi="Verdana" w:cs="Times New Roman Bold"/>
                <w:b/>
                <w:sz w:val="25"/>
                <w:szCs w:val="25"/>
              </w:rPr>
              <w:t>Groupe Consultatif des Radiocommunications</w:t>
            </w:r>
            <w:r w:rsidRPr="00D846C6">
              <w:rPr>
                <w:rFonts w:ascii="Verdana" w:hAnsi="Verdana"/>
                <w:b/>
                <w:sz w:val="25"/>
                <w:szCs w:val="25"/>
              </w:rPr>
              <w:br/>
            </w:r>
          </w:p>
        </w:tc>
        <w:tc>
          <w:tcPr>
            <w:tcW w:w="3118" w:type="dxa"/>
          </w:tcPr>
          <w:p w14:paraId="4049CD4D" w14:textId="77777777" w:rsidR="00443261" w:rsidRPr="00D846C6" w:rsidRDefault="007711EA" w:rsidP="00BD74CF">
            <w:pPr>
              <w:shd w:val="solid" w:color="FFFFFF" w:fill="FFFFFF"/>
              <w:spacing w:before="0"/>
            </w:pPr>
            <w:r w:rsidRPr="00D846C6">
              <w:rPr>
                <w:noProof/>
                <w:lang w:val="en-US"/>
              </w:rPr>
              <w:drawing>
                <wp:inline distT="0" distB="0" distL="0" distR="0" wp14:anchorId="742E94F2" wp14:editId="3A1504AC">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D846C6" w14:paraId="3CB7D496" w14:textId="77777777">
        <w:trPr>
          <w:cantSplit/>
        </w:trPr>
        <w:tc>
          <w:tcPr>
            <w:tcW w:w="6771" w:type="dxa"/>
            <w:tcBorders>
              <w:bottom w:val="single" w:sz="12" w:space="0" w:color="auto"/>
            </w:tcBorders>
          </w:tcPr>
          <w:p w14:paraId="77F70C68" w14:textId="77777777" w:rsidR="002D238A" w:rsidRPr="00D846C6" w:rsidRDefault="002D238A" w:rsidP="00BD74CF">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5BA3F9ED" w14:textId="77777777" w:rsidR="002D238A" w:rsidRPr="00D846C6" w:rsidRDefault="002D238A" w:rsidP="00BD74CF">
            <w:pPr>
              <w:shd w:val="solid" w:color="FFFFFF" w:fill="FFFFFF"/>
              <w:spacing w:before="0" w:after="48"/>
              <w:rPr>
                <w:sz w:val="22"/>
                <w:szCs w:val="22"/>
              </w:rPr>
            </w:pPr>
          </w:p>
        </w:tc>
      </w:tr>
      <w:tr w:rsidR="002D238A" w:rsidRPr="00D846C6" w14:paraId="06EEBED4" w14:textId="77777777">
        <w:trPr>
          <w:cantSplit/>
        </w:trPr>
        <w:tc>
          <w:tcPr>
            <w:tcW w:w="6771" w:type="dxa"/>
            <w:tcBorders>
              <w:top w:val="single" w:sz="12" w:space="0" w:color="auto"/>
            </w:tcBorders>
          </w:tcPr>
          <w:p w14:paraId="73635003" w14:textId="77777777" w:rsidR="002D238A" w:rsidRPr="00D846C6" w:rsidRDefault="002D238A" w:rsidP="00BD74CF">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440174E8" w14:textId="77777777" w:rsidR="002D238A" w:rsidRPr="00D846C6" w:rsidRDefault="002D238A" w:rsidP="00BD74CF">
            <w:pPr>
              <w:shd w:val="solid" w:color="FFFFFF" w:fill="FFFFFF"/>
              <w:spacing w:before="0" w:after="48"/>
              <w:rPr>
                <w:rFonts w:ascii="Verdana" w:hAnsi="Verdana"/>
                <w:sz w:val="22"/>
                <w:szCs w:val="22"/>
              </w:rPr>
            </w:pPr>
          </w:p>
        </w:tc>
      </w:tr>
      <w:tr w:rsidR="002D238A" w:rsidRPr="00D846C6" w14:paraId="62EE7548" w14:textId="77777777">
        <w:trPr>
          <w:cantSplit/>
        </w:trPr>
        <w:tc>
          <w:tcPr>
            <w:tcW w:w="6771" w:type="dxa"/>
            <w:vMerge w:val="restart"/>
          </w:tcPr>
          <w:p w14:paraId="49DE13BF" w14:textId="77777777" w:rsidR="00BD74CF" w:rsidRPr="00D846C6" w:rsidRDefault="00BD74CF" w:rsidP="00D846C6">
            <w:pPr>
              <w:shd w:val="solid" w:color="FFFFFF" w:fill="FFFFFF"/>
              <w:tabs>
                <w:tab w:val="clear" w:pos="794"/>
                <w:tab w:val="clear" w:pos="1191"/>
                <w:tab w:val="clear" w:pos="1588"/>
                <w:tab w:val="clear" w:pos="1985"/>
                <w:tab w:val="left" w:pos="1029"/>
              </w:tabs>
              <w:spacing w:before="0" w:after="240"/>
              <w:rPr>
                <w:rFonts w:ascii="Verdana" w:hAnsi="Verdana"/>
                <w:sz w:val="20"/>
              </w:rPr>
            </w:pPr>
            <w:bookmarkStart w:id="0" w:name="dnum" w:colFirst="1" w:colLast="1"/>
            <w:r w:rsidRPr="00D846C6">
              <w:rPr>
                <w:rFonts w:ascii="Verdana" w:hAnsi="Verdana"/>
                <w:sz w:val="20"/>
              </w:rPr>
              <w:t>Reçu le:</w:t>
            </w:r>
            <w:r w:rsidRPr="00D846C6">
              <w:rPr>
                <w:rFonts w:ascii="Verdana" w:hAnsi="Verdana"/>
                <w:sz w:val="20"/>
              </w:rPr>
              <w:tab/>
              <w:t>21 février 2021</w:t>
            </w:r>
          </w:p>
          <w:p w14:paraId="101B76A1" w14:textId="53E6901E" w:rsidR="002D238A" w:rsidRPr="00D846C6" w:rsidRDefault="00BD74CF" w:rsidP="00D846C6">
            <w:pPr>
              <w:shd w:val="solid" w:color="FFFFFF" w:fill="FFFFFF"/>
              <w:tabs>
                <w:tab w:val="clear" w:pos="794"/>
                <w:tab w:val="clear" w:pos="1191"/>
                <w:tab w:val="clear" w:pos="1588"/>
                <w:tab w:val="clear" w:pos="1985"/>
                <w:tab w:val="left" w:pos="1029"/>
              </w:tabs>
              <w:spacing w:before="0"/>
              <w:rPr>
                <w:rFonts w:ascii="Verdana" w:hAnsi="Verdana"/>
                <w:sz w:val="20"/>
              </w:rPr>
            </w:pPr>
            <w:r w:rsidRPr="00D846C6">
              <w:rPr>
                <w:rFonts w:ascii="Verdana" w:hAnsi="Verdana"/>
                <w:sz w:val="20"/>
              </w:rPr>
              <w:t>Source:</w:t>
            </w:r>
            <w:r w:rsidRPr="00D846C6">
              <w:rPr>
                <w:rFonts w:ascii="Verdana" w:hAnsi="Verdana"/>
                <w:sz w:val="20"/>
              </w:rPr>
              <w:tab/>
              <w:t xml:space="preserve">Document </w:t>
            </w:r>
            <w:hyperlink r:id="rId7" w:history="1">
              <w:r w:rsidRPr="00D846C6">
                <w:rPr>
                  <w:rStyle w:val="Hyperlink"/>
                  <w:rFonts w:ascii="Verdana" w:hAnsi="Verdana"/>
                  <w:sz w:val="20"/>
                </w:rPr>
                <w:t>CVC/4</w:t>
              </w:r>
            </w:hyperlink>
          </w:p>
        </w:tc>
        <w:tc>
          <w:tcPr>
            <w:tcW w:w="3118" w:type="dxa"/>
          </w:tcPr>
          <w:p w14:paraId="64DF4E93" w14:textId="77777777" w:rsidR="00BD74CF" w:rsidRPr="00D846C6" w:rsidRDefault="00BD74CF" w:rsidP="00BD74CF">
            <w:pPr>
              <w:pStyle w:val="NormalVerdana"/>
              <w:framePr w:hSpace="0" w:wrap="auto" w:yAlign="inline"/>
              <w:spacing w:line="240" w:lineRule="auto"/>
              <w:rPr>
                <w:rtl/>
                <w:lang w:val="fr-FR"/>
              </w:rPr>
            </w:pPr>
            <w:r w:rsidRPr="00D846C6">
              <w:rPr>
                <w:lang w:val="fr-FR"/>
              </w:rPr>
              <w:t>Document RAG/28-F</w:t>
            </w:r>
          </w:p>
          <w:p w14:paraId="245C7C9B" w14:textId="77777777" w:rsidR="002D238A" w:rsidRPr="00D846C6" w:rsidRDefault="00BD74CF" w:rsidP="00BD74CF">
            <w:pPr>
              <w:pStyle w:val="NormalVerdana"/>
              <w:framePr w:hSpace="0" w:wrap="auto" w:yAlign="inline"/>
              <w:spacing w:line="240" w:lineRule="auto"/>
              <w:rPr>
                <w:lang w:val="fr-FR"/>
              </w:rPr>
            </w:pPr>
            <w:r w:rsidRPr="00D846C6">
              <w:rPr>
                <w:lang w:val="fr-FR"/>
              </w:rPr>
              <w:t>Document 5A/241-F</w:t>
            </w:r>
          </w:p>
          <w:p w14:paraId="4334CC34" w14:textId="77777777" w:rsidR="00BD74CF" w:rsidRPr="00D846C6" w:rsidRDefault="00BD74CF" w:rsidP="00BD74CF">
            <w:pPr>
              <w:pStyle w:val="NormalVerdana"/>
              <w:framePr w:hSpace="0" w:wrap="auto" w:yAlign="inline"/>
              <w:spacing w:line="240" w:lineRule="auto"/>
              <w:rPr>
                <w:lang w:val="fr-FR"/>
              </w:rPr>
            </w:pPr>
            <w:r w:rsidRPr="00D846C6">
              <w:rPr>
                <w:lang w:val="fr-FR"/>
              </w:rPr>
              <w:t>Document 5B/239-F</w:t>
            </w:r>
          </w:p>
          <w:p w14:paraId="5B8AAE72" w14:textId="77777777" w:rsidR="00BD74CF" w:rsidRPr="00D846C6" w:rsidRDefault="00BD74CF" w:rsidP="00BD74CF">
            <w:pPr>
              <w:pStyle w:val="NormalVerdana"/>
              <w:framePr w:hSpace="0" w:wrap="auto" w:yAlign="inline"/>
              <w:spacing w:line="240" w:lineRule="auto"/>
              <w:rPr>
                <w:lang w:val="fr-FR"/>
              </w:rPr>
            </w:pPr>
            <w:r w:rsidRPr="00D846C6">
              <w:rPr>
                <w:lang w:val="fr-FR"/>
              </w:rPr>
              <w:t>Document 5C/143-F</w:t>
            </w:r>
          </w:p>
          <w:p w14:paraId="08A2A707" w14:textId="72533728" w:rsidR="00BD74CF" w:rsidRPr="00D846C6" w:rsidRDefault="00BD74CF" w:rsidP="00BD74CF">
            <w:pPr>
              <w:pStyle w:val="NormalVerdana"/>
              <w:framePr w:hSpace="0" w:wrap="auto" w:yAlign="inline"/>
              <w:spacing w:line="240" w:lineRule="auto"/>
              <w:rPr>
                <w:lang w:val="fr-FR"/>
              </w:rPr>
            </w:pPr>
            <w:r w:rsidRPr="00D846C6">
              <w:rPr>
                <w:lang w:val="fr-FR"/>
              </w:rPr>
              <w:t>Document 5D/492-F</w:t>
            </w:r>
          </w:p>
        </w:tc>
      </w:tr>
      <w:tr w:rsidR="002D238A" w:rsidRPr="00D846C6" w14:paraId="3D6726A1" w14:textId="77777777">
        <w:trPr>
          <w:cantSplit/>
        </w:trPr>
        <w:tc>
          <w:tcPr>
            <w:tcW w:w="6771" w:type="dxa"/>
            <w:vMerge/>
          </w:tcPr>
          <w:p w14:paraId="71163EC5" w14:textId="77777777" w:rsidR="002D238A" w:rsidRPr="00D846C6" w:rsidRDefault="002D238A" w:rsidP="00BD74CF">
            <w:pPr>
              <w:spacing w:before="60"/>
              <w:jc w:val="center"/>
              <w:rPr>
                <w:b/>
                <w:smallCaps/>
                <w:sz w:val="32"/>
              </w:rPr>
            </w:pPr>
            <w:bookmarkStart w:id="1" w:name="ddate" w:colFirst="1" w:colLast="1"/>
            <w:bookmarkEnd w:id="0"/>
          </w:p>
        </w:tc>
        <w:tc>
          <w:tcPr>
            <w:tcW w:w="3118" w:type="dxa"/>
          </w:tcPr>
          <w:p w14:paraId="7D72EFD1" w14:textId="75C06884" w:rsidR="002D238A" w:rsidRPr="00D846C6" w:rsidRDefault="00BD74CF" w:rsidP="00BD74CF">
            <w:pPr>
              <w:shd w:val="solid" w:color="FFFFFF" w:fill="FFFFFF"/>
              <w:spacing w:before="40" w:after="40"/>
              <w:rPr>
                <w:rFonts w:ascii="Verdana" w:hAnsi="Verdana"/>
                <w:sz w:val="20"/>
              </w:rPr>
            </w:pPr>
            <w:r w:rsidRPr="00D846C6">
              <w:rPr>
                <w:rFonts w:ascii="Verdana" w:hAnsi="Verdana"/>
                <w:b/>
                <w:sz w:val="20"/>
              </w:rPr>
              <w:t>22 février 2021</w:t>
            </w:r>
          </w:p>
        </w:tc>
      </w:tr>
      <w:tr w:rsidR="002D238A" w:rsidRPr="00D846C6" w14:paraId="74A26B30" w14:textId="77777777">
        <w:trPr>
          <w:cantSplit/>
        </w:trPr>
        <w:tc>
          <w:tcPr>
            <w:tcW w:w="6771" w:type="dxa"/>
            <w:vMerge/>
          </w:tcPr>
          <w:p w14:paraId="3941B226" w14:textId="77777777" w:rsidR="002D238A" w:rsidRPr="00D846C6" w:rsidRDefault="002D238A" w:rsidP="00BD74CF">
            <w:pPr>
              <w:spacing w:before="60"/>
              <w:jc w:val="center"/>
              <w:rPr>
                <w:b/>
                <w:smallCaps/>
                <w:sz w:val="32"/>
              </w:rPr>
            </w:pPr>
            <w:bookmarkStart w:id="2" w:name="dorlang" w:colFirst="1" w:colLast="1"/>
            <w:bookmarkEnd w:id="1"/>
          </w:p>
        </w:tc>
        <w:tc>
          <w:tcPr>
            <w:tcW w:w="3118" w:type="dxa"/>
          </w:tcPr>
          <w:p w14:paraId="7646D539" w14:textId="3367E566" w:rsidR="00BD74CF" w:rsidRPr="00D846C6" w:rsidRDefault="00BD74CF" w:rsidP="00BD74CF">
            <w:pPr>
              <w:shd w:val="solid" w:color="FFFFFF" w:fill="FFFFFF"/>
              <w:spacing w:before="40"/>
              <w:rPr>
                <w:rFonts w:ascii="Verdana" w:eastAsia="SimSun" w:hAnsi="Verdana"/>
                <w:b/>
                <w:sz w:val="20"/>
                <w:lang w:eastAsia="zh-CN"/>
              </w:rPr>
            </w:pPr>
            <w:r w:rsidRPr="00D846C6">
              <w:rPr>
                <w:rFonts w:ascii="Verdana" w:eastAsia="SimSun" w:hAnsi="Verdana"/>
                <w:b/>
                <w:sz w:val="20"/>
                <w:lang w:eastAsia="zh-CN"/>
              </w:rPr>
              <w:t>Original: anglais</w:t>
            </w:r>
          </w:p>
          <w:p w14:paraId="285C3678" w14:textId="166ECFD0" w:rsidR="002D238A" w:rsidRPr="00D846C6" w:rsidRDefault="00BD74CF" w:rsidP="00D846C6">
            <w:pPr>
              <w:shd w:val="solid" w:color="FFFFFF" w:fill="FFFFFF"/>
              <w:spacing w:after="120"/>
              <w:rPr>
                <w:rFonts w:ascii="Verdana" w:hAnsi="Verdana"/>
                <w:sz w:val="20"/>
              </w:rPr>
            </w:pPr>
            <w:r w:rsidRPr="00D846C6">
              <w:rPr>
                <w:rFonts w:ascii="Verdana" w:eastAsia="SimSun" w:hAnsi="Verdana"/>
                <w:b/>
                <w:sz w:val="20"/>
                <w:lang w:eastAsia="zh-CN"/>
              </w:rPr>
              <w:t>SÉANCE PLÉNIÈRE</w:t>
            </w:r>
          </w:p>
        </w:tc>
      </w:tr>
      <w:tr w:rsidR="002D238A" w:rsidRPr="00D846C6" w14:paraId="4129A20E" w14:textId="77777777">
        <w:trPr>
          <w:cantSplit/>
        </w:trPr>
        <w:tc>
          <w:tcPr>
            <w:tcW w:w="9889" w:type="dxa"/>
            <w:gridSpan w:val="2"/>
          </w:tcPr>
          <w:p w14:paraId="15F7093A" w14:textId="1150DEF7" w:rsidR="002D238A" w:rsidRPr="00D846C6" w:rsidRDefault="00BD74CF" w:rsidP="00BD74CF">
            <w:pPr>
              <w:pStyle w:val="Source"/>
            </w:pPr>
            <w:bookmarkStart w:id="3" w:name="dsource" w:colFirst="0" w:colLast="0"/>
            <w:bookmarkEnd w:id="2"/>
            <w:r w:rsidRPr="00D846C6">
              <w:t>ATDI</w:t>
            </w:r>
            <w:r w:rsidRPr="00D846C6">
              <w:rPr>
                <w:rStyle w:val="FootnoteReference"/>
                <w:b w:val="0"/>
                <w:bCs/>
              </w:rPr>
              <w:footnoteReference w:id="1"/>
            </w:r>
          </w:p>
        </w:tc>
      </w:tr>
      <w:tr w:rsidR="002D238A" w:rsidRPr="00D846C6" w14:paraId="69A9AABA" w14:textId="77777777">
        <w:trPr>
          <w:cantSplit/>
        </w:trPr>
        <w:tc>
          <w:tcPr>
            <w:tcW w:w="9889" w:type="dxa"/>
            <w:gridSpan w:val="2"/>
          </w:tcPr>
          <w:p w14:paraId="753ABE76" w14:textId="1A8043FB" w:rsidR="002D238A" w:rsidRPr="00D846C6" w:rsidRDefault="00BD74CF" w:rsidP="00BD74CF">
            <w:pPr>
              <w:pStyle w:val="Title1"/>
            </w:pPr>
            <w:bookmarkStart w:id="4" w:name="dtitle1" w:colFirst="0" w:colLast="0"/>
            <w:bookmarkEnd w:id="3"/>
            <w:r w:rsidRPr="00D846C6">
              <w:t>SIMPLIFICATION DE L'APPROBATION DES NOTES DE LIAISON</w:t>
            </w:r>
          </w:p>
        </w:tc>
      </w:tr>
    </w:tbl>
    <w:bookmarkEnd w:id="4"/>
    <w:p w14:paraId="711537EF" w14:textId="38564F03" w:rsidR="00BD74CF" w:rsidRPr="00D846C6" w:rsidRDefault="00BD74CF" w:rsidP="00055C5A">
      <w:pPr>
        <w:pStyle w:val="Headingb"/>
        <w:spacing w:before="360"/>
      </w:pPr>
      <w:r w:rsidRPr="00D846C6">
        <w:t>Introduction</w:t>
      </w:r>
    </w:p>
    <w:p w14:paraId="560FBDF0" w14:textId="6B06D1A7" w:rsidR="00BD74CF" w:rsidRPr="00D846C6" w:rsidRDefault="00BD74CF" w:rsidP="00BD74CF">
      <w:pPr>
        <w:pStyle w:val="enumlev1"/>
        <w:rPr>
          <w:lang w:eastAsia="zh-CN"/>
        </w:rPr>
      </w:pPr>
      <w:r w:rsidRPr="00D846C6">
        <w:rPr>
          <w:lang w:eastAsia="zh-CN"/>
        </w:rPr>
        <w:t>1)</w:t>
      </w:r>
      <w:r w:rsidRPr="00D846C6">
        <w:rPr>
          <w:lang w:eastAsia="zh-CN"/>
        </w:rPr>
        <w:tab/>
        <w:t xml:space="preserve">À l'heure actuelle, les notes de liaison (LS) sont examinées et approuvées lors des séances plénières des </w:t>
      </w:r>
      <w:r w:rsidR="00055C5A">
        <w:rPr>
          <w:lang w:eastAsia="zh-CN"/>
        </w:rPr>
        <w:t>g</w:t>
      </w:r>
      <w:r w:rsidRPr="00D846C6">
        <w:rPr>
          <w:lang w:eastAsia="zh-CN"/>
        </w:rPr>
        <w:t>roupes de travail (GT). Les notes de liaison portent principalement sur la correspondance entre les GT de l'UIT-R et ne nécessitent guère de procédures formelles ou d'ajustements. Il convient de laisser au BR le soin d'apporter les modifications d'ordre rédactionnel.</w:t>
      </w:r>
    </w:p>
    <w:p w14:paraId="34F6929B" w14:textId="19FFE0FD" w:rsidR="00BD74CF" w:rsidRPr="00D846C6" w:rsidRDefault="00BD74CF" w:rsidP="00BD74CF">
      <w:pPr>
        <w:pStyle w:val="enumlev1"/>
        <w:rPr>
          <w:szCs w:val="24"/>
          <w:lang w:eastAsia="zh-CN"/>
        </w:rPr>
      </w:pPr>
      <w:r w:rsidRPr="00D846C6">
        <w:rPr>
          <w:szCs w:val="24"/>
        </w:rPr>
        <w:t>2)</w:t>
      </w:r>
      <w:r w:rsidRPr="00D846C6">
        <w:rPr>
          <w:szCs w:val="24"/>
        </w:rPr>
        <w:tab/>
        <w:t>Dans le Document</w:t>
      </w:r>
      <w:hyperlink r:id="rId8" w:history="1">
        <w:r w:rsidRPr="00D846C6">
          <w:rPr>
            <w:rStyle w:val="Hyperlink"/>
            <w:szCs w:val="24"/>
          </w:rPr>
          <w:t xml:space="preserve"> CVC/4</w:t>
        </w:r>
      </w:hyperlink>
      <w:r w:rsidRPr="00D846C6">
        <w:rPr>
          <w:szCs w:val="24"/>
        </w:rPr>
        <w:t xml:space="preserve"> (Résumé de la 17ème réunion des Présidents et Vice-Présidents des Commissions d'études des radiocommunications </w:t>
      </w:r>
      <w:r w:rsidR="00696B50" w:rsidRPr="00D846C6">
        <w:rPr>
          <w:szCs w:val="24"/>
        </w:rPr>
        <w:t>–</w:t>
      </w:r>
      <w:r w:rsidRPr="00D846C6">
        <w:rPr>
          <w:szCs w:val="24"/>
        </w:rPr>
        <w:t xml:space="preserve"> réunion électronique, 20</w:t>
      </w:r>
      <w:r w:rsidR="00696B50" w:rsidRPr="00D846C6">
        <w:rPr>
          <w:szCs w:val="24"/>
        </w:rPr>
        <w:t> </w:t>
      </w:r>
      <w:r w:rsidRPr="00D846C6">
        <w:rPr>
          <w:szCs w:val="24"/>
        </w:rPr>
        <w:t>janvier</w:t>
      </w:r>
      <w:r w:rsidR="00696B50" w:rsidRPr="00D846C6">
        <w:rPr>
          <w:szCs w:val="24"/>
        </w:rPr>
        <w:t> </w:t>
      </w:r>
      <w:r w:rsidRPr="00D846C6">
        <w:rPr>
          <w:szCs w:val="24"/>
        </w:rPr>
        <w:t xml:space="preserve">2021), il est indiqué ce qui suit: </w:t>
      </w:r>
      <w:r w:rsidR="00696B50" w:rsidRPr="00D846C6">
        <w:rPr>
          <w:szCs w:val="24"/>
        </w:rPr>
        <w:t>«</w:t>
      </w:r>
      <w:r w:rsidRPr="00D846C6">
        <w:rPr>
          <w:szCs w:val="24"/>
        </w:rPr>
        <w:t xml:space="preserve">Les participants se sont accordés à reconnaître qu'une note de liaison </w:t>
      </w:r>
      <w:r w:rsidRPr="00D846C6">
        <w:rPr>
          <w:szCs w:val="24"/>
          <w:highlight w:val="yellow"/>
        </w:rPr>
        <w:t>doit être simple</w:t>
      </w:r>
      <w:r w:rsidRPr="00D846C6">
        <w:rPr>
          <w:szCs w:val="24"/>
        </w:rPr>
        <w:t>,</w:t>
      </w:r>
      <w:r w:rsidR="00696B50" w:rsidRPr="00D846C6">
        <w:rPr>
          <w:szCs w:val="24"/>
        </w:rPr>
        <w:t xml:space="preserve"> </w:t>
      </w:r>
      <w:r w:rsidRPr="00D846C6">
        <w:rPr>
          <w:szCs w:val="24"/>
        </w:rPr>
        <w:t xml:space="preserve">étant donné qu'elle offre aux groupes un moyen de communiquer entre eux, et que </w:t>
      </w:r>
      <w:r w:rsidRPr="00D846C6">
        <w:rPr>
          <w:szCs w:val="24"/>
          <w:highlight w:val="yellow"/>
        </w:rPr>
        <w:t xml:space="preserve">les groupes de travail ne devraient pas </w:t>
      </w:r>
      <w:r w:rsidRPr="00D846C6">
        <w:rPr>
          <w:szCs w:val="24"/>
        </w:rPr>
        <w:t xml:space="preserve">consacrer trop de temps à la rédaction et </w:t>
      </w:r>
      <w:r w:rsidRPr="00D846C6">
        <w:rPr>
          <w:szCs w:val="24"/>
          <w:highlight w:val="yellow"/>
        </w:rPr>
        <w:t>à l</w:t>
      </w:r>
      <w:r w:rsidR="00696B50" w:rsidRPr="00D846C6">
        <w:rPr>
          <w:szCs w:val="24"/>
          <w:highlight w:val="yellow"/>
        </w:rPr>
        <w:t>'</w:t>
      </w:r>
      <w:r w:rsidRPr="00D846C6">
        <w:rPr>
          <w:szCs w:val="24"/>
          <w:highlight w:val="yellow"/>
        </w:rPr>
        <w:t>approbation d</w:t>
      </w:r>
      <w:r w:rsidR="00696B50" w:rsidRPr="00D846C6">
        <w:rPr>
          <w:szCs w:val="24"/>
          <w:highlight w:val="yellow"/>
        </w:rPr>
        <w:t>'</w:t>
      </w:r>
      <w:r w:rsidRPr="00D846C6">
        <w:rPr>
          <w:szCs w:val="24"/>
          <w:highlight w:val="yellow"/>
        </w:rPr>
        <w:t>une note lors des séances plénière</w:t>
      </w:r>
      <w:r w:rsidRPr="00D846C6">
        <w:rPr>
          <w:szCs w:val="24"/>
        </w:rPr>
        <w:t>s. Les activités de liaison devraient être plus rapides et plus directes. Pour accélérer les processus d'élaboration et de distribution des notes de liaison, il a été proposé d</w:t>
      </w:r>
      <w:r w:rsidR="00696B50" w:rsidRPr="00D846C6">
        <w:rPr>
          <w:szCs w:val="24"/>
        </w:rPr>
        <w:t>'</w:t>
      </w:r>
      <w:r w:rsidRPr="00D846C6">
        <w:rPr>
          <w:szCs w:val="24"/>
        </w:rPr>
        <w:t xml:space="preserve">inviter les </w:t>
      </w:r>
      <w:r w:rsidRPr="00D846C6">
        <w:rPr>
          <w:szCs w:val="24"/>
          <w:highlight w:val="yellow"/>
          <w:lang w:eastAsia="zh-CN"/>
        </w:rPr>
        <w:t xml:space="preserve">groupes de travail à confier cette tâche </w:t>
      </w:r>
      <w:bookmarkStart w:id="5" w:name="_Hlk65052204"/>
      <w:r w:rsidRPr="00D846C6">
        <w:rPr>
          <w:szCs w:val="24"/>
          <w:highlight w:val="yellow"/>
          <w:lang w:eastAsia="zh-CN"/>
        </w:rPr>
        <w:t>à des groupes d'étude</w:t>
      </w:r>
      <w:r w:rsidR="00055C5A">
        <w:rPr>
          <w:szCs w:val="24"/>
          <w:lang w:eastAsia="zh-CN"/>
        </w:rPr>
        <w:t>s</w:t>
      </w:r>
      <w:r w:rsidRPr="00D846C6">
        <w:rPr>
          <w:szCs w:val="24"/>
          <w:lang w:eastAsia="zh-CN"/>
        </w:rPr>
        <w:t xml:space="preserve">, </w:t>
      </w:r>
      <w:bookmarkStart w:id="6" w:name="_Hlk64800890"/>
      <w:bookmarkEnd w:id="5"/>
      <w:r w:rsidRPr="00D846C6">
        <w:rPr>
          <w:szCs w:val="24"/>
          <w:lang w:eastAsia="zh-CN"/>
        </w:rPr>
        <w:t>si le groupe de travail concerné donne son accord.</w:t>
      </w:r>
      <w:bookmarkEnd w:id="6"/>
      <w:r w:rsidRPr="00D846C6">
        <w:rPr>
          <w:szCs w:val="24"/>
          <w:lang w:eastAsia="zh-CN"/>
        </w:rPr>
        <w:t xml:space="preserve"> Cette proposition a suscité des préoccupations</w:t>
      </w:r>
      <w:r w:rsidR="00055C5A">
        <w:rPr>
          <w:szCs w:val="24"/>
          <w:lang w:eastAsia="zh-CN"/>
        </w:rPr>
        <w:t>.</w:t>
      </w:r>
      <w:r w:rsidRPr="00D846C6">
        <w:rPr>
          <w:szCs w:val="24"/>
          <w:lang w:eastAsia="zh-CN"/>
        </w:rPr>
        <w:t xml:space="preserve"> En tout état de cause, celle-ci devrait être conforme aux dispositions énoncées dans la Résolution </w:t>
      </w:r>
      <w:hyperlink r:id="rId9" w:history="1">
        <w:r w:rsidRPr="00D846C6">
          <w:rPr>
            <w:rStyle w:val="Hyperlink"/>
            <w:szCs w:val="24"/>
            <w:lang w:eastAsia="zh-CN"/>
          </w:rPr>
          <w:t>UIT-R 1-8</w:t>
        </w:r>
      </w:hyperlink>
      <w:r w:rsidR="00696B50" w:rsidRPr="00D846C6">
        <w:rPr>
          <w:szCs w:val="24"/>
          <w:lang w:eastAsia="zh-CN"/>
        </w:rPr>
        <w:t>»</w:t>
      </w:r>
      <w:r w:rsidRPr="00D846C6">
        <w:rPr>
          <w:szCs w:val="24"/>
          <w:lang w:eastAsia="zh-CN"/>
        </w:rPr>
        <w:t>. Il est également indiqué ce qui suit dans le document (</w:t>
      </w:r>
      <w:r w:rsidRPr="00D846C6">
        <w:rPr>
          <w:b/>
          <w:bCs/>
          <w:szCs w:val="24"/>
          <w:lang w:eastAsia="zh-CN"/>
        </w:rPr>
        <w:t xml:space="preserve">en gras </w:t>
      </w:r>
      <w:r w:rsidRPr="00D846C6">
        <w:rPr>
          <w:szCs w:val="24"/>
          <w:lang w:eastAsia="zh-CN"/>
        </w:rPr>
        <w:t xml:space="preserve">dans l'original): </w:t>
      </w:r>
      <w:r w:rsidR="00696B50" w:rsidRPr="00D846C6">
        <w:rPr>
          <w:szCs w:val="24"/>
          <w:lang w:eastAsia="zh-CN"/>
        </w:rPr>
        <w:t>«</w:t>
      </w:r>
      <w:r w:rsidRPr="00D846C6">
        <w:rPr>
          <w:szCs w:val="24"/>
          <w:lang w:eastAsia="zh-CN"/>
        </w:rPr>
        <w:t xml:space="preserve">La </w:t>
      </w:r>
      <w:r w:rsidRPr="00D846C6">
        <w:rPr>
          <w:b/>
          <w:bCs/>
          <w:szCs w:val="24"/>
          <w:lang w:eastAsia="zh-CN"/>
        </w:rPr>
        <w:t xml:space="preserve">confiance </w:t>
      </w:r>
      <w:r w:rsidRPr="00D846C6">
        <w:rPr>
          <w:szCs w:val="24"/>
          <w:lang w:eastAsia="zh-CN"/>
        </w:rPr>
        <w:t>est également indispensable si l</w:t>
      </w:r>
      <w:r w:rsidR="00696B50" w:rsidRPr="00D846C6">
        <w:rPr>
          <w:szCs w:val="24"/>
          <w:lang w:eastAsia="zh-CN"/>
        </w:rPr>
        <w:t>'</w:t>
      </w:r>
      <w:r w:rsidRPr="00D846C6">
        <w:rPr>
          <w:szCs w:val="24"/>
          <w:lang w:eastAsia="zh-CN"/>
        </w:rPr>
        <w:t>on veut progresser</w:t>
      </w:r>
      <w:r w:rsidR="00696B50" w:rsidRPr="00D846C6">
        <w:rPr>
          <w:szCs w:val="24"/>
          <w:lang w:eastAsia="zh-CN"/>
        </w:rPr>
        <w:t>»</w:t>
      </w:r>
      <w:r w:rsidRPr="00D846C6">
        <w:rPr>
          <w:szCs w:val="24"/>
          <w:lang w:eastAsia="zh-CN"/>
        </w:rPr>
        <w:t>.</w:t>
      </w:r>
    </w:p>
    <w:p w14:paraId="726305CB" w14:textId="1619E519" w:rsidR="00BD74CF" w:rsidRPr="00D846C6" w:rsidRDefault="00BD74CF" w:rsidP="00BD74CF">
      <w:pPr>
        <w:pStyle w:val="enumlev1"/>
      </w:pPr>
      <w:r w:rsidRPr="00D846C6">
        <w:t>3)</w:t>
      </w:r>
      <w:r w:rsidRPr="00D846C6">
        <w:tab/>
        <w:t xml:space="preserve">Il est d'usage que la Commission d'études 5 de l'UIT-R </w:t>
      </w:r>
      <w:r w:rsidRPr="00D846C6">
        <w:rPr>
          <w:highlight w:val="yellow"/>
        </w:rPr>
        <w:t>charge les groupes de travail</w:t>
      </w:r>
      <w:r w:rsidRPr="00D846C6">
        <w:t xml:space="preserve"> qui lui sont rattachés, pendant toute la période d'études, </w:t>
      </w:r>
      <w:r w:rsidRPr="00D846C6">
        <w:rPr>
          <w:highlight w:val="yellow"/>
        </w:rPr>
        <w:t>d'</w:t>
      </w:r>
      <w:r w:rsidR="00696B50" w:rsidRPr="00D846C6">
        <w:rPr>
          <w:highlight w:val="yellow"/>
        </w:rPr>
        <w:t>approuver</w:t>
      </w:r>
      <w:r w:rsidRPr="00D846C6">
        <w:rPr>
          <w:highlight w:val="yellow"/>
        </w:rPr>
        <w:t xml:space="preserve"> les Manuels</w:t>
      </w:r>
      <w:r w:rsidRPr="00D846C6">
        <w:t xml:space="preserve">, conformément au § 2.3 de la Résolution UIT-R 1 (voir le </w:t>
      </w:r>
      <w:hyperlink r:id="rId10" w:history="1">
        <w:r w:rsidRPr="00D846C6">
          <w:t>Document </w:t>
        </w:r>
        <w:r w:rsidRPr="00D846C6">
          <w:rPr>
            <w:rStyle w:val="Hyperlink"/>
          </w:rPr>
          <w:t>5/1</w:t>
        </w:r>
      </w:hyperlink>
      <w:r w:rsidRPr="00D846C6">
        <w:rPr>
          <w:rStyle w:val="Hyperlink"/>
        </w:rPr>
        <w:t>(Rév.1)</w:t>
      </w:r>
      <w:r w:rsidRPr="00D846C6">
        <w:t xml:space="preserve"> sur l</w:t>
      </w:r>
      <w:r w:rsidR="00696B50" w:rsidRPr="00D846C6">
        <w:t>'</w:t>
      </w:r>
      <w:r w:rsidRPr="00D846C6">
        <w:t>attribution des textes aux sous-groupes de la Commission d'études 5, en date du 2 février 2021).</w:t>
      </w:r>
    </w:p>
    <w:p w14:paraId="5BE23382" w14:textId="20DE4F2F" w:rsidR="00BD74CF" w:rsidRPr="00D846C6" w:rsidRDefault="00BD74CF" w:rsidP="00BD74CF">
      <w:pPr>
        <w:pStyle w:val="enumlev1"/>
      </w:pPr>
      <w:r w:rsidRPr="00D846C6">
        <w:lastRenderedPageBreak/>
        <w:t>4)</w:t>
      </w:r>
      <w:r w:rsidRPr="00D846C6">
        <w:tab/>
      </w:r>
      <w:bookmarkStart w:id="7" w:name="_Hlk65052229"/>
      <w:r w:rsidRPr="00D846C6">
        <w:t>Les groupes d'étude</w:t>
      </w:r>
      <w:r w:rsidR="00055C5A">
        <w:t>s</w:t>
      </w:r>
      <w:r w:rsidRPr="00D846C6">
        <w:t xml:space="preserve"> (GE) sont des groupes informels créés par les GT. Ils ne sont pas mentionnés dans la Résolution </w:t>
      </w:r>
      <w:hyperlink r:id="rId11" w:history="1">
        <w:r w:rsidRPr="00D846C6">
          <w:rPr>
            <w:rStyle w:val="Hyperlink"/>
          </w:rPr>
          <w:t>UIT-R 1-8</w:t>
        </w:r>
      </w:hyperlink>
      <w:r w:rsidRPr="00D846C6">
        <w:t>, de sorte qu</w:t>
      </w:r>
      <w:r w:rsidR="00696B50" w:rsidRPr="00D846C6">
        <w:t>'</w:t>
      </w:r>
      <w:r w:rsidRPr="00D846C6">
        <w:t>ils n'ont pas de statut officiel. Les GE peuvent uniquement élaborer des projets informels pour examen par le GT compétent.</w:t>
      </w:r>
      <w:bookmarkEnd w:id="7"/>
    </w:p>
    <w:p w14:paraId="0FDED853" w14:textId="2FCD5573" w:rsidR="00BD74CF" w:rsidRPr="00D846C6" w:rsidRDefault="00BD74CF" w:rsidP="00BD74CF">
      <w:pPr>
        <w:pStyle w:val="enumlev1"/>
      </w:pPr>
      <w:r w:rsidRPr="00D846C6">
        <w:t>5)</w:t>
      </w:r>
      <w:r w:rsidRPr="00D846C6">
        <w:tab/>
        <w:t>Les discussions relatives aux notes de liaison qui ont lieu au sein des GE se répètent généralement lors des séances plénières et les mêmes arguments sont avancés. Très souvent, les spécialistes qui élaborent les notes de liaison font aussi office de points de contact pour la réponse. Les GT peuvent être assurés du fait que ces spécialistes présenteront verbalement les notes de liaison, sans qu'il soit nécessaire de se mettre d</w:t>
      </w:r>
      <w:r w:rsidR="00696B50" w:rsidRPr="00D846C6">
        <w:t>'</w:t>
      </w:r>
      <w:r w:rsidRPr="00D846C6">
        <w:t>accord sur chaque terme</w:t>
      </w:r>
      <w:r w:rsidR="00696B50" w:rsidRPr="00D846C6">
        <w:t>.</w:t>
      </w:r>
    </w:p>
    <w:p w14:paraId="731D9050" w14:textId="7F422C09" w:rsidR="00BD74CF" w:rsidRPr="00D846C6" w:rsidRDefault="00BD74CF" w:rsidP="00BD74CF">
      <w:pPr>
        <w:pStyle w:val="enumlev1"/>
      </w:pPr>
      <w:r w:rsidRPr="00D846C6">
        <w:t>6)</w:t>
      </w:r>
      <w:r w:rsidRPr="00D846C6">
        <w:tab/>
        <w:t>Cette question étant liée aux méthodes de travail des GT de l'UIT-R, il convient de la traiter de façon harmonisée. On pourrait mettre en pratique la proposition lors des prochaines réunions des GT de la Commission d'études 5 de l'UIT-R et le Groupe consultatif des radiocommunications (GCR) pourrait suggérer des enseigne</w:t>
      </w:r>
      <w:r w:rsidR="00055C5A">
        <w:t>ments à l'intention de tous les </w:t>
      </w:r>
      <w:r w:rsidRPr="00D846C6">
        <w:t>GT de l'UIT-R.</w:t>
      </w:r>
    </w:p>
    <w:p w14:paraId="503634B0" w14:textId="77777777" w:rsidR="00BD74CF" w:rsidRPr="00D846C6" w:rsidRDefault="00BD74CF" w:rsidP="00BD74CF">
      <w:pPr>
        <w:pStyle w:val="Headingb"/>
      </w:pPr>
      <w:r w:rsidRPr="00D846C6">
        <w:t>Examen</w:t>
      </w:r>
    </w:p>
    <w:p w14:paraId="4A9025DE" w14:textId="3B6BCA2F" w:rsidR="00BD74CF" w:rsidRPr="00D846C6" w:rsidRDefault="00BD74CF" w:rsidP="00E617A7">
      <w:pPr>
        <w:pStyle w:val="enumlev1"/>
      </w:pPr>
      <w:r w:rsidRPr="00D846C6">
        <w:t>1)</w:t>
      </w:r>
      <w:r w:rsidRPr="00D846C6">
        <w:tab/>
        <w:t>Les participants aux séances plénières ne participent pas tous</w:t>
      </w:r>
      <w:r w:rsidR="00055C5A">
        <w:t xml:space="preserve"> à la totalité des réunions des </w:t>
      </w:r>
      <w:r w:rsidRPr="00D846C6">
        <w:t>GT.</w:t>
      </w:r>
    </w:p>
    <w:p w14:paraId="17099F00" w14:textId="77777777" w:rsidR="00BD74CF" w:rsidRPr="00D846C6" w:rsidRDefault="00BD74CF" w:rsidP="00E617A7">
      <w:pPr>
        <w:pStyle w:val="enumlev1"/>
      </w:pPr>
      <w:r w:rsidRPr="00D846C6">
        <w:t>2)</w:t>
      </w:r>
      <w:r w:rsidRPr="00D846C6">
        <w:tab/>
        <w:t xml:space="preserve">Il est évident que les Présidents des GT doivent exercer leurs fonctions conformément à la Constitution et à la Convention de l'UIT, aux </w:t>
      </w:r>
      <w:r w:rsidRPr="00D846C6">
        <w:rPr>
          <w:color w:val="000000"/>
        </w:rPr>
        <w:t>Règles générales régissant les conférences, assemblées et réunions de l'Union</w:t>
      </w:r>
      <w:r w:rsidRPr="00D846C6">
        <w:t xml:space="preserve"> ainsi qu'à la Résolution </w:t>
      </w:r>
      <w:hyperlink r:id="rId12" w:history="1">
        <w:r w:rsidRPr="00D846C6">
          <w:rPr>
            <w:rStyle w:val="Hyperlink"/>
            <w:szCs w:val="24"/>
          </w:rPr>
          <w:t>UIT-R 1-8</w:t>
        </w:r>
      </w:hyperlink>
      <w:r w:rsidRPr="00D846C6">
        <w:t>.</w:t>
      </w:r>
    </w:p>
    <w:p w14:paraId="6725854F" w14:textId="70879140" w:rsidR="00BD74CF" w:rsidRPr="00D846C6" w:rsidRDefault="00BD74CF" w:rsidP="00E617A7">
      <w:pPr>
        <w:pStyle w:val="enumlev1"/>
      </w:pPr>
      <w:r w:rsidRPr="00D846C6">
        <w:t>3)</w:t>
      </w:r>
      <w:r w:rsidRPr="00D846C6">
        <w:tab/>
        <w:t>Dans la pratique, les GT ne mettent à disposition les documents de travail et les documents de travail préliminaires qu</w:t>
      </w:r>
      <w:r w:rsidR="00696B50" w:rsidRPr="00D846C6">
        <w:t>'</w:t>
      </w:r>
      <w:r w:rsidRPr="00D846C6">
        <w:t xml:space="preserve">à la demande des membres. </w:t>
      </w:r>
      <w:bookmarkStart w:id="8" w:name="_Hlk65057452"/>
      <w:r w:rsidRPr="00D846C6">
        <w:t xml:space="preserve">On peut faire de même pour les notes de liaison: pour accélérer l'élaboration et la distribution des notes de liaison, les GT pourraient confier cette tâche aux GE, si le GT concerné donne son accord, comme indiqué dans le Document </w:t>
      </w:r>
      <w:hyperlink r:id="rId13" w:history="1">
        <w:r w:rsidRPr="00D846C6">
          <w:rPr>
            <w:rStyle w:val="Hyperlink"/>
            <w:szCs w:val="24"/>
          </w:rPr>
          <w:t>CVC/4</w:t>
        </w:r>
      </w:hyperlink>
      <w:r w:rsidRPr="00D846C6">
        <w:t>.</w:t>
      </w:r>
      <w:bookmarkEnd w:id="8"/>
    </w:p>
    <w:p w14:paraId="25781E63" w14:textId="498B06DA" w:rsidR="00BD74CF" w:rsidRPr="00D846C6" w:rsidRDefault="00BD74CF" w:rsidP="00E617A7">
      <w:pPr>
        <w:pStyle w:val="enumlev1"/>
      </w:pPr>
      <w:r w:rsidRPr="00D846C6">
        <w:t>4)</w:t>
      </w:r>
      <w:r w:rsidRPr="00D846C6">
        <w:tab/>
        <w:t>À cet égard, la CE 5 de l'UIT-R pourrait faire œuvre de précurseur</w:t>
      </w:r>
      <w:r w:rsidRPr="00D846C6" w:rsidDel="00832D22">
        <w:t xml:space="preserve"> </w:t>
      </w:r>
      <w:r w:rsidRPr="00D846C6">
        <w:t>et servir de modèle pour les GT des autres commissions d'études, à l'issue des discussions qui auront lieu à la prochaine réunion du GCR, qui se tiendra du 29 mars au 1er avril 2021.</w:t>
      </w:r>
    </w:p>
    <w:p w14:paraId="0C328B05" w14:textId="77777777" w:rsidR="00BD74CF" w:rsidRPr="00D846C6" w:rsidRDefault="00BD74CF" w:rsidP="00BD74CF">
      <w:pPr>
        <w:pStyle w:val="Headingb"/>
        <w:rPr>
          <w:szCs w:val="24"/>
        </w:rPr>
      </w:pPr>
      <w:r w:rsidRPr="00D846C6">
        <w:rPr>
          <w:szCs w:val="24"/>
        </w:rPr>
        <w:t>Proposition</w:t>
      </w:r>
    </w:p>
    <w:p w14:paraId="0A0BE422" w14:textId="5163D557" w:rsidR="00BD74CF" w:rsidRPr="00D846C6" w:rsidRDefault="00BD74CF" w:rsidP="00E617A7">
      <w:pPr>
        <w:pStyle w:val="enumlev1"/>
      </w:pPr>
      <w:r w:rsidRPr="00D846C6">
        <w:t>1)</w:t>
      </w:r>
      <w:r w:rsidRPr="00D846C6">
        <w:tab/>
        <w:t>Les GE élaboreront les projets de notes de liaison sous la forme de documents temporaires.</w:t>
      </w:r>
    </w:p>
    <w:p w14:paraId="053BB15D" w14:textId="6CB7A46E" w:rsidR="00BD74CF" w:rsidRPr="00D846C6" w:rsidRDefault="00BD74CF" w:rsidP="00E617A7">
      <w:pPr>
        <w:pStyle w:val="enumlev1"/>
      </w:pPr>
      <w:r w:rsidRPr="00D846C6">
        <w:t>2)</w:t>
      </w:r>
      <w:r w:rsidRPr="00D846C6">
        <w:tab/>
        <w:t>Lors des séances plénières des GT, les notes de liaison temporaires rédigées par chaque GE ne seront examinées, comme les documents de travail, qu</w:t>
      </w:r>
      <w:r w:rsidR="00696B50" w:rsidRPr="00D846C6">
        <w:t>'</w:t>
      </w:r>
      <w:r w:rsidRPr="00D846C6">
        <w:rPr>
          <w:u w:val="single"/>
        </w:rPr>
        <w:t>à la demande des membres</w:t>
      </w:r>
      <w:r w:rsidRPr="00D846C6">
        <w:t>.</w:t>
      </w:r>
    </w:p>
    <w:p w14:paraId="5E0FFB6C" w14:textId="77777777" w:rsidR="00BD74CF" w:rsidRPr="00D846C6" w:rsidRDefault="00BD74CF" w:rsidP="00E617A7">
      <w:pPr>
        <w:pStyle w:val="enumlev1"/>
      </w:pPr>
      <w:r w:rsidRPr="00D846C6">
        <w:t>3)</w:t>
      </w:r>
      <w:r w:rsidRPr="00D846C6">
        <w:tab/>
        <w:t>Les notes de liaison seront distribuées après la séance plénière des GT.</w:t>
      </w:r>
    </w:p>
    <w:p w14:paraId="262D58BE" w14:textId="6202589A" w:rsidR="00BD74CF" w:rsidRDefault="00BD74CF" w:rsidP="00E617A7">
      <w:pPr>
        <w:pStyle w:val="enumlev1"/>
      </w:pPr>
      <w:r w:rsidRPr="00D846C6">
        <w:t>4)</w:t>
      </w:r>
      <w:r w:rsidRPr="00D846C6">
        <w:tab/>
        <w:t>Lors des premières séances plénières, les Présidents des GT pourront présenter la proposition visant à confier cette tâche aux GE. L</w:t>
      </w:r>
      <w:r w:rsidR="00696B50" w:rsidRPr="00D846C6">
        <w:t>'</w:t>
      </w:r>
      <w:r w:rsidRPr="00D846C6">
        <w:t>idée sera adoptée si la plénière donne son approbation. Des décisions pourront être prises aux séances plénières suivantes.</w:t>
      </w:r>
    </w:p>
    <w:p w14:paraId="0F0DFA78" w14:textId="77777777" w:rsidR="00055C5A" w:rsidRPr="00D846C6" w:rsidRDefault="00055C5A" w:rsidP="00E617A7">
      <w:pPr>
        <w:pStyle w:val="enumlev1"/>
      </w:pPr>
    </w:p>
    <w:p w14:paraId="227FC461" w14:textId="77777777" w:rsidR="00BD74CF" w:rsidRPr="00D846C6" w:rsidRDefault="00BD74CF" w:rsidP="00E617A7">
      <w:pPr>
        <w:spacing w:before="360"/>
        <w:jc w:val="center"/>
      </w:pPr>
      <w:r w:rsidRPr="00D846C6">
        <w:t>_______________</w:t>
      </w:r>
      <w:bookmarkStart w:id="9" w:name="_GoBack"/>
      <w:bookmarkEnd w:id="9"/>
    </w:p>
    <w:sectPr w:rsidR="00BD74CF" w:rsidRPr="00D846C6">
      <w:headerReference w:type="even" r:id="rId14"/>
      <w:headerReference w:type="default" r:id="rId15"/>
      <w:footerReference w:type="even"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AEEFA" w14:textId="77777777" w:rsidR="00BD74CF" w:rsidRDefault="00BD74CF">
      <w:r>
        <w:separator/>
      </w:r>
    </w:p>
  </w:endnote>
  <w:endnote w:type="continuationSeparator" w:id="0">
    <w:p w14:paraId="12EA9184" w14:textId="77777777" w:rsidR="00BD74CF" w:rsidRDefault="00BD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8F1A" w14:textId="13F4C891"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5D6438">
      <w:rPr>
        <w:lang w:val="en-US"/>
      </w:rPr>
      <w:t>P:\FRA\ITU-R\AG\RAG\RAG21\000\028F.docx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5D6438">
      <w:t>26.02.21</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5D6438">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7D8FF" w14:textId="2CDBB230" w:rsidR="00847AAC" w:rsidRPr="00173E4A" w:rsidRDefault="00A9055C">
    <w:pPr>
      <w:pStyle w:val="Footer"/>
      <w:rPr>
        <w:lang w:val="en-US"/>
      </w:rPr>
    </w:pPr>
    <w:r>
      <w:fldChar w:fldCharType="begin"/>
    </w:r>
    <w:r w:rsidRPr="00A9055C">
      <w:rPr>
        <w:lang w:val="en-US"/>
      </w:rPr>
      <w:instrText xml:space="preserve"> FILENAME \p \* MERGEFORMAT </w:instrText>
    </w:r>
    <w:r>
      <w:fldChar w:fldCharType="separate"/>
    </w:r>
    <w:r w:rsidR="005D6438">
      <w:rPr>
        <w:lang w:val="en-US"/>
      </w:rPr>
      <w:t>P:\FRA\ITU-R\AG\RAG\RAG21\000\028F.docx</w:t>
    </w:r>
    <w:r>
      <w:rPr>
        <w:lang w:val="en-US"/>
      </w:rPr>
      <w:fldChar w:fldCharType="end"/>
    </w:r>
    <w:r w:rsidR="00173E4A" w:rsidRPr="00173E4A">
      <w:rPr>
        <w:lang w:val="en-US"/>
      </w:rPr>
      <w:t xml:space="preserve"> </w:t>
    </w:r>
    <w:r w:rsidR="00173E4A">
      <w:rPr>
        <w:lang w:val="en-US"/>
      </w:rPr>
      <w:t>(483584)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BAF4" w14:textId="21831225" w:rsidR="00847AAC" w:rsidRDefault="00173E4A" w:rsidP="007711EA">
    <w:pPr>
      <w:pStyle w:val="Footer"/>
      <w:rPr>
        <w:lang w:val="en-US"/>
      </w:rPr>
    </w:pPr>
    <w:r>
      <w:fldChar w:fldCharType="begin"/>
    </w:r>
    <w:r w:rsidRPr="00A9055C">
      <w:rPr>
        <w:lang w:val="en-US"/>
      </w:rPr>
      <w:instrText xml:space="preserve"> FILENAME \p \* MERGEFORMAT </w:instrText>
    </w:r>
    <w:r>
      <w:fldChar w:fldCharType="separate"/>
    </w:r>
    <w:r w:rsidR="005D6438">
      <w:rPr>
        <w:lang w:val="en-US"/>
      </w:rPr>
      <w:t>P:\FRA\ITU-R\AG\RAG\RAG21\000\028F.docx</w:t>
    </w:r>
    <w:r>
      <w:rPr>
        <w:lang w:val="en-US"/>
      </w:rPr>
      <w:fldChar w:fldCharType="end"/>
    </w:r>
    <w:r w:rsidRPr="00173E4A">
      <w:rPr>
        <w:lang w:val="en-US"/>
      </w:rPr>
      <w:t xml:space="preserve"> </w:t>
    </w:r>
    <w:r>
      <w:rPr>
        <w:lang w:val="en-US"/>
      </w:rPr>
      <w:t>(483584)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3EB54" w14:textId="77777777" w:rsidR="00BD74CF" w:rsidRDefault="00BD74CF">
      <w:r>
        <w:t>____________________</w:t>
      </w:r>
    </w:p>
  </w:footnote>
  <w:footnote w:type="continuationSeparator" w:id="0">
    <w:p w14:paraId="36E99E6B" w14:textId="77777777" w:rsidR="00BD74CF" w:rsidRDefault="00BD74CF">
      <w:r>
        <w:continuationSeparator/>
      </w:r>
    </w:p>
  </w:footnote>
  <w:footnote w:id="1">
    <w:p w14:paraId="668651AA" w14:textId="05F84792" w:rsidR="00BD74CF" w:rsidRPr="00C05FDE" w:rsidRDefault="00BD74CF" w:rsidP="00BD74CF">
      <w:pPr>
        <w:pStyle w:val="FootnoteText"/>
        <w:rPr>
          <w:szCs w:val="24"/>
        </w:rPr>
      </w:pPr>
      <w:r>
        <w:rPr>
          <w:rStyle w:val="FootnoteReference"/>
        </w:rPr>
        <w:footnoteRef/>
      </w:r>
      <w:r w:rsidRPr="00C05FDE">
        <w:tab/>
      </w:r>
      <w:r w:rsidRPr="00C05FDE">
        <w:rPr>
          <w:b/>
          <w:bCs/>
          <w:szCs w:val="24"/>
        </w:rPr>
        <w:t>Contact:</w:t>
      </w:r>
      <w:r w:rsidRPr="00C05FDE">
        <w:rPr>
          <w:szCs w:val="24"/>
        </w:rPr>
        <w:t xml:space="preserve"> M. Haim Mazar, Vice-Président de</w:t>
      </w:r>
      <w:r>
        <w:rPr>
          <w:szCs w:val="24"/>
        </w:rPr>
        <w:t xml:space="preserve"> la Commission d'études</w:t>
      </w:r>
      <w:r w:rsidRPr="00C05FDE">
        <w:rPr>
          <w:szCs w:val="24"/>
        </w:rPr>
        <w:t xml:space="preserve"> 5; </w:t>
      </w:r>
      <w:hyperlink r:id="rId1" w:history="1">
        <w:r w:rsidRPr="00C05FDE">
          <w:rPr>
            <w:rStyle w:val="Hyperlink"/>
            <w:szCs w:val="24"/>
          </w:rPr>
          <w:t>ATDI</w:t>
        </w:r>
      </w:hyperlink>
      <w:r w:rsidRPr="00C05FDE">
        <w:rPr>
          <w:szCs w:val="24"/>
        </w:rPr>
        <w:t xml:space="preserve">; </w:t>
      </w:r>
      <w:hyperlink r:id="rId2" w:history="1">
        <w:r w:rsidR="00055C5A" w:rsidRPr="001271EE">
          <w:rPr>
            <w:rStyle w:val="Hyperlink"/>
            <w:szCs w:val="24"/>
          </w:rPr>
          <w:t>h.mazar@atdi</w:t>
        </w:r>
        <w:r w:rsidR="00055C5A" w:rsidRPr="001271EE">
          <w:rPr>
            <w:rStyle w:val="Hyperlink"/>
            <w:szCs w:val="24"/>
          </w:rPr>
          <w:noBreakHyphen/>
          <w:t>group.com</w:t>
        </w:r>
      </w:hyperlink>
      <w:r w:rsidRPr="00696B50">
        <w:rPr>
          <w:rStyle w:val="Hyperlink"/>
          <w:color w:val="auto"/>
          <w:szCs w:val="24"/>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A714"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FBEBF" w14:textId="6EB2AE1D" w:rsidR="00847AAC" w:rsidRDefault="00A9055C" w:rsidP="00925627">
    <w:pPr>
      <w:pStyle w:val="Header"/>
      <w:rPr>
        <w:lang w:val="es-ES"/>
      </w:rPr>
    </w:pPr>
    <w:r>
      <w:fldChar w:fldCharType="begin"/>
    </w:r>
    <w:r>
      <w:instrText xml:space="preserve"> PAGE </w:instrText>
    </w:r>
    <w:r>
      <w:fldChar w:fldCharType="separate"/>
    </w:r>
    <w:r w:rsidR="005D6438">
      <w:rPr>
        <w:noProof/>
      </w:rPr>
      <w:t>2</w:t>
    </w:r>
    <w:r>
      <w:rPr>
        <w:noProof/>
      </w:rPr>
      <w:fldChar w:fldCharType="end"/>
    </w:r>
  </w:p>
  <w:p w14:paraId="72158657" w14:textId="73CAA911" w:rsidR="00847AAC" w:rsidRDefault="0097156E" w:rsidP="007711EA">
    <w:pPr>
      <w:pStyle w:val="Header"/>
      <w:rPr>
        <w:lang w:val="es-ES"/>
      </w:rPr>
    </w:pPr>
    <w:r>
      <w:rPr>
        <w:lang w:val="es-ES"/>
      </w:rPr>
      <w:t>RAG</w:t>
    </w:r>
    <w:r w:rsidR="00847AAC">
      <w:rPr>
        <w:lang w:val="es-ES"/>
      </w:rPr>
      <w:t>/</w:t>
    </w:r>
    <w:r w:rsidR="00173E4A">
      <w:rPr>
        <w:lang w:val="es-ES"/>
      </w:rPr>
      <w:t>28</w:t>
    </w:r>
    <w:r w:rsidR="00AF2EDC">
      <w:rPr>
        <w:lang w:val="es-ES"/>
      </w:rPr>
      <w:t>-</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CF"/>
    <w:rsid w:val="00055C5A"/>
    <w:rsid w:val="000C06D8"/>
    <w:rsid w:val="00140AE6"/>
    <w:rsid w:val="00173E4A"/>
    <w:rsid w:val="00222A1C"/>
    <w:rsid w:val="002850D0"/>
    <w:rsid w:val="002D238A"/>
    <w:rsid w:val="003A6CEE"/>
    <w:rsid w:val="00405FBE"/>
    <w:rsid w:val="00443261"/>
    <w:rsid w:val="004E1CCF"/>
    <w:rsid w:val="004E76DF"/>
    <w:rsid w:val="005031C8"/>
    <w:rsid w:val="005207F5"/>
    <w:rsid w:val="005430E4"/>
    <w:rsid w:val="005D6438"/>
    <w:rsid w:val="0067019B"/>
    <w:rsid w:val="00677EE5"/>
    <w:rsid w:val="00694DEF"/>
    <w:rsid w:val="00696B50"/>
    <w:rsid w:val="007711EA"/>
    <w:rsid w:val="00773E5E"/>
    <w:rsid w:val="008069E9"/>
    <w:rsid w:val="00847AAC"/>
    <w:rsid w:val="00902253"/>
    <w:rsid w:val="00925627"/>
    <w:rsid w:val="0093101F"/>
    <w:rsid w:val="0097156E"/>
    <w:rsid w:val="00A9055C"/>
    <w:rsid w:val="00AB7F92"/>
    <w:rsid w:val="00AC39EE"/>
    <w:rsid w:val="00AF2EDC"/>
    <w:rsid w:val="00B268B1"/>
    <w:rsid w:val="00B41D84"/>
    <w:rsid w:val="00BA0C7B"/>
    <w:rsid w:val="00BC4591"/>
    <w:rsid w:val="00BD74CF"/>
    <w:rsid w:val="00C034CC"/>
    <w:rsid w:val="00C72A86"/>
    <w:rsid w:val="00CC5B9E"/>
    <w:rsid w:val="00CC7208"/>
    <w:rsid w:val="00CE6184"/>
    <w:rsid w:val="00D228F7"/>
    <w:rsid w:val="00D34E1C"/>
    <w:rsid w:val="00D846C6"/>
    <w:rsid w:val="00D95965"/>
    <w:rsid w:val="00DD55EB"/>
    <w:rsid w:val="00E2659D"/>
    <w:rsid w:val="00E617A7"/>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37502"/>
  <w15:docId w15:val="{68F98F1D-B4ED-49D0-95F4-BA52ACFD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FT"/>
    <w:basedOn w:val="Note"/>
    <w:link w:val="FootnoteTextChar"/>
    <w:qFormat/>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D74CF"/>
    <w:rPr>
      <w:color w:val="0000FF"/>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BD74CF"/>
    <w:rPr>
      <w:rFonts w:ascii="Times New Roman" w:hAnsi="Times New Roman"/>
      <w:sz w:val="24"/>
      <w:lang w:val="fr-FR" w:eastAsia="en-US"/>
    </w:rPr>
  </w:style>
  <w:style w:type="character" w:customStyle="1" w:styleId="HeadingbChar">
    <w:name w:val="Heading_b Char"/>
    <w:basedOn w:val="DefaultParagraphFont"/>
    <w:link w:val="Headingb"/>
    <w:locked/>
    <w:rsid w:val="00BD74CF"/>
    <w:rPr>
      <w:rFonts w:ascii="Times New Roman" w:hAnsi="Times New Roman"/>
      <w:b/>
      <w:sz w:val="24"/>
      <w:lang w:val="fr-FR" w:eastAsia="en-US"/>
    </w:rPr>
  </w:style>
  <w:style w:type="character" w:styleId="FollowedHyperlink">
    <w:name w:val="FollowedHyperlink"/>
    <w:basedOn w:val="DefaultParagraphFont"/>
    <w:semiHidden/>
    <w:unhideWhenUsed/>
    <w:rsid w:val="00BD74CF"/>
    <w:rPr>
      <w:color w:val="800080" w:themeColor="followedHyperlink"/>
      <w:u w:val="single"/>
    </w:rPr>
  </w:style>
  <w:style w:type="paragraph" w:customStyle="1" w:styleId="NormalVerdana">
    <w:name w:val="Normal + Verdana"/>
    <w:basedOn w:val="Normal"/>
    <w:rsid w:val="00BD74CF"/>
    <w:pPr>
      <w:framePr w:hSpace="180" w:wrap="around" w:hAnchor="text" w:y="-766"/>
      <w:shd w:val="solid" w:color="FFFFFF" w:fill="FFFFFF"/>
      <w:spacing w:before="0" w:line="360" w:lineRule="auto"/>
    </w:pPr>
    <w:rPr>
      <w:rFonts w:ascii="Verdana" w:hAnsi="Verdana"/>
      <w:b/>
      <w:sz w:val="20"/>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ties/itu-r/md/19/cvc/c/R19-CVC-C-0004!!MSW-E.docx" TargetMode="External"/><Relationship Id="rId13" Type="http://schemas.openxmlformats.org/officeDocument/2006/relationships/hyperlink" Target="https://www.itu.int/dms_ties/itu-r/md/19/cvc/c/R19-CVC-C-0004!!MSW-E.docx" TargetMode="Externa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dms_ties/itu-r/md/19/cvc/c/R19-CVC-C-0004!!MSW-E.docx" TargetMode="External"/><Relationship Id="rId12" Type="http://schemas.openxmlformats.org/officeDocument/2006/relationships/hyperlink" Target="https://www.itu.int/pub/R-RES-R.1-8-2019"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pub/R-RES-R.1-8-2019"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itu.int/md/R19-SG05-C-0001/e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pub/R-RES-R.1-8-2019/fr"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h.mazar@atdigroup.com" TargetMode="External"/><Relationship Id="rId1" Type="http://schemas.openxmlformats.org/officeDocument/2006/relationships/hyperlink" Target="https://atd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PF_RAG21.dotm</Template>
  <TotalTime>37</TotalTime>
  <Pages>2</Pages>
  <Words>781</Words>
  <Characters>4110</Characters>
  <Application>Microsoft Office Word</Application>
  <DocSecurity>0</DocSecurity>
  <Lines>82</Lines>
  <Paragraphs>31</Paragraphs>
  <ScaleCrop>false</ScaleCrop>
  <HeadingPairs>
    <vt:vector size="2" baseType="variant">
      <vt:variant>
        <vt:lpstr>Title</vt:lpstr>
      </vt:variant>
      <vt:variant>
        <vt:i4>1</vt:i4>
      </vt:variant>
    </vt:vector>
  </HeadingPairs>
  <TitlesOfParts>
    <vt:vector size="1" baseType="lpstr">
      <vt:lpstr>SIMPLIFICATION DE L'APPROBATION DES NOTES DE LIAISON</vt:lpstr>
    </vt:vector>
  </TitlesOfParts>
  <Manager>General Secretariat - Pool</Manager>
  <Company>International Telecommunication Union (ITU)</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SIMPLIFICATION DE L'APPROBATION DES NOTES DE LIAISON</dc:title>
  <dc:subject>GROUPE CONSULTATIF DES RADIOCOMMUNICATIONS</dc:subject>
  <dc:creator>ATDI</dc:creator>
  <cp:keywords>RAG03-1</cp:keywords>
  <dc:description>Document RAG/28-F Document 5A/241-F Document 5B/239-F Document 5C/143-F Document 5D/492-F  For: _x000d_Document date: 22 février 2021_x000d_Saved by R03 at 08:53:21 on 26.02.21</dc:description>
  <cp:lastModifiedBy>Royer, Veronique</cp:lastModifiedBy>
  <cp:revision>10</cp:revision>
  <cp:lastPrinted>1999-10-11T14:58:00Z</cp:lastPrinted>
  <dcterms:created xsi:type="dcterms:W3CDTF">2021-02-26T06:41:00Z</dcterms:created>
  <dcterms:modified xsi:type="dcterms:W3CDTF">2021-02-26T07:53:00Z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RAG/28-F Document 5A/241-F Document 5B/239-F Document 5C/143-F Document 5D/492-F</vt:lpwstr>
  </property>
  <property fmtid="{D5CDD505-2E9C-101B-9397-08002B2CF9AE}" pid="3" name="Docdate">
    <vt:lpwstr>22 février 2021</vt:lpwstr>
  </property>
  <property fmtid="{D5CDD505-2E9C-101B-9397-08002B2CF9AE}" pid="4" name="Docorlang">
    <vt:lpwstr>Original: anglais SÉANCE PLÉNIÈRE</vt:lpwstr>
  </property>
  <property fmtid="{D5CDD505-2E9C-101B-9397-08002B2CF9AE}" pid="5" name="Docauthor">
    <vt:lpwstr>ATDI</vt:lpwstr>
  </property>
</Properties>
</file>