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:rsidRPr="00C41210" w14:paraId="2C8C3754" w14:textId="77777777" w:rsidTr="00432E3E">
        <w:trPr>
          <w:cantSplit/>
        </w:trPr>
        <w:tc>
          <w:tcPr>
            <w:tcW w:w="6772" w:type="dxa"/>
            <w:vAlign w:val="center"/>
          </w:tcPr>
          <w:p w14:paraId="4157CE5A" w14:textId="77777777" w:rsidR="0057336B" w:rsidRPr="00C41210" w:rsidRDefault="0057336B" w:rsidP="00D226B3">
            <w:pPr>
              <w:shd w:val="solid" w:color="FFFFFF" w:fill="FFFFFF"/>
              <w:tabs>
                <w:tab w:val="left" w:pos="568"/>
              </w:tabs>
              <w:spacing w:before="360" w:after="240"/>
              <w:jc w:val="left"/>
              <w:rPr>
                <w:b/>
                <w:caps/>
                <w:sz w:val="32"/>
              </w:rPr>
            </w:pPr>
            <w:r w:rsidRPr="00C41210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 w:rsidRPr="00C41210">
              <w:rPr>
                <w:b/>
                <w:caps/>
                <w:sz w:val="32"/>
              </w:rPr>
              <w:br/>
            </w:r>
          </w:p>
        </w:tc>
        <w:tc>
          <w:tcPr>
            <w:tcW w:w="3117" w:type="dxa"/>
            <w:vAlign w:val="center"/>
          </w:tcPr>
          <w:p w14:paraId="609418E7" w14:textId="77777777" w:rsidR="0057336B" w:rsidRPr="00C41210" w:rsidRDefault="00AB4BAD" w:rsidP="008A01FC">
            <w:pPr>
              <w:shd w:val="solid" w:color="FFFFFF" w:fill="FFFFFF"/>
              <w:spacing w:before="0"/>
            </w:pPr>
            <w:r w:rsidRPr="00C41210">
              <w:rPr>
                <w:noProof/>
                <w:lang w:eastAsia="zh-CN"/>
              </w:rPr>
              <w:drawing>
                <wp:inline distT="0" distB="0" distL="0" distR="0" wp14:anchorId="16047694" wp14:editId="4445CC34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C41210" w14:paraId="7C3B5EDE" w14:textId="77777777" w:rsidTr="00432E3E">
        <w:trPr>
          <w:cantSplit/>
        </w:trPr>
        <w:tc>
          <w:tcPr>
            <w:tcW w:w="6772" w:type="dxa"/>
            <w:tcBorders>
              <w:bottom w:val="single" w:sz="12" w:space="0" w:color="auto"/>
            </w:tcBorders>
          </w:tcPr>
          <w:p w14:paraId="1A334A17" w14:textId="77777777" w:rsidR="006E291F" w:rsidRPr="00C41210" w:rsidRDefault="006E291F" w:rsidP="008A01F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14:paraId="3CAE0D27" w14:textId="77777777" w:rsidR="006E291F" w:rsidRPr="00C41210" w:rsidRDefault="006E291F" w:rsidP="008A01FC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6E291F" w:rsidRPr="00C41210" w14:paraId="634B21CA" w14:textId="77777777" w:rsidTr="00432E3E">
        <w:trPr>
          <w:cantSplit/>
        </w:trPr>
        <w:tc>
          <w:tcPr>
            <w:tcW w:w="6772" w:type="dxa"/>
            <w:tcBorders>
              <w:top w:val="single" w:sz="12" w:space="0" w:color="auto"/>
            </w:tcBorders>
          </w:tcPr>
          <w:p w14:paraId="0CB3525A" w14:textId="77777777" w:rsidR="006E291F" w:rsidRPr="00C41210" w:rsidRDefault="006E291F" w:rsidP="008A01F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12" w:space="0" w:color="auto"/>
            </w:tcBorders>
          </w:tcPr>
          <w:p w14:paraId="566B0928" w14:textId="77777777" w:rsidR="006E291F" w:rsidRPr="00C41210" w:rsidRDefault="006E291F" w:rsidP="008A01FC">
            <w:pPr>
              <w:shd w:val="solid" w:color="FFFFFF" w:fill="FFFFFF"/>
              <w:spacing w:before="0" w:after="48"/>
              <w:rPr>
                <w:rFonts w:ascii="Verdana" w:hAnsi="Verdana"/>
                <w:sz w:val="22"/>
                <w:szCs w:val="22"/>
              </w:rPr>
            </w:pPr>
          </w:p>
        </w:tc>
      </w:tr>
      <w:tr w:rsidR="006E291F" w:rsidRPr="00C41210" w14:paraId="617A826B" w14:textId="77777777" w:rsidTr="00432E3E">
        <w:trPr>
          <w:cantSplit/>
        </w:trPr>
        <w:tc>
          <w:tcPr>
            <w:tcW w:w="6772" w:type="dxa"/>
            <w:vMerge w:val="restart"/>
          </w:tcPr>
          <w:p w14:paraId="545C2F8D" w14:textId="77777777" w:rsidR="006E291F" w:rsidRPr="00C41210" w:rsidRDefault="006E291F" w:rsidP="008A01FC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7" w:type="dxa"/>
          </w:tcPr>
          <w:p w14:paraId="6F992703" w14:textId="1921D7DB" w:rsidR="006E291F" w:rsidRPr="00C41210" w:rsidRDefault="00432E3E" w:rsidP="00D226B3">
            <w:pPr>
              <w:shd w:val="solid" w:color="FFFFFF" w:fill="FFFFFF"/>
              <w:spacing w:before="0"/>
              <w:jc w:val="left"/>
              <w:rPr>
                <w:rFonts w:ascii="Verdana" w:hAnsi="Verdana"/>
                <w:b/>
                <w:bCs/>
                <w:sz w:val="20"/>
              </w:rPr>
            </w:pPr>
            <w:r w:rsidRPr="00C41210">
              <w:rPr>
                <w:rFonts w:ascii="Verdana" w:hAnsi="Verdana"/>
                <w:b/>
                <w:bCs/>
                <w:sz w:val="20"/>
              </w:rPr>
              <w:t xml:space="preserve">Addéndum </w:t>
            </w:r>
            <w:r w:rsidR="00137CAD">
              <w:rPr>
                <w:rFonts w:ascii="Verdana" w:hAnsi="Verdana"/>
                <w:b/>
                <w:bCs/>
                <w:sz w:val="20"/>
              </w:rPr>
              <w:t>2</w:t>
            </w:r>
            <w:r w:rsidRPr="00C41210">
              <w:rPr>
                <w:rFonts w:ascii="Verdana" w:hAnsi="Verdana"/>
                <w:b/>
                <w:bCs/>
                <w:sz w:val="20"/>
              </w:rPr>
              <w:t xml:space="preserve"> al</w:t>
            </w:r>
            <w:r w:rsidRPr="00C41210">
              <w:rPr>
                <w:rFonts w:ascii="Verdana" w:hAnsi="Verdana"/>
                <w:b/>
                <w:bCs/>
                <w:sz w:val="20"/>
              </w:rPr>
              <w:br/>
              <w:t>Documento RAG/26-S</w:t>
            </w:r>
            <w:r w:rsidRPr="00C41210">
              <w:rPr>
                <w:rFonts w:ascii="Verdana" w:hAnsi="Verdana"/>
                <w:b/>
                <w:bCs/>
                <w:sz w:val="20"/>
              </w:rPr>
              <w:br/>
            </w:r>
            <w:r w:rsidR="00137CAD">
              <w:rPr>
                <w:rFonts w:ascii="Verdana" w:hAnsi="Verdana"/>
                <w:b/>
                <w:bCs/>
                <w:sz w:val="20"/>
              </w:rPr>
              <w:t>23</w:t>
            </w:r>
            <w:r w:rsidRPr="00C41210">
              <w:rPr>
                <w:rFonts w:ascii="Verdana" w:hAnsi="Verdana"/>
                <w:b/>
                <w:bCs/>
                <w:sz w:val="20"/>
              </w:rPr>
              <w:t xml:space="preserve"> de febrero de 2021</w:t>
            </w:r>
          </w:p>
        </w:tc>
      </w:tr>
      <w:tr w:rsidR="006E291F" w:rsidRPr="00C41210" w14:paraId="286FC987" w14:textId="77777777" w:rsidTr="00432E3E">
        <w:trPr>
          <w:cantSplit/>
        </w:trPr>
        <w:tc>
          <w:tcPr>
            <w:tcW w:w="6772" w:type="dxa"/>
            <w:vMerge/>
          </w:tcPr>
          <w:p w14:paraId="33EA251A" w14:textId="77777777" w:rsidR="006E291F" w:rsidRPr="00C41210" w:rsidRDefault="006E291F" w:rsidP="008A01FC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7" w:type="dxa"/>
          </w:tcPr>
          <w:p w14:paraId="389E354E" w14:textId="36AAF4A8" w:rsidR="006E291F" w:rsidRPr="00C41210" w:rsidRDefault="00432E3E" w:rsidP="008A01FC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C41210">
              <w:rPr>
                <w:rFonts w:ascii="Verdana" w:hAnsi="Verdana"/>
                <w:b/>
                <w:bCs/>
                <w:sz w:val="20"/>
              </w:rPr>
              <w:t>Original: inglés</w:t>
            </w:r>
          </w:p>
        </w:tc>
      </w:tr>
      <w:tr w:rsidR="006E291F" w:rsidRPr="00C41210" w14:paraId="32DC59B9" w14:textId="77777777" w:rsidTr="008F0106">
        <w:trPr>
          <w:cantSplit/>
        </w:trPr>
        <w:tc>
          <w:tcPr>
            <w:tcW w:w="9889" w:type="dxa"/>
            <w:gridSpan w:val="2"/>
          </w:tcPr>
          <w:p w14:paraId="40A5C752" w14:textId="6EF53AAF" w:rsidR="006E291F" w:rsidRPr="00C41210" w:rsidRDefault="00432E3E" w:rsidP="008A01FC">
            <w:pPr>
              <w:pStyle w:val="Source"/>
            </w:pPr>
            <w:bookmarkStart w:id="2" w:name="dsource" w:colFirst="0" w:colLast="0"/>
            <w:bookmarkEnd w:id="1"/>
            <w:r w:rsidRPr="00C41210">
              <w:t>Director de la Oficina de Radiocomunicaciones</w:t>
            </w:r>
          </w:p>
        </w:tc>
      </w:tr>
      <w:tr w:rsidR="006E291F" w:rsidRPr="00C41210" w14:paraId="02F5DECB" w14:textId="77777777" w:rsidTr="008F0106">
        <w:trPr>
          <w:cantSplit/>
        </w:trPr>
        <w:tc>
          <w:tcPr>
            <w:tcW w:w="9889" w:type="dxa"/>
            <w:gridSpan w:val="2"/>
          </w:tcPr>
          <w:p w14:paraId="4A6AEC3E" w14:textId="31005D66" w:rsidR="00432E3E" w:rsidRPr="00C41210" w:rsidRDefault="00137CAD" w:rsidP="00137CAD">
            <w:pPr>
              <w:pStyle w:val="Title1"/>
            </w:pPr>
            <w:bookmarkStart w:id="3" w:name="dtitle1" w:colFirst="0" w:colLast="0"/>
            <w:bookmarkEnd w:id="2"/>
            <w:r>
              <w:t xml:space="preserve">CONTRIBUCIÓN DEL DIRECTOR DE LA BR AL GRUPO DE EXPERTOS SOBRE EL REGLAMENTO DE LAS TELECOMUNICACIONES INTERNACIONALES </w:t>
            </w:r>
          </w:p>
        </w:tc>
      </w:tr>
    </w:tbl>
    <w:p w14:paraId="5AE8F4B6" w14:textId="26CC3022" w:rsidR="00432E3E" w:rsidRPr="00C41210" w:rsidRDefault="00432E3E" w:rsidP="008A01FC">
      <w:pPr>
        <w:pStyle w:val="Heading1"/>
      </w:pPr>
      <w:bookmarkStart w:id="4" w:name="_Toc445972779"/>
      <w:bookmarkEnd w:id="3"/>
      <w:r w:rsidRPr="00C41210">
        <w:t>1</w:t>
      </w:r>
      <w:r w:rsidRPr="00C41210">
        <w:tab/>
      </w:r>
      <w:bookmarkEnd w:id="4"/>
      <w:r w:rsidR="00137CAD">
        <w:t>Antecedentes</w:t>
      </w:r>
    </w:p>
    <w:p w14:paraId="3600C35C" w14:textId="50205F82" w:rsidR="00432E3E" w:rsidRDefault="00137CAD" w:rsidP="008A01FC">
      <w:r w:rsidRPr="00137CAD">
        <w:t>Mediante la Resolución 1379 del Consejo de la UIT (Consejo 2019)</w:t>
      </w:r>
      <w:r w:rsidR="00110BF2">
        <w:t>,</w:t>
      </w:r>
      <w:r w:rsidRPr="00137CAD">
        <w:t xml:space="preserve"> se creó un Grupo de Expertos </w:t>
      </w:r>
      <w:r>
        <w:t>sobre</w:t>
      </w:r>
      <w:r w:rsidRPr="00137CAD">
        <w:t xml:space="preserve"> el Reglamento de las Telecomunicaciones Internacionales (</w:t>
      </w:r>
      <w:r>
        <w:t>GE-RTI</w:t>
      </w:r>
      <w:r w:rsidRPr="00137CAD">
        <w:t>) con el mandato que figura en el Anexo</w:t>
      </w:r>
      <w:r w:rsidR="00432E3E" w:rsidRPr="00C41210">
        <w:t>.</w:t>
      </w:r>
    </w:p>
    <w:p w14:paraId="1078573B" w14:textId="7DB5257A" w:rsidR="00137CAD" w:rsidRDefault="00137CAD" w:rsidP="008A01FC">
      <w:r>
        <w:t>En la Resolución 1379 (Consejo 2019) se encarga a los Directores de las Oficinas</w:t>
      </w:r>
    </w:p>
    <w:p w14:paraId="296BBD0C" w14:textId="0234FE75" w:rsidR="00137CAD" w:rsidRDefault="00ED18C1" w:rsidP="00ED18C1">
      <w:pPr>
        <w:ind w:left="720"/>
        <w:jc w:val="left"/>
      </w:pPr>
      <w:r>
        <w:rPr>
          <w:i/>
          <w:iCs/>
        </w:rPr>
        <w:t>«</w:t>
      </w:r>
      <w:r w:rsidR="00137CAD" w:rsidRPr="00137CAD">
        <w:rPr>
          <w:i/>
          <w:iCs/>
        </w:rPr>
        <w:t>que, en su ámbito de competencia y con el asesoramiento de los grupos asesores correspondientes, contribuyan a los trabajos del Grupo, reconociendo que son los trabajos del Sector de Normalización de las Telecomunicaciones de la UIT los más pertinentes al</w:t>
      </w:r>
      <w:r>
        <w:rPr>
          <w:i/>
          <w:iCs/>
        </w:rPr>
        <w:t> </w:t>
      </w:r>
      <w:r w:rsidR="00137CAD" w:rsidRPr="00137CAD">
        <w:rPr>
          <w:i/>
          <w:iCs/>
        </w:rPr>
        <w:t>RTI</w:t>
      </w:r>
      <w:r>
        <w:rPr>
          <w:i/>
          <w:iCs/>
        </w:rPr>
        <w:t>»</w:t>
      </w:r>
      <w:r w:rsidR="00137CAD">
        <w:t>.</w:t>
      </w:r>
    </w:p>
    <w:p w14:paraId="5563FAB0" w14:textId="0609B1D5" w:rsidR="00137CAD" w:rsidRPr="00C41210" w:rsidRDefault="00110BF2" w:rsidP="008A01FC">
      <w:r>
        <w:t>L</w:t>
      </w:r>
      <w:r w:rsidR="00137CAD" w:rsidRPr="00137CAD">
        <w:t xml:space="preserve">a quinta y última reunión del GE-RTI, que se celebrará en septiembre de 2021, </w:t>
      </w:r>
      <w:r>
        <w:t>representa</w:t>
      </w:r>
      <w:r w:rsidR="00137CAD" w:rsidRPr="00137CAD">
        <w:t xml:space="preserve"> la última oportunidad de contribuir a la revisión del RTI en lo que atañe a los asuntos relacionados con las radiocomunicaciones.</w:t>
      </w:r>
      <w:r w:rsidR="003D234B">
        <w:t xml:space="preserve"> </w:t>
      </w:r>
      <w:r w:rsidR="00137CAD" w:rsidRPr="00137CAD">
        <w:t>Por lo tanto, el Director de la BR solicita el asesoramiento del GAR sobre los aspectos del RTI que resultan pertinentes para el Sector de las Radiocomunicaciones</w:t>
      </w:r>
      <w:r>
        <w:t>.</w:t>
      </w:r>
    </w:p>
    <w:p w14:paraId="565360B6" w14:textId="67B124A3" w:rsidR="00432E3E" w:rsidRPr="00C41210" w:rsidRDefault="00432E3E" w:rsidP="008A01FC">
      <w:pPr>
        <w:pStyle w:val="Heading1"/>
      </w:pPr>
      <w:bookmarkStart w:id="5" w:name="_Toc445972780"/>
      <w:r w:rsidRPr="00C41210">
        <w:t>2</w:t>
      </w:r>
      <w:r w:rsidRPr="00C41210">
        <w:tab/>
      </w:r>
      <w:bookmarkEnd w:id="5"/>
      <w:r w:rsidR="003528F8">
        <w:t>L</w:t>
      </w:r>
      <w:r w:rsidR="00CA13FB" w:rsidRPr="00CA13FB">
        <w:t>os Reglamentos Administrativos</w:t>
      </w:r>
      <w:r w:rsidR="00CA13FB">
        <w:t xml:space="preserve"> de la UIT</w:t>
      </w:r>
    </w:p>
    <w:p w14:paraId="106E289C" w14:textId="77777777" w:rsidR="00CA13FB" w:rsidRDefault="00CA13FB" w:rsidP="00ED18C1">
      <w:pPr>
        <w:spacing w:after="120"/>
      </w:pPr>
      <w:r>
        <w:t>En el Artículo 4 (Instrumentos de la Unión) de la Constitución de la UIT se establece que: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358"/>
      </w:tblGrid>
      <w:tr w:rsidR="00CA13FB" w14:paraId="1464ADBD" w14:textId="77777777" w:rsidTr="00F51E5C">
        <w:tc>
          <w:tcPr>
            <w:tcW w:w="1271" w:type="dxa"/>
          </w:tcPr>
          <w:p w14:paraId="6A4D6856" w14:textId="77777777" w:rsidR="00CA13FB" w:rsidRPr="00BB10CA" w:rsidRDefault="00CA13FB" w:rsidP="00F51E5C">
            <w:pPr>
              <w:rPr>
                <w:szCs w:val="24"/>
              </w:rPr>
            </w:pPr>
            <w:bookmarkStart w:id="6" w:name="lt_pId022"/>
            <w:r w:rsidRPr="00BB10CA">
              <w:t>CS 29</w:t>
            </w:r>
            <w:bookmarkEnd w:id="6"/>
          </w:p>
        </w:tc>
        <w:tc>
          <w:tcPr>
            <w:tcW w:w="8358" w:type="dxa"/>
          </w:tcPr>
          <w:p w14:paraId="36A88BFA" w14:textId="5C5060D8" w:rsidR="00CA13FB" w:rsidRPr="00BB10CA" w:rsidRDefault="00CA13FB" w:rsidP="00F51E5C">
            <w:pPr>
              <w:pStyle w:val="enumlev1"/>
              <w:pageBreakBefore/>
              <w:ind w:left="0" w:firstLine="0"/>
            </w:pPr>
            <w:r w:rsidRPr="00BB10CA">
              <w:t>1</w:t>
            </w:r>
            <w:r w:rsidRPr="00BB10CA">
              <w:tab/>
            </w:r>
            <w:bookmarkStart w:id="7" w:name="lt_pId024"/>
            <w:r w:rsidRPr="00BB10CA">
              <w:t>Los instrumentos de la Unión son:</w:t>
            </w:r>
            <w:bookmarkEnd w:id="7"/>
          </w:p>
          <w:p w14:paraId="7B0EBC66" w14:textId="3B992FAA" w:rsidR="00CA13FB" w:rsidRPr="00BB10CA" w:rsidRDefault="00CA13FB" w:rsidP="00ED18C1">
            <w:pPr>
              <w:pStyle w:val="enumlev1"/>
              <w:jc w:val="left"/>
            </w:pPr>
            <w:r w:rsidRPr="00BB10CA">
              <w:t>–</w:t>
            </w:r>
            <w:r w:rsidRPr="00BB10CA">
              <w:tab/>
            </w:r>
            <w:bookmarkStart w:id="8" w:name="lt_pId026"/>
            <w:r w:rsidRPr="00BB10CA">
              <w:t>la presente Constitución de la Unión Internacional de Telecomunicaciones,</w:t>
            </w:r>
            <w:bookmarkEnd w:id="8"/>
          </w:p>
          <w:p w14:paraId="7F5E994D" w14:textId="59CA83E3" w:rsidR="00CA13FB" w:rsidRPr="00BB10CA" w:rsidRDefault="00CA13FB" w:rsidP="00ED18C1">
            <w:pPr>
              <w:pStyle w:val="enumlev1"/>
            </w:pPr>
            <w:r w:rsidRPr="00BB10CA">
              <w:t>–</w:t>
            </w:r>
            <w:r w:rsidRPr="00BB10CA">
              <w:tab/>
              <w:t>el Convenio de la Unión Internacional de Telecomunicaciones, y</w:t>
            </w:r>
          </w:p>
          <w:p w14:paraId="6B2C0FBD" w14:textId="30C92BB7" w:rsidR="00CA13FB" w:rsidRPr="002C670F" w:rsidRDefault="00CA13FB" w:rsidP="00ED18C1">
            <w:pPr>
              <w:pStyle w:val="enumlev1"/>
              <w:spacing w:after="120"/>
            </w:pPr>
            <w:r w:rsidRPr="00BB10CA">
              <w:t>–</w:t>
            </w:r>
            <w:r w:rsidRPr="00BB10CA">
              <w:tab/>
            </w:r>
            <w:bookmarkStart w:id="9" w:name="lt_pId030"/>
            <w:r w:rsidRPr="00BB10CA">
              <w:t>los Reglamentos Administrativos.</w:t>
            </w:r>
            <w:bookmarkEnd w:id="9"/>
          </w:p>
        </w:tc>
      </w:tr>
      <w:tr w:rsidR="00CA13FB" w14:paraId="302A4985" w14:textId="77777777" w:rsidTr="00F51E5C">
        <w:tc>
          <w:tcPr>
            <w:tcW w:w="1271" w:type="dxa"/>
          </w:tcPr>
          <w:p w14:paraId="7569EAAC" w14:textId="77777777" w:rsidR="00CA13FB" w:rsidRPr="00BB10CA" w:rsidRDefault="00CA13FB" w:rsidP="00F51E5C">
            <w:bookmarkStart w:id="10" w:name="lt_pId031"/>
            <w:r w:rsidRPr="00BB10CA">
              <w:t>CS 30</w:t>
            </w:r>
            <w:bookmarkEnd w:id="10"/>
          </w:p>
        </w:tc>
        <w:tc>
          <w:tcPr>
            <w:tcW w:w="8358" w:type="dxa"/>
          </w:tcPr>
          <w:p w14:paraId="7B5CBF78" w14:textId="1A094AFA" w:rsidR="00CA13FB" w:rsidRDefault="00CA13FB" w:rsidP="00ED18C1">
            <w:pPr>
              <w:pStyle w:val="enumlev1"/>
              <w:pageBreakBefore/>
              <w:spacing w:after="120"/>
              <w:ind w:left="0" w:firstLine="0"/>
            </w:pPr>
            <w:r w:rsidRPr="00BB10CA">
              <w:t>2</w:t>
            </w:r>
            <w:r w:rsidRPr="00BB10CA">
              <w:tab/>
            </w:r>
            <w:bookmarkStart w:id="11" w:name="lt_pId033"/>
            <w:r w:rsidRPr="00BB10CA">
              <w:t>La presente Constitución, cuyas disposiciones se complementan con las del Convenio, es el instrumento fundamental de la Unión.</w:t>
            </w:r>
            <w:bookmarkEnd w:id="11"/>
          </w:p>
        </w:tc>
      </w:tr>
      <w:tr w:rsidR="00CA13FB" w14:paraId="020A25CF" w14:textId="77777777" w:rsidTr="00F51E5C">
        <w:tc>
          <w:tcPr>
            <w:tcW w:w="1271" w:type="dxa"/>
          </w:tcPr>
          <w:p w14:paraId="61532E95" w14:textId="77777777" w:rsidR="00CA13FB" w:rsidRPr="00AF1337" w:rsidRDefault="00CA13FB" w:rsidP="00ED18C1">
            <w:pPr>
              <w:keepNext/>
              <w:keepLines/>
              <w:rPr>
                <w:szCs w:val="24"/>
              </w:rPr>
            </w:pPr>
            <w:bookmarkStart w:id="12" w:name="lt_pId034"/>
            <w:r w:rsidRPr="00AF1337">
              <w:lastRenderedPageBreak/>
              <w:t>CS 31</w:t>
            </w:r>
            <w:bookmarkEnd w:id="12"/>
          </w:p>
        </w:tc>
        <w:tc>
          <w:tcPr>
            <w:tcW w:w="8358" w:type="dxa"/>
          </w:tcPr>
          <w:p w14:paraId="4F2EFDF8" w14:textId="782C3B85" w:rsidR="00CA13FB" w:rsidRPr="00BB10CA" w:rsidRDefault="00CA13FB" w:rsidP="00ED18C1">
            <w:pPr>
              <w:pStyle w:val="enumlev1"/>
              <w:keepNext/>
              <w:keepLines/>
              <w:pageBreakBefore/>
              <w:ind w:left="0" w:firstLine="0"/>
            </w:pPr>
            <w:r w:rsidRPr="00BB10CA">
              <w:t>3</w:t>
            </w:r>
            <w:r w:rsidRPr="00BB10CA">
              <w:tab/>
            </w:r>
            <w:bookmarkStart w:id="13" w:name="lt_pId036"/>
            <w:r w:rsidR="00245D20" w:rsidRPr="00BB10CA">
              <w:t>Las disposiciones de la presente Constitución y del Convenio se complementan, además, con las de los Reglamentos Administrativos siguientes, que regulan el uso de las telecomunicaciones y tendrán carácter vinculante para todos los Estados Miembros</w:t>
            </w:r>
            <w:r w:rsidRPr="00BB10CA">
              <w:t>:</w:t>
            </w:r>
            <w:bookmarkEnd w:id="13"/>
          </w:p>
          <w:p w14:paraId="58D1E5E3" w14:textId="6D539322" w:rsidR="00CA13FB" w:rsidRPr="00BB10CA" w:rsidRDefault="00CA13FB" w:rsidP="00F91780">
            <w:pPr>
              <w:pStyle w:val="enumlev1"/>
              <w:spacing w:after="80"/>
            </w:pPr>
            <w:r w:rsidRPr="00BB10CA">
              <w:t>–</w:t>
            </w:r>
            <w:r w:rsidRPr="00BB10CA">
              <w:tab/>
            </w:r>
            <w:bookmarkStart w:id="14" w:name="lt_pId038"/>
            <w:r w:rsidR="00245D20" w:rsidRPr="00BB10CA">
              <w:t>Reglamento de las Telecomunicaciones Internacionales</w:t>
            </w:r>
            <w:r w:rsidRPr="00BB10CA">
              <w:t>,</w:t>
            </w:r>
            <w:bookmarkEnd w:id="14"/>
          </w:p>
          <w:p w14:paraId="076D2AA8" w14:textId="14F4C439" w:rsidR="00CA13FB" w:rsidRPr="00BB10CA" w:rsidRDefault="00CA13FB" w:rsidP="007C0264">
            <w:pPr>
              <w:pStyle w:val="enumlev1"/>
              <w:spacing w:after="120"/>
              <w:rPr>
                <w:szCs w:val="24"/>
              </w:rPr>
            </w:pPr>
            <w:r w:rsidRPr="00BB10CA">
              <w:t>–</w:t>
            </w:r>
            <w:r w:rsidRPr="00BB10CA">
              <w:tab/>
            </w:r>
            <w:bookmarkStart w:id="15" w:name="lt_pId040"/>
            <w:r w:rsidR="00245D20" w:rsidRPr="00BB10CA">
              <w:t>Reglamento de Radiocomunicaciones</w:t>
            </w:r>
            <w:r w:rsidRPr="00BB10CA">
              <w:t>.</w:t>
            </w:r>
            <w:bookmarkEnd w:id="15"/>
          </w:p>
        </w:tc>
      </w:tr>
      <w:tr w:rsidR="00CA13FB" w14:paraId="65995810" w14:textId="77777777" w:rsidTr="00F51E5C">
        <w:tc>
          <w:tcPr>
            <w:tcW w:w="1271" w:type="dxa"/>
          </w:tcPr>
          <w:p w14:paraId="5A592135" w14:textId="77777777" w:rsidR="00CA13FB" w:rsidRPr="00AF1337" w:rsidRDefault="00CA13FB" w:rsidP="00F51E5C">
            <w:pPr>
              <w:rPr>
                <w:szCs w:val="24"/>
              </w:rPr>
            </w:pPr>
            <w:bookmarkStart w:id="16" w:name="lt_pId041"/>
            <w:r w:rsidRPr="00AF1337">
              <w:rPr>
                <w:szCs w:val="24"/>
              </w:rPr>
              <w:t>CS 32</w:t>
            </w:r>
            <w:bookmarkEnd w:id="16"/>
          </w:p>
        </w:tc>
        <w:tc>
          <w:tcPr>
            <w:tcW w:w="8358" w:type="dxa"/>
          </w:tcPr>
          <w:p w14:paraId="285BD223" w14:textId="46241627" w:rsidR="00CA13FB" w:rsidRPr="00BB10CA" w:rsidRDefault="00CA13FB" w:rsidP="00F51E5C">
            <w:pPr>
              <w:rPr>
                <w:szCs w:val="24"/>
              </w:rPr>
            </w:pPr>
            <w:r w:rsidRPr="00BB10CA">
              <w:t>4</w:t>
            </w:r>
            <w:r w:rsidRPr="00BB10CA">
              <w:tab/>
            </w:r>
            <w:r w:rsidR="00245D20" w:rsidRPr="00BB10CA">
              <w:t>En caso de divergencia entre una disposición de la presente Constitución y una disposición del Convenio o de los Reglamentos Administrativos, prevalecerá la primera. En caso de divergencia entre una disposición del Convenio y una disposición de un Reglamento Administrativo, prevalecerá el Convenio</w:t>
            </w:r>
            <w:bookmarkStart w:id="17" w:name="lt_pId044"/>
            <w:r w:rsidRPr="00BB10CA">
              <w:t>.</w:t>
            </w:r>
            <w:bookmarkEnd w:id="17"/>
          </w:p>
        </w:tc>
      </w:tr>
    </w:tbl>
    <w:p w14:paraId="61D4F5C3" w14:textId="65AE1054" w:rsidR="00432E3E" w:rsidRPr="00C41210" w:rsidRDefault="00432E3E" w:rsidP="00BB10CA">
      <w:pPr>
        <w:pStyle w:val="Heading1"/>
        <w:ind w:left="0" w:firstLine="0"/>
      </w:pPr>
      <w:bookmarkStart w:id="18" w:name="_Toc445972781"/>
      <w:r w:rsidRPr="00C41210">
        <w:t>3</w:t>
      </w:r>
      <w:r w:rsidRPr="00C41210">
        <w:tab/>
      </w:r>
      <w:bookmarkEnd w:id="18"/>
      <w:r w:rsidR="00BB10CA">
        <w:t xml:space="preserve">Disposición del Reglamento de las Telecomunicaciones Internacionales relacionada con las radiocomunicaciones </w:t>
      </w:r>
    </w:p>
    <w:p w14:paraId="41E521C4" w14:textId="4F1286D4" w:rsidR="00432E3E" w:rsidRDefault="00BB10CA" w:rsidP="00ED18C1">
      <w:pPr>
        <w:spacing w:after="120"/>
      </w:pPr>
      <w:r>
        <w:t xml:space="preserve">Tal y como se reconoce en la Resolución 1379, </w:t>
      </w:r>
      <w:r w:rsidRPr="00BB10CA">
        <w:t>la mayor parte de la labor pertinente al RTI está a cargo del Sector de Normalización de las Telecomunicaciones</w:t>
      </w:r>
      <w:r>
        <w:t>. No obstante, el RTI tiene una disposición que resulta especialmente pertinente</w:t>
      </w:r>
      <w:r w:rsidR="00C823F9">
        <w:t xml:space="preserve"> para los trabajos del Sector de Radiocomunicaciones de la UIT.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358"/>
      </w:tblGrid>
      <w:tr w:rsidR="00C96A8A" w:rsidRPr="00C96A8A" w14:paraId="6A8476C5" w14:textId="77777777" w:rsidTr="00F51E5C">
        <w:tc>
          <w:tcPr>
            <w:tcW w:w="1271" w:type="dxa"/>
          </w:tcPr>
          <w:p w14:paraId="5921BEC5" w14:textId="554B934F" w:rsidR="00C96A8A" w:rsidRPr="00C96A8A" w:rsidRDefault="00C96A8A" w:rsidP="00C96A8A">
            <w:pPr>
              <w:jc w:val="left"/>
              <w:rPr>
                <w:szCs w:val="24"/>
                <w:lang w:val="es-ES"/>
              </w:rPr>
            </w:pPr>
            <w:bookmarkStart w:id="19" w:name="lt_pId049"/>
            <w:r w:rsidRPr="00C96A8A">
              <w:rPr>
                <w:szCs w:val="24"/>
                <w:lang w:val="es-ES"/>
              </w:rPr>
              <w:t>RTI 12</w:t>
            </w:r>
            <w:bookmarkEnd w:id="19"/>
          </w:p>
        </w:tc>
        <w:tc>
          <w:tcPr>
            <w:tcW w:w="8358" w:type="dxa"/>
          </w:tcPr>
          <w:p w14:paraId="7EA06660" w14:textId="17596C45" w:rsidR="00C96A8A" w:rsidRPr="00C96A8A" w:rsidRDefault="00C96A8A" w:rsidP="00C96A8A">
            <w:pPr>
              <w:jc w:val="left"/>
              <w:rPr>
                <w:rFonts w:ascii="Calibri" w:hAnsi="Calibri" w:cs="Calibri"/>
                <w:b/>
                <w:color w:val="800000"/>
                <w:sz w:val="22"/>
                <w:lang w:val="es-ES"/>
              </w:rPr>
            </w:pPr>
            <w:r w:rsidRPr="00C96A8A">
              <w:rPr>
                <w:lang w:val="es-ES"/>
              </w:rPr>
              <w:t>1.8</w:t>
            </w:r>
            <w:r w:rsidRPr="00C96A8A">
              <w:rPr>
                <w:lang w:val="es-ES"/>
              </w:rPr>
              <w:tab/>
            </w:r>
            <w:bookmarkStart w:id="20" w:name="lt_pId051"/>
            <w:r w:rsidRPr="00C96A8A">
              <w:rPr>
                <w:lang w:val="es-ES"/>
              </w:rPr>
              <w:t>Las disposiciones del presente Reglamento serán aplicables, independientemente del medio de transmisión utilizado, siempre que en el Reglamento de Radiocomunicaciones no se disponga lo contrario.</w:t>
            </w:r>
            <w:bookmarkEnd w:id="20"/>
            <w:r w:rsidRPr="00C96A8A">
              <w:rPr>
                <w:rFonts w:ascii="Calibri" w:hAnsi="Calibri" w:cs="Calibri"/>
                <w:b/>
                <w:color w:val="800000"/>
                <w:sz w:val="22"/>
                <w:lang w:val="es-ES"/>
              </w:rPr>
              <w:t xml:space="preserve"> </w:t>
            </w:r>
          </w:p>
        </w:tc>
      </w:tr>
    </w:tbl>
    <w:p w14:paraId="22742035" w14:textId="60AD0717" w:rsidR="00C96A8A" w:rsidRPr="00C96A8A" w:rsidRDefault="00C96A8A" w:rsidP="00C96A8A">
      <w:pPr>
        <w:pStyle w:val="Heading2"/>
        <w:ind w:left="0" w:firstLine="0"/>
        <w:rPr>
          <w:b w:val="0"/>
        </w:rPr>
      </w:pPr>
      <w:bookmarkStart w:id="21" w:name="_Toc445972782"/>
      <w:r w:rsidRPr="00C96A8A">
        <w:rPr>
          <w:b w:val="0"/>
        </w:rPr>
        <w:t xml:space="preserve">Dado que en el </w:t>
      </w:r>
      <w:r w:rsidR="00F91780">
        <w:rPr>
          <w:b w:val="0"/>
        </w:rPr>
        <w:t>A</w:t>
      </w:r>
      <w:r w:rsidRPr="00C96A8A">
        <w:rPr>
          <w:b w:val="0"/>
        </w:rPr>
        <w:t xml:space="preserve">rtículo 4 de la Constitución de la UIT no se establece una jerarquía entre los dos Reglamentos Administrativos de la UIT, el RTI 12 </w:t>
      </w:r>
      <w:r w:rsidR="00110BF2">
        <w:rPr>
          <w:b w:val="0"/>
        </w:rPr>
        <w:t>es el texto</w:t>
      </w:r>
      <w:r w:rsidRPr="00C96A8A">
        <w:rPr>
          <w:b w:val="0"/>
        </w:rPr>
        <w:t xml:space="preserve"> clave para resolver cualquier posible conflicto entre las disposiciones del Reglamento de Radiocomunicaciones y el RTI.</w:t>
      </w:r>
      <w:r w:rsidRPr="00C96A8A">
        <w:t xml:space="preserve"> </w:t>
      </w:r>
      <w:r w:rsidRPr="00C96A8A">
        <w:rPr>
          <w:b w:val="0"/>
        </w:rPr>
        <w:t>Por lo tanto, el Director de la BR opina que el RTI 12 es un texto esencial que sigue siendo aplicable para fomentar la prestación y el desarrollo de servicios y redes de radiocomunicaciones; y que se adapta a la evolución de las radiocomunicaciones, que se refleja en las revisiones del Reglamento de Radiocomunicaciones que tienen lugar en cada Conferencia Mundial de Radiocomunicaciones.</w:t>
      </w:r>
    </w:p>
    <w:bookmarkEnd w:id="21"/>
    <w:p w14:paraId="38A08F2D" w14:textId="4E487F9A" w:rsidR="00432E3E" w:rsidRPr="00C41210" w:rsidRDefault="00432E3E" w:rsidP="008A01FC">
      <w:pPr>
        <w:pStyle w:val="Heading1"/>
      </w:pPr>
      <w:r w:rsidRPr="00C41210">
        <w:t>4</w:t>
      </w:r>
      <w:r w:rsidRPr="00C41210">
        <w:tab/>
      </w:r>
      <w:r w:rsidR="00110BF2">
        <w:t>Solicitud al Grupo Asesor de Radiocomunicaciones</w:t>
      </w:r>
    </w:p>
    <w:p w14:paraId="6F523912" w14:textId="05EE94EE" w:rsidR="00BB7403" w:rsidRDefault="00110BF2" w:rsidP="008A01FC">
      <w:r w:rsidRPr="00110BF2">
        <w:t xml:space="preserve">Se pide al GAR que considere la opinión anteriormente expuesta y asesore al Director de la BR acerca de si existen otras disposiciones del RTI que considere </w:t>
      </w:r>
      <w:r>
        <w:t>pertinentes</w:t>
      </w:r>
      <w:r w:rsidRPr="00110BF2">
        <w:t xml:space="preserve"> para el Sector de las Radiocomunicaciones</w:t>
      </w:r>
      <w:r w:rsidR="00BB7403">
        <w:t>.</w:t>
      </w:r>
    </w:p>
    <w:p w14:paraId="42955113" w14:textId="755412A0" w:rsidR="00110BF2" w:rsidRDefault="00110BF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14:paraId="355B8454" w14:textId="3551775B" w:rsidR="00110BF2" w:rsidRPr="00ED18C1" w:rsidRDefault="00110BF2" w:rsidP="00ED18C1">
      <w:pPr>
        <w:pStyle w:val="AnnexNo"/>
        <w:spacing w:before="480"/>
        <w:rPr>
          <w:rFonts w:ascii="Times New Roman" w:hAnsi="Times New Roman"/>
          <w:lang w:val="fr-FR"/>
        </w:rPr>
      </w:pPr>
      <w:r w:rsidRPr="00ED18C1">
        <w:rPr>
          <w:rFonts w:ascii="Times New Roman" w:hAnsi="Times New Roman"/>
          <w:lang w:val="fr-FR"/>
        </w:rPr>
        <w:lastRenderedPageBreak/>
        <w:t>ANEXO</w:t>
      </w:r>
    </w:p>
    <w:p w14:paraId="46CA155E" w14:textId="77777777" w:rsidR="00110BF2" w:rsidRPr="00ED18C1" w:rsidRDefault="00110BF2" w:rsidP="00ED18C1">
      <w:pPr>
        <w:pStyle w:val="Annextitle"/>
        <w:rPr>
          <w:rFonts w:ascii="Times New Roman" w:hAnsi="Times New Roman" w:cs="Times New Roman"/>
        </w:rPr>
      </w:pPr>
      <w:r w:rsidRPr="00ED18C1">
        <w:rPr>
          <w:rFonts w:ascii="Times New Roman" w:hAnsi="Times New Roman" w:cs="Times New Roman"/>
        </w:rPr>
        <w:t xml:space="preserve">Mandato del Grupo de Expertos sobre el Reglamento de </w:t>
      </w:r>
      <w:r w:rsidRPr="00ED18C1">
        <w:rPr>
          <w:rFonts w:ascii="Times New Roman" w:hAnsi="Times New Roman" w:cs="Times New Roman"/>
        </w:rPr>
        <w:br/>
        <w:t>las Telecomunicaciones Internacionales (GE-RTI)</w:t>
      </w:r>
    </w:p>
    <w:p w14:paraId="51A29AA7" w14:textId="05933504" w:rsidR="00110BF2" w:rsidRPr="00ED18C1" w:rsidRDefault="00110BF2" w:rsidP="00ED18C1">
      <w:pPr>
        <w:pStyle w:val="Normalaftertitle0"/>
        <w:spacing w:before="360"/>
        <w:rPr>
          <w:rFonts w:ascii="Times New Roman" w:hAnsi="Times New Roman" w:cs="Times New Roman"/>
          <w:sz w:val="24"/>
          <w:szCs w:val="24"/>
        </w:rPr>
      </w:pPr>
      <w:r w:rsidRPr="00ED18C1">
        <w:rPr>
          <w:rFonts w:ascii="Times New Roman" w:hAnsi="Times New Roman" w:cs="Times New Roman"/>
          <w:sz w:val="24"/>
          <w:szCs w:val="24"/>
        </w:rPr>
        <w:t>1</w:t>
      </w:r>
      <w:r w:rsidRPr="00ED18C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D18C1">
        <w:rPr>
          <w:rFonts w:ascii="Times New Roman" w:hAnsi="Times New Roman" w:cs="Times New Roman"/>
          <w:sz w:val="24"/>
          <w:szCs w:val="24"/>
        </w:rPr>
        <w:t>Sobre</w:t>
      </w:r>
      <w:proofErr w:type="gramEnd"/>
      <w:r w:rsidRPr="00ED18C1">
        <w:rPr>
          <w:rFonts w:ascii="Times New Roman" w:hAnsi="Times New Roman" w:cs="Times New Roman"/>
          <w:sz w:val="24"/>
          <w:szCs w:val="24"/>
        </w:rPr>
        <w:t xml:space="preserve"> la base de las contribuciones presentadas por los Estados Miembros, los Miembros de Sector y las aportaciones de los Directores de las </w:t>
      </w:r>
      <w:r w:rsidR="00BF3D74">
        <w:rPr>
          <w:rFonts w:ascii="Times New Roman" w:hAnsi="Times New Roman" w:cs="Times New Roman"/>
          <w:sz w:val="24"/>
          <w:szCs w:val="24"/>
        </w:rPr>
        <w:t>O</w:t>
      </w:r>
      <w:r w:rsidRPr="00ED18C1">
        <w:rPr>
          <w:rFonts w:ascii="Times New Roman" w:hAnsi="Times New Roman" w:cs="Times New Roman"/>
          <w:sz w:val="24"/>
          <w:szCs w:val="24"/>
        </w:rPr>
        <w:t>ficinas, si procede, el GE-RTI llevará a cabo un examen pormenorizado del RTI.</w:t>
      </w:r>
    </w:p>
    <w:p w14:paraId="6613E948" w14:textId="77777777" w:rsidR="00110BF2" w:rsidRDefault="00110BF2" w:rsidP="00110BF2">
      <w:pPr>
        <w:rPr>
          <w:color w:val="000000"/>
        </w:rPr>
      </w:pPr>
      <w:r>
        <w:t>2</w:t>
      </w:r>
      <w:r>
        <w:tab/>
        <w:t>El GE-RTI realizará un examen de cada una de las disposiciones del RTI, centrándose en el RTI de 2012, teniendo en cuenta las nuevas tendencias en las telecomunicaciones/TIC y los nuevos problemas del entorno internacional de las telecomunicaciones/TIC</w:t>
      </w:r>
      <w:r>
        <w:rPr>
          <w:szCs w:val="24"/>
        </w:rPr>
        <w:t>.</w:t>
      </w:r>
    </w:p>
    <w:p w14:paraId="24E96F96" w14:textId="77777777" w:rsidR="00110BF2" w:rsidRDefault="00110BF2" w:rsidP="00110BF2">
      <w:r>
        <w:t>3</w:t>
      </w:r>
      <w:r>
        <w:tab/>
        <w:t>Deberá examinarse, entre otras cosas, lo siguiente:</w:t>
      </w:r>
    </w:p>
    <w:p w14:paraId="2A6A8DB5" w14:textId="77777777" w:rsidR="00110BF2" w:rsidRDefault="00110BF2" w:rsidP="00110BF2">
      <w:pPr>
        <w:pStyle w:val="enumlev2"/>
      </w:pPr>
      <w:r>
        <w:t>a)</w:t>
      </w:r>
      <w:r>
        <w:tab/>
        <w:t>la aplicabilidad de las disposiciones del RTI para fomentar la prestación y el desarrollo de servicios y redes de telecomunicaciones/TIC internacionales;</w:t>
      </w:r>
    </w:p>
    <w:p w14:paraId="54CB25C7" w14:textId="5F7B032A" w:rsidR="00110BF2" w:rsidRDefault="00110BF2" w:rsidP="00110BF2">
      <w:pPr>
        <w:pStyle w:val="enumlev2"/>
      </w:pPr>
      <w:r>
        <w:t>b)</w:t>
      </w:r>
      <w:r>
        <w:tab/>
        <w:t>la flexibilidad o rigidez de las disposiciones del RTI para acomodar las nuevas tendencias en las telecomunicaciones/TIC y los nuevos problemas del entorno internacional de las telecomunicaciones/TIC</w:t>
      </w:r>
      <w:r w:rsidR="007402DC">
        <w:t>.</w:t>
      </w:r>
    </w:p>
    <w:p w14:paraId="10753902" w14:textId="64168ED2" w:rsidR="00110BF2" w:rsidRDefault="00110BF2" w:rsidP="00110BF2">
      <w:r>
        <w:t>4</w:t>
      </w:r>
      <w:r>
        <w:tab/>
        <w:t>El GE-RTI presentará un informe provisional con todas las opiniones extraídas del examen del RTI al Consejo de 2020 y al Consejo de 2021</w:t>
      </w:r>
      <w:r w:rsidR="00480329">
        <w:t>,</w:t>
      </w:r>
      <w:r>
        <w:t xml:space="preserve"> y un informe final al Consejo de 2022 para su examen y presentación a la Conferencia de Plenipotenciarios de 2022 con los comentarios del Consejo.</w:t>
      </w:r>
    </w:p>
    <w:p w14:paraId="7C18C2E9" w14:textId="77777777" w:rsidR="00110BF2" w:rsidRPr="00956489" w:rsidRDefault="00110BF2" w:rsidP="00110BF2">
      <w:pPr>
        <w:pStyle w:val="Endtext"/>
        <w:rPr>
          <w:rFonts w:ascii="Times New Roman" w:hAnsi="Times New Roman"/>
          <w:sz w:val="24"/>
          <w:szCs w:val="24"/>
          <w:lang w:val="es-ES_tradnl"/>
        </w:rPr>
      </w:pPr>
      <w:r w:rsidRPr="00956489">
        <w:rPr>
          <w:rFonts w:ascii="Times New Roman" w:hAnsi="Times New Roman"/>
          <w:sz w:val="24"/>
          <w:szCs w:val="24"/>
          <w:lang w:val="es-ES_tradnl"/>
        </w:rPr>
        <w:t xml:space="preserve">Ref.: </w:t>
      </w:r>
      <w:r w:rsidRPr="00956489">
        <w:rPr>
          <w:rFonts w:ascii="Times New Roman" w:hAnsi="Times New Roman"/>
          <w:sz w:val="24"/>
          <w:szCs w:val="24"/>
          <w:lang w:val="es-ES_tradnl"/>
        </w:rPr>
        <w:tab/>
        <w:t xml:space="preserve">Documentos </w:t>
      </w:r>
      <w:hyperlink r:id="rId7" w:history="1">
        <w:r w:rsidRPr="00956489">
          <w:rPr>
            <w:rStyle w:val="Hyperlink"/>
            <w:rFonts w:ascii="Times New Roman" w:hAnsi="Times New Roman"/>
            <w:sz w:val="24"/>
            <w:szCs w:val="24"/>
            <w:lang w:val="es-ES_tradnl"/>
          </w:rPr>
          <w:t>C16/1</w:t>
        </w:r>
        <w:r w:rsidRPr="00956489">
          <w:rPr>
            <w:rStyle w:val="Hyperlink"/>
            <w:rFonts w:ascii="Times New Roman" w:hAnsi="Times New Roman"/>
            <w:sz w:val="24"/>
            <w:szCs w:val="24"/>
            <w:lang w:val="es-ES_tradnl"/>
          </w:rPr>
          <w:t>1</w:t>
        </w:r>
        <w:r w:rsidRPr="00956489">
          <w:rPr>
            <w:rStyle w:val="Hyperlink"/>
            <w:rFonts w:ascii="Times New Roman" w:hAnsi="Times New Roman"/>
            <w:sz w:val="24"/>
            <w:szCs w:val="24"/>
            <w:lang w:val="es-ES_tradnl"/>
          </w:rPr>
          <w:t>9</w:t>
        </w:r>
      </w:hyperlink>
      <w:r w:rsidRPr="00956489">
        <w:rPr>
          <w:rFonts w:ascii="Times New Roman" w:hAnsi="Times New Roman"/>
          <w:sz w:val="24"/>
          <w:szCs w:val="24"/>
          <w:lang w:val="es-ES_tradnl"/>
        </w:rPr>
        <w:t xml:space="preserve">, </w:t>
      </w:r>
      <w:hyperlink r:id="rId8" w:history="1">
        <w:r w:rsidRPr="00956489">
          <w:rPr>
            <w:rStyle w:val="Hyperlink"/>
            <w:rFonts w:ascii="Times New Roman" w:hAnsi="Times New Roman"/>
            <w:sz w:val="24"/>
            <w:szCs w:val="24"/>
            <w:lang w:val="es-ES_tradnl"/>
          </w:rPr>
          <w:t>C16</w:t>
        </w:r>
        <w:r w:rsidRPr="00956489">
          <w:rPr>
            <w:rStyle w:val="Hyperlink"/>
            <w:rFonts w:ascii="Times New Roman" w:hAnsi="Times New Roman"/>
            <w:sz w:val="24"/>
            <w:szCs w:val="24"/>
            <w:lang w:val="es-ES_tradnl"/>
          </w:rPr>
          <w:t>/</w:t>
        </w:r>
        <w:r w:rsidRPr="00956489">
          <w:rPr>
            <w:rStyle w:val="Hyperlink"/>
            <w:rFonts w:ascii="Times New Roman" w:hAnsi="Times New Roman"/>
            <w:sz w:val="24"/>
            <w:szCs w:val="24"/>
            <w:lang w:val="es-ES_tradnl"/>
          </w:rPr>
          <w:t>125</w:t>
        </w:r>
      </w:hyperlink>
      <w:r w:rsidRPr="00956489">
        <w:rPr>
          <w:rFonts w:ascii="Times New Roman" w:hAnsi="Times New Roman"/>
          <w:sz w:val="24"/>
          <w:szCs w:val="24"/>
          <w:lang w:val="es-ES_tradnl"/>
        </w:rPr>
        <w:t xml:space="preserve">, </w:t>
      </w:r>
      <w:hyperlink r:id="rId9" w:history="1">
        <w:r w:rsidRPr="00956489">
          <w:rPr>
            <w:rStyle w:val="Hyperlink"/>
            <w:rFonts w:ascii="Times New Roman" w:hAnsi="Times New Roman"/>
            <w:sz w:val="24"/>
            <w:szCs w:val="24"/>
            <w:lang w:val="es-ES_tradnl"/>
          </w:rPr>
          <w:t>C19/</w:t>
        </w:r>
        <w:r w:rsidRPr="00956489">
          <w:rPr>
            <w:rStyle w:val="Hyperlink"/>
            <w:rFonts w:ascii="Times New Roman" w:hAnsi="Times New Roman"/>
            <w:sz w:val="24"/>
            <w:szCs w:val="24"/>
            <w:lang w:val="es-ES_tradnl"/>
          </w:rPr>
          <w:t>1</w:t>
        </w:r>
        <w:r w:rsidRPr="00956489">
          <w:rPr>
            <w:rStyle w:val="Hyperlink"/>
            <w:rFonts w:ascii="Times New Roman" w:hAnsi="Times New Roman"/>
            <w:sz w:val="24"/>
            <w:szCs w:val="24"/>
            <w:lang w:val="es-ES_tradnl"/>
          </w:rPr>
          <w:t>39</w:t>
        </w:r>
      </w:hyperlink>
      <w:r w:rsidRPr="00956489">
        <w:rPr>
          <w:rFonts w:ascii="Times New Roman" w:hAnsi="Times New Roman"/>
          <w:sz w:val="24"/>
          <w:szCs w:val="24"/>
          <w:lang w:val="es-ES_tradnl"/>
        </w:rPr>
        <w:t xml:space="preserve"> y </w:t>
      </w:r>
      <w:hyperlink r:id="rId10" w:history="1">
        <w:r w:rsidRPr="00956489">
          <w:rPr>
            <w:rStyle w:val="Hyperlink"/>
            <w:rFonts w:ascii="Times New Roman" w:hAnsi="Times New Roman"/>
            <w:sz w:val="24"/>
            <w:szCs w:val="24"/>
            <w:lang w:val="es-ES_tradnl"/>
          </w:rPr>
          <w:t>C19/11</w:t>
        </w:r>
        <w:r w:rsidRPr="00956489">
          <w:rPr>
            <w:rStyle w:val="Hyperlink"/>
            <w:rFonts w:ascii="Times New Roman" w:hAnsi="Times New Roman"/>
            <w:sz w:val="24"/>
            <w:szCs w:val="24"/>
            <w:lang w:val="es-ES_tradnl"/>
          </w:rPr>
          <w:t>7</w:t>
        </w:r>
      </w:hyperlink>
      <w:r w:rsidRPr="00956489">
        <w:rPr>
          <w:rFonts w:ascii="Times New Roman" w:hAnsi="Times New Roman"/>
          <w:sz w:val="24"/>
          <w:szCs w:val="24"/>
          <w:lang w:val="es-ES_tradnl"/>
        </w:rPr>
        <w:t>.</w:t>
      </w:r>
    </w:p>
    <w:p w14:paraId="115CB474" w14:textId="77777777" w:rsidR="00110BF2" w:rsidRDefault="00110BF2" w:rsidP="008A01FC">
      <w:pPr>
        <w:jc w:val="center"/>
      </w:pPr>
    </w:p>
    <w:p w14:paraId="31F60670" w14:textId="5374CACF" w:rsidR="00432E3E" w:rsidRPr="00C41210" w:rsidRDefault="00432E3E" w:rsidP="008A01FC">
      <w:pPr>
        <w:jc w:val="center"/>
      </w:pPr>
      <w:r w:rsidRPr="00C41210">
        <w:t>______________</w:t>
      </w:r>
    </w:p>
    <w:p w14:paraId="2D70C42D" w14:textId="77777777" w:rsidR="00494752" w:rsidRPr="00C41210" w:rsidRDefault="00494752" w:rsidP="008A01FC">
      <w:pPr>
        <w:pStyle w:val="Normalaftertitle"/>
      </w:pPr>
    </w:p>
    <w:p w14:paraId="7FA7C828" w14:textId="4662B2DE" w:rsidR="00494752" w:rsidRPr="00C41210" w:rsidRDefault="00494752" w:rsidP="00110BF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494752" w:rsidRPr="00C41210" w:rsidSect="004D6C09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0F005" w14:textId="77777777" w:rsidR="008E7F9B" w:rsidRDefault="008E7F9B">
      <w:r>
        <w:separator/>
      </w:r>
    </w:p>
  </w:endnote>
  <w:endnote w:type="continuationSeparator" w:id="0">
    <w:p w14:paraId="2C9F6542" w14:textId="77777777" w:rsidR="008E7F9B" w:rsidRDefault="008E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90AE7" w14:textId="23C4C1FD" w:rsidR="008E7F9B" w:rsidRDefault="008E7F9B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 w:rsidR="00334EA6">
      <w:rPr>
        <w:lang w:val="en-US"/>
      </w:rPr>
      <w:t>P:\ESP\ITU-R\AG\RAG\RAG21\000\026ADD02S.docx</w:t>
    </w:r>
    <w:r>
      <w:rPr>
        <w:lang w:val="en-US"/>
      </w:rPr>
      <w:fldChar w:fldCharType="end"/>
    </w:r>
    <w:r w:rsidR="00334EA6">
      <w:rPr>
        <w:lang w:val="en-US"/>
      </w:rPr>
      <w:t xml:space="preserve"> (483979)</w:t>
    </w:r>
    <w:r>
      <w:rPr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FB3AA" w14:textId="4A88E5B6" w:rsidR="008E7F9B" w:rsidRDefault="008E7F9B" w:rsidP="00AB4BAD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 w:rsidR="00334EA6">
      <w:rPr>
        <w:lang w:val="en-US"/>
      </w:rPr>
      <w:t>P:\ESP\ITU-R\AG\RAG\RAG21\000\026ADD02S.docx</w:t>
    </w:r>
    <w:r>
      <w:rPr>
        <w:lang w:val="en-US"/>
      </w:rPr>
      <w:fldChar w:fldCharType="end"/>
    </w:r>
    <w:r w:rsidR="00334EA6">
      <w:rPr>
        <w:lang w:val="en-US"/>
      </w:rPr>
      <w:t xml:space="preserve"> (483979)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009A3" w14:textId="77777777" w:rsidR="008E7F9B" w:rsidRDefault="008E7F9B">
      <w:r>
        <w:t>____________________</w:t>
      </w:r>
    </w:p>
  </w:footnote>
  <w:footnote w:type="continuationSeparator" w:id="0">
    <w:p w14:paraId="3EA8ED27" w14:textId="77777777" w:rsidR="008E7F9B" w:rsidRDefault="008E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8C5A0" w14:textId="77777777" w:rsidR="008E7F9B" w:rsidRDefault="008E7F9B">
    <w:pPr>
      <w:pStyle w:val="Header"/>
      <w:rPr>
        <w:lang w:val="es-E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326437" w14:textId="4E52C2A1" w:rsidR="008E7F9B" w:rsidRDefault="008E7F9B" w:rsidP="00AB4BAD">
    <w:pPr>
      <w:pStyle w:val="Header"/>
      <w:rPr>
        <w:lang w:val="es-ES"/>
      </w:rPr>
    </w:pPr>
    <w:r>
      <w:rPr>
        <w:lang w:val="es-ES"/>
      </w:rPr>
      <w:t>RAG/</w:t>
    </w:r>
    <w:r w:rsidR="00110BF2">
      <w:rPr>
        <w:lang w:val="es-ES"/>
      </w:rPr>
      <w:t>26(Add.2)</w:t>
    </w:r>
    <w:r>
      <w:rPr>
        <w:lang w:val="es-ES"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DC"/>
    <w:rsid w:val="00030033"/>
    <w:rsid w:val="00042015"/>
    <w:rsid w:val="000C62BA"/>
    <w:rsid w:val="000D756D"/>
    <w:rsid w:val="00110BF2"/>
    <w:rsid w:val="0012592F"/>
    <w:rsid w:val="00137CAD"/>
    <w:rsid w:val="00142637"/>
    <w:rsid w:val="001614FE"/>
    <w:rsid w:val="00171804"/>
    <w:rsid w:val="001911F3"/>
    <w:rsid w:val="001F2F50"/>
    <w:rsid w:val="00231868"/>
    <w:rsid w:val="00245D20"/>
    <w:rsid w:val="00254A1B"/>
    <w:rsid w:val="0029618E"/>
    <w:rsid w:val="002A32CD"/>
    <w:rsid w:val="0031432E"/>
    <w:rsid w:val="00322901"/>
    <w:rsid w:val="00334EA6"/>
    <w:rsid w:val="0034043B"/>
    <w:rsid w:val="003528F8"/>
    <w:rsid w:val="003569CA"/>
    <w:rsid w:val="00367026"/>
    <w:rsid w:val="003A7BE3"/>
    <w:rsid w:val="003B236E"/>
    <w:rsid w:val="003D234B"/>
    <w:rsid w:val="003D40D4"/>
    <w:rsid w:val="00414D8B"/>
    <w:rsid w:val="00432E3E"/>
    <w:rsid w:val="004725F4"/>
    <w:rsid w:val="00480329"/>
    <w:rsid w:val="00482905"/>
    <w:rsid w:val="00484BA9"/>
    <w:rsid w:val="004867DA"/>
    <w:rsid w:val="004877B9"/>
    <w:rsid w:val="00494752"/>
    <w:rsid w:val="004A7634"/>
    <w:rsid w:val="004B514E"/>
    <w:rsid w:val="004C556B"/>
    <w:rsid w:val="004D6C09"/>
    <w:rsid w:val="004E6BAA"/>
    <w:rsid w:val="004F097D"/>
    <w:rsid w:val="0057336B"/>
    <w:rsid w:val="00594506"/>
    <w:rsid w:val="005A2195"/>
    <w:rsid w:val="005B69CB"/>
    <w:rsid w:val="005D3E02"/>
    <w:rsid w:val="00610642"/>
    <w:rsid w:val="00616601"/>
    <w:rsid w:val="00625EFB"/>
    <w:rsid w:val="00646EEF"/>
    <w:rsid w:val="00663829"/>
    <w:rsid w:val="006743B1"/>
    <w:rsid w:val="006875AB"/>
    <w:rsid w:val="006A42AB"/>
    <w:rsid w:val="006A58D9"/>
    <w:rsid w:val="006B5313"/>
    <w:rsid w:val="006D361F"/>
    <w:rsid w:val="006E291F"/>
    <w:rsid w:val="006F7A20"/>
    <w:rsid w:val="007402DC"/>
    <w:rsid w:val="007915A0"/>
    <w:rsid w:val="007B1892"/>
    <w:rsid w:val="007C0264"/>
    <w:rsid w:val="00803C17"/>
    <w:rsid w:val="008324CA"/>
    <w:rsid w:val="008345A6"/>
    <w:rsid w:val="008506C9"/>
    <w:rsid w:val="00857AB3"/>
    <w:rsid w:val="00861145"/>
    <w:rsid w:val="00871558"/>
    <w:rsid w:val="00880CC2"/>
    <w:rsid w:val="008A01FC"/>
    <w:rsid w:val="008E7F9B"/>
    <w:rsid w:val="008F0106"/>
    <w:rsid w:val="00924B63"/>
    <w:rsid w:val="00925373"/>
    <w:rsid w:val="0093132C"/>
    <w:rsid w:val="00935178"/>
    <w:rsid w:val="00937A71"/>
    <w:rsid w:val="0094399D"/>
    <w:rsid w:val="00956489"/>
    <w:rsid w:val="00982618"/>
    <w:rsid w:val="009B6B9C"/>
    <w:rsid w:val="009C0F7B"/>
    <w:rsid w:val="009C205E"/>
    <w:rsid w:val="00A0579C"/>
    <w:rsid w:val="00A1027C"/>
    <w:rsid w:val="00A1048C"/>
    <w:rsid w:val="00A520D2"/>
    <w:rsid w:val="00A52997"/>
    <w:rsid w:val="00A7663C"/>
    <w:rsid w:val="00A7699E"/>
    <w:rsid w:val="00A825E3"/>
    <w:rsid w:val="00AA1BA3"/>
    <w:rsid w:val="00AB4BAD"/>
    <w:rsid w:val="00B32E51"/>
    <w:rsid w:val="00B57D06"/>
    <w:rsid w:val="00B724DC"/>
    <w:rsid w:val="00B75844"/>
    <w:rsid w:val="00BB10CA"/>
    <w:rsid w:val="00BB7403"/>
    <w:rsid w:val="00BE1D59"/>
    <w:rsid w:val="00BF26EC"/>
    <w:rsid w:val="00BF3D74"/>
    <w:rsid w:val="00C41210"/>
    <w:rsid w:val="00C70B00"/>
    <w:rsid w:val="00C823F9"/>
    <w:rsid w:val="00C837F0"/>
    <w:rsid w:val="00C8466A"/>
    <w:rsid w:val="00C96A8A"/>
    <w:rsid w:val="00CA13FB"/>
    <w:rsid w:val="00CA41BB"/>
    <w:rsid w:val="00CA7AEE"/>
    <w:rsid w:val="00CB4976"/>
    <w:rsid w:val="00CB79D7"/>
    <w:rsid w:val="00CB7A43"/>
    <w:rsid w:val="00CC7D88"/>
    <w:rsid w:val="00CD2581"/>
    <w:rsid w:val="00CE25D1"/>
    <w:rsid w:val="00CF4CAC"/>
    <w:rsid w:val="00D15A30"/>
    <w:rsid w:val="00D226B3"/>
    <w:rsid w:val="00D33F01"/>
    <w:rsid w:val="00D51E1E"/>
    <w:rsid w:val="00D72C99"/>
    <w:rsid w:val="00DB6E0F"/>
    <w:rsid w:val="00DD118A"/>
    <w:rsid w:val="00DE77E6"/>
    <w:rsid w:val="00E13823"/>
    <w:rsid w:val="00E43500"/>
    <w:rsid w:val="00E511E3"/>
    <w:rsid w:val="00E72EA7"/>
    <w:rsid w:val="00E82942"/>
    <w:rsid w:val="00EA01DC"/>
    <w:rsid w:val="00EA4101"/>
    <w:rsid w:val="00EB736D"/>
    <w:rsid w:val="00ED0EE4"/>
    <w:rsid w:val="00ED18C1"/>
    <w:rsid w:val="00F23715"/>
    <w:rsid w:val="00F40EB2"/>
    <w:rsid w:val="00F77D5F"/>
    <w:rsid w:val="00F80095"/>
    <w:rsid w:val="00F91780"/>
    <w:rsid w:val="00FA0727"/>
    <w:rsid w:val="00FA76D3"/>
    <w:rsid w:val="00FD6095"/>
    <w:rsid w:val="00FD6AE1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02AB1CA"/>
  <w15:docId w15:val="{17252043-42E4-4320-AD42-C2D784C3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0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qFormat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rsid w:val="004D6C09"/>
    <w:rPr>
      <w:position w:val="6"/>
      <w:sz w:val="18"/>
    </w:rPr>
  </w:style>
  <w:style w:type="paragraph" w:styleId="FootnoteText">
    <w:name w:val="footnote text"/>
    <w:aliases w:val="footnote text"/>
    <w:basedOn w:val="Note"/>
    <w:link w:val="FootnoteTextChar"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basedOn w:val="DefaultParagraphFont"/>
    <w:link w:val="Heading1"/>
    <w:rsid w:val="00432E3E"/>
    <w:rPr>
      <w:rFonts w:ascii="Times New Roman" w:hAnsi="Times New Roman"/>
      <w:b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432E3E"/>
    <w:rPr>
      <w:rFonts w:ascii="Times New Roman" w:hAnsi="Times New Roman"/>
      <w:sz w:val="24"/>
      <w:lang w:val="es-ES_tradnl" w:eastAsia="en-US"/>
    </w:rPr>
  </w:style>
  <w:style w:type="character" w:styleId="Hyperlink">
    <w:name w:val="Hyperlink"/>
    <w:aliases w:val="超级链接"/>
    <w:basedOn w:val="DefaultParagraphFont"/>
    <w:unhideWhenUsed/>
    <w:rsid w:val="00432E3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432E3E"/>
    <w:rPr>
      <w:rFonts w:ascii="Times New Roman" w:hAnsi="Times New Roman"/>
      <w:b/>
      <w:sz w:val="24"/>
      <w:lang w:val="es-ES_tradnl" w:eastAsia="en-US"/>
    </w:rPr>
  </w:style>
  <w:style w:type="paragraph" w:customStyle="1" w:styleId="Reasons">
    <w:name w:val="Reasons"/>
    <w:basedOn w:val="Normal"/>
    <w:qFormat/>
    <w:rsid w:val="00432E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432E3E"/>
    <w:rPr>
      <w:rFonts w:ascii="Times New Roman" w:hAnsi="Times New Roman"/>
      <w:sz w:val="24"/>
      <w:lang w:val="es-ES_tradnl" w:eastAsia="en-US"/>
    </w:rPr>
  </w:style>
  <w:style w:type="table" w:customStyle="1" w:styleId="TableGrid11">
    <w:name w:val="Table Grid11"/>
    <w:basedOn w:val="TableNormal"/>
    <w:next w:val="TableGrid"/>
    <w:rsid w:val="00432E3E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32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C70B00"/>
    <w:rPr>
      <w:color w:val="800080" w:themeColor="followedHyperlink"/>
      <w:u w:val="single"/>
    </w:rPr>
  </w:style>
  <w:style w:type="character" w:customStyle="1" w:styleId="TabletextChar">
    <w:name w:val="Table_text Char"/>
    <w:basedOn w:val="DefaultParagraphFont"/>
    <w:link w:val="Tabletext"/>
    <w:locked/>
    <w:rsid w:val="006743B1"/>
    <w:rPr>
      <w:rFonts w:ascii="Times New Roman" w:hAnsi="Times New Roman"/>
      <w:sz w:val="22"/>
      <w:lang w:val="es-ES_tradnl" w:eastAsia="en-US"/>
    </w:rPr>
  </w:style>
  <w:style w:type="table" w:customStyle="1" w:styleId="TableGrid1">
    <w:name w:val="Table Grid1"/>
    <w:basedOn w:val="TableNormal"/>
    <w:next w:val="TableGrid"/>
    <w:rsid w:val="006743B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rsid w:val="006743B1"/>
    <w:rPr>
      <w:rFonts w:ascii="Times New Roman" w:hAnsi="Times New Roman"/>
      <w:b/>
      <w:sz w:val="22"/>
      <w:lang w:val="es-ES_tradnl" w:eastAsia="en-US"/>
    </w:rPr>
  </w:style>
  <w:style w:type="paragraph" w:customStyle="1" w:styleId="Tablefin">
    <w:name w:val="Table_fin"/>
    <w:basedOn w:val="Tabletext"/>
    <w:rsid w:val="006743B1"/>
    <w:rPr>
      <w:sz w:val="20"/>
      <w:lang w:val="en-GB"/>
    </w:rPr>
  </w:style>
  <w:style w:type="character" w:customStyle="1" w:styleId="RectitleChar">
    <w:name w:val="Rec_title Char"/>
    <w:link w:val="Rectitle"/>
    <w:uiPriority w:val="99"/>
    <w:rsid w:val="00FD6AE1"/>
    <w:rPr>
      <w:rFonts w:ascii="Times New Roman" w:hAnsi="Times New Roman"/>
      <w:b/>
      <w:sz w:val="28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3B236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9B6B9C"/>
    <w:rPr>
      <w:color w:val="808080"/>
    </w:rPr>
  </w:style>
  <w:style w:type="character" w:customStyle="1" w:styleId="enumlev2Char">
    <w:name w:val="enumlev2 Char"/>
    <w:link w:val="enumlev2"/>
    <w:locked/>
    <w:rsid w:val="00110BF2"/>
    <w:rPr>
      <w:rFonts w:ascii="Times New Roman" w:hAnsi="Times New Roman"/>
      <w:sz w:val="24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110BF2"/>
    <w:rPr>
      <w:rFonts w:ascii="Calibri" w:hAnsi="Calibri" w:cs="Calibri"/>
      <w:sz w:val="22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110BF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textAlignment w:val="auto"/>
    </w:pPr>
    <w:rPr>
      <w:rFonts w:ascii="Calibri" w:hAnsi="Calibri" w:cs="Calibri"/>
      <w:sz w:val="22"/>
    </w:rPr>
  </w:style>
  <w:style w:type="character" w:customStyle="1" w:styleId="AnnextitleChar">
    <w:name w:val="Annex_title Char"/>
    <w:basedOn w:val="DefaultParagraphFont"/>
    <w:link w:val="Annextitle"/>
    <w:locked/>
    <w:rsid w:val="00110BF2"/>
    <w:rPr>
      <w:rFonts w:ascii="Calibri" w:hAnsi="Calibri" w:cs="Calibri"/>
      <w:b/>
      <w:sz w:val="28"/>
      <w:lang w:val="es-ES_tradnl" w:eastAsia="en-US"/>
    </w:rPr>
  </w:style>
  <w:style w:type="paragraph" w:customStyle="1" w:styleId="Annextitle">
    <w:name w:val="Annex_title"/>
    <w:basedOn w:val="Normal"/>
    <w:next w:val="Normal"/>
    <w:link w:val="AnnextitleChar"/>
    <w:rsid w:val="00110BF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  <w:jc w:val="center"/>
      <w:textAlignment w:val="auto"/>
    </w:pPr>
    <w:rPr>
      <w:rFonts w:ascii="Calibri" w:hAnsi="Calibri" w:cs="Calibri"/>
      <w:b/>
      <w:sz w:val="28"/>
    </w:rPr>
  </w:style>
  <w:style w:type="paragraph" w:customStyle="1" w:styleId="Endtext">
    <w:name w:val="End_text"/>
    <w:basedOn w:val="Normal"/>
    <w:rsid w:val="00110BF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36"/>
      <w:ind w:left="567" w:hanging="567"/>
      <w:textAlignment w:val="auto"/>
    </w:pPr>
    <w:rPr>
      <w:rFonts w:ascii="Calibri" w:hAnsi="Calibri"/>
      <w:i/>
      <w:iCs/>
      <w:sz w:val="22"/>
      <w:lang w:val="fr-CH"/>
    </w:rPr>
  </w:style>
  <w:style w:type="paragraph" w:customStyle="1" w:styleId="AnnexNo">
    <w:name w:val="Annex_No"/>
    <w:basedOn w:val="Normal"/>
    <w:next w:val="Normal"/>
    <w:link w:val="AnnexNoChar"/>
    <w:rsid w:val="00ED18C1"/>
    <w:pPr>
      <w:spacing w:before="720"/>
      <w:jc w:val="center"/>
    </w:pPr>
    <w:rPr>
      <w:rFonts w:asciiTheme="minorHAnsi" w:hAnsiTheme="minorHAnsi"/>
      <w:caps/>
      <w:sz w:val="28"/>
      <w:lang w:val="en-GB"/>
    </w:rPr>
  </w:style>
  <w:style w:type="character" w:customStyle="1" w:styleId="AnnexNoChar">
    <w:name w:val="Annex_No Char"/>
    <w:basedOn w:val="DefaultParagraphFont"/>
    <w:link w:val="AnnexNo"/>
    <w:rsid w:val="00ED18C1"/>
    <w:rPr>
      <w:rFonts w:asciiTheme="minorHAnsi" w:hAnsiTheme="minorHAnsi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8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6-CL-C-0125/en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md/S16-CL-C-0119/e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9-CL-C-0117/f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19-CL-C-0139/f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lano\AppData\Roaming\Microsoft\Templates\POOL%20S%20-%20ITU\PS_RAG2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PS_RAG21.dotm</Template>
  <TotalTime>121</TotalTime>
  <Pages>3</Pages>
  <Words>805</Words>
  <Characters>4466</Characters>
  <Application>Microsoft Office Word</Application>
  <DocSecurity>0</DocSecurity>
  <Lines>97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 A LA VIGÉSIMO SÉPTIMA OCTAVA REUNIÓN DEL GRUPO ASESOR DE RADIOCOMUNICACIONES ACTIVIDADES DE LAS COMISIONES DE ESTUDIO</vt:lpstr>
    </vt:vector>
  </TitlesOfParts>
  <Manager>General Secretariat - Pool</Manager>
  <Company>International Telecommunication Union (ITU)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DEL DIRECTOR DE LA BR AL GRUPO DE EXPERTOS SOBRE EL REGLAMENTO DE LAS TELECOMUNICACIONES INTERNACIONALES</dc:title>
  <dc:subject>GRUPO ASESOR DE RADIOCOMUNICACIONES</dc:subject>
  <dc:creator>Director de la Oficina de Radiocomunicaciones</dc:creator>
  <cp:keywords>RAG03-1</cp:keywords>
  <dc:description>Addéndum 2 al Documento RAG/26-S 23 de febrero de 2021  For: _x000d_Document date: Original: inglés_x000d_Saved by ITU51014803 at 13:39:30 on 12/03/2021</dc:description>
  <cp:lastModifiedBy>Catalano Moreira, Rossana</cp:lastModifiedBy>
  <cp:revision>16</cp:revision>
  <cp:lastPrinted>1993-02-18T11:12:00Z</cp:lastPrinted>
  <dcterms:created xsi:type="dcterms:W3CDTF">2021-03-12T10:35:00Z</dcterms:created>
  <dcterms:modified xsi:type="dcterms:W3CDTF">2021-03-12T12:39:00Z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Addéndum 2 al Documento RAG/26-S 23 de febrero de 2021</vt:lpwstr>
  </property>
  <property fmtid="{D5CDD505-2E9C-101B-9397-08002B2CF9AE}" pid="3" name="Docdate">
    <vt:lpwstr>Original: inglés</vt:lpwstr>
  </property>
  <property fmtid="{D5CDD505-2E9C-101B-9397-08002B2CF9AE}" pid="4" name="Docorlang">
    <vt:lpwstr/>
  </property>
  <property fmtid="{D5CDD505-2E9C-101B-9397-08002B2CF9AE}" pid="5" name="Docauthor">
    <vt:lpwstr>Director de la Oficina de Radiocomunicaciones</vt:lpwstr>
  </property>
</Properties>
</file>