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0C05F6" w14:paraId="37B49088" w14:textId="77777777" w:rsidTr="00443261">
        <w:trPr>
          <w:cantSplit/>
        </w:trPr>
        <w:tc>
          <w:tcPr>
            <w:tcW w:w="6771" w:type="dxa"/>
            <w:vAlign w:val="center"/>
          </w:tcPr>
          <w:p w14:paraId="1A2DA6EB" w14:textId="77777777" w:rsidR="00443261" w:rsidRPr="000C05F6" w:rsidRDefault="00443261" w:rsidP="00921302">
            <w:pPr>
              <w:shd w:val="solid" w:color="FFFFFF" w:fill="FFFFFF"/>
              <w:spacing w:before="360" w:after="240"/>
              <w:rPr>
                <w:rFonts w:ascii="Verdana" w:hAnsi="Verdana"/>
                <w:b/>
                <w:bCs/>
              </w:rPr>
            </w:pPr>
            <w:r w:rsidRPr="000C05F6">
              <w:rPr>
                <w:rFonts w:ascii="Verdana" w:hAnsi="Verdana" w:cs="Times New Roman Bold"/>
                <w:b/>
                <w:sz w:val="25"/>
                <w:szCs w:val="25"/>
              </w:rPr>
              <w:t>Groupe Consultatif des Radiocommunications</w:t>
            </w:r>
            <w:r w:rsidRPr="000C05F6">
              <w:rPr>
                <w:rFonts w:ascii="Verdana" w:hAnsi="Verdana"/>
                <w:b/>
                <w:sz w:val="25"/>
                <w:szCs w:val="25"/>
              </w:rPr>
              <w:br/>
            </w:r>
          </w:p>
        </w:tc>
        <w:tc>
          <w:tcPr>
            <w:tcW w:w="3118" w:type="dxa"/>
          </w:tcPr>
          <w:p w14:paraId="6469537B" w14:textId="77777777" w:rsidR="00443261" w:rsidRPr="000C05F6" w:rsidRDefault="007711EA" w:rsidP="00921302">
            <w:pPr>
              <w:shd w:val="solid" w:color="FFFFFF" w:fill="FFFFFF"/>
              <w:spacing w:before="0"/>
            </w:pPr>
            <w:r w:rsidRPr="000C05F6">
              <w:rPr>
                <w:noProof/>
                <w:lang w:val="en-US"/>
              </w:rPr>
              <w:drawing>
                <wp:inline distT="0" distB="0" distL="0" distR="0" wp14:anchorId="3A08A6D2" wp14:editId="78F48D9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0C05F6" w14:paraId="4CF2E597" w14:textId="77777777">
        <w:trPr>
          <w:cantSplit/>
        </w:trPr>
        <w:tc>
          <w:tcPr>
            <w:tcW w:w="6771" w:type="dxa"/>
            <w:tcBorders>
              <w:bottom w:val="single" w:sz="12" w:space="0" w:color="auto"/>
            </w:tcBorders>
          </w:tcPr>
          <w:p w14:paraId="25197059" w14:textId="77777777" w:rsidR="002D238A" w:rsidRPr="000C05F6" w:rsidRDefault="002D238A" w:rsidP="0092130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BF7CFFC" w14:textId="77777777" w:rsidR="002D238A" w:rsidRPr="000C05F6" w:rsidRDefault="002D238A" w:rsidP="00921302">
            <w:pPr>
              <w:shd w:val="solid" w:color="FFFFFF" w:fill="FFFFFF"/>
              <w:spacing w:before="0" w:after="48"/>
              <w:rPr>
                <w:sz w:val="22"/>
                <w:szCs w:val="22"/>
              </w:rPr>
            </w:pPr>
          </w:p>
        </w:tc>
      </w:tr>
      <w:tr w:rsidR="002D238A" w:rsidRPr="000C05F6" w14:paraId="14AE4EEB" w14:textId="77777777">
        <w:trPr>
          <w:cantSplit/>
        </w:trPr>
        <w:tc>
          <w:tcPr>
            <w:tcW w:w="6771" w:type="dxa"/>
            <w:tcBorders>
              <w:top w:val="single" w:sz="12" w:space="0" w:color="auto"/>
            </w:tcBorders>
          </w:tcPr>
          <w:p w14:paraId="1D5EB30A" w14:textId="77777777" w:rsidR="002D238A" w:rsidRPr="000C05F6" w:rsidRDefault="002D238A" w:rsidP="0092130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550750A9" w14:textId="77777777" w:rsidR="002D238A" w:rsidRPr="000C05F6" w:rsidRDefault="002D238A" w:rsidP="00921302">
            <w:pPr>
              <w:shd w:val="solid" w:color="FFFFFF" w:fill="FFFFFF"/>
              <w:spacing w:before="0" w:after="48"/>
              <w:rPr>
                <w:rFonts w:ascii="Verdana" w:hAnsi="Verdana"/>
                <w:sz w:val="22"/>
                <w:szCs w:val="22"/>
              </w:rPr>
            </w:pPr>
          </w:p>
        </w:tc>
      </w:tr>
      <w:tr w:rsidR="002D238A" w:rsidRPr="000C05F6" w14:paraId="30393DB3" w14:textId="77777777">
        <w:trPr>
          <w:cantSplit/>
        </w:trPr>
        <w:tc>
          <w:tcPr>
            <w:tcW w:w="6771" w:type="dxa"/>
            <w:vMerge w:val="restart"/>
          </w:tcPr>
          <w:p w14:paraId="7E1659F2" w14:textId="77777777" w:rsidR="002D238A" w:rsidRPr="000C05F6" w:rsidRDefault="002D238A" w:rsidP="00921302">
            <w:pPr>
              <w:shd w:val="solid" w:color="FFFFFF" w:fill="FFFFFF"/>
              <w:spacing w:before="0"/>
              <w:rPr>
                <w:rFonts w:ascii="Verdana" w:hAnsi="Verdana"/>
                <w:sz w:val="20"/>
              </w:rPr>
            </w:pPr>
            <w:bookmarkStart w:id="0" w:name="dnum" w:colFirst="1" w:colLast="1"/>
          </w:p>
        </w:tc>
        <w:tc>
          <w:tcPr>
            <w:tcW w:w="3118" w:type="dxa"/>
          </w:tcPr>
          <w:p w14:paraId="3A858B2E" w14:textId="140AE182" w:rsidR="002D238A" w:rsidRPr="000C05F6" w:rsidRDefault="004B23FB" w:rsidP="00921302">
            <w:pPr>
              <w:shd w:val="solid" w:color="FFFFFF" w:fill="FFFFFF"/>
              <w:spacing w:before="0"/>
              <w:rPr>
                <w:rFonts w:ascii="Verdana" w:hAnsi="Verdana"/>
                <w:sz w:val="20"/>
              </w:rPr>
            </w:pPr>
            <w:r w:rsidRPr="000C05F6">
              <w:rPr>
                <w:rFonts w:ascii="Verdana" w:hAnsi="Verdana"/>
                <w:b/>
                <w:sz w:val="20"/>
              </w:rPr>
              <w:t>Addendum 2 au</w:t>
            </w:r>
            <w:r w:rsidRPr="000C05F6">
              <w:rPr>
                <w:rFonts w:ascii="Verdana" w:hAnsi="Verdana"/>
                <w:b/>
                <w:sz w:val="20"/>
              </w:rPr>
              <w:br/>
              <w:t>Document RAG/26-F</w:t>
            </w:r>
          </w:p>
        </w:tc>
      </w:tr>
      <w:tr w:rsidR="002D238A" w:rsidRPr="000C05F6" w14:paraId="5D3137C2" w14:textId="77777777">
        <w:trPr>
          <w:cantSplit/>
        </w:trPr>
        <w:tc>
          <w:tcPr>
            <w:tcW w:w="6771" w:type="dxa"/>
            <w:vMerge/>
          </w:tcPr>
          <w:p w14:paraId="1F00DBA3" w14:textId="77777777" w:rsidR="002D238A" w:rsidRPr="000C05F6" w:rsidRDefault="002D238A" w:rsidP="00921302">
            <w:pPr>
              <w:spacing w:before="60"/>
              <w:jc w:val="center"/>
              <w:rPr>
                <w:b/>
                <w:smallCaps/>
                <w:sz w:val="32"/>
              </w:rPr>
            </w:pPr>
            <w:bookmarkStart w:id="1" w:name="ddate" w:colFirst="1" w:colLast="1"/>
            <w:bookmarkEnd w:id="0"/>
          </w:p>
        </w:tc>
        <w:tc>
          <w:tcPr>
            <w:tcW w:w="3118" w:type="dxa"/>
          </w:tcPr>
          <w:p w14:paraId="7EF6CD5C" w14:textId="155475B5" w:rsidR="002D238A" w:rsidRPr="000C05F6" w:rsidRDefault="004B23FB" w:rsidP="00921302">
            <w:pPr>
              <w:shd w:val="solid" w:color="FFFFFF" w:fill="FFFFFF"/>
              <w:spacing w:before="0"/>
              <w:rPr>
                <w:rFonts w:ascii="Verdana" w:hAnsi="Verdana"/>
                <w:b/>
                <w:bCs/>
                <w:sz w:val="20"/>
              </w:rPr>
            </w:pPr>
            <w:r w:rsidRPr="000C05F6">
              <w:rPr>
                <w:rFonts w:ascii="Verdana" w:hAnsi="Verdana"/>
                <w:b/>
                <w:bCs/>
                <w:sz w:val="20"/>
              </w:rPr>
              <w:t>23 février 2021</w:t>
            </w:r>
          </w:p>
        </w:tc>
      </w:tr>
      <w:tr w:rsidR="002D238A" w:rsidRPr="000C05F6" w14:paraId="0C63EF1C" w14:textId="77777777">
        <w:trPr>
          <w:cantSplit/>
        </w:trPr>
        <w:tc>
          <w:tcPr>
            <w:tcW w:w="6771" w:type="dxa"/>
            <w:vMerge/>
          </w:tcPr>
          <w:p w14:paraId="4434F8B3" w14:textId="77777777" w:rsidR="002D238A" w:rsidRPr="000C05F6" w:rsidRDefault="002D238A" w:rsidP="00921302">
            <w:pPr>
              <w:spacing w:before="60"/>
              <w:jc w:val="center"/>
              <w:rPr>
                <w:b/>
                <w:smallCaps/>
                <w:sz w:val="32"/>
              </w:rPr>
            </w:pPr>
            <w:bookmarkStart w:id="2" w:name="dorlang" w:colFirst="1" w:colLast="1"/>
            <w:bookmarkEnd w:id="1"/>
          </w:p>
        </w:tc>
        <w:tc>
          <w:tcPr>
            <w:tcW w:w="3118" w:type="dxa"/>
          </w:tcPr>
          <w:p w14:paraId="3F35C218" w14:textId="40014928" w:rsidR="002D238A" w:rsidRPr="000C05F6" w:rsidRDefault="004B23FB" w:rsidP="00921302">
            <w:pPr>
              <w:shd w:val="solid" w:color="FFFFFF" w:fill="FFFFFF"/>
              <w:spacing w:before="0" w:after="120"/>
              <w:rPr>
                <w:rFonts w:ascii="Verdana" w:hAnsi="Verdana"/>
                <w:b/>
                <w:bCs/>
                <w:sz w:val="20"/>
              </w:rPr>
            </w:pPr>
            <w:r w:rsidRPr="000C05F6">
              <w:rPr>
                <w:rFonts w:ascii="Verdana" w:hAnsi="Verdana"/>
                <w:b/>
                <w:bCs/>
                <w:sz w:val="20"/>
              </w:rPr>
              <w:t>Original: anglais</w:t>
            </w:r>
          </w:p>
        </w:tc>
      </w:tr>
      <w:tr w:rsidR="002D238A" w:rsidRPr="000C05F6" w14:paraId="44F9EC6F" w14:textId="77777777">
        <w:trPr>
          <w:cantSplit/>
        </w:trPr>
        <w:tc>
          <w:tcPr>
            <w:tcW w:w="9889" w:type="dxa"/>
            <w:gridSpan w:val="2"/>
          </w:tcPr>
          <w:p w14:paraId="70D8B739" w14:textId="6CE582EC" w:rsidR="002D238A" w:rsidRPr="000C05F6" w:rsidRDefault="004B23FB" w:rsidP="00921302">
            <w:pPr>
              <w:pStyle w:val="Source"/>
            </w:pPr>
            <w:bookmarkStart w:id="3" w:name="dsource" w:colFirst="0" w:colLast="0"/>
            <w:bookmarkEnd w:id="2"/>
            <w:r w:rsidRPr="000C05F6">
              <w:t>Directeur du Bureau des radiocommunications</w:t>
            </w:r>
          </w:p>
        </w:tc>
      </w:tr>
      <w:tr w:rsidR="002D238A" w:rsidRPr="000C05F6" w14:paraId="14D572DD" w14:textId="77777777">
        <w:trPr>
          <w:cantSplit/>
        </w:trPr>
        <w:tc>
          <w:tcPr>
            <w:tcW w:w="9889" w:type="dxa"/>
            <w:gridSpan w:val="2"/>
          </w:tcPr>
          <w:p w14:paraId="42F0395D" w14:textId="247DD3BE" w:rsidR="002D238A" w:rsidRPr="000C05F6" w:rsidRDefault="004B23FB" w:rsidP="00B6015F">
            <w:pPr>
              <w:pStyle w:val="Title1"/>
            </w:pPr>
            <w:bookmarkStart w:id="4" w:name="dtitle1" w:colFirst="0" w:colLast="0"/>
            <w:bookmarkEnd w:id="3"/>
            <w:r w:rsidRPr="000C05F6">
              <w:t xml:space="preserve">Contribution du directeur du </w:t>
            </w:r>
            <w:r w:rsidR="00C718CD" w:rsidRPr="000C05F6">
              <w:t>BR</w:t>
            </w:r>
            <w:r w:rsidRPr="000C05F6">
              <w:t xml:space="preserve"> </w:t>
            </w:r>
            <w:r w:rsidR="00F7347E" w:rsidRPr="000C05F6">
              <w:t xml:space="preserve">aux travaux </w:t>
            </w:r>
            <w:r w:rsidRPr="000C05F6">
              <w:t>du groupe d'experts sur le règlement des</w:t>
            </w:r>
            <w:r w:rsidR="009023EF" w:rsidRPr="000C05F6">
              <w:t xml:space="preserve"> </w:t>
            </w:r>
            <w:r w:rsidRPr="000C05F6">
              <w:t>télécommunications internationales</w:t>
            </w:r>
          </w:p>
        </w:tc>
      </w:tr>
    </w:tbl>
    <w:bookmarkEnd w:id="4"/>
    <w:p w14:paraId="5BA4461A" w14:textId="3227B50F" w:rsidR="00AF2EDC" w:rsidRPr="000C05F6" w:rsidRDefault="004B23FB" w:rsidP="00921302">
      <w:pPr>
        <w:pStyle w:val="Heading1"/>
      </w:pPr>
      <w:r w:rsidRPr="000C05F6">
        <w:t>1</w:t>
      </w:r>
      <w:r w:rsidRPr="000C05F6">
        <w:tab/>
      </w:r>
      <w:r w:rsidR="00F7347E" w:rsidRPr="000C05F6">
        <w:t>Considérations générales</w:t>
      </w:r>
    </w:p>
    <w:p w14:paraId="2C6388C5" w14:textId="60E40CF8" w:rsidR="004B23FB" w:rsidRPr="000C05F6" w:rsidRDefault="00F7347E" w:rsidP="00921302">
      <w:r w:rsidRPr="000C05F6">
        <w:t xml:space="preserve">Par sa </w:t>
      </w:r>
      <w:r w:rsidR="004B23FB" w:rsidRPr="000C05F6">
        <w:t>R</w:t>
      </w:r>
      <w:r w:rsidRPr="000C05F6">
        <w:t>é</w:t>
      </w:r>
      <w:r w:rsidR="004B23FB" w:rsidRPr="000C05F6">
        <w:t>solution 1379</w:t>
      </w:r>
      <w:r w:rsidRPr="000C05F6">
        <w:t xml:space="preserve">, le Conseil de l'UIT, à sa session de </w:t>
      </w:r>
      <w:r w:rsidR="004B23FB" w:rsidRPr="000C05F6">
        <w:t>2019</w:t>
      </w:r>
      <w:r w:rsidRPr="000C05F6">
        <w:t>,</w:t>
      </w:r>
      <w:r w:rsidR="004B23FB" w:rsidRPr="000C05F6">
        <w:t xml:space="preserve"> </w:t>
      </w:r>
      <w:r w:rsidRPr="000C05F6">
        <w:t xml:space="preserve">a convoqué un </w:t>
      </w:r>
      <w:r w:rsidR="004B23FB" w:rsidRPr="000C05F6">
        <w:t>Groupe d'experts sur le Règlement des télécommunications internationales (EG</w:t>
      </w:r>
      <w:r w:rsidR="009023EF" w:rsidRPr="000C05F6">
        <w:t>-</w:t>
      </w:r>
      <w:r w:rsidR="004B23FB" w:rsidRPr="000C05F6">
        <w:t>RTI)</w:t>
      </w:r>
      <w:r w:rsidRPr="000C05F6">
        <w:t>, dont le mandat est reproduit dans l'</w:t>
      </w:r>
      <w:r w:rsidR="004B23FB" w:rsidRPr="000C05F6">
        <w:t>Annex</w:t>
      </w:r>
      <w:r w:rsidRPr="000C05F6">
        <w:t>e</w:t>
      </w:r>
      <w:r w:rsidR="004B23FB" w:rsidRPr="000C05F6">
        <w:t>.</w:t>
      </w:r>
    </w:p>
    <w:p w14:paraId="4AE8ED02" w14:textId="30E2C5E7" w:rsidR="004B23FB" w:rsidRPr="000C05F6" w:rsidRDefault="00F7347E" w:rsidP="00921302">
      <w:r w:rsidRPr="000C05F6">
        <w:t xml:space="preserve">Aux termes de ladite </w:t>
      </w:r>
      <w:r w:rsidR="004B23FB" w:rsidRPr="000C05F6">
        <w:t>R</w:t>
      </w:r>
      <w:r w:rsidRPr="000C05F6">
        <w:t>é</w:t>
      </w:r>
      <w:r w:rsidR="004B23FB" w:rsidRPr="000C05F6">
        <w:t>solution, les Directeurs des Bureaux</w:t>
      </w:r>
      <w:r w:rsidRPr="000C05F6">
        <w:t xml:space="preserve"> sont chargés</w:t>
      </w:r>
    </w:p>
    <w:p w14:paraId="2D678F6F" w14:textId="507FD9EA" w:rsidR="004B23FB" w:rsidRPr="000C05F6" w:rsidRDefault="004B23FB" w:rsidP="00921302">
      <w:pPr>
        <w:ind w:left="794" w:hanging="794"/>
        <w:rPr>
          <w:i/>
          <w:iCs/>
        </w:rPr>
      </w:pPr>
      <w:r w:rsidRPr="000C05F6">
        <w:tab/>
      </w:r>
      <w:r w:rsidR="006E34A4" w:rsidRPr="000C05F6">
        <w:rPr>
          <w:i/>
          <w:iCs/>
        </w:rPr>
        <w:t>«</w:t>
      </w:r>
      <w:r w:rsidRPr="000C05F6">
        <w:rPr>
          <w:i/>
          <w:iCs/>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006E34A4" w:rsidRPr="000C05F6">
        <w:rPr>
          <w:i/>
          <w:iCs/>
        </w:rPr>
        <w:t>»</w:t>
      </w:r>
      <w:r w:rsidR="009023EF" w:rsidRPr="000C05F6">
        <w:rPr>
          <w:i/>
          <w:iCs/>
        </w:rPr>
        <w:t>.</w:t>
      </w:r>
    </w:p>
    <w:p w14:paraId="2E9EFC0C" w14:textId="379C32E5" w:rsidR="00F7347E" w:rsidRPr="000C05F6" w:rsidRDefault="00F7347E" w:rsidP="00921302">
      <w:r w:rsidRPr="000C05F6">
        <w:t>La cinquième et dernière réunion du Groupe EG-RTI, qui se tiendra en septembre 2021, est la dernière occasion de contribuer à l'examen du RTI en ce qui concerne les questions liées aux radiocommunications. Par conséquent, le Directeur du BR demande l'avis du GCR sur les aspects du RTI qui concernent le Secteur des radiocommunications.</w:t>
      </w:r>
    </w:p>
    <w:p w14:paraId="3D243B83" w14:textId="485658D7" w:rsidR="004B23FB" w:rsidRPr="000C05F6" w:rsidRDefault="004B23FB" w:rsidP="00921302">
      <w:pPr>
        <w:pStyle w:val="Heading1"/>
      </w:pPr>
      <w:r w:rsidRPr="000C05F6">
        <w:t>2</w:t>
      </w:r>
      <w:r w:rsidRPr="000C05F6">
        <w:tab/>
      </w:r>
      <w:r w:rsidR="00F7347E" w:rsidRPr="000C05F6">
        <w:t>Les Règlements a</w:t>
      </w:r>
      <w:r w:rsidRPr="000C05F6">
        <w:t>dministrati</w:t>
      </w:r>
      <w:r w:rsidR="00F7347E" w:rsidRPr="000C05F6">
        <w:t>fs</w:t>
      </w:r>
      <w:r w:rsidRPr="000C05F6">
        <w:t xml:space="preserve"> </w:t>
      </w:r>
      <w:r w:rsidR="00F7347E" w:rsidRPr="000C05F6">
        <w:t>de l'UIT</w:t>
      </w:r>
    </w:p>
    <w:p w14:paraId="0D583291" w14:textId="107E880A" w:rsidR="004B23FB" w:rsidRPr="000C05F6" w:rsidRDefault="00F7347E" w:rsidP="009023EF">
      <w:pPr>
        <w:spacing w:after="120"/>
      </w:pPr>
      <w:r w:rsidRPr="000C05F6">
        <w:t>Aux termes de l'a</w:t>
      </w:r>
      <w:r w:rsidR="004B23FB" w:rsidRPr="000C05F6">
        <w:t>rticle 4 (</w:t>
      </w:r>
      <w:bookmarkStart w:id="5" w:name="_Toc422623705"/>
      <w:bookmarkStart w:id="6" w:name="_Toc37575199"/>
      <w:r w:rsidR="004B23FB" w:rsidRPr="000C05F6">
        <w:t>Instruments de l'Union</w:t>
      </w:r>
      <w:bookmarkEnd w:id="5"/>
      <w:bookmarkEnd w:id="6"/>
      <w:r w:rsidR="004B23FB" w:rsidRPr="000C05F6">
        <w:t xml:space="preserve">) </w:t>
      </w:r>
      <w:r w:rsidRPr="000C05F6">
        <w:t xml:space="preserve">de la </w:t>
      </w:r>
      <w:r w:rsidR="004B23FB" w:rsidRPr="000C05F6">
        <w:t xml:space="preserve">Constitution </w:t>
      </w:r>
      <w:r w:rsidRPr="000C05F6">
        <w:t>de l'UIT</w:t>
      </w:r>
      <w:r w:rsidR="004B23FB" w:rsidRPr="000C05F6">
        <w:t>:</w:t>
      </w:r>
    </w:p>
    <w:tbl>
      <w:tblPr>
        <w:tblW w:w="5000" w:type="pct"/>
        <w:tblLayout w:type="fixed"/>
        <w:tblCellMar>
          <w:left w:w="0" w:type="dxa"/>
          <w:right w:w="57" w:type="dxa"/>
        </w:tblCellMar>
        <w:tblLook w:val="0100" w:firstRow="0" w:lastRow="0" w:firstColumn="0" w:lastColumn="1" w:noHBand="0" w:noVBand="0"/>
      </w:tblPr>
      <w:tblGrid>
        <w:gridCol w:w="1953"/>
        <w:gridCol w:w="7686"/>
      </w:tblGrid>
      <w:tr w:rsidR="004B23FB" w:rsidRPr="000C05F6" w14:paraId="0CD9FD7D" w14:textId="77777777" w:rsidTr="00B6015F">
        <w:trPr>
          <w:trHeight w:val="1963"/>
        </w:trPr>
        <w:tc>
          <w:tcPr>
            <w:tcW w:w="1953" w:type="dxa"/>
            <w:tcMar>
              <w:left w:w="0" w:type="dxa"/>
              <w:right w:w="108" w:type="dxa"/>
            </w:tcMar>
          </w:tcPr>
          <w:p w14:paraId="15D3BD49" w14:textId="41578AEF" w:rsidR="004B23FB" w:rsidRPr="000C05F6" w:rsidRDefault="004B23FB" w:rsidP="00921302">
            <w:r w:rsidRPr="000C05F6">
              <w:t>CS 29</w:t>
            </w:r>
          </w:p>
        </w:tc>
        <w:tc>
          <w:tcPr>
            <w:tcW w:w="7686" w:type="dxa"/>
            <w:tcMar>
              <w:left w:w="108" w:type="dxa"/>
              <w:right w:w="108" w:type="dxa"/>
            </w:tcMar>
          </w:tcPr>
          <w:p w14:paraId="77115370" w14:textId="77777777" w:rsidR="004B23FB" w:rsidRPr="000C05F6" w:rsidRDefault="004B23FB" w:rsidP="00921302">
            <w:r w:rsidRPr="000C05F6">
              <w:t>1</w:t>
            </w:r>
            <w:r w:rsidRPr="000C05F6">
              <w:tab/>
              <w:t>Les instruments de l'Union sont:</w:t>
            </w:r>
          </w:p>
          <w:p w14:paraId="6EBAD92F" w14:textId="77777777" w:rsidR="004B23FB" w:rsidRPr="000C05F6" w:rsidRDefault="004B23FB" w:rsidP="00921302">
            <w:pPr>
              <w:pStyle w:val="enumlev1"/>
            </w:pPr>
            <w:r w:rsidRPr="000C05F6">
              <w:t>–</w:t>
            </w:r>
            <w:r w:rsidRPr="000C05F6">
              <w:tab/>
              <w:t xml:space="preserve">la présente Constitution de l'Union internationale des télécommunications, </w:t>
            </w:r>
          </w:p>
          <w:p w14:paraId="112AD6B0" w14:textId="77777777" w:rsidR="004B23FB" w:rsidRPr="000C05F6" w:rsidRDefault="004B23FB" w:rsidP="00921302">
            <w:pPr>
              <w:pStyle w:val="enumlev1"/>
            </w:pPr>
            <w:r w:rsidRPr="000C05F6">
              <w:t>–</w:t>
            </w:r>
            <w:r w:rsidRPr="000C05F6">
              <w:tab/>
              <w:t>la Convention de l'Union internationale des télécommunications, et</w:t>
            </w:r>
          </w:p>
          <w:p w14:paraId="337AE618" w14:textId="77777777" w:rsidR="004B23FB" w:rsidRPr="000C05F6" w:rsidRDefault="004B23FB" w:rsidP="00921302">
            <w:pPr>
              <w:pStyle w:val="enumlev1"/>
            </w:pPr>
            <w:r w:rsidRPr="000C05F6">
              <w:t>–</w:t>
            </w:r>
            <w:r w:rsidRPr="000C05F6">
              <w:tab/>
              <w:t>les Règlements administratifs.</w:t>
            </w:r>
          </w:p>
        </w:tc>
      </w:tr>
      <w:tr w:rsidR="004B23FB" w:rsidRPr="000C05F6" w14:paraId="09831E15" w14:textId="77777777" w:rsidTr="00B6015F">
        <w:tc>
          <w:tcPr>
            <w:tcW w:w="1953" w:type="dxa"/>
            <w:tcMar>
              <w:left w:w="0" w:type="dxa"/>
              <w:right w:w="108" w:type="dxa"/>
            </w:tcMar>
          </w:tcPr>
          <w:p w14:paraId="21DE64ED" w14:textId="49E6062A" w:rsidR="004B23FB" w:rsidRPr="000C05F6" w:rsidRDefault="004B23FB" w:rsidP="00921302">
            <w:r w:rsidRPr="000C05F6">
              <w:t>CS 30</w:t>
            </w:r>
          </w:p>
        </w:tc>
        <w:tc>
          <w:tcPr>
            <w:tcW w:w="7686" w:type="dxa"/>
            <w:tcMar>
              <w:left w:w="108" w:type="dxa"/>
              <w:right w:w="108" w:type="dxa"/>
            </w:tcMar>
          </w:tcPr>
          <w:p w14:paraId="6BD29AA2" w14:textId="77777777" w:rsidR="004B23FB" w:rsidRPr="000C05F6" w:rsidRDefault="004B23FB" w:rsidP="00921302">
            <w:r w:rsidRPr="000C05F6">
              <w:t>2</w:t>
            </w:r>
            <w:r w:rsidRPr="000C05F6">
              <w:tab/>
              <w:t>La présente Constitution, dont les dispositions sont complétées par celles de la Convention, est l'instrument fondamental de l'Union.</w:t>
            </w:r>
          </w:p>
        </w:tc>
      </w:tr>
      <w:tr w:rsidR="004B23FB" w:rsidRPr="000C05F6" w14:paraId="25C36FCF" w14:textId="77777777" w:rsidTr="00B6015F">
        <w:trPr>
          <w:trHeight w:val="2050"/>
        </w:trPr>
        <w:tc>
          <w:tcPr>
            <w:tcW w:w="1953" w:type="dxa"/>
            <w:tcMar>
              <w:left w:w="0" w:type="dxa"/>
              <w:right w:w="108" w:type="dxa"/>
            </w:tcMar>
          </w:tcPr>
          <w:p w14:paraId="736BA618" w14:textId="557AD07B" w:rsidR="004B23FB" w:rsidRPr="000C05F6" w:rsidRDefault="004B23FB" w:rsidP="00921302">
            <w:r w:rsidRPr="000C05F6">
              <w:lastRenderedPageBreak/>
              <w:t>CS 31</w:t>
            </w:r>
          </w:p>
        </w:tc>
        <w:tc>
          <w:tcPr>
            <w:tcW w:w="7686" w:type="dxa"/>
            <w:tcMar>
              <w:left w:w="108" w:type="dxa"/>
              <w:right w:w="108" w:type="dxa"/>
            </w:tcMar>
          </w:tcPr>
          <w:p w14:paraId="03CFE9C6" w14:textId="6234C530" w:rsidR="004B23FB" w:rsidRPr="000C05F6" w:rsidRDefault="004B23FB" w:rsidP="00921302">
            <w:r w:rsidRPr="000C05F6">
              <w:t>3</w:t>
            </w:r>
            <w:r w:rsidRPr="000C05F6">
              <w:tab/>
              <w:t>Les dispositions de la présente Constitution et de la Convention sont de plus complétées par celles des Règlements administratifs énumérés ci</w:t>
            </w:r>
            <w:r w:rsidR="009023EF" w:rsidRPr="000C05F6">
              <w:noBreakHyphen/>
            </w:r>
            <w:r w:rsidRPr="000C05F6">
              <w:t xml:space="preserve">après, qui réglementent l'utilisation des télécommunications et lient tous les </w:t>
            </w:r>
            <w:r w:rsidR="009023EF" w:rsidRPr="000C05F6">
              <w:t>États</w:t>
            </w:r>
            <w:r w:rsidRPr="000C05F6">
              <w:t xml:space="preserve"> Membres:</w:t>
            </w:r>
          </w:p>
          <w:p w14:paraId="5A47F891" w14:textId="47EFF383" w:rsidR="004B23FB" w:rsidRPr="000C05F6" w:rsidRDefault="004B23FB" w:rsidP="00921302">
            <w:pPr>
              <w:pStyle w:val="enumlev1"/>
            </w:pPr>
            <w:r w:rsidRPr="000C05F6">
              <w:t>–</w:t>
            </w:r>
            <w:r w:rsidRPr="000C05F6">
              <w:tab/>
              <w:t>le Règlement des télécommunications internationales</w:t>
            </w:r>
            <w:r w:rsidR="00FE6110" w:rsidRPr="000C05F6">
              <w:t>;</w:t>
            </w:r>
          </w:p>
          <w:p w14:paraId="1617AFE4" w14:textId="77777777" w:rsidR="004B23FB" w:rsidRPr="000C05F6" w:rsidRDefault="004B23FB" w:rsidP="00921302">
            <w:pPr>
              <w:pStyle w:val="enumlev1"/>
            </w:pPr>
            <w:r w:rsidRPr="000C05F6">
              <w:t>–</w:t>
            </w:r>
            <w:r w:rsidRPr="000C05F6">
              <w:tab/>
              <w:t>le Règlement des radiocommunications.</w:t>
            </w:r>
          </w:p>
        </w:tc>
      </w:tr>
      <w:tr w:rsidR="004B23FB" w:rsidRPr="000C05F6" w14:paraId="0CD71E12" w14:textId="77777777" w:rsidTr="00B6015F">
        <w:tc>
          <w:tcPr>
            <w:tcW w:w="1953" w:type="dxa"/>
            <w:tcMar>
              <w:left w:w="0" w:type="dxa"/>
              <w:right w:w="108" w:type="dxa"/>
            </w:tcMar>
          </w:tcPr>
          <w:p w14:paraId="55A51198" w14:textId="659A88CD" w:rsidR="004B23FB" w:rsidRPr="000C05F6" w:rsidRDefault="004B23FB" w:rsidP="00921302">
            <w:r w:rsidRPr="000C05F6">
              <w:t>CS 32</w:t>
            </w:r>
          </w:p>
        </w:tc>
        <w:tc>
          <w:tcPr>
            <w:tcW w:w="7686" w:type="dxa"/>
            <w:tcMar>
              <w:left w:w="108" w:type="dxa"/>
              <w:right w:w="108" w:type="dxa"/>
            </w:tcMar>
          </w:tcPr>
          <w:p w14:paraId="38A0D34E" w14:textId="77777777" w:rsidR="004B23FB" w:rsidRPr="000C05F6" w:rsidRDefault="004B23FB" w:rsidP="00921302">
            <w:r w:rsidRPr="000C05F6">
              <w:t>4</w:t>
            </w:r>
            <w:r w:rsidRPr="000C05F6">
              <w:tab/>
              <w:t>En cas de divergence entre une disposition de la présente Constitution et une disposition de la Convention ou des Règlements administratifs, la Constitution prévaut. En cas de divergence entre une disposition de la Convention et une disposition des Règlements administratifs, la Convention prévaut.</w:t>
            </w:r>
          </w:p>
        </w:tc>
      </w:tr>
    </w:tbl>
    <w:p w14:paraId="7C4357B9" w14:textId="1F1B9CF0" w:rsidR="0035213E" w:rsidRPr="000C05F6" w:rsidRDefault="0035213E" w:rsidP="00921302">
      <w:pPr>
        <w:pStyle w:val="Heading1"/>
      </w:pPr>
      <w:r w:rsidRPr="000C05F6">
        <w:t>3</w:t>
      </w:r>
      <w:r w:rsidRPr="000C05F6">
        <w:tab/>
      </w:r>
      <w:r w:rsidR="00AB3D34" w:rsidRPr="000C05F6">
        <w:t>Disposition du Règlement des télécommunications internationales relative aux radiocommunications</w:t>
      </w:r>
    </w:p>
    <w:p w14:paraId="1ECC1DCC" w14:textId="5AD76549" w:rsidR="00AB3D34" w:rsidRPr="000C05F6" w:rsidRDefault="00AB3D34" w:rsidP="000C05F6">
      <w:pPr>
        <w:spacing w:after="240"/>
      </w:pPr>
      <w:r w:rsidRPr="000C05F6">
        <w:t xml:space="preserve">Comme indiqué dans la </w:t>
      </w:r>
      <w:r w:rsidR="0035213E" w:rsidRPr="000C05F6">
        <w:t>R</w:t>
      </w:r>
      <w:r w:rsidRPr="000C05F6">
        <w:t>é</w:t>
      </w:r>
      <w:r w:rsidR="0035213E" w:rsidRPr="000C05F6">
        <w:t xml:space="preserve">solution 1379, le Secteur de la normalisation des télécommunications de l'UIT effectue la plus grande partie des travaux se rapportant au RTI. </w:t>
      </w:r>
      <w:r w:rsidRPr="000C05F6">
        <w:t>Toutefois, le RTI comporte une disposition qui concerne tout particulièrement les travaux du Secteur des radiocommunications de l'UIT: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35213E" w:rsidRPr="000C05F6" w14:paraId="6A3FAFDE" w14:textId="77777777" w:rsidTr="00B6015F">
        <w:tc>
          <w:tcPr>
            <w:tcW w:w="1271" w:type="dxa"/>
            <w:tcMar>
              <w:left w:w="0" w:type="dxa"/>
            </w:tcMar>
          </w:tcPr>
          <w:p w14:paraId="11065E97" w14:textId="77777777" w:rsidR="0035213E" w:rsidRPr="000C05F6" w:rsidRDefault="0035213E" w:rsidP="00921302">
            <w:r w:rsidRPr="000C05F6">
              <w:t>ITR 12</w:t>
            </w:r>
          </w:p>
        </w:tc>
        <w:tc>
          <w:tcPr>
            <w:tcW w:w="8358" w:type="dxa"/>
          </w:tcPr>
          <w:p w14:paraId="3C6783FF" w14:textId="1AF03E7E" w:rsidR="0035213E" w:rsidRPr="000C05F6" w:rsidRDefault="0035213E" w:rsidP="00921302">
            <w:r w:rsidRPr="000C05F6">
              <w:t>1.8</w:t>
            </w:r>
            <w:r w:rsidRPr="000C05F6">
              <w:tab/>
              <w:t>Les dispositions du présent Règlement s'appliquent, quel que soit le moyen de transmission utilisé, pour autant qu'elles ne soient pas contraires aux dispositions du Règlement des radiocommunications.</w:t>
            </w:r>
          </w:p>
        </w:tc>
      </w:tr>
    </w:tbl>
    <w:p w14:paraId="09804AC1" w14:textId="199E701E" w:rsidR="00E92B05" w:rsidRPr="000C05F6" w:rsidRDefault="00E92B05" w:rsidP="00921302">
      <w:pPr>
        <w:spacing w:before="240"/>
        <w:rPr>
          <w:szCs w:val="24"/>
        </w:rPr>
      </w:pPr>
      <w:r w:rsidRPr="000C05F6">
        <w:rPr>
          <w:szCs w:val="24"/>
        </w:rPr>
        <w:t xml:space="preserve">L'article 4 de la Constitution de l'UIT n'établissant pas de hiérarchie entre les deux Règlements administratifs de l'UIT, </w:t>
      </w:r>
      <w:r w:rsidR="00D421CC" w:rsidRPr="000C05F6">
        <w:rPr>
          <w:szCs w:val="24"/>
        </w:rPr>
        <w:t xml:space="preserve">la disposition </w:t>
      </w:r>
      <w:r w:rsidRPr="000C05F6">
        <w:rPr>
          <w:szCs w:val="24"/>
        </w:rPr>
        <w:t xml:space="preserve">ITR 12 est la disposition principale </w:t>
      </w:r>
      <w:r w:rsidR="00D421CC" w:rsidRPr="000C05F6">
        <w:rPr>
          <w:szCs w:val="24"/>
        </w:rPr>
        <w:t xml:space="preserve">lorsqu'il s'agit de résoudre </w:t>
      </w:r>
      <w:r w:rsidRPr="000C05F6">
        <w:rPr>
          <w:szCs w:val="24"/>
        </w:rPr>
        <w:t>tout</w:t>
      </w:r>
      <w:r w:rsidR="00D421CC" w:rsidRPr="000C05F6">
        <w:rPr>
          <w:szCs w:val="24"/>
        </w:rPr>
        <w:t xml:space="preserve">e incompatibilité éventuelle </w:t>
      </w:r>
      <w:r w:rsidRPr="000C05F6">
        <w:rPr>
          <w:szCs w:val="24"/>
        </w:rPr>
        <w:t xml:space="preserve">entre les dispositions du </w:t>
      </w:r>
      <w:r w:rsidR="00D421CC" w:rsidRPr="000C05F6">
        <w:rPr>
          <w:szCs w:val="24"/>
        </w:rPr>
        <w:t>R</w:t>
      </w:r>
      <w:r w:rsidRPr="000C05F6">
        <w:rPr>
          <w:szCs w:val="24"/>
        </w:rPr>
        <w:t xml:space="preserve">èglement des radiocommunications et </w:t>
      </w:r>
      <w:r w:rsidR="00C718CD" w:rsidRPr="000C05F6">
        <w:rPr>
          <w:szCs w:val="24"/>
        </w:rPr>
        <w:t xml:space="preserve">celles </w:t>
      </w:r>
      <w:r w:rsidR="00D421CC" w:rsidRPr="000C05F6">
        <w:rPr>
          <w:szCs w:val="24"/>
        </w:rPr>
        <w:t>du RTI</w:t>
      </w:r>
      <w:r w:rsidRPr="000C05F6">
        <w:rPr>
          <w:szCs w:val="24"/>
        </w:rPr>
        <w:t>. Par conséquent, le Directeur du BR est d'avis que l</w:t>
      </w:r>
      <w:r w:rsidR="00D421CC" w:rsidRPr="000C05F6">
        <w:rPr>
          <w:szCs w:val="24"/>
        </w:rPr>
        <w:t xml:space="preserve">a disposition </w:t>
      </w:r>
      <w:r w:rsidRPr="000C05F6">
        <w:rPr>
          <w:szCs w:val="24"/>
        </w:rPr>
        <w:t xml:space="preserve">ITR 12 est une disposition essentielle qui continue </w:t>
      </w:r>
      <w:r w:rsidR="00D421CC" w:rsidRPr="000C05F6">
        <w:rPr>
          <w:szCs w:val="24"/>
        </w:rPr>
        <w:t>d'</w:t>
      </w:r>
      <w:r w:rsidRPr="000C05F6">
        <w:rPr>
          <w:szCs w:val="24"/>
        </w:rPr>
        <w:t xml:space="preserve">être </w:t>
      </w:r>
      <w:r w:rsidR="00D421CC" w:rsidRPr="000C05F6">
        <w:rPr>
          <w:szCs w:val="24"/>
        </w:rPr>
        <w:t xml:space="preserve">applicable pour ce qui est de favoriser la fourniture et le développement </w:t>
      </w:r>
      <w:r w:rsidRPr="000C05F6">
        <w:rPr>
          <w:szCs w:val="24"/>
        </w:rPr>
        <w:t xml:space="preserve">des services et </w:t>
      </w:r>
      <w:r w:rsidR="00D421CC" w:rsidRPr="000C05F6">
        <w:rPr>
          <w:szCs w:val="24"/>
        </w:rPr>
        <w:t xml:space="preserve">des </w:t>
      </w:r>
      <w:r w:rsidRPr="000C05F6">
        <w:rPr>
          <w:szCs w:val="24"/>
        </w:rPr>
        <w:t xml:space="preserve">réseaux de radiocommunication; et qu'elle tient compte de l'évolution des radiocommunications, qui </w:t>
      </w:r>
      <w:r w:rsidR="00D421CC" w:rsidRPr="000C05F6">
        <w:rPr>
          <w:szCs w:val="24"/>
        </w:rPr>
        <w:t xml:space="preserve">est prise en compte </w:t>
      </w:r>
      <w:r w:rsidRPr="000C05F6">
        <w:rPr>
          <w:szCs w:val="24"/>
        </w:rPr>
        <w:t>dans les révisions du Règlement des radiocommunications qui ont lieu à chaque Conférence mondiale des radiocommunications.</w:t>
      </w:r>
    </w:p>
    <w:p w14:paraId="48F13E36" w14:textId="533101F3" w:rsidR="00A90D70" w:rsidRPr="000C05F6" w:rsidRDefault="00A90D70" w:rsidP="00921302">
      <w:pPr>
        <w:pStyle w:val="Heading1"/>
      </w:pPr>
      <w:r w:rsidRPr="000C05F6">
        <w:t>4</w:t>
      </w:r>
      <w:r w:rsidRPr="000C05F6">
        <w:tab/>
      </w:r>
      <w:r w:rsidR="00AB3D34" w:rsidRPr="000C05F6">
        <w:t>Demande adressée au Groupe consultatif des radiocommunications</w:t>
      </w:r>
    </w:p>
    <w:p w14:paraId="2DDC53C0" w14:textId="4DE30D7D" w:rsidR="00AB3D34" w:rsidRPr="000C05F6" w:rsidRDefault="00AB3D34" w:rsidP="00921302">
      <w:pPr>
        <w:jc w:val="both"/>
      </w:pPr>
      <w:r w:rsidRPr="000C05F6">
        <w:t xml:space="preserve">Il est demandé au GCR d'examiner </w:t>
      </w:r>
      <w:r w:rsidR="009B12AD" w:rsidRPr="000C05F6">
        <w:t xml:space="preserve">l'avis </w:t>
      </w:r>
      <w:r w:rsidRPr="000C05F6">
        <w:t xml:space="preserve">ci-dessus et de déterminer s'il existe d'autres dispositions </w:t>
      </w:r>
      <w:r w:rsidR="00B6015F">
        <w:t>du </w:t>
      </w:r>
      <w:r w:rsidRPr="000C05F6">
        <w:t xml:space="preserve">RTI dont il estime qu'elles concernent le Secteur des radiocommunications, et </w:t>
      </w:r>
      <w:r w:rsidR="00E92B05" w:rsidRPr="000C05F6">
        <w:t xml:space="preserve">d'en rendre compte au </w:t>
      </w:r>
      <w:r w:rsidRPr="000C05F6">
        <w:t>Directeur du BR</w:t>
      </w:r>
      <w:r w:rsidR="00E92B05" w:rsidRPr="000C05F6">
        <w:t>.</w:t>
      </w:r>
    </w:p>
    <w:p w14:paraId="1CDD0F20" w14:textId="2DD0FABF" w:rsidR="0035213E" w:rsidRPr="000C05F6" w:rsidRDefault="00A90D70" w:rsidP="00921302">
      <w:r w:rsidRPr="000C05F6">
        <w:br w:type="page"/>
      </w:r>
    </w:p>
    <w:p w14:paraId="2954CE1A" w14:textId="49F4C76C" w:rsidR="00A90D70" w:rsidRPr="000C05F6" w:rsidRDefault="00A90D70" w:rsidP="00921302">
      <w:pPr>
        <w:pStyle w:val="AnnexNo"/>
        <w:spacing w:before="480"/>
        <w:rPr>
          <w:rFonts w:ascii="Times New Roman" w:hAnsi="Times New Roman"/>
          <w:lang w:val="fr-FR"/>
        </w:rPr>
      </w:pPr>
      <w:r w:rsidRPr="000C05F6">
        <w:rPr>
          <w:rFonts w:ascii="Times New Roman" w:hAnsi="Times New Roman"/>
          <w:lang w:val="fr-FR"/>
        </w:rPr>
        <w:lastRenderedPageBreak/>
        <w:t>Annexe</w:t>
      </w:r>
    </w:p>
    <w:p w14:paraId="35737E35" w14:textId="77777777" w:rsidR="00A90D70" w:rsidRPr="000C05F6" w:rsidRDefault="00A90D70" w:rsidP="00921302">
      <w:pPr>
        <w:pStyle w:val="Annextitle"/>
        <w:rPr>
          <w:rFonts w:ascii="Times New Roman" w:hAnsi="Times New Roman"/>
          <w:lang w:val="fr-FR"/>
        </w:rPr>
      </w:pPr>
      <w:r w:rsidRPr="000C05F6">
        <w:rPr>
          <w:rFonts w:ascii="Times New Roman" w:hAnsi="Times New Roman"/>
          <w:lang w:val="fr-FR"/>
        </w:rPr>
        <w:t>Mandat du Groupe d'experts sur le Règlement des télécommunications internationales (EG-RTI)</w:t>
      </w:r>
    </w:p>
    <w:p w14:paraId="2ABD8B06" w14:textId="77A5F4E9" w:rsidR="00A90D70" w:rsidRPr="000C05F6" w:rsidRDefault="00A90D70" w:rsidP="00B6015F">
      <w:pPr>
        <w:spacing w:before="360"/>
        <w:rPr>
          <w:color w:val="000000"/>
        </w:rPr>
      </w:pPr>
      <w:r w:rsidRPr="000C05F6">
        <w:t>1</w:t>
      </w:r>
      <w:r w:rsidRPr="000C05F6">
        <w:tab/>
        <w:t xml:space="preserve">Sur la base des contributions soumises par les États Membres et les Membres de Secteur ainsi que des contributions soumises par les Directeurs des Bureaux, le cas échéant, le </w:t>
      </w:r>
      <w:r w:rsidR="004B1183" w:rsidRPr="000C05F6">
        <w:rPr>
          <w:color w:val="000000"/>
        </w:rPr>
        <w:t>G</w:t>
      </w:r>
      <w:r w:rsidRPr="000C05F6">
        <w:rPr>
          <w:color w:val="000000"/>
        </w:rPr>
        <w:t>roupe</w:t>
      </w:r>
      <w:r w:rsidRPr="000C05F6">
        <w:t> EG</w:t>
      </w:r>
      <w:r w:rsidRPr="000C05F6">
        <w:noBreakHyphen/>
        <w:t>RTI procède à un examen détaillé du RTI</w:t>
      </w:r>
      <w:r w:rsidRPr="000C05F6">
        <w:rPr>
          <w:szCs w:val="24"/>
        </w:rPr>
        <w:t>.</w:t>
      </w:r>
    </w:p>
    <w:p w14:paraId="448B41DE" w14:textId="77777777" w:rsidR="00A90D70" w:rsidRPr="000C05F6" w:rsidRDefault="00A90D70" w:rsidP="00921302">
      <w:r w:rsidRPr="000C05F6">
        <w:rPr>
          <w:color w:val="000000"/>
        </w:rPr>
        <w:t>2</w:t>
      </w:r>
      <w:r w:rsidRPr="000C05F6">
        <w:rPr>
          <w:color w:val="000000"/>
        </w:rPr>
        <w:tab/>
      </w:r>
      <w:r w:rsidRPr="000C05F6">
        <w:t xml:space="preserve">Le Groupe EG-RTI procède à un examen de chacune des dispositions du RTI, en mettant l'accent sur la version de 2012 du RTI, compte tenu </w:t>
      </w:r>
      <w:r w:rsidRPr="000C05F6">
        <w:rPr>
          <w:color w:val="000000"/>
        </w:rPr>
        <w:t>des nouvelles tendances des télécommunications/TIC</w:t>
      </w:r>
      <w:r w:rsidRPr="000C05F6">
        <w:t xml:space="preserve"> ainsi que des nouveaux problèmes qui se font jour dans l'environnement international des télécommunications/TIC.</w:t>
      </w:r>
    </w:p>
    <w:p w14:paraId="2D6AAF93" w14:textId="77777777" w:rsidR="00A90D70" w:rsidRPr="000C05F6" w:rsidRDefault="00A90D70" w:rsidP="00921302">
      <w:r w:rsidRPr="000C05F6">
        <w:rPr>
          <w:color w:val="000000"/>
        </w:rPr>
        <w:t>3</w:t>
      </w:r>
      <w:r w:rsidRPr="000C05F6">
        <w:rPr>
          <w:color w:val="000000"/>
        </w:rPr>
        <w:tab/>
        <w:t>Cet examen devrait notamment porter sur:</w:t>
      </w:r>
    </w:p>
    <w:p w14:paraId="70DE70A4" w14:textId="77777777" w:rsidR="00A90D70" w:rsidRPr="000C05F6" w:rsidRDefault="00A90D70" w:rsidP="00921302">
      <w:pPr>
        <w:pStyle w:val="enumlev2"/>
        <w:rPr>
          <w:szCs w:val="24"/>
        </w:rPr>
      </w:pPr>
      <w:r w:rsidRPr="000C05F6">
        <w:t>a)</w:t>
      </w:r>
      <w:r w:rsidRPr="000C05F6">
        <w:tab/>
        <w:t>l'applicabilité des dispositions du RTI pour ce qui est de favoriser la fourniture et le développement des services et des réseaux internationaux de télécommunication/TIC;</w:t>
      </w:r>
    </w:p>
    <w:p w14:paraId="20944668" w14:textId="77777777" w:rsidR="00A90D70" w:rsidRPr="000C05F6" w:rsidRDefault="00A90D70" w:rsidP="00921302">
      <w:pPr>
        <w:pStyle w:val="enumlev2"/>
        <w:rPr>
          <w:szCs w:val="24"/>
        </w:rPr>
      </w:pPr>
      <w:r w:rsidRPr="000C05F6">
        <w:rPr>
          <w:szCs w:val="24"/>
        </w:rPr>
        <w:t>b)</w:t>
      </w:r>
      <w:r w:rsidRPr="000C05F6">
        <w:rPr>
          <w:szCs w:val="24"/>
        </w:rPr>
        <w:tab/>
      </w:r>
      <w:r w:rsidRPr="000C05F6">
        <w:t>la souplesse, ou le manque de souplesse, des dispositions du RTI</w:t>
      </w:r>
      <w:r w:rsidRPr="000C05F6" w:rsidDel="003867F5">
        <w:rPr>
          <w:szCs w:val="24"/>
        </w:rPr>
        <w:t xml:space="preserve"> </w:t>
      </w:r>
      <w:r w:rsidRPr="000C05F6">
        <w:t>pour tenir compte des nouvelles tendances des télécommunications/TIC ainsi que des nouveaux problèmes qui se font jour dans l'environnement international des télécommunications/TIC.</w:t>
      </w:r>
    </w:p>
    <w:p w14:paraId="735DBCF3" w14:textId="1934A58F" w:rsidR="00A90D70" w:rsidRPr="000C05F6" w:rsidRDefault="00A90D70" w:rsidP="00921302">
      <w:r w:rsidRPr="000C05F6">
        <w:t>4</w:t>
      </w:r>
      <w:r w:rsidRPr="000C05F6">
        <w:tab/>
        <w:t xml:space="preserve">Le </w:t>
      </w:r>
      <w:r w:rsidR="00AB3D34" w:rsidRPr="000C05F6">
        <w:t>G</w:t>
      </w:r>
      <w:r w:rsidRPr="000C05F6">
        <w:t>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w:t>
      </w:r>
    </w:p>
    <w:p w14:paraId="368E7F27" w14:textId="2E55CECD" w:rsidR="004B23FB" w:rsidRDefault="00A90D70" w:rsidP="00921302">
      <w:pPr>
        <w:rPr>
          <w:i/>
          <w:iCs/>
        </w:rPr>
      </w:pPr>
      <w:r w:rsidRPr="000C05F6">
        <w:rPr>
          <w:i/>
          <w:iCs/>
        </w:rPr>
        <w:t xml:space="preserve">Réf.: </w:t>
      </w:r>
      <w:r w:rsidRPr="000C05F6">
        <w:rPr>
          <w:i/>
          <w:iCs/>
        </w:rPr>
        <w:tab/>
        <w:t xml:space="preserve">Documents </w:t>
      </w:r>
      <w:hyperlink r:id="rId7" w:history="1">
        <w:r w:rsidRPr="000C05F6">
          <w:rPr>
            <w:rStyle w:val="Hyperlink"/>
            <w:i/>
            <w:iCs/>
          </w:rPr>
          <w:t>C16/119</w:t>
        </w:r>
      </w:hyperlink>
      <w:r w:rsidRPr="000C05F6">
        <w:rPr>
          <w:i/>
          <w:iCs/>
        </w:rPr>
        <w:t xml:space="preserve">, </w:t>
      </w:r>
      <w:hyperlink r:id="rId8" w:history="1">
        <w:r w:rsidRPr="000C05F6">
          <w:rPr>
            <w:rStyle w:val="Hyperlink"/>
            <w:i/>
            <w:iCs/>
          </w:rPr>
          <w:t>C16/125</w:t>
        </w:r>
      </w:hyperlink>
      <w:r w:rsidRPr="000C05F6">
        <w:rPr>
          <w:i/>
          <w:iCs/>
        </w:rPr>
        <w:t xml:space="preserve">, </w:t>
      </w:r>
      <w:hyperlink r:id="rId9" w:history="1">
        <w:r w:rsidRPr="000C05F6">
          <w:rPr>
            <w:rStyle w:val="Hyperlink"/>
            <w:i/>
            <w:iCs/>
          </w:rPr>
          <w:t>C19/139</w:t>
        </w:r>
      </w:hyperlink>
      <w:r w:rsidRPr="000C05F6">
        <w:rPr>
          <w:i/>
          <w:iCs/>
        </w:rPr>
        <w:t xml:space="preserve"> et </w:t>
      </w:r>
      <w:hyperlink r:id="rId10" w:history="1">
        <w:r w:rsidRPr="000C05F6">
          <w:rPr>
            <w:rStyle w:val="Hyperlink"/>
            <w:i/>
            <w:iCs/>
          </w:rPr>
          <w:t>C19/117</w:t>
        </w:r>
      </w:hyperlink>
      <w:r w:rsidRPr="000C05F6">
        <w:rPr>
          <w:i/>
          <w:iCs/>
        </w:rPr>
        <w:t>.</w:t>
      </w:r>
    </w:p>
    <w:p w14:paraId="2CEB4ED6" w14:textId="77777777" w:rsidR="00B6015F" w:rsidRPr="000C05F6" w:rsidRDefault="00B6015F" w:rsidP="00921302">
      <w:pPr>
        <w:rPr>
          <w:i/>
          <w:iCs/>
        </w:rPr>
      </w:pPr>
    </w:p>
    <w:p w14:paraId="073D7691" w14:textId="77777777" w:rsidR="00A90D70" w:rsidRPr="000C05F6" w:rsidRDefault="00A90D70" w:rsidP="00921302">
      <w:pPr>
        <w:spacing w:before="360"/>
        <w:jc w:val="center"/>
      </w:pPr>
      <w:r w:rsidRPr="000C05F6">
        <w:t>______________</w:t>
      </w:r>
      <w:bookmarkStart w:id="7" w:name="_GoBack"/>
      <w:bookmarkEnd w:id="7"/>
    </w:p>
    <w:sectPr w:rsidR="00A90D70" w:rsidRPr="000C05F6">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ECB1" w14:textId="77777777" w:rsidR="004B23FB" w:rsidRDefault="004B23FB">
      <w:r>
        <w:separator/>
      </w:r>
    </w:p>
  </w:endnote>
  <w:endnote w:type="continuationSeparator" w:id="0">
    <w:p w14:paraId="0E5DD192" w14:textId="77777777" w:rsidR="004B23FB" w:rsidRDefault="004B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7C0A" w14:textId="4561C013"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64839">
      <w:rPr>
        <w:lang w:val="en-US"/>
      </w:rPr>
      <w:t>P:\FRA\ITU-R\AG\RAG\RAG21\000\026ADD02F.docx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E7B38">
      <w:t>03.03.21</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64839">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6DBF" w14:textId="2FEC0831" w:rsidR="00847AAC" w:rsidRPr="00A90D70" w:rsidRDefault="00A90D70" w:rsidP="00A90D70">
    <w:pPr>
      <w:pStyle w:val="Footer"/>
      <w:rPr>
        <w:lang w:val="en-US"/>
      </w:rPr>
    </w:pPr>
    <w:r>
      <w:fldChar w:fldCharType="begin"/>
    </w:r>
    <w:r w:rsidRPr="00A90D70">
      <w:rPr>
        <w:lang w:val="en-US"/>
      </w:rPr>
      <w:instrText xml:space="preserve"> FILENAME \p  \* MERGEFORMAT </w:instrText>
    </w:r>
    <w:r>
      <w:fldChar w:fldCharType="separate"/>
    </w:r>
    <w:r w:rsidR="00E64839">
      <w:rPr>
        <w:lang w:val="en-US"/>
      </w:rPr>
      <w:t>P:\FRA\ITU-R\AG\RAG\RAG21\000\026ADD02F.docx</w:t>
    </w:r>
    <w:r>
      <w:fldChar w:fldCharType="end"/>
    </w:r>
    <w:r w:rsidRPr="00A90D70">
      <w:rPr>
        <w:lang w:val="en-US"/>
      </w:rPr>
      <w:t xml:space="preserve"> (</w:t>
    </w:r>
    <w:r>
      <w:rPr>
        <w:lang w:val="en-US"/>
      </w:rPr>
      <w:t>483979</w:t>
    </w:r>
    <w:r w:rsidRPr="00A90D7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1CC2" w14:textId="4727465A" w:rsidR="009023EF" w:rsidRPr="009023EF" w:rsidRDefault="00A90D70" w:rsidP="009023EF">
    <w:pPr>
      <w:pStyle w:val="Footer"/>
      <w:rPr>
        <w:lang w:val="en-US"/>
      </w:rPr>
    </w:pPr>
    <w:r>
      <w:fldChar w:fldCharType="begin"/>
    </w:r>
    <w:r w:rsidRPr="00A90D70">
      <w:rPr>
        <w:lang w:val="en-US"/>
      </w:rPr>
      <w:instrText xml:space="preserve"> FILENAME \p  \* MERGEFORMAT </w:instrText>
    </w:r>
    <w:r>
      <w:fldChar w:fldCharType="separate"/>
    </w:r>
    <w:r w:rsidR="00E64839">
      <w:rPr>
        <w:lang w:val="en-US"/>
      </w:rPr>
      <w:t>P:\FRA\ITU-R\AG\RAG\RAG21\000\026ADD02F.docx</w:t>
    </w:r>
    <w:r>
      <w:fldChar w:fldCharType="end"/>
    </w:r>
    <w:r w:rsidRPr="00A90D70">
      <w:rPr>
        <w:lang w:val="en-US"/>
      </w:rPr>
      <w:t xml:space="preserve"> (</w:t>
    </w:r>
    <w:r>
      <w:rPr>
        <w:lang w:val="en-US"/>
      </w:rPr>
      <w:t>483979</w:t>
    </w:r>
    <w:r w:rsidRPr="00A90D7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78DE" w14:textId="77777777" w:rsidR="004B23FB" w:rsidRDefault="004B23FB">
      <w:r>
        <w:t>____________________</w:t>
      </w:r>
    </w:p>
  </w:footnote>
  <w:footnote w:type="continuationSeparator" w:id="0">
    <w:p w14:paraId="022EEE64" w14:textId="77777777" w:rsidR="004B23FB" w:rsidRDefault="004B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2AFD"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156E" w14:textId="71BE4D94" w:rsidR="00847AAC" w:rsidRDefault="00A9055C" w:rsidP="00925627">
    <w:pPr>
      <w:pStyle w:val="Header"/>
      <w:rPr>
        <w:lang w:val="es-ES"/>
      </w:rPr>
    </w:pPr>
    <w:r>
      <w:fldChar w:fldCharType="begin"/>
    </w:r>
    <w:r>
      <w:instrText xml:space="preserve"> PAGE </w:instrText>
    </w:r>
    <w:r>
      <w:fldChar w:fldCharType="separate"/>
    </w:r>
    <w:r w:rsidR="003E7B38">
      <w:rPr>
        <w:noProof/>
      </w:rPr>
      <w:t>3</w:t>
    </w:r>
    <w:r>
      <w:rPr>
        <w:noProof/>
      </w:rPr>
      <w:fldChar w:fldCharType="end"/>
    </w:r>
  </w:p>
  <w:p w14:paraId="78B2DEAB" w14:textId="269E8334" w:rsidR="00847AAC" w:rsidRDefault="0097156E" w:rsidP="007711EA">
    <w:pPr>
      <w:pStyle w:val="Header"/>
      <w:rPr>
        <w:lang w:val="es-ES"/>
      </w:rPr>
    </w:pPr>
    <w:r>
      <w:rPr>
        <w:lang w:val="es-ES"/>
      </w:rPr>
      <w:t>RAG</w:t>
    </w:r>
    <w:r w:rsidR="00847AAC">
      <w:rPr>
        <w:lang w:val="es-ES"/>
      </w:rPr>
      <w:t>/</w:t>
    </w:r>
    <w:r w:rsidR="00A90D70">
      <w:rPr>
        <w:lang w:val="es-ES"/>
      </w:rPr>
      <w:t>26(Add.2)</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FB"/>
    <w:rsid w:val="000C05F6"/>
    <w:rsid w:val="000C06D8"/>
    <w:rsid w:val="00140AE6"/>
    <w:rsid w:val="00222A1C"/>
    <w:rsid w:val="002D238A"/>
    <w:rsid w:val="0035213E"/>
    <w:rsid w:val="00354B70"/>
    <w:rsid w:val="003A6CEE"/>
    <w:rsid w:val="003E7B38"/>
    <w:rsid w:val="00405FBE"/>
    <w:rsid w:val="00443261"/>
    <w:rsid w:val="004B1183"/>
    <w:rsid w:val="004B23FB"/>
    <w:rsid w:val="004E1CCF"/>
    <w:rsid w:val="004E76DF"/>
    <w:rsid w:val="005031C8"/>
    <w:rsid w:val="005207F5"/>
    <w:rsid w:val="005278BF"/>
    <w:rsid w:val="005430E4"/>
    <w:rsid w:val="006677B8"/>
    <w:rsid w:val="0067019B"/>
    <w:rsid w:val="00677EE5"/>
    <w:rsid w:val="00694DEF"/>
    <w:rsid w:val="006E34A4"/>
    <w:rsid w:val="007711EA"/>
    <w:rsid w:val="00773E5E"/>
    <w:rsid w:val="008069E9"/>
    <w:rsid w:val="00847AAC"/>
    <w:rsid w:val="008543D5"/>
    <w:rsid w:val="00902253"/>
    <w:rsid w:val="009023EF"/>
    <w:rsid w:val="00921302"/>
    <w:rsid w:val="00925627"/>
    <w:rsid w:val="0093101F"/>
    <w:rsid w:val="0097156E"/>
    <w:rsid w:val="009B12AD"/>
    <w:rsid w:val="00A14FBB"/>
    <w:rsid w:val="00A9055C"/>
    <w:rsid w:val="00A90D70"/>
    <w:rsid w:val="00AB3D34"/>
    <w:rsid w:val="00AB7F92"/>
    <w:rsid w:val="00AC39EE"/>
    <w:rsid w:val="00AF2EDC"/>
    <w:rsid w:val="00B41D84"/>
    <w:rsid w:val="00B6015F"/>
    <w:rsid w:val="00BA0C7B"/>
    <w:rsid w:val="00BC4591"/>
    <w:rsid w:val="00C718CD"/>
    <w:rsid w:val="00C72A86"/>
    <w:rsid w:val="00CC5B9E"/>
    <w:rsid w:val="00CC7208"/>
    <w:rsid w:val="00CE6184"/>
    <w:rsid w:val="00D228F7"/>
    <w:rsid w:val="00D34E1C"/>
    <w:rsid w:val="00D421CC"/>
    <w:rsid w:val="00D95965"/>
    <w:rsid w:val="00DD55EB"/>
    <w:rsid w:val="00E2659D"/>
    <w:rsid w:val="00E64839"/>
    <w:rsid w:val="00E92B05"/>
    <w:rsid w:val="00EC0F12"/>
    <w:rsid w:val="00ED59FA"/>
    <w:rsid w:val="00F7347E"/>
    <w:rsid w:val="00F775D5"/>
    <w:rsid w:val="00FE61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5811A"/>
  <w15:docId w15:val="{F0909C95-BBA8-4EE7-AF5C-C07B65E1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RestitleChar">
    <w:name w:val="Res_title Char"/>
    <w:basedOn w:val="DefaultParagraphFont"/>
    <w:link w:val="Restitle"/>
    <w:rsid w:val="004B23FB"/>
    <w:rPr>
      <w:rFonts w:ascii="Times New Roman" w:hAnsi="Times New Roman"/>
      <w:b/>
      <w:sz w:val="28"/>
      <w:lang w:val="fr-FR" w:eastAsia="en-US"/>
    </w:rPr>
  </w:style>
  <w:style w:type="character" w:customStyle="1" w:styleId="CallChar">
    <w:name w:val="Call Char"/>
    <w:basedOn w:val="DefaultParagraphFont"/>
    <w:link w:val="Call"/>
    <w:rsid w:val="004B23FB"/>
    <w:rPr>
      <w:rFonts w:ascii="Times New Roman" w:hAnsi="Times New Roman"/>
      <w:i/>
      <w:sz w:val="24"/>
      <w:lang w:val="fr-FR" w:eastAsia="en-US"/>
    </w:rPr>
  </w:style>
  <w:style w:type="paragraph" w:customStyle="1" w:styleId="Normalaftertitle0">
    <w:name w:val="Normal after title"/>
    <w:basedOn w:val="Normal"/>
    <w:next w:val="Normal"/>
    <w:rsid w:val="004B23FB"/>
    <w:pPr>
      <w:tabs>
        <w:tab w:val="clear" w:pos="794"/>
        <w:tab w:val="clear" w:pos="1191"/>
        <w:tab w:val="clear" w:pos="1588"/>
        <w:tab w:val="clear" w:pos="1985"/>
        <w:tab w:val="left" w:pos="567"/>
        <w:tab w:val="left" w:pos="1134"/>
        <w:tab w:val="left" w:pos="1701"/>
        <w:tab w:val="left" w:pos="2268"/>
        <w:tab w:val="left" w:pos="2835"/>
      </w:tabs>
      <w:spacing w:before="240"/>
      <w:jc w:val="both"/>
    </w:pPr>
    <w:rPr>
      <w:rFonts w:ascii="Calibri" w:hAnsi="Calibri"/>
      <w:sz w:val="30"/>
    </w:rPr>
  </w:style>
  <w:style w:type="paragraph" w:customStyle="1" w:styleId="NormalS2">
    <w:name w:val="Normal_S2"/>
    <w:basedOn w:val="Normal"/>
    <w:rsid w:val="004B23FB"/>
    <w:pPr>
      <w:tabs>
        <w:tab w:val="clear" w:pos="794"/>
        <w:tab w:val="clear" w:pos="1191"/>
        <w:tab w:val="clear" w:pos="1588"/>
        <w:tab w:val="clear" w:pos="1985"/>
        <w:tab w:val="left" w:pos="851"/>
      </w:tabs>
      <w:jc w:val="both"/>
    </w:pPr>
    <w:rPr>
      <w:rFonts w:ascii="Calibri" w:hAnsi="Calibri"/>
      <w:b/>
      <w:sz w:val="30"/>
    </w:rPr>
  </w:style>
  <w:style w:type="paragraph" w:customStyle="1" w:styleId="NormalaftertitleS2">
    <w:name w:val="Normal after title_S2"/>
    <w:basedOn w:val="Normalaftertitle0"/>
    <w:next w:val="NormalS2"/>
    <w:rsid w:val="004B23FB"/>
    <w:pPr>
      <w:keepNext/>
      <w:keepLines/>
      <w:tabs>
        <w:tab w:val="clear" w:pos="567"/>
        <w:tab w:val="clear" w:pos="1134"/>
        <w:tab w:val="clear" w:pos="1701"/>
        <w:tab w:val="clear" w:pos="2268"/>
        <w:tab w:val="clear" w:pos="2835"/>
        <w:tab w:val="left" w:pos="851"/>
      </w:tabs>
    </w:pPr>
    <w:rPr>
      <w:b/>
    </w:rPr>
  </w:style>
  <w:style w:type="table" w:styleId="TableGrid">
    <w:name w:val="Table Grid"/>
    <w:basedOn w:val="TableNormal"/>
    <w:rsid w:val="0035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
    <w:basedOn w:val="DefaultParagraphFont"/>
    <w:uiPriority w:val="99"/>
    <w:qFormat/>
    <w:rsid w:val="00A90D70"/>
    <w:rPr>
      <w:color w:val="0000FF"/>
      <w:u w:val="single"/>
    </w:rPr>
  </w:style>
  <w:style w:type="paragraph" w:customStyle="1" w:styleId="AnnexNo">
    <w:name w:val="Annex_No"/>
    <w:basedOn w:val="Normal"/>
    <w:next w:val="Normal"/>
    <w:link w:val="AnnexNoChar"/>
    <w:rsid w:val="00A90D70"/>
    <w:pPr>
      <w:spacing w:before="720"/>
      <w:jc w:val="center"/>
    </w:pPr>
    <w:rPr>
      <w:rFonts w:asciiTheme="minorHAnsi" w:hAnsiTheme="minorHAnsi"/>
      <w:caps/>
      <w:sz w:val="28"/>
      <w:lang w:val="en-GB"/>
    </w:rPr>
  </w:style>
  <w:style w:type="paragraph" w:customStyle="1" w:styleId="Annextitle">
    <w:name w:val="Annex_title"/>
    <w:basedOn w:val="Normal"/>
    <w:next w:val="Normal"/>
    <w:link w:val="AnnextitleChar"/>
    <w:rsid w:val="00A90D70"/>
    <w:pPr>
      <w:spacing w:before="240" w:after="240"/>
      <w:jc w:val="center"/>
    </w:pPr>
    <w:rPr>
      <w:rFonts w:asciiTheme="minorHAnsi" w:hAnsiTheme="minorHAnsi"/>
      <w:b/>
      <w:sz w:val="28"/>
      <w:lang w:val="en-GB"/>
    </w:rPr>
  </w:style>
  <w:style w:type="character" w:customStyle="1" w:styleId="AnnexNoChar">
    <w:name w:val="Annex_No Char"/>
    <w:basedOn w:val="DefaultParagraphFont"/>
    <w:link w:val="AnnexNo"/>
    <w:rsid w:val="00A90D70"/>
    <w:rPr>
      <w:rFonts w:asciiTheme="minorHAnsi" w:hAnsiTheme="minorHAnsi"/>
      <w:caps/>
      <w:sz w:val="28"/>
      <w:lang w:val="en-GB" w:eastAsia="en-US"/>
    </w:rPr>
  </w:style>
  <w:style w:type="character" w:customStyle="1" w:styleId="AnnextitleChar">
    <w:name w:val="Annex_title Char"/>
    <w:basedOn w:val="DefaultParagraphFont"/>
    <w:link w:val="Annextitle"/>
    <w:rsid w:val="00A90D70"/>
    <w:rPr>
      <w:rFonts w:asciiTheme="minorHAnsi" w:hAnsiTheme="minorHAnsi"/>
      <w:b/>
      <w:sz w:val="28"/>
      <w:lang w:val="en-GB" w:eastAsia="en-US"/>
    </w:rPr>
  </w:style>
  <w:style w:type="character" w:customStyle="1" w:styleId="enumlev2Char">
    <w:name w:val="enumlev2 Char"/>
    <w:link w:val="enumlev2"/>
    <w:locked/>
    <w:rsid w:val="00A90D70"/>
    <w:rPr>
      <w:rFonts w:ascii="Times New Roman" w:hAnsi="Times New Roman"/>
      <w:sz w:val="24"/>
      <w:lang w:val="fr-FR" w:eastAsia="en-US"/>
    </w:rPr>
  </w:style>
  <w:style w:type="paragraph" w:customStyle="1" w:styleId="Reasons">
    <w:name w:val="Reasons"/>
    <w:basedOn w:val="Normal"/>
    <w:qFormat/>
    <w:rsid w:val="00A90D7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902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25/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u.int/md/S16-CL-C-0119/e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9-CL-C-0117/fr" TargetMode="External"/><Relationship Id="rId4" Type="http://schemas.openxmlformats.org/officeDocument/2006/relationships/footnotes" Target="footnotes.xml"/><Relationship Id="rId9" Type="http://schemas.openxmlformats.org/officeDocument/2006/relationships/hyperlink" Target="https://www.itu.int/md/S19-CL-C-0139/f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32</TotalTime>
  <Pages>3</Pages>
  <Words>801</Words>
  <Characters>4688</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CONTRIBUTION DU DIRECTEUR DU BR AUX TRAVAUX DU GROUPE D'EXPERTS SUR LE RÈGLEMENT DES TÉLÉCOMMUNICATIONS INTERNATIONALES</vt:lpstr>
    </vt:vector>
  </TitlesOfParts>
  <Manager>General Secretariat - Pool</Manager>
  <Company>International Telecommunication Union (ITU)</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DIRECTEUR DU BR AUX TRAVAUX DU GROUPE D'EXPERTS SUR LE RÈGLEMENT DES TÉLÉCOMMUNICATIONS INTERNATIONALES</dc:title>
  <dc:subject>GROUPE CONSULTATIF DES RADIOCOMMUNICATIONS</dc:subject>
  <dc:creator>Directeur du Bureau des radiocommunications</dc:creator>
  <cp:keywords>RAG03-1</cp:keywords>
  <dc:description>Addendum 2 au Document RAG/26-F  For: _x000d_Document date: 23 février 2021_x000d_Saved by R03 at 10:25:41 on 03.03.21</dc:description>
  <cp:lastModifiedBy>Royer, Veronique</cp:lastModifiedBy>
  <cp:revision>9</cp:revision>
  <cp:lastPrinted>1999-10-11T14:58:00Z</cp:lastPrinted>
  <dcterms:created xsi:type="dcterms:W3CDTF">2021-03-03T08:20:00Z</dcterms:created>
  <dcterms:modified xsi:type="dcterms:W3CDTF">2021-03-03T09:25:00Z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RAG/26-F</vt:lpwstr>
  </property>
  <property fmtid="{D5CDD505-2E9C-101B-9397-08002B2CF9AE}" pid="3" name="Docdate">
    <vt:lpwstr>23 février 2021</vt:lpwstr>
  </property>
  <property fmtid="{D5CDD505-2E9C-101B-9397-08002B2CF9AE}" pid="4" name="Docorlang">
    <vt:lpwstr>Original: anglais</vt:lpwstr>
  </property>
  <property fmtid="{D5CDD505-2E9C-101B-9397-08002B2CF9AE}" pid="5" name="Docauthor">
    <vt:lpwstr>Directeur du Bureau des radiocommunications</vt:lpwstr>
  </property>
</Properties>
</file>