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B2067F" w14:paraId="5A3193A1" w14:textId="77777777" w:rsidTr="00BF44DC">
        <w:trPr>
          <w:cantSplit/>
        </w:trPr>
        <w:tc>
          <w:tcPr>
            <w:tcW w:w="6772" w:type="dxa"/>
            <w:vAlign w:val="center"/>
          </w:tcPr>
          <w:p w14:paraId="0A20F2D1" w14:textId="77777777" w:rsidR="0057336B" w:rsidRPr="00B2067F" w:rsidRDefault="0057336B" w:rsidP="00AB4BAD">
            <w:pPr>
              <w:shd w:val="solid" w:color="FFFFFF" w:fill="FFFFFF"/>
              <w:tabs>
                <w:tab w:val="left" w:pos="568"/>
              </w:tabs>
              <w:spacing w:before="360" w:after="240"/>
              <w:rPr>
                <w:b/>
                <w:caps/>
                <w:sz w:val="32"/>
              </w:rPr>
            </w:pPr>
            <w:r w:rsidRPr="00B2067F">
              <w:rPr>
                <w:rFonts w:ascii="Verdana" w:hAnsi="Verdana" w:cs="Times New Roman Bold"/>
                <w:b/>
                <w:sz w:val="26"/>
                <w:szCs w:val="26"/>
              </w:rPr>
              <w:t>Grupo Asesor de Radiocomunicaciones</w:t>
            </w:r>
            <w:r w:rsidRPr="00B2067F">
              <w:rPr>
                <w:b/>
                <w:caps/>
                <w:sz w:val="32"/>
              </w:rPr>
              <w:br/>
            </w:r>
          </w:p>
        </w:tc>
        <w:tc>
          <w:tcPr>
            <w:tcW w:w="3117" w:type="dxa"/>
            <w:vAlign w:val="center"/>
          </w:tcPr>
          <w:p w14:paraId="2D100236" w14:textId="77777777" w:rsidR="0057336B" w:rsidRPr="00B2067F" w:rsidRDefault="00AB4BAD" w:rsidP="00A7663C">
            <w:pPr>
              <w:shd w:val="solid" w:color="FFFFFF" w:fill="FFFFFF"/>
              <w:spacing w:before="0"/>
            </w:pPr>
            <w:r w:rsidRPr="00B2067F">
              <w:rPr>
                <w:noProof/>
                <w:lang w:eastAsia="es-ES_tradnl"/>
              </w:rPr>
              <w:drawing>
                <wp:inline distT="0" distB="0" distL="0" distR="0" wp14:anchorId="1DD2C5FB" wp14:editId="3A01EC4D">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B2067F" w14:paraId="1BBC5C68" w14:textId="77777777" w:rsidTr="00BF44DC">
        <w:trPr>
          <w:cantSplit/>
        </w:trPr>
        <w:tc>
          <w:tcPr>
            <w:tcW w:w="6772" w:type="dxa"/>
            <w:tcBorders>
              <w:bottom w:val="single" w:sz="12" w:space="0" w:color="auto"/>
            </w:tcBorders>
          </w:tcPr>
          <w:p w14:paraId="3AF9624D" w14:textId="77777777" w:rsidR="006E291F" w:rsidRPr="00B2067F"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0C3D0382" w14:textId="77777777" w:rsidR="006E291F" w:rsidRPr="00B2067F" w:rsidRDefault="006E291F" w:rsidP="00CB7A43">
            <w:pPr>
              <w:shd w:val="solid" w:color="FFFFFF" w:fill="FFFFFF"/>
              <w:spacing w:before="0" w:after="48" w:line="240" w:lineRule="atLeast"/>
              <w:rPr>
                <w:sz w:val="22"/>
                <w:szCs w:val="22"/>
              </w:rPr>
            </w:pPr>
          </w:p>
        </w:tc>
      </w:tr>
      <w:tr w:rsidR="006E291F" w:rsidRPr="00B2067F" w14:paraId="41FE258E" w14:textId="77777777" w:rsidTr="00BF44DC">
        <w:trPr>
          <w:cantSplit/>
        </w:trPr>
        <w:tc>
          <w:tcPr>
            <w:tcW w:w="6772" w:type="dxa"/>
            <w:tcBorders>
              <w:top w:val="single" w:sz="12" w:space="0" w:color="auto"/>
            </w:tcBorders>
          </w:tcPr>
          <w:p w14:paraId="2431D4E1" w14:textId="77777777" w:rsidR="006E291F" w:rsidRPr="00B2067F"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26C08013" w14:textId="77777777" w:rsidR="006E291F" w:rsidRPr="00B2067F" w:rsidRDefault="006E291F" w:rsidP="00CB7A43">
            <w:pPr>
              <w:shd w:val="solid" w:color="FFFFFF" w:fill="FFFFFF"/>
              <w:spacing w:before="0" w:after="48" w:line="240" w:lineRule="atLeast"/>
              <w:rPr>
                <w:rFonts w:ascii="Verdana" w:hAnsi="Verdana"/>
                <w:sz w:val="22"/>
                <w:szCs w:val="22"/>
              </w:rPr>
            </w:pPr>
          </w:p>
        </w:tc>
      </w:tr>
      <w:tr w:rsidR="006E291F" w:rsidRPr="00B2067F" w14:paraId="2DEB85A0" w14:textId="77777777" w:rsidTr="00BF44DC">
        <w:trPr>
          <w:cantSplit/>
        </w:trPr>
        <w:tc>
          <w:tcPr>
            <w:tcW w:w="6772" w:type="dxa"/>
            <w:vMerge w:val="restart"/>
          </w:tcPr>
          <w:p w14:paraId="4DF38B75" w14:textId="77777777" w:rsidR="006E291F" w:rsidRPr="00B2067F" w:rsidRDefault="006E291F" w:rsidP="00CB7A43">
            <w:pPr>
              <w:shd w:val="solid" w:color="FFFFFF" w:fill="FFFFFF"/>
              <w:spacing w:after="240"/>
              <w:rPr>
                <w:sz w:val="20"/>
              </w:rPr>
            </w:pPr>
            <w:bookmarkStart w:id="0" w:name="dnum" w:colFirst="1" w:colLast="1"/>
          </w:p>
        </w:tc>
        <w:tc>
          <w:tcPr>
            <w:tcW w:w="3117" w:type="dxa"/>
          </w:tcPr>
          <w:p w14:paraId="1339DD4D" w14:textId="46CCAE0D" w:rsidR="006E291F" w:rsidRPr="00B2067F" w:rsidRDefault="00BF44DC" w:rsidP="00CB7A43">
            <w:pPr>
              <w:shd w:val="solid" w:color="FFFFFF" w:fill="FFFFFF"/>
              <w:spacing w:before="0" w:line="240" w:lineRule="atLeast"/>
              <w:rPr>
                <w:rFonts w:ascii="Verdana" w:hAnsi="Verdana"/>
                <w:sz w:val="20"/>
              </w:rPr>
            </w:pPr>
            <w:r w:rsidRPr="00B2067F">
              <w:rPr>
                <w:rFonts w:ascii="Verdana" w:hAnsi="Verdana"/>
                <w:b/>
                <w:sz w:val="20"/>
              </w:rPr>
              <w:t>Documento RAG/26-S</w:t>
            </w:r>
          </w:p>
        </w:tc>
      </w:tr>
      <w:tr w:rsidR="006E291F" w:rsidRPr="00B2067F" w14:paraId="4D52419E" w14:textId="77777777" w:rsidTr="00BF44DC">
        <w:trPr>
          <w:cantSplit/>
        </w:trPr>
        <w:tc>
          <w:tcPr>
            <w:tcW w:w="6772" w:type="dxa"/>
            <w:vMerge/>
          </w:tcPr>
          <w:p w14:paraId="3F721CDF" w14:textId="77777777" w:rsidR="006E291F" w:rsidRPr="00B2067F" w:rsidRDefault="006E291F" w:rsidP="00CB7A43">
            <w:pPr>
              <w:spacing w:before="60"/>
              <w:jc w:val="center"/>
              <w:rPr>
                <w:b/>
                <w:smallCaps/>
                <w:sz w:val="32"/>
              </w:rPr>
            </w:pPr>
            <w:bookmarkStart w:id="1" w:name="ddate" w:colFirst="1" w:colLast="1"/>
            <w:bookmarkEnd w:id="0"/>
          </w:p>
        </w:tc>
        <w:tc>
          <w:tcPr>
            <w:tcW w:w="3117" w:type="dxa"/>
          </w:tcPr>
          <w:p w14:paraId="17CA775F" w14:textId="2FD61267" w:rsidR="006E291F" w:rsidRPr="00B2067F" w:rsidRDefault="00BF44DC" w:rsidP="004B176B">
            <w:pPr>
              <w:shd w:val="solid" w:color="FFFFFF" w:fill="FFFFFF"/>
              <w:spacing w:before="0" w:line="240" w:lineRule="atLeast"/>
              <w:rPr>
                <w:rFonts w:ascii="Verdana" w:hAnsi="Verdana"/>
                <w:sz w:val="20"/>
              </w:rPr>
            </w:pPr>
            <w:r w:rsidRPr="00B2067F">
              <w:rPr>
                <w:rFonts w:ascii="Verdana" w:hAnsi="Verdana"/>
                <w:b/>
                <w:sz w:val="20"/>
              </w:rPr>
              <w:t>23 de fe</w:t>
            </w:r>
            <w:r w:rsidR="004B176B" w:rsidRPr="00B2067F">
              <w:rPr>
                <w:rFonts w:ascii="Verdana" w:hAnsi="Verdana"/>
                <w:b/>
                <w:sz w:val="20"/>
              </w:rPr>
              <w:t>br</w:t>
            </w:r>
            <w:r w:rsidRPr="00B2067F">
              <w:rPr>
                <w:rFonts w:ascii="Verdana" w:hAnsi="Verdana"/>
                <w:b/>
                <w:sz w:val="20"/>
              </w:rPr>
              <w:t>ero de 2021</w:t>
            </w:r>
          </w:p>
        </w:tc>
      </w:tr>
      <w:tr w:rsidR="006E291F" w:rsidRPr="00B2067F" w14:paraId="38EB57C7" w14:textId="77777777" w:rsidTr="00BF44DC">
        <w:trPr>
          <w:cantSplit/>
        </w:trPr>
        <w:tc>
          <w:tcPr>
            <w:tcW w:w="6772" w:type="dxa"/>
            <w:vMerge/>
          </w:tcPr>
          <w:p w14:paraId="67AC1686" w14:textId="77777777" w:rsidR="006E291F" w:rsidRPr="00B2067F" w:rsidRDefault="006E291F" w:rsidP="00CB7A43">
            <w:pPr>
              <w:spacing w:before="60"/>
              <w:jc w:val="center"/>
              <w:rPr>
                <w:b/>
                <w:smallCaps/>
                <w:sz w:val="32"/>
              </w:rPr>
            </w:pPr>
            <w:bookmarkStart w:id="2" w:name="dorlang" w:colFirst="1" w:colLast="1"/>
            <w:bookmarkEnd w:id="1"/>
          </w:p>
        </w:tc>
        <w:tc>
          <w:tcPr>
            <w:tcW w:w="3117" w:type="dxa"/>
          </w:tcPr>
          <w:p w14:paraId="4FE9017F" w14:textId="07BBD3E9" w:rsidR="006E291F" w:rsidRPr="00B2067F" w:rsidRDefault="00BF44DC" w:rsidP="00CB7A43">
            <w:pPr>
              <w:shd w:val="solid" w:color="FFFFFF" w:fill="FFFFFF"/>
              <w:spacing w:before="0" w:after="120" w:line="240" w:lineRule="atLeast"/>
              <w:rPr>
                <w:rFonts w:ascii="Verdana" w:hAnsi="Verdana"/>
                <w:sz w:val="20"/>
              </w:rPr>
            </w:pPr>
            <w:r w:rsidRPr="00B2067F">
              <w:rPr>
                <w:rFonts w:ascii="Verdana" w:hAnsi="Verdana"/>
                <w:b/>
                <w:sz w:val="20"/>
              </w:rPr>
              <w:t>Original: inglés</w:t>
            </w:r>
          </w:p>
        </w:tc>
      </w:tr>
      <w:tr w:rsidR="006E291F" w:rsidRPr="00B2067F" w14:paraId="27987AF9" w14:textId="77777777" w:rsidTr="008F0106">
        <w:trPr>
          <w:cantSplit/>
        </w:trPr>
        <w:tc>
          <w:tcPr>
            <w:tcW w:w="9889" w:type="dxa"/>
            <w:gridSpan w:val="2"/>
          </w:tcPr>
          <w:p w14:paraId="379343B0" w14:textId="7A476C61" w:rsidR="006E291F" w:rsidRPr="00B2067F" w:rsidRDefault="00BF44DC" w:rsidP="00CB7A43">
            <w:pPr>
              <w:pStyle w:val="Source"/>
            </w:pPr>
            <w:bookmarkStart w:id="3" w:name="dsource" w:colFirst="0" w:colLast="0"/>
            <w:bookmarkEnd w:id="2"/>
            <w:r w:rsidRPr="00B2067F">
              <w:t>Director de la Oficina de Radiocomunicaciones</w:t>
            </w:r>
          </w:p>
        </w:tc>
      </w:tr>
      <w:tr w:rsidR="006E291F" w:rsidRPr="00B2067F" w14:paraId="1CEFC5F0" w14:textId="77777777" w:rsidTr="008F0106">
        <w:trPr>
          <w:cantSplit/>
        </w:trPr>
        <w:tc>
          <w:tcPr>
            <w:tcW w:w="9889" w:type="dxa"/>
            <w:gridSpan w:val="2"/>
          </w:tcPr>
          <w:p w14:paraId="1FB2799A" w14:textId="0C4A1023" w:rsidR="006E291F" w:rsidRPr="00B2067F" w:rsidRDefault="00BF44DC" w:rsidP="00CB7A43">
            <w:pPr>
              <w:pStyle w:val="Title1"/>
            </w:pPr>
            <w:bookmarkStart w:id="4" w:name="dtitle1" w:colFirst="0" w:colLast="0"/>
            <w:bookmarkEnd w:id="3"/>
            <w:r w:rsidRPr="00B2067F">
              <w:t xml:space="preserve">INFORME A LA VIGÉSIMA octava REUNIÓN DEL </w:t>
            </w:r>
            <w:r w:rsidRPr="00B2067F">
              <w:br/>
              <w:t>GRUPO ASESOR DE RADIOCOMUNICACIONES</w:t>
            </w:r>
          </w:p>
        </w:tc>
      </w:tr>
    </w:tbl>
    <w:p w14:paraId="3900DD1C" w14:textId="77777777" w:rsidR="00BF44DC" w:rsidRPr="00B2067F" w:rsidRDefault="00BF44DC" w:rsidP="00BF44DC">
      <w:pPr>
        <w:pStyle w:val="Heading1"/>
      </w:pPr>
      <w:bookmarkStart w:id="5" w:name="_Toc446060751"/>
      <w:bookmarkEnd w:id="4"/>
      <w:r w:rsidRPr="00B2067F">
        <w:t>1</w:t>
      </w:r>
      <w:r w:rsidRPr="00B2067F">
        <w:tab/>
      </w:r>
      <w:bookmarkEnd w:id="5"/>
      <w:r w:rsidRPr="00B2067F">
        <w:t>Introducción</w:t>
      </w:r>
    </w:p>
    <w:p w14:paraId="712F48A5" w14:textId="782244B2" w:rsidR="00BF44DC" w:rsidRPr="00B2067F" w:rsidRDefault="007B39F0" w:rsidP="00B55380">
      <w:bookmarkStart w:id="6" w:name="_Toc446060752"/>
      <w:r w:rsidRPr="00B2067F">
        <w:rPr>
          <w:color w:val="000000"/>
        </w:rPr>
        <w:t xml:space="preserve">El presente informe tiene por objeto rendir cuenta de la marcha de los trabajos y proporcionar información </w:t>
      </w:r>
      <w:r w:rsidRPr="00B2067F">
        <w:t xml:space="preserve">sobre </w:t>
      </w:r>
      <w:r w:rsidR="00BF44DC" w:rsidRPr="00B2067F">
        <w:t>algunos de los temas que figuran en el proy</w:t>
      </w:r>
      <w:r w:rsidR="0077746C" w:rsidRPr="00B2067F">
        <w:t>ecto de orden del día de la 27ª </w:t>
      </w:r>
      <w:r w:rsidR="00BF44DC" w:rsidRPr="00B2067F">
        <w:t xml:space="preserve">reunión del GAR (véase la Circular administrativa </w:t>
      </w:r>
      <w:hyperlink r:id="rId9" w:history="1">
        <w:r w:rsidR="00BF44DC" w:rsidRPr="00B2067F">
          <w:rPr>
            <w:rStyle w:val="Hyperlink"/>
          </w:rPr>
          <w:t>CA/250</w:t>
        </w:r>
      </w:hyperlink>
      <w:r w:rsidR="00BF44DC" w:rsidRPr="00B2067F">
        <w:t xml:space="preserve"> de ‎17 de diciembre de 2019‎), con el fin de ayudar a los participantes en la reunión a examinar los corres</w:t>
      </w:r>
      <w:r w:rsidR="0077746C" w:rsidRPr="00B2067F">
        <w:t>pondientes puntos del orden del </w:t>
      </w:r>
      <w:r w:rsidR="00BF44DC" w:rsidRPr="00B2067F">
        <w:t>día.</w:t>
      </w:r>
    </w:p>
    <w:p w14:paraId="3E02DB1A" w14:textId="77777777" w:rsidR="00BF44DC" w:rsidRPr="00B2067F" w:rsidRDefault="00BF44DC" w:rsidP="00BF44DC">
      <w:r w:rsidRPr="00B2067F">
        <w:t>Se presentarán informes independientes para ciertos puntos del orden del día.</w:t>
      </w:r>
    </w:p>
    <w:bookmarkEnd w:id="6"/>
    <w:p w14:paraId="0E9C4359" w14:textId="77777777" w:rsidR="00BF44DC" w:rsidRPr="00B2067F" w:rsidRDefault="00BF44DC" w:rsidP="00BF44DC">
      <w:pPr>
        <w:pStyle w:val="Heading1"/>
      </w:pPr>
      <w:r w:rsidRPr="00B2067F">
        <w:t>2</w:t>
      </w:r>
      <w:r w:rsidRPr="00B2067F">
        <w:tab/>
        <w:t>Asuntos relativos al Consejo</w:t>
      </w:r>
    </w:p>
    <w:p w14:paraId="730DDA8D" w14:textId="077A7902" w:rsidR="00BF44DC" w:rsidRPr="00B2067F" w:rsidRDefault="007B39F0" w:rsidP="00BF44DC">
      <w:r w:rsidRPr="00B2067F">
        <w:t xml:space="preserve">Debido a las restricciones asociadas a la </w:t>
      </w:r>
      <w:r w:rsidR="00BF44DC" w:rsidRPr="00B2067F">
        <w:t>COVID-19</w:t>
      </w:r>
      <w:r w:rsidRPr="00B2067F">
        <w:t xml:space="preserve">, el Consejo de la UIT no </w:t>
      </w:r>
      <w:r w:rsidR="00811A9A" w:rsidRPr="00B2067F">
        <w:t>celebró</w:t>
      </w:r>
      <w:r w:rsidRPr="00B2067F">
        <w:t xml:space="preserve"> reuniones presenciales en </w:t>
      </w:r>
      <w:r w:rsidR="00BF44DC" w:rsidRPr="00B2067F">
        <w:t xml:space="preserve">2020. </w:t>
      </w:r>
      <w:r w:rsidR="00811A9A" w:rsidRPr="00B2067F">
        <w:t xml:space="preserve">En cambio, del 9 al 12 de junio de 2020 y del 16 al 20 de noviembre de 2020 se </w:t>
      </w:r>
      <w:r w:rsidR="001D71AC" w:rsidRPr="00B2067F">
        <w:t xml:space="preserve">realizaron </w:t>
      </w:r>
      <w:r w:rsidR="00811A9A" w:rsidRPr="00B2067F">
        <w:t xml:space="preserve">dos </w:t>
      </w:r>
      <w:r w:rsidR="001D71AC" w:rsidRPr="00B2067F">
        <w:rPr>
          <w:color w:val="000000"/>
        </w:rPr>
        <w:t>c</w:t>
      </w:r>
      <w:r w:rsidR="00811A9A" w:rsidRPr="00B2067F">
        <w:rPr>
          <w:color w:val="000000"/>
        </w:rPr>
        <w:t>onsulta</w:t>
      </w:r>
      <w:r w:rsidR="001D71AC" w:rsidRPr="00B2067F">
        <w:rPr>
          <w:color w:val="000000"/>
        </w:rPr>
        <w:t>s</w:t>
      </w:r>
      <w:r w:rsidR="00811A9A" w:rsidRPr="00B2067F">
        <w:rPr>
          <w:color w:val="000000"/>
        </w:rPr>
        <w:t xml:space="preserve"> </w:t>
      </w:r>
      <w:r w:rsidR="001D71AC" w:rsidRPr="00B2067F">
        <w:rPr>
          <w:color w:val="000000"/>
        </w:rPr>
        <w:t>v</w:t>
      </w:r>
      <w:r w:rsidR="00811A9A" w:rsidRPr="00B2067F">
        <w:rPr>
          <w:color w:val="000000"/>
        </w:rPr>
        <w:t>irtual</w:t>
      </w:r>
      <w:r w:rsidR="001D71AC" w:rsidRPr="00B2067F">
        <w:rPr>
          <w:color w:val="000000"/>
        </w:rPr>
        <w:t>es</w:t>
      </w:r>
      <w:r w:rsidR="00811A9A" w:rsidRPr="00B2067F">
        <w:rPr>
          <w:color w:val="000000"/>
        </w:rPr>
        <w:t xml:space="preserve"> de </w:t>
      </w:r>
      <w:r w:rsidR="001D71AC" w:rsidRPr="00B2067F">
        <w:rPr>
          <w:color w:val="000000"/>
        </w:rPr>
        <w:t>los c</w:t>
      </w:r>
      <w:r w:rsidR="00811A9A" w:rsidRPr="00B2067F">
        <w:rPr>
          <w:color w:val="000000"/>
        </w:rPr>
        <w:t>onsejeros (CVC), seguidas en cada caso de una consulta por correspondencia para examinar los resultados de los debates de las CVC. Gracias a este procedimiento, el Consejo de la UIT pudo adoptar las decisiones pertinentes sin reunirse físicamente</w:t>
      </w:r>
      <w:r w:rsidR="00811A9A" w:rsidRPr="00B2067F">
        <w:t xml:space="preserve"> en un lugar.</w:t>
      </w:r>
    </w:p>
    <w:p w14:paraId="75863C58" w14:textId="694CB501" w:rsidR="00BF44DC" w:rsidRPr="00B2067F" w:rsidRDefault="001D71AC" w:rsidP="00BF44DC">
      <w:r w:rsidRPr="00B2067F">
        <w:t xml:space="preserve">En la presente sección se abordan asuntos relacionados con el Consejo de la UIT y se ofrece información actualizada sobre los temas tratados en las dos CVC de </w:t>
      </w:r>
      <w:r w:rsidR="00BF44DC" w:rsidRPr="00B2067F">
        <w:t xml:space="preserve">2020, </w:t>
      </w:r>
      <w:r w:rsidRPr="00B2067F">
        <w:t xml:space="preserve">las consultas por correspondencia posteriores sobre los resultados de esos debates y las medidas conexas </w:t>
      </w:r>
      <w:r w:rsidR="00BF44DC" w:rsidRPr="00B2067F">
        <w:t>(</w:t>
      </w:r>
      <w:r w:rsidRPr="00B2067F">
        <w:t>véase</w:t>
      </w:r>
      <w:r w:rsidR="00BF44DC" w:rsidRPr="00B2067F">
        <w:t xml:space="preserve"> </w:t>
      </w:r>
      <w:hyperlink r:id="rId10" w:history="1">
        <w:r w:rsidRPr="00B2067F">
          <w:rPr>
            <w:rStyle w:val="Hyperlink"/>
          </w:rPr>
          <w:t>https://www.itu.int/es/council/2020/Pages/default.aspx</w:t>
        </w:r>
      </w:hyperlink>
      <w:r w:rsidR="00BF44DC" w:rsidRPr="00B2067F">
        <w:t>)</w:t>
      </w:r>
      <w:r w:rsidR="00100A87" w:rsidRPr="00B2067F">
        <w:t>.</w:t>
      </w:r>
      <w:r w:rsidR="00BF44DC" w:rsidRPr="00B2067F">
        <w:t xml:space="preserve"> </w:t>
      </w:r>
      <w:r w:rsidR="00100A87" w:rsidRPr="00B2067F">
        <w:t xml:space="preserve">En la sección 5 del presente informe se presentan las consideraciones del Consejo relativas al proyecto de orden del día de la Conferencia Mundial de Radiocomunicaciones de </w:t>
      </w:r>
      <w:r w:rsidR="00BF44DC" w:rsidRPr="00B2067F">
        <w:t>2023 (</w:t>
      </w:r>
      <w:r w:rsidR="00100A87" w:rsidRPr="00B2067F">
        <w:t>CMR-23)</w:t>
      </w:r>
      <w:r w:rsidR="00BF44DC" w:rsidRPr="00B2067F">
        <w:t xml:space="preserve">. </w:t>
      </w:r>
    </w:p>
    <w:p w14:paraId="4ABFE553" w14:textId="77777777" w:rsidR="00BF44DC" w:rsidRPr="00B2067F" w:rsidRDefault="00BF44DC" w:rsidP="00BF44DC">
      <w:pPr>
        <w:pStyle w:val="Heading2"/>
      </w:pPr>
      <w:bookmarkStart w:id="7" w:name="_Toc446060753"/>
      <w:r w:rsidRPr="00B2067F">
        <w:t>2.1</w:t>
      </w:r>
      <w:r w:rsidRPr="00B2067F">
        <w:tab/>
      </w:r>
      <w:bookmarkEnd w:id="7"/>
      <w:r w:rsidRPr="00B2067F">
        <w:t>Acceso gratuito en línea a las publicaciones del UIT-R</w:t>
      </w:r>
    </w:p>
    <w:p w14:paraId="3ECD729A" w14:textId="77777777" w:rsidR="00BF44DC" w:rsidRPr="00B2067F" w:rsidRDefault="00BF44DC" w:rsidP="00BF44DC">
      <w:bookmarkStart w:id="8" w:name="_Toc446060754"/>
      <w:r w:rsidRPr="00B2067F">
        <w:t xml:space="preserve">La UIT sigue editando diversas publicaciones, entre ellas las emblemáticas, tanto en versión impresa como digital/electrónica. En virtud de su Decisión 12 (Guadalajara, 2010), la Conferencia de Plenipotenciarios de 2010 (PP-10) adoptó una política de acceso gratuito en línea a Recomendaciones e Informes del UIT-R, entre otros documentos. En su reunión de 2012, el Consejo amplió esta política en virtud del Acuerdo 571, revisado en 2013 y 2014, y confirmado por la revisión a la Decisión 12 que realizó la PP-14 y que proporciona acceso gratuito en línea al público en general con carácter permanente. A continuación, se facilitó acceso gratuito en línea a muchas más publicaciones, para divulgar la correspondiente información y llegar a un público más </w:t>
      </w:r>
      <w:r w:rsidRPr="00B2067F">
        <w:lastRenderedPageBreak/>
        <w:t>amplio. Entre ellas figuran publicaciones importantes como el Reglamento de Radiocomunicaciones, las Reglas de Procedimiento, las Recomendaciones, los Textos Fundamentales de la Unión, las Actas Finales de la CMTI, las Resoluciones y los Acuerdos del Consejo y los Manuales de la UIT, razón por la cual sólo quedan a la venta las Publicaciones del Servicio Marítimo y algunos otros títulos.</w:t>
      </w:r>
    </w:p>
    <w:p w14:paraId="6AB2426D" w14:textId="77777777" w:rsidR="00BF44DC" w:rsidRPr="00B2067F" w:rsidRDefault="00BF44DC" w:rsidP="00BF44DC">
      <w:r w:rsidRPr="00B2067F">
        <w:t>Además, en respuesta a solicitudes de diversos Estados Miembros, en particular países en desarrollo, en enero de 2017 el Director de la BR amplió la política de acceso gratuito a todos los Manuales del UIT-R.</w:t>
      </w:r>
    </w:p>
    <w:p w14:paraId="53AB508C" w14:textId="77777777" w:rsidR="00BF44DC" w:rsidRPr="00B2067F" w:rsidRDefault="00BF44DC" w:rsidP="00BF44DC">
      <w:r w:rsidRPr="00B2067F">
        <w:t>El elevado número de descargas que registran estas publicaciones evidencia la repercusión de las decisiones antes mencionadas, como se indica en el § 8.1.4.</w:t>
      </w:r>
    </w:p>
    <w:p w14:paraId="6E3DFBD9" w14:textId="77777777" w:rsidR="00BF44DC" w:rsidRPr="00B2067F" w:rsidRDefault="00BF44DC" w:rsidP="00BF44DC">
      <w:pPr>
        <w:pStyle w:val="Heading2"/>
      </w:pPr>
      <w:r w:rsidRPr="00B2067F">
        <w:t>2.2</w:t>
      </w:r>
      <w:r w:rsidRPr="00B2067F">
        <w:tab/>
      </w:r>
      <w:bookmarkEnd w:id="8"/>
      <w:r w:rsidRPr="00B2067F">
        <w:t>Recuperación de costes aplicable a las notificaciones de redes de satélites</w:t>
      </w:r>
    </w:p>
    <w:p w14:paraId="35895C7C" w14:textId="03161944" w:rsidR="00494752" w:rsidRPr="00B2067F" w:rsidRDefault="00100A87" w:rsidP="00BF44DC">
      <w:r w:rsidRPr="00B2067F">
        <w:t xml:space="preserve">Durante la primera consulta virtual de los consejeros, que tuvo lugar del 9 al 12 de junio de 2020, la Oficina presentó </w:t>
      </w:r>
      <w:r w:rsidR="00BF44DC" w:rsidRPr="00B2067F">
        <w:t xml:space="preserve">el </w:t>
      </w:r>
      <w:r w:rsidR="00BF44DC" w:rsidRPr="00B2067F">
        <w:rPr>
          <w:i/>
          <w:iCs/>
        </w:rPr>
        <w:t>Informe del Secretario General sobre aplicación de la recuperación de costes a la tramitación de notificaciones de redes de satélites</w:t>
      </w:r>
      <w:r w:rsidR="00BF44DC" w:rsidRPr="00B2067F">
        <w:t xml:space="preserve"> (véase el </w:t>
      </w:r>
      <w:hyperlink r:id="rId11" w:history="1">
        <w:r w:rsidR="00AC0CF1" w:rsidRPr="00B2067F">
          <w:rPr>
            <w:rStyle w:val="Hyperlink"/>
          </w:rPr>
          <w:t>Documento C20/16</w:t>
        </w:r>
      </w:hyperlink>
      <w:r w:rsidR="00BF44DC" w:rsidRPr="00B2067F">
        <w:t xml:space="preserve">), que </w:t>
      </w:r>
      <w:r w:rsidRPr="00B2067F">
        <w:t xml:space="preserve">contenía </w:t>
      </w:r>
      <w:r w:rsidR="00BF44DC" w:rsidRPr="00B2067F">
        <w:t xml:space="preserve">el informe de situación relativo a la aplicación de la recuperación de costes </w:t>
      </w:r>
      <w:r w:rsidR="00836DFC" w:rsidRPr="00B2067F">
        <w:t>a la</w:t>
      </w:r>
      <w:r w:rsidR="00BF44DC" w:rsidRPr="00B2067F">
        <w:t xml:space="preserve"> tramitación de notificaciones de redes de satélites (Acuerdo 482 (modificado en 2019)) y </w:t>
      </w:r>
      <w:r w:rsidRPr="00B2067F">
        <w:t xml:space="preserve">presentaba </w:t>
      </w:r>
      <w:r w:rsidR="00BF44DC" w:rsidRPr="00B2067F">
        <w:t>algunas propuestas de modificación de este Acuerdo, consecuencia de algunas decisiones adoptadas por la C</w:t>
      </w:r>
      <w:r w:rsidR="00E10484" w:rsidRPr="00B2067F">
        <w:t>onferencia Mundial de Radiocomunicaciones de 2019 (C</w:t>
      </w:r>
      <w:r w:rsidR="00BF44DC" w:rsidRPr="00B2067F">
        <w:t>MR-19</w:t>
      </w:r>
      <w:r w:rsidR="00E10484" w:rsidRPr="00B2067F">
        <w:t>)</w:t>
      </w:r>
      <w:r w:rsidR="00BF44DC" w:rsidRPr="00B2067F">
        <w:t xml:space="preserve"> o necesarias para abordar casos de notificaciones de redes de satélites aún no contemplados por el Acuerdo.</w:t>
      </w:r>
    </w:p>
    <w:p w14:paraId="1BC5347A" w14:textId="66726E16" w:rsidR="00BF44DC" w:rsidRPr="00B2067F" w:rsidRDefault="00B54EFF" w:rsidP="00BF44DC">
      <w:r w:rsidRPr="00B2067F">
        <w:t>Dado que el Consejo no pudo celebrar su reunión de junio de 2020 y habida cuenta de la urgencia de este punto (</w:t>
      </w:r>
      <w:r w:rsidR="007D608F" w:rsidRPr="00B2067F">
        <w:t>puesto que la UIT no podría recuperar los costes asociados a la tramitación de las notificaciones de satélites anteriores hasta que se modificara el Acuerdo 482 conforme a la propuesta de la Oficina)</w:t>
      </w:r>
      <w:r w:rsidR="00BF44DC" w:rsidRPr="00B2067F">
        <w:t xml:space="preserve">, </w:t>
      </w:r>
      <w:r w:rsidRPr="00B2067F">
        <w:t xml:space="preserve">la CVC concluyó que se debía organizar una consulta por correspondencia de los Estados Miembros del Consejo sobre la aprobación del proyecto modificado del Acuerdo 482 tal como figura en el Documento C20/16 </w:t>
      </w:r>
      <w:r w:rsidR="00BF44DC" w:rsidRPr="00B2067F">
        <w:t>(</w:t>
      </w:r>
      <w:r w:rsidRPr="00B2067F">
        <w:t>modificado para establecer el 1 de septiembre de 2020 como fecha de entrada en vigor</w:t>
      </w:r>
      <w:r w:rsidR="00BF44DC" w:rsidRPr="00B2067F">
        <w:t xml:space="preserve">). </w:t>
      </w:r>
    </w:p>
    <w:p w14:paraId="777ADC59" w14:textId="751D8D92" w:rsidR="00BF44DC" w:rsidRPr="00B2067F" w:rsidRDefault="007D608F" w:rsidP="00BF44DC">
      <w:r w:rsidRPr="00B2067F">
        <w:t xml:space="preserve">La consulta de los Estados Miembros del Consejo tuvo lugar del </w:t>
      </w:r>
      <w:r w:rsidR="00BF44DC" w:rsidRPr="00B2067F">
        <w:t>26 </w:t>
      </w:r>
      <w:r w:rsidRPr="00B2067F">
        <w:t xml:space="preserve">de junio al </w:t>
      </w:r>
      <w:r w:rsidR="00BF44DC" w:rsidRPr="00B2067F">
        <w:t>31 </w:t>
      </w:r>
      <w:r w:rsidRPr="00B2067F">
        <w:t>de julio de</w:t>
      </w:r>
      <w:r w:rsidR="00BF44DC" w:rsidRPr="00B2067F">
        <w:t> 2020 (</w:t>
      </w:r>
      <w:r w:rsidRPr="00B2067F">
        <w:t>véase la</w:t>
      </w:r>
      <w:r w:rsidR="00BF44DC" w:rsidRPr="00B2067F">
        <w:t xml:space="preserve"> </w:t>
      </w:r>
      <w:hyperlink r:id="rId12">
        <w:r w:rsidR="00BF44DC" w:rsidRPr="00B2067F">
          <w:rPr>
            <w:rStyle w:val="Hyperlink"/>
          </w:rPr>
          <w:t>C</w:t>
        </w:r>
        <w:r w:rsidRPr="00B2067F">
          <w:rPr>
            <w:rStyle w:val="Hyperlink"/>
          </w:rPr>
          <w:t>arta C</w:t>
        </w:r>
        <w:r w:rsidR="00BF44DC" w:rsidRPr="00B2067F">
          <w:rPr>
            <w:rStyle w:val="Hyperlink"/>
          </w:rPr>
          <w:t>ircular DM-20/1009</w:t>
        </w:r>
      </w:hyperlink>
      <w:r w:rsidR="00BF44DC" w:rsidRPr="00B2067F">
        <w:t xml:space="preserve">). </w:t>
      </w:r>
      <w:r w:rsidRPr="00B2067F">
        <w:t xml:space="preserve">Como resultado de esta consulta, los Estados Miembros del Consejo aprobaron el Acuerdo </w:t>
      </w:r>
      <w:r w:rsidR="00BF44DC" w:rsidRPr="00B2067F">
        <w:t xml:space="preserve">482 </w:t>
      </w:r>
      <w:r w:rsidRPr="00B2067F">
        <w:t xml:space="preserve">modificado recogido en el </w:t>
      </w:r>
      <w:r w:rsidR="00BF44DC" w:rsidRPr="00B2067F">
        <w:t>An</w:t>
      </w:r>
      <w:r w:rsidRPr="00B2067F">
        <w:t xml:space="preserve">exo </w:t>
      </w:r>
      <w:r w:rsidR="00BF44DC" w:rsidRPr="00B2067F">
        <w:t xml:space="preserve">4 </w:t>
      </w:r>
      <w:r w:rsidRPr="00B2067F">
        <w:t xml:space="preserve">de la </w:t>
      </w:r>
      <w:hyperlink r:id="rId13">
        <w:r w:rsidR="00BF44DC" w:rsidRPr="00B2067F">
          <w:rPr>
            <w:rStyle w:val="Hyperlink"/>
          </w:rPr>
          <w:t>C</w:t>
        </w:r>
        <w:r w:rsidRPr="00B2067F">
          <w:rPr>
            <w:rStyle w:val="Hyperlink"/>
          </w:rPr>
          <w:t>arta C</w:t>
        </w:r>
        <w:r w:rsidR="00BF44DC" w:rsidRPr="00B2067F">
          <w:rPr>
            <w:rStyle w:val="Hyperlink"/>
          </w:rPr>
          <w:t>ircular DM</w:t>
        </w:r>
        <w:r w:rsidR="00AC0CF1" w:rsidRPr="00B2067F">
          <w:rPr>
            <w:rStyle w:val="Hyperlink"/>
          </w:rPr>
          <w:noBreakHyphen/>
        </w:r>
        <w:r w:rsidR="00BF44DC" w:rsidRPr="00B2067F">
          <w:rPr>
            <w:rStyle w:val="Hyperlink"/>
          </w:rPr>
          <w:t>20/1011</w:t>
        </w:r>
      </w:hyperlink>
      <w:r w:rsidR="00BF44DC" w:rsidRPr="00B2067F">
        <w:t xml:space="preserve"> </w:t>
      </w:r>
      <w:r w:rsidRPr="00B2067F">
        <w:t>de</w:t>
      </w:r>
      <w:r w:rsidR="00BF44DC" w:rsidRPr="00B2067F">
        <w:t xml:space="preserve"> 3</w:t>
      </w:r>
      <w:r w:rsidRPr="00B2067F">
        <w:t> de agosto de </w:t>
      </w:r>
      <w:r w:rsidR="00BF44DC" w:rsidRPr="00B2067F">
        <w:t>2020</w:t>
      </w:r>
      <w:r w:rsidRPr="00B2067F">
        <w:t xml:space="preserve">, que entró en vigor el </w:t>
      </w:r>
      <w:r w:rsidR="00BF44DC" w:rsidRPr="00B2067F">
        <w:t>1</w:t>
      </w:r>
      <w:r w:rsidRPr="00B2067F">
        <w:t> de s</w:t>
      </w:r>
      <w:r w:rsidR="00BF44DC" w:rsidRPr="00B2067F">
        <w:t>ept</w:t>
      </w:r>
      <w:r w:rsidRPr="00B2067F">
        <w:t>iembre de </w:t>
      </w:r>
      <w:r w:rsidR="00BF44DC" w:rsidRPr="00B2067F">
        <w:t>2020.</w:t>
      </w:r>
    </w:p>
    <w:p w14:paraId="3F642CBB" w14:textId="55A881B1" w:rsidR="00BF44DC" w:rsidRPr="00B2067F" w:rsidRDefault="007D608F" w:rsidP="00BF44DC">
      <w:r w:rsidRPr="00B2067F">
        <w:t>La CVC también propuso que el Consejo tomara nota formal del informe que figura en el Documento C20/16 durante su siguiente reunión</w:t>
      </w:r>
      <w:r w:rsidR="00BF44DC" w:rsidRPr="00B2067F">
        <w:t>.</w:t>
      </w:r>
    </w:p>
    <w:p w14:paraId="1E228659" w14:textId="6F37F9F9" w:rsidR="00BF44DC" w:rsidRPr="00B2067F" w:rsidRDefault="00BF44DC" w:rsidP="00BF44DC">
      <w:pPr>
        <w:pStyle w:val="Heading2"/>
      </w:pPr>
      <w:bookmarkStart w:id="9" w:name="_Toc446060757"/>
      <w:r w:rsidRPr="00B2067F">
        <w:t>2.3</w:t>
      </w:r>
      <w:r w:rsidRPr="00B2067F">
        <w:tab/>
      </w:r>
      <w:r w:rsidR="00DC5B40" w:rsidRPr="00B2067F">
        <w:t xml:space="preserve">Presupuesto para </w:t>
      </w:r>
      <w:r w:rsidRPr="00B2067F">
        <w:t xml:space="preserve">2020-2021 </w:t>
      </w:r>
      <w:r w:rsidR="00DC5B40" w:rsidRPr="00B2067F">
        <w:t xml:space="preserve">y </w:t>
      </w:r>
      <w:r w:rsidR="000F4BB1" w:rsidRPr="00B2067F">
        <w:t>p</w:t>
      </w:r>
      <w:r w:rsidR="00DC5B40" w:rsidRPr="00B2067F">
        <w:t xml:space="preserve">royecto de presupuesto para </w:t>
      </w:r>
      <w:r w:rsidRPr="00B2067F">
        <w:t>2022-2023</w:t>
      </w:r>
      <w:bookmarkEnd w:id="9"/>
    </w:p>
    <w:p w14:paraId="4FDF0B1F" w14:textId="764E0AC8" w:rsidR="00BF44DC" w:rsidRPr="00B2067F" w:rsidRDefault="00BF44DC" w:rsidP="00BF44DC">
      <w:r w:rsidRPr="00B2067F">
        <w:t xml:space="preserve">En su reunión de 2019, el Consejo </w:t>
      </w:r>
      <w:r w:rsidR="00844F6E" w:rsidRPr="00B2067F">
        <w:t>adoptó</w:t>
      </w:r>
      <w:r w:rsidR="00A650A0" w:rsidRPr="00B2067F">
        <w:t xml:space="preserve"> la Resolución 1396,</w:t>
      </w:r>
      <w:r w:rsidR="00844F6E" w:rsidRPr="00B2067F">
        <w:t xml:space="preserve"> </w:t>
      </w:r>
      <w:r w:rsidR="00A650A0" w:rsidRPr="00B2067F">
        <w:t xml:space="preserve">con </w:t>
      </w:r>
      <w:r w:rsidR="00844F6E" w:rsidRPr="00B2067F">
        <w:t xml:space="preserve">el </w:t>
      </w:r>
      <w:r w:rsidRPr="00B2067F">
        <w:t xml:space="preserve">siguiente presupuesto </w:t>
      </w:r>
      <w:r w:rsidR="00A650A0" w:rsidRPr="00B2067F">
        <w:t>d</w:t>
      </w:r>
      <w:r w:rsidR="00844F6E" w:rsidRPr="00B2067F">
        <w:t xml:space="preserve">el </w:t>
      </w:r>
      <w:r w:rsidRPr="00B2067F">
        <w:t>UIT-R para el periodo 2020</w:t>
      </w:r>
      <w:r w:rsidR="008303AE" w:rsidRPr="00B2067F">
        <w:t>-</w:t>
      </w:r>
      <w:r w:rsidRPr="00B2067F">
        <w:t>2021.</w:t>
      </w:r>
    </w:p>
    <w:p w14:paraId="261A3193" w14:textId="3F0A8EA1" w:rsidR="00BF44DC" w:rsidRPr="00B2067F" w:rsidRDefault="00A650A0" w:rsidP="00BF44DC">
      <w:r w:rsidRPr="00B2067F">
        <w:t xml:space="preserve">La Secretaría presentó el </w:t>
      </w:r>
      <w:r w:rsidRPr="00B2067F">
        <w:rPr>
          <w:color w:val="000000"/>
        </w:rPr>
        <w:t>proyecto de presupuesto bienal de la Unión para 2022-2023</w:t>
      </w:r>
      <w:r w:rsidRPr="00B2067F">
        <w:t>, en consonancia con la Decisió</w:t>
      </w:r>
      <w:r w:rsidR="00BF44DC" w:rsidRPr="00B2067F">
        <w:t>n 5 (Rev. Dub</w:t>
      </w:r>
      <w:r w:rsidRPr="00B2067F">
        <w:t>á</w:t>
      </w:r>
      <w:r w:rsidR="00BF44DC" w:rsidRPr="00B2067F">
        <w:t xml:space="preserve">i, 2018) </w:t>
      </w:r>
      <w:r w:rsidRPr="00B2067F">
        <w:t xml:space="preserve">y las directrices asociadas, durante </w:t>
      </w:r>
      <w:r w:rsidRPr="00B2067F">
        <w:rPr>
          <w:color w:val="000000"/>
        </w:rPr>
        <w:t>la reunión del Grupo de Trabajo del Consejo sobre Recursos Humanos y Financieros</w:t>
      </w:r>
      <w:r w:rsidR="00BF44DC" w:rsidRPr="00B2067F">
        <w:t xml:space="preserve"> (</w:t>
      </w:r>
      <w:r w:rsidRPr="00B2067F">
        <w:rPr>
          <w:color w:val="000000"/>
        </w:rPr>
        <w:t>GTC-RHF</w:t>
      </w:r>
      <w:r w:rsidR="00BF44DC" w:rsidRPr="00B2067F">
        <w:t>)</w:t>
      </w:r>
      <w:r w:rsidRPr="00B2067F">
        <w:t xml:space="preserve"> que tuvo lugar</w:t>
      </w:r>
      <w:r w:rsidR="00BF44DC" w:rsidRPr="00B2067F">
        <w:t xml:space="preserve"> </w:t>
      </w:r>
      <w:r w:rsidRPr="00B2067F">
        <w:t xml:space="preserve">los días </w:t>
      </w:r>
      <w:r w:rsidR="00BF44DC" w:rsidRPr="00B2067F">
        <w:t>25</w:t>
      </w:r>
      <w:r w:rsidRPr="00B2067F">
        <w:t xml:space="preserve"> y </w:t>
      </w:r>
      <w:r w:rsidR="00BF44DC" w:rsidRPr="00B2067F">
        <w:t xml:space="preserve">26 </w:t>
      </w:r>
      <w:r w:rsidRPr="00B2067F">
        <w:t xml:space="preserve">de enero de </w:t>
      </w:r>
      <w:r w:rsidR="00BF44DC" w:rsidRPr="00B2067F">
        <w:t>2021.</w:t>
      </w:r>
    </w:p>
    <w:p w14:paraId="6347D4D8" w14:textId="77777777" w:rsidR="00BF44DC" w:rsidRPr="00B2067F" w:rsidRDefault="00BF44DC" w:rsidP="00BF44DC">
      <w:r w:rsidRPr="00B2067F">
        <w:rPr>
          <w:bCs/>
          <w:noProof/>
          <w:lang w:eastAsia="es-ES_tradnl"/>
        </w:rPr>
        <w:lastRenderedPageBreak/>
        <w:drawing>
          <wp:inline distT="0" distB="0" distL="0" distR="0" wp14:anchorId="55BD5063" wp14:editId="5AC1D1B6">
            <wp:extent cx="6120765" cy="36156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615690"/>
                    </a:xfrm>
                    <a:prstGeom prst="rect">
                      <a:avLst/>
                    </a:prstGeom>
                  </pic:spPr>
                </pic:pic>
              </a:graphicData>
            </a:graphic>
          </wp:inline>
        </w:drawing>
      </w:r>
    </w:p>
    <w:p w14:paraId="06A3E2AE" w14:textId="19E84729" w:rsidR="00B55380" w:rsidRPr="00B2067F" w:rsidRDefault="00B55380" w:rsidP="00781631">
      <w:pPr>
        <w:pStyle w:val="Figurelegend"/>
        <w:spacing w:before="0" w:after="120"/>
      </w:pPr>
      <w:r w:rsidRPr="00B2067F">
        <w:t>Leyenda de la figura:</w:t>
      </w:r>
    </w:p>
    <w:p w14:paraId="31EA9B8D" w14:textId="41D6E114" w:rsidR="008303AE" w:rsidRPr="00B2067F" w:rsidRDefault="00B55380" w:rsidP="00B55380">
      <w:pPr>
        <w:pStyle w:val="Figurelegend"/>
      </w:pPr>
      <w:r w:rsidRPr="00B2067F">
        <w:t>Miles d</w:t>
      </w:r>
      <w:r w:rsidR="00781631" w:rsidRPr="00B2067F">
        <w:t>e</w:t>
      </w:r>
      <w:r w:rsidRPr="00B2067F">
        <w:t xml:space="preserve"> CHF</w:t>
      </w:r>
    </w:p>
    <w:p w14:paraId="355914C7" w14:textId="46A2C3C7" w:rsidR="008303AE" w:rsidRPr="00B2067F" w:rsidRDefault="00B55380" w:rsidP="00B55380">
      <w:pPr>
        <w:pStyle w:val="Figurelegend"/>
      </w:pPr>
      <w:r w:rsidRPr="00B2067F">
        <w:t>Sector de Radiocomunicaciones</w:t>
      </w:r>
    </w:p>
    <w:p w14:paraId="330FCA42" w14:textId="68193019" w:rsidR="008303AE" w:rsidRPr="00B2067F" w:rsidRDefault="00B55380" w:rsidP="00B55380">
      <w:pPr>
        <w:pStyle w:val="Figurelegend"/>
      </w:pPr>
      <w:r w:rsidRPr="00B2067F">
        <w:t>Gastos por sección/Presupuesto /</w:t>
      </w:r>
      <w:r w:rsidR="008303AE" w:rsidRPr="00B2067F">
        <w:t>Plan financiero*</w:t>
      </w:r>
      <w:r w:rsidRPr="00B2067F">
        <w:t>/Estimaciones/</w:t>
      </w:r>
      <w:r w:rsidR="008303AE" w:rsidRPr="00B2067F">
        <w:t>Estimaciones</w:t>
      </w:r>
      <w:r w:rsidRPr="00B2067F">
        <w:t>/Estimaciones/</w:t>
      </w:r>
      <w:r w:rsidR="008303AE" w:rsidRPr="00B2067F">
        <w:t>Diferencia plan financ.</w:t>
      </w:r>
    </w:p>
    <w:p w14:paraId="3AFCFC69" w14:textId="04E8880D" w:rsidR="008303AE" w:rsidRPr="00B2067F" w:rsidRDefault="008303AE" w:rsidP="00B55380">
      <w:pPr>
        <w:pStyle w:val="Figurelegend"/>
      </w:pPr>
      <w:r w:rsidRPr="00B2067F">
        <w:t>3.1 Conferencia Mundial de Radiocomunicaciones</w:t>
      </w:r>
    </w:p>
    <w:p w14:paraId="67B81F94" w14:textId="22958B3D" w:rsidR="008303AE" w:rsidRPr="00B2067F" w:rsidRDefault="008303AE" w:rsidP="00B55380">
      <w:pPr>
        <w:pStyle w:val="Figurelegend"/>
      </w:pPr>
      <w:r w:rsidRPr="00B2067F">
        <w:t>3.2 Asamblea de Radiocomunicaciones</w:t>
      </w:r>
    </w:p>
    <w:p w14:paraId="5E0B780D" w14:textId="651C899E" w:rsidR="008303AE" w:rsidRPr="00B2067F" w:rsidRDefault="008303AE" w:rsidP="00B55380">
      <w:pPr>
        <w:pStyle w:val="Figurelegend"/>
        <w:rPr>
          <w:color w:val="000000"/>
        </w:rPr>
      </w:pPr>
      <w:r w:rsidRPr="00B2067F">
        <w:t xml:space="preserve">5.1 </w:t>
      </w:r>
      <w:r w:rsidRPr="00B2067F">
        <w:rPr>
          <w:color w:val="000000"/>
        </w:rPr>
        <w:t>Junta del Reglamento de Radiocomunicaciones</w:t>
      </w:r>
    </w:p>
    <w:p w14:paraId="12D86DF5" w14:textId="3C07D73F" w:rsidR="008303AE" w:rsidRPr="00B2067F" w:rsidRDefault="008303AE" w:rsidP="00B55380">
      <w:pPr>
        <w:pStyle w:val="Figurelegend"/>
        <w:rPr>
          <w:color w:val="000000"/>
        </w:rPr>
      </w:pPr>
      <w:r w:rsidRPr="00B2067F">
        <w:rPr>
          <w:color w:val="000000"/>
        </w:rPr>
        <w:t>5.2 Grupo Asesor de Radiocomunicaciones (GAR)</w:t>
      </w:r>
    </w:p>
    <w:p w14:paraId="13D95DDC" w14:textId="16CCA6D1" w:rsidR="008303AE" w:rsidRPr="00B2067F" w:rsidRDefault="008303AE" w:rsidP="00B55380">
      <w:pPr>
        <w:pStyle w:val="Figurelegend"/>
        <w:rPr>
          <w:color w:val="000000"/>
        </w:rPr>
      </w:pPr>
      <w:r w:rsidRPr="00B2067F">
        <w:rPr>
          <w:color w:val="000000"/>
        </w:rPr>
        <w:t>6 Reuniones de Comisiones de Estudio</w:t>
      </w:r>
    </w:p>
    <w:p w14:paraId="44284E75" w14:textId="67229FC8" w:rsidR="008303AE" w:rsidRPr="00B2067F" w:rsidRDefault="008303AE" w:rsidP="00B55380">
      <w:pPr>
        <w:pStyle w:val="Figurelegend"/>
        <w:rPr>
          <w:color w:val="000000"/>
        </w:rPr>
      </w:pPr>
      <w:r w:rsidRPr="00B2067F">
        <w:rPr>
          <w:color w:val="000000"/>
        </w:rPr>
        <w:t>7 Actividades y programas</w:t>
      </w:r>
    </w:p>
    <w:p w14:paraId="669A1EAC" w14:textId="3658ADC6" w:rsidR="008303AE" w:rsidRPr="00B2067F" w:rsidRDefault="008303AE" w:rsidP="00B55380">
      <w:pPr>
        <w:pStyle w:val="Figurelegend"/>
        <w:rPr>
          <w:color w:val="000000"/>
        </w:rPr>
      </w:pPr>
      <w:r w:rsidRPr="00B2067F">
        <w:rPr>
          <w:color w:val="000000"/>
        </w:rPr>
        <w:t>8 Seminarios y talleres</w:t>
      </w:r>
    </w:p>
    <w:p w14:paraId="43A24165" w14:textId="06414519" w:rsidR="008303AE" w:rsidRPr="00B2067F" w:rsidRDefault="00B55380" w:rsidP="00B55380">
      <w:pPr>
        <w:pStyle w:val="Figurelegend"/>
        <w:rPr>
          <w:color w:val="000000"/>
        </w:rPr>
      </w:pPr>
      <w:r w:rsidRPr="00B2067F">
        <w:rPr>
          <w:color w:val="000000"/>
        </w:rPr>
        <w:t xml:space="preserve">9 </w:t>
      </w:r>
      <w:r w:rsidR="008303AE" w:rsidRPr="00B2067F">
        <w:rPr>
          <w:color w:val="000000"/>
        </w:rPr>
        <w:t>Oficina</w:t>
      </w:r>
    </w:p>
    <w:p w14:paraId="6208976F" w14:textId="6C288B81" w:rsidR="008303AE" w:rsidRPr="00B2067F" w:rsidRDefault="008303AE" w:rsidP="00B55380">
      <w:pPr>
        <w:pStyle w:val="Figurelegend"/>
        <w:rPr>
          <w:i/>
        </w:rPr>
      </w:pPr>
      <w:r w:rsidRPr="00B2067F">
        <w:rPr>
          <w:i/>
          <w:color w:val="000000"/>
        </w:rPr>
        <w:t>*) Actualizado para incorporar los cambios experimentados desde 2018</w:t>
      </w:r>
    </w:p>
    <w:p w14:paraId="015E6E46" w14:textId="357EF1A2" w:rsidR="0056716A" w:rsidRPr="00B2067F" w:rsidRDefault="0056716A" w:rsidP="00B55380">
      <w:pPr>
        <w:spacing w:before="240"/>
      </w:pPr>
      <w:r w:rsidRPr="00B2067F">
        <w:t xml:space="preserve">El importe de la unidad contributiva que han de abonar los Estados Miembros se ha mantenido en 318 000 CHF, lo que supone un crecimiento nominal cero desde 2016. </w:t>
      </w:r>
      <w:r w:rsidR="00A650A0" w:rsidRPr="00B2067F">
        <w:t xml:space="preserve">Los gastos y los ingresos están equilibrados y no se han ejecutado </w:t>
      </w:r>
      <w:r w:rsidR="00A650A0" w:rsidRPr="00B2067F">
        <w:rPr>
          <w:color w:val="000000"/>
        </w:rPr>
        <w:t>detracciones de la Cuenta de Provisión</w:t>
      </w:r>
      <w:r w:rsidRPr="00B2067F">
        <w:t>.</w:t>
      </w:r>
    </w:p>
    <w:p w14:paraId="48D26A70" w14:textId="6577CE85" w:rsidR="0056716A" w:rsidRPr="00B2067F" w:rsidRDefault="0056716A" w:rsidP="0056716A">
      <w:r w:rsidRPr="00B2067F">
        <w:t xml:space="preserve">Al igual que en presupuestos anteriores, se ha aplicado una tasa de vacantes del 5%, que comprende demoras en la contratación, servicios a tiempo parcial y licencias sin sueldo. No obstante, la aplicación de la tasa de vacantes supondrá un reto importante para la gestión de los puestos vacantes y el proceso de contratación. </w:t>
      </w:r>
      <w:r w:rsidR="006335BF" w:rsidRPr="00B2067F">
        <w:t xml:space="preserve">El proyecto de presupuesto para </w:t>
      </w:r>
      <w:r w:rsidRPr="00B2067F">
        <w:t xml:space="preserve">2022-2023 </w:t>
      </w:r>
      <w:r w:rsidR="006335BF" w:rsidRPr="00B2067F">
        <w:t>se basa en el programa de actividades de la Unión, que incluye la celebración de la CMR</w:t>
      </w:r>
      <w:r w:rsidRPr="00B2067F">
        <w:t>-23.</w:t>
      </w:r>
    </w:p>
    <w:p w14:paraId="4B4A1850" w14:textId="14A27292" w:rsidR="0056716A" w:rsidRPr="00B2067F" w:rsidRDefault="006335BF" w:rsidP="0056716A">
      <w:r w:rsidRPr="00B2067F">
        <w:t xml:space="preserve">Se comunicó que la UIT </w:t>
      </w:r>
      <w:r w:rsidR="0029256C" w:rsidRPr="00B2067F">
        <w:t>prevé</w:t>
      </w:r>
      <w:r w:rsidRPr="00B2067F">
        <w:t xml:space="preserve"> que los ingresos por recuperación de costes en 2022-2023 disminuyan en 5,8 millones CHF aproximadamente respecto </w:t>
      </w:r>
      <w:r w:rsidR="000F4BB1" w:rsidRPr="00B2067F">
        <w:t xml:space="preserve">a </w:t>
      </w:r>
      <w:r w:rsidR="0056716A" w:rsidRPr="00B2067F">
        <w:t xml:space="preserve">2020-2021, </w:t>
      </w:r>
      <w:r w:rsidR="000F4BB1" w:rsidRPr="00B2067F">
        <w:t xml:space="preserve">debido principalmente a la caída prevista en la venta de publicaciones en </w:t>
      </w:r>
      <w:r w:rsidR="0056716A" w:rsidRPr="00B2067F">
        <w:t>2022-2023</w:t>
      </w:r>
      <w:r w:rsidR="000F4BB1" w:rsidRPr="00B2067F">
        <w:t>, si bien esta bajada se compensará en parte por el aumento previsto de los ingresos por recuperación de costes de las notificaciones de redes de satélite</w:t>
      </w:r>
      <w:r w:rsidR="002F7390" w:rsidRPr="00B2067F">
        <w:t>.</w:t>
      </w:r>
    </w:p>
    <w:p w14:paraId="749395CB" w14:textId="729F0588" w:rsidR="0056716A" w:rsidRPr="00B2067F" w:rsidRDefault="000F4BB1" w:rsidP="0056716A">
      <w:r w:rsidRPr="00B2067F">
        <w:t xml:space="preserve">El </w:t>
      </w:r>
      <w:r w:rsidR="0056716A" w:rsidRPr="00B2067F">
        <w:t xml:space="preserve">Director </w:t>
      </w:r>
      <w:r w:rsidRPr="00B2067F">
        <w:t xml:space="preserve">de la Oficina de Radiocomunicaciones ofreció aclaraciones sobre las previsiones de </w:t>
      </w:r>
      <w:r w:rsidRPr="00B2067F">
        <w:rPr>
          <w:color w:val="000000"/>
        </w:rPr>
        <w:t xml:space="preserve">ventas de publicaciones de </w:t>
      </w:r>
      <w:r w:rsidR="0056716A" w:rsidRPr="00B2067F">
        <w:t xml:space="preserve">2022-2023. </w:t>
      </w:r>
      <w:r w:rsidRPr="00B2067F">
        <w:t xml:space="preserve">En este sentido, comunicó al grupo que </w:t>
      </w:r>
      <w:r w:rsidR="002B5B24" w:rsidRPr="00B2067F">
        <w:t>e</w:t>
      </w:r>
      <w:r w:rsidRPr="00B2067F">
        <w:t xml:space="preserve">l UIT-R no ha modificado el calendario de las publicaciones principales. Las previsiones de ingresos para </w:t>
      </w:r>
      <w:r w:rsidR="00B55380" w:rsidRPr="00B2067F">
        <w:lastRenderedPageBreak/>
        <w:t>2022</w:t>
      </w:r>
      <w:r w:rsidR="00B55380" w:rsidRPr="00B2067F">
        <w:noBreakHyphen/>
      </w:r>
      <w:r w:rsidR="0056716A" w:rsidRPr="00B2067F">
        <w:t xml:space="preserve">2023 </w:t>
      </w:r>
      <w:r w:rsidRPr="00B2067F">
        <w:t xml:space="preserve">no alcanzan los ingresos de </w:t>
      </w:r>
      <w:r w:rsidR="0056716A" w:rsidRPr="00B2067F">
        <w:t>2020-2021</w:t>
      </w:r>
      <w:r w:rsidRPr="00B2067F">
        <w:t xml:space="preserve"> a consecuencia del lanzamiento de publicaciones nuevas </w:t>
      </w:r>
      <w:r w:rsidR="00972227" w:rsidRPr="00B2067F">
        <w:t>en los años posteriore</w:t>
      </w:r>
      <w:r w:rsidR="00492122" w:rsidRPr="00B2067F">
        <w:t>s a la</w:t>
      </w:r>
      <w:r w:rsidR="00972227" w:rsidRPr="00B2067F">
        <w:t xml:space="preserve"> CMR (se presentaron ediciones nuevas de cinco publicaciones principales en 2020-2021 y</w:t>
      </w:r>
      <w:r w:rsidR="0056716A" w:rsidRPr="00B2067F">
        <w:t xml:space="preserve"> </w:t>
      </w:r>
      <w:r w:rsidR="00972227" w:rsidRPr="00B2067F">
        <w:t>de tres publicaciones principales e</w:t>
      </w:r>
      <w:r w:rsidR="0056716A" w:rsidRPr="00B2067F">
        <w:t>n 2022-2023</w:t>
      </w:r>
      <w:r w:rsidR="00972227" w:rsidRPr="00B2067F">
        <w:t xml:space="preserve">, para volver a cinco publicaciones principales en </w:t>
      </w:r>
      <w:r w:rsidR="0056716A" w:rsidRPr="00B2067F">
        <w:t xml:space="preserve">2024-2025). </w:t>
      </w:r>
      <w:r w:rsidR="00972227" w:rsidRPr="00B2067F">
        <w:t>La Secretaría señaló que se espera un nivel de ahorro bajo —o incluso ahorro cero—para este período</w:t>
      </w:r>
      <w:r w:rsidR="0056716A" w:rsidRPr="00B2067F">
        <w:t xml:space="preserve">. </w:t>
      </w:r>
      <w:r w:rsidR="00492122" w:rsidRPr="00B2067F">
        <w:t>Falta</w:t>
      </w:r>
      <w:r w:rsidR="002B5B24" w:rsidRPr="00B2067F">
        <w:t>n</w:t>
      </w:r>
      <w:r w:rsidR="00492122" w:rsidRPr="00B2067F">
        <w:t xml:space="preserve"> por conocer </w:t>
      </w:r>
      <w:r w:rsidR="00972227" w:rsidRPr="00B2067F">
        <w:t xml:space="preserve">algunos </w:t>
      </w:r>
      <w:r w:rsidR="00492122" w:rsidRPr="00B2067F">
        <w:t xml:space="preserve">datos </w:t>
      </w:r>
      <w:r w:rsidR="00972227" w:rsidRPr="00B2067F">
        <w:t xml:space="preserve">que podrían influir en el resultado de 2020, como los ingresos diferidos o la </w:t>
      </w:r>
      <w:r w:rsidR="0056716A" w:rsidRPr="00B2067F">
        <w:t>provisi</w:t>
      </w:r>
      <w:r w:rsidR="00492122" w:rsidRPr="00B2067F">
        <w:t>ó</w:t>
      </w:r>
      <w:r w:rsidR="0056716A" w:rsidRPr="00B2067F">
        <w:t xml:space="preserve">n </w:t>
      </w:r>
      <w:r w:rsidR="00492122" w:rsidRPr="00B2067F">
        <w:t xml:space="preserve">para repatriación (que se calcularía con un estudio actuarial). Cuando haya fondos disponibles, se priorizará su asignación con arreglo a los requisitos para 2021 del Acuerdo </w:t>
      </w:r>
      <w:r w:rsidR="0056716A" w:rsidRPr="00B2067F">
        <w:t>619</w:t>
      </w:r>
      <w:r w:rsidR="00492122" w:rsidRPr="00B2067F">
        <w:t xml:space="preserve">, que ascienden a </w:t>
      </w:r>
      <w:r w:rsidR="0056716A" w:rsidRPr="00B2067F">
        <w:t>735</w:t>
      </w:r>
      <w:r w:rsidR="00492122" w:rsidRPr="00B2067F">
        <w:t> 000 </w:t>
      </w:r>
      <w:r w:rsidR="0056716A" w:rsidRPr="00B2067F">
        <w:t xml:space="preserve">CHF. </w:t>
      </w:r>
      <w:r w:rsidR="00492122" w:rsidRPr="00B2067F">
        <w:t xml:space="preserve">El resultado final de la aplicación del presupuesto para </w:t>
      </w:r>
      <w:r w:rsidR="0056716A" w:rsidRPr="00B2067F">
        <w:t xml:space="preserve">2020 </w:t>
      </w:r>
      <w:r w:rsidR="00492122" w:rsidRPr="00B2067F">
        <w:t>se presentará al Consejo en su reunión de 2021 tras el cierre oficial de las cuentas</w:t>
      </w:r>
      <w:r w:rsidR="0056716A" w:rsidRPr="00B2067F">
        <w:t xml:space="preserve">, </w:t>
      </w:r>
      <w:r w:rsidR="00492122" w:rsidRPr="00B2067F">
        <w:t xml:space="preserve">previsto </w:t>
      </w:r>
      <w:r w:rsidR="002B5B24" w:rsidRPr="00B2067F">
        <w:t xml:space="preserve">a no más tardar </w:t>
      </w:r>
      <w:r w:rsidR="00492122" w:rsidRPr="00B2067F">
        <w:t xml:space="preserve">para marzo de </w:t>
      </w:r>
      <w:r w:rsidR="0056716A" w:rsidRPr="00B2067F">
        <w:t xml:space="preserve">2021. </w:t>
      </w:r>
    </w:p>
    <w:p w14:paraId="2F9A1ACF" w14:textId="7D3C0279" w:rsidR="0056716A" w:rsidRPr="00B2067F" w:rsidRDefault="0056716A" w:rsidP="0056716A">
      <w:pPr>
        <w:pStyle w:val="Heading2"/>
        <w:rPr>
          <w:bCs/>
        </w:rPr>
      </w:pPr>
      <w:r w:rsidRPr="00B2067F">
        <w:t>2.4</w:t>
      </w:r>
      <w:r w:rsidRPr="00B2067F">
        <w:tab/>
      </w:r>
      <w:r w:rsidR="001A3749" w:rsidRPr="00B2067F">
        <w:t>Petición</w:t>
      </w:r>
      <w:r w:rsidRPr="00B2067F">
        <w:t xml:space="preserve"> </w:t>
      </w:r>
      <w:r w:rsidR="001A3749" w:rsidRPr="00B2067F">
        <w:t xml:space="preserve">del </w:t>
      </w:r>
      <w:r w:rsidR="001A3749" w:rsidRPr="00B2067F">
        <w:rPr>
          <w:color w:val="000000"/>
        </w:rPr>
        <w:t>Grupo de Trabajo del Consejo sobre los Idiomas</w:t>
      </w:r>
      <w:r w:rsidR="001A3749" w:rsidRPr="00B2067F">
        <w:t xml:space="preserve"> (GTC-Idiomas</w:t>
      </w:r>
      <w:r w:rsidRPr="00B2067F">
        <w:t xml:space="preserve">) </w:t>
      </w:r>
      <w:r w:rsidR="001A3749" w:rsidRPr="00B2067F">
        <w:t xml:space="preserve">relativa al examen y la actualización </w:t>
      </w:r>
      <w:r w:rsidR="001A3749" w:rsidRPr="00B2067F">
        <w:rPr>
          <w:bCs/>
        </w:rPr>
        <w:t xml:space="preserve">del Documento </w:t>
      </w:r>
      <w:r w:rsidRPr="00B2067F">
        <w:rPr>
          <w:bCs/>
        </w:rPr>
        <w:t xml:space="preserve">C14/INF/4 </w:t>
      </w:r>
      <w:r w:rsidR="001A3749" w:rsidRPr="00B2067F">
        <w:rPr>
          <w:bCs/>
        </w:rPr>
        <w:t>por el GAR</w:t>
      </w:r>
    </w:p>
    <w:p w14:paraId="4603517D" w14:textId="27C43DDA" w:rsidR="0056716A" w:rsidRPr="00B2067F" w:rsidRDefault="001A3749" w:rsidP="0056716A">
      <w:r w:rsidRPr="00B2067F">
        <w:t>E</w:t>
      </w:r>
      <w:r w:rsidR="0056716A" w:rsidRPr="00B2067F">
        <w:t xml:space="preserve">n 2008, </w:t>
      </w:r>
      <w:r w:rsidRPr="00B2067F">
        <w:t xml:space="preserve">con miras a ejecutar la Resolución 154 de la Conferencia de Plenipotenciarios relativa a la utilización de los seis idiomas oficiales de la Unión en igualdad de condiciones </w:t>
      </w:r>
      <w:r w:rsidRPr="00B2067F">
        <w:rPr>
          <w:color w:val="000000"/>
        </w:rPr>
        <w:t>dentro de los límites del presupuesto disponible</w:t>
      </w:r>
      <w:r w:rsidR="0056716A" w:rsidRPr="00B2067F">
        <w:t xml:space="preserve">, </w:t>
      </w:r>
      <w:r w:rsidRPr="00B2067F">
        <w:t xml:space="preserve">los grupos asesores de los Sectores y la Secretaría General establecieron de forma pormenorizada los documentos y publicaciones que se producirían en los diferentes idiomas, como se detalla en los cuadros del Anexo </w:t>
      </w:r>
      <w:r w:rsidR="0056716A" w:rsidRPr="00B2067F">
        <w:t xml:space="preserve">1 </w:t>
      </w:r>
      <w:r w:rsidRPr="00B2067F">
        <w:t>al D</w:t>
      </w:r>
      <w:r w:rsidR="0056716A" w:rsidRPr="00B2067F">
        <w:t>ocument</w:t>
      </w:r>
      <w:r w:rsidRPr="00B2067F">
        <w:t>o</w:t>
      </w:r>
      <w:r w:rsidR="0056716A" w:rsidRPr="00B2067F">
        <w:t xml:space="preserve"> </w:t>
      </w:r>
      <w:hyperlink r:id="rId15" w:history="1">
        <w:r w:rsidR="0056716A" w:rsidRPr="00B2067F">
          <w:rPr>
            <w:rStyle w:val="Hyperlink"/>
          </w:rPr>
          <w:t>C08/56</w:t>
        </w:r>
      </w:hyperlink>
      <w:r w:rsidR="0056716A" w:rsidRPr="00B2067F">
        <w:t xml:space="preserve">, </w:t>
      </w:r>
      <w:r w:rsidR="00B3520D" w:rsidRPr="00B2067F">
        <w:t>que se presentaron al Consejo con miras a su aprobación</w:t>
      </w:r>
      <w:r w:rsidR="0056716A" w:rsidRPr="00B2067F">
        <w:t>.</w:t>
      </w:r>
    </w:p>
    <w:p w14:paraId="0859FD88" w14:textId="75E0B750" w:rsidR="0056716A" w:rsidRPr="00B2067F" w:rsidRDefault="00B3520D" w:rsidP="0056716A">
      <w:r w:rsidRPr="00B2067F">
        <w:t>E</w:t>
      </w:r>
      <w:r w:rsidR="0056716A" w:rsidRPr="00B2067F">
        <w:t xml:space="preserve">n 2014, </w:t>
      </w:r>
      <w:r w:rsidRPr="00B2067F">
        <w:t xml:space="preserve">tras realizar una revisión exhaustiva de estos cuadros, se publicó el Documento </w:t>
      </w:r>
      <w:hyperlink r:id="rId16" w:history="1">
        <w:r w:rsidR="0056716A" w:rsidRPr="00B2067F">
          <w:rPr>
            <w:rStyle w:val="Hyperlink"/>
          </w:rPr>
          <w:t>C14/INF/4</w:t>
        </w:r>
      </w:hyperlink>
      <w:r w:rsidR="0056716A" w:rsidRPr="00B2067F">
        <w:t xml:space="preserve">, </w:t>
      </w:r>
      <w:r w:rsidRPr="00B2067F">
        <w:t>que ha orientado la labor de la Secretaría relativa a la traducción y la interpretación en la UIT</w:t>
      </w:r>
      <w:r w:rsidR="0056716A" w:rsidRPr="00B2067F">
        <w:t>.</w:t>
      </w:r>
    </w:p>
    <w:p w14:paraId="7F600B11" w14:textId="45AC857B" w:rsidR="0056716A" w:rsidRPr="00B2067F" w:rsidRDefault="00C92DCD" w:rsidP="0056716A">
      <w:r w:rsidRPr="00B2067F">
        <w:t xml:space="preserve">En su 10.ª reunión </w:t>
      </w:r>
      <w:r w:rsidR="0056716A" w:rsidRPr="00B2067F">
        <w:t>(</w:t>
      </w:r>
      <w:r w:rsidRPr="00B2067F">
        <w:t xml:space="preserve">octubre de </w:t>
      </w:r>
      <w:r w:rsidR="0056716A" w:rsidRPr="00B2067F">
        <w:t xml:space="preserve">2020), </w:t>
      </w:r>
      <w:r w:rsidRPr="00B2067F">
        <w:rPr>
          <w:color w:val="000000"/>
        </w:rPr>
        <w:t xml:space="preserve">el Grupo sobre el estudio y la evaluación de los procedimientos de traducción, en el que están representados todos los Sectores y la Secretaría </w:t>
      </w:r>
      <w:r w:rsidR="0021044B" w:rsidRPr="00B2067F">
        <w:rPr>
          <w:color w:val="000000"/>
        </w:rPr>
        <w:t>G</w:t>
      </w:r>
      <w:r w:rsidRPr="00B2067F">
        <w:rPr>
          <w:color w:val="000000"/>
        </w:rPr>
        <w:t>eneral, convin</w:t>
      </w:r>
      <w:r w:rsidR="00553C7B" w:rsidRPr="00B2067F">
        <w:rPr>
          <w:color w:val="000000"/>
        </w:rPr>
        <w:t>o</w:t>
      </w:r>
      <w:r w:rsidRPr="00B2067F">
        <w:rPr>
          <w:color w:val="000000"/>
        </w:rPr>
        <w:t xml:space="preserve"> en la necesidad de revisar las medidas y</w:t>
      </w:r>
      <w:r w:rsidR="0021044B" w:rsidRPr="00B2067F">
        <w:rPr>
          <w:color w:val="000000"/>
        </w:rPr>
        <w:t xml:space="preserve"> los</w:t>
      </w:r>
      <w:r w:rsidRPr="00B2067F">
        <w:rPr>
          <w:color w:val="000000"/>
        </w:rPr>
        <w:t xml:space="preserve"> principios de traducción e interpretación </w:t>
      </w:r>
      <w:r w:rsidR="0056716A" w:rsidRPr="00B2067F">
        <w:t>(</w:t>
      </w:r>
      <w:r w:rsidRPr="00B2067F">
        <w:t>D</w:t>
      </w:r>
      <w:r w:rsidR="0056716A" w:rsidRPr="00B2067F">
        <w:t>ocument</w:t>
      </w:r>
      <w:r w:rsidRPr="00B2067F">
        <w:t>o</w:t>
      </w:r>
      <w:r w:rsidR="0056716A" w:rsidRPr="00B2067F">
        <w:t xml:space="preserve"> </w:t>
      </w:r>
      <w:hyperlink r:id="rId17" w:history="1">
        <w:r w:rsidR="0056716A" w:rsidRPr="00B2067F">
          <w:rPr>
            <w:rStyle w:val="Hyperlink"/>
          </w:rPr>
          <w:t>C14/INF/4</w:t>
        </w:r>
      </w:hyperlink>
      <w:r w:rsidR="0056716A" w:rsidRPr="00B2067F">
        <w:t xml:space="preserve">), </w:t>
      </w:r>
      <w:r w:rsidRPr="00B2067F">
        <w:t>a fin de</w:t>
      </w:r>
      <w:r w:rsidR="0056716A" w:rsidRPr="00B2067F">
        <w:t>:</w:t>
      </w:r>
    </w:p>
    <w:p w14:paraId="22958204" w14:textId="3CE7C9DA" w:rsidR="0056716A" w:rsidRPr="00B2067F" w:rsidRDefault="0056716A" w:rsidP="0056716A">
      <w:pPr>
        <w:pStyle w:val="enumlev1"/>
      </w:pPr>
      <w:r w:rsidRPr="00B2067F">
        <w:t>1)</w:t>
      </w:r>
      <w:r w:rsidRPr="00B2067F">
        <w:tab/>
      </w:r>
      <w:r w:rsidR="00811D99" w:rsidRPr="00B2067F">
        <w:t>actualizar la sección sobre publicaciones del Documento</w:t>
      </w:r>
      <w:r w:rsidRPr="00B2067F">
        <w:t xml:space="preserve"> </w:t>
      </w:r>
      <w:hyperlink r:id="rId18" w:history="1">
        <w:r w:rsidRPr="00B2067F">
          <w:rPr>
            <w:rStyle w:val="Hyperlink"/>
          </w:rPr>
          <w:t>C14/INF/4</w:t>
        </w:r>
      </w:hyperlink>
      <w:r w:rsidRPr="00B2067F">
        <w:t xml:space="preserve">, </w:t>
      </w:r>
      <w:r w:rsidR="00811D99" w:rsidRPr="00B2067F">
        <w:t>ya que algunas publicaciones se habían eliminado o se habían sustituido por otras;</w:t>
      </w:r>
      <w:r w:rsidRPr="00B2067F">
        <w:t xml:space="preserve"> </w:t>
      </w:r>
    </w:p>
    <w:p w14:paraId="5CA98A39" w14:textId="77597AD9" w:rsidR="0056716A" w:rsidRPr="00B2067F" w:rsidRDefault="0056716A" w:rsidP="0056716A">
      <w:pPr>
        <w:pStyle w:val="enumlev1"/>
      </w:pPr>
      <w:r w:rsidRPr="00B2067F">
        <w:t>2)</w:t>
      </w:r>
      <w:r w:rsidRPr="00B2067F">
        <w:tab/>
      </w:r>
      <w:r w:rsidR="00811D99" w:rsidRPr="00B2067F">
        <w:t>aplicar una política lingüística común en el sitio web de la UIT en cuanto esté disponible</w:t>
      </w:r>
      <w:r w:rsidRPr="00B2067F">
        <w:t xml:space="preserve">; </w:t>
      </w:r>
    </w:p>
    <w:p w14:paraId="6F28A471" w14:textId="2428E0DC" w:rsidR="0056716A" w:rsidRPr="00B2067F" w:rsidRDefault="0056716A" w:rsidP="0056716A">
      <w:pPr>
        <w:pStyle w:val="enumlev1"/>
      </w:pPr>
      <w:r w:rsidRPr="00B2067F">
        <w:t>3)</w:t>
      </w:r>
      <w:r w:rsidRPr="00B2067F">
        <w:tab/>
      </w:r>
      <w:r w:rsidR="00811D99" w:rsidRPr="00B2067F">
        <w:t xml:space="preserve">evaluar las </w:t>
      </w:r>
      <w:r w:rsidR="00121F42" w:rsidRPr="00B2067F">
        <w:t xml:space="preserve">posibilidades de </w:t>
      </w:r>
      <w:r w:rsidR="00811D99" w:rsidRPr="00B2067F">
        <w:t>la traducción automática y la interpretación remota</w:t>
      </w:r>
      <w:r w:rsidR="002F7390" w:rsidRPr="00B2067F">
        <w:t>;</w:t>
      </w:r>
    </w:p>
    <w:p w14:paraId="053966EF" w14:textId="2BB690AE" w:rsidR="0056716A" w:rsidRPr="00B2067F" w:rsidRDefault="0056716A" w:rsidP="0056716A">
      <w:pPr>
        <w:pStyle w:val="enumlev1"/>
      </w:pPr>
      <w:r w:rsidRPr="00B2067F">
        <w:t>4)</w:t>
      </w:r>
      <w:r w:rsidRPr="00B2067F">
        <w:tab/>
      </w:r>
      <w:r w:rsidR="00811D99" w:rsidRPr="00B2067F">
        <w:t>establecer algún tipo de correlación en los servicios de traducción e interpretación, cuando proceda.</w:t>
      </w:r>
      <w:r w:rsidRPr="00B2067F">
        <w:t xml:space="preserve"> </w:t>
      </w:r>
    </w:p>
    <w:p w14:paraId="062E9740" w14:textId="1633CDCE" w:rsidR="0056716A" w:rsidRPr="00B2067F" w:rsidRDefault="00553C7B" w:rsidP="0056716A">
      <w:r w:rsidRPr="00B2067F">
        <w:t xml:space="preserve">Con este propósito, el Grupo aprobó un plan de acción para remitir las medidas y los principios de traducción e interpretación revisados a la reunión de 2022 del GTC-Idiomas. El plan de acción se describe en la sección 5 del informe del Secretario General para la 11.ª reunión del GTC-Idiomas de </w:t>
      </w:r>
      <w:r w:rsidR="0056716A" w:rsidRPr="00B2067F">
        <w:t xml:space="preserve">5 </w:t>
      </w:r>
      <w:r w:rsidRPr="00B2067F">
        <w:t xml:space="preserve">de febrero de </w:t>
      </w:r>
      <w:r w:rsidR="0056716A" w:rsidRPr="00B2067F">
        <w:t>2020</w:t>
      </w:r>
      <w:r w:rsidRPr="00B2067F">
        <w:t xml:space="preserve"> (Documento </w:t>
      </w:r>
      <w:hyperlink r:id="rId19" w:history="1">
        <w:r w:rsidRPr="00B2067F">
          <w:rPr>
            <w:rStyle w:val="Hyperlink"/>
          </w:rPr>
          <w:t>CWG-LANG/11/2</w:t>
        </w:r>
      </w:hyperlink>
      <w:r w:rsidRPr="00B2067F">
        <w:rPr>
          <w:rStyle w:val="Hyperlink"/>
        </w:rPr>
        <w:t>)</w:t>
      </w:r>
      <w:r w:rsidR="002F7390" w:rsidRPr="00B2067F">
        <w:t>.</w:t>
      </w:r>
    </w:p>
    <w:p w14:paraId="446D1D1C" w14:textId="47D6C484" w:rsidR="0056716A" w:rsidRPr="00B2067F" w:rsidRDefault="00553C7B" w:rsidP="0056716A">
      <w:r w:rsidRPr="00B2067F">
        <w:t>De acuerdo con ese plan de acción, las Oficinas y la Secretaría General debían prepar</w:t>
      </w:r>
      <w:r w:rsidR="00121F42" w:rsidRPr="00B2067F">
        <w:t>a</w:t>
      </w:r>
      <w:r w:rsidRPr="00B2067F">
        <w:t xml:space="preserve">r una propuesta de </w:t>
      </w:r>
      <w:r w:rsidR="00121F42" w:rsidRPr="00B2067F">
        <w:t>p</w:t>
      </w:r>
      <w:r w:rsidRPr="00B2067F">
        <w:t>royecto que se enviaría al grupo asesor competente. Las propuestas aprobadas se recopilarían en un Anexo al Informe del Secretario General para el GTG-Idiomas (reunión de 2022)</w:t>
      </w:r>
      <w:r w:rsidR="00121F42" w:rsidRPr="00B2067F">
        <w:t xml:space="preserve"> con miras a su aprobación y su presentación al Consejo en su reunión de 2022</w:t>
      </w:r>
      <w:r w:rsidR="0056716A" w:rsidRPr="00B2067F">
        <w:t>.</w:t>
      </w:r>
    </w:p>
    <w:p w14:paraId="2902911E" w14:textId="024EB674" w:rsidR="0056716A" w:rsidRPr="00B2067F" w:rsidRDefault="00344EE0" w:rsidP="0056716A">
      <w:r w:rsidRPr="00B2067F">
        <w:t xml:space="preserve">Se invita al GAR a examinar y aprobar, en su reunión de 2021, la propuesta de actualización de la sección de la </w:t>
      </w:r>
      <w:r w:rsidR="0056716A" w:rsidRPr="00B2067F">
        <w:t xml:space="preserve">BR </w:t>
      </w:r>
      <w:r w:rsidRPr="00B2067F">
        <w:t xml:space="preserve">contenida en el Anexo </w:t>
      </w:r>
      <w:r w:rsidR="0056716A" w:rsidRPr="00B2067F">
        <w:t xml:space="preserve">2 </w:t>
      </w:r>
      <w:r w:rsidRPr="00B2067F">
        <w:t>al Documento</w:t>
      </w:r>
      <w:r w:rsidR="0056716A" w:rsidRPr="00B2067F">
        <w:t xml:space="preserve"> </w:t>
      </w:r>
      <w:hyperlink r:id="rId20" w:history="1">
        <w:r w:rsidR="0056716A" w:rsidRPr="00B2067F">
          <w:rPr>
            <w:rStyle w:val="Hyperlink"/>
          </w:rPr>
          <w:t>C14/INF/4</w:t>
        </w:r>
      </w:hyperlink>
      <w:r w:rsidR="0056716A" w:rsidRPr="00B2067F">
        <w:t xml:space="preserve">, </w:t>
      </w:r>
      <w:r w:rsidRPr="00B2067F">
        <w:t>que figura en el Anexo al presente informe</w:t>
      </w:r>
      <w:r w:rsidR="0056716A" w:rsidRPr="00B2067F">
        <w:t>.</w:t>
      </w:r>
    </w:p>
    <w:p w14:paraId="21E24B82" w14:textId="1E9B3F3A" w:rsidR="00C64440" w:rsidRPr="00B2067F" w:rsidRDefault="00C64440" w:rsidP="00C64440">
      <w:pPr>
        <w:pStyle w:val="Heading2"/>
      </w:pPr>
      <w:r w:rsidRPr="00B2067F">
        <w:lastRenderedPageBreak/>
        <w:t>2.5</w:t>
      </w:r>
      <w:r w:rsidRPr="00B2067F">
        <w:tab/>
        <w:t xml:space="preserve">Contribución del Director de la BR al </w:t>
      </w:r>
      <w:r w:rsidRPr="00B2067F">
        <w:rPr>
          <w:color w:val="000000"/>
        </w:rPr>
        <w:t>Grupo de Expertos sobre el Reglamento de las Telecomunicaciones Internacionales (GE-RTI)</w:t>
      </w:r>
    </w:p>
    <w:p w14:paraId="01777187" w14:textId="62399FFA" w:rsidR="00C64440" w:rsidRPr="00B2067F" w:rsidRDefault="00B55380" w:rsidP="00C64440">
      <w:r w:rsidRPr="00B2067F">
        <w:t>Este asunto se</w:t>
      </w:r>
      <w:r w:rsidR="00C64440" w:rsidRPr="00B2067F">
        <w:t xml:space="preserve"> </w:t>
      </w:r>
      <w:r w:rsidR="00AE3127" w:rsidRPr="00B2067F">
        <w:t xml:space="preserve">aborda </w:t>
      </w:r>
      <w:r w:rsidR="00C64440" w:rsidRPr="00B2067F">
        <w:t>en el Addéndum 2 al presente documento.</w:t>
      </w:r>
    </w:p>
    <w:p w14:paraId="6DE0133D" w14:textId="68341624" w:rsidR="0056716A" w:rsidRPr="00B2067F" w:rsidRDefault="00FD103B" w:rsidP="0056716A">
      <w:pPr>
        <w:pStyle w:val="Heading1"/>
      </w:pPr>
      <w:r w:rsidRPr="00B2067F">
        <w:t>3</w:t>
      </w:r>
      <w:r w:rsidRPr="00B2067F">
        <w:tab/>
        <w:t>Ejecución de las decisiones de la CMR-19</w:t>
      </w:r>
    </w:p>
    <w:p w14:paraId="3BBCE6BF" w14:textId="1D0292CF" w:rsidR="0056716A" w:rsidRPr="00B2067F" w:rsidRDefault="0056716A" w:rsidP="0056716A">
      <w:pPr>
        <w:pStyle w:val="Heading2"/>
        <w:rPr>
          <w:i/>
          <w:iCs/>
        </w:rPr>
      </w:pPr>
      <w:r w:rsidRPr="00B2067F">
        <w:t>3.1</w:t>
      </w:r>
      <w:r w:rsidRPr="00B2067F">
        <w:tab/>
        <w:t>Repercusiones financieras de las decisiones de la CMR-19</w:t>
      </w:r>
    </w:p>
    <w:p w14:paraId="58ED0BA5" w14:textId="59FC8E1D" w:rsidR="0056716A" w:rsidRPr="00B2067F" w:rsidRDefault="0056716A" w:rsidP="0056716A">
      <w:bookmarkStart w:id="10" w:name="lt_pId316"/>
      <w:r w:rsidRPr="00B2067F">
        <w:t>La CMR-19 definió áreas de trabajo, estudio y desarrollo adicionales, con miras a la aplicación de las decisiones de la Conferencia. La ejecución de estas nuevas actividades tiene un coste total estimado de 1</w:t>
      </w:r>
      <w:r w:rsidR="00A15C92" w:rsidRPr="00B2067F">
        <w:t> </w:t>
      </w:r>
      <w:r w:rsidRPr="00B2067F">
        <w:t xml:space="preserve">721 millones </w:t>
      </w:r>
      <w:r w:rsidR="00A15C92" w:rsidRPr="00B2067F">
        <w:t>CHF</w:t>
      </w:r>
      <w:r w:rsidRPr="00B2067F">
        <w:t xml:space="preserve">. El </w:t>
      </w:r>
      <w:r w:rsidRPr="00B2067F">
        <w:rPr>
          <w:b/>
          <w:bCs/>
        </w:rPr>
        <w:t>Cuadro 1</w:t>
      </w:r>
      <w:r w:rsidRPr="00B2067F">
        <w:t xml:space="preserve"> </w:t>
      </w:r>
      <w:bookmarkEnd w:id="10"/>
      <w:r w:rsidRPr="00B2067F">
        <w:t xml:space="preserve">contiene una estimación de </w:t>
      </w:r>
      <w:r w:rsidR="00042185" w:rsidRPr="00B2067F">
        <w:t>la distribución de costes</w:t>
      </w:r>
      <w:r w:rsidRPr="00B2067F">
        <w:t>.</w:t>
      </w:r>
    </w:p>
    <w:p w14:paraId="18E4A61D" w14:textId="033E261F" w:rsidR="0056716A" w:rsidRPr="00B2067F" w:rsidRDefault="0056716A" w:rsidP="0056716A">
      <w:bookmarkStart w:id="11" w:name="lt_pId319"/>
      <w:r w:rsidRPr="00B2067F">
        <w:t xml:space="preserve">La CMR-19 solicitó al Secretario General que señalara este asunto a la atención del Consejo en su reunión de 2020, a fin de que examinase el método de financiación más eficaz para dichas actividades, que deberían concluirse antes de la próxima </w:t>
      </w:r>
      <w:r w:rsidR="00E10484" w:rsidRPr="00B2067F">
        <w:t>CMR</w:t>
      </w:r>
      <w:r w:rsidR="00042185" w:rsidRPr="00B2067F">
        <w:t xml:space="preserve"> en 20</w:t>
      </w:r>
      <w:r w:rsidRPr="00B2067F">
        <w:t>23.</w:t>
      </w:r>
      <w:bookmarkEnd w:id="11"/>
    </w:p>
    <w:p w14:paraId="1D9F92BC" w14:textId="73CCEC6C" w:rsidR="0056716A" w:rsidRPr="00B2067F" w:rsidRDefault="00557AAE" w:rsidP="0056716A">
      <w:r w:rsidRPr="00B2067F">
        <w:t xml:space="preserve">Debido a la pandemia de la </w:t>
      </w:r>
      <w:r w:rsidR="0056716A" w:rsidRPr="00B2067F">
        <w:t>COVID-19</w:t>
      </w:r>
      <w:r w:rsidRPr="00B2067F">
        <w:t xml:space="preserve">, el Consejo de la UIT no se reunió físicamente en </w:t>
      </w:r>
      <w:r w:rsidR="0056716A" w:rsidRPr="00B2067F">
        <w:t xml:space="preserve">2020. </w:t>
      </w:r>
      <w:r w:rsidR="00332DA2" w:rsidRPr="00B2067F">
        <w:t>En l</w:t>
      </w:r>
      <w:r w:rsidRPr="00B2067F">
        <w:t xml:space="preserve">a primera CVC </w:t>
      </w:r>
      <w:r w:rsidR="0056716A" w:rsidRPr="00B2067F">
        <w:t>(</w:t>
      </w:r>
      <w:r w:rsidRPr="00B2067F">
        <w:t>CVC</w:t>
      </w:r>
      <w:r w:rsidR="0056716A" w:rsidRPr="00B2067F">
        <w:t xml:space="preserve">-1), </w:t>
      </w:r>
      <w:r w:rsidRPr="00B2067F">
        <w:t xml:space="preserve">que se celebró del 9 al 12 de junio de </w:t>
      </w:r>
      <w:r w:rsidR="0056716A" w:rsidRPr="00B2067F">
        <w:t xml:space="preserve">2020, </w:t>
      </w:r>
      <w:r w:rsidR="00332DA2" w:rsidRPr="00B2067F">
        <w:t xml:space="preserve">se estudió la solicitud de financiación para ejecutar los resultados de la CMR-19, presentada en el Documento </w:t>
      </w:r>
      <w:r w:rsidR="0056716A" w:rsidRPr="00B2067F">
        <w:t xml:space="preserve">C20/56 </w:t>
      </w:r>
      <w:r w:rsidR="00332DA2" w:rsidRPr="00B2067F">
        <w:t xml:space="preserve">del Consejo </w:t>
      </w:r>
      <w:r w:rsidR="0056716A" w:rsidRPr="00B2067F">
        <w:rPr>
          <w:b/>
          <w:bCs/>
        </w:rPr>
        <w:t>(</w:t>
      </w:r>
      <w:hyperlink r:id="rId21" w:history="1">
        <w:r w:rsidR="00C258E8" w:rsidRPr="00B2067F">
          <w:rPr>
            <w:rStyle w:val="Hyperlink"/>
          </w:rPr>
          <w:t>https://www.itu.int/md/S20-CL-C-0056/es</w:t>
        </w:r>
      </w:hyperlink>
      <w:r w:rsidR="0056716A" w:rsidRPr="00B2067F">
        <w:t>).</w:t>
      </w:r>
      <w:r w:rsidR="002F515B" w:rsidRPr="00B2067F">
        <w:t xml:space="preserve"> </w:t>
      </w:r>
      <w:r w:rsidR="00332DA2" w:rsidRPr="00B2067F">
        <w:t>Como resultado, los consejeros propusieron al Consejo que, en su siguiente reunión física</w:t>
      </w:r>
      <w:r w:rsidR="002F515B" w:rsidRPr="00B2067F">
        <w:t>,</w:t>
      </w:r>
      <w:r w:rsidR="00332DA2" w:rsidRPr="00B2067F">
        <w:t xml:space="preserve"> autorizara</w:t>
      </w:r>
      <w:r w:rsidR="002F515B" w:rsidRPr="00B2067F">
        <w:t xml:space="preserve"> al Secretario General a adoptar las medidas pertinentes con carácter prioritario:</w:t>
      </w:r>
    </w:p>
    <w:p w14:paraId="64894B82" w14:textId="3E982AF3" w:rsidR="002F515B" w:rsidRPr="00B2067F" w:rsidRDefault="002F515B" w:rsidP="002F515B">
      <w:pPr>
        <w:pStyle w:val="enumlev1"/>
      </w:pPr>
      <w:r w:rsidRPr="00B2067F">
        <w:t>•</w:t>
      </w:r>
      <w:r w:rsidRPr="00B2067F">
        <w:tab/>
        <w:t xml:space="preserve">para asignar fondos de los ahorros anuales generados durante la ejecución del presupuesto en 2020, o </w:t>
      </w:r>
    </w:p>
    <w:p w14:paraId="5DCFB36F" w14:textId="1A591106" w:rsidR="002F515B" w:rsidRPr="00B2067F" w:rsidRDefault="002F515B" w:rsidP="002F515B">
      <w:pPr>
        <w:pStyle w:val="enumlev1"/>
      </w:pPr>
      <w:r w:rsidRPr="00B2067F">
        <w:t>•</w:t>
      </w:r>
      <w:r w:rsidRPr="00B2067F">
        <w:tab/>
      </w:r>
      <w:r w:rsidR="00332DA2" w:rsidRPr="00B2067F">
        <w:t>para</w:t>
      </w:r>
      <w:r w:rsidRPr="00B2067F">
        <w:t xml:space="preserve"> solicitar contribuciones voluntarias, </w:t>
      </w:r>
    </w:p>
    <w:p w14:paraId="50CBDEC8" w14:textId="115A7792" w:rsidR="002F515B" w:rsidRPr="00B2067F" w:rsidRDefault="002F515B" w:rsidP="002F515B">
      <w:pPr>
        <w:pStyle w:val="enumlev1"/>
      </w:pPr>
      <w:r w:rsidRPr="00B2067F">
        <w:t>•</w:t>
      </w:r>
      <w:r w:rsidRPr="00B2067F">
        <w:tab/>
        <w:t xml:space="preserve">pero </w:t>
      </w:r>
      <w:r w:rsidR="00332DA2" w:rsidRPr="00B2067F">
        <w:t>n</w:t>
      </w:r>
      <w:r w:rsidRPr="00B2067F">
        <w:t xml:space="preserve">o </w:t>
      </w:r>
      <w:r w:rsidR="00332DA2" w:rsidRPr="00B2067F">
        <w:t>par</w:t>
      </w:r>
      <w:r w:rsidRPr="00B2067F">
        <w:t>a hacer una detracción de la Cuenta de Provisión.</w:t>
      </w:r>
    </w:p>
    <w:p w14:paraId="5E5CCC8F" w14:textId="5731B136" w:rsidR="002F515B" w:rsidRPr="00B2067F" w:rsidRDefault="00332DA2" w:rsidP="002F515B">
      <w:r w:rsidRPr="00B2067F">
        <w:t>Después de la CVC</w:t>
      </w:r>
      <w:r w:rsidR="002F515B" w:rsidRPr="00B2067F">
        <w:t>-1</w:t>
      </w:r>
      <w:r w:rsidRPr="00B2067F">
        <w:t>,</w:t>
      </w:r>
      <w:r w:rsidR="002F515B" w:rsidRPr="00B2067F">
        <w:t xml:space="preserve"> </w:t>
      </w:r>
      <w:r w:rsidRPr="00B2067F">
        <w:t xml:space="preserve">las previsiones de ejecución de la UIT para </w:t>
      </w:r>
      <w:r w:rsidR="002F515B" w:rsidRPr="00B2067F">
        <w:t xml:space="preserve">2020 </w:t>
      </w:r>
      <w:r w:rsidRPr="00B2067F">
        <w:t xml:space="preserve">anticiparon ahorros significativos en el presupuesto del UIT-R, </w:t>
      </w:r>
      <w:r w:rsidR="00BA02DB" w:rsidRPr="00B2067F">
        <w:t xml:space="preserve">de hasta </w:t>
      </w:r>
      <w:r w:rsidR="002F515B" w:rsidRPr="00B2067F">
        <w:t xml:space="preserve">3 </w:t>
      </w:r>
      <w:r w:rsidR="00BA02DB" w:rsidRPr="00B2067F">
        <w:t xml:space="preserve">millones de CHF. Reconociendo que </w:t>
      </w:r>
      <w:r w:rsidR="00C258E8" w:rsidRPr="00B2067F">
        <w:t>se estaba presionando a</w:t>
      </w:r>
      <w:r w:rsidR="00BA02DB" w:rsidRPr="00B2067F">
        <w:t xml:space="preserve">l Sector de Radiocomunicaciones para </w:t>
      </w:r>
      <w:r w:rsidR="00C258E8" w:rsidRPr="00B2067F">
        <w:t xml:space="preserve">que </w:t>
      </w:r>
      <w:r w:rsidR="00BA02DB" w:rsidRPr="00B2067F">
        <w:t>ejecutar</w:t>
      </w:r>
      <w:r w:rsidR="00C258E8" w:rsidRPr="00B2067F">
        <w:t>a</w:t>
      </w:r>
      <w:r w:rsidR="00BA02DB" w:rsidRPr="00B2067F">
        <w:t xml:space="preserve"> labores posteriores a la CMR-19 que incluían </w:t>
      </w:r>
      <w:r w:rsidR="00DD7729" w:rsidRPr="00B2067F">
        <w:t>desarrollos</w:t>
      </w:r>
      <w:r w:rsidR="00BA02DB" w:rsidRPr="00B2067F">
        <w:t xml:space="preserve"> de TI con un valor total de </w:t>
      </w:r>
      <w:r w:rsidR="002F515B" w:rsidRPr="00B2067F">
        <w:t>925</w:t>
      </w:r>
      <w:r w:rsidR="00BA02DB" w:rsidRPr="00B2067F">
        <w:t> </w:t>
      </w:r>
      <w:r w:rsidR="002F515B" w:rsidRPr="00B2067F">
        <w:t>000</w:t>
      </w:r>
      <w:r w:rsidR="00BA02DB" w:rsidRPr="00B2067F">
        <w:t> CHF</w:t>
      </w:r>
      <w:r w:rsidR="002F515B" w:rsidRPr="00B2067F">
        <w:t xml:space="preserve"> </w:t>
      </w:r>
      <w:r w:rsidR="00BA02DB" w:rsidRPr="00B2067F">
        <w:t>y que habían sido refrendadas por los consejeros durante la CVC</w:t>
      </w:r>
      <w:r w:rsidR="002F515B" w:rsidRPr="00B2067F">
        <w:t>-1</w:t>
      </w:r>
      <w:r w:rsidR="00BA02DB" w:rsidRPr="00B2067F">
        <w:t xml:space="preserve">, la BR solicitó que se utilizara una parte limitada del presupuesto para 2020 del UIT-R </w:t>
      </w:r>
      <w:r w:rsidR="00DD7729" w:rsidRPr="00B2067F">
        <w:t xml:space="preserve">para obtener </w:t>
      </w:r>
      <w:r w:rsidR="00BA02DB" w:rsidRPr="00B2067F">
        <w:t xml:space="preserve">los </w:t>
      </w:r>
      <w:r w:rsidR="00DD7729" w:rsidRPr="00B2067F">
        <w:t xml:space="preserve">desarrollos </w:t>
      </w:r>
      <w:r w:rsidR="00BA02DB" w:rsidRPr="00B2067F">
        <w:t>de TI necesarios para ejecutar las decisiones de la CMR</w:t>
      </w:r>
      <w:r w:rsidR="002F515B" w:rsidRPr="00B2067F">
        <w:t>-19</w:t>
      </w:r>
      <w:r w:rsidR="00BA02DB" w:rsidRPr="00B2067F">
        <w:t>, y el Secretario general aprobó dicha petición</w:t>
      </w:r>
      <w:r w:rsidR="00DD7729" w:rsidRPr="00B2067F">
        <w:t xml:space="preserve"> en el marco de sus competencias presupuestarias</w:t>
      </w:r>
      <w:r w:rsidR="00BA02DB" w:rsidRPr="00B2067F">
        <w:t>.</w:t>
      </w:r>
    </w:p>
    <w:p w14:paraId="29207E2A" w14:textId="50ED8824" w:rsidR="002F515B" w:rsidRPr="00B2067F" w:rsidRDefault="00BA02DB" w:rsidP="002F515B">
      <w:r w:rsidRPr="00B2067F">
        <w:t xml:space="preserve">No se ha </w:t>
      </w:r>
      <w:r w:rsidR="00A23943" w:rsidRPr="00B2067F">
        <w:t>conseguido f</w:t>
      </w:r>
      <w:r w:rsidRPr="00B2067F">
        <w:t xml:space="preserve">inanciación </w:t>
      </w:r>
      <w:r w:rsidR="00A23943" w:rsidRPr="00B2067F">
        <w:t xml:space="preserve">para </w:t>
      </w:r>
      <w:r w:rsidRPr="00B2067F">
        <w:t xml:space="preserve">los </w:t>
      </w:r>
      <w:r w:rsidR="002F515B" w:rsidRPr="00B2067F">
        <w:t>796</w:t>
      </w:r>
      <w:r w:rsidRPr="00B2067F">
        <w:t> </w:t>
      </w:r>
      <w:r w:rsidR="002F515B" w:rsidRPr="00B2067F">
        <w:t xml:space="preserve">000 </w:t>
      </w:r>
      <w:r w:rsidRPr="00B2067F">
        <w:t>CHF restante</w:t>
      </w:r>
      <w:r w:rsidR="004E5992" w:rsidRPr="00B2067F">
        <w:t>s que, según los cálculos de la </w:t>
      </w:r>
      <w:r w:rsidRPr="00B2067F">
        <w:t>CMR-19, se necesitarían para completar los preparativos de puntos del orden del día específicos de la CMR-23</w:t>
      </w:r>
      <w:r w:rsidR="00A23943" w:rsidRPr="00B2067F">
        <w:t xml:space="preserve">. Dado que las </w:t>
      </w:r>
      <w:r w:rsidR="00A23943" w:rsidRPr="00B2067F">
        <w:rPr>
          <w:color w:val="000000"/>
        </w:rPr>
        <w:t>reuniones de las Comisiones de Estudio y los Grupos de Trabajo</w:t>
      </w:r>
      <w:r w:rsidR="00A23943" w:rsidRPr="00B2067F">
        <w:t xml:space="preserve"> </w:t>
      </w:r>
      <w:r w:rsidR="004E5992" w:rsidRPr="00B2067F">
        <w:rPr>
          <w:color w:val="000000"/>
        </w:rPr>
        <w:t>del UIT</w:t>
      </w:r>
      <w:r w:rsidR="004E5992" w:rsidRPr="00B2067F">
        <w:rPr>
          <w:color w:val="000000"/>
        </w:rPr>
        <w:noBreakHyphen/>
      </w:r>
      <w:r w:rsidR="00A23943" w:rsidRPr="00B2067F">
        <w:rPr>
          <w:color w:val="000000"/>
        </w:rPr>
        <w:t xml:space="preserve">R </w:t>
      </w:r>
      <w:r w:rsidR="00A23943" w:rsidRPr="00B2067F">
        <w:t>se realizan de forma virtual, se deberá proceder a analizar y revisar estas estimaciones de forma oportuna, cuando se pueda prever la reanudación de las reuniones físicas</w:t>
      </w:r>
      <w:r w:rsidR="002F515B" w:rsidRPr="00B2067F">
        <w:t>.</w:t>
      </w:r>
      <w:r w:rsidR="00A23943" w:rsidRPr="00B2067F">
        <w:t xml:space="preserve"> En el Cuadro </w:t>
      </w:r>
      <w:r w:rsidR="002F515B" w:rsidRPr="00B2067F">
        <w:t xml:space="preserve">1 </w:t>
      </w:r>
      <w:r w:rsidR="00A23943" w:rsidRPr="00B2067F">
        <w:t>se presenta un informe sobre la situación de la financiación requerida par</w:t>
      </w:r>
      <w:r w:rsidR="004E5992" w:rsidRPr="00B2067F">
        <w:t>a ejecutar las decisiones de la </w:t>
      </w:r>
      <w:r w:rsidR="00A23943" w:rsidRPr="00B2067F">
        <w:t>CMR</w:t>
      </w:r>
      <w:r w:rsidR="002F515B" w:rsidRPr="00B2067F">
        <w:t>-19.</w:t>
      </w:r>
    </w:p>
    <w:p w14:paraId="5F924654" w14:textId="679625A7" w:rsidR="002F515B" w:rsidRPr="00B2067F" w:rsidRDefault="002F515B">
      <w:pPr>
        <w:tabs>
          <w:tab w:val="clear" w:pos="794"/>
          <w:tab w:val="clear" w:pos="1191"/>
          <w:tab w:val="clear" w:pos="1588"/>
          <w:tab w:val="clear" w:pos="1985"/>
        </w:tabs>
        <w:overflowPunct/>
        <w:autoSpaceDE/>
        <w:autoSpaceDN/>
        <w:adjustRightInd/>
        <w:spacing w:before="0"/>
        <w:textAlignment w:val="auto"/>
      </w:pPr>
      <w:r w:rsidRPr="00B2067F">
        <w:br w:type="page"/>
      </w:r>
    </w:p>
    <w:p w14:paraId="2968FFB4" w14:textId="77777777" w:rsidR="00373CF8" w:rsidRPr="00B2067F" w:rsidRDefault="00981CD0" w:rsidP="00373CF8">
      <w:pPr>
        <w:pStyle w:val="TableNoBR"/>
      </w:pPr>
      <w:r w:rsidRPr="00B2067F">
        <w:lastRenderedPageBreak/>
        <w:t>Cuadro 1</w:t>
      </w:r>
    </w:p>
    <w:p w14:paraId="6C2A5924" w14:textId="5ABD40BA" w:rsidR="00981CD0" w:rsidRPr="00B2067F" w:rsidRDefault="00981CD0" w:rsidP="00373CF8">
      <w:pPr>
        <w:pStyle w:val="TabletitleBR"/>
      </w:pPr>
      <w:r w:rsidRPr="00B2067F">
        <w:t>Resumen de los costes estimados</w:t>
      </w:r>
    </w:p>
    <w:tbl>
      <w:tblPr>
        <w:tblW w:w="0" w:type="auto"/>
        <w:jc w:val="center"/>
        <w:tblLook w:val="04A0" w:firstRow="1" w:lastRow="0" w:firstColumn="1" w:lastColumn="0" w:noHBand="0" w:noVBand="1"/>
      </w:tblPr>
      <w:tblGrid>
        <w:gridCol w:w="1560"/>
        <w:gridCol w:w="2892"/>
        <w:gridCol w:w="3037"/>
        <w:gridCol w:w="1008"/>
        <w:gridCol w:w="1132"/>
      </w:tblGrid>
      <w:tr w:rsidR="00981CD0" w:rsidRPr="00B2067F" w14:paraId="5E49B2BB" w14:textId="41141245" w:rsidTr="00981CD0">
        <w:trPr>
          <w:jc w:val="center"/>
        </w:trPr>
        <w:tc>
          <w:tcPr>
            <w:tcW w:w="1560" w:type="dxa"/>
            <w:tcBorders>
              <w:bottom w:val="single" w:sz="8" w:space="0" w:color="auto"/>
              <w:right w:val="single" w:sz="8" w:space="0" w:color="auto"/>
            </w:tcBorders>
          </w:tcPr>
          <w:p w14:paraId="79787B57" w14:textId="77777777" w:rsidR="00981CD0" w:rsidRPr="00B2067F" w:rsidRDefault="00981CD0" w:rsidP="00981CD0">
            <w:pPr>
              <w:pStyle w:val="Tabletext"/>
            </w:pPr>
          </w:p>
        </w:tc>
        <w:tc>
          <w:tcPr>
            <w:tcW w:w="2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AAA886" w14:textId="66EEFD4E" w:rsidR="00981CD0" w:rsidRPr="00B2067F" w:rsidRDefault="00981CD0" w:rsidP="00981CD0">
            <w:pPr>
              <w:pStyle w:val="Tablehead"/>
            </w:pPr>
            <w:bookmarkStart w:id="12" w:name="lt_pId324"/>
            <w:r w:rsidRPr="00B2067F">
              <w:t xml:space="preserve">Decisiones de la CMR-19 </w:t>
            </w:r>
            <w:bookmarkEnd w:id="12"/>
            <w:r w:rsidRPr="00B2067F">
              <w:t>conexas</w:t>
            </w:r>
          </w:p>
        </w:tc>
        <w:tc>
          <w:tcPr>
            <w:tcW w:w="3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0FECA1" w14:textId="77777777" w:rsidR="00981CD0" w:rsidRPr="00B2067F" w:rsidRDefault="00981CD0" w:rsidP="00981CD0">
            <w:pPr>
              <w:pStyle w:val="Tablehead"/>
            </w:pPr>
            <w:bookmarkStart w:id="13" w:name="lt_pId325"/>
            <w:r w:rsidRPr="00B2067F">
              <w:t>Apoyo requerido</w:t>
            </w:r>
            <w:bookmarkEnd w:id="13"/>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F5AF10" w14:textId="77777777" w:rsidR="00981CD0" w:rsidRPr="00B2067F" w:rsidRDefault="00981CD0" w:rsidP="00981CD0">
            <w:pPr>
              <w:pStyle w:val="Tablehead"/>
            </w:pPr>
            <w:bookmarkStart w:id="14" w:name="lt_pId326"/>
            <w:r w:rsidRPr="00B2067F">
              <w:t>Suma en CHF</w:t>
            </w:r>
            <w:bookmarkEnd w:id="14"/>
          </w:p>
        </w:tc>
        <w:tc>
          <w:tcPr>
            <w:tcW w:w="1132" w:type="dxa"/>
            <w:tcBorders>
              <w:top w:val="single" w:sz="8" w:space="0" w:color="auto"/>
              <w:left w:val="nil"/>
              <w:bottom w:val="single" w:sz="8" w:space="0" w:color="auto"/>
              <w:right w:val="single" w:sz="8" w:space="0" w:color="auto"/>
            </w:tcBorders>
          </w:tcPr>
          <w:p w14:paraId="3A0DB25D" w14:textId="46D9A43C" w:rsidR="00981CD0" w:rsidRPr="00B2067F" w:rsidRDefault="00981CD0" w:rsidP="00981CD0">
            <w:pPr>
              <w:pStyle w:val="Tablehead"/>
            </w:pPr>
            <w:r w:rsidRPr="00B2067F">
              <w:t>Total</w:t>
            </w:r>
            <w:r w:rsidR="00E12A29" w:rsidRPr="00B2067F">
              <w:t>e</w:t>
            </w:r>
            <w:r w:rsidRPr="00B2067F">
              <w:t xml:space="preserve">s </w:t>
            </w:r>
            <w:r w:rsidR="00E12A29" w:rsidRPr="00B2067F">
              <w:t xml:space="preserve">en </w:t>
            </w:r>
            <w:r w:rsidRPr="00B2067F">
              <w:t>CHF</w:t>
            </w:r>
          </w:p>
        </w:tc>
      </w:tr>
      <w:tr w:rsidR="00981CD0" w:rsidRPr="00B2067F" w14:paraId="171416D9" w14:textId="3A8076B2" w:rsidTr="00981CD0">
        <w:trPr>
          <w:jc w:val="center"/>
        </w:trPr>
        <w:tc>
          <w:tcPr>
            <w:tcW w:w="1560" w:type="dxa"/>
            <w:vMerge w:val="restart"/>
            <w:tcBorders>
              <w:top w:val="nil"/>
              <w:left w:val="single" w:sz="8" w:space="0" w:color="auto"/>
              <w:right w:val="single" w:sz="8" w:space="0" w:color="auto"/>
            </w:tcBorders>
          </w:tcPr>
          <w:p w14:paraId="76848912" w14:textId="7125B4F6" w:rsidR="00981CD0" w:rsidRPr="00B2067F" w:rsidRDefault="0038696D" w:rsidP="00B55380">
            <w:pPr>
              <w:pStyle w:val="Tabletext"/>
            </w:pPr>
            <w:r w:rsidRPr="00B2067F">
              <w:t xml:space="preserve">Financiados con cargo al presupuesto de </w:t>
            </w:r>
            <w:r w:rsidR="004718F4" w:rsidRPr="00B2067F">
              <w:t>la BR</w:t>
            </w:r>
            <w:r w:rsidR="00B55380" w:rsidRPr="00B2067F">
              <w:t xml:space="preserve"> de la </w:t>
            </w:r>
            <w:r w:rsidRPr="00B2067F">
              <w:t xml:space="preserve">UIT para </w:t>
            </w:r>
          </w:p>
          <w:p w14:paraId="65FD4A5C" w14:textId="741221E2" w:rsidR="00981CD0" w:rsidRPr="00B2067F" w:rsidRDefault="00981CD0" w:rsidP="00B55380">
            <w:pPr>
              <w:pStyle w:val="Tabletext"/>
            </w:pPr>
            <w:r w:rsidRPr="00B2067F">
              <w:t>2020</w:t>
            </w:r>
          </w:p>
        </w:tc>
        <w:tc>
          <w:tcPr>
            <w:tcW w:w="2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A996F" w14:textId="1E20A8ED" w:rsidR="00981CD0" w:rsidRPr="00B2067F" w:rsidRDefault="00981CD0" w:rsidP="00B55380">
            <w:pPr>
              <w:pStyle w:val="Tabletext"/>
            </w:pPr>
            <w:r w:rsidRPr="00B2067F">
              <w:t>Resolución 35 (CMR-19)</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14:paraId="4ABD0792" w14:textId="03A945AB" w:rsidR="00981CD0" w:rsidRPr="00B2067F" w:rsidRDefault="00981CD0" w:rsidP="00B55380">
            <w:pPr>
              <w:pStyle w:val="Tabletext"/>
            </w:pPr>
            <w:bookmarkStart w:id="15" w:name="lt_pId328"/>
            <w:r w:rsidRPr="00B2067F">
              <w:t xml:space="preserve">Costes inherentes al desarrollo de </w:t>
            </w:r>
            <w:r w:rsidRPr="00B2067F">
              <w:rPr>
                <w:i/>
              </w:rPr>
              <w:t>software</w:t>
            </w:r>
            <w:r w:rsidRPr="00B2067F">
              <w:t xml:space="preserve">, con ayuda de recursos externos (nueva base de datos de seguimiento del despliegue no OSG y </w:t>
            </w:r>
            <w:r w:rsidRPr="00B2067F">
              <w:rPr>
                <w:i/>
              </w:rPr>
              <w:t>software</w:t>
            </w:r>
            <w:r w:rsidRPr="00B2067F">
              <w:t xml:space="preserve"> de actualización del Registro </w:t>
            </w:r>
            <w:r w:rsidR="00E12A29" w:rsidRPr="00B2067F">
              <w:t xml:space="preserve">Internacional de Frecuencias </w:t>
            </w:r>
            <w:r w:rsidRPr="00B2067F">
              <w:t>en consecuencia)</w:t>
            </w:r>
            <w:bookmarkEnd w:id="15"/>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50D85A7C" w14:textId="77777777" w:rsidR="00981CD0" w:rsidRPr="00B2067F" w:rsidRDefault="00981CD0" w:rsidP="00B55380">
            <w:pPr>
              <w:pStyle w:val="Tabletext"/>
              <w:jc w:val="right"/>
            </w:pPr>
            <w:r w:rsidRPr="00B2067F">
              <w:t>340 000</w:t>
            </w:r>
          </w:p>
        </w:tc>
        <w:tc>
          <w:tcPr>
            <w:tcW w:w="1132" w:type="dxa"/>
            <w:tcBorders>
              <w:top w:val="nil"/>
              <w:left w:val="nil"/>
              <w:bottom w:val="single" w:sz="8" w:space="0" w:color="auto"/>
              <w:right w:val="single" w:sz="8" w:space="0" w:color="auto"/>
            </w:tcBorders>
          </w:tcPr>
          <w:p w14:paraId="6D566D7E" w14:textId="77777777" w:rsidR="00981CD0" w:rsidRPr="00B2067F" w:rsidRDefault="00981CD0" w:rsidP="00B55380">
            <w:pPr>
              <w:pStyle w:val="Tabletext"/>
              <w:jc w:val="right"/>
            </w:pPr>
          </w:p>
        </w:tc>
      </w:tr>
      <w:tr w:rsidR="00981CD0" w:rsidRPr="00B2067F" w14:paraId="6EB0A172" w14:textId="27B36B05" w:rsidTr="00981CD0">
        <w:trPr>
          <w:jc w:val="center"/>
        </w:trPr>
        <w:tc>
          <w:tcPr>
            <w:tcW w:w="1560" w:type="dxa"/>
            <w:vMerge/>
            <w:tcBorders>
              <w:left w:val="single" w:sz="8" w:space="0" w:color="auto"/>
              <w:right w:val="single" w:sz="8" w:space="0" w:color="auto"/>
            </w:tcBorders>
          </w:tcPr>
          <w:p w14:paraId="36E38E8C" w14:textId="77777777" w:rsidR="00981CD0" w:rsidRPr="00B2067F" w:rsidRDefault="00981CD0" w:rsidP="00B55380">
            <w:pPr>
              <w:pStyle w:val="Tabletext"/>
            </w:pPr>
          </w:p>
        </w:tc>
        <w:tc>
          <w:tcPr>
            <w:tcW w:w="2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4777" w14:textId="411AA974" w:rsidR="00981CD0" w:rsidRPr="00B2067F" w:rsidRDefault="00981CD0" w:rsidP="00B55380">
            <w:pPr>
              <w:pStyle w:val="Tabletext"/>
            </w:pPr>
            <w:r w:rsidRPr="00B2067F">
              <w:t>Resolución 169 (CMR-19)</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14:paraId="106B88C2" w14:textId="77777777" w:rsidR="00981CD0" w:rsidRPr="00B2067F" w:rsidRDefault="00981CD0" w:rsidP="00B55380">
            <w:pPr>
              <w:pStyle w:val="Tabletext"/>
            </w:pPr>
            <w:r w:rsidRPr="00B2067F">
              <w:t xml:space="preserve">Costes inherentes al desarrollo de </w:t>
            </w:r>
            <w:r w:rsidRPr="00B2067F">
              <w:rPr>
                <w:i/>
              </w:rPr>
              <w:t>software</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086A3CF1" w14:textId="77777777" w:rsidR="00981CD0" w:rsidRPr="00B2067F" w:rsidRDefault="00981CD0" w:rsidP="00B55380">
            <w:pPr>
              <w:pStyle w:val="Tabletext"/>
              <w:jc w:val="right"/>
            </w:pPr>
            <w:r w:rsidRPr="00B2067F">
              <w:t>85 000</w:t>
            </w:r>
          </w:p>
        </w:tc>
        <w:tc>
          <w:tcPr>
            <w:tcW w:w="1132" w:type="dxa"/>
            <w:tcBorders>
              <w:top w:val="nil"/>
              <w:left w:val="nil"/>
              <w:bottom w:val="single" w:sz="8" w:space="0" w:color="auto"/>
              <w:right w:val="single" w:sz="8" w:space="0" w:color="auto"/>
            </w:tcBorders>
          </w:tcPr>
          <w:p w14:paraId="291D5631" w14:textId="77777777" w:rsidR="00981CD0" w:rsidRPr="00B2067F" w:rsidRDefault="00981CD0" w:rsidP="00B55380">
            <w:pPr>
              <w:pStyle w:val="Tabletext"/>
              <w:jc w:val="right"/>
            </w:pPr>
          </w:p>
        </w:tc>
      </w:tr>
      <w:tr w:rsidR="009C1713" w:rsidRPr="00B2067F" w14:paraId="2420D4EE" w14:textId="77777777" w:rsidTr="00981CD0">
        <w:trPr>
          <w:jc w:val="center"/>
        </w:trPr>
        <w:tc>
          <w:tcPr>
            <w:tcW w:w="1560" w:type="dxa"/>
            <w:vMerge/>
            <w:tcBorders>
              <w:left w:val="single" w:sz="8" w:space="0" w:color="auto"/>
              <w:right w:val="single" w:sz="8" w:space="0" w:color="auto"/>
            </w:tcBorders>
          </w:tcPr>
          <w:p w14:paraId="52E9C837" w14:textId="77777777" w:rsidR="009C1713" w:rsidRPr="00B2067F" w:rsidRDefault="009C1713" w:rsidP="00B55380">
            <w:pPr>
              <w:pStyle w:val="Tabletext"/>
            </w:pPr>
          </w:p>
        </w:tc>
        <w:tc>
          <w:tcPr>
            <w:tcW w:w="28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B2B879" w14:textId="5B42E98F" w:rsidR="009C1713" w:rsidRPr="00B2067F" w:rsidRDefault="009C1713" w:rsidP="00B55380">
            <w:pPr>
              <w:pStyle w:val="Tabletext"/>
            </w:pPr>
            <w:r w:rsidRPr="00B2067F">
              <w:t xml:space="preserve">Enmiendas a los números 9.36 y 9.53A y a </w:t>
            </w:r>
            <w:r w:rsidR="00B55380" w:rsidRPr="00B2067F">
              <w:t>los Apéndices 30, 30A y 30B del </w:t>
            </w:r>
            <w:r w:rsidRPr="00B2067F">
              <w:t>RR</w:t>
            </w:r>
          </w:p>
        </w:tc>
        <w:tc>
          <w:tcPr>
            <w:tcW w:w="3037" w:type="dxa"/>
            <w:tcBorders>
              <w:top w:val="nil"/>
              <w:left w:val="nil"/>
              <w:bottom w:val="single" w:sz="8" w:space="0" w:color="auto"/>
              <w:right w:val="single" w:sz="8" w:space="0" w:color="auto"/>
            </w:tcBorders>
            <w:tcMar>
              <w:top w:w="0" w:type="dxa"/>
              <w:left w:w="108" w:type="dxa"/>
              <w:bottom w:w="0" w:type="dxa"/>
              <w:right w:w="108" w:type="dxa"/>
            </w:tcMar>
          </w:tcPr>
          <w:p w14:paraId="7C5BF9A2" w14:textId="47276AAF" w:rsidR="009C1713" w:rsidRPr="00B2067F" w:rsidRDefault="009C1713" w:rsidP="00B55380">
            <w:pPr>
              <w:pStyle w:val="Tabletext"/>
            </w:pPr>
            <w:r w:rsidRPr="00B2067F">
              <w:t xml:space="preserve">Costes inherentes al desarrollo de </w:t>
            </w:r>
            <w:r w:rsidRPr="00B2067F">
              <w:rPr>
                <w:i/>
              </w:rPr>
              <w:t>software</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14:paraId="6F84A978" w14:textId="56048A2C" w:rsidR="009C1713" w:rsidRPr="00B2067F" w:rsidRDefault="009C1713" w:rsidP="00B55380">
            <w:pPr>
              <w:pStyle w:val="Tabletext"/>
              <w:jc w:val="right"/>
            </w:pPr>
            <w:r w:rsidRPr="00B2067F">
              <w:t>200 000</w:t>
            </w:r>
          </w:p>
        </w:tc>
        <w:tc>
          <w:tcPr>
            <w:tcW w:w="1132" w:type="dxa"/>
            <w:tcBorders>
              <w:top w:val="nil"/>
              <w:left w:val="nil"/>
              <w:bottom w:val="single" w:sz="8" w:space="0" w:color="auto"/>
              <w:right w:val="single" w:sz="8" w:space="0" w:color="auto"/>
            </w:tcBorders>
          </w:tcPr>
          <w:p w14:paraId="4F6656E8" w14:textId="77777777" w:rsidR="009C1713" w:rsidRPr="00B2067F" w:rsidRDefault="009C1713" w:rsidP="00B55380">
            <w:pPr>
              <w:pStyle w:val="Tabletext"/>
              <w:jc w:val="right"/>
            </w:pPr>
          </w:p>
        </w:tc>
      </w:tr>
      <w:tr w:rsidR="0038696D" w:rsidRPr="00B2067F" w14:paraId="42C8CF86" w14:textId="77777777" w:rsidTr="00981CD0">
        <w:trPr>
          <w:jc w:val="center"/>
        </w:trPr>
        <w:tc>
          <w:tcPr>
            <w:tcW w:w="1560" w:type="dxa"/>
            <w:vMerge/>
            <w:tcBorders>
              <w:left w:val="single" w:sz="8" w:space="0" w:color="auto"/>
              <w:right w:val="single" w:sz="8" w:space="0" w:color="auto"/>
            </w:tcBorders>
          </w:tcPr>
          <w:p w14:paraId="2B3500E0" w14:textId="77777777" w:rsidR="0038696D" w:rsidRPr="00B2067F" w:rsidRDefault="0038696D" w:rsidP="00B55380">
            <w:pPr>
              <w:pStyle w:val="Tabletext"/>
            </w:pPr>
          </w:p>
        </w:tc>
        <w:tc>
          <w:tcPr>
            <w:tcW w:w="28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CAE355" w14:textId="21F9E557" w:rsidR="0038696D" w:rsidRPr="00B2067F" w:rsidRDefault="0038696D" w:rsidP="00B55380">
            <w:pPr>
              <w:pStyle w:val="Tabletext"/>
            </w:pPr>
            <w:r w:rsidRPr="00B2067F">
              <w:rPr>
                <w:color w:val="000000" w:themeColor="text1"/>
              </w:rPr>
              <w:t xml:space="preserve">Diversas disposiciones y Resoluciones del RR relacionadas con el punto </w:t>
            </w:r>
            <w:r w:rsidR="00B55380" w:rsidRPr="00B2067F">
              <w:rPr>
                <w:color w:val="000000" w:themeColor="text1"/>
              </w:rPr>
              <w:t>1.6 del orden del día de la CMR</w:t>
            </w:r>
            <w:r w:rsidR="00B55380" w:rsidRPr="00B2067F">
              <w:rPr>
                <w:color w:val="000000" w:themeColor="text1"/>
              </w:rPr>
              <w:noBreakHyphen/>
            </w:r>
            <w:r w:rsidRPr="00B2067F">
              <w:rPr>
                <w:color w:val="000000" w:themeColor="text1"/>
              </w:rPr>
              <w:t>19 (SFS no OSG</w:t>
            </w:r>
            <w:r w:rsidRPr="00B2067F">
              <w:t>)</w:t>
            </w:r>
          </w:p>
          <w:p w14:paraId="2B6F6765" w14:textId="4BF141B8" w:rsidR="0038696D" w:rsidRPr="00B2067F" w:rsidRDefault="0038696D" w:rsidP="00B55380">
            <w:pPr>
              <w:pStyle w:val="Tabletext"/>
            </w:pPr>
            <w:r w:rsidRPr="00B2067F">
              <w:t>Números 5.550C, 5.550E, 22.5L y 22.5M del RR y Resoluciones 769 (CMR-19) y 770 (CMR-19</w:t>
            </w:r>
            <w:r w:rsidRPr="00B2067F">
              <w:rPr>
                <w:color w:val="000000" w:themeColor="text1"/>
              </w:rPr>
              <w:t>)</w:t>
            </w:r>
          </w:p>
        </w:tc>
        <w:tc>
          <w:tcPr>
            <w:tcW w:w="3037" w:type="dxa"/>
            <w:tcBorders>
              <w:top w:val="nil"/>
              <w:left w:val="nil"/>
              <w:bottom w:val="single" w:sz="8" w:space="0" w:color="auto"/>
              <w:right w:val="single" w:sz="8" w:space="0" w:color="auto"/>
            </w:tcBorders>
            <w:tcMar>
              <w:top w:w="0" w:type="dxa"/>
              <w:left w:w="108" w:type="dxa"/>
              <w:bottom w:w="0" w:type="dxa"/>
              <w:right w:w="108" w:type="dxa"/>
            </w:tcMar>
          </w:tcPr>
          <w:p w14:paraId="4DD066F0" w14:textId="597BAFFE" w:rsidR="0038696D" w:rsidRPr="00B2067F" w:rsidRDefault="0038696D" w:rsidP="00B55380">
            <w:pPr>
              <w:pStyle w:val="Tabletext"/>
              <w:rPr>
                <w:color w:val="000000" w:themeColor="text1"/>
              </w:rPr>
            </w:pPr>
            <w:r w:rsidRPr="00B2067F">
              <w:t xml:space="preserve">Costes inherentes al desarrollo de </w:t>
            </w:r>
            <w:r w:rsidRPr="00B2067F">
              <w:rPr>
                <w:i/>
              </w:rPr>
              <w:t>software</w:t>
            </w:r>
            <w:r w:rsidRPr="00B2067F">
              <w:t xml:space="preserve"> (aplicación de la nueva metodología, aprovechando toda reutilización posible de los medios existentes</w:t>
            </w:r>
            <w:r w:rsidRPr="00B2067F">
              <w:rPr>
                <w:color w:val="000000" w:themeColor="text1"/>
              </w:rPr>
              <w:t>)</w:t>
            </w:r>
          </w:p>
          <w:p w14:paraId="6BDE553F" w14:textId="4F09D92E" w:rsidR="0038696D" w:rsidRPr="00B2067F" w:rsidRDefault="0038696D" w:rsidP="00B55380">
            <w:pPr>
              <w:pStyle w:val="Tabletext"/>
            </w:pPr>
            <w:r w:rsidRPr="00B2067F">
              <w:rPr>
                <w:color w:val="000000" w:themeColor="text1"/>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14:paraId="4B793DA2" w14:textId="47DDAB4D" w:rsidR="0038696D" w:rsidRPr="00B2067F" w:rsidRDefault="0038696D" w:rsidP="00B55380">
            <w:pPr>
              <w:pStyle w:val="Tabletext"/>
              <w:jc w:val="right"/>
            </w:pPr>
            <w:r w:rsidRPr="00B2067F">
              <w:rPr>
                <w:color w:val="000000" w:themeColor="text1"/>
              </w:rPr>
              <w:t>150 000</w:t>
            </w:r>
          </w:p>
        </w:tc>
        <w:tc>
          <w:tcPr>
            <w:tcW w:w="1132" w:type="dxa"/>
            <w:tcBorders>
              <w:top w:val="nil"/>
              <w:left w:val="nil"/>
              <w:bottom w:val="single" w:sz="8" w:space="0" w:color="auto"/>
              <w:right w:val="single" w:sz="8" w:space="0" w:color="auto"/>
            </w:tcBorders>
          </w:tcPr>
          <w:p w14:paraId="053E517D" w14:textId="77777777" w:rsidR="0038696D" w:rsidRPr="00B2067F" w:rsidRDefault="0038696D" w:rsidP="00B55380">
            <w:pPr>
              <w:pStyle w:val="Tabletext"/>
              <w:jc w:val="right"/>
            </w:pPr>
          </w:p>
        </w:tc>
      </w:tr>
      <w:tr w:rsidR="0038696D" w:rsidRPr="00B2067F" w14:paraId="5E92F674" w14:textId="676A9404" w:rsidTr="00981CD0">
        <w:trPr>
          <w:jc w:val="center"/>
        </w:trPr>
        <w:tc>
          <w:tcPr>
            <w:tcW w:w="1560" w:type="dxa"/>
            <w:vMerge/>
            <w:tcBorders>
              <w:left w:val="single" w:sz="8" w:space="0" w:color="auto"/>
              <w:bottom w:val="single" w:sz="8" w:space="0" w:color="auto"/>
              <w:right w:val="single" w:sz="8" w:space="0" w:color="auto"/>
            </w:tcBorders>
          </w:tcPr>
          <w:p w14:paraId="4BCB5B8D" w14:textId="77777777" w:rsidR="0038696D" w:rsidRPr="00B2067F" w:rsidRDefault="0038696D" w:rsidP="00B55380">
            <w:pPr>
              <w:pStyle w:val="Tabletext"/>
            </w:pPr>
          </w:p>
        </w:tc>
        <w:tc>
          <w:tcPr>
            <w:tcW w:w="2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BF321" w14:textId="5144BF41" w:rsidR="0038696D" w:rsidRPr="00B2067F" w:rsidRDefault="0038696D" w:rsidP="00B55380">
            <w:pPr>
              <w:pStyle w:val="Tabletext"/>
            </w:pPr>
            <w:bookmarkStart w:id="16" w:name="lt_pId346"/>
            <w:r w:rsidRPr="00B2067F">
              <w:t xml:space="preserve">Diversas Resoluciones relacionadas con el punto 1.14 del orden del día </w:t>
            </w:r>
            <w:r w:rsidRPr="00B2067F">
              <w:br/>
              <w:t>de la CMR-19 (HAPS)</w:t>
            </w:r>
            <w:bookmarkEnd w:id="16"/>
          </w:p>
          <w:p w14:paraId="2EBEBAE4" w14:textId="11F7EDB7" w:rsidR="0038696D" w:rsidRPr="00B2067F" w:rsidRDefault="0038696D" w:rsidP="00B55380">
            <w:pPr>
              <w:pStyle w:val="Tabletext"/>
            </w:pPr>
            <w:bookmarkStart w:id="17" w:name="lt_pId347"/>
            <w:r w:rsidRPr="00B2067F">
              <w:t>Resolución 122 (Rev.CMR</w:t>
            </w:r>
            <w:r w:rsidRPr="00B2067F">
              <w:noBreakHyphen/>
              <w:t>19) y Resoluciones 165, 166, 167 y 168 de la CMR-19</w:t>
            </w:r>
            <w:bookmarkEnd w:id="17"/>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14:paraId="66148342" w14:textId="641459FD" w:rsidR="0038696D" w:rsidRPr="00B2067F" w:rsidRDefault="0038696D" w:rsidP="00B55380">
            <w:pPr>
              <w:pStyle w:val="Tabletext"/>
            </w:pPr>
            <w:bookmarkStart w:id="18" w:name="lt_pId348"/>
            <w:r w:rsidRPr="00B2067F">
              <w:t xml:space="preserve">Costes inherentes al desarrollo de </w:t>
            </w:r>
            <w:r w:rsidRPr="00B2067F">
              <w:rPr>
                <w:i/>
              </w:rPr>
              <w:t>software</w:t>
            </w:r>
            <w:r w:rsidRPr="00B2067F">
              <w:t xml:space="preserve">, incluido el desarrollo de módulos de cálculo para más de 30 condiciones técnicas, cambios en la base de datos del </w:t>
            </w:r>
            <w:r w:rsidR="00E12A29" w:rsidRPr="00B2067F">
              <w:t xml:space="preserve">Registro Internacional de Frecuencias </w:t>
            </w:r>
            <w:r w:rsidRPr="00B2067F">
              <w:t>y la estructura de las notificaciones, de acuerdo con la versión modificada del Apéndice 4 del RR, y diseño de la interfaz de notificación correspondiente.</w:t>
            </w:r>
            <w:bookmarkEnd w:id="18"/>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3BFC714A" w14:textId="77777777" w:rsidR="0038696D" w:rsidRPr="00B2067F" w:rsidRDefault="0038696D" w:rsidP="00B55380">
            <w:pPr>
              <w:pStyle w:val="Tabletext"/>
              <w:jc w:val="right"/>
            </w:pPr>
            <w:r w:rsidRPr="00B2067F">
              <w:t>150 000</w:t>
            </w:r>
          </w:p>
        </w:tc>
        <w:tc>
          <w:tcPr>
            <w:tcW w:w="1132" w:type="dxa"/>
            <w:tcBorders>
              <w:top w:val="nil"/>
              <w:left w:val="nil"/>
              <w:bottom w:val="single" w:sz="8" w:space="0" w:color="auto"/>
              <w:right w:val="single" w:sz="8" w:space="0" w:color="auto"/>
            </w:tcBorders>
          </w:tcPr>
          <w:p w14:paraId="7EBD50EA" w14:textId="77777777" w:rsidR="0038696D" w:rsidRPr="00B2067F" w:rsidRDefault="0038696D" w:rsidP="00B55380">
            <w:pPr>
              <w:pStyle w:val="Tabletext"/>
              <w:jc w:val="right"/>
            </w:pPr>
          </w:p>
        </w:tc>
      </w:tr>
      <w:tr w:rsidR="0038696D" w:rsidRPr="00B2067F" w14:paraId="44916817" w14:textId="77777777" w:rsidTr="00981CD0">
        <w:trPr>
          <w:jc w:val="center"/>
        </w:trPr>
        <w:tc>
          <w:tcPr>
            <w:tcW w:w="1560" w:type="dxa"/>
            <w:tcBorders>
              <w:top w:val="nil"/>
              <w:left w:val="single" w:sz="8" w:space="0" w:color="auto"/>
              <w:bottom w:val="single" w:sz="8" w:space="0" w:color="auto"/>
              <w:right w:val="single" w:sz="8" w:space="0" w:color="auto"/>
            </w:tcBorders>
          </w:tcPr>
          <w:p w14:paraId="637E87F4" w14:textId="77777777" w:rsidR="0038696D" w:rsidRPr="00B2067F" w:rsidRDefault="0038696D" w:rsidP="00B55380">
            <w:pPr>
              <w:pStyle w:val="Tabletext"/>
            </w:pPr>
          </w:p>
        </w:tc>
        <w:tc>
          <w:tcPr>
            <w:tcW w:w="28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3278EE" w14:textId="6D1CBF53" w:rsidR="0038696D" w:rsidRPr="00B2067F" w:rsidRDefault="0038696D" w:rsidP="00B55380">
            <w:pPr>
              <w:pStyle w:val="Tabletext"/>
              <w:rPr>
                <w:b/>
                <w:bCs/>
              </w:rPr>
            </w:pPr>
            <w:r w:rsidRPr="00B2067F">
              <w:rPr>
                <w:b/>
                <w:bCs/>
              </w:rPr>
              <w:t>Subtotal</w:t>
            </w:r>
          </w:p>
        </w:tc>
        <w:tc>
          <w:tcPr>
            <w:tcW w:w="3037" w:type="dxa"/>
            <w:tcBorders>
              <w:top w:val="nil"/>
              <w:left w:val="nil"/>
              <w:bottom w:val="single" w:sz="8" w:space="0" w:color="auto"/>
              <w:right w:val="single" w:sz="8" w:space="0" w:color="auto"/>
            </w:tcBorders>
            <w:tcMar>
              <w:top w:w="0" w:type="dxa"/>
              <w:left w:w="108" w:type="dxa"/>
              <w:bottom w:w="0" w:type="dxa"/>
              <w:right w:w="108" w:type="dxa"/>
            </w:tcMar>
          </w:tcPr>
          <w:p w14:paraId="1355FB69" w14:textId="77777777" w:rsidR="0038696D" w:rsidRPr="00B2067F" w:rsidRDefault="0038696D" w:rsidP="00B55380">
            <w:pPr>
              <w:pStyle w:val="Tabletext"/>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14:paraId="649AA06B" w14:textId="77777777" w:rsidR="0038696D" w:rsidRPr="00B2067F" w:rsidRDefault="0038696D" w:rsidP="00B55380">
            <w:pPr>
              <w:pStyle w:val="Tabletext"/>
              <w:jc w:val="right"/>
            </w:pPr>
          </w:p>
        </w:tc>
        <w:tc>
          <w:tcPr>
            <w:tcW w:w="1132" w:type="dxa"/>
            <w:tcBorders>
              <w:top w:val="nil"/>
              <w:left w:val="nil"/>
              <w:bottom w:val="single" w:sz="8" w:space="0" w:color="auto"/>
              <w:right w:val="single" w:sz="8" w:space="0" w:color="auto"/>
            </w:tcBorders>
          </w:tcPr>
          <w:p w14:paraId="1B090855" w14:textId="1E45EC74" w:rsidR="0038696D" w:rsidRPr="00B2067F" w:rsidRDefault="0038696D" w:rsidP="00B55380">
            <w:pPr>
              <w:pStyle w:val="Tabletext"/>
              <w:jc w:val="right"/>
              <w:rPr>
                <w:b/>
                <w:bCs/>
              </w:rPr>
            </w:pPr>
            <w:r w:rsidRPr="00B2067F">
              <w:rPr>
                <w:b/>
                <w:bCs/>
              </w:rPr>
              <w:t>925 000</w:t>
            </w:r>
          </w:p>
        </w:tc>
      </w:tr>
      <w:tr w:rsidR="0038696D" w:rsidRPr="00B2067F" w14:paraId="2AD06B8D" w14:textId="77777777" w:rsidTr="00005BF4">
        <w:trPr>
          <w:jc w:val="center"/>
        </w:trPr>
        <w:tc>
          <w:tcPr>
            <w:tcW w:w="1560" w:type="dxa"/>
            <w:vMerge w:val="restart"/>
            <w:tcBorders>
              <w:top w:val="nil"/>
              <w:left w:val="single" w:sz="8" w:space="0" w:color="auto"/>
              <w:right w:val="single" w:sz="8" w:space="0" w:color="auto"/>
            </w:tcBorders>
          </w:tcPr>
          <w:p w14:paraId="3E8B8EBF" w14:textId="28B27A06" w:rsidR="0038696D" w:rsidRPr="00B2067F" w:rsidRDefault="0038696D" w:rsidP="00B55380">
            <w:pPr>
              <w:pStyle w:val="Tabletext"/>
            </w:pPr>
            <w:r w:rsidRPr="00B2067F">
              <w:t>Financiación pendiente, en caso necesario</w:t>
            </w:r>
          </w:p>
        </w:tc>
        <w:tc>
          <w:tcPr>
            <w:tcW w:w="28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EFFE12" w14:textId="6B0D8397" w:rsidR="0038696D" w:rsidRPr="00B2067F" w:rsidRDefault="0038696D" w:rsidP="00B55380">
            <w:pPr>
              <w:pStyle w:val="Tabletext"/>
            </w:pPr>
            <w:r w:rsidRPr="00B2067F">
              <w:t>Resolución 245 (CMR-19) – estudios</w:t>
            </w:r>
          </w:p>
        </w:tc>
        <w:tc>
          <w:tcPr>
            <w:tcW w:w="3037" w:type="dxa"/>
            <w:tcBorders>
              <w:top w:val="nil"/>
              <w:left w:val="nil"/>
              <w:bottom w:val="single" w:sz="8" w:space="0" w:color="auto"/>
              <w:right w:val="single" w:sz="8" w:space="0" w:color="auto"/>
            </w:tcBorders>
            <w:tcMar>
              <w:top w:w="0" w:type="dxa"/>
              <w:left w:w="108" w:type="dxa"/>
              <w:bottom w:w="0" w:type="dxa"/>
              <w:right w:w="108" w:type="dxa"/>
            </w:tcMar>
          </w:tcPr>
          <w:p w14:paraId="33F2B35C" w14:textId="00BB09F7" w:rsidR="0038696D" w:rsidRPr="00B2067F" w:rsidRDefault="0038696D" w:rsidP="00B55380">
            <w:pPr>
              <w:pStyle w:val="Tabletext"/>
            </w:pPr>
            <w:r w:rsidRPr="00B2067F">
              <w:t>Apoyo</w:t>
            </w:r>
            <w:r w:rsidR="00B55380" w:rsidRPr="00B2067F">
              <w:t xml:space="preserve"> a la organización</w:t>
            </w:r>
            <w:r w:rsidR="00B55380" w:rsidRPr="00B2067F">
              <w:br/>
            </w:r>
            <w:r w:rsidRPr="00B2067F">
              <w:t>y a las reuniones</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14:paraId="00D79A75" w14:textId="7A426FC4" w:rsidR="0038696D" w:rsidRPr="00B2067F" w:rsidRDefault="0038696D" w:rsidP="00B55380">
            <w:pPr>
              <w:pStyle w:val="Tabletext"/>
              <w:jc w:val="right"/>
            </w:pPr>
            <w:r w:rsidRPr="00B2067F">
              <w:t>456 000</w:t>
            </w:r>
          </w:p>
        </w:tc>
        <w:tc>
          <w:tcPr>
            <w:tcW w:w="1132" w:type="dxa"/>
            <w:tcBorders>
              <w:top w:val="nil"/>
              <w:left w:val="nil"/>
              <w:bottom w:val="single" w:sz="8" w:space="0" w:color="auto"/>
              <w:right w:val="single" w:sz="8" w:space="0" w:color="auto"/>
            </w:tcBorders>
          </w:tcPr>
          <w:p w14:paraId="6A4D194C" w14:textId="77777777" w:rsidR="0038696D" w:rsidRPr="00B2067F" w:rsidRDefault="0038696D" w:rsidP="00B55380">
            <w:pPr>
              <w:pStyle w:val="Tabletext"/>
              <w:jc w:val="right"/>
              <w:rPr>
                <w:b/>
                <w:bCs/>
              </w:rPr>
            </w:pPr>
          </w:p>
        </w:tc>
      </w:tr>
      <w:tr w:rsidR="0038696D" w:rsidRPr="00B2067F" w14:paraId="2D29B3D3" w14:textId="77777777" w:rsidTr="00005BF4">
        <w:trPr>
          <w:jc w:val="center"/>
        </w:trPr>
        <w:tc>
          <w:tcPr>
            <w:tcW w:w="1560" w:type="dxa"/>
            <w:vMerge/>
            <w:tcBorders>
              <w:left w:val="single" w:sz="8" w:space="0" w:color="auto"/>
              <w:right w:val="single" w:sz="8" w:space="0" w:color="auto"/>
            </w:tcBorders>
          </w:tcPr>
          <w:p w14:paraId="1D4A3AE8" w14:textId="77777777" w:rsidR="0038696D" w:rsidRPr="00B2067F" w:rsidRDefault="0038696D" w:rsidP="00B55380">
            <w:pPr>
              <w:pStyle w:val="Tabletext"/>
            </w:pPr>
          </w:p>
        </w:tc>
        <w:tc>
          <w:tcPr>
            <w:tcW w:w="28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C28BB5" w14:textId="38C77779" w:rsidR="0038696D" w:rsidRPr="00B2067F" w:rsidRDefault="0038696D" w:rsidP="00B55380">
            <w:pPr>
              <w:pStyle w:val="Tabletext"/>
            </w:pPr>
            <w:r w:rsidRPr="00B2067F">
              <w:t>Resolución 235 (CMR-15) – Estudios relacionados con el punto 1.5 del orden del día de la CMR 23</w:t>
            </w:r>
          </w:p>
        </w:tc>
        <w:tc>
          <w:tcPr>
            <w:tcW w:w="3037" w:type="dxa"/>
            <w:tcBorders>
              <w:top w:val="nil"/>
              <w:left w:val="nil"/>
              <w:bottom w:val="single" w:sz="8" w:space="0" w:color="auto"/>
              <w:right w:val="single" w:sz="8" w:space="0" w:color="auto"/>
            </w:tcBorders>
            <w:tcMar>
              <w:top w:w="0" w:type="dxa"/>
              <w:left w:w="108" w:type="dxa"/>
              <w:bottom w:w="0" w:type="dxa"/>
              <w:right w:w="108" w:type="dxa"/>
            </w:tcMar>
          </w:tcPr>
          <w:p w14:paraId="197665CA" w14:textId="202A9BB1" w:rsidR="0038696D" w:rsidRPr="00B2067F" w:rsidRDefault="00B55380" w:rsidP="00B55380">
            <w:pPr>
              <w:pStyle w:val="Tabletext"/>
            </w:pPr>
            <w:r w:rsidRPr="00B2067F">
              <w:t>Apoyo a la organización</w:t>
            </w:r>
            <w:r w:rsidRPr="00B2067F">
              <w:br/>
            </w:r>
            <w:r w:rsidR="0038696D" w:rsidRPr="00B2067F">
              <w:t>y a las reuniones</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14:paraId="6E2BB159" w14:textId="30745389" w:rsidR="0038696D" w:rsidRPr="00B2067F" w:rsidRDefault="0038696D" w:rsidP="00B55380">
            <w:pPr>
              <w:pStyle w:val="Tabletext"/>
              <w:jc w:val="right"/>
            </w:pPr>
            <w:r w:rsidRPr="00B2067F">
              <w:t>340 000</w:t>
            </w:r>
          </w:p>
        </w:tc>
        <w:tc>
          <w:tcPr>
            <w:tcW w:w="1132" w:type="dxa"/>
            <w:tcBorders>
              <w:top w:val="nil"/>
              <w:left w:val="nil"/>
              <w:bottom w:val="single" w:sz="8" w:space="0" w:color="auto"/>
              <w:right w:val="single" w:sz="8" w:space="0" w:color="auto"/>
            </w:tcBorders>
          </w:tcPr>
          <w:p w14:paraId="1D3FA1AA" w14:textId="77777777" w:rsidR="0038696D" w:rsidRPr="00B2067F" w:rsidRDefault="0038696D" w:rsidP="00B55380">
            <w:pPr>
              <w:pStyle w:val="Tabletext"/>
              <w:jc w:val="right"/>
              <w:rPr>
                <w:b/>
                <w:bCs/>
              </w:rPr>
            </w:pPr>
          </w:p>
        </w:tc>
      </w:tr>
      <w:tr w:rsidR="0038696D" w:rsidRPr="00B2067F" w14:paraId="493D8975" w14:textId="77777777" w:rsidTr="00005BF4">
        <w:trPr>
          <w:jc w:val="center"/>
        </w:trPr>
        <w:tc>
          <w:tcPr>
            <w:tcW w:w="1560" w:type="dxa"/>
            <w:vMerge/>
            <w:tcBorders>
              <w:left w:val="single" w:sz="8" w:space="0" w:color="auto"/>
              <w:bottom w:val="single" w:sz="8" w:space="0" w:color="auto"/>
              <w:right w:val="single" w:sz="8" w:space="0" w:color="auto"/>
            </w:tcBorders>
          </w:tcPr>
          <w:p w14:paraId="6C2FD5C6" w14:textId="77777777" w:rsidR="0038696D" w:rsidRPr="00B2067F" w:rsidRDefault="0038696D" w:rsidP="00B55380">
            <w:pPr>
              <w:pStyle w:val="Tabletext"/>
            </w:pPr>
          </w:p>
        </w:tc>
        <w:tc>
          <w:tcPr>
            <w:tcW w:w="28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28F8C1" w14:textId="0A9888BB" w:rsidR="0038696D" w:rsidRPr="00B2067F" w:rsidRDefault="0038696D" w:rsidP="00B55380">
            <w:pPr>
              <w:pStyle w:val="Tabletext"/>
              <w:rPr>
                <w:b/>
                <w:bCs/>
              </w:rPr>
            </w:pPr>
            <w:r w:rsidRPr="00B2067F">
              <w:rPr>
                <w:b/>
                <w:bCs/>
              </w:rPr>
              <w:t>Subtotal</w:t>
            </w:r>
          </w:p>
        </w:tc>
        <w:tc>
          <w:tcPr>
            <w:tcW w:w="3037" w:type="dxa"/>
            <w:tcBorders>
              <w:top w:val="nil"/>
              <w:left w:val="nil"/>
              <w:bottom w:val="single" w:sz="8" w:space="0" w:color="auto"/>
              <w:right w:val="single" w:sz="8" w:space="0" w:color="auto"/>
            </w:tcBorders>
            <w:tcMar>
              <w:top w:w="0" w:type="dxa"/>
              <w:left w:w="108" w:type="dxa"/>
              <w:bottom w:w="0" w:type="dxa"/>
              <w:right w:w="108" w:type="dxa"/>
            </w:tcMar>
          </w:tcPr>
          <w:p w14:paraId="78DBC646" w14:textId="77777777" w:rsidR="0038696D" w:rsidRPr="00B2067F" w:rsidRDefault="0038696D" w:rsidP="00B55380">
            <w:pPr>
              <w:pStyle w:val="Tabletext"/>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14:paraId="2252542F" w14:textId="77777777" w:rsidR="0038696D" w:rsidRPr="00B2067F" w:rsidRDefault="0038696D" w:rsidP="00B55380">
            <w:pPr>
              <w:pStyle w:val="Tabletext"/>
              <w:jc w:val="right"/>
            </w:pPr>
          </w:p>
        </w:tc>
        <w:tc>
          <w:tcPr>
            <w:tcW w:w="1132" w:type="dxa"/>
            <w:tcBorders>
              <w:top w:val="nil"/>
              <w:left w:val="nil"/>
              <w:bottom w:val="single" w:sz="8" w:space="0" w:color="auto"/>
              <w:right w:val="single" w:sz="8" w:space="0" w:color="auto"/>
            </w:tcBorders>
          </w:tcPr>
          <w:p w14:paraId="4B745714" w14:textId="2FF8FCE9" w:rsidR="0038696D" w:rsidRPr="00B2067F" w:rsidRDefault="0038696D" w:rsidP="00B55380">
            <w:pPr>
              <w:pStyle w:val="Tabletext"/>
              <w:jc w:val="right"/>
              <w:rPr>
                <w:b/>
                <w:bCs/>
              </w:rPr>
            </w:pPr>
            <w:r w:rsidRPr="00B2067F">
              <w:rPr>
                <w:b/>
                <w:bCs/>
              </w:rPr>
              <w:t>796 000</w:t>
            </w:r>
          </w:p>
        </w:tc>
      </w:tr>
      <w:tr w:rsidR="0038696D" w:rsidRPr="00B2067F" w14:paraId="631946F0" w14:textId="3FD61DB0" w:rsidTr="00981CD0">
        <w:trPr>
          <w:jc w:val="center"/>
        </w:trPr>
        <w:tc>
          <w:tcPr>
            <w:tcW w:w="1560" w:type="dxa"/>
            <w:tcBorders>
              <w:top w:val="nil"/>
              <w:left w:val="single" w:sz="8" w:space="0" w:color="auto"/>
              <w:bottom w:val="single" w:sz="8" w:space="0" w:color="auto"/>
              <w:right w:val="single" w:sz="8" w:space="0" w:color="auto"/>
            </w:tcBorders>
          </w:tcPr>
          <w:p w14:paraId="0E2C1AD6" w14:textId="77777777" w:rsidR="0038696D" w:rsidRPr="00B2067F" w:rsidRDefault="0038696D" w:rsidP="00B55380">
            <w:pPr>
              <w:pStyle w:val="Tabletext"/>
            </w:pPr>
          </w:p>
        </w:tc>
        <w:tc>
          <w:tcPr>
            <w:tcW w:w="2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5A06C" w14:textId="53841BD2" w:rsidR="0038696D" w:rsidRPr="00B2067F" w:rsidRDefault="0038696D" w:rsidP="00B55380">
            <w:pPr>
              <w:pStyle w:val="Tabletext"/>
              <w:rPr>
                <w:b/>
                <w:bCs/>
              </w:rPr>
            </w:pPr>
            <w:bookmarkStart w:id="19" w:name="lt_pId350"/>
            <w:r w:rsidRPr="00B2067F">
              <w:rPr>
                <w:b/>
                <w:bCs/>
              </w:rPr>
              <w:t>Total</w:t>
            </w:r>
            <w:bookmarkEnd w:id="19"/>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14:paraId="3DE838BC" w14:textId="77777777" w:rsidR="0038696D" w:rsidRPr="00B2067F" w:rsidRDefault="0038696D" w:rsidP="00B55380">
            <w:pPr>
              <w:pStyle w:val="Tabletext"/>
            </w:pP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10D5548C" w14:textId="4A5684AB" w:rsidR="0038696D" w:rsidRPr="00B2067F" w:rsidRDefault="0038696D" w:rsidP="00B55380">
            <w:pPr>
              <w:pStyle w:val="Tabletext"/>
              <w:jc w:val="right"/>
            </w:pPr>
          </w:p>
        </w:tc>
        <w:tc>
          <w:tcPr>
            <w:tcW w:w="1132" w:type="dxa"/>
            <w:tcBorders>
              <w:top w:val="nil"/>
              <w:left w:val="nil"/>
              <w:bottom w:val="single" w:sz="8" w:space="0" w:color="auto"/>
              <w:right w:val="single" w:sz="8" w:space="0" w:color="auto"/>
            </w:tcBorders>
          </w:tcPr>
          <w:p w14:paraId="143DCC5F" w14:textId="742C6903" w:rsidR="0038696D" w:rsidRPr="00B2067F" w:rsidRDefault="0038696D" w:rsidP="00B55380">
            <w:pPr>
              <w:pStyle w:val="Tabletext"/>
              <w:jc w:val="right"/>
              <w:rPr>
                <w:b/>
                <w:bCs/>
              </w:rPr>
            </w:pPr>
            <w:r w:rsidRPr="00B2067F">
              <w:rPr>
                <w:b/>
                <w:bCs/>
              </w:rPr>
              <w:t>1 721 000</w:t>
            </w:r>
          </w:p>
        </w:tc>
      </w:tr>
    </w:tbl>
    <w:p w14:paraId="45BD596E" w14:textId="1AFDAE21" w:rsidR="00D263A0" w:rsidRPr="00B2067F" w:rsidRDefault="00D263A0" w:rsidP="00D263A0">
      <w:pPr>
        <w:pStyle w:val="Heading2"/>
      </w:pPr>
      <w:bookmarkStart w:id="20" w:name="lt_pId354"/>
      <w:r w:rsidRPr="00B2067F">
        <w:lastRenderedPageBreak/>
        <w:t>3.2</w:t>
      </w:r>
      <w:r w:rsidRPr="00B2067F">
        <w:tab/>
        <w:t xml:space="preserve">Desarrollo de </w:t>
      </w:r>
      <w:r w:rsidRPr="00B2067F">
        <w:rPr>
          <w:i/>
        </w:rPr>
        <w:t>software</w:t>
      </w:r>
      <w:r w:rsidRPr="00B2067F">
        <w:t xml:space="preserve"> para la aplicación de las decisiones de la CMR-19</w:t>
      </w:r>
    </w:p>
    <w:p w14:paraId="0C1CB48B" w14:textId="7C3BB870" w:rsidR="00D263A0" w:rsidRPr="00B2067F" w:rsidRDefault="00D263A0" w:rsidP="00D263A0">
      <w:r w:rsidRPr="00B2067F">
        <w:t>La BR está</w:t>
      </w:r>
      <w:r w:rsidR="004718F4" w:rsidRPr="00B2067F">
        <w:t xml:space="preserve"> ultimando el diseño y el desarrollo de </w:t>
      </w:r>
      <w:r w:rsidRPr="00B2067F">
        <w:rPr>
          <w:i/>
        </w:rPr>
        <w:t>software</w:t>
      </w:r>
      <w:r w:rsidRPr="00B2067F">
        <w:t xml:space="preserve"> específico para aplicar las decisiones de la CMR-19.</w:t>
      </w:r>
      <w:bookmarkEnd w:id="20"/>
      <w:r w:rsidRPr="00B2067F">
        <w:t xml:space="preserve"> </w:t>
      </w:r>
    </w:p>
    <w:p w14:paraId="4896FDEA" w14:textId="14A5C11F" w:rsidR="00D263A0" w:rsidRPr="00B2067F" w:rsidRDefault="004718F4" w:rsidP="00D263A0">
      <w:r w:rsidRPr="00B2067F">
        <w:t>A continuación</w:t>
      </w:r>
      <w:r w:rsidR="00FF5498" w:rsidRPr="00B2067F">
        <w:t>,</w:t>
      </w:r>
      <w:r w:rsidRPr="00B2067F">
        <w:t xml:space="preserve"> se resumen las principales tareas finalizadas desde el último informe o pendientes de finalizar</w:t>
      </w:r>
      <w:r w:rsidR="00D263A0" w:rsidRPr="00B2067F">
        <w:t>.</w:t>
      </w:r>
    </w:p>
    <w:p w14:paraId="7046CE5E" w14:textId="34A99A9A" w:rsidR="00D263A0" w:rsidRPr="00B2067F" w:rsidRDefault="00D263A0" w:rsidP="00D263A0">
      <w:pPr>
        <w:pStyle w:val="Heading3"/>
      </w:pPr>
      <w:r w:rsidRPr="00B2067F">
        <w:t>3.2.</w:t>
      </w:r>
      <w:bookmarkStart w:id="21" w:name="lt_pId358"/>
      <w:r w:rsidRPr="00B2067F">
        <w:t>1</w:t>
      </w:r>
      <w:r w:rsidRPr="00B2067F">
        <w:tab/>
        <w:t>Aplicación de las decisiones de la CMR-19 relativas a los servicios terrenales:</w:t>
      </w:r>
      <w:bookmarkEnd w:id="21"/>
    </w:p>
    <w:p w14:paraId="6767CE87" w14:textId="2C9E68E8" w:rsidR="00D263A0" w:rsidRPr="00B2067F" w:rsidRDefault="00D263A0" w:rsidP="00D263A0">
      <w:pPr>
        <w:pStyle w:val="enumlev1"/>
      </w:pPr>
      <w:bookmarkStart w:id="22" w:name="lt_pId359"/>
      <w:r w:rsidRPr="00B2067F">
        <w:t>•</w:t>
      </w:r>
      <w:r w:rsidRPr="00B2067F">
        <w:tab/>
      </w:r>
      <w:r w:rsidR="003F4176" w:rsidRPr="00B2067F">
        <w:t xml:space="preserve">Finalización de la </w:t>
      </w:r>
      <w:r w:rsidRPr="00B2067F">
        <w:t xml:space="preserve">actualización del </w:t>
      </w:r>
      <w:r w:rsidRPr="00B2067F">
        <w:rPr>
          <w:i/>
        </w:rPr>
        <w:t>software</w:t>
      </w:r>
      <w:r w:rsidRPr="00B2067F">
        <w:t xml:space="preserve"> utilizado para tramitar y publicar notificaciones terrenales, en los planos tanto interno (</w:t>
      </w:r>
      <w:r w:rsidRPr="00B2067F">
        <w:rPr>
          <w:iCs/>
        </w:rPr>
        <w:t>TerRaSys</w:t>
      </w:r>
      <w:r w:rsidRPr="00B2067F">
        <w:t xml:space="preserve">) como externo (BR IFIC (Terrenal)), de acuerdo con las decisiones de la CMR-19 y las Reglas de Procedimiento conexas. Ello incluye la modificación de las bases de datos terrenales, el </w:t>
      </w:r>
      <w:r w:rsidRPr="00B2067F">
        <w:rPr>
          <w:i/>
        </w:rPr>
        <w:t>software</w:t>
      </w:r>
      <w:r w:rsidRPr="00B2067F">
        <w:t xml:space="preserve"> de validación y examen y los cuadros de referencia</w:t>
      </w:r>
      <w:bookmarkEnd w:id="22"/>
      <w:r w:rsidRPr="00B2067F">
        <w:t xml:space="preserve"> </w:t>
      </w:r>
      <w:r w:rsidR="003F4176" w:rsidRPr="00B2067F">
        <w:t>para las bandas de frecuencia compartidas con los servicios espaciales</w:t>
      </w:r>
      <w:r w:rsidRPr="00B2067F">
        <w:t xml:space="preserve"> </w:t>
      </w:r>
      <w:r w:rsidR="003F4176" w:rsidRPr="00B2067F">
        <w:t xml:space="preserve">en virtud del número </w:t>
      </w:r>
      <w:r w:rsidRPr="00B2067F">
        <w:t>9.21</w:t>
      </w:r>
      <w:r w:rsidR="003F4176" w:rsidRPr="00B2067F">
        <w:t xml:space="preserve"> del RR</w:t>
      </w:r>
      <w:r w:rsidRPr="00B2067F">
        <w:t xml:space="preserve"> </w:t>
      </w:r>
      <w:r w:rsidR="003F4176" w:rsidRPr="00B2067F">
        <w:t xml:space="preserve">e identificadas para las </w:t>
      </w:r>
      <w:r w:rsidRPr="00B2067F">
        <w:t xml:space="preserve">IMT, etc. </w:t>
      </w:r>
      <w:r w:rsidR="003F4176" w:rsidRPr="00B2067F">
        <w:t>Se aplicaron todos los cambio</w:t>
      </w:r>
      <w:r w:rsidR="00461E9D" w:rsidRPr="00B2067F">
        <w:t xml:space="preserve">s necesarios y </w:t>
      </w:r>
      <w:r w:rsidR="006051C3" w:rsidRPr="00B2067F">
        <w:t>se encuentra</w:t>
      </w:r>
      <w:r w:rsidR="00461E9D" w:rsidRPr="00B2067F">
        <w:t>n</w:t>
      </w:r>
      <w:r w:rsidR="006051C3" w:rsidRPr="00B2067F">
        <w:t xml:space="preserve"> en producción</w:t>
      </w:r>
      <w:r w:rsidRPr="00B2067F">
        <w:t>.</w:t>
      </w:r>
    </w:p>
    <w:p w14:paraId="146AFDEB" w14:textId="144BF2EC" w:rsidR="00D263A0" w:rsidRPr="00B2067F" w:rsidRDefault="00D263A0" w:rsidP="00D263A0">
      <w:pPr>
        <w:pStyle w:val="enumlev1"/>
      </w:pPr>
      <w:bookmarkStart w:id="23" w:name="lt_pId361"/>
      <w:r w:rsidRPr="00B2067F">
        <w:t>•</w:t>
      </w:r>
      <w:r w:rsidRPr="00B2067F">
        <w:tab/>
        <w:t xml:space="preserve">Desarrollo de los módulos de </w:t>
      </w:r>
      <w:r w:rsidRPr="00B2067F">
        <w:rPr>
          <w:i/>
        </w:rPr>
        <w:t>software</w:t>
      </w:r>
      <w:r w:rsidRPr="00B2067F">
        <w:t xml:space="preserve"> necesarios para tramitar notificaciones de HAPS (herramientas de validación, examen y publicación). Esta tarea comprende asimismo el desarrollo de módulos de cálculo a efectos de la verificación de las condiciones técnicas especificadas en las Resoluciones 122 (Rev.CMR-19), 145 (Rev.CMR-19), 165 (CMR-19), 166 (CMR-19), 167 (CMR-19) y 168 (CMR-19), </w:t>
      </w:r>
      <w:r w:rsidR="00FF5498" w:rsidRPr="00B2067F">
        <w:t>así como las modificaciones correspondientes</w:t>
      </w:r>
      <w:r w:rsidRPr="00B2067F">
        <w:t xml:space="preserve"> de la base de datos y la estructura de </w:t>
      </w:r>
      <w:bookmarkEnd w:id="23"/>
      <w:r w:rsidRPr="00B2067F">
        <w:t>las notificaciones.</w:t>
      </w:r>
    </w:p>
    <w:p w14:paraId="679BD0EC" w14:textId="6609A0B0" w:rsidR="00D263A0" w:rsidRPr="00B2067F" w:rsidRDefault="00D263A0" w:rsidP="00D263A0">
      <w:pPr>
        <w:pStyle w:val="enumlev1"/>
      </w:pPr>
      <w:bookmarkStart w:id="24" w:name="lt_pId363"/>
      <w:r w:rsidRPr="00B2067F">
        <w:t>•</w:t>
      </w:r>
      <w:r w:rsidRPr="00B2067F">
        <w:tab/>
        <w:t xml:space="preserve">Desarrollo del </w:t>
      </w:r>
      <w:r w:rsidRPr="00B2067F">
        <w:rPr>
          <w:i/>
        </w:rPr>
        <w:t>software</w:t>
      </w:r>
      <w:r w:rsidRPr="00B2067F">
        <w:t xml:space="preserve"> de ex</w:t>
      </w:r>
      <w:r w:rsidR="007243FA" w:rsidRPr="00B2067F">
        <w:t>amen encaminado</w:t>
      </w:r>
      <w:r w:rsidRPr="00B2067F">
        <w:t xml:space="preserve"> a la identificación de </w:t>
      </w:r>
      <w:r w:rsidR="007243FA" w:rsidRPr="00B2067F">
        <w:t xml:space="preserve">las </w:t>
      </w:r>
      <w:r w:rsidRPr="00B2067F">
        <w:t>administraciones afectadas utilizando modelos de elevación digital para varias bandas de frecuencias y servicios.</w:t>
      </w:r>
      <w:bookmarkEnd w:id="24"/>
    </w:p>
    <w:p w14:paraId="3557854C" w14:textId="6C6DD4BD" w:rsidR="00D263A0" w:rsidRPr="00B2067F" w:rsidRDefault="00D263A0" w:rsidP="00D263A0">
      <w:pPr>
        <w:pStyle w:val="Heading3"/>
      </w:pPr>
      <w:r w:rsidRPr="00B2067F">
        <w:t>3.2.</w:t>
      </w:r>
      <w:bookmarkStart w:id="25" w:name="lt_pId365"/>
      <w:r w:rsidRPr="00B2067F">
        <w:t>2</w:t>
      </w:r>
      <w:r w:rsidRPr="00B2067F">
        <w:tab/>
        <w:t>Aplicación de las decisiones de la CMR-19 relativas a los servicios espaciales:</w:t>
      </w:r>
      <w:bookmarkEnd w:id="25"/>
    </w:p>
    <w:p w14:paraId="79A17259" w14:textId="77777777" w:rsidR="00D263A0" w:rsidRPr="00B2067F" w:rsidRDefault="00D263A0" w:rsidP="00D263A0">
      <w:pPr>
        <w:pStyle w:val="enumlev1"/>
      </w:pPr>
      <w:bookmarkStart w:id="26" w:name="lt_pId366"/>
      <w:r w:rsidRPr="00B2067F">
        <w:t>•</w:t>
      </w:r>
      <w:r w:rsidRPr="00B2067F">
        <w:tab/>
        <w:t xml:space="preserve">Revisión y actualización del </w:t>
      </w:r>
      <w:r w:rsidRPr="00B2067F">
        <w:rPr>
          <w:i/>
        </w:rPr>
        <w:t>software</w:t>
      </w:r>
      <w:r w:rsidRPr="00B2067F">
        <w:t xml:space="preserve"> utilizado para tramitar y publicar comunicaciones de redes de satélites, en los planos tanto interno como externo (BR IFIC (Espacio)). Ello incluye la modificación de la base de datos, los módulos de </w:t>
      </w:r>
      <w:r w:rsidRPr="00B2067F">
        <w:rPr>
          <w:i/>
        </w:rPr>
        <w:t>software</w:t>
      </w:r>
      <w:r w:rsidRPr="00B2067F">
        <w:t xml:space="preserve"> de validación y examen y los cuadros de referencia, de acuerdo con las decisiones de la CMR-19 y las Reglas de Procedimiento conexas.</w:t>
      </w:r>
      <w:bookmarkEnd w:id="26"/>
    </w:p>
    <w:p w14:paraId="41ACB3F2" w14:textId="2C7A2AC7" w:rsidR="00D263A0" w:rsidRPr="00B2067F" w:rsidRDefault="00D263A0" w:rsidP="00D263A0">
      <w:pPr>
        <w:pStyle w:val="enumlev1"/>
      </w:pPr>
      <w:bookmarkStart w:id="27" w:name="lt_pId368"/>
      <w:r w:rsidRPr="00B2067F">
        <w:t>•</w:t>
      </w:r>
      <w:r w:rsidRPr="00B2067F">
        <w:tab/>
        <w:t>Habida cuenta de que ciertos cambios adoptados por la CMR-19 entraron en vigor con efecto inmediato,</w:t>
      </w:r>
      <w:r w:rsidR="00931559" w:rsidRPr="00B2067F">
        <w:t xml:space="preserve"> </w:t>
      </w:r>
      <w:r w:rsidRPr="00B2067F">
        <w:t xml:space="preserve">se </w:t>
      </w:r>
      <w:r w:rsidR="00931559" w:rsidRPr="00B2067F">
        <w:t xml:space="preserve">publicó </w:t>
      </w:r>
      <w:r w:rsidRPr="00B2067F">
        <w:t xml:space="preserve">una versión intermedia del </w:t>
      </w:r>
      <w:r w:rsidRPr="00B2067F">
        <w:rPr>
          <w:i/>
        </w:rPr>
        <w:t>software</w:t>
      </w:r>
      <w:r w:rsidRPr="00B2067F">
        <w:t xml:space="preserve"> relacionado con los servicios espaciales (versión 9)</w:t>
      </w:r>
      <w:r w:rsidR="00931559" w:rsidRPr="00B2067F">
        <w:t xml:space="preserve"> </w:t>
      </w:r>
      <w:r w:rsidR="00931559" w:rsidRPr="00B2067F">
        <w:rPr>
          <w:color w:val="000000"/>
        </w:rPr>
        <w:t>en la BR IFIC 2926 (4 de agosto de 2020)</w:t>
      </w:r>
      <w:r w:rsidRPr="00B2067F">
        <w:t>. Todos los cambios dimanantes de la</w:t>
      </w:r>
      <w:r w:rsidR="004E5992" w:rsidRPr="00B2067F">
        <w:t xml:space="preserve"> </w:t>
      </w:r>
      <w:r w:rsidRPr="00B2067F">
        <w:t xml:space="preserve">CMR-19 se incluirán en la versión 9.1 del </w:t>
      </w:r>
      <w:r w:rsidRPr="00B2067F">
        <w:rPr>
          <w:i/>
        </w:rPr>
        <w:t>software</w:t>
      </w:r>
      <w:r w:rsidRPr="00B2067F">
        <w:t xml:space="preserve"> </w:t>
      </w:r>
      <w:r w:rsidR="00931559" w:rsidRPr="00B2067F">
        <w:t xml:space="preserve">espacial </w:t>
      </w:r>
      <w:r w:rsidR="00B55380" w:rsidRPr="00B2067F">
        <w:t>de la </w:t>
      </w:r>
      <w:r w:rsidRPr="00B2067F">
        <w:t xml:space="preserve">BR, que estará disponible </w:t>
      </w:r>
      <w:r w:rsidR="00931559" w:rsidRPr="00B2067F">
        <w:t xml:space="preserve">durante el primer trimestre </w:t>
      </w:r>
      <w:r w:rsidRPr="00B2067F">
        <w:t>de 2021</w:t>
      </w:r>
      <w:bookmarkStart w:id="28" w:name="lt_pId369"/>
      <w:bookmarkEnd w:id="27"/>
      <w:r w:rsidRPr="00B2067F">
        <w:t>.</w:t>
      </w:r>
      <w:bookmarkEnd w:id="28"/>
    </w:p>
    <w:p w14:paraId="19802F3F" w14:textId="77777777" w:rsidR="00D263A0" w:rsidRPr="00B2067F" w:rsidRDefault="00D263A0" w:rsidP="00D263A0">
      <w:pPr>
        <w:pStyle w:val="enumlev1"/>
      </w:pPr>
      <w:bookmarkStart w:id="29" w:name="lt_pId370"/>
      <w:r w:rsidRPr="00B2067F">
        <w:t>•</w:t>
      </w:r>
      <w:r w:rsidRPr="00B2067F">
        <w:tab/>
        <w:t xml:space="preserve">Entre las modificaciones del </w:t>
      </w:r>
      <w:r w:rsidRPr="00B2067F">
        <w:rPr>
          <w:i/>
        </w:rPr>
        <w:t>software</w:t>
      </w:r>
      <w:r w:rsidRPr="00B2067F">
        <w:t xml:space="preserve"> relacionado con los servicios espaciales figuran:</w:t>
      </w:r>
      <w:bookmarkEnd w:id="29"/>
    </w:p>
    <w:p w14:paraId="65A13FAD" w14:textId="338E50C4" w:rsidR="00D263A0" w:rsidRPr="00B2067F" w:rsidRDefault="00D263A0" w:rsidP="00D263A0">
      <w:pPr>
        <w:pStyle w:val="enumlev2"/>
      </w:pPr>
      <w:bookmarkStart w:id="30" w:name="lt_pId371"/>
      <w:r w:rsidRPr="00B2067F">
        <w:t>–</w:t>
      </w:r>
      <w:r w:rsidRPr="00B2067F">
        <w:tab/>
      </w:r>
      <w:bookmarkEnd w:id="30"/>
      <w:r w:rsidR="00931559" w:rsidRPr="00B2067F">
        <w:t xml:space="preserve">cambios en </w:t>
      </w:r>
      <w:r w:rsidRPr="00B2067F">
        <w:t xml:space="preserve">SpaceCap </w:t>
      </w:r>
      <w:r w:rsidR="00931559" w:rsidRPr="00B2067F">
        <w:t xml:space="preserve">para mejorar la capacidad de uso de las pantallas de grabación </w:t>
      </w:r>
      <w:r w:rsidR="00B55380" w:rsidRPr="00B2067F">
        <w:t>no </w:t>
      </w:r>
      <w:r w:rsidR="00931559" w:rsidRPr="00B2067F">
        <w:t>OSG y para armonizarlas completamente con los c</w:t>
      </w:r>
      <w:r w:rsidR="00B55380" w:rsidRPr="00B2067F">
        <w:t>ambios de la CMR-19 al Apéndice </w:t>
      </w:r>
      <w:r w:rsidRPr="00B2067F">
        <w:t>4;</w:t>
      </w:r>
    </w:p>
    <w:p w14:paraId="273C4025" w14:textId="565F823D" w:rsidR="00D263A0" w:rsidRPr="00B2067F" w:rsidRDefault="00D263A0" w:rsidP="00D263A0">
      <w:pPr>
        <w:pStyle w:val="enumlev2"/>
      </w:pPr>
      <w:r w:rsidRPr="00B2067F">
        <w:t>–</w:t>
      </w:r>
      <w:r w:rsidRPr="00B2067F">
        <w:tab/>
      </w:r>
      <w:r w:rsidR="00931559" w:rsidRPr="00B2067F">
        <w:t xml:space="preserve">ejecución de los acuerdos de coordinación (lista de redes de satélites) para primeras notificaciones y nuevas presentaciones de notificaciones, </w:t>
      </w:r>
      <w:r w:rsidRPr="00B2067F">
        <w:t>(</w:t>
      </w:r>
      <w:r w:rsidR="00931559" w:rsidRPr="00B2067F">
        <w:t>e</w:t>
      </w:r>
      <w:r w:rsidRPr="00B2067F">
        <w:t xml:space="preserve">n SpaceCap, </w:t>
      </w:r>
      <w:r w:rsidR="00931559" w:rsidRPr="00B2067F">
        <w:t xml:space="preserve">en el sistema de presentación electrónica, en SpacePub y </w:t>
      </w:r>
      <w:r w:rsidR="007243FA" w:rsidRPr="00B2067F">
        <w:t>en</w:t>
      </w:r>
      <w:r w:rsidR="006F1BD5" w:rsidRPr="00B2067F">
        <w:t xml:space="preserve"> </w:t>
      </w:r>
      <w:r w:rsidR="00931559" w:rsidRPr="00B2067F">
        <w:t>el sistema de tramitación interna de la</w:t>
      </w:r>
      <w:r w:rsidR="00B55380" w:rsidRPr="00B2067F">
        <w:t> </w:t>
      </w:r>
      <w:r w:rsidR="00931559" w:rsidRPr="00B2067F">
        <w:t>BR</w:t>
      </w:r>
      <w:r w:rsidRPr="00B2067F">
        <w:t xml:space="preserve">); </w:t>
      </w:r>
    </w:p>
    <w:p w14:paraId="4D758DFA" w14:textId="01D2643A" w:rsidR="00D263A0" w:rsidRPr="00B2067F" w:rsidRDefault="00D263A0" w:rsidP="00D263A0">
      <w:pPr>
        <w:pStyle w:val="enumlev2"/>
      </w:pPr>
      <w:r w:rsidRPr="00B2067F">
        <w:t>–</w:t>
      </w:r>
      <w:r w:rsidRPr="00B2067F">
        <w:tab/>
      </w:r>
      <w:r w:rsidR="00931559" w:rsidRPr="00B2067F">
        <w:t xml:space="preserve">la primera fase de la ejecución de la Resolución </w:t>
      </w:r>
      <w:r w:rsidRPr="00B2067F">
        <w:t>35 (</w:t>
      </w:r>
      <w:r w:rsidR="00931559" w:rsidRPr="00B2067F">
        <w:t>CMR</w:t>
      </w:r>
      <w:r w:rsidRPr="00B2067F">
        <w:t>-19)</w:t>
      </w:r>
      <w:r w:rsidR="00931559" w:rsidRPr="00B2067F">
        <w:t xml:space="preserve">, </w:t>
      </w:r>
      <w:r w:rsidR="00654F90" w:rsidRPr="00B2067F">
        <w:t xml:space="preserve">que </w:t>
      </w:r>
      <w:r w:rsidR="00931559" w:rsidRPr="00B2067F">
        <w:t xml:space="preserve">se </w:t>
      </w:r>
      <w:r w:rsidR="00654F90" w:rsidRPr="00B2067F">
        <w:t xml:space="preserve">liberó </w:t>
      </w:r>
      <w:r w:rsidR="00931559" w:rsidRPr="00B2067F">
        <w:t xml:space="preserve">para producción en enero de </w:t>
      </w:r>
      <w:r w:rsidRPr="00B2067F">
        <w:t>2021</w:t>
      </w:r>
      <w:r w:rsidR="00931559" w:rsidRPr="00B2067F">
        <w:t xml:space="preserve"> en el marco de las actualizaciones periódicas de la aplicación web de presentación electrónica </w:t>
      </w:r>
      <w:r w:rsidRPr="00B2067F">
        <w:t>(</w:t>
      </w:r>
      <w:r w:rsidR="00931559" w:rsidRPr="00B2067F">
        <w:t xml:space="preserve">como se describe en la sección </w:t>
      </w:r>
      <w:r w:rsidRPr="00B2067F">
        <w:t>7.3.2);</w:t>
      </w:r>
    </w:p>
    <w:p w14:paraId="19817857" w14:textId="051B25E3" w:rsidR="00D263A0" w:rsidRPr="00B2067F" w:rsidRDefault="00D263A0" w:rsidP="00D263A0">
      <w:pPr>
        <w:pStyle w:val="enumlev2"/>
      </w:pPr>
      <w:r w:rsidRPr="00B2067F">
        <w:lastRenderedPageBreak/>
        <w:t>–</w:t>
      </w:r>
      <w:r w:rsidRPr="00B2067F">
        <w:tab/>
      </w:r>
      <w:r w:rsidR="00931559" w:rsidRPr="00B2067F">
        <w:rPr>
          <w:i/>
        </w:rPr>
        <w:t>software</w:t>
      </w:r>
      <w:r w:rsidR="00931559" w:rsidRPr="00B2067F">
        <w:t xml:space="preserve"> de examen de superposición de frecuencias en relación con otros servicios espaciales </w:t>
      </w:r>
      <w:r w:rsidRPr="00B2067F">
        <w:t>(FOS) (</w:t>
      </w:r>
      <w:r w:rsidR="00931559" w:rsidRPr="00B2067F">
        <w:t xml:space="preserve">como se describe en la sección </w:t>
      </w:r>
      <w:r w:rsidRPr="00B2067F">
        <w:t>7.3.3)</w:t>
      </w:r>
      <w:r w:rsidR="00391B29" w:rsidRPr="00B2067F">
        <w:t>.</w:t>
      </w:r>
    </w:p>
    <w:p w14:paraId="0CE55F50" w14:textId="67BA5266" w:rsidR="00391B29" w:rsidRPr="00B2067F" w:rsidRDefault="00391B29" w:rsidP="00391B29">
      <w:pPr>
        <w:pStyle w:val="Heading3"/>
        <w:rPr>
          <w:i/>
          <w:iCs/>
        </w:rPr>
      </w:pPr>
      <w:bookmarkStart w:id="31" w:name="_Toc446060765"/>
      <w:r w:rsidRPr="00B2067F">
        <w:t>3.2.3</w:t>
      </w:r>
      <w:r w:rsidRPr="00B2067F">
        <w:tab/>
      </w:r>
      <w:bookmarkEnd w:id="31"/>
      <w:r w:rsidRPr="00B2067F">
        <w:t>Otras medidas destinadas a aplicar las decisiones de la CMR-19</w:t>
      </w:r>
    </w:p>
    <w:p w14:paraId="0B7F3049" w14:textId="0887FAF1" w:rsidR="00A75FBA" w:rsidRPr="00B2067F" w:rsidRDefault="00A75FBA" w:rsidP="00A75FBA">
      <w:r w:rsidRPr="00B2067F">
        <w:t xml:space="preserve">Como le encargó la Conferencia, la Oficina </w:t>
      </w:r>
      <w:r w:rsidR="00D85891" w:rsidRPr="00B2067F">
        <w:t>ha recopilado</w:t>
      </w:r>
      <w:r w:rsidRPr="00B2067F">
        <w:t xml:space="preserve"> todas las decisiones de la CMR-19</w:t>
      </w:r>
      <w:r w:rsidR="00D85891" w:rsidRPr="00B2067F">
        <w:t xml:space="preserve"> que no aparecía</w:t>
      </w:r>
      <w:r w:rsidRPr="00B2067F">
        <w:t>n en las Actas Finales</w:t>
      </w:r>
      <w:r w:rsidR="00D85891" w:rsidRPr="00B2067F">
        <w:t xml:space="preserve"> pero que </w:t>
      </w:r>
      <w:r w:rsidRPr="00B2067F">
        <w:t>se reflej</w:t>
      </w:r>
      <w:r w:rsidR="00D85891" w:rsidRPr="00B2067F">
        <w:t>ab</w:t>
      </w:r>
      <w:r w:rsidRPr="00B2067F">
        <w:t xml:space="preserve">an en las Actas de las Sesiones Plenarias de la CMR-19, y las </w:t>
      </w:r>
      <w:r w:rsidR="00D85891" w:rsidRPr="00B2067F">
        <w:t>ha publicado</w:t>
      </w:r>
      <w:r w:rsidRPr="00B2067F">
        <w:t xml:space="preserve"> en la Carta Circular </w:t>
      </w:r>
      <w:r w:rsidRPr="00B2067F">
        <w:rPr>
          <w:b/>
        </w:rPr>
        <w:t>CR/456</w:t>
      </w:r>
      <w:r w:rsidRPr="00B2067F">
        <w:t xml:space="preserve"> (28/02/2020).</w:t>
      </w:r>
    </w:p>
    <w:p w14:paraId="1B16739D" w14:textId="7983E126" w:rsidR="00DB7F5A" w:rsidRPr="00B2067F" w:rsidRDefault="00D85891" w:rsidP="00DB7F5A">
      <w:bookmarkStart w:id="32" w:name="lt_pId290"/>
      <w:r w:rsidRPr="00B2067F">
        <w:t>La Oficina ha elaborado</w:t>
      </w:r>
      <w:r w:rsidR="00DB7F5A" w:rsidRPr="00B2067F">
        <w:t xml:space="preserve"> proyectos de Reglas de Procedimiento nuevas o modificadas a fin de reflejar las decisiones de la CMR-19. La RRB ha examinado esos proyectos, así como las observaciones recibidas de las administraciones, y ha aprobado las Reglas de Procedimiento correspondientes en sus reuniones 84ª y 85ª</w:t>
      </w:r>
      <w:bookmarkStart w:id="33" w:name="lt_pId291"/>
      <w:bookmarkEnd w:id="32"/>
      <w:r w:rsidR="00DB7F5A" w:rsidRPr="00B2067F">
        <w:t>.</w:t>
      </w:r>
      <w:bookmarkEnd w:id="33"/>
    </w:p>
    <w:p w14:paraId="475E2075" w14:textId="2DA13027" w:rsidR="00DB7F5A" w:rsidRPr="00B2067F" w:rsidRDefault="00DB7F5A" w:rsidP="00DB7F5A">
      <w:bookmarkStart w:id="34" w:name="lt_pId292"/>
      <w:r w:rsidRPr="00B2067F">
        <w:t>La Oficina ha efectuado cambios que reflejan las decisiones de la CMR-19 en la documentación pertinente, incluidas</w:t>
      </w:r>
      <w:r w:rsidR="002D045D" w:rsidRPr="00B2067F">
        <w:t xml:space="preserve"> las</w:t>
      </w:r>
      <w:r w:rsidRPr="00B2067F">
        <w:t xml:space="preserve"> reglas de validación y examen, </w:t>
      </w:r>
      <w:r w:rsidR="002D045D" w:rsidRPr="00B2067F">
        <w:t xml:space="preserve">las </w:t>
      </w:r>
      <w:r w:rsidRPr="00B2067F">
        <w:t>directrices para las administraciones sobre la presentación de asignaciones y de adjudicaciones de frecuencias, y el prefacio a la B</w:t>
      </w:r>
      <w:r w:rsidR="00654F90" w:rsidRPr="00B2067F">
        <w:t xml:space="preserve">R </w:t>
      </w:r>
      <w:r w:rsidRPr="00B2067F">
        <w:t>IFIC</w:t>
      </w:r>
      <w:r w:rsidR="00D85891" w:rsidRPr="00B2067F">
        <w:t xml:space="preserve"> terrenal</w:t>
      </w:r>
      <w:r w:rsidRPr="00B2067F">
        <w:t>.</w:t>
      </w:r>
      <w:bookmarkEnd w:id="34"/>
    </w:p>
    <w:p w14:paraId="7818EC64" w14:textId="4357A285" w:rsidR="00DB7F5A" w:rsidRPr="00B2067F" w:rsidRDefault="002D045D" w:rsidP="00DB7F5A">
      <w:r w:rsidRPr="00B2067F">
        <w:t xml:space="preserve">A fin de informar a las administraciones sobre las decisiones de la Conferencia y sus repercusiones, la Oficina emitió las Cartas Circulares </w:t>
      </w:r>
      <w:r w:rsidR="00DB7F5A" w:rsidRPr="00B2067F">
        <w:rPr>
          <w:b/>
          <w:bCs/>
        </w:rPr>
        <w:t>CR/455, CR/461, CR/464, CR/467</w:t>
      </w:r>
      <w:r w:rsidRPr="00B2067F">
        <w:rPr>
          <w:b/>
          <w:bCs/>
        </w:rPr>
        <w:t xml:space="preserve"> </w:t>
      </w:r>
      <w:r w:rsidRPr="00B2067F">
        <w:rPr>
          <w:bCs/>
        </w:rPr>
        <w:t>y</w:t>
      </w:r>
      <w:r w:rsidR="00DB7F5A" w:rsidRPr="00B2067F">
        <w:t xml:space="preserve"> </w:t>
      </w:r>
      <w:r w:rsidR="00DB7F5A" w:rsidRPr="00B2067F">
        <w:rPr>
          <w:b/>
        </w:rPr>
        <w:t>CR/472</w:t>
      </w:r>
      <w:r w:rsidR="00DB7F5A" w:rsidRPr="00B2067F">
        <w:t xml:space="preserve"> (09</w:t>
      </w:r>
      <w:r w:rsidRPr="00B2067F">
        <w:t>/</w:t>
      </w:r>
      <w:r w:rsidR="00DB7F5A" w:rsidRPr="00B2067F">
        <w:t>12</w:t>
      </w:r>
      <w:r w:rsidRPr="00B2067F">
        <w:t xml:space="preserve">/2020), que </w:t>
      </w:r>
      <w:r w:rsidR="005B59BB" w:rsidRPr="00B2067F">
        <w:t xml:space="preserve">refundieron </w:t>
      </w:r>
      <w:r w:rsidRPr="00B2067F">
        <w:t>las decisiones más pertinentes de la Conferencia</w:t>
      </w:r>
      <w:r w:rsidR="00DB7F5A" w:rsidRPr="00B2067F">
        <w:t>.</w:t>
      </w:r>
    </w:p>
    <w:p w14:paraId="0E60CD48" w14:textId="08B795E1" w:rsidR="00DB7F5A" w:rsidRPr="00B2067F" w:rsidRDefault="00DB7F5A" w:rsidP="00DB7F5A">
      <w:bookmarkStart w:id="35" w:name="lt_pId300"/>
      <w:r w:rsidRPr="00B2067F">
        <w:t xml:space="preserve">La Oficina también inició el examen de las conclusiones de asignaciones de frecuencias inscritas en el Registro </w:t>
      </w:r>
      <w:r w:rsidR="00E12A29" w:rsidRPr="00B2067F">
        <w:t xml:space="preserve">Internacional </w:t>
      </w:r>
      <w:r w:rsidRPr="00B2067F">
        <w:t>en las bandas de frecuencias para las cuales la situación de las atribuciones había cambiado a consecuencia de las decisiones de la CMR-19 ent</w:t>
      </w:r>
      <w:r w:rsidR="00B55380" w:rsidRPr="00B2067F">
        <w:t>radas en vigor el 1 de enero de </w:t>
      </w:r>
      <w:r w:rsidRPr="00B2067F">
        <w:t>2021.</w:t>
      </w:r>
      <w:bookmarkEnd w:id="35"/>
    </w:p>
    <w:p w14:paraId="5DE941F5" w14:textId="77777777" w:rsidR="00DB7F5A" w:rsidRPr="00B2067F" w:rsidRDefault="00DB7F5A" w:rsidP="00DB7F5A">
      <w:pPr>
        <w:pStyle w:val="Heading1"/>
      </w:pPr>
      <w:bookmarkStart w:id="36" w:name="_Toc446060766"/>
      <w:r w:rsidRPr="00B2067F">
        <w:t>4</w:t>
      </w:r>
      <w:r w:rsidRPr="00B2067F">
        <w:tab/>
        <w:t>Actividades de las Comisiones de Estudio</w:t>
      </w:r>
      <w:bookmarkEnd w:id="36"/>
    </w:p>
    <w:p w14:paraId="589433E9" w14:textId="77777777" w:rsidR="00DB7F5A" w:rsidRPr="00B2067F" w:rsidRDefault="00DB7F5A" w:rsidP="00DB7F5A">
      <w:r w:rsidRPr="00B2067F">
        <w:t>Este tema se aborda en el Addéndum 1 al presente documento.</w:t>
      </w:r>
    </w:p>
    <w:p w14:paraId="1A53CEDA" w14:textId="63557826" w:rsidR="00DB7F5A" w:rsidRPr="00B2067F" w:rsidRDefault="00DB7F5A" w:rsidP="00DB7F5A">
      <w:pPr>
        <w:pStyle w:val="Heading1"/>
      </w:pPr>
      <w:bookmarkStart w:id="37" w:name="_Toc446060767"/>
      <w:r w:rsidRPr="00B2067F">
        <w:t>5</w:t>
      </w:r>
      <w:r w:rsidRPr="00B2067F">
        <w:tab/>
      </w:r>
      <w:r w:rsidR="002D045D" w:rsidRPr="00B2067F">
        <w:t>Orden del día, fechas y lugares de celebración de la CMR-23</w:t>
      </w:r>
      <w:r w:rsidRPr="00B2067F">
        <w:t xml:space="preserve">, </w:t>
      </w:r>
      <w:r w:rsidR="002D045D" w:rsidRPr="00B2067F">
        <w:t>y preparativos asociados</w:t>
      </w:r>
      <w:bookmarkEnd w:id="37"/>
    </w:p>
    <w:p w14:paraId="0346A808" w14:textId="068DF534" w:rsidR="00A85D86" w:rsidRPr="00B2067F" w:rsidRDefault="00A85D86" w:rsidP="00A85D86">
      <w:r w:rsidRPr="00B2067F">
        <w:rPr>
          <w:bCs/>
        </w:rPr>
        <w:t xml:space="preserve">El orden del día de la CMR-23, consignado en la Resolución </w:t>
      </w:r>
      <w:r w:rsidRPr="00B2067F">
        <w:rPr>
          <w:b/>
        </w:rPr>
        <w:t>811 (CMR-19)</w:t>
      </w:r>
      <w:r w:rsidRPr="00B2067F">
        <w:rPr>
          <w:bCs/>
        </w:rPr>
        <w:t>, se examin</w:t>
      </w:r>
      <w:r w:rsidR="00E4546A" w:rsidRPr="00B2067F">
        <w:rPr>
          <w:bCs/>
        </w:rPr>
        <w:t>ó en la </w:t>
      </w:r>
      <w:r w:rsidR="00130BCA" w:rsidRPr="00B2067F">
        <w:rPr>
          <w:bCs/>
        </w:rPr>
        <w:t>CVC virtual de 2020 del Consejo, al que se invitó</w:t>
      </w:r>
      <w:r w:rsidRPr="00B2067F">
        <w:rPr>
          <w:bCs/>
        </w:rPr>
        <w:t xml:space="preserve"> a adoptar una Resolución </w:t>
      </w:r>
      <w:r w:rsidR="00130BCA" w:rsidRPr="00B2067F">
        <w:rPr>
          <w:bCs/>
        </w:rPr>
        <w:t>nueva que contuviera</w:t>
      </w:r>
      <w:r w:rsidRPr="00B2067F">
        <w:rPr>
          <w:bCs/>
        </w:rPr>
        <w:t xml:space="preserve"> dicho orden del día</w:t>
      </w:r>
      <w:r w:rsidRPr="00B2067F">
        <w:t xml:space="preserve">. </w:t>
      </w:r>
      <w:r w:rsidR="00130BCA" w:rsidRPr="00B2067F">
        <w:t>La primera CVC</w:t>
      </w:r>
      <w:r w:rsidRPr="00B2067F">
        <w:t xml:space="preserve">, </w:t>
      </w:r>
      <w:r w:rsidR="00130BCA" w:rsidRPr="00B2067F">
        <w:t xml:space="preserve">que se celebró del </w:t>
      </w:r>
      <w:r w:rsidRPr="00B2067F">
        <w:t>9</w:t>
      </w:r>
      <w:r w:rsidR="00130BCA" w:rsidRPr="00B2067F">
        <w:t xml:space="preserve"> al </w:t>
      </w:r>
      <w:r w:rsidRPr="00B2067F">
        <w:t xml:space="preserve">12 </w:t>
      </w:r>
      <w:r w:rsidR="00130BCA" w:rsidRPr="00B2067F">
        <w:t xml:space="preserve">de junio de </w:t>
      </w:r>
      <w:r w:rsidRPr="00B2067F">
        <w:t xml:space="preserve">2020, </w:t>
      </w:r>
      <w:r w:rsidR="00130BCA" w:rsidRPr="00B2067F">
        <w:t xml:space="preserve">aprobó la Resolución </w:t>
      </w:r>
      <w:r w:rsidRPr="00B2067F">
        <w:t xml:space="preserve">1399 </w:t>
      </w:r>
      <w:r w:rsidR="00130BCA" w:rsidRPr="00B2067F">
        <w:t>del Consejo que incluía el orden del día de la CMR</w:t>
      </w:r>
      <w:r w:rsidRPr="00B2067F">
        <w:t xml:space="preserve">-23, </w:t>
      </w:r>
      <w:r w:rsidR="00130BCA" w:rsidRPr="00B2067F">
        <w:t xml:space="preserve">que se adoptó posteriormente por correspondencia el </w:t>
      </w:r>
      <w:r w:rsidRPr="00B2067F">
        <w:t xml:space="preserve">3 </w:t>
      </w:r>
      <w:r w:rsidR="00130BCA" w:rsidRPr="00B2067F">
        <w:t xml:space="preserve">de agosto </w:t>
      </w:r>
      <w:r w:rsidRPr="00B2067F">
        <w:t>2020 (</w:t>
      </w:r>
      <w:r w:rsidR="00130BCA" w:rsidRPr="00B2067F">
        <w:t xml:space="preserve">véanse las Cartas Circulares </w:t>
      </w:r>
      <w:hyperlink r:id="rId22" w:history="1">
        <w:r w:rsidRPr="00B2067F">
          <w:rPr>
            <w:rStyle w:val="Hyperlink"/>
          </w:rPr>
          <w:t>DM-20/1011</w:t>
        </w:r>
      </w:hyperlink>
      <w:r w:rsidRPr="00B2067F">
        <w:t xml:space="preserve"> </w:t>
      </w:r>
      <w:r w:rsidR="00130BCA" w:rsidRPr="00B2067F">
        <w:t xml:space="preserve">y </w:t>
      </w:r>
      <w:hyperlink r:id="rId23" w:history="1">
        <w:r w:rsidRPr="00B2067F">
          <w:rPr>
            <w:rStyle w:val="Hyperlink"/>
          </w:rPr>
          <w:t>CL-20/33</w:t>
        </w:r>
      </w:hyperlink>
      <w:r w:rsidRPr="00B2067F">
        <w:t>).</w:t>
      </w:r>
    </w:p>
    <w:p w14:paraId="0A58C7D6" w14:textId="60274735" w:rsidR="00A75FBA" w:rsidRPr="00B2067F" w:rsidRDefault="00130BCA" w:rsidP="0028612A">
      <w:r w:rsidRPr="00B2067F">
        <w:t xml:space="preserve">También se comunicó a la CVC que, el 31 de diciembre de 2019, la UIT había recibido </w:t>
      </w:r>
      <w:r w:rsidR="00A85D86" w:rsidRPr="00B2067F">
        <w:t>una expresión de interés por parte de la Administración de los Emirat</w:t>
      </w:r>
      <w:r w:rsidR="00E4546A" w:rsidRPr="00B2067F">
        <w:t>os Árabes Unidos para acoger la </w:t>
      </w:r>
      <w:r w:rsidR="00A85D86" w:rsidRPr="00B2067F">
        <w:t>CMR-23 en los EAU (véase el </w:t>
      </w:r>
      <w:hyperlink r:id="rId24" w:tgtFrame="_blank" w:history="1">
        <w:r w:rsidR="00A85D86" w:rsidRPr="00B2067F">
          <w:rPr>
            <w:rStyle w:val="Hyperlink"/>
          </w:rPr>
          <w:t>Documento CL20/55</w:t>
        </w:r>
      </w:hyperlink>
      <w:r w:rsidR="00A85D86" w:rsidRPr="00B2067F">
        <w:t>). En vista de</w:t>
      </w:r>
      <w:r w:rsidR="00E4546A" w:rsidRPr="00B2067F">
        <w:t xml:space="preserve"> la expresión de interés de los </w:t>
      </w:r>
      <w:r w:rsidR="00A85D86" w:rsidRPr="00B2067F">
        <w:t xml:space="preserve">EAU por acoger la CMR-23, la BR </w:t>
      </w:r>
      <w:r w:rsidRPr="00B2067F">
        <w:t xml:space="preserve">ha mantenido conversaciones con </w:t>
      </w:r>
      <w:r w:rsidR="00E4546A" w:rsidRPr="00B2067F">
        <w:t>la Administración de los </w:t>
      </w:r>
      <w:r w:rsidR="00A85D86" w:rsidRPr="00B2067F">
        <w:t xml:space="preserve">EAU </w:t>
      </w:r>
      <w:r w:rsidRPr="00B2067F">
        <w:t xml:space="preserve">en relación con </w:t>
      </w:r>
      <w:r w:rsidR="00A85D86" w:rsidRPr="00B2067F">
        <w:t xml:space="preserve">los requisitos de la UIT para acoger la AR-23 y la CMR-23. </w:t>
      </w:r>
      <w:r w:rsidRPr="00B2067F">
        <w:t xml:space="preserve">Se solicitará al Consejo que apruebe una modificación de la Resolución </w:t>
      </w:r>
      <w:r w:rsidR="00E4546A" w:rsidRPr="00B2067F">
        <w:t xml:space="preserve">1399 </w:t>
      </w:r>
      <w:r w:rsidRPr="00B2067F">
        <w:t>para que incluya la fecha y ubicación exactas de la CMR</w:t>
      </w:r>
      <w:r w:rsidR="00A85D86" w:rsidRPr="00B2067F">
        <w:noBreakHyphen/>
        <w:t>23. Con arreglo a las disposiciones pertinentes de los n</w:t>
      </w:r>
      <w:r w:rsidRPr="00B2067F">
        <w:t xml:space="preserve">úmeros 47 y 118 del Convenio, la </w:t>
      </w:r>
      <w:r w:rsidR="00A85D86" w:rsidRPr="00B2067F">
        <w:t xml:space="preserve">resolución </w:t>
      </w:r>
      <w:r w:rsidRPr="00B2067F">
        <w:t xml:space="preserve">modificada </w:t>
      </w:r>
      <w:r w:rsidR="00A85D86" w:rsidRPr="00B2067F">
        <w:t>del Consejo sobre esta cuestión se somete</w:t>
      </w:r>
      <w:r w:rsidRPr="00B2067F">
        <w:t>rá</w:t>
      </w:r>
      <w:r w:rsidR="00A85D86" w:rsidRPr="00B2067F">
        <w:t xml:space="preserve"> al acuerdo de la mayoría de los Estados Miembros de la UIT.</w:t>
      </w:r>
    </w:p>
    <w:p w14:paraId="7D9E6249" w14:textId="5E5CA37A" w:rsidR="00BF44DC" w:rsidRPr="00B2067F" w:rsidRDefault="00A85D86" w:rsidP="0028612A">
      <w:r w:rsidRPr="00B2067F">
        <w:t xml:space="preserve">Tras la adopción de la Resolución 1399 del Consejo, la Comisión de Dirección de la RPC-23 se reunió </w:t>
      </w:r>
      <w:r w:rsidR="001320E1" w:rsidRPr="00B2067F">
        <w:t xml:space="preserve">virtualmente </w:t>
      </w:r>
      <w:r w:rsidRPr="00B2067F">
        <w:t>(</w:t>
      </w:r>
      <w:r w:rsidR="001320E1" w:rsidRPr="00B2067F">
        <w:t>reunión electrónica</w:t>
      </w:r>
      <w:r w:rsidRPr="00B2067F">
        <w:t xml:space="preserve">) el 3 de septiembre de 2020 para examinar la preparación del proyecto de Informe de la RPC a la CMR-23. </w:t>
      </w:r>
      <w:r w:rsidR="00627BC3" w:rsidRPr="00B2067F">
        <w:t xml:space="preserve">También se invitó a los demás miembros del Equipo de </w:t>
      </w:r>
      <w:r w:rsidR="005B59BB" w:rsidRPr="00B2067F">
        <w:t>Gestión</w:t>
      </w:r>
      <w:r w:rsidR="00627BC3" w:rsidRPr="00B2067F">
        <w:t xml:space="preserve"> de la RPC-23 </w:t>
      </w:r>
      <w:r w:rsidRPr="00B2067F">
        <w:t>(</w:t>
      </w:r>
      <w:r w:rsidR="00627BC3" w:rsidRPr="00B2067F">
        <w:t xml:space="preserve">a saber, los Presidentes de las Comisiones de Estudio </w:t>
      </w:r>
      <w:r w:rsidR="004C1439" w:rsidRPr="00B2067F">
        <w:t xml:space="preserve">y los grupos </w:t>
      </w:r>
      <w:r w:rsidR="004C1439" w:rsidRPr="00B2067F">
        <w:lastRenderedPageBreak/>
        <w:t xml:space="preserve">responsables </w:t>
      </w:r>
      <w:r w:rsidR="00627BC3" w:rsidRPr="00B2067F">
        <w:t>del UIT-R</w:t>
      </w:r>
      <w:r w:rsidR="004C1439" w:rsidRPr="00B2067F">
        <w:t>)</w:t>
      </w:r>
      <w:r w:rsidR="00627BC3" w:rsidRPr="00B2067F">
        <w:t xml:space="preserve"> a </w:t>
      </w:r>
      <w:r w:rsidR="004C1439" w:rsidRPr="00B2067F">
        <w:t>asistir a la reunión electrónica</w:t>
      </w:r>
      <w:r w:rsidR="00627BC3" w:rsidRPr="00B2067F">
        <w:t>. Dada la posibilidad de celebrar la AR-23 y la CMR</w:t>
      </w:r>
      <w:r w:rsidR="00E4546A" w:rsidRPr="00B2067F">
        <w:t>-</w:t>
      </w:r>
      <w:r w:rsidRPr="00B2067F">
        <w:t xml:space="preserve">23 </w:t>
      </w:r>
      <w:r w:rsidR="00627BC3" w:rsidRPr="00B2067F">
        <w:t>durante el último trimestre de 2023, los plazos límite</w:t>
      </w:r>
      <w:r w:rsidR="00E4546A" w:rsidRPr="00B2067F">
        <w:t xml:space="preserve"> definidos en la Resolución UIT </w:t>
      </w:r>
      <w:r w:rsidRPr="00B2067F">
        <w:t>R 2-8</w:t>
      </w:r>
      <w:r w:rsidR="00627BC3" w:rsidRPr="00B2067F">
        <w:t xml:space="preserve"> y la disponibilidad del </w:t>
      </w:r>
      <w:r w:rsidRPr="00B2067F">
        <w:t xml:space="preserve">CICG, </w:t>
      </w:r>
      <w:r w:rsidR="00627BC3" w:rsidRPr="00B2067F">
        <w:t xml:space="preserve">se acordó planificar </w:t>
      </w:r>
      <w:r w:rsidR="00627BC3" w:rsidRPr="00B2067F">
        <w:rPr>
          <w:color w:val="000000"/>
        </w:rPr>
        <w:t xml:space="preserve">la segunda sesión de la RPC-23 </w:t>
      </w:r>
      <w:r w:rsidRPr="00B2067F">
        <w:t>(</w:t>
      </w:r>
      <w:r w:rsidR="00627BC3" w:rsidRPr="00B2067F">
        <w:t>RPC</w:t>
      </w:r>
      <w:r w:rsidRPr="00B2067F">
        <w:t xml:space="preserve">23-2) </w:t>
      </w:r>
      <w:r w:rsidR="00627BC3" w:rsidRPr="00B2067F">
        <w:t xml:space="preserve">para el segundo trimestre de </w:t>
      </w:r>
      <w:r w:rsidRPr="00B2067F">
        <w:t>2023</w:t>
      </w:r>
      <w:r w:rsidRPr="00B2067F">
        <w:rPr>
          <w:rStyle w:val="FootnoteReference"/>
        </w:rPr>
        <w:footnoteReference w:customMarkFollows="1" w:id="1"/>
        <w:t>*</w:t>
      </w:r>
      <w:r w:rsidR="00175DDD" w:rsidRPr="00B2067F">
        <w:t xml:space="preserve">. </w:t>
      </w:r>
      <w:r w:rsidRPr="00B2067F">
        <w:t>También se decidió que los</w:t>
      </w:r>
      <w:r w:rsidR="005B59BB" w:rsidRPr="00B2067F">
        <w:t xml:space="preserve"> proyectos de</w:t>
      </w:r>
      <w:r w:rsidRPr="00B2067F">
        <w:t xml:space="preserve"> textos finales de la RPC, elaborados por los grupos responsables, debe</w:t>
      </w:r>
      <w:r w:rsidR="00362AF8" w:rsidRPr="00B2067F">
        <w:t>rá</w:t>
      </w:r>
      <w:r w:rsidRPr="00B2067F">
        <w:t xml:space="preserve">n </w:t>
      </w:r>
      <w:r w:rsidR="00362AF8" w:rsidRPr="00B2067F">
        <w:t xml:space="preserve">enviarse a </w:t>
      </w:r>
      <w:r w:rsidRPr="00B2067F">
        <w:t>los respectivos Relatores de Capítulo de la RPC-23, con copia a</w:t>
      </w:r>
      <w:r w:rsidR="00C337AE" w:rsidRPr="00B2067F">
        <w:t xml:space="preserve">l Presidente de la RCP-33 y </w:t>
      </w:r>
      <w:r w:rsidRPr="00B2067F">
        <w:t xml:space="preserve">la Oficina, </w:t>
      </w:r>
      <w:r w:rsidR="00C337AE" w:rsidRPr="00B2067F">
        <w:t xml:space="preserve">no más tarde </w:t>
      </w:r>
      <w:r w:rsidRPr="00B2067F">
        <w:t>del 21 de agosto de 2022</w:t>
      </w:r>
      <w:r w:rsidRPr="00B2067F">
        <w:rPr>
          <w:rStyle w:val="FootnoteReference"/>
        </w:rPr>
        <w:footnoteReference w:customMarkFollows="1" w:id="2"/>
        <w:t>**</w:t>
      </w:r>
      <w:r w:rsidR="00362AF8" w:rsidRPr="00B2067F">
        <w:t>, teniendo en cuenta las fechas previstas para las reuniones de los grupos responsables</w:t>
      </w:r>
      <w:r w:rsidR="00175DDD" w:rsidRPr="00B2067F">
        <w:t>.</w:t>
      </w:r>
      <w:r w:rsidR="005B59BB" w:rsidRPr="00B2067F">
        <w:t xml:space="preserve"> Está previsto celebrar l</w:t>
      </w:r>
      <w:r w:rsidRPr="00B2067F">
        <w:t>a reunión del Equipo de Gestión de la RPC-</w:t>
      </w:r>
      <w:r w:rsidR="00175DDD" w:rsidRPr="00B2067F">
        <w:t>23</w:t>
      </w:r>
      <w:r w:rsidRPr="00B2067F">
        <w:t xml:space="preserve"> los días </w:t>
      </w:r>
      <w:r w:rsidR="00175DDD" w:rsidRPr="00B2067F">
        <w:t>2</w:t>
      </w:r>
      <w:r w:rsidRPr="00B2067F">
        <w:t xml:space="preserve"> y </w:t>
      </w:r>
      <w:r w:rsidR="00175DDD" w:rsidRPr="00B2067F">
        <w:t>3</w:t>
      </w:r>
      <w:r w:rsidRPr="00B2067F">
        <w:t xml:space="preserve"> de </w:t>
      </w:r>
      <w:r w:rsidR="00175DDD" w:rsidRPr="00B2067F">
        <w:t>novi</w:t>
      </w:r>
      <w:r w:rsidRPr="00B2067F">
        <w:t>embre de 20</w:t>
      </w:r>
      <w:r w:rsidR="00175DDD" w:rsidRPr="00B2067F">
        <w:t>22</w:t>
      </w:r>
      <w:r w:rsidR="00175DDD" w:rsidRPr="00B2067F">
        <w:rPr>
          <w:rStyle w:val="FootnoteReference"/>
        </w:rPr>
        <w:t>**</w:t>
      </w:r>
      <w:r w:rsidRPr="00B2067F">
        <w:t xml:space="preserve"> para refundir los proyectos de textos de la RPC, elaborados por los grupos responsables, en el proyecto de Informe de la RPC. </w:t>
      </w:r>
      <w:r w:rsidR="00C337AE" w:rsidRPr="00B2067F">
        <w:t xml:space="preserve">El 17 de septiembre 2020 se publicó toda esta información, junto con </w:t>
      </w:r>
      <w:r w:rsidRPr="00B2067F">
        <w:t>referencias y directrices útiles para la preparación de</w:t>
      </w:r>
      <w:r w:rsidR="00C337AE" w:rsidRPr="00B2067F">
        <w:t xml:space="preserve">l proyecto de Informe de la RPC, </w:t>
      </w:r>
      <w:r w:rsidRPr="00B2067F">
        <w:t xml:space="preserve">en el Addéndum 1 a la </w:t>
      </w:r>
      <w:bookmarkStart w:id="38" w:name="lt_pId311"/>
      <w:r w:rsidRPr="00B2067F">
        <w:fldChar w:fldCharType="begin"/>
      </w:r>
      <w:r w:rsidR="00175DDD" w:rsidRPr="00B2067F">
        <w:instrText>HYPERLINK "https://www.itu.int/md/R00-CA-CIR-0251/es"</w:instrText>
      </w:r>
      <w:r w:rsidRPr="00B2067F">
        <w:fldChar w:fldCharType="separate"/>
      </w:r>
      <w:r w:rsidR="00175DDD" w:rsidRPr="00B2067F">
        <w:rPr>
          <w:rStyle w:val="Hyperlink"/>
        </w:rPr>
        <w:t>Circular Administrativa CA/251</w:t>
      </w:r>
      <w:r w:rsidRPr="00B2067F">
        <w:fldChar w:fldCharType="end"/>
      </w:r>
      <w:r w:rsidRPr="00B2067F">
        <w:t>.</w:t>
      </w:r>
      <w:bookmarkEnd w:id="38"/>
    </w:p>
    <w:p w14:paraId="03D32BE3" w14:textId="4F6DA430" w:rsidR="00494752" w:rsidRPr="00B2067F" w:rsidRDefault="00175DDD" w:rsidP="00BF44DC">
      <w:r w:rsidRPr="00B2067F">
        <w:t xml:space="preserve">Sobre la base de la información recibida de las Comisiones de Estudio, la reunión </w:t>
      </w:r>
      <w:r w:rsidR="00C03DF2" w:rsidRPr="00B2067F">
        <w:t xml:space="preserve">electrónica </w:t>
      </w:r>
      <w:r w:rsidR="00FF4BED" w:rsidRPr="00B2067F">
        <w:t xml:space="preserve">de la Comisión de Dirección de </w:t>
      </w:r>
      <w:r w:rsidRPr="00B2067F">
        <w:t>la RPC-23 actualizó</w:t>
      </w:r>
      <w:r w:rsidR="00FF4BED" w:rsidRPr="00B2067F">
        <w:t xml:space="preserve"> la lista de los Grupos de Trabajo del UIT-R contribuyentes</w:t>
      </w:r>
      <w:r w:rsidRPr="00B2067F">
        <w:t xml:space="preserve"> en la atribución de los trabajos preparatorios del UIT-R para la CMR-23. Al cabo de la serie de reuniones </w:t>
      </w:r>
      <w:r w:rsidR="00C03DF2" w:rsidRPr="00B2067F">
        <w:t xml:space="preserve">electrónicas </w:t>
      </w:r>
      <w:r w:rsidRPr="00B2067F">
        <w:t>del UIT-R mantenidas entre septiembre y noviembre de 2020, se efectuó una actualización adicional, en consulta con los miemb</w:t>
      </w:r>
      <w:r w:rsidR="00E4546A" w:rsidRPr="00B2067F">
        <w:t>ros del Equipo de Gestión de la </w:t>
      </w:r>
      <w:r w:rsidRPr="00B2067F">
        <w:t>RPC-23</w:t>
      </w:r>
      <w:r w:rsidR="00C03DF2" w:rsidRPr="00B2067F">
        <w:t xml:space="preserve">. También se acordó que la fecha límite para que los grupos contribuyentes enviaran las características y los parámetros de servicio/aplicación a los grupos responsables quedara pospuesta al 23 de julio de 2021 </w:t>
      </w:r>
      <w:r w:rsidRPr="00B2067F">
        <w:t>(</w:t>
      </w:r>
      <w:r w:rsidR="00C03DF2" w:rsidRPr="00B2067F">
        <w:t xml:space="preserve">véase la Circular Administrativa </w:t>
      </w:r>
      <w:hyperlink r:id="rId25" w:history="1">
        <w:r w:rsidRPr="00B2067F">
          <w:rPr>
            <w:rStyle w:val="Hyperlink"/>
          </w:rPr>
          <w:t>CA/251</w:t>
        </w:r>
      </w:hyperlink>
      <w:r w:rsidR="00C03DF2" w:rsidRPr="00B2067F">
        <w:t>, An</w:t>
      </w:r>
      <w:r w:rsidRPr="00B2067F">
        <w:t>ex</w:t>
      </w:r>
      <w:r w:rsidR="00C03DF2" w:rsidRPr="00B2067F">
        <w:t>o</w:t>
      </w:r>
      <w:r w:rsidRPr="00B2067F">
        <w:t xml:space="preserve"> 4), </w:t>
      </w:r>
      <w:r w:rsidR="00C03DF2" w:rsidRPr="00B2067F">
        <w:t>para poder trasladar la serie de reuniones de la CE </w:t>
      </w:r>
      <w:r w:rsidRPr="00B2067F">
        <w:t xml:space="preserve">4 </w:t>
      </w:r>
      <w:r w:rsidR="00C03DF2" w:rsidRPr="00B2067F">
        <w:t xml:space="preserve">de mayo/junio de 2021 a julio de </w:t>
      </w:r>
      <w:r w:rsidRPr="00B2067F">
        <w:t>2021</w:t>
      </w:r>
      <w:r w:rsidR="00C03DF2" w:rsidRPr="00B2067F">
        <w:t xml:space="preserve"> y, así, impedir que coincidieran algunas reuniones previstas</w:t>
      </w:r>
      <w:r w:rsidRPr="00B2067F">
        <w:t>. Esta nueva actualización fue publicada el 11 de febrero de</w:t>
      </w:r>
      <w:r w:rsidR="00E4546A" w:rsidRPr="00B2067F">
        <w:t> </w:t>
      </w:r>
      <w:r w:rsidRPr="00B2067F">
        <w:t>2021 en el Corrigéndum 1 del Addéndum 1 a la Circular Administrativa CA/2</w:t>
      </w:r>
      <w:bookmarkStart w:id="39" w:name="lt_pId314"/>
      <w:r w:rsidRPr="00B2067F">
        <w:t>51.</w:t>
      </w:r>
      <w:bookmarkEnd w:id="39"/>
    </w:p>
    <w:p w14:paraId="5D8C0CF3" w14:textId="469166FE" w:rsidR="00175DDD" w:rsidRPr="00B2067F" w:rsidRDefault="00175DDD" w:rsidP="00175DDD">
      <w:bookmarkStart w:id="40" w:name="lt_pId315"/>
      <w:r w:rsidRPr="00B2067F">
        <w:t>Teniendo en cuenta la Resolución 80 (Rev. Marrakech, 2002)</w:t>
      </w:r>
      <w:r w:rsidR="00204C5B" w:rsidRPr="00B2067F">
        <w:rPr>
          <w:szCs w:val="24"/>
        </w:rPr>
        <w:t xml:space="preserve"> </w:t>
      </w:r>
      <w:r w:rsidR="00A008C3" w:rsidRPr="00B2067F">
        <w:rPr>
          <w:szCs w:val="24"/>
        </w:rPr>
        <w:t xml:space="preserve">de la PP </w:t>
      </w:r>
      <w:r w:rsidR="00204C5B" w:rsidRPr="00B2067F">
        <w:rPr>
          <w:szCs w:val="24"/>
        </w:rPr>
        <w:t xml:space="preserve">y </w:t>
      </w:r>
      <w:r w:rsidR="00204C5B" w:rsidRPr="00B2067F">
        <w:t xml:space="preserve">la Resolución </w:t>
      </w:r>
      <w:r w:rsidR="00204C5B" w:rsidRPr="00B2067F">
        <w:rPr>
          <w:b/>
          <w:bCs/>
        </w:rPr>
        <w:t>72 (Rev.CMR-19)</w:t>
      </w:r>
      <w:r w:rsidRPr="00B2067F">
        <w:t>, los preparativos de la CMR-</w:t>
      </w:r>
      <w:r w:rsidR="00204C5B" w:rsidRPr="00B2067F">
        <w:t>23</w:t>
      </w:r>
      <w:r w:rsidRPr="00B2067F">
        <w:t xml:space="preserve"> </w:t>
      </w:r>
      <w:r w:rsidR="00A008C3" w:rsidRPr="00B2067F">
        <w:t xml:space="preserve">también han continuado en el ámbito regional, en la medida de lo posible </w:t>
      </w:r>
      <w:r w:rsidRPr="00B2067F">
        <w:t xml:space="preserve">con la participación activa de la BR en las reuniones </w:t>
      </w:r>
      <w:r w:rsidR="00A008C3" w:rsidRPr="00B2067F">
        <w:t xml:space="preserve">electrónicas de </w:t>
      </w:r>
      <w:r w:rsidRPr="00B2067F">
        <w:t>los grupos regionales, incluidos APT, ASMG, ATU, CEPT, CITEL y RCC.</w:t>
      </w:r>
      <w:bookmarkEnd w:id="40"/>
      <w:r w:rsidRPr="00B2067F">
        <w:t xml:space="preserve"> </w:t>
      </w:r>
    </w:p>
    <w:p w14:paraId="60D9A669" w14:textId="73ED4E68" w:rsidR="00175DDD" w:rsidRPr="00B2067F" w:rsidRDefault="00175DDD" w:rsidP="00175DDD">
      <w:bookmarkStart w:id="41" w:name="lt_pId317"/>
      <w:r w:rsidRPr="00B2067F">
        <w:t xml:space="preserve">La Oficina </w:t>
      </w:r>
      <w:r w:rsidR="009547C8" w:rsidRPr="00B2067F">
        <w:t xml:space="preserve">prevé </w:t>
      </w:r>
      <w:r w:rsidRPr="00B2067F">
        <w:t>organizar tres talleres interregionales de la UIT</w:t>
      </w:r>
      <w:r w:rsidR="00E4546A" w:rsidRPr="00B2067F">
        <w:t xml:space="preserve"> sobre la preparación de la CMR</w:t>
      </w:r>
      <w:r w:rsidR="00E4546A" w:rsidRPr="00B2067F">
        <w:noBreakHyphen/>
      </w:r>
      <w:r w:rsidR="00204C5B" w:rsidRPr="00B2067F">
        <w:t>23</w:t>
      </w:r>
      <w:r w:rsidRPr="00B2067F">
        <w:t xml:space="preserve">. En el primero, que tendrá lugar en Ginebra </w:t>
      </w:r>
      <w:r w:rsidR="009547C8" w:rsidRPr="00B2067F">
        <w:t>del</w:t>
      </w:r>
      <w:r w:rsidR="00E53F93" w:rsidRPr="00B2067F">
        <w:t xml:space="preserve"> 30 </w:t>
      </w:r>
      <w:r w:rsidR="009547C8" w:rsidRPr="00B2067F">
        <w:t xml:space="preserve">de noviembre al </w:t>
      </w:r>
      <w:r w:rsidR="00E53F93" w:rsidRPr="00B2067F">
        <w:t xml:space="preserve">1 </w:t>
      </w:r>
      <w:r w:rsidR="00E4546A" w:rsidRPr="00B2067F">
        <w:t>de diciembre de </w:t>
      </w:r>
      <w:r w:rsidR="00E53F93" w:rsidRPr="00B2067F">
        <w:t>2021</w:t>
      </w:r>
      <w:r w:rsidR="00E53F93" w:rsidRPr="00B2067F">
        <w:rPr>
          <w:rStyle w:val="FootnoteReference"/>
        </w:rPr>
        <w:footnoteReference w:customMarkFollows="1" w:id="3"/>
        <w:t>***</w:t>
      </w:r>
      <w:r w:rsidRPr="00B2067F">
        <w:t xml:space="preserve">, se examinarán los progresos realizados en el ecuador del </w:t>
      </w:r>
      <w:r w:rsidR="009547C8" w:rsidRPr="00B2067F">
        <w:t xml:space="preserve">ciclo </w:t>
      </w:r>
      <w:r w:rsidRPr="00B2067F">
        <w:t>preparatorio sobre los estudios del UIT-R acerca de los puntos del orden del día de la CMR-</w:t>
      </w:r>
      <w:r w:rsidR="00E53F93" w:rsidRPr="00B2067F">
        <w:t>23</w:t>
      </w:r>
      <w:r w:rsidRPr="00B2067F">
        <w:t xml:space="preserve"> y habrá oportunidades de intercambiar informaciones y comprender mejor los anteproyectos de propuestas comunes, </w:t>
      </w:r>
      <w:r w:rsidR="009547C8" w:rsidRPr="00B2067F">
        <w:t>las posiciones o</w:t>
      </w:r>
      <w:r w:rsidRPr="00B2067F">
        <w:t xml:space="preserve"> </w:t>
      </w:r>
      <w:r w:rsidR="009547C8" w:rsidRPr="00B2067F">
        <w:t xml:space="preserve">las </w:t>
      </w:r>
      <w:r w:rsidRPr="00B2067F">
        <w:t>opiniones de las entidades interesadas, como por ejemplo los principales grupos regionales y organizaciones internacionales, sobre las cuestiones que se abordarán en la CMR-</w:t>
      </w:r>
      <w:r w:rsidR="00E53F93" w:rsidRPr="00B2067F">
        <w:t>23</w:t>
      </w:r>
      <w:r w:rsidRPr="00B2067F">
        <w:t>.</w:t>
      </w:r>
      <w:bookmarkEnd w:id="41"/>
    </w:p>
    <w:p w14:paraId="14BEF8B3" w14:textId="40BA4A25" w:rsidR="00E53F93" w:rsidRPr="00B2067F" w:rsidRDefault="00E53F93" w:rsidP="00E53F93">
      <w:bookmarkStart w:id="42" w:name="lt_pId318"/>
      <w:r w:rsidRPr="00B2067F">
        <w:t xml:space="preserve">La información detallada de los estudios preparatorios del UIT-R sobre los puntos del orden del día y </w:t>
      </w:r>
      <w:r w:rsidR="00FF4BED" w:rsidRPr="00B2067F">
        <w:t xml:space="preserve">las </w:t>
      </w:r>
      <w:r w:rsidRPr="00B2067F">
        <w:t xml:space="preserve">cuestiones de la CMR-23 </w:t>
      </w:r>
      <w:r w:rsidR="009547C8" w:rsidRPr="00B2067F">
        <w:t xml:space="preserve">está disponible </w:t>
      </w:r>
      <w:r w:rsidRPr="00B2067F">
        <w:t>en la página web de la UIT</w:t>
      </w:r>
      <w:r w:rsidR="009547C8" w:rsidRPr="00B2067F">
        <w:t xml:space="preserve"> (</w:t>
      </w:r>
      <w:hyperlink r:id="rId26" w:history="1">
        <w:r w:rsidRPr="00B2067F">
          <w:rPr>
            <w:rStyle w:val="Hyperlink"/>
          </w:rPr>
          <w:t>www.itu.int/go/rcpm-wrc-23-studies</w:t>
        </w:r>
      </w:hyperlink>
      <w:r w:rsidR="009547C8" w:rsidRPr="00B2067F">
        <w:t>),</w:t>
      </w:r>
      <w:r w:rsidRPr="00B2067F">
        <w:t xml:space="preserve"> que </w:t>
      </w:r>
      <w:r w:rsidR="009547C8" w:rsidRPr="00B2067F">
        <w:t>se actualiza</w:t>
      </w:r>
      <w:r w:rsidRPr="00B2067F">
        <w:t xml:space="preserve"> periódicamente y contiene también un enlace a los </w:t>
      </w:r>
      <w:hyperlink r:id="rId27" w:tgtFrame="_blank" w:history="1">
        <w:r w:rsidRPr="00B2067F">
          <w:rPr>
            <w:rStyle w:val="Hyperlink"/>
          </w:rPr>
          <w:t>estudios sobre los puntos del orden del día preliminar de la CMR-27</w:t>
        </w:r>
        <w:r w:rsidRPr="00B2067F">
          <w:rPr>
            <w:rStyle w:val="Hyperlink"/>
            <w:cs/>
          </w:rPr>
          <w:t>‎</w:t>
        </w:r>
      </w:hyperlink>
      <w:r w:rsidRPr="00B2067F">
        <w:t xml:space="preserve">. </w:t>
      </w:r>
      <w:r w:rsidR="009547C8" w:rsidRPr="00B2067F">
        <w:t>La página web dedicada también facilitará i</w:t>
      </w:r>
      <w:r w:rsidRPr="00B2067F">
        <w:t>nformación adicional sobre los talleres interregionales de la UIT</w:t>
      </w:r>
      <w:r w:rsidR="00E4546A" w:rsidRPr="00B2067F">
        <w:t xml:space="preserve"> acerca de la preparación de la </w:t>
      </w:r>
      <w:r w:rsidRPr="00B2067F">
        <w:t xml:space="preserve">CMR-23. </w:t>
      </w:r>
      <w:r w:rsidR="009547C8" w:rsidRPr="00B2067F">
        <w:t xml:space="preserve">Se </w:t>
      </w:r>
      <w:r w:rsidRPr="00B2067F">
        <w:t>puede encontrar información sobre la preparación d</w:t>
      </w:r>
      <w:r w:rsidR="00E4546A" w:rsidRPr="00B2067F">
        <w:t>e los grupos regionales para la </w:t>
      </w:r>
      <w:r w:rsidRPr="00B2067F">
        <w:t xml:space="preserve">CMR-23 en </w:t>
      </w:r>
      <w:hyperlink r:id="rId28" w:history="1">
        <w:r w:rsidRPr="00B2067F">
          <w:rPr>
            <w:rStyle w:val="Hyperlink"/>
          </w:rPr>
          <w:t>www.itu.int/go/wrc-23-regional</w:t>
        </w:r>
      </w:hyperlink>
      <w:r w:rsidRPr="00B2067F">
        <w:t>.</w:t>
      </w:r>
      <w:bookmarkEnd w:id="42"/>
    </w:p>
    <w:p w14:paraId="146D365E" w14:textId="77777777" w:rsidR="00F6687A" w:rsidRPr="00B2067F" w:rsidRDefault="00F6687A" w:rsidP="00F6687A">
      <w:pPr>
        <w:pStyle w:val="Heading1"/>
      </w:pPr>
      <w:bookmarkStart w:id="43" w:name="_Toc446060768"/>
      <w:r w:rsidRPr="00B2067F">
        <w:lastRenderedPageBreak/>
        <w:t>6</w:t>
      </w:r>
      <w:r w:rsidRPr="00B2067F">
        <w:tab/>
      </w:r>
      <w:bookmarkEnd w:id="43"/>
      <w:r w:rsidRPr="00B2067F">
        <w:t>Plan Operacional</w:t>
      </w:r>
    </w:p>
    <w:p w14:paraId="3CCB714A" w14:textId="4B2A36D9" w:rsidR="00F6687A" w:rsidRPr="00B2067F" w:rsidRDefault="00F6687A" w:rsidP="00F6687A">
      <w:bookmarkStart w:id="44" w:name="lt_pId327"/>
      <w:r w:rsidRPr="00B2067F">
        <w:t>El Plan Operacional del UIT</w:t>
      </w:r>
      <w:r w:rsidRPr="00B2067F">
        <w:noBreakHyphen/>
        <w:t>R está estructurado con arreglo al concepto de gestión basada en resultados</w:t>
      </w:r>
      <w:r w:rsidR="00D0547D" w:rsidRPr="00B2067F">
        <w:t xml:space="preserve"> que se aplica en la UIT</w:t>
      </w:r>
      <w:r w:rsidRPr="00B2067F">
        <w:t>, a fin de garantizar una vinculación total con el presupuesto y otras herramientas financieras de la Unión.</w:t>
      </w:r>
    </w:p>
    <w:p w14:paraId="63C6061D" w14:textId="4806BCF9" w:rsidR="00F6687A" w:rsidRPr="00B2067F" w:rsidRDefault="00F6687A" w:rsidP="00F6687A">
      <w:bookmarkStart w:id="45" w:name="lt_pId329"/>
      <w:bookmarkEnd w:id="44"/>
      <w:r w:rsidRPr="00B2067F">
        <w:t>El proyecto de Plan Operacional del UIT</w:t>
      </w:r>
      <w:r w:rsidRPr="00B2067F">
        <w:noBreakHyphen/>
        <w:t>R para el periodo 2022-2025 se presenta en el Documento 27</w:t>
      </w:r>
      <w:r w:rsidR="00164815" w:rsidRPr="00B2067F">
        <w:t xml:space="preserve"> </w:t>
      </w:r>
      <w:r w:rsidRPr="00B2067F">
        <w:t>para que el GAR lo examine y formule los comentarios que estime oportunos.</w:t>
      </w:r>
      <w:bookmarkEnd w:id="45"/>
    </w:p>
    <w:p w14:paraId="7B442B76" w14:textId="77777777" w:rsidR="00F6687A" w:rsidRPr="00B2067F" w:rsidRDefault="00F6687A" w:rsidP="00F6687A">
      <w:pPr>
        <w:pStyle w:val="Heading1"/>
      </w:pPr>
      <w:r w:rsidRPr="00B2067F">
        <w:t>7</w:t>
      </w:r>
      <w:r w:rsidRPr="00B2067F">
        <w:tab/>
        <w:t>Sistema de información de la BR</w:t>
      </w:r>
    </w:p>
    <w:p w14:paraId="01444E39" w14:textId="77777777" w:rsidR="00F6687A" w:rsidRPr="00B2067F" w:rsidRDefault="00F6687A" w:rsidP="00F6687A">
      <w:pPr>
        <w:pStyle w:val="Heading2"/>
      </w:pPr>
      <w:r w:rsidRPr="00B2067F">
        <w:t>7.1</w:t>
      </w:r>
      <w:r w:rsidRPr="00B2067F">
        <w:tab/>
      </w:r>
      <w:r w:rsidRPr="00B2067F">
        <w:rPr>
          <w:i/>
          <w:iCs/>
        </w:rPr>
        <w:t>Software</w:t>
      </w:r>
      <w:r w:rsidRPr="00B2067F">
        <w:t xml:space="preserve"> y herramientas terrenales</w:t>
      </w:r>
    </w:p>
    <w:p w14:paraId="34799A07" w14:textId="77777777" w:rsidR="00F6687A" w:rsidRPr="00B2067F" w:rsidRDefault="00F6687A" w:rsidP="00F6687A">
      <w:pPr>
        <w:pStyle w:val="Heading3"/>
      </w:pPr>
      <w:r w:rsidRPr="00B2067F">
        <w:t>7.1.1</w:t>
      </w:r>
      <w:r w:rsidRPr="00B2067F">
        <w:tab/>
        <w:t>Modificación de los exámenes previstos en el número 9.19 del Reglamento de Radiocomunicaciones</w:t>
      </w:r>
    </w:p>
    <w:p w14:paraId="3816D6A9" w14:textId="2F6FE853" w:rsidR="00F6687A" w:rsidRPr="00B2067F" w:rsidRDefault="00F6687A" w:rsidP="00F6687A">
      <w:bookmarkStart w:id="46" w:name="lt_pId411"/>
      <w:r w:rsidRPr="00B2067F">
        <w:t xml:space="preserve">La Oficina ultimó los módulos de </w:t>
      </w:r>
      <w:r w:rsidRPr="00B2067F">
        <w:rPr>
          <w:i/>
          <w:iCs/>
        </w:rPr>
        <w:t>software</w:t>
      </w:r>
      <w:r w:rsidRPr="00B2067F">
        <w:t xml:space="preserve"> y las herramientas conexas para la tramitación de notificaciones terrenales con arreglo al número </w:t>
      </w:r>
      <w:r w:rsidRPr="00B2067F">
        <w:rPr>
          <w:b/>
          <w:bCs/>
        </w:rPr>
        <w:t>9.19</w:t>
      </w:r>
      <w:r w:rsidRPr="00B2067F">
        <w:t xml:space="preserve"> del RR, </w:t>
      </w:r>
      <w:r w:rsidR="008A6D18" w:rsidRPr="00B2067F">
        <w:t xml:space="preserve">de acuerdo con </w:t>
      </w:r>
      <w:r w:rsidRPr="00B2067F">
        <w:t>la</w:t>
      </w:r>
      <w:r w:rsidR="008A6D18" w:rsidRPr="00B2067F">
        <w:t xml:space="preserve"> correspondiente</w:t>
      </w:r>
      <w:r w:rsidRPr="00B2067F">
        <w:t xml:space="preserve"> </w:t>
      </w:r>
      <w:r w:rsidR="008A6D18" w:rsidRPr="00B2067F">
        <w:t xml:space="preserve">Regla de Procedimiento </w:t>
      </w:r>
      <w:r w:rsidR="00A46615" w:rsidRPr="00B2067F">
        <w:t xml:space="preserve">nueva </w:t>
      </w:r>
      <w:r w:rsidR="008A6D18" w:rsidRPr="00B2067F">
        <w:t xml:space="preserve">y el </w:t>
      </w:r>
      <w:r w:rsidRPr="00B2067F">
        <w:t xml:space="preserve">método </w:t>
      </w:r>
      <w:r w:rsidR="008A6D18" w:rsidRPr="00B2067F">
        <w:t xml:space="preserve">modificado </w:t>
      </w:r>
      <w:r w:rsidRPr="00B2067F">
        <w:t xml:space="preserve">de identificación de las administraciones afectadas </w:t>
      </w:r>
      <w:r w:rsidR="005E1204" w:rsidRPr="00B2067F">
        <w:t>por</w:t>
      </w:r>
      <w:r w:rsidR="008A6D18" w:rsidRPr="00B2067F">
        <w:t xml:space="preserve"> </w:t>
      </w:r>
      <w:r w:rsidRPr="00B2067F">
        <w:t>dicha disposición</w:t>
      </w:r>
      <w:r w:rsidR="008A6D18" w:rsidRPr="00B2067F">
        <w:t xml:space="preserve"> </w:t>
      </w:r>
      <w:r w:rsidR="005E1204" w:rsidRPr="00B2067F">
        <w:t>en relación con las</w:t>
      </w:r>
      <w:r w:rsidR="008A6D18" w:rsidRPr="00B2067F">
        <w:t xml:space="preserve"> estaciones terrenales frente a redes planificadas y no planificadas del SRS</w:t>
      </w:r>
      <w:r w:rsidRPr="00B2067F">
        <w:t>.</w:t>
      </w:r>
      <w:bookmarkEnd w:id="46"/>
    </w:p>
    <w:p w14:paraId="18D9C396" w14:textId="34FC3A79" w:rsidR="004F5FFC" w:rsidRPr="00B2067F" w:rsidRDefault="004F5FFC" w:rsidP="004F5FFC">
      <w:pPr>
        <w:pStyle w:val="Heading3"/>
      </w:pPr>
      <w:r w:rsidRPr="00B2067F">
        <w:t>7.1.2</w:t>
      </w:r>
      <w:r w:rsidRPr="00B2067F">
        <w:tab/>
      </w:r>
      <w:r w:rsidR="005E1204" w:rsidRPr="00B2067F">
        <w:t>Ejecución del examen reglamentario previsto en el n</w:t>
      </w:r>
      <w:r w:rsidR="00FE19AA" w:rsidRPr="00B2067F">
        <w:t>ú</w:t>
      </w:r>
      <w:r w:rsidR="005E1204" w:rsidRPr="00B2067F">
        <w:t xml:space="preserve">mero </w:t>
      </w:r>
      <w:r w:rsidRPr="00B2067F">
        <w:t xml:space="preserve">5.441B </w:t>
      </w:r>
      <w:r w:rsidR="006D68D9" w:rsidRPr="00B2067F">
        <w:t>del Reglamento de </w:t>
      </w:r>
      <w:r w:rsidR="005E1204" w:rsidRPr="00B2067F">
        <w:t>Radiocomunicaciones</w:t>
      </w:r>
    </w:p>
    <w:p w14:paraId="25B7FBDA" w14:textId="65B052DD" w:rsidR="004F5FFC" w:rsidRPr="00B2067F" w:rsidRDefault="004F5FFC" w:rsidP="004F5FFC">
      <w:r w:rsidRPr="00B2067F">
        <w:t xml:space="preserve">La Oficina ultimó </w:t>
      </w:r>
      <w:r w:rsidR="005E1204" w:rsidRPr="00B2067F">
        <w:t xml:space="preserve">el desarrollo y las pruebas de </w:t>
      </w:r>
      <w:r w:rsidRPr="00B2067F">
        <w:t xml:space="preserve">los módulos de </w:t>
      </w:r>
      <w:r w:rsidRPr="00B2067F">
        <w:rPr>
          <w:i/>
          <w:iCs/>
        </w:rPr>
        <w:t>software</w:t>
      </w:r>
      <w:r w:rsidRPr="00B2067F">
        <w:t xml:space="preserve"> y las herramientas conexas para </w:t>
      </w:r>
      <w:r w:rsidR="005E1204" w:rsidRPr="00B2067F">
        <w:t>el examen reglamentario de las notificaciones terrenales con arreglo al número</w:t>
      </w:r>
      <w:r w:rsidRPr="00B2067F">
        <w:t xml:space="preserve"> </w:t>
      </w:r>
      <w:r w:rsidRPr="00B2067F">
        <w:rPr>
          <w:b/>
          <w:bCs/>
        </w:rPr>
        <w:t>5.441B</w:t>
      </w:r>
      <w:r w:rsidR="005E1204" w:rsidRPr="00B2067F">
        <w:t xml:space="preserve"> del</w:t>
      </w:r>
      <w:r w:rsidRPr="00B2067F">
        <w:t xml:space="preserve"> </w:t>
      </w:r>
      <w:r w:rsidR="005E1204" w:rsidRPr="00B2067F">
        <w:t xml:space="preserve">RR, </w:t>
      </w:r>
      <w:r w:rsidRPr="00B2067F">
        <w:t>aplicando la</w:t>
      </w:r>
      <w:r w:rsidR="005E1204" w:rsidRPr="00B2067F">
        <w:t xml:space="preserve"> Regla de Procedimiento correspondiente aprobada para la </w:t>
      </w:r>
      <w:r w:rsidRPr="00B2067F">
        <w:t xml:space="preserve">identificación de las administraciones afectadas conforme a dicha disposición. </w:t>
      </w:r>
      <w:r w:rsidR="005E1204" w:rsidRPr="00B2067F">
        <w:t>E</w:t>
      </w:r>
      <w:r w:rsidRPr="00B2067F">
        <w:t xml:space="preserve">n </w:t>
      </w:r>
      <w:r w:rsidR="005E1204" w:rsidRPr="00B2067F">
        <w:t xml:space="preserve">concreto, se </w:t>
      </w:r>
      <w:r w:rsidR="00A46615" w:rsidRPr="00B2067F">
        <w:t>terminó de desarrollar</w:t>
      </w:r>
      <w:r w:rsidR="005E1204" w:rsidRPr="00B2067F">
        <w:t xml:space="preserve"> y </w:t>
      </w:r>
      <w:r w:rsidR="00A46615" w:rsidRPr="00B2067F">
        <w:t>automatizar</w:t>
      </w:r>
      <w:r w:rsidR="005E1204" w:rsidRPr="00B2067F">
        <w:t xml:space="preserve"> las aplicaciones previstas en la Recomendación </w:t>
      </w:r>
      <w:r w:rsidRPr="00B2067F">
        <w:t>P.528</w:t>
      </w:r>
      <w:r w:rsidR="005E1204" w:rsidRPr="00B2067F">
        <w:t xml:space="preserve"> del UIT-R</w:t>
      </w:r>
      <w:r w:rsidRPr="00B2067F">
        <w:t xml:space="preserve">. </w:t>
      </w:r>
      <w:r w:rsidR="005E1204" w:rsidRPr="00B2067F">
        <w:t>Los módulos correspondientes se encuentran en producción en su totalidad.</w:t>
      </w:r>
    </w:p>
    <w:p w14:paraId="7525F846" w14:textId="026199A7" w:rsidR="004F5FFC" w:rsidRPr="00B2067F" w:rsidRDefault="004F5FFC" w:rsidP="004F5FFC">
      <w:pPr>
        <w:pStyle w:val="Heading3"/>
      </w:pPr>
      <w:r w:rsidRPr="00B2067F">
        <w:t>7.1.3</w:t>
      </w:r>
      <w:r w:rsidRPr="00B2067F">
        <w:tab/>
        <w:t>Tramitación de solicitudes de coordinación con arreglo al número 9.21 del RR</w:t>
      </w:r>
    </w:p>
    <w:p w14:paraId="4CB2848C" w14:textId="711A47C6" w:rsidR="004F5FFC" w:rsidRPr="00B2067F" w:rsidRDefault="004F5FFC" w:rsidP="004F5FFC">
      <w:bookmarkStart w:id="47" w:name="lt_pId414"/>
      <w:r w:rsidRPr="00B2067F">
        <w:t xml:space="preserve">Los módulos de </w:t>
      </w:r>
      <w:r w:rsidRPr="00B2067F">
        <w:rPr>
          <w:i/>
          <w:iCs/>
        </w:rPr>
        <w:t>software</w:t>
      </w:r>
      <w:r w:rsidRPr="00B2067F">
        <w:t xml:space="preserve"> y las herramientas conexas para la tramitación de solicitudes de coordinación con arreglo al número </w:t>
      </w:r>
      <w:r w:rsidRPr="00B2067F">
        <w:rPr>
          <w:b/>
          <w:bCs/>
        </w:rPr>
        <w:t>9.21</w:t>
      </w:r>
      <w:r w:rsidRPr="00B2067F">
        <w:t xml:space="preserve"> del RR siguieron desarrollándose durante el año 2020. Los algoritmos y módulos de </w:t>
      </w:r>
      <w:r w:rsidRPr="00B2067F">
        <w:rPr>
          <w:i/>
          <w:iCs/>
        </w:rPr>
        <w:t>software</w:t>
      </w:r>
      <w:r w:rsidRPr="00B2067F">
        <w:t xml:space="preserve"> utilizados para los exámenes técnicos en virtud del número </w:t>
      </w:r>
      <w:r w:rsidRPr="00B2067F">
        <w:rPr>
          <w:b/>
          <w:bCs/>
        </w:rPr>
        <w:t>9.21</w:t>
      </w:r>
      <w:r w:rsidRPr="00B2067F">
        <w:t xml:space="preserve"> se han </w:t>
      </w:r>
      <w:r w:rsidR="00FE19AA" w:rsidRPr="00B2067F">
        <w:t>revisado de conformidad con las Reglas de Procedimiento correspondientes: se han revisado los algoritmos existentes y se han introducido algoritmos nuevos, en particular en relación con la Regla de Procedimiento B6. Las pruebas de estos algoritmos están en curso.</w:t>
      </w:r>
      <w:r w:rsidRPr="00B2067F">
        <w:t xml:space="preserve"> </w:t>
      </w:r>
      <w:r w:rsidR="00A46615" w:rsidRPr="00B2067F">
        <w:t>Se prevé</w:t>
      </w:r>
      <w:r w:rsidRPr="00B2067F">
        <w:t xml:space="preserve"> ultimar el </w:t>
      </w:r>
      <w:r w:rsidRPr="00B2067F">
        <w:rPr>
          <w:i/>
          <w:iCs/>
        </w:rPr>
        <w:t>software</w:t>
      </w:r>
      <w:r w:rsidRPr="00B2067F">
        <w:t xml:space="preserve"> de comprobación de las correspondientes asignaciones (conforme al número </w:t>
      </w:r>
      <w:r w:rsidRPr="00B2067F">
        <w:rPr>
          <w:b/>
          <w:bCs/>
        </w:rPr>
        <w:t>9.21</w:t>
      </w:r>
      <w:r w:rsidRPr="00B2067F">
        <w:t xml:space="preserve">) notificadas en virtud del Artículo </w:t>
      </w:r>
      <w:r w:rsidRPr="00B2067F">
        <w:rPr>
          <w:b/>
          <w:bCs/>
        </w:rPr>
        <w:t>11</w:t>
      </w:r>
      <w:r w:rsidRPr="00B2067F">
        <w:t xml:space="preserve"> del RR </w:t>
      </w:r>
      <w:r w:rsidR="00A46615" w:rsidRPr="00B2067F">
        <w:t>a</w:t>
      </w:r>
      <w:r w:rsidRPr="00B2067F">
        <w:t xml:space="preserve">l Registro Internacional de Frecuencias </w:t>
      </w:r>
      <w:r w:rsidR="00FE19AA" w:rsidRPr="00B2067F">
        <w:t xml:space="preserve">y su integración en TerRaSys durante </w:t>
      </w:r>
      <w:r w:rsidRPr="00B2067F">
        <w:t xml:space="preserve">al </w:t>
      </w:r>
      <w:r w:rsidR="00FE19AA" w:rsidRPr="00B2067F">
        <w:t>cuarto trimestre de 2021</w:t>
      </w:r>
      <w:r w:rsidRPr="00B2067F">
        <w:t>.</w:t>
      </w:r>
      <w:bookmarkEnd w:id="47"/>
    </w:p>
    <w:p w14:paraId="42E20791" w14:textId="77777777" w:rsidR="004F5FFC" w:rsidRPr="00B2067F" w:rsidRDefault="004F5FFC" w:rsidP="004F5FFC">
      <w:pPr>
        <w:pStyle w:val="Heading3"/>
      </w:pPr>
      <w:r w:rsidRPr="00B2067F">
        <w:t>7.1.4</w:t>
      </w:r>
      <w:r w:rsidRPr="00B2067F">
        <w:tab/>
      </w:r>
      <w:bookmarkStart w:id="48" w:name="lt_pId423"/>
      <w:r w:rsidRPr="00B2067F">
        <w:t xml:space="preserve">Migración de Ingres a </w:t>
      </w:r>
      <w:bookmarkEnd w:id="48"/>
      <w:r w:rsidRPr="00B2067F">
        <w:t>SQL Server</w:t>
      </w:r>
    </w:p>
    <w:p w14:paraId="744922E2" w14:textId="0EADF23E" w:rsidR="004F5FFC" w:rsidRPr="00B2067F" w:rsidRDefault="004F5FFC" w:rsidP="004F5FFC">
      <w:bookmarkStart w:id="49" w:name="lt_pId424"/>
      <w:bookmarkStart w:id="50" w:name="_Hlk32579791"/>
      <w:r w:rsidRPr="00B2067F">
        <w:t xml:space="preserve">Se </w:t>
      </w:r>
      <w:r w:rsidR="00447590" w:rsidRPr="00B2067F">
        <w:t>continuó trabajando en la</w:t>
      </w:r>
      <w:r w:rsidRPr="00B2067F">
        <w:t xml:space="preserve"> migración de la base de datos TerRaSys de Ingres a SQL Server</w:t>
      </w:r>
      <w:r w:rsidR="00447590" w:rsidRPr="00B2067F">
        <w:t xml:space="preserve"> a lo largo de 2020, entre otras cosas mediante</w:t>
      </w:r>
      <w:bookmarkEnd w:id="49"/>
      <w:r w:rsidR="00447590" w:rsidRPr="00B2067F">
        <w:t>:</w:t>
      </w:r>
    </w:p>
    <w:p w14:paraId="34CC36CE" w14:textId="15BE8A4D" w:rsidR="004F5FFC" w:rsidRPr="00B2067F" w:rsidRDefault="004F5FFC" w:rsidP="004F5FFC">
      <w:pPr>
        <w:pStyle w:val="enumlev1"/>
      </w:pPr>
      <w:bookmarkStart w:id="51" w:name="lt_pId426"/>
      <w:r w:rsidRPr="00B2067F">
        <w:t>•</w:t>
      </w:r>
      <w:r w:rsidRPr="00B2067F">
        <w:tab/>
        <w:t xml:space="preserve">el examen </w:t>
      </w:r>
      <w:r w:rsidR="00447590" w:rsidRPr="00B2067F">
        <w:t xml:space="preserve">final </w:t>
      </w:r>
      <w:r w:rsidRPr="00B2067F">
        <w:t xml:space="preserve">y la </w:t>
      </w:r>
      <w:r w:rsidR="00447590" w:rsidRPr="00B2067F">
        <w:t xml:space="preserve">estabilización </w:t>
      </w:r>
      <w:r w:rsidRPr="00B2067F">
        <w:t>de l</w:t>
      </w:r>
      <w:r w:rsidR="00447590" w:rsidRPr="00B2067F">
        <w:t>as estructuras, los</w:t>
      </w:r>
      <w:r w:rsidRPr="00B2067F">
        <w:t xml:space="preserve"> esquemas y </w:t>
      </w:r>
      <w:r w:rsidR="00447590" w:rsidRPr="00B2067F">
        <w:t xml:space="preserve">los </w:t>
      </w:r>
      <w:r w:rsidRPr="00B2067F">
        <w:t>procedimientos de la base de datos (incluido el sistema de archivos), para adaptarlos a la moderna tecnología que ofrece el nuevo sistema de gestión de la base de datos (SGBD) y aprovechar las ventajas conexas;</w:t>
      </w:r>
      <w:bookmarkEnd w:id="51"/>
    </w:p>
    <w:p w14:paraId="195F5CAC" w14:textId="6C2D0E74" w:rsidR="004F5FFC" w:rsidRPr="00B2067F" w:rsidRDefault="004F5FFC" w:rsidP="004F5FFC">
      <w:pPr>
        <w:pStyle w:val="enumlev1"/>
      </w:pPr>
      <w:bookmarkStart w:id="52" w:name="lt_pId427"/>
      <w:r w:rsidRPr="00B2067F">
        <w:t>•</w:t>
      </w:r>
      <w:r w:rsidRPr="00B2067F">
        <w:tab/>
        <w:t xml:space="preserve">el examen y la modificación de los tipos de datos utilizados para algunos campos </w:t>
      </w:r>
      <w:r w:rsidR="00447590" w:rsidRPr="00B2067F">
        <w:t>y la introducción de tipos de datos geográficos nuevos facilitados por el nuevo SGBD, que proporcionan técnicas eficaces para ejecutar consultas geográficas completas rápidas</w:t>
      </w:r>
      <w:bookmarkEnd w:id="52"/>
      <w:r w:rsidR="00447590" w:rsidRPr="00B2067F">
        <w:t>;</w:t>
      </w:r>
    </w:p>
    <w:p w14:paraId="7A72F22C" w14:textId="7D4936FB" w:rsidR="004F5FFC" w:rsidRPr="00B2067F" w:rsidRDefault="004F5FFC" w:rsidP="004F5FFC">
      <w:pPr>
        <w:pStyle w:val="enumlev1"/>
      </w:pPr>
      <w:bookmarkStart w:id="53" w:name="lt_pId428"/>
      <w:r w:rsidRPr="00B2067F">
        <w:lastRenderedPageBreak/>
        <w:t>•</w:t>
      </w:r>
      <w:r w:rsidRPr="00B2067F">
        <w:tab/>
        <w:t xml:space="preserve">la modificación </w:t>
      </w:r>
      <w:r w:rsidR="00447590" w:rsidRPr="00B2067F">
        <w:t xml:space="preserve">continua </w:t>
      </w:r>
      <w:r w:rsidRPr="00B2067F">
        <w:t xml:space="preserve">de diversos componentes y aplicaciones de </w:t>
      </w:r>
      <w:r w:rsidRPr="00B2067F">
        <w:rPr>
          <w:i/>
          <w:iCs/>
        </w:rPr>
        <w:t>software</w:t>
      </w:r>
      <w:r w:rsidRPr="00B2067F">
        <w:t xml:space="preserve"> </w:t>
      </w:r>
      <w:r w:rsidR="00447590" w:rsidRPr="00B2067F">
        <w:t xml:space="preserve">TerRaSys </w:t>
      </w:r>
      <w:r w:rsidRPr="00B2067F">
        <w:t xml:space="preserve">utilizados para acceder a la base de datos, con miras a </w:t>
      </w:r>
      <w:r w:rsidR="00447590" w:rsidRPr="00B2067F">
        <w:t xml:space="preserve">aprovechar las ventajas de la tecnología moderna que ofrece el nuevo SGBD y utilizar las </w:t>
      </w:r>
      <w:r w:rsidRPr="00B2067F">
        <w:t xml:space="preserve">aplicaciones web y </w:t>
      </w:r>
      <w:r w:rsidR="00447590" w:rsidRPr="00B2067F">
        <w:t xml:space="preserve">las </w:t>
      </w:r>
      <w:r w:rsidRPr="00B2067F">
        <w:t xml:space="preserve">tecnologías modernas de desarrollo de </w:t>
      </w:r>
      <w:r w:rsidRPr="00B2067F">
        <w:rPr>
          <w:i/>
          <w:iCs/>
        </w:rPr>
        <w:t>software</w:t>
      </w:r>
      <w:bookmarkEnd w:id="53"/>
      <w:r w:rsidRPr="00B2067F">
        <w:t>.</w:t>
      </w:r>
    </w:p>
    <w:p w14:paraId="45913ADD" w14:textId="502621BF" w:rsidR="004F5FFC" w:rsidRPr="00B2067F" w:rsidRDefault="006D2858" w:rsidP="004F5FFC">
      <w:bookmarkStart w:id="54" w:name="lt_pId429"/>
      <w:r w:rsidRPr="00B2067F">
        <w:t xml:space="preserve">Se completaron el nuevo sistema de base de datos y los módulos de </w:t>
      </w:r>
      <w:r w:rsidRPr="00B2067F">
        <w:rPr>
          <w:i/>
        </w:rPr>
        <w:t>software</w:t>
      </w:r>
      <w:r w:rsidRPr="00B2067F">
        <w:t xml:space="preserve"> para la tramitación y la validación </w:t>
      </w:r>
      <w:r w:rsidRPr="00B2067F">
        <w:rPr>
          <w:i/>
        </w:rPr>
        <w:t>ex ante</w:t>
      </w:r>
      <w:r w:rsidRPr="00B2067F">
        <w:t xml:space="preserve"> de las notificaciones terrenales electrónicas, que ahora están siendo sometidos a las pruebas beta. Se está trabajando en la migración de los módulos de </w:t>
      </w:r>
      <w:r w:rsidRPr="00B2067F">
        <w:rPr>
          <w:i/>
        </w:rPr>
        <w:t>software</w:t>
      </w:r>
      <w:r w:rsidRPr="00B2067F">
        <w:t xml:space="preserve"> </w:t>
      </w:r>
      <w:r w:rsidR="00437DD0" w:rsidRPr="00B2067F">
        <w:t>de</w:t>
      </w:r>
      <w:r w:rsidRPr="00B2067F">
        <w:t xml:space="preserve"> examen y publicación</w:t>
      </w:r>
      <w:r w:rsidR="004F5FFC" w:rsidRPr="00B2067F">
        <w:t xml:space="preserve">. </w:t>
      </w:r>
    </w:p>
    <w:p w14:paraId="26C16AF6" w14:textId="084AC447" w:rsidR="004F5FFC" w:rsidRPr="00B2067F" w:rsidRDefault="00A46615" w:rsidP="004F5FFC">
      <w:r w:rsidRPr="00B2067F">
        <w:t xml:space="preserve">Se espera </w:t>
      </w:r>
      <w:r w:rsidR="004F5FFC" w:rsidRPr="00B2067F">
        <w:t>ultimar la migración y la reestructuración completas del sistema actual de aquí a finales de</w:t>
      </w:r>
      <w:r w:rsidR="006D2858" w:rsidRPr="00B2067F">
        <w:t xml:space="preserve"> </w:t>
      </w:r>
      <w:r w:rsidR="004F5FFC" w:rsidRPr="00B2067F">
        <w:t>2021</w:t>
      </w:r>
      <w:r w:rsidR="006D2858" w:rsidRPr="00B2067F">
        <w:t xml:space="preserve">/principios de </w:t>
      </w:r>
      <w:r w:rsidR="004F5FFC" w:rsidRPr="00B2067F">
        <w:t>2022.</w:t>
      </w:r>
      <w:bookmarkEnd w:id="54"/>
    </w:p>
    <w:p w14:paraId="65312546" w14:textId="77777777" w:rsidR="004F5FFC" w:rsidRPr="00B2067F" w:rsidRDefault="004F5FFC" w:rsidP="004F5FFC">
      <w:bookmarkStart w:id="55" w:name="lt_pId430"/>
      <w:r w:rsidRPr="00B2067F">
        <w:t>Ya se dispone de copias de la base de datos terrenales existente en la nueva plataforma del SGBD, que diversas aplicaciones de la BR están utilizando a través de la web para mostrar, validar y procesar notificaciones de frecuencias terrenales.</w:t>
      </w:r>
      <w:bookmarkEnd w:id="50"/>
      <w:bookmarkEnd w:id="55"/>
    </w:p>
    <w:p w14:paraId="28BC3EC6" w14:textId="77777777" w:rsidR="00F12618" w:rsidRPr="00B2067F" w:rsidRDefault="00F12618" w:rsidP="00F12618">
      <w:pPr>
        <w:pStyle w:val="Heading2"/>
      </w:pPr>
      <w:r w:rsidRPr="00B2067F">
        <w:t>7.2</w:t>
      </w:r>
      <w:r w:rsidRPr="00B2067F">
        <w:tab/>
      </w:r>
      <w:bookmarkStart w:id="56" w:name="lt_pId439"/>
      <w:r w:rsidRPr="00B2067F">
        <w:t>Progresos en el cumplimiento de la hoja de ruta de los sistemas de información espacial de la BR (GAR-19, 2012)</w:t>
      </w:r>
      <w:bookmarkEnd w:id="56"/>
    </w:p>
    <w:p w14:paraId="58C10878" w14:textId="762A60F1" w:rsidR="00F12618" w:rsidRPr="00B2067F" w:rsidRDefault="00F12618" w:rsidP="00F12618">
      <w:r w:rsidRPr="00B2067F">
        <w:t>En su 19ª reunión (2012), el GAR aconsejó al Director que aplicase las medidas recomendadas en los plazos propuestos, tal y como se describe en la hoja de ruta</w:t>
      </w:r>
      <w:r w:rsidR="00437DD0" w:rsidRPr="00B2067F">
        <w:t xml:space="preserve"> acordada</w:t>
      </w:r>
      <w:r w:rsidRPr="00B2067F">
        <w:t>, que comprende la Fase 1 (Aplicación de las decisiones de la CMR</w:t>
      </w:r>
      <w:r w:rsidRPr="00B2067F">
        <w:noBreakHyphen/>
        <w:t xml:space="preserve">12), la Fase 2 (Reescribir parte del </w:t>
      </w:r>
      <w:r w:rsidRPr="00B2067F">
        <w:rPr>
          <w:i/>
        </w:rPr>
        <w:t>software</w:t>
      </w:r>
      <w:r w:rsidRPr="00B2067F">
        <w:t xml:space="preserve"> existente) y la Fase 3 (Crear un equipo de proyecto para implementar un marco común, un sistema de seguridad y una base de datos espacial centralizada</w:t>
      </w:r>
      <w:r w:rsidR="00437DD0" w:rsidRPr="00B2067F">
        <w:t>)</w:t>
      </w:r>
      <w:r w:rsidRPr="00B2067F">
        <w:t>. El GAR alentó a los Estados Miembros y a los Miembros de Sector a formular comentarios sobre la Fase 3.</w:t>
      </w:r>
    </w:p>
    <w:p w14:paraId="006EDBEF" w14:textId="0CDD9AAA" w:rsidR="00F12618" w:rsidRPr="00B2067F" w:rsidRDefault="00F12618" w:rsidP="00F12618">
      <w:bookmarkStart w:id="57" w:name="lt_pId442"/>
      <w:r w:rsidRPr="00B2067F">
        <w:t>En 20</w:t>
      </w:r>
      <w:r w:rsidR="00A744F8" w:rsidRPr="00B2067F">
        <w:t>20</w:t>
      </w:r>
      <w:r w:rsidRPr="00B2067F">
        <w:t xml:space="preserve">, la BR mantuvo el </w:t>
      </w:r>
      <w:r w:rsidRPr="00B2067F">
        <w:rPr>
          <w:i/>
        </w:rPr>
        <w:t>software</w:t>
      </w:r>
      <w:r w:rsidRPr="00B2067F">
        <w:t xml:space="preserve"> existente, al tiempo que empezó a trabajar en la implementación de nuevas versiones de aplicaciones de </w:t>
      </w:r>
      <w:r w:rsidRPr="00B2067F">
        <w:rPr>
          <w:i/>
        </w:rPr>
        <w:t>software</w:t>
      </w:r>
      <w:r w:rsidRPr="00B2067F">
        <w:t xml:space="preserve"> fundamentales. Este esfuerzo paralelo es tanto una necesidad, dadas las exigencias operacionales, como la razón por la que ciertos proyectos de modernización siguen en curso.</w:t>
      </w:r>
      <w:bookmarkEnd w:id="57"/>
    </w:p>
    <w:p w14:paraId="3C078157" w14:textId="28C1FAF8" w:rsidR="00A744F8" w:rsidRPr="00B2067F" w:rsidRDefault="00A744F8" w:rsidP="00A744F8">
      <w:pPr>
        <w:pStyle w:val="Heading3"/>
      </w:pPr>
      <w:r w:rsidRPr="00B2067F">
        <w:t>7.2.1</w:t>
      </w:r>
      <w:r w:rsidRPr="00B2067F">
        <w:tab/>
      </w:r>
      <w:r w:rsidR="00437DD0" w:rsidRPr="00B2067F">
        <w:t>Progresos hacia los objetivos de la Fase 2 de la hoja de ruta</w:t>
      </w:r>
    </w:p>
    <w:p w14:paraId="53EB6339" w14:textId="6095AC98" w:rsidR="00A744F8" w:rsidRPr="00B2067F" w:rsidRDefault="00A744F8" w:rsidP="00A744F8">
      <w:pPr>
        <w:pStyle w:val="Heading4"/>
      </w:pPr>
      <w:r w:rsidRPr="00B2067F">
        <w:t>7.2.1.1</w:t>
      </w:r>
      <w:r w:rsidRPr="00B2067F">
        <w:tab/>
      </w:r>
      <w:bookmarkStart w:id="58" w:name="_Hlk34385380"/>
      <w:r w:rsidRPr="00B2067F">
        <w:t xml:space="preserve">Reescritura del </w:t>
      </w:r>
      <w:bookmarkEnd w:id="58"/>
      <w:r w:rsidRPr="00B2067F">
        <w:rPr>
          <w:i/>
          <w:iCs/>
        </w:rPr>
        <w:t>software</w:t>
      </w:r>
      <w:r w:rsidRPr="00B2067F">
        <w:t xml:space="preserve"> existente para los exámenes técnicos</w:t>
      </w:r>
    </w:p>
    <w:p w14:paraId="084A75A0" w14:textId="77A98511" w:rsidR="00A744F8" w:rsidRPr="00B2067F" w:rsidRDefault="00A744F8" w:rsidP="00A744F8">
      <w:pPr>
        <w:pStyle w:val="enumlev1"/>
      </w:pPr>
      <w:r w:rsidRPr="00B2067F">
        <w:t>•</w:t>
      </w:r>
      <w:r w:rsidRPr="00B2067F">
        <w:tab/>
        <w:t xml:space="preserve">Reescritura del </w:t>
      </w:r>
      <w:r w:rsidRPr="00B2067F">
        <w:rPr>
          <w:i/>
        </w:rPr>
        <w:t>software</w:t>
      </w:r>
      <w:r w:rsidRPr="00B2067F">
        <w:t xml:space="preserve"> de cálculo de la DFP para la protección de los servicios terrenales: </w:t>
      </w:r>
      <w:r w:rsidR="00437DD0" w:rsidRPr="00B2067F">
        <w:t xml:space="preserve">el </w:t>
      </w:r>
      <w:r w:rsidR="00437DD0" w:rsidRPr="00B2067F">
        <w:rPr>
          <w:i/>
        </w:rPr>
        <w:t>software</w:t>
      </w:r>
      <w:r w:rsidR="00437DD0" w:rsidRPr="00B2067F">
        <w:t xml:space="preserve"> de la DFP de nueva generación se publicó en </w:t>
      </w:r>
      <w:r w:rsidR="00BA4800" w:rsidRPr="00B2067F">
        <w:t xml:space="preserve">la </w:t>
      </w:r>
      <w:r w:rsidRPr="00B2067F">
        <w:t xml:space="preserve">BR IFIC 2923 (15 </w:t>
      </w:r>
      <w:r w:rsidR="00BA4800" w:rsidRPr="00B2067F">
        <w:t>de jun</w:t>
      </w:r>
      <w:r w:rsidR="006D68D9" w:rsidRPr="00B2067F">
        <w:t>io de </w:t>
      </w:r>
      <w:r w:rsidRPr="00B2067F">
        <w:t>2020).</w:t>
      </w:r>
    </w:p>
    <w:p w14:paraId="2EF8BBBF" w14:textId="5FFB74ED" w:rsidR="00A744F8" w:rsidRPr="00B2067F" w:rsidRDefault="00A744F8" w:rsidP="00A744F8">
      <w:pPr>
        <w:pStyle w:val="enumlev1"/>
      </w:pPr>
      <w:r w:rsidRPr="00B2067F">
        <w:t>•</w:t>
      </w:r>
      <w:r w:rsidRPr="00B2067F">
        <w:tab/>
        <w:t xml:space="preserve">Reescritura del </w:t>
      </w:r>
      <w:r w:rsidRPr="00B2067F">
        <w:rPr>
          <w:i/>
        </w:rPr>
        <w:t>software</w:t>
      </w:r>
      <w:r w:rsidRPr="00B2067F">
        <w:t xml:space="preserve"> de cálculo de la DFP para la protección de los servicios espaciales: en curso.</w:t>
      </w:r>
    </w:p>
    <w:p w14:paraId="17476BE6" w14:textId="6EBABE9F" w:rsidR="00A744F8" w:rsidRPr="00B2067F" w:rsidRDefault="00A744F8" w:rsidP="00A744F8">
      <w:pPr>
        <w:pStyle w:val="enumlev1"/>
      </w:pPr>
      <w:r w:rsidRPr="00B2067F">
        <w:t>•</w:t>
      </w:r>
      <w:r w:rsidRPr="00B2067F">
        <w:tab/>
        <w:t xml:space="preserve">Migración del </w:t>
      </w:r>
      <w:r w:rsidRPr="00B2067F">
        <w:rPr>
          <w:i/>
          <w:iCs/>
        </w:rPr>
        <w:t>software</w:t>
      </w:r>
      <w:r w:rsidRPr="00B2067F">
        <w:t xml:space="preserve"> para los exámenes técnicos escrito en Fortran del compilador Compaq Visual Fortran al compilador Intel Fortran: en curso.</w:t>
      </w:r>
    </w:p>
    <w:p w14:paraId="2A032468" w14:textId="3B5BC479" w:rsidR="00A744F8" w:rsidRPr="00B2067F" w:rsidRDefault="00A744F8" w:rsidP="00A744F8">
      <w:pPr>
        <w:pStyle w:val="enumlev1"/>
      </w:pPr>
      <w:r w:rsidRPr="00B2067F">
        <w:t>•</w:t>
      </w:r>
      <w:r w:rsidRPr="00B2067F">
        <w:tab/>
        <w:t>Migra</w:t>
      </w:r>
      <w:r w:rsidR="00BA4800" w:rsidRPr="00B2067F">
        <w:t xml:space="preserve">ción de los componentes del </w:t>
      </w:r>
      <w:r w:rsidRPr="00B2067F">
        <w:t>Fortran del GIMS: pendiente de inicio.</w:t>
      </w:r>
    </w:p>
    <w:p w14:paraId="5598790E" w14:textId="77777777" w:rsidR="00A744F8" w:rsidRPr="00B2067F" w:rsidRDefault="00A744F8" w:rsidP="00A744F8">
      <w:pPr>
        <w:pStyle w:val="enumlev1"/>
      </w:pPr>
      <w:r w:rsidRPr="00B2067F">
        <w:t>•</w:t>
      </w:r>
      <w:r w:rsidRPr="00B2067F">
        <w:tab/>
        <w:t>Mspace – Migración de los componentes de Visual Basic 6 a .NET: en curso.</w:t>
      </w:r>
    </w:p>
    <w:p w14:paraId="7B842938" w14:textId="635B9A26" w:rsidR="00AB00C5" w:rsidRPr="00B2067F" w:rsidRDefault="00AB00C5" w:rsidP="00AB00C5">
      <w:pPr>
        <w:pStyle w:val="Heading4"/>
      </w:pPr>
      <w:r w:rsidRPr="00B2067F">
        <w:t>7.2.1.2</w:t>
      </w:r>
      <w:r w:rsidRPr="00B2067F">
        <w:tab/>
        <w:t>Diseño y desarrollo del sistema de información espacial de la BR (BR SIS)</w:t>
      </w:r>
    </w:p>
    <w:p w14:paraId="5ED32BBC" w14:textId="162BF1F0" w:rsidR="00AB00C5" w:rsidRPr="00B2067F" w:rsidRDefault="00AB00C5" w:rsidP="00AB00C5">
      <w:pPr>
        <w:pStyle w:val="enumlev1"/>
      </w:pPr>
      <w:r w:rsidRPr="00B2067F">
        <w:t>•</w:t>
      </w:r>
      <w:r w:rsidRPr="00B2067F">
        <w:tab/>
        <w:t xml:space="preserve">Reescritura de la versión de SpaceCap en Visual Basic 6: en curso. </w:t>
      </w:r>
      <w:r w:rsidR="009243B7" w:rsidRPr="00B2067F">
        <w:t>E</w:t>
      </w:r>
      <w:r w:rsidRPr="00B2067F">
        <w:t xml:space="preserve">n 2021, </w:t>
      </w:r>
      <w:r w:rsidR="009243B7" w:rsidRPr="00B2067F">
        <w:t xml:space="preserve">se podrá acceder a los primeros módulos de </w:t>
      </w:r>
      <w:r w:rsidRPr="00B2067F">
        <w:t xml:space="preserve">SpaceCap </w:t>
      </w:r>
      <w:r w:rsidR="009243B7" w:rsidRPr="00B2067F">
        <w:t xml:space="preserve">implementados en </w:t>
      </w:r>
      <w:r w:rsidRPr="00B2067F">
        <w:t>BRSIS</w:t>
      </w:r>
      <w:r w:rsidR="009243B7" w:rsidRPr="00B2067F">
        <w:t xml:space="preserve">, a partir del </w:t>
      </w:r>
      <w:r w:rsidR="009243B7" w:rsidRPr="00B2067F">
        <w:rPr>
          <w:i/>
        </w:rPr>
        <w:t>software</w:t>
      </w:r>
      <w:r w:rsidR="009243B7" w:rsidRPr="00B2067F">
        <w:t xml:space="preserve"> </w:t>
      </w:r>
      <w:r w:rsidRPr="00B2067F">
        <w:t xml:space="preserve">Space </w:t>
      </w:r>
      <w:r w:rsidR="009243B7" w:rsidRPr="00B2067F">
        <w:t xml:space="preserve">versión </w:t>
      </w:r>
      <w:r w:rsidRPr="00B2067F">
        <w:t>9.1.</w:t>
      </w:r>
      <w:r w:rsidR="00AE0F8A" w:rsidRPr="00B2067F">
        <w:t xml:space="preserve"> de la BR.</w:t>
      </w:r>
    </w:p>
    <w:p w14:paraId="43F69635" w14:textId="03737A3D" w:rsidR="00AB00C5" w:rsidRPr="00B2067F" w:rsidRDefault="00AB00C5" w:rsidP="00AB00C5">
      <w:pPr>
        <w:pStyle w:val="enumlev1"/>
      </w:pPr>
      <w:r w:rsidRPr="00B2067F">
        <w:t>•</w:t>
      </w:r>
      <w:r w:rsidRPr="00B2067F">
        <w:tab/>
      </w:r>
      <w:r w:rsidR="00063C44" w:rsidRPr="00B2067F">
        <w:rPr>
          <w:color w:val="000000"/>
        </w:rPr>
        <w:t>Migración de SRS.mdb a tecnologías más modernas</w:t>
      </w:r>
      <w:r w:rsidRPr="00B2067F">
        <w:t xml:space="preserve">: </w:t>
      </w:r>
      <w:r w:rsidR="00063C44" w:rsidRPr="00B2067F">
        <w:t xml:space="preserve">aunque la </w:t>
      </w:r>
      <w:r w:rsidR="00237B6F" w:rsidRPr="00B2067F">
        <w:t xml:space="preserve">opción </w:t>
      </w:r>
      <w:r w:rsidR="00063C44" w:rsidRPr="00B2067F">
        <w:t>tecnol</w:t>
      </w:r>
      <w:r w:rsidR="00237B6F" w:rsidRPr="00B2067F">
        <w:t>ógica</w:t>
      </w:r>
      <w:r w:rsidR="00063C44" w:rsidRPr="00B2067F">
        <w:t xml:space="preserve"> que </w:t>
      </w:r>
      <w:r w:rsidR="00237B6F" w:rsidRPr="00B2067F">
        <w:t xml:space="preserve">reemplazará </w:t>
      </w:r>
      <w:r w:rsidR="00063C44" w:rsidRPr="00B2067F">
        <w:t>los archivos MDB es evidente, la dependencia de los archivos MDB para la tramitación de los servicios espaciales internos de la</w:t>
      </w:r>
      <w:r w:rsidRPr="00B2067F">
        <w:t xml:space="preserve"> BR </w:t>
      </w:r>
      <w:r w:rsidR="00063C44" w:rsidRPr="00B2067F">
        <w:t xml:space="preserve">es tal que la migración a las bases </w:t>
      </w:r>
      <w:r w:rsidR="00063C44" w:rsidRPr="00B2067F">
        <w:lastRenderedPageBreak/>
        <w:t xml:space="preserve">de datos </w:t>
      </w:r>
      <w:r w:rsidRPr="00B2067F">
        <w:t xml:space="preserve">SQLite </w:t>
      </w:r>
      <w:r w:rsidR="00063C44" w:rsidRPr="00B2067F">
        <w:t xml:space="preserve">no se puede ejecutar antes de la CMR-23. Se conservará durante un tiempo previsible la compatibilidad retroactiva con el formato MDB, así como las herramientas de conversión, cuando las aplicaciones de </w:t>
      </w:r>
      <w:r w:rsidR="00063C44" w:rsidRPr="00B2067F">
        <w:rPr>
          <w:i/>
        </w:rPr>
        <w:t>software</w:t>
      </w:r>
      <w:r w:rsidR="00063C44" w:rsidRPr="00B2067F">
        <w:t xml:space="preserve"> espaciales de la BR se hayan trasladado a </w:t>
      </w:r>
      <w:r w:rsidRPr="00B2067F">
        <w:t>SQLite.</w:t>
      </w:r>
    </w:p>
    <w:p w14:paraId="00A2534B" w14:textId="0E3BB070" w:rsidR="00AB00C5" w:rsidRPr="00B2067F" w:rsidRDefault="00AB00C5" w:rsidP="00AB00C5">
      <w:pPr>
        <w:pStyle w:val="enumlev1"/>
      </w:pPr>
      <w:r w:rsidRPr="00B2067F">
        <w:t>•</w:t>
      </w:r>
      <w:r w:rsidRPr="00B2067F">
        <w:tab/>
        <w:t xml:space="preserve">Migración de la base de datos SNS de Ingres a SQL Server: La migración de las aplicaciones de tramitación interna </w:t>
      </w:r>
      <w:r w:rsidR="00063C44" w:rsidRPr="00B2067F">
        <w:t xml:space="preserve">específicas </w:t>
      </w:r>
      <w:r w:rsidRPr="00B2067F">
        <w:t xml:space="preserve">del entorno Ingres siguió su curso en 2020. El resto de aplicaciones de tramitación interna se reescribirán o adaptarán en 2021, </w:t>
      </w:r>
      <w:r w:rsidR="00063C44" w:rsidRPr="00B2067F">
        <w:t>para que entren en producción no más tarde del primer trimestre de 2022</w:t>
      </w:r>
      <w:r w:rsidRPr="00B2067F">
        <w:t>.</w:t>
      </w:r>
    </w:p>
    <w:p w14:paraId="6E62226F" w14:textId="73FF48BF" w:rsidR="00AB00C5" w:rsidRPr="00B2067F" w:rsidRDefault="00063C44" w:rsidP="00AB00C5">
      <w:pPr>
        <w:pStyle w:val="enumlev1"/>
      </w:pPr>
      <w:r w:rsidRPr="00B2067F">
        <w:t>•</w:t>
      </w:r>
      <w:r w:rsidRPr="00B2067F">
        <w:tab/>
        <w:t>Examen de SNTrack: partes de</w:t>
      </w:r>
      <w:r w:rsidR="00AB00C5" w:rsidRPr="00B2067F">
        <w:t xml:space="preserve"> SNTrack será</w:t>
      </w:r>
      <w:r w:rsidRPr="00B2067F">
        <w:t>n reemplazadas</w:t>
      </w:r>
      <w:r w:rsidR="00AB00C5" w:rsidRPr="00B2067F">
        <w:t xml:space="preserve"> en 2021 por un Sistema de Información de Gestión del Espacio, que complementará la funcionalidad de administración del sistema de presentación electrónica.</w:t>
      </w:r>
    </w:p>
    <w:p w14:paraId="02784A75" w14:textId="764A69BE" w:rsidR="00AB00C5" w:rsidRPr="00B2067F" w:rsidRDefault="00AB00C5" w:rsidP="00AB00C5">
      <w:pPr>
        <w:pStyle w:val="enumlev1"/>
      </w:pPr>
      <w:r w:rsidRPr="00B2067F">
        <w:t>•</w:t>
      </w:r>
      <w:r w:rsidRPr="00B2067F">
        <w:tab/>
      </w:r>
      <w:r w:rsidR="00DD494A" w:rsidRPr="00B2067F">
        <w:t xml:space="preserve">Examen de </w:t>
      </w:r>
      <w:r w:rsidR="00754ECF" w:rsidRPr="00B2067F">
        <w:t xml:space="preserve">la </w:t>
      </w:r>
      <w:r w:rsidRPr="00B2067F">
        <w:t xml:space="preserve">SNS </w:t>
      </w:r>
      <w:r w:rsidR="00754ECF" w:rsidRPr="00B2067F">
        <w:t xml:space="preserve">en línea </w:t>
      </w:r>
      <w:r w:rsidRPr="00B2067F">
        <w:t>(</w:t>
      </w:r>
      <w:r w:rsidR="00DD494A" w:rsidRPr="00B2067F">
        <w:t xml:space="preserve">y </w:t>
      </w:r>
      <w:r w:rsidR="00754ECF" w:rsidRPr="00B2067F">
        <w:t>fusió</w:t>
      </w:r>
      <w:r w:rsidR="00DD494A" w:rsidRPr="00B2067F">
        <w:t xml:space="preserve">n con </w:t>
      </w:r>
      <w:r w:rsidR="00754ECF" w:rsidRPr="00B2067F">
        <w:t xml:space="preserve">la </w:t>
      </w:r>
      <w:r w:rsidRPr="00B2067F">
        <w:t xml:space="preserve">SNL </w:t>
      </w:r>
      <w:r w:rsidR="00754ECF" w:rsidRPr="00B2067F">
        <w:t>en línea</w:t>
      </w:r>
      <w:r w:rsidRPr="00B2067F">
        <w:t xml:space="preserve">): </w:t>
      </w:r>
      <w:r w:rsidR="00754ECF" w:rsidRPr="00B2067F">
        <w:t>en curso</w:t>
      </w:r>
      <w:r w:rsidRPr="00B2067F">
        <w:t xml:space="preserve">. </w:t>
      </w:r>
      <w:r w:rsidR="00754ECF" w:rsidRPr="00B2067F">
        <w:t xml:space="preserve">El desarrollo de la aplicación </w:t>
      </w:r>
      <w:r w:rsidRPr="00B2067F">
        <w:t>web Space Exp</w:t>
      </w:r>
      <w:r w:rsidR="00754ECF" w:rsidRPr="00B2067F">
        <w:t xml:space="preserve">lorer de la UIT, que reemplazará el sistema de minería de datos que se incluía previamente en la </w:t>
      </w:r>
      <w:r w:rsidRPr="00B2067F">
        <w:t xml:space="preserve">SNS </w:t>
      </w:r>
      <w:r w:rsidR="00754ECF" w:rsidRPr="00B2067F">
        <w:t xml:space="preserve">en línea y la </w:t>
      </w:r>
      <w:r w:rsidRPr="00B2067F">
        <w:t xml:space="preserve">SNL </w:t>
      </w:r>
      <w:r w:rsidR="00754ECF" w:rsidRPr="00B2067F">
        <w:t>en línea, forma parte del proyecto para ejecutar la Resolució</w:t>
      </w:r>
      <w:r w:rsidRPr="00B2067F">
        <w:t xml:space="preserve">n 908 </w:t>
      </w:r>
      <w:r w:rsidR="00754ECF" w:rsidRPr="00B2067F">
        <w:t xml:space="preserve">y responder al </w:t>
      </w:r>
      <w:r w:rsidR="00754ECF" w:rsidRPr="00B2067F">
        <w:rPr>
          <w:i/>
        </w:rPr>
        <w:t>resuelve</w:t>
      </w:r>
      <w:r w:rsidR="00754ECF" w:rsidRPr="00B2067F">
        <w:t xml:space="preserve"> 4 de la </w:t>
      </w:r>
      <w:r w:rsidRPr="00B2067F">
        <w:t>Resolu</w:t>
      </w:r>
      <w:r w:rsidR="006D68D9" w:rsidRPr="00B2067F">
        <w:t>ción 186 (Rev. </w:t>
      </w:r>
      <w:r w:rsidRPr="00B2067F">
        <w:t>Dub</w:t>
      </w:r>
      <w:r w:rsidR="00754ECF" w:rsidRPr="00B2067F">
        <w:t>á</w:t>
      </w:r>
      <w:r w:rsidRPr="00B2067F">
        <w:t>i</w:t>
      </w:r>
      <w:r w:rsidR="00754ECF" w:rsidRPr="00B2067F">
        <w:t>, 2018</w:t>
      </w:r>
      <w:r w:rsidRPr="00B2067F">
        <w:t xml:space="preserve">) </w:t>
      </w:r>
      <w:r w:rsidR="00754ECF" w:rsidRPr="00B2067F">
        <w:t>de la PP</w:t>
      </w:r>
      <w:r w:rsidRPr="00B2067F">
        <w:t xml:space="preserve">. </w:t>
      </w:r>
      <w:r w:rsidR="00754ECF" w:rsidRPr="00B2067F">
        <w:t>Una vez aprobados el diseñ</w:t>
      </w:r>
      <w:r w:rsidR="006D68D9" w:rsidRPr="00B2067F">
        <w:t>o de concepto y el prototipo en </w:t>
      </w:r>
      <w:r w:rsidRPr="00B2067F">
        <w:t xml:space="preserve">2020, </w:t>
      </w:r>
      <w:r w:rsidR="00754ECF" w:rsidRPr="00B2067F">
        <w:t xml:space="preserve">se continúa avanzando con la fase </w:t>
      </w:r>
      <w:r w:rsidRPr="00B2067F">
        <w:t xml:space="preserve">1 </w:t>
      </w:r>
      <w:r w:rsidR="00754ECF" w:rsidRPr="00B2067F">
        <w:t xml:space="preserve">en </w:t>
      </w:r>
      <w:r w:rsidRPr="00B2067F">
        <w:t>2021</w:t>
      </w:r>
      <w:r w:rsidR="00754ECF" w:rsidRPr="00B2067F">
        <w:t xml:space="preserve">, que previsiblemente estará disponible para los usuarios externos en </w:t>
      </w:r>
      <w:r w:rsidRPr="00B2067F">
        <w:t>2022.</w:t>
      </w:r>
    </w:p>
    <w:p w14:paraId="0E6C0F0C" w14:textId="0CE36A64" w:rsidR="00AB00C5" w:rsidRPr="00B2067F" w:rsidRDefault="00AB00C5" w:rsidP="00AB00C5">
      <w:pPr>
        <w:pStyle w:val="Heading3"/>
      </w:pPr>
      <w:r w:rsidRPr="00B2067F">
        <w:t>7.2.2</w:t>
      </w:r>
      <w:r w:rsidRPr="00B2067F">
        <w:tab/>
        <w:t>Progres</w:t>
      </w:r>
      <w:r w:rsidR="00237B6F" w:rsidRPr="00B2067F">
        <w:t xml:space="preserve">os hacia los objetivos de la Fase </w:t>
      </w:r>
      <w:r w:rsidRPr="00B2067F">
        <w:t xml:space="preserve">3 </w:t>
      </w:r>
      <w:r w:rsidR="00237B6F" w:rsidRPr="00B2067F">
        <w:t>de la hoja de ruta</w:t>
      </w:r>
    </w:p>
    <w:p w14:paraId="5FC568BF" w14:textId="77777777" w:rsidR="00AB00C5" w:rsidRPr="00B2067F" w:rsidRDefault="00AB00C5" w:rsidP="00AB00C5">
      <w:r w:rsidRPr="00B2067F">
        <w:t>El trabajo realizado durante las fases anteriores, así como las opciones tecnológicas y de diseño adoptadas, sientan una base excelente para finalizar la Fase 3 de forma satisfactoria:</w:t>
      </w:r>
    </w:p>
    <w:p w14:paraId="33504D5D" w14:textId="46BB08DA" w:rsidR="00AB00C5" w:rsidRPr="00B2067F" w:rsidRDefault="00AB00C5" w:rsidP="00AB00C5">
      <w:pPr>
        <w:pStyle w:val="enumlev1"/>
      </w:pPr>
      <w:r w:rsidRPr="00B2067F">
        <w:t>•</w:t>
      </w:r>
      <w:r w:rsidRPr="00B2067F">
        <w:tab/>
        <w:t>Las bases de datos espaciales migrarán a la plataforma SQL Server a finales de 2021/</w:t>
      </w:r>
      <w:r w:rsidR="00237B6F" w:rsidRPr="00B2067F">
        <w:t xml:space="preserve">principios de </w:t>
      </w:r>
      <w:r w:rsidRPr="00B2067F">
        <w:t>2022.</w:t>
      </w:r>
    </w:p>
    <w:p w14:paraId="2AB4CACB" w14:textId="78D1BF7D" w:rsidR="00AB00C5" w:rsidRPr="00B2067F" w:rsidRDefault="00AB00C5" w:rsidP="00AB00C5">
      <w:pPr>
        <w:pStyle w:val="enumlev1"/>
      </w:pPr>
      <w:r w:rsidRPr="00B2067F">
        <w:t>•</w:t>
      </w:r>
      <w:r w:rsidRPr="00B2067F">
        <w:tab/>
      </w:r>
      <w:r w:rsidR="00C32701" w:rsidRPr="00B2067F">
        <w:t>El</w:t>
      </w:r>
      <w:r w:rsidRPr="00B2067F">
        <w:t xml:space="preserve"> </w:t>
      </w:r>
      <w:r w:rsidR="00C32701" w:rsidRPr="00B2067F">
        <w:t xml:space="preserve">proceso de </w:t>
      </w:r>
      <w:r w:rsidRPr="00B2067F">
        <w:t xml:space="preserve">rediseñar la arquitectura, conservando la equivalencia de los datos, a fin de eliminar ciertas redundancias, </w:t>
      </w:r>
      <w:r w:rsidR="00C32701" w:rsidRPr="00B2067F">
        <w:t xml:space="preserve">se realizará por etapas; la primera etapa será la publicación del </w:t>
      </w:r>
      <w:r w:rsidR="00C32701" w:rsidRPr="00B2067F">
        <w:rPr>
          <w:i/>
        </w:rPr>
        <w:t>software</w:t>
      </w:r>
      <w:r w:rsidR="00C32701" w:rsidRPr="00B2067F">
        <w:t xml:space="preserve"> espacial de la BR (versión 9.2) en el período entre las CMR, programada provisionalmente para finales de </w:t>
      </w:r>
      <w:r w:rsidRPr="00B2067F">
        <w:t>2021/</w:t>
      </w:r>
      <w:r w:rsidR="00C32701" w:rsidRPr="00B2067F">
        <w:t xml:space="preserve">principios de </w:t>
      </w:r>
      <w:r w:rsidRPr="00B2067F">
        <w:t>2022.</w:t>
      </w:r>
    </w:p>
    <w:p w14:paraId="74D497B3" w14:textId="77777777" w:rsidR="00AB00C5" w:rsidRPr="00B2067F" w:rsidRDefault="00AB00C5" w:rsidP="00AB00C5">
      <w:pPr>
        <w:pStyle w:val="enumlev1"/>
      </w:pPr>
      <w:r w:rsidRPr="00B2067F">
        <w:t>•</w:t>
      </w:r>
      <w:r w:rsidRPr="00B2067F">
        <w:tab/>
        <w:t>Las actividades relacionadas con la centralización y racionalización de la gestión de riesgos, la recuperación y la seguridad están en curso.</w:t>
      </w:r>
    </w:p>
    <w:p w14:paraId="2226D2DA" w14:textId="77777777" w:rsidR="00AB00C5" w:rsidRPr="00B2067F" w:rsidRDefault="00AB00C5" w:rsidP="00AB00C5">
      <w:pPr>
        <w:pStyle w:val="Heading2"/>
      </w:pPr>
      <w:r w:rsidRPr="00B2067F">
        <w:t>7.3</w:t>
      </w:r>
      <w:r w:rsidRPr="00B2067F">
        <w:tab/>
        <w:t xml:space="preserve">Avances en materia de </w:t>
      </w:r>
      <w:r w:rsidRPr="00B2067F">
        <w:rPr>
          <w:i/>
          <w:iCs/>
        </w:rPr>
        <w:t>software</w:t>
      </w:r>
      <w:r w:rsidRPr="00B2067F">
        <w:t xml:space="preserve"> relacionados con los servicios espaciales</w:t>
      </w:r>
    </w:p>
    <w:p w14:paraId="4673A7C6" w14:textId="77777777" w:rsidR="00AB00C5" w:rsidRPr="00B2067F" w:rsidRDefault="00AB00C5" w:rsidP="00AB00C5">
      <w:pPr>
        <w:pStyle w:val="Heading3"/>
      </w:pPr>
      <w:r w:rsidRPr="00B2067F">
        <w:t>7.3.1</w:t>
      </w:r>
      <w:r w:rsidRPr="00B2067F">
        <w:tab/>
        <w:t>Aplicación de la Resolución 907 (Rev.CMR-15): Utilización de medios electrónicos modernos de comunicación para la correspondencia administrativa relativa a las redes de satélites</w:t>
      </w:r>
    </w:p>
    <w:p w14:paraId="5DF821B5" w14:textId="5C8EB699" w:rsidR="00AB00C5" w:rsidRPr="00B2067F" w:rsidRDefault="00AB00C5" w:rsidP="00AB00C5">
      <w:r w:rsidRPr="00B2067F">
        <w:t xml:space="preserve">Durante el año 2020, se siguió </w:t>
      </w:r>
      <w:r w:rsidR="00D96B06" w:rsidRPr="00B2067F">
        <w:t xml:space="preserve">trabajando en </w:t>
      </w:r>
      <w:r w:rsidRPr="00B2067F">
        <w:t>la aplicación de la Resolución 907 (Rev.CMR</w:t>
      </w:r>
      <w:r w:rsidRPr="00B2067F">
        <w:noBreakHyphen/>
        <w:t xml:space="preserve">15), con objeto de ofrecer un sistema en línea seguro </w:t>
      </w:r>
      <w:r w:rsidR="00D96B06" w:rsidRPr="00B2067F">
        <w:t xml:space="preserve">de comunicaciones electrónicas </w:t>
      </w:r>
      <w:r w:rsidRPr="00B2067F">
        <w:t>que permitiera modernizar y mejorar el sistema actual de tramitación de la correspondencia entre la UIT y las administraciones y entre estas últimas</w:t>
      </w:r>
      <w:r w:rsidR="00D96B06" w:rsidRPr="00B2067F">
        <w:t>, con la adición de las siguientes características</w:t>
      </w:r>
      <w:r w:rsidRPr="00B2067F">
        <w:t>:</w:t>
      </w:r>
    </w:p>
    <w:p w14:paraId="72F41276" w14:textId="5E32F336" w:rsidR="00AB00C5" w:rsidRPr="00B2067F" w:rsidRDefault="00AB00C5" w:rsidP="00AB00C5">
      <w:pPr>
        <w:pStyle w:val="enumlev1"/>
      </w:pPr>
      <w:r w:rsidRPr="00B2067F">
        <w:t>•</w:t>
      </w:r>
      <w:r w:rsidRPr="00B2067F">
        <w:tab/>
      </w:r>
      <w:r w:rsidR="00890AD7" w:rsidRPr="00B2067F">
        <w:t>Indicación del estado Read/Unread (Leído/No leído) para cada correspondencia entrante</w:t>
      </w:r>
      <w:r w:rsidRPr="00B2067F">
        <w:t>.</w:t>
      </w:r>
    </w:p>
    <w:p w14:paraId="18752ECF" w14:textId="78E4A217" w:rsidR="00AB00C5" w:rsidRPr="00B2067F" w:rsidRDefault="00AB00C5" w:rsidP="00AB00C5">
      <w:pPr>
        <w:pStyle w:val="enumlev1"/>
      </w:pPr>
      <w:r w:rsidRPr="00B2067F">
        <w:t>•</w:t>
      </w:r>
      <w:r w:rsidRPr="00B2067F">
        <w:tab/>
        <w:t>Indica</w:t>
      </w:r>
      <w:r w:rsidR="00890AD7" w:rsidRPr="00B2067F">
        <w:t xml:space="preserve">ción del estado </w:t>
      </w:r>
      <w:r w:rsidRPr="00B2067F">
        <w:t xml:space="preserve">Handled </w:t>
      </w:r>
      <w:r w:rsidR="00890AD7" w:rsidRPr="00B2067F">
        <w:t>(Tramitado), que significa que la correspondencia ha sido tramitada por un usuario de la administración receptora</w:t>
      </w:r>
      <w:r w:rsidRPr="00B2067F">
        <w:t>.</w:t>
      </w:r>
    </w:p>
    <w:p w14:paraId="62916B14" w14:textId="23B536BB" w:rsidR="00AB00C5" w:rsidRPr="00B2067F" w:rsidRDefault="00AB00C5" w:rsidP="00AB00C5">
      <w:pPr>
        <w:pStyle w:val="enumlev1"/>
      </w:pPr>
      <w:r w:rsidRPr="00B2067F">
        <w:t>•</w:t>
      </w:r>
      <w:r w:rsidRPr="00B2067F">
        <w:tab/>
        <w:t>Export</w:t>
      </w:r>
      <w:r w:rsidR="00890AD7" w:rsidRPr="00B2067F">
        <w:t>ación de las correspondencias</w:t>
      </w:r>
      <w:r w:rsidRPr="00B2067F">
        <w:t xml:space="preserve"> </w:t>
      </w:r>
      <w:r w:rsidR="00890AD7" w:rsidRPr="00B2067F">
        <w:t xml:space="preserve">como archivos </w:t>
      </w:r>
      <w:r w:rsidRPr="00B2067F">
        <w:t xml:space="preserve">PDF </w:t>
      </w:r>
      <w:r w:rsidR="00890AD7" w:rsidRPr="00B2067F">
        <w:t>y envío como adjuntos de correo electrónico para que los usuarios puedan compartir las correspondencias con eficacia</w:t>
      </w:r>
      <w:r w:rsidRPr="00B2067F">
        <w:t>.</w:t>
      </w:r>
    </w:p>
    <w:p w14:paraId="7FC5BAB9" w14:textId="1FFF2F81" w:rsidR="00AB00C5" w:rsidRPr="00B2067F" w:rsidRDefault="00AB00C5" w:rsidP="00AB00C5">
      <w:pPr>
        <w:pStyle w:val="enumlev1"/>
      </w:pPr>
      <w:r w:rsidRPr="00B2067F">
        <w:t>•</w:t>
      </w:r>
      <w:r w:rsidRPr="00B2067F">
        <w:tab/>
      </w:r>
      <w:r w:rsidR="00890AD7" w:rsidRPr="00B2067F">
        <w:t>Mejora de las funciones de clasificación y consulta en una lista de correspondencia.</w:t>
      </w:r>
    </w:p>
    <w:p w14:paraId="5F9950F4" w14:textId="4ADDF27F" w:rsidR="00AB00C5" w:rsidRPr="00B2067F" w:rsidRDefault="007F6B81" w:rsidP="00AB00C5">
      <w:r w:rsidRPr="00B2067F">
        <w:lastRenderedPageBreak/>
        <w:t xml:space="preserve">La Oficina también actualizó el sistema de comunicaciones electrónicas en febrero de 2021 a fin de mejorar la tramitación de los comentarios enviados por las administraciones afectadas a las administraciones notificantes en las bandas planificadas de los servicios espaciales e incorporar un diseño más cómodo para el usuario. Además, la Oficina trabaja </w:t>
      </w:r>
      <w:r w:rsidR="00AE0F8A" w:rsidRPr="00B2067F">
        <w:t>ininterrumpidamente</w:t>
      </w:r>
      <w:r w:rsidRPr="00B2067F">
        <w:t xml:space="preserve"> para mejorar el rendimiento del sistema</w:t>
      </w:r>
      <w:r w:rsidR="00AB00C5" w:rsidRPr="00B2067F">
        <w:t>.</w:t>
      </w:r>
    </w:p>
    <w:p w14:paraId="17C38353" w14:textId="188EA819" w:rsidR="00AB00C5" w:rsidRPr="00B2067F" w:rsidRDefault="007F6B81" w:rsidP="00AB00C5">
      <w:r w:rsidRPr="00B2067F">
        <w:t>Este sistema en línea ha facilitado las comunicaciones relacionadas con los servicios espaciales entre la Oficina y las administraciones y entre estas últimas</w:t>
      </w:r>
      <w:r w:rsidR="00AB00C5" w:rsidRPr="00B2067F">
        <w:t xml:space="preserve">, </w:t>
      </w:r>
      <w:r w:rsidRPr="00B2067F">
        <w:t xml:space="preserve">pese a </w:t>
      </w:r>
      <w:r w:rsidR="00A3039F" w:rsidRPr="00B2067F">
        <w:t>las limitaciones asociadas a la </w:t>
      </w:r>
      <w:r w:rsidRPr="00B2067F">
        <w:t>COVID-19 y los entornos de trabajo remoto implantados por la mayoría de las administraciones</w:t>
      </w:r>
      <w:r w:rsidR="00AB00C5" w:rsidRPr="00B2067F">
        <w:t>.</w:t>
      </w:r>
    </w:p>
    <w:p w14:paraId="7ED31277" w14:textId="39A5BF80" w:rsidR="00AB00C5" w:rsidRPr="00B2067F" w:rsidRDefault="00A74116" w:rsidP="00A74116">
      <w:pPr>
        <w:pStyle w:val="Heading3"/>
      </w:pPr>
      <w:r w:rsidRPr="00B2067F">
        <w:t>7.3.2</w:t>
      </w:r>
      <w:r w:rsidRPr="00B2067F">
        <w:tab/>
      </w:r>
      <w:bookmarkStart w:id="59" w:name="lt_pId259"/>
      <w:r w:rsidR="007F6B81" w:rsidRPr="00B2067F">
        <w:t xml:space="preserve">Aplicación de la Resolución </w:t>
      </w:r>
      <w:r w:rsidRPr="00B2067F">
        <w:t>908 (Rev.CMR-15): Presentación en formato electrónico de las notif</w:t>
      </w:r>
      <w:r w:rsidR="00A3039F" w:rsidRPr="00B2067F">
        <w:t xml:space="preserve">icaciones de redes de </w:t>
      </w:r>
      <w:r w:rsidRPr="00B2067F">
        <w:t>satélite</w:t>
      </w:r>
      <w:bookmarkEnd w:id="59"/>
    </w:p>
    <w:p w14:paraId="0976C53B" w14:textId="58D1880C" w:rsidR="00A74116" w:rsidRPr="00B2067F" w:rsidRDefault="007F6B81" w:rsidP="00A74116">
      <w:r w:rsidRPr="00B2067F">
        <w:t>E</w:t>
      </w:r>
      <w:r w:rsidR="00A74116" w:rsidRPr="00B2067F">
        <w:t xml:space="preserve">n 2020, </w:t>
      </w:r>
      <w:r w:rsidRPr="00B2067F">
        <w:t>se implantaron las funcionalidades siguientes en el sistema de presentación electrónica</w:t>
      </w:r>
      <w:r w:rsidR="00A74116" w:rsidRPr="00B2067F">
        <w:t xml:space="preserve">: </w:t>
      </w:r>
    </w:p>
    <w:p w14:paraId="2C7925E0" w14:textId="6915EA1E" w:rsidR="00A74116" w:rsidRPr="00B2067F" w:rsidRDefault="00A74116" w:rsidP="00A74116">
      <w:pPr>
        <w:pStyle w:val="enumlev1"/>
      </w:pPr>
      <w:r w:rsidRPr="00B2067F">
        <w:t>•</w:t>
      </w:r>
      <w:r w:rsidRPr="00B2067F">
        <w:tab/>
      </w:r>
      <w:r w:rsidR="007F6B81" w:rsidRPr="00B2067F">
        <w:t>Publicación de los comentarios de API tal como se reciben</w:t>
      </w:r>
      <w:r w:rsidR="00A40384" w:rsidRPr="00B2067F">
        <w:t>.</w:t>
      </w:r>
    </w:p>
    <w:p w14:paraId="3EAEDA1E" w14:textId="37240988" w:rsidR="00A74116" w:rsidRPr="00B2067F" w:rsidRDefault="00A74116" w:rsidP="00A74116">
      <w:pPr>
        <w:pStyle w:val="enumlev1"/>
      </w:pPr>
      <w:r w:rsidRPr="00B2067F">
        <w:t>•</w:t>
      </w:r>
      <w:r w:rsidRPr="00B2067F">
        <w:tab/>
      </w:r>
      <w:r w:rsidR="007F6B81" w:rsidRPr="00B2067F">
        <w:t>Soporte de</w:t>
      </w:r>
      <w:r w:rsidR="00BA39CD" w:rsidRPr="00B2067F">
        <w:t>l</w:t>
      </w:r>
      <w:r w:rsidR="007F6B81" w:rsidRPr="00B2067F">
        <w:t xml:space="preserve"> </w:t>
      </w:r>
      <w:r w:rsidRPr="00B2067F">
        <w:t xml:space="preserve">SNS </w:t>
      </w:r>
      <w:r w:rsidR="00BA39CD" w:rsidRPr="00B2067F">
        <w:t>versió</w:t>
      </w:r>
      <w:r w:rsidRPr="00B2067F">
        <w:t>n 9</w:t>
      </w:r>
      <w:r w:rsidR="00A40384" w:rsidRPr="00B2067F">
        <w:t>.</w:t>
      </w:r>
    </w:p>
    <w:p w14:paraId="54F27F46" w14:textId="1270394E" w:rsidR="00A74116" w:rsidRPr="00B2067F" w:rsidRDefault="00A74116" w:rsidP="00A74116">
      <w:pPr>
        <w:pStyle w:val="enumlev1"/>
      </w:pPr>
      <w:r w:rsidRPr="00B2067F">
        <w:t>•</w:t>
      </w:r>
      <w:r w:rsidRPr="00B2067F">
        <w:tab/>
      </w:r>
      <w:r w:rsidR="00BA39CD" w:rsidRPr="00B2067F">
        <w:t>Exportación de la lista de comentarios tal como se reciben en formato de archivo csv</w:t>
      </w:r>
      <w:r w:rsidR="00A40384" w:rsidRPr="00B2067F">
        <w:t>.</w:t>
      </w:r>
    </w:p>
    <w:p w14:paraId="76097A1E" w14:textId="7A047A05" w:rsidR="00A74116" w:rsidRPr="00B2067F" w:rsidRDefault="00A74116" w:rsidP="00A74116">
      <w:pPr>
        <w:pStyle w:val="enumlev1"/>
      </w:pPr>
      <w:r w:rsidRPr="00B2067F">
        <w:t>•</w:t>
      </w:r>
      <w:r w:rsidRPr="00B2067F">
        <w:tab/>
      </w:r>
      <w:r w:rsidR="00BA39CD" w:rsidRPr="00B2067F">
        <w:t xml:space="preserve">Carga de los datos adicionales requeridos en virtud del Apéndice </w:t>
      </w:r>
      <w:r w:rsidRPr="00B2067F">
        <w:t xml:space="preserve">4 (rev. </w:t>
      </w:r>
      <w:r w:rsidR="00BA39CD" w:rsidRPr="00B2067F">
        <w:t>CMR</w:t>
      </w:r>
      <w:r w:rsidRPr="00B2067F">
        <w:t>-19)</w:t>
      </w:r>
      <w:r w:rsidR="00A40384" w:rsidRPr="00B2067F">
        <w:t>.</w:t>
      </w:r>
    </w:p>
    <w:p w14:paraId="649EBAFF" w14:textId="029B1EA9" w:rsidR="00A74116" w:rsidRPr="00B2067F" w:rsidRDefault="00A74116" w:rsidP="00A74116">
      <w:pPr>
        <w:pStyle w:val="enumlev1"/>
      </w:pPr>
      <w:r w:rsidRPr="00B2067F">
        <w:t>•</w:t>
      </w:r>
      <w:r w:rsidRPr="00B2067F">
        <w:tab/>
      </w:r>
      <w:r w:rsidR="00BA39CD" w:rsidRPr="00B2067F">
        <w:t>Publicación de las nuevas notificacione</w:t>
      </w:r>
      <w:r w:rsidR="00AE0F8A" w:rsidRPr="00B2067F">
        <w:t>s</w:t>
      </w:r>
      <w:r w:rsidR="00BA39CD" w:rsidRPr="00B2067F">
        <w:t xml:space="preserve"> tal como se reciben</w:t>
      </w:r>
      <w:r w:rsidR="00A40384" w:rsidRPr="00B2067F">
        <w:t>.</w:t>
      </w:r>
    </w:p>
    <w:p w14:paraId="3878AA45" w14:textId="478FE2E5" w:rsidR="00A74116" w:rsidRPr="00B2067F" w:rsidRDefault="00A74116" w:rsidP="00A74116">
      <w:pPr>
        <w:pStyle w:val="enumlev1"/>
      </w:pPr>
      <w:r w:rsidRPr="00B2067F">
        <w:t>•</w:t>
      </w:r>
      <w:r w:rsidRPr="00B2067F">
        <w:tab/>
      </w:r>
      <w:r w:rsidR="00BA39CD" w:rsidRPr="00B2067F">
        <w:t>Otras mejoras de uso del diseño</w:t>
      </w:r>
      <w:r w:rsidR="00A40384" w:rsidRPr="00B2067F">
        <w:t>.</w:t>
      </w:r>
    </w:p>
    <w:p w14:paraId="53A00D5F" w14:textId="4117E130" w:rsidR="00AB00C5" w:rsidRPr="00B2067F" w:rsidRDefault="00BA39CD" w:rsidP="00BF44DC">
      <w:r w:rsidRPr="00B2067F">
        <w:t>Además, la Oficina a</w:t>
      </w:r>
      <w:r w:rsidR="00AE0F8A" w:rsidRPr="00B2067F">
        <w:t>ctualizó la presentación electró</w:t>
      </w:r>
      <w:r w:rsidRPr="00B2067F">
        <w:t xml:space="preserve">nica en enero de </w:t>
      </w:r>
      <w:r w:rsidR="00A74116" w:rsidRPr="00B2067F">
        <w:t xml:space="preserve">2021 </w:t>
      </w:r>
      <w:r w:rsidRPr="00B2067F">
        <w:t xml:space="preserve">para introducir un tipo de comunicación nueva en virtud de la Resolución </w:t>
      </w:r>
      <w:r w:rsidR="00A74116" w:rsidRPr="00B2067F">
        <w:t>35 (</w:t>
      </w:r>
      <w:r w:rsidRPr="00B2067F">
        <w:t>CMR</w:t>
      </w:r>
      <w:r w:rsidR="00A74116" w:rsidRPr="00B2067F">
        <w:t xml:space="preserve">-19). Las mejoras de los procedimientos internos y del </w:t>
      </w:r>
      <w:r w:rsidR="00A74116" w:rsidRPr="00B2067F">
        <w:rPr>
          <w:i/>
        </w:rPr>
        <w:t>software</w:t>
      </w:r>
      <w:r w:rsidR="00A74116" w:rsidRPr="00B2067F">
        <w:t xml:space="preserve"> de tramitación se </w:t>
      </w:r>
      <w:r w:rsidR="00BA1592" w:rsidRPr="00B2067F">
        <w:t xml:space="preserve">están aplicando </w:t>
      </w:r>
      <w:r w:rsidR="00A74116" w:rsidRPr="00B2067F">
        <w:t>simultáneamente con la mencionada funcionalidad visible exteriormente.</w:t>
      </w:r>
    </w:p>
    <w:p w14:paraId="627D90FB" w14:textId="77777777" w:rsidR="00A74116" w:rsidRPr="00B2067F" w:rsidRDefault="00A74116" w:rsidP="00A74116">
      <w:bookmarkStart w:id="60" w:name="lt_pId486"/>
      <w:r w:rsidRPr="00B2067F">
        <w:t>Con miras a facilitar el desarrollo y la puesta a prueba, la Administración de Japón ha realizado una contribución financiera y ha destacado a un experto en cuestiones técnicas/normativas del espacio a Ginebra. La Oficina de Radiocomunicaciones reafirma su agradecimiento a la Administración de Japón por la asistencia prestada a efectos del desarrollo de este proyecto.</w:t>
      </w:r>
      <w:bookmarkEnd w:id="60"/>
    </w:p>
    <w:p w14:paraId="7A697B1D" w14:textId="13071E48" w:rsidR="00A74116" w:rsidRPr="00B2067F" w:rsidRDefault="00A74116" w:rsidP="00A74116">
      <w:pPr>
        <w:pStyle w:val="Heading3"/>
      </w:pPr>
      <w:r w:rsidRPr="00B2067F">
        <w:t>7.3.3</w:t>
      </w:r>
      <w:r w:rsidRPr="00B2067F">
        <w:tab/>
      </w:r>
      <w:bookmarkStart w:id="61" w:name="lt_pId489"/>
      <w:r w:rsidRPr="00B2067F">
        <w:t xml:space="preserve">Implementación del nuevo </w:t>
      </w:r>
      <w:r w:rsidRPr="00B2067F">
        <w:rPr>
          <w:i/>
        </w:rPr>
        <w:t>software</w:t>
      </w:r>
      <w:r w:rsidRPr="00B2067F">
        <w:t xml:space="preserve"> de examen </w:t>
      </w:r>
      <w:bookmarkEnd w:id="61"/>
      <w:r w:rsidR="0011384E" w:rsidRPr="00B2067F">
        <w:t>FOS</w:t>
      </w:r>
    </w:p>
    <w:p w14:paraId="149A45AB" w14:textId="34789280" w:rsidR="00A74116" w:rsidRPr="00B2067F" w:rsidRDefault="0011384E" w:rsidP="00A74116">
      <w:r w:rsidRPr="00B2067F">
        <w:t xml:space="preserve">El desarrollo del nuevo </w:t>
      </w:r>
      <w:r w:rsidRPr="00B2067F">
        <w:rPr>
          <w:i/>
        </w:rPr>
        <w:t>software</w:t>
      </w:r>
      <w:r w:rsidRPr="00B2067F">
        <w:t xml:space="preserve"> de examen FOS (superposición de frecuencias respecto de otros servicios espaciales) concluyó en enero de</w:t>
      </w:r>
      <w:r w:rsidR="00A74116" w:rsidRPr="00B2067F">
        <w:t xml:space="preserve"> 2021 </w:t>
      </w:r>
      <w:r w:rsidRPr="00B2067F">
        <w:t xml:space="preserve">y se ha introducido la nueva función en </w:t>
      </w:r>
      <w:r w:rsidR="00A74116" w:rsidRPr="00B2067F">
        <w:t xml:space="preserve">GIBC, </w:t>
      </w:r>
      <w:r w:rsidRPr="00B2067F">
        <w:t>a fin de posibilitar la identificación de las administraciones afectadas y la coordinación de las redes de satélites con arreglo a las disposiciones siguientes</w:t>
      </w:r>
      <w:r w:rsidR="00A74116" w:rsidRPr="00B2067F">
        <w:t>:</w:t>
      </w:r>
    </w:p>
    <w:p w14:paraId="7D6F7634" w14:textId="702DCFA4" w:rsidR="00A74116" w:rsidRPr="00B2067F" w:rsidRDefault="00A74116" w:rsidP="00A74116">
      <w:pPr>
        <w:pStyle w:val="enumlev1"/>
      </w:pPr>
      <w:r w:rsidRPr="00B2067F">
        <w:t>•</w:t>
      </w:r>
      <w:r w:rsidRPr="00B2067F">
        <w:tab/>
      </w:r>
      <w:r w:rsidR="0080110F" w:rsidRPr="00B2067F">
        <w:t xml:space="preserve">Número 9.11A del </w:t>
      </w:r>
      <w:r w:rsidRPr="00B2067F">
        <w:t xml:space="preserve">RR </w:t>
      </w:r>
      <w:r w:rsidR="0080110F" w:rsidRPr="00B2067F">
        <w:t xml:space="preserve">para </w:t>
      </w:r>
      <w:r w:rsidR="00C570BC" w:rsidRPr="00B2067F">
        <w:t>cualquier sistema</w:t>
      </w:r>
      <w:r w:rsidR="0080110F" w:rsidRPr="00B2067F">
        <w:t xml:space="preserve"> de satélites </w:t>
      </w:r>
      <w:r w:rsidR="00C570BC" w:rsidRPr="00B2067F">
        <w:t xml:space="preserve">con respecto al cual se estipula el requisito </w:t>
      </w:r>
      <w:r w:rsidR="0080110F" w:rsidRPr="00B2067F">
        <w:t>de coordinación en una nota del Cuadro de atribución de bandas de frecuencias, de la manera siguiente</w:t>
      </w:r>
      <w:r w:rsidRPr="00B2067F">
        <w:t>:</w:t>
      </w:r>
    </w:p>
    <w:p w14:paraId="381694DD" w14:textId="4B726279" w:rsidR="00A74116" w:rsidRPr="00B2067F" w:rsidRDefault="00A74116" w:rsidP="00A74116">
      <w:pPr>
        <w:pStyle w:val="enumlev2"/>
      </w:pPr>
      <w:r w:rsidRPr="00B2067F">
        <w:t>–</w:t>
      </w:r>
      <w:r w:rsidRPr="00B2067F">
        <w:tab/>
      </w:r>
      <w:r w:rsidR="00A40384" w:rsidRPr="00B2067F">
        <w:t>N</w:t>
      </w:r>
      <w:r w:rsidR="0080110F" w:rsidRPr="00B2067F">
        <w:t>úmero 9.12 del RR</w:t>
      </w:r>
      <w:r w:rsidRPr="00B2067F">
        <w:t xml:space="preserve">: </w:t>
      </w:r>
      <w:r w:rsidR="0080110F" w:rsidRPr="00B2067F">
        <w:t>n</w:t>
      </w:r>
      <w:r w:rsidRPr="00B2067F">
        <w:t>o</w:t>
      </w:r>
      <w:r w:rsidR="0080110F" w:rsidRPr="00B2067F">
        <w:t xml:space="preserve"> OSG con respecto a no OSG</w:t>
      </w:r>
      <w:r w:rsidRPr="00B2067F">
        <w:t xml:space="preserve">. </w:t>
      </w:r>
      <w:r w:rsidR="0080110F" w:rsidRPr="00B2067F">
        <w:t xml:space="preserve">Bandas de frecuencias con nota al pie que remite al número 9.11A o 9.12 del </w:t>
      </w:r>
      <w:r w:rsidRPr="00B2067F">
        <w:t>RR.</w:t>
      </w:r>
    </w:p>
    <w:p w14:paraId="5559B262" w14:textId="2D99746A" w:rsidR="00A74116" w:rsidRPr="00B2067F" w:rsidRDefault="00A74116" w:rsidP="00A74116">
      <w:pPr>
        <w:pStyle w:val="enumlev2"/>
      </w:pPr>
      <w:r w:rsidRPr="00B2067F">
        <w:t>–</w:t>
      </w:r>
      <w:r w:rsidRPr="00B2067F">
        <w:tab/>
      </w:r>
      <w:r w:rsidR="00A40384" w:rsidRPr="00B2067F">
        <w:t>N</w:t>
      </w:r>
      <w:r w:rsidR="00EB26CB" w:rsidRPr="00B2067F">
        <w:t xml:space="preserve">úmero </w:t>
      </w:r>
      <w:r w:rsidRPr="00B2067F">
        <w:t>9.12A</w:t>
      </w:r>
      <w:r w:rsidR="00EB26CB" w:rsidRPr="00B2067F">
        <w:t xml:space="preserve"> del RR</w:t>
      </w:r>
      <w:r w:rsidRPr="00B2067F">
        <w:t xml:space="preserve">: </w:t>
      </w:r>
      <w:r w:rsidR="00EB26CB" w:rsidRPr="00B2067F">
        <w:t>no OSG con respecto a OSG</w:t>
      </w:r>
      <w:r w:rsidRPr="00B2067F">
        <w:t xml:space="preserve">. </w:t>
      </w:r>
      <w:r w:rsidR="00EB26CB" w:rsidRPr="00B2067F">
        <w:t>Bandas de frecuencias con nota al pie que remite al número 9.11A o</w:t>
      </w:r>
      <w:r w:rsidRPr="00B2067F">
        <w:t xml:space="preserve"> 9.12</w:t>
      </w:r>
      <w:r w:rsidR="00EB26CB" w:rsidRPr="00B2067F">
        <w:t>A del RR</w:t>
      </w:r>
      <w:r w:rsidRPr="00B2067F">
        <w:t>.</w:t>
      </w:r>
    </w:p>
    <w:p w14:paraId="6D1D3A1B" w14:textId="7F3DA2F1" w:rsidR="00A74116" w:rsidRPr="00B2067F" w:rsidRDefault="00A74116" w:rsidP="00A74116">
      <w:pPr>
        <w:pStyle w:val="enumlev2"/>
      </w:pPr>
      <w:r w:rsidRPr="00B2067F">
        <w:t>–</w:t>
      </w:r>
      <w:r w:rsidRPr="00B2067F">
        <w:tab/>
      </w:r>
      <w:r w:rsidR="00A40384" w:rsidRPr="00B2067F">
        <w:t>N</w:t>
      </w:r>
      <w:r w:rsidR="00EB26CB" w:rsidRPr="00B2067F">
        <w:t>úmero</w:t>
      </w:r>
      <w:r w:rsidRPr="00B2067F">
        <w:t>. 9.13</w:t>
      </w:r>
      <w:r w:rsidR="00EB26CB" w:rsidRPr="00B2067F">
        <w:t xml:space="preserve"> del RR</w:t>
      </w:r>
      <w:r w:rsidRPr="00B2067F">
        <w:t xml:space="preserve">: </w:t>
      </w:r>
      <w:r w:rsidR="00EB26CB" w:rsidRPr="00B2067F">
        <w:t>OSG con respecto a no OSG</w:t>
      </w:r>
      <w:r w:rsidRPr="00B2067F">
        <w:t xml:space="preserve">. </w:t>
      </w:r>
      <w:r w:rsidR="00EB26CB" w:rsidRPr="00B2067F">
        <w:t xml:space="preserve">Bandas de frecuencias con nota al pie que remite al número </w:t>
      </w:r>
      <w:r w:rsidRPr="00B2067F">
        <w:t>9.11A o 9.13</w:t>
      </w:r>
      <w:r w:rsidR="00EB26CB" w:rsidRPr="00B2067F">
        <w:t xml:space="preserve"> del RR</w:t>
      </w:r>
      <w:r w:rsidRPr="00B2067F">
        <w:t>.</w:t>
      </w:r>
    </w:p>
    <w:p w14:paraId="3A31B8EC" w14:textId="5E69C23E" w:rsidR="00A74116" w:rsidRPr="00B2067F" w:rsidRDefault="00AF3302" w:rsidP="00A40384">
      <w:pPr>
        <w:pStyle w:val="enumlev1"/>
        <w:keepNext/>
      </w:pPr>
      <w:r w:rsidRPr="00B2067F">
        <w:lastRenderedPageBreak/>
        <w:t>•</w:t>
      </w:r>
      <w:r w:rsidRPr="00B2067F">
        <w:tab/>
      </w:r>
      <w:r w:rsidR="00C570BC" w:rsidRPr="00B2067F">
        <w:t xml:space="preserve">Número </w:t>
      </w:r>
      <w:r w:rsidRPr="00B2067F">
        <w:t xml:space="preserve">9.21 </w:t>
      </w:r>
      <w:r w:rsidR="00C570BC" w:rsidRPr="00B2067F">
        <w:t xml:space="preserve">del RR </w:t>
      </w:r>
      <w:r w:rsidRPr="00B2067F">
        <w:t>para cualquier estación de un servicio con respecto al cual se estipula el requisito de buscar el acuerdo de otras administraciones en una nota del Cuadro de atribución de bandas de frecuencias que haga referencia a esta disposición:</w:t>
      </w:r>
    </w:p>
    <w:p w14:paraId="43DB1BAD" w14:textId="15D9AD3C" w:rsidR="00A74116" w:rsidRPr="00B2067F" w:rsidRDefault="00A74116" w:rsidP="00A74116">
      <w:pPr>
        <w:pStyle w:val="enumlev2"/>
      </w:pPr>
      <w:r w:rsidRPr="00B2067F">
        <w:t>–</w:t>
      </w:r>
      <w:r w:rsidRPr="00B2067F">
        <w:tab/>
      </w:r>
      <w:r w:rsidR="00A40384" w:rsidRPr="00B2067F">
        <w:t>N</w:t>
      </w:r>
      <w:r w:rsidR="00C570BC" w:rsidRPr="00B2067F">
        <w:t xml:space="preserve">úmero </w:t>
      </w:r>
      <w:r w:rsidRPr="00B2067F">
        <w:t>9.21A</w:t>
      </w:r>
      <w:r w:rsidR="00C570BC" w:rsidRPr="00B2067F">
        <w:t xml:space="preserve"> del RR</w:t>
      </w:r>
      <w:r w:rsidRPr="00B2067F">
        <w:t xml:space="preserve">: </w:t>
      </w:r>
      <w:r w:rsidR="00C570BC" w:rsidRPr="00B2067F">
        <w:t xml:space="preserve">superposición de las anchuras de banda no OSG con respecto </w:t>
      </w:r>
      <w:r w:rsidR="00A3039F" w:rsidRPr="00B2067F">
        <w:t>a </w:t>
      </w:r>
      <w:r w:rsidR="00C570BC" w:rsidRPr="00B2067F">
        <w:t>OSG</w:t>
      </w:r>
      <w:r w:rsidR="00A40384" w:rsidRPr="00B2067F">
        <w:t>.</w:t>
      </w:r>
    </w:p>
    <w:p w14:paraId="515EFB4A" w14:textId="4360668B" w:rsidR="00A74116" w:rsidRPr="00B2067F" w:rsidRDefault="00A74116" w:rsidP="00A74116">
      <w:pPr>
        <w:pStyle w:val="enumlev2"/>
      </w:pPr>
      <w:r w:rsidRPr="00B2067F">
        <w:t>–</w:t>
      </w:r>
      <w:r w:rsidRPr="00B2067F">
        <w:tab/>
      </w:r>
      <w:r w:rsidR="00A40384" w:rsidRPr="00B2067F">
        <w:t>N</w:t>
      </w:r>
      <w:r w:rsidR="00C570BC" w:rsidRPr="00B2067F">
        <w:t xml:space="preserve">úmero </w:t>
      </w:r>
      <w:r w:rsidRPr="00B2067F">
        <w:t>9.21B</w:t>
      </w:r>
      <w:r w:rsidR="00C570BC" w:rsidRPr="00B2067F">
        <w:t xml:space="preserve"> del RR</w:t>
      </w:r>
      <w:r w:rsidRPr="00B2067F">
        <w:t xml:space="preserve">: </w:t>
      </w:r>
      <w:r w:rsidR="00C570BC" w:rsidRPr="00B2067F">
        <w:t>superposición de las anchuras de banda OSG/no OSG con respecto a no OSG</w:t>
      </w:r>
      <w:r w:rsidR="00A40384" w:rsidRPr="00B2067F">
        <w:t>.</w:t>
      </w:r>
    </w:p>
    <w:p w14:paraId="59C5EADC" w14:textId="77777777" w:rsidR="00267B11" w:rsidRPr="00B2067F" w:rsidRDefault="00267B11" w:rsidP="00267B11">
      <w:pPr>
        <w:pStyle w:val="Heading2"/>
      </w:pPr>
      <w:r w:rsidRPr="00B2067F">
        <w:t>7.4</w:t>
      </w:r>
      <w:r w:rsidRPr="00B2067F">
        <w:tab/>
        <w:t>Otros programas y herramientas de la BR</w:t>
      </w:r>
    </w:p>
    <w:p w14:paraId="18CFDB68" w14:textId="77777777" w:rsidR="00267B11" w:rsidRPr="00B2067F" w:rsidRDefault="00267B11" w:rsidP="00267B11">
      <w:pPr>
        <w:pStyle w:val="Heading3"/>
      </w:pPr>
      <w:r w:rsidRPr="00B2067F">
        <w:t>7.4.1</w:t>
      </w:r>
      <w:r w:rsidRPr="00B2067F">
        <w:tab/>
        <w:t>Herramientas del Reglamento de Radiocomunicaciones</w:t>
      </w:r>
    </w:p>
    <w:p w14:paraId="7920E451" w14:textId="77777777" w:rsidR="00267B11" w:rsidRPr="00B2067F" w:rsidRDefault="00267B11" w:rsidP="00267B11">
      <w:r w:rsidRPr="00B2067F">
        <w:t>La Oficina sigue actualizando y manteniendo herramientas informáticas para facilitar la utilización y el análisis del Reglamento de Radiocomunicaciones (RR), en concreto:</w:t>
      </w:r>
    </w:p>
    <w:p w14:paraId="7DE3F8D3" w14:textId="7AA45BC0" w:rsidR="00267B11" w:rsidRPr="00B2067F" w:rsidRDefault="00267B11" w:rsidP="00267B11">
      <w:pPr>
        <w:pStyle w:val="enumlev1"/>
      </w:pPr>
      <w:r w:rsidRPr="00B2067F">
        <w:t>a)</w:t>
      </w:r>
      <w:r w:rsidRPr="00B2067F">
        <w:tab/>
        <w:t>La herramienta de navegación del Reglamento de Radiocomunicaciones, que se presentó durante el segundo trimestre de 2017, se basa en la versión vigente del RR y las Recomendaciones</w:t>
      </w:r>
      <w:r w:rsidR="00BA566E" w:rsidRPr="00B2067F">
        <w:t xml:space="preserve"> </w:t>
      </w:r>
      <w:r w:rsidR="002A1EAE" w:rsidRPr="00B2067F">
        <w:t>UIT-R</w:t>
      </w:r>
      <w:r w:rsidRPr="00B2067F">
        <w:t xml:space="preserve">. </w:t>
      </w:r>
      <w:r w:rsidR="002A1EAE" w:rsidRPr="00B2067F">
        <w:t>S</w:t>
      </w:r>
      <w:r w:rsidRPr="00B2067F">
        <w:t xml:space="preserve">e está preparando una versión actualizada </w:t>
      </w:r>
      <w:r w:rsidR="002A1EAE" w:rsidRPr="00B2067F">
        <w:t xml:space="preserve">para incorporar los </w:t>
      </w:r>
      <w:r w:rsidRPr="00B2067F">
        <w:t>resultados de la CMR-19</w:t>
      </w:r>
      <w:r w:rsidR="002A1EAE" w:rsidRPr="00B2067F">
        <w:t xml:space="preserve"> y alinearla con el corpus de textos más reciente (RR 2020, Recomendaciones UIT-R, Reglas de Procedimiento, etc.</w:t>
      </w:r>
      <w:r w:rsidRPr="00B2067F">
        <w:t>). También se publicarán actualizaciones anuales gratuitas para ir incorporando las últimas RdP disponibles.</w:t>
      </w:r>
    </w:p>
    <w:p w14:paraId="2DCDAB2B" w14:textId="313AD740" w:rsidR="00267B11" w:rsidRPr="00B2067F" w:rsidRDefault="00267B11" w:rsidP="00267B11">
      <w:pPr>
        <w:pStyle w:val="enumlev1"/>
      </w:pPr>
      <w:r w:rsidRPr="00B2067F">
        <w:t>b)</w:t>
      </w:r>
      <w:r w:rsidRPr="00B2067F">
        <w:tab/>
        <w:t xml:space="preserve">La herramienta de </w:t>
      </w:r>
      <w:r w:rsidRPr="00B2067F">
        <w:rPr>
          <w:i/>
        </w:rPr>
        <w:t>software</w:t>
      </w:r>
      <w:r w:rsidRPr="00B2067F">
        <w:t xml:space="preserve"> para realizar búsquedas y análisis detallados del Cuadro de atribución de bandas de frecuencias del Artículo 5 del Reglamento de Radiocomunicaciones permite filtrar y reconfigurar en función de la gama de frecuencias, el servic</w:t>
      </w:r>
      <w:r w:rsidR="00CC3744" w:rsidRPr="00B2067F">
        <w:t>io, la categoría de servicio, la nota</w:t>
      </w:r>
      <w:r w:rsidRPr="00B2067F">
        <w:t xml:space="preserve">, el país, etc. La herramienta </w:t>
      </w:r>
      <w:r w:rsidR="003C3CDC" w:rsidRPr="00B2067F">
        <w:t xml:space="preserve">se ha actualizado </w:t>
      </w:r>
      <w:r w:rsidRPr="00B2067F">
        <w:t>de acuerdo con los resultados de la CMR-19</w:t>
      </w:r>
      <w:r w:rsidR="003C3CDC" w:rsidRPr="00B2067F">
        <w:t xml:space="preserve"> y la edición de 2020 del RR</w:t>
      </w:r>
      <w:r w:rsidRPr="00B2067F">
        <w:t xml:space="preserve">, a fin de </w:t>
      </w:r>
      <w:r w:rsidR="00CC3744" w:rsidRPr="00B2067F">
        <w:t>incorporar</w:t>
      </w:r>
      <w:r w:rsidRPr="00B2067F">
        <w:t xml:space="preserve"> los cambios en las atribuciones de frecuencias, las notas de los países y las referencias conexas a las Resoluciones y Recomendaciones asociadas. </w:t>
      </w:r>
      <w:r w:rsidR="003C3CDC" w:rsidRPr="00B2067F">
        <w:t>El paquete actualizado también incluye</w:t>
      </w:r>
      <w:r w:rsidR="00CC3744" w:rsidRPr="00B2067F">
        <w:t xml:space="preserve"> vínculos a</w:t>
      </w:r>
      <w:r w:rsidR="003C3CDC" w:rsidRPr="00B2067F">
        <w:t xml:space="preserve"> las Recomendaciones UIT-R pertinentes a las que se remite en el </w:t>
      </w:r>
      <w:r w:rsidR="003C3CDC" w:rsidRPr="00B2067F">
        <w:rPr>
          <w:color w:val="000000"/>
        </w:rPr>
        <w:t xml:space="preserve">Artículo 5 del </w:t>
      </w:r>
      <w:r w:rsidRPr="00B2067F">
        <w:t xml:space="preserve">RR, </w:t>
      </w:r>
      <w:r w:rsidR="003C3CDC" w:rsidRPr="00B2067F">
        <w:t>además de las Reglas de Procedimiento aplicables</w:t>
      </w:r>
      <w:r w:rsidRPr="00B2067F">
        <w:t xml:space="preserve">. </w:t>
      </w:r>
      <w:r w:rsidR="003C3CDC" w:rsidRPr="00B2067F">
        <w:t xml:space="preserve">Además, cuenta con un servicio para extraer el </w:t>
      </w:r>
      <w:r w:rsidR="003C3CDC" w:rsidRPr="00B2067F">
        <w:rPr>
          <w:color w:val="000000"/>
        </w:rPr>
        <w:t>cuadro nacional de atribución de frecuencias</w:t>
      </w:r>
      <w:r w:rsidR="003C3CDC" w:rsidRPr="00B2067F">
        <w:t xml:space="preserve"> de un país concreto derivado de combinar las diferentes disposiciones del Artículo 5 del </w:t>
      </w:r>
      <w:r w:rsidRPr="00B2067F">
        <w:t xml:space="preserve">RR. </w:t>
      </w:r>
      <w:r w:rsidR="003C3CDC" w:rsidRPr="00B2067F">
        <w:t>La herramienta se probó durante el SMR-</w:t>
      </w:r>
      <w:r w:rsidRPr="00B2067F">
        <w:t xml:space="preserve">20 </w:t>
      </w:r>
      <w:r w:rsidR="003C3CDC" w:rsidRPr="00B2067F">
        <w:t>y puede adquirirse en el sitio web de ventas de la UIT</w:t>
      </w:r>
      <w:r w:rsidRPr="00B2067F">
        <w:t xml:space="preserve">. Todas las actualizaciones del </w:t>
      </w:r>
      <w:r w:rsidRPr="00B2067F">
        <w:rPr>
          <w:i/>
        </w:rPr>
        <w:t>software</w:t>
      </w:r>
      <w:r w:rsidRPr="00B2067F">
        <w:t xml:space="preserve"> y los datos se proporcionarán de forma regular y gratuita a los abonados, hasta la CMR-23.</w:t>
      </w:r>
    </w:p>
    <w:p w14:paraId="462C557B" w14:textId="77777777" w:rsidR="00267B11" w:rsidRPr="00B2067F" w:rsidRDefault="00267B11" w:rsidP="00267B11">
      <w:pPr>
        <w:pStyle w:val="Heading3"/>
      </w:pPr>
      <w:r w:rsidRPr="00B2067F">
        <w:t>7.4.2</w:t>
      </w:r>
      <w:r w:rsidRPr="00B2067F">
        <w:tab/>
        <w:t>Nuevas mejoras de las herramientas web</w:t>
      </w:r>
    </w:p>
    <w:p w14:paraId="6BFC20C5" w14:textId="38ADBBBA" w:rsidR="00267B11" w:rsidRPr="00B2067F" w:rsidRDefault="004A7163" w:rsidP="00267B11">
      <w:r w:rsidRPr="00B2067F">
        <w:t xml:space="preserve">Las herramientas en línea </w:t>
      </w:r>
      <w:r w:rsidR="00267B11" w:rsidRPr="00B2067F">
        <w:t>eBroadcasting (</w:t>
      </w:r>
      <w:r w:rsidRPr="00B2067F">
        <w:t xml:space="preserve">antes </w:t>
      </w:r>
      <w:r w:rsidR="00267B11" w:rsidRPr="00B2067F">
        <w:t xml:space="preserve">eBCD2.0) </w:t>
      </w:r>
      <w:r w:rsidRPr="00B2067F">
        <w:t xml:space="preserve">y </w:t>
      </w:r>
      <w:r w:rsidR="00267B11" w:rsidRPr="00B2067F">
        <w:t xml:space="preserve">eMIFR </w:t>
      </w:r>
      <w:r w:rsidRPr="00B2067F">
        <w:t xml:space="preserve">se integraron en el portal </w:t>
      </w:r>
      <w:r w:rsidR="00A91BEC" w:rsidRPr="00B2067F">
        <w:t>eTerrestrial</w:t>
      </w:r>
      <w:r w:rsidR="00267B11" w:rsidRPr="00B2067F">
        <w:t xml:space="preserve">, </w:t>
      </w:r>
      <w:r w:rsidRPr="00B2067F">
        <w:t xml:space="preserve">que cuenta con las tecnologías web más novedosas, y entraron en la fase de producción en diciembre de </w:t>
      </w:r>
      <w:r w:rsidR="00267B11" w:rsidRPr="00B2067F">
        <w:t xml:space="preserve">2020. </w:t>
      </w:r>
      <w:r w:rsidRPr="00B2067F">
        <w:t xml:space="preserve">También se desarrollaron y desplegaron simultáneamente las herramientas de apoyo al proceso de optimización del Plan </w:t>
      </w:r>
      <w:r w:rsidR="00267B11" w:rsidRPr="00B2067F">
        <w:t xml:space="preserve">GE84. </w:t>
      </w:r>
      <w:r w:rsidRPr="00B2067F">
        <w:t xml:space="preserve">La validación en línea </w:t>
      </w:r>
      <w:r w:rsidR="00267B11" w:rsidRPr="00B2067F">
        <w:t>(</w:t>
      </w:r>
      <w:r w:rsidRPr="00B2067F">
        <w:t xml:space="preserve">ahora denominada </w:t>
      </w:r>
      <w:r w:rsidR="00267B11" w:rsidRPr="00B2067F">
        <w:t xml:space="preserve">eValidation) </w:t>
      </w:r>
      <w:r w:rsidRPr="00B2067F">
        <w:t xml:space="preserve">se integrará durante la primera mitad de </w:t>
      </w:r>
      <w:r w:rsidR="00267B11" w:rsidRPr="00B2067F">
        <w:t xml:space="preserve">2021. </w:t>
      </w:r>
      <w:r w:rsidRPr="00B2067F">
        <w:t xml:space="preserve">La </w:t>
      </w:r>
      <w:r w:rsidR="00A91BEC" w:rsidRPr="00B2067F">
        <w:t xml:space="preserve">implantación </w:t>
      </w:r>
      <w:r w:rsidRPr="00B2067F">
        <w:t xml:space="preserve">de los mapas se realiza con la biblioteca de código abierto </w:t>
      </w:r>
      <w:r w:rsidR="00267B11" w:rsidRPr="00B2067F">
        <w:t xml:space="preserve">OpenLayers, </w:t>
      </w:r>
      <w:r w:rsidRPr="00B2067F">
        <w:t>seleccionada por el G</w:t>
      </w:r>
      <w:r w:rsidR="00A40384" w:rsidRPr="00B2067F">
        <w:t>rupo de tareas especiales de la </w:t>
      </w:r>
      <w:r w:rsidR="00267B11" w:rsidRPr="00B2067F">
        <w:t>BR (</w:t>
      </w:r>
      <w:r w:rsidRPr="00B2067F">
        <w:t>véase el apartado</w:t>
      </w:r>
      <w:r w:rsidR="00267B11" w:rsidRPr="00B2067F">
        <w:t xml:space="preserve"> 7.4.4)</w:t>
      </w:r>
      <w:r w:rsidR="00A40384" w:rsidRPr="00B2067F">
        <w:t>.</w:t>
      </w:r>
    </w:p>
    <w:p w14:paraId="64F25A15" w14:textId="3D4C5199" w:rsidR="00005BF4" w:rsidRPr="00B2067F" w:rsidRDefault="00005BF4" w:rsidP="00005BF4">
      <w:pPr>
        <w:pStyle w:val="Heading3"/>
      </w:pPr>
      <w:r w:rsidRPr="00B2067F">
        <w:t>7.4.3</w:t>
      </w:r>
      <w:r w:rsidRPr="00B2067F">
        <w:tab/>
      </w:r>
      <w:bookmarkStart w:id="62" w:name="lt_pId512"/>
      <w:r w:rsidRPr="00B2067F">
        <w:rPr>
          <w:i/>
          <w:iCs/>
        </w:rPr>
        <w:t>Software</w:t>
      </w:r>
      <w:r w:rsidRPr="00B2067F">
        <w:t xml:space="preserve"> de análisis de compatibilidad </w:t>
      </w:r>
      <w:r w:rsidR="00A3039F" w:rsidRPr="00B2067F">
        <w:t>para la radiodifusión sonora en </w:t>
      </w:r>
      <w:r w:rsidRPr="00B2067F">
        <w:t>FM – Optimización del Plan GE84</w:t>
      </w:r>
      <w:bookmarkEnd w:id="62"/>
    </w:p>
    <w:p w14:paraId="4076B9A3" w14:textId="737AC27A" w:rsidR="00005BF4" w:rsidRPr="00B2067F" w:rsidRDefault="00A91BEC" w:rsidP="00005BF4">
      <w:bookmarkStart w:id="63" w:name="lt_pId513"/>
      <w:r w:rsidRPr="00B2067F">
        <w:t>En 2020, l</w:t>
      </w:r>
      <w:r w:rsidR="00005BF4" w:rsidRPr="00B2067F">
        <w:t xml:space="preserve">a BR </w:t>
      </w:r>
      <w:r w:rsidRPr="00B2067F">
        <w:t>desplegó una herramienta</w:t>
      </w:r>
      <w:r w:rsidR="00005BF4" w:rsidRPr="00B2067F">
        <w:t xml:space="preserve"> en línea para la optimización del Plan GE84 (radiodifusión en FM) en África en la banda de frecuencias 87,5-108 MHz:</w:t>
      </w:r>
      <w:bookmarkEnd w:id="63"/>
      <w:r w:rsidR="00005BF4" w:rsidRPr="00B2067F">
        <w:t xml:space="preserve"> </w:t>
      </w:r>
      <w:r w:rsidRPr="00B2067F">
        <w:t>la GE84 Optimization</w:t>
      </w:r>
      <w:r w:rsidR="00005BF4" w:rsidRPr="00B2067F">
        <w:t xml:space="preserve">. </w:t>
      </w:r>
      <w:r w:rsidRPr="00B2067F">
        <w:t xml:space="preserve">Esta herramienta ejecuta cálculos de compatibilidad </w:t>
      </w:r>
      <w:r w:rsidR="00CC3744" w:rsidRPr="00B2067F">
        <w:t>con arreglo a</w:t>
      </w:r>
      <w:r w:rsidRPr="00B2067F">
        <w:t xml:space="preserve">l Acuerdo </w:t>
      </w:r>
      <w:r w:rsidR="00005BF4" w:rsidRPr="00B2067F">
        <w:t xml:space="preserve">GE84 </w:t>
      </w:r>
      <w:r w:rsidRPr="00B2067F">
        <w:t xml:space="preserve">y evalúa las incompatibilidades de todas las frecuencias en la banda del </w:t>
      </w:r>
      <w:r w:rsidR="00005BF4" w:rsidRPr="00B2067F">
        <w:t>GE84</w:t>
      </w:r>
      <w:r w:rsidRPr="00B2067F">
        <w:t xml:space="preserve">. El objetivo es detectar canales </w:t>
      </w:r>
      <w:r w:rsidRPr="00B2067F">
        <w:lastRenderedPageBreak/>
        <w:t>nuevos p</w:t>
      </w:r>
      <w:r w:rsidR="00CC3744" w:rsidRPr="00B2067F">
        <w:t>o</w:t>
      </w:r>
      <w:r w:rsidRPr="00B2067F">
        <w:t xml:space="preserve">tenciales basándose en los cálculos de interferencia recibida y generada con respecto a las entradas del Plan </w:t>
      </w:r>
      <w:r w:rsidR="00005BF4" w:rsidRPr="00B2067F">
        <w:t xml:space="preserve">GE84 </w:t>
      </w:r>
      <w:r w:rsidRPr="00B2067F">
        <w:t xml:space="preserve">y cualquier otro requisito de frecuencia que se envíe al análisis. Esta herramienta servirá de base para la optimización de la banda FM en África y se ha facilitado a todas las administraciones parte en el Acuerdo </w:t>
      </w:r>
      <w:r w:rsidR="00005BF4" w:rsidRPr="00B2067F">
        <w:t>GE84.</w:t>
      </w:r>
    </w:p>
    <w:p w14:paraId="1287FB47" w14:textId="77777777" w:rsidR="00005BF4" w:rsidRPr="00B2067F" w:rsidRDefault="00005BF4" w:rsidP="00005BF4">
      <w:pPr>
        <w:pStyle w:val="Heading3"/>
      </w:pPr>
      <w:r w:rsidRPr="00B2067F">
        <w:t>7.4.4</w:t>
      </w:r>
      <w:r w:rsidRPr="00B2067F">
        <w:tab/>
        <w:t>Sistema de Información Geográfica de la BR</w:t>
      </w:r>
    </w:p>
    <w:p w14:paraId="208BCB5C" w14:textId="16C5A2AA" w:rsidR="00005BF4" w:rsidRPr="00B2067F" w:rsidRDefault="00005BF4" w:rsidP="00005BF4">
      <w:bookmarkStart w:id="64" w:name="lt_pId520"/>
      <w:r w:rsidRPr="00B2067F">
        <w:t>El Grupo de Tareas Especiales sobre el Sistema de Información Geográfica (SIG) de la BR, compuesto por personal de todos los departamentos de la Oficina, se creó con el objetivo de armonizar las actividades relacionadas con el SIG en la BR. Una de las tareas iniciales del GTE consistió en implementar la plataforma del SIG de la BR utilizando GeoServer. Actualmente, el Grupo está transfiriendo al servidor todos los datos radiometeorológicos pertinentes (catálogo de datos geoespaciales) y otros conjuntos de datos relevantes del mapa mundial digitalizado de la UIT (IDWM). Estos datos se pondrán a disposición de los usuarios a través de servicios web compatibles con el Open Geospatial Consortium (OGC). La BR está implementando las funcionalidades del SIG en sus herramientas web por conducto de la biblioteca OpenLayers de código abierto.</w:t>
      </w:r>
      <w:bookmarkEnd w:id="64"/>
      <w:r w:rsidRPr="00B2067F">
        <w:t xml:space="preserve"> </w:t>
      </w:r>
      <w:bookmarkStart w:id="65" w:name="lt_pId525"/>
      <w:r w:rsidRPr="00B2067F">
        <w:t xml:space="preserve">La UIT es miembro de la red geoespacial de las Naciones Unidas, una coalición de organismos del sistema de las Naciones Unidas encargada de reforzar la coordinación y la coherencia en materia de gestión de la información geoespacial en el sistema de las Naciones Unidas. La BR participa en </w:t>
      </w:r>
      <w:r w:rsidR="00881B0C" w:rsidRPr="00B2067F">
        <w:t>el Comité Directivo de esta red,</w:t>
      </w:r>
      <w:r w:rsidRPr="00B2067F">
        <w:t xml:space="preserve"> </w:t>
      </w:r>
      <w:r w:rsidR="00881B0C" w:rsidRPr="00B2067F">
        <w:t>copreside su equipo de tareas de innovación y tecnología y dirige el</w:t>
      </w:r>
      <w:r w:rsidRPr="00B2067F">
        <w:t xml:space="preserve"> Grupo Intersectorial de Tareas Especiales de la UIT sobre Gestión de la Información Geoespacial.</w:t>
      </w:r>
      <w:bookmarkEnd w:id="65"/>
    </w:p>
    <w:p w14:paraId="3D44FE28" w14:textId="21596F7A" w:rsidR="00005BF4" w:rsidRPr="00B2067F" w:rsidRDefault="00005BF4" w:rsidP="00005BF4">
      <w:pPr>
        <w:pStyle w:val="Heading2"/>
      </w:pPr>
      <w:r w:rsidRPr="00B2067F">
        <w:t>7.</w:t>
      </w:r>
      <w:r w:rsidR="009E21D9" w:rsidRPr="00B2067F">
        <w:t>5</w:t>
      </w:r>
      <w:r w:rsidRPr="00B2067F">
        <w:tab/>
        <w:t>Continuidad de las actividades y recuperación en caso de catástrofe (servicios espaciales y terrenales)</w:t>
      </w:r>
    </w:p>
    <w:p w14:paraId="3A03EE80" w14:textId="6C75D7AC" w:rsidR="00F17960" w:rsidRPr="00B2067F" w:rsidRDefault="00015434" w:rsidP="00DD1BE8">
      <w:r w:rsidRPr="00B2067F">
        <w:t xml:space="preserve">Durante 2020 y el primer trimestre de 2021 se continuó trabajando para fortalecer aún más </w:t>
      </w:r>
      <w:r w:rsidR="00005BF4" w:rsidRPr="00B2067F">
        <w:t xml:space="preserve">el marco </w:t>
      </w:r>
      <w:r w:rsidRPr="00B2067F">
        <w:t xml:space="preserve">de gestión de riesgos de la UIT, </w:t>
      </w:r>
      <w:r w:rsidR="00005BF4" w:rsidRPr="00B2067F">
        <w:t xml:space="preserve">con la </w:t>
      </w:r>
      <w:r w:rsidRPr="00B2067F">
        <w:t xml:space="preserve">participación plena de la BR en </w:t>
      </w:r>
      <w:r w:rsidR="00005BF4" w:rsidRPr="00B2067F">
        <w:t>el Grupo Intersectorial de Tareas Especiales sobre Gestión de Riesgos.</w:t>
      </w:r>
      <w:r w:rsidR="009E21D9" w:rsidRPr="00B2067F">
        <w:t xml:space="preserve"> </w:t>
      </w:r>
      <w:r w:rsidRPr="00B2067F">
        <w:t xml:space="preserve">En cumplimiento del calendario presentado a la primera CVC en el Documento </w:t>
      </w:r>
      <w:hyperlink r:id="rId29" w:history="1">
        <w:r w:rsidR="009E21D9" w:rsidRPr="00B2067F">
          <w:rPr>
            <w:rStyle w:val="Hyperlink"/>
          </w:rPr>
          <w:t>61</w:t>
        </w:r>
      </w:hyperlink>
      <w:r w:rsidR="009E21D9" w:rsidRPr="00B2067F">
        <w:t xml:space="preserve">, </w:t>
      </w:r>
      <w:r w:rsidRPr="00B2067F">
        <w:t xml:space="preserve">la dirección de la </w:t>
      </w:r>
      <w:r w:rsidR="009E21D9" w:rsidRPr="00B2067F">
        <w:t xml:space="preserve">BR </w:t>
      </w:r>
      <w:r w:rsidRPr="00B2067F">
        <w:t xml:space="preserve">asistió a talleres y organizó sesiones de intercambio de ideas para añadir entradas al registro de riesgos de la UIT </w:t>
      </w:r>
      <w:r w:rsidR="00CC3744" w:rsidRPr="00B2067F">
        <w:t>desde</w:t>
      </w:r>
      <w:r w:rsidRPr="00B2067F">
        <w:t xml:space="preserve"> la perspectiva y el contexto únicos de la BR y el UIT-R</w:t>
      </w:r>
      <w:r w:rsidR="009E21D9" w:rsidRPr="00B2067F">
        <w:t>.</w:t>
      </w:r>
    </w:p>
    <w:p w14:paraId="6C96EFEC" w14:textId="77777777" w:rsidR="0077746C" w:rsidRPr="00B2067F" w:rsidRDefault="0077746C" w:rsidP="0077746C">
      <w:pPr>
        <w:pStyle w:val="Heading1"/>
      </w:pPr>
      <w:bookmarkStart w:id="66" w:name="_Toc446060776"/>
      <w:r w:rsidRPr="00B2067F">
        <w:t>8</w:t>
      </w:r>
      <w:r w:rsidRPr="00B2067F">
        <w:tab/>
      </w:r>
      <w:bookmarkEnd w:id="66"/>
      <w:r w:rsidRPr="00B2067F">
        <w:t>Divulgación</w:t>
      </w:r>
    </w:p>
    <w:p w14:paraId="757F2638" w14:textId="77777777" w:rsidR="0077746C" w:rsidRPr="00B2067F" w:rsidRDefault="0077746C" w:rsidP="0077746C">
      <w:r w:rsidRPr="00B2067F">
        <w:t>Las actividades de divulgación comprenden la difusión de información y asistencia a los miembros, la publicación de productos del UIT-R, la organización de seminarios y talleres, además de la participación en los mismos, y la elaboración y mantenimiento de herramientas de comunicación y promoción. El objetivo de estas actividades es garantizar que los productos del UIT-R (Reglamentos, Recomendaciones, Informes y Manuales) se difundan a escala mundial de manera que puedan sentar las bases para la formulación de políticas y decisiones nacionales y regionales a efectos de la utilización del espectro radioeléctrico. Para llevar a cabo estas actividades, la BR coopera estrechamente con las demás Oficinas y Sectores, las Oficinas Regionales y de Zona de la UIT, y las organizaciones internacionales y autoridades nacionales pertinentes.</w:t>
      </w:r>
    </w:p>
    <w:p w14:paraId="29EA2B5B" w14:textId="77777777" w:rsidR="0077746C" w:rsidRPr="00B2067F" w:rsidRDefault="0077746C" w:rsidP="0077746C">
      <w:pPr>
        <w:pStyle w:val="Heading2"/>
      </w:pPr>
      <w:bookmarkStart w:id="67" w:name="_Toc418163376"/>
      <w:bookmarkStart w:id="68" w:name="_Toc418232294"/>
      <w:bookmarkStart w:id="69" w:name="_Toc424047595"/>
      <w:bookmarkStart w:id="70" w:name="_Toc446060777"/>
      <w:r w:rsidRPr="00B2067F">
        <w:t>8.1</w:t>
      </w:r>
      <w:r w:rsidRPr="00B2067F">
        <w:tab/>
      </w:r>
      <w:bookmarkEnd w:id="67"/>
      <w:bookmarkEnd w:id="68"/>
      <w:bookmarkEnd w:id="69"/>
      <w:bookmarkEnd w:id="70"/>
      <w:r w:rsidRPr="00B2067F">
        <w:t>Publicaciones</w:t>
      </w:r>
    </w:p>
    <w:p w14:paraId="178E0306" w14:textId="77777777" w:rsidR="0077746C" w:rsidRPr="00B2067F" w:rsidRDefault="0077746C" w:rsidP="0077746C">
      <w:pPr>
        <w:pStyle w:val="Heading3"/>
      </w:pPr>
      <w:bookmarkStart w:id="71" w:name="_Toc424047596"/>
      <w:bookmarkStart w:id="72" w:name="_Toc446060778"/>
      <w:r w:rsidRPr="00B2067F">
        <w:t>8.1.1</w:t>
      </w:r>
      <w:r w:rsidRPr="00B2067F">
        <w:tab/>
      </w:r>
      <w:bookmarkEnd w:id="71"/>
      <w:bookmarkEnd w:id="72"/>
      <w:r w:rsidRPr="00B2067F">
        <w:t>Publicaciones reglamentarias</w:t>
      </w:r>
    </w:p>
    <w:p w14:paraId="3E16C32A" w14:textId="77777777" w:rsidR="0077746C" w:rsidRPr="00B2067F" w:rsidRDefault="0077746C" w:rsidP="0077746C">
      <w:pPr>
        <w:pStyle w:val="Headingi"/>
      </w:pPr>
      <w:r w:rsidRPr="00B2067F">
        <w:t>Reglamento de Radiocomunicaciones y las Reglas de Procedimiento</w:t>
      </w:r>
    </w:p>
    <w:p w14:paraId="0A49EEC3" w14:textId="3F313875" w:rsidR="0077746C" w:rsidRPr="00B2067F" w:rsidRDefault="0077746C" w:rsidP="0077746C">
      <w:r w:rsidRPr="00B2067F">
        <w:t xml:space="preserve">La edición de 2020 del Reglamento de Radiocomunicaciones se publicó en septiembre de 2020. Tras la Conferencia Mundial de </w:t>
      </w:r>
      <w:r w:rsidR="00A3039F" w:rsidRPr="00B2067F">
        <w:t>Radiocomunicaciones</w:t>
      </w:r>
      <w:r w:rsidRPr="00B2067F">
        <w:t xml:space="preserve"> de 2015, se publicó una edición de 2017 de las Reglas de Procedimiento. Desde entonces, se han publicado siete actualizaciones (noviembre </w:t>
      </w:r>
      <w:r w:rsidRPr="00B2067F">
        <w:lastRenderedPageBreak/>
        <w:t>de</w:t>
      </w:r>
      <w:r w:rsidR="00A40384" w:rsidRPr="00B2067F">
        <w:t> </w:t>
      </w:r>
      <w:r w:rsidRPr="00B2067F">
        <w:t>2017, julio de 2018, marzo de 2019, julio de 2019, octubre de 2019, julio de 2020 y noviembre de 2020). La publicación de la próxima edición de las Reglas de Procedimiento está prevista para el segundo trimestre de</w:t>
      </w:r>
      <w:r w:rsidR="00B2067F">
        <w:t xml:space="preserve"> 2021.</w:t>
      </w:r>
    </w:p>
    <w:p w14:paraId="515973C6" w14:textId="77777777" w:rsidR="0077746C" w:rsidRPr="00B2067F" w:rsidRDefault="0077746C" w:rsidP="0077746C">
      <w:r w:rsidRPr="00B2067F">
        <w:t xml:space="preserve">La BR también publicó 11 Horarios de la radiodifusión en ondas decamétricas (HFBC) por año, conforme a lo estipulado en el Artículo </w:t>
      </w:r>
      <w:r w:rsidRPr="00B2067F">
        <w:rPr>
          <w:b/>
          <w:bCs/>
        </w:rPr>
        <w:t>12</w:t>
      </w:r>
      <w:r w:rsidRPr="00B2067F">
        <w:t xml:space="preserve"> del RR.</w:t>
      </w:r>
    </w:p>
    <w:p w14:paraId="6FBB50F6" w14:textId="77777777" w:rsidR="0077746C" w:rsidRPr="00B2067F" w:rsidRDefault="0077746C" w:rsidP="0077746C">
      <w:pPr>
        <w:pStyle w:val="Heading3"/>
      </w:pPr>
      <w:bookmarkStart w:id="73" w:name="_Toc424047597"/>
      <w:bookmarkStart w:id="74" w:name="_Toc446060779"/>
      <w:r w:rsidRPr="00B2067F">
        <w:t>8.1.2</w:t>
      </w:r>
      <w:r w:rsidRPr="00B2067F">
        <w:tab/>
      </w:r>
      <w:bookmarkEnd w:id="73"/>
      <w:bookmarkEnd w:id="74"/>
      <w:r w:rsidRPr="00B2067F">
        <w:t>Documentos de servicio</w:t>
      </w:r>
    </w:p>
    <w:p w14:paraId="001DEC00" w14:textId="77777777" w:rsidR="0077746C" w:rsidRPr="00B2067F" w:rsidRDefault="0077746C" w:rsidP="0077746C">
      <w:pPr>
        <w:pStyle w:val="Heading4"/>
        <w:rPr>
          <w:i/>
          <w:iCs/>
        </w:rPr>
      </w:pPr>
      <w:r w:rsidRPr="00B2067F">
        <w:t>8.1.2.1</w:t>
      </w:r>
      <w:r w:rsidRPr="00B2067F">
        <w:tab/>
        <w:t>Antecedentes y consideraciones generales</w:t>
      </w:r>
    </w:p>
    <w:p w14:paraId="16F36E94" w14:textId="77777777" w:rsidR="0077746C" w:rsidRPr="00B2067F" w:rsidRDefault="0077746C" w:rsidP="0077746C">
      <w:r w:rsidRPr="00B2067F">
        <w:t>La Oficina elabora y publica los siguientes documentos de servicio, tal como especifica el Artículo </w:t>
      </w:r>
      <w:r w:rsidRPr="00B2067F">
        <w:rPr>
          <w:b/>
        </w:rPr>
        <w:t>20</w:t>
      </w:r>
      <w:r w:rsidRPr="00B2067F">
        <w:t xml:space="preserve"> del Reglamento de Radiocomunicaciones.</w:t>
      </w:r>
    </w:p>
    <w:p w14:paraId="13E5EE8C" w14:textId="77777777" w:rsidR="0077746C" w:rsidRPr="00B2067F" w:rsidRDefault="0077746C" w:rsidP="0077746C">
      <w:pPr>
        <w:pStyle w:val="enumlev1"/>
      </w:pPr>
      <w:r w:rsidRPr="00B2067F">
        <w:t>•</w:t>
      </w:r>
      <w:r w:rsidRPr="00B2067F">
        <w:tab/>
        <w:t>BR IFIC – Circular Internacional de Información sobre Frecuencias.</w:t>
      </w:r>
    </w:p>
    <w:p w14:paraId="76FD3D57" w14:textId="77777777" w:rsidR="0077746C" w:rsidRPr="00B2067F" w:rsidRDefault="0077746C" w:rsidP="0077746C">
      <w:pPr>
        <w:pStyle w:val="enumlev1"/>
      </w:pPr>
      <w:r w:rsidRPr="00B2067F">
        <w:t>•</w:t>
      </w:r>
      <w:r w:rsidRPr="00B2067F">
        <w:tab/>
        <w:t xml:space="preserve">Lista IV − </w:t>
      </w:r>
      <w:bookmarkStart w:id="75" w:name="_Hlk34732127"/>
      <w:r w:rsidRPr="00B2067F">
        <w:t>Nomenclátor de las estaciones costeras y de las estaciones que efectúan servicios especiales</w:t>
      </w:r>
      <w:bookmarkEnd w:id="75"/>
      <w:r w:rsidRPr="00B2067F">
        <w:t>.</w:t>
      </w:r>
    </w:p>
    <w:p w14:paraId="6C2725C0" w14:textId="77777777" w:rsidR="0077746C" w:rsidRPr="00B2067F" w:rsidRDefault="0077746C" w:rsidP="0077746C">
      <w:pPr>
        <w:pStyle w:val="enumlev1"/>
      </w:pPr>
      <w:r w:rsidRPr="00B2067F">
        <w:t>•</w:t>
      </w:r>
      <w:r w:rsidRPr="00B2067F">
        <w:tab/>
        <w:t>Lista V − Nomenclátor de las estaciones de barco y de las asignaciones a identidades del servicio móvil marítimo.</w:t>
      </w:r>
    </w:p>
    <w:p w14:paraId="34E01F6D" w14:textId="77777777" w:rsidR="0077746C" w:rsidRPr="00B2067F" w:rsidRDefault="0077746C" w:rsidP="0077746C">
      <w:pPr>
        <w:pStyle w:val="enumlev1"/>
      </w:pPr>
      <w:r w:rsidRPr="00B2067F">
        <w:t>•</w:t>
      </w:r>
      <w:r w:rsidRPr="00B2067F">
        <w:tab/>
        <w:t>Lista VIII − Nomenclátor de las estaciones de comprobación técnica internacional de las emisiones.</w:t>
      </w:r>
    </w:p>
    <w:p w14:paraId="15226900" w14:textId="77777777" w:rsidR="0077746C" w:rsidRPr="00B2067F" w:rsidRDefault="0077746C" w:rsidP="0077746C">
      <w:pPr>
        <w:pStyle w:val="enumlev1"/>
      </w:pPr>
      <w:r w:rsidRPr="00B2067F">
        <w:t>•</w:t>
      </w:r>
      <w:r w:rsidRPr="00B2067F">
        <w:tab/>
        <w:t>Manual para uso de los servicios móvil marítimo y móvil marítimo por satélite.</w:t>
      </w:r>
    </w:p>
    <w:p w14:paraId="6422D4A7" w14:textId="77777777" w:rsidR="0077746C" w:rsidRPr="00B2067F" w:rsidRDefault="0077746C" w:rsidP="0077746C">
      <w:pPr>
        <w:pStyle w:val="Heading4"/>
      </w:pPr>
      <w:r w:rsidRPr="00B2067F">
        <w:t>8.1.2.2</w:t>
      </w:r>
      <w:r w:rsidRPr="00B2067F">
        <w:tab/>
      </w:r>
      <w:bookmarkStart w:id="76" w:name="_Hlk34393551"/>
      <w:r w:rsidRPr="00B2067F">
        <w:t>Nomenclátor de las estaciones costeras y de las estaciones que efectúan servicios especiales (Lista IV)</w:t>
      </w:r>
    </w:p>
    <w:p w14:paraId="2744F897" w14:textId="77777777" w:rsidR="0077746C" w:rsidRPr="00B2067F" w:rsidRDefault="0077746C" w:rsidP="0077746C">
      <w:bookmarkStart w:id="77" w:name="lt_pId468"/>
      <w:bookmarkEnd w:id="76"/>
      <w:r w:rsidRPr="00B2067F">
        <w:t>Este Nomenclátor contiene la información notificada a la UIT (es decir, distintivo de llamada, MMSI, coordenadas geográficas, frecuencias de transmisión y de recepción, etc.) en relación con las estaciones costeras que prestan servicios de vigilancia mediante técnicas de llamada selectiva digital, servicio de correspondencia pública, asesoramiento médico, avisos náuticos y meteorológicos, avisos a los navegantes y señales horarias radioeléctricas, etc.</w:t>
      </w:r>
    </w:p>
    <w:p w14:paraId="1C017E3E" w14:textId="77777777" w:rsidR="0077746C" w:rsidRPr="00B2067F" w:rsidRDefault="0077746C" w:rsidP="0077746C">
      <w:pPr>
        <w:rPr>
          <w:b/>
        </w:rPr>
      </w:pPr>
      <w:r w:rsidRPr="00B2067F">
        <w:rPr>
          <w:bCs/>
        </w:rPr>
        <w:t>El Nomenclátor de las estaciones costeras y de las estaciones que efectúan servicios especiales (Lista IV) se publica con una periodicidad bienal, en formato CD-ROM. En junio de 2020 se publicó una edición de la Lista IV.</w:t>
      </w:r>
    </w:p>
    <w:p w14:paraId="0054CBA5" w14:textId="77777777" w:rsidR="0077746C" w:rsidRPr="00B2067F" w:rsidRDefault="0077746C" w:rsidP="0077746C">
      <w:bookmarkStart w:id="78" w:name="lt_pId470"/>
      <w:bookmarkEnd w:id="77"/>
      <w:r w:rsidRPr="00B2067F">
        <w:t xml:space="preserve">La información relativa a esta lista puede consultarse a través del sistema de información en línea MARS de la UIT. </w:t>
      </w:r>
      <w:bookmarkEnd w:id="78"/>
      <w:r w:rsidRPr="00B2067F">
        <w:t>Cada seis meses, es publicada en la web una recopilación de todos los cambios notificados a la UIT.</w:t>
      </w:r>
    </w:p>
    <w:p w14:paraId="5015387B" w14:textId="77777777" w:rsidR="0077746C" w:rsidRPr="00B2067F" w:rsidRDefault="0077746C" w:rsidP="0077746C">
      <w:pPr>
        <w:pStyle w:val="Heading4"/>
      </w:pPr>
      <w:r w:rsidRPr="00B2067F">
        <w:t>8.1.2.3</w:t>
      </w:r>
      <w:r w:rsidRPr="00B2067F">
        <w:tab/>
      </w:r>
      <w:bookmarkStart w:id="79" w:name="_Hlk34396651"/>
      <w:r w:rsidRPr="00B2067F">
        <w:t>Nomenclátor de las estaciones de barco y de las asignaciones a identidades del servicio móvil marítimo (Lista V)</w:t>
      </w:r>
    </w:p>
    <w:bookmarkEnd w:id="79"/>
    <w:p w14:paraId="5924A1B9" w14:textId="77777777" w:rsidR="0077746C" w:rsidRPr="00B2067F" w:rsidRDefault="0077746C" w:rsidP="0077746C">
      <w:r w:rsidRPr="00B2067F">
        <w:t>Este Nomenclátor contiene la información notificada a la UIT en relación con las estaciones de barco, de costa y de aeronaves de búsqueda y salvamento, los códigos de identificación de la autoridad encargada de la contabilidad (CCA) y la información de contacto de las administraciones notificantes.</w:t>
      </w:r>
    </w:p>
    <w:p w14:paraId="6D5D12AB" w14:textId="77777777" w:rsidR="0077746C" w:rsidRPr="00B2067F" w:rsidRDefault="0077746C" w:rsidP="0077746C">
      <w:r w:rsidRPr="00B2067F">
        <w:t>El Nomenclátor de las estaciones de barco y de las asignaciones a identidades del servicio móvil marítimo (Lista V) se publica con una periodicidad anual, en formato CD ROM. En abril de 2019 se publicó una edición de la Lista V.</w:t>
      </w:r>
    </w:p>
    <w:p w14:paraId="26A20982" w14:textId="77777777" w:rsidR="0077746C" w:rsidRPr="00B2067F" w:rsidRDefault="0077746C" w:rsidP="0077746C">
      <w:r w:rsidRPr="00B2067F">
        <w:t>La información relativa a esta lista puede consultarse a través del sistema de información en línea MARS de la UIT. Cada tres meses, es publicada en la web una recopilación de todos los cambios notificados a la UIT.</w:t>
      </w:r>
    </w:p>
    <w:p w14:paraId="31537C8C" w14:textId="77777777" w:rsidR="0077746C" w:rsidRPr="00B2067F" w:rsidRDefault="0077746C" w:rsidP="0077746C">
      <w:pPr>
        <w:pStyle w:val="Heading4"/>
      </w:pPr>
      <w:r w:rsidRPr="00B2067F">
        <w:lastRenderedPageBreak/>
        <w:t>8.1.2.4</w:t>
      </w:r>
      <w:r w:rsidRPr="00B2067F">
        <w:tab/>
        <w:t>Nomenclátor de las estaciones de comprobación técnica internacional de las emisiones (Lista VIII)</w:t>
      </w:r>
    </w:p>
    <w:p w14:paraId="6ADDC2CD" w14:textId="77777777" w:rsidR="0077746C" w:rsidRPr="00B2067F" w:rsidRDefault="0077746C" w:rsidP="0077746C">
      <w:r w:rsidRPr="00B2067F">
        <w:t>El Nomenclátor de las estaciones de comprobación técnica internacional de las emisiones (Lista VIII) contiene las direcciones y otros datos pertinentes de las oficinas centralizadoras, incluida información detallada sobre las estaciones de comprobación técnica que miden emisiones terrenales y espaciales. Se ha puesto a disposición un servicio de descarga directa, gratuito y exclusivo para los miembros con acceso TIES.</w:t>
      </w:r>
    </w:p>
    <w:p w14:paraId="5887184D" w14:textId="77777777" w:rsidR="0077746C" w:rsidRPr="00B2067F" w:rsidRDefault="0077746C" w:rsidP="0077746C">
      <w:r w:rsidRPr="00B2067F">
        <w:t>En diciembre de 2019 se publicó una edición de esta Lista.</w:t>
      </w:r>
    </w:p>
    <w:p w14:paraId="51BC161E" w14:textId="77777777" w:rsidR="0077746C" w:rsidRPr="00B2067F" w:rsidRDefault="0077746C" w:rsidP="0077746C">
      <w:pPr>
        <w:pStyle w:val="Heading4"/>
      </w:pPr>
      <w:r w:rsidRPr="00B2067F">
        <w:t>8.1.2.5</w:t>
      </w:r>
      <w:r w:rsidRPr="00B2067F">
        <w:tab/>
        <w:t>Lista de documentos de servicio publicados</w:t>
      </w:r>
    </w:p>
    <w:p w14:paraId="37A95610" w14:textId="77777777" w:rsidR="0077746C" w:rsidRPr="00B2067F" w:rsidRDefault="0077746C" w:rsidP="0077746C">
      <w:r w:rsidRPr="00B2067F">
        <w:t>En el Cuadro 8.1.2.5-1 se resumen las diferentes publicaciones del periodo 2017-2020:</w:t>
      </w:r>
    </w:p>
    <w:p w14:paraId="7657837E" w14:textId="77777777" w:rsidR="0077746C" w:rsidRPr="00B2067F" w:rsidRDefault="0077746C" w:rsidP="0077746C">
      <w:pPr>
        <w:pStyle w:val="TableNoBR"/>
      </w:pPr>
      <w:r w:rsidRPr="00B2067F">
        <w:t>Cuadro 8.1.2.5-1</w:t>
      </w:r>
    </w:p>
    <w:p w14:paraId="165C7741" w14:textId="77777777" w:rsidR="0077746C" w:rsidRPr="00B2067F" w:rsidRDefault="0077746C" w:rsidP="0077746C">
      <w:pPr>
        <w:pStyle w:val="TabletitleBR"/>
      </w:pPr>
      <w:r w:rsidRPr="00B2067F">
        <w:t xml:space="preserve">Información resumida sobre los documentos de servicio </w:t>
      </w:r>
      <w:r w:rsidRPr="00B2067F">
        <w:br/>
        <w:t>publicados durante el periodo 2017-2020</w:t>
      </w:r>
    </w:p>
    <w:tbl>
      <w:tblPr>
        <w:tblStyle w:val="GridTable5Dark-Accent11"/>
        <w:tblW w:w="9355" w:type="dxa"/>
        <w:jc w:val="center"/>
        <w:tblLayout w:type="fixed"/>
        <w:tblLook w:val="04A0" w:firstRow="1" w:lastRow="0" w:firstColumn="1" w:lastColumn="0" w:noHBand="0" w:noVBand="1"/>
      </w:tblPr>
      <w:tblGrid>
        <w:gridCol w:w="4045"/>
        <w:gridCol w:w="1440"/>
        <w:gridCol w:w="1170"/>
        <w:gridCol w:w="1350"/>
        <w:gridCol w:w="1350"/>
      </w:tblGrid>
      <w:tr w:rsidR="00BC7088" w:rsidRPr="00B2067F" w14:paraId="46CC8F21" w14:textId="77777777" w:rsidTr="00820F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Pr>
          <w:p w14:paraId="4E6469A8" w14:textId="77777777" w:rsidR="00BC7088" w:rsidRPr="00B2067F" w:rsidRDefault="00BC7088" w:rsidP="00820F86">
            <w:pPr>
              <w:spacing w:after="120"/>
              <w:jc w:val="center"/>
              <w:rPr>
                <w:sz w:val="20"/>
              </w:rPr>
            </w:pPr>
          </w:p>
        </w:tc>
        <w:tc>
          <w:tcPr>
            <w:tcW w:w="1440" w:type="dxa"/>
          </w:tcPr>
          <w:p w14:paraId="7D361FBA" w14:textId="77777777" w:rsidR="00BC7088" w:rsidRPr="00B2067F" w:rsidRDefault="00BC7088" w:rsidP="00820F86">
            <w:pPr>
              <w:pStyle w:val="Tablehead"/>
              <w:cnfStyle w:val="100000000000" w:firstRow="1" w:lastRow="0" w:firstColumn="0" w:lastColumn="0" w:oddVBand="0" w:evenVBand="0" w:oddHBand="0" w:evenHBand="0" w:firstRowFirstColumn="0" w:firstRowLastColumn="0" w:lastRowFirstColumn="0" w:lastRowLastColumn="0"/>
            </w:pPr>
            <w:r w:rsidRPr="00B2067F">
              <w:t>2017</w:t>
            </w:r>
          </w:p>
        </w:tc>
        <w:tc>
          <w:tcPr>
            <w:tcW w:w="1170" w:type="dxa"/>
          </w:tcPr>
          <w:p w14:paraId="206C30A3" w14:textId="77777777" w:rsidR="00BC7088" w:rsidRPr="00B2067F" w:rsidRDefault="00BC7088" w:rsidP="00820F86">
            <w:pPr>
              <w:pStyle w:val="Tablehead"/>
              <w:cnfStyle w:val="100000000000" w:firstRow="1" w:lastRow="0" w:firstColumn="0" w:lastColumn="0" w:oddVBand="0" w:evenVBand="0" w:oddHBand="0" w:evenHBand="0" w:firstRowFirstColumn="0" w:firstRowLastColumn="0" w:lastRowFirstColumn="0" w:lastRowLastColumn="0"/>
            </w:pPr>
            <w:r w:rsidRPr="00B2067F">
              <w:t>2018</w:t>
            </w:r>
          </w:p>
        </w:tc>
        <w:tc>
          <w:tcPr>
            <w:tcW w:w="1350" w:type="dxa"/>
          </w:tcPr>
          <w:p w14:paraId="71929FAC" w14:textId="77777777" w:rsidR="00BC7088" w:rsidRPr="00B2067F" w:rsidRDefault="00BC7088" w:rsidP="00820F86">
            <w:pPr>
              <w:pStyle w:val="Tablehead"/>
              <w:cnfStyle w:val="100000000000" w:firstRow="1" w:lastRow="0" w:firstColumn="0" w:lastColumn="0" w:oddVBand="0" w:evenVBand="0" w:oddHBand="0" w:evenHBand="0" w:firstRowFirstColumn="0" w:firstRowLastColumn="0" w:lastRowFirstColumn="0" w:lastRowLastColumn="0"/>
            </w:pPr>
            <w:r w:rsidRPr="00B2067F">
              <w:t>2019</w:t>
            </w:r>
          </w:p>
        </w:tc>
        <w:tc>
          <w:tcPr>
            <w:tcW w:w="1350" w:type="dxa"/>
          </w:tcPr>
          <w:p w14:paraId="21048E1C" w14:textId="77777777" w:rsidR="00BC7088" w:rsidRPr="00B2067F" w:rsidRDefault="00BC7088" w:rsidP="00820F86">
            <w:pPr>
              <w:pStyle w:val="Tablehead"/>
              <w:cnfStyle w:val="100000000000" w:firstRow="1" w:lastRow="0" w:firstColumn="0" w:lastColumn="0" w:oddVBand="0" w:evenVBand="0" w:oddHBand="0" w:evenHBand="0" w:firstRowFirstColumn="0" w:firstRowLastColumn="0" w:lastRowFirstColumn="0" w:lastRowLastColumn="0"/>
            </w:pPr>
            <w:r w:rsidRPr="00B2067F">
              <w:t>2020</w:t>
            </w:r>
          </w:p>
        </w:tc>
      </w:tr>
      <w:tr w:rsidR="00BC7088" w:rsidRPr="00B2067F" w14:paraId="4093239E" w14:textId="77777777" w:rsidTr="00820F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Pr>
          <w:p w14:paraId="309BBF5A" w14:textId="77777777" w:rsidR="00BC7088" w:rsidRPr="00B2067F" w:rsidRDefault="00BC7088" w:rsidP="00820F86">
            <w:pPr>
              <w:pStyle w:val="Tablehead"/>
              <w:rPr>
                <w:bCs w:val="0"/>
                <w:sz w:val="20"/>
              </w:rPr>
            </w:pPr>
            <w:r w:rsidRPr="00B2067F">
              <w:t>BR IFIC (Circular Internacional de Información sobre Frecuencias)</w:t>
            </w:r>
          </w:p>
        </w:tc>
        <w:tc>
          <w:tcPr>
            <w:tcW w:w="1440" w:type="dxa"/>
          </w:tcPr>
          <w:p w14:paraId="6208BBC8" w14:textId="77777777" w:rsidR="00BC7088" w:rsidRPr="00B2067F" w:rsidRDefault="00BC7088"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25</w:t>
            </w:r>
          </w:p>
        </w:tc>
        <w:tc>
          <w:tcPr>
            <w:tcW w:w="1170" w:type="dxa"/>
          </w:tcPr>
          <w:p w14:paraId="0418CA91" w14:textId="77777777" w:rsidR="00BC7088" w:rsidRPr="00B2067F" w:rsidRDefault="00BC7088"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25</w:t>
            </w:r>
          </w:p>
        </w:tc>
        <w:tc>
          <w:tcPr>
            <w:tcW w:w="1350" w:type="dxa"/>
          </w:tcPr>
          <w:p w14:paraId="461FC729" w14:textId="77777777" w:rsidR="00BC7088" w:rsidRPr="00B2067F" w:rsidRDefault="00BC7088"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25</w:t>
            </w:r>
          </w:p>
        </w:tc>
        <w:tc>
          <w:tcPr>
            <w:tcW w:w="1350" w:type="dxa"/>
          </w:tcPr>
          <w:p w14:paraId="4C28495C" w14:textId="77777777" w:rsidR="00BC7088" w:rsidRPr="00B2067F" w:rsidRDefault="00BC7088"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26</w:t>
            </w:r>
          </w:p>
        </w:tc>
      </w:tr>
      <w:tr w:rsidR="00BC7088" w:rsidRPr="00B2067F" w14:paraId="0AB0DD37" w14:textId="77777777" w:rsidTr="00820F86">
        <w:trPr>
          <w:jc w:val="center"/>
        </w:trPr>
        <w:tc>
          <w:tcPr>
            <w:cnfStyle w:val="001000000000" w:firstRow="0" w:lastRow="0" w:firstColumn="1" w:lastColumn="0" w:oddVBand="0" w:evenVBand="0" w:oddHBand="0" w:evenHBand="0" w:firstRowFirstColumn="0" w:firstRowLastColumn="0" w:lastRowFirstColumn="0" w:lastRowLastColumn="0"/>
            <w:tcW w:w="4045" w:type="dxa"/>
          </w:tcPr>
          <w:p w14:paraId="67CA2C07" w14:textId="77777777" w:rsidR="00BC7088" w:rsidRPr="00B2067F" w:rsidRDefault="00BC7088" w:rsidP="00820F86">
            <w:pPr>
              <w:pStyle w:val="Tablehead"/>
              <w:rPr>
                <w:sz w:val="20"/>
              </w:rPr>
            </w:pPr>
            <w:r w:rsidRPr="00B2067F">
              <w:t>Lista IV (Nomenclátor de las estaciones costeras y de las estaciones que efectúan servicios especiales)</w:t>
            </w:r>
          </w:p>
        </w:tc>
        <w:tc>
          <w:tcPr>
            <w:tcW w:w="1440" w:type="dxa"/>
          </w:tcPr>
          <w:p w14:paraId="5207FB42" w14:textId="77777777" w:rsidR="00BC7088" w:rsidRPr="00B2067F" w:rsidRDefault="00BC7088" w:rsidP="00820F86">
            <w:pPr>
              <w:pStyle w:val="Tabletext"/>
              <w:jc w:val="center"/>
              <w:cnfStyle w:val="000000000000" w:firstRow="0" w:lastRow="0" w:firstColumn="0" w:lastColumn="0" w:oddVBand="0" w:evenVBand="0" w:oddHBand="0" w:evenHBand="0" w:firstRowFirstColumn="0" w:firstRowLastColumn="0" w:lastRowFirstColumn="0" w:lastRowLastColumn="0"/>
            </w:pPr>
            <w:r w:rsidRPr="00B2067F">
              <w:rPr>
                <w:rFonts w:eastAsia="SimSun"/>
              </w:rPr>
              <w:t>Edición de 2017</w:t>
            </w:r>
            <w:r w:rsidRPr="00B2067F">
              <w:rPr>
                <w:rFonts w:eastAsia="SimSun"/>
              </w:rPr>
              <w:br/>
              <w:t>(noviembre)</w:t>
            </w:r>
          </w:p>
        </w:tc>
        <w:tc>
          <w:tcPr>
            <w:tcW w:w="1170" w:type="dxa"/>
          </w:tcPr>
          <w:p w14:paraId="173EF057" w14:textId="77777777" w:rsidR="00BC7088" w:rsidRPr="00B2067F" w:rsidRDefault="00BC7088" w:rsidP="00820F86">
            <w:pPr>
              <w:pStyle w:val="Tabletext"/>
              <w:jc w:val="center"/>
              <w:cnfStyle w:val="000000000000" w:firstRow="0" w:lastRow="0" w:firstColumn="0" w:lastColumn="0" w:oddVBand="0" w:evenVBand="0" w:oddHBand="0" w:evenHBand="0" w:firstRowFirstColumn="0" w:firstRowLastColumn="0" w:lastRowFirstColumn="0" w:lastRowLastColumn="0"/>
            </w:pPr>
          </w:p>
        </w:tc>
        <w:tc>
          <w:tcPr>
            <w:tcW w:w="1350" w:type="dxa"/>
          </w:tcPr>
          <w:p w14:paraId="6496F984" w14:textId="77777777" w:rsidR="00BC7088" w:rsidRPr="00B2067F" w:rsidRDefault="00BC7088" w:rsidP="00820F86">
            <w:pPr>
              <w:pStyle w:val="Tabletext"/>
              <w:jc w:val="center"/>
              <w:cnfStyle w:val="000000000000" w:firstRow="0" w:lastRow="0" w:firstColumn="0" w:lastColumn="0" w:oddVBand="0" w:evenVBand="0" w:oddHBand="0" w:evenHBand="0" w:firstRowFirstColumn="0" w:firstRowLastColumn="0" w:lastRowFirstColumn="0" w:lastRowLastColumn="0"/>
            </w:pPr>
            <w:r w:rsidRPr="00B2067F">
              <w:rPr>
                <w:rFonts w:eastAsia="SimSun"/>
              </w:rPr>
              <w:t>Edición de 2019</w:t>
            </w:r>
            <w:r w:rsidRPr="00B2067F">
              <w:rPr>
                <w:rFonts w:eastAsia="SimSun"/>
              </w:rPr>
              <w:br/>
              <w:t>(diciembre)</w:t>
            </w:r>
          </w:p>
        </w:tc>
        <w:tc>
          <w:tcPr>
            <w:tcW w:w="1350" w:type="dxa"/>
          </w:tcPr>
          <w:p w14:paraId="0EEF3AD6" w14:textId="77777777" w:rsidR="00BC7088" w:rsidRPr="00B2067F" w:rsidRDefault="00BC7088" w:rsidP="00820F86">
            <w:pPr>
              <w:pStyle w:val="Tabletext"/>
              <w:jc w:val="center"/>
              <w:cnfStyle w:val="000000000000" w:firstRow="0" w:lastRow="0" w:firstColumn="0" w:lastColumn="0" w:oddVBand="0" w:evenVBand="0" w:oddHBand="0" w:evenHBand="0" w:firstRowFirstColumn="0" w:firstRowLastColumn="0" w:lastRowFirstColumn="0" w:lastRowLastColumn="0"/>
              <w:rPr>
                <w:rFonts w:eastAsia="SimSun"/>
              </w:rPr>
            </w:pPr>
          </w:p>
        </w:tc>
      </w:tr>
      <w:tr w:rsidR="00BC7088" w:rsidRPr="00B2067F" w14:paraId="4C899912" w14:textId="77777777" w:rsidTr="00820F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Pr>
          <w:p w14:paraId="3E2346AC" w14:textId="77777777" w:rsidR="00BC7088" w:rsidRPr="00B2067F" w:rsidRDefault="00BC7088" w:rsidP="00820F86">
            <w:pPr>
              <w:pStyle w:val="Tablehead"/>
              <w:rPr>
                <w:sz w:val="20"/>
              </w:rPr>
            </w:pPr>
            <w:r w:rsidRPr="00B2067F">
              <w:t>Lista V (Nomenclátor de las estaciones de barco y de las asignaciones a identidades del servicio móvil marítimo)</w:t>
            </w:r>
          </w:p>
        </w:tc>
        <w:tc>
          <w:tcPr>
            <w:tcW w:w="1440" w:type="dxa"/>
          </w:tcPr>
          <w:p w14:paraId="6A5AF718" w14:textId="77777777" w:rsidR="00BC7088" w:rsidRPr="00B2067F" w:rsidRDefault="00BC7088"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rPr>
                <w:rFonts w:eastAsia="SimSun"/>
              </w:rPr>
              <w:t>Edición de 2017</w:t>
            </w:r>
            <w:r w:rsidRPr="00B2067F">
              <w:rPr>
                <w:rFonts w:eastAsia="SimSun"/>
              </w:rPr>
              <w:br/>
              <w:t>(abril)</w:t>
            </w:r>
          </w:p>
        </w:tc>
        <w:tc>
          <w:tcPr>
            <w:tcW w:w="1170" w:type="dxa"/>
          </w:tcPr>
          <w:p w14:paraId="3EC63FEA" w14:textId="77777777" w:rsidR="00BC7088" w:rsidRPr="00B2067F" w:rsidRDefault="00BC7088"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rPr>
                <w:rFonts w:eastAsia="SimSun"/>
              </w:rPr>
              <w:t>Edición de 2018</w:t>
            </w:r>
            <w:r w:rsidRPr="00B2067F">
              <w:rPr>
                <w:rFonts w:eastAsia="SimSun"/>
              </w:rPr>
              <w:br/>
              <w:t>(abril)</w:t>
            </w:r>
          </w:p>
        </w:tc>
        <w:tc>
          <w:tcPr>
            <w:tcW w:w="1350" w:type="dxa"/>
          </w:tcPr>
          <w:p w14:paraId="568ED8EF" w14:textId="77777777" w:rsidR="00BC7088" w:rsidRPr="00B2067F" w:rsidRDefault="00BC7088"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rPr>
                <w:rFonts w:eastAsia="SimSun"/>
              </w:rPr>
              <w:t>Edición de 2019</w:t>
            </w:r>
            <w:r w:rsidRPr="00B2067F">
              <w:rPr>
                <w:rFonts w:eastAsia="SimSun"/>
              </w:rPr>
              <w:br/>
              <w:t>(abril)</w:t>
            </w:r>
          </w:p>
        </w:tc>
        <w:tc>
          <w:tcPr>
            <w:tcW w:w="1350" w:type="dxa"/>
          </w:tcPr>
          <w:p w14:paraId="41253C5D" w14:textId="77777777" w:rsidR="00BC7088" w:rsidRPr="00B2067F" w:rsidRDefault="00BC7088" w:rsidP="00820F86">
            <w:pPr>
              <w:pStyle w:val="Tabletext"/>
              <w:jc w:val="center"/>
              <w:cnfStyle w:val="000000100000" w:firstRow="0" w:lastRow="0" w:firstColumn="0" w:lastColumn="0" w:oddVBand="0" w:evenVBand="0" w:oddHBand="1" w:evenHBand="0" w:firstRowFirstColumn="0" w:firstRowLastColumn="0" w:lastRowFirstColumn="0" w:lastRowLastColumn="0"/>
              <w:rPr>
                <w:rFonts w:eastAsia="SimSun"/>
              </w:rPr>
            </w:pPr>
            <w:r w:rsidRPr="00B2067F">
              <w:rPr>
                <w:rFonts w:eastAsia="SimSun"/>
              </w:rPr>
              <w:t>Edición de 2020</w:t>
            </w:r>
            <w:r w:rsidRPr="00B2067F">
              <w:rPr>
                <w:rFonts w:eastAsia="SimSun"/>
              </w:rPr>
              <w:br/>
              <w:t>(junio)</w:t>
            </w:r>
          </w:p>
        </w:tc>
      </w:tr>
      <w:tr w:rsidR="00BC7088" w:rsidRPr="00B2067F" w14:paraId="48AF2BFA" w14:textId="77777777" w:rsidTr="00820F86">
        <w:trPr>
          <w:jc w:val="center"/>
        </w:trPr>
        <w:tc>
          <w:tcPr>
            <w:cnfStyle w:val="001000000000" w:firstRow="0" w:lastRow="0" w:firstColumn="1" w:lastColumn="0" w:oddVBand="0" w:evenVBand="0" w:oddHBand="0" w:evenHBand="0" w:firstRowFirstColumn="0" w:firstRowLastColumn="0" w:lastRowFirstColumn="0" w:lastRowLastColumn="0"/>
            <w:tcW w:w="4045" w:type="dxa"/>
          </w:tcPr>
          <w:p w14:paraId="55C226D9" w14:textId="77777777" w:rsidR="00BC7088" w:rsidRPr="00B2067F" w:rsidRDefault="00BC7088" w:rsidP="00820F86">
            <w:pPr>
              <w:pStyle w:val="Tablehead"/>
              <w:rPr>
                <w:sz w:val="20"/>
              </w:rPr>
            </w:pPr>
            <w:r w:rsidRPr="00B2067F">
              <w:t>Lista VIII (Nomenclátor de las estaciones de comprobación técnica internacional de las emisiones)</w:t>
            </w:r>
          </w:p>
        </w:tc>
        <w:tc>
          <w:tcPr>
            <w:tcW w:w="1440" w:type="dxa"/>
          </w:tcPr>
          <w:p w14:paraId="14592E79" w14:textId="77777777" w:rsidR="00BC7088" w:rsidRPr="00B2067F" w:rsidRDefault="00BC7088" w:rsidP="00820F86">
            <w:pPr>
              <w:pStyle w:val="Tabletext"/>
              <w:jc w:val="center"/>
              <w:cnfStyle w:val="000000000000" w:firstRow="0" w:lastRow="0" w:firstColumn="0" w:lastColumn="0" w:oddVBand="0" w:evenVBand="0" w:oddHBand="0" w:evenHBand="0" w:firstRowFirstColumn="0" w:firstRowLastColumn="0" w:lastRowFirstColumn="0" w:lastRowLastColumn="0"/>
            </w:pPr>
          </w:p>
        </w:tc>
        <w:tc>
          <w:tcPr>
            <w:tcW w:w="1170" w:type="dxa"/>
          </w:tcPr>
          <w:p w14:paraId="3C58910E" w14:textId="77777777" w:rsidR="00BC7088" w:rsidRPr="00B2067F" w:rsidRDefault="00BC7088" w:rsidP="00820F86">
            <w:pPr>
              <w:pStyle w:val="Tabletext"/>
              <w:jc w:val="center"/>
              <w:cnfStyle w:val="000000000000" w:firstRow="0" w:lastRow="0" w:firstColumn="0" w:lastColumn="0" w:oddVBand="0" w:evenVBand="0" w:oddHBand="0" w:evenHBand="0" w:firstRowFirstColumn="0" w:firstRowLastColumn="0" w:lastRowFirstColumn="0" w:lastRowLastColumn="0"/>
            </w:pPr>
          </w:p>
        </w:tc>
        <w:tc>
          <w:tcPr>
            <w:tcW w:w="1350" w:type="dxa"/>
          </w:tcPr>
          <w:p w14:paraId="2CC1894C" w14:textId="77777777" w:rsidR="00BC7088" w:rsidRPr="00B2067F" w:rsidRDefault="00BC7088" w:rsidP="00820F86">
            <w:pPr>
              <w:pStyle w:val="Tabletext"/>
              <w:jc w:val="center"/>
              <w:cnfStyle w:val="000000000000" w:firstRow="0" w:lastRow="0" w:firstColumn="0" w:lastColumn="0" w:oddVBand="0" w:evenVBand="0" w:oddHBand="0" w:evenHBand="0" w:firstRowFirstColumn="0" w:firstRowLastColumn="0" w:lastRowFirstColumn="0" w:lastRowLastColumn="0"/>
            </w:pPr>
            <w:r w:rsidRPr="00B2067F">
              <w:rPr>
                <w:rFonts w:eastAsia="SimSun"/>
              </w:rPr>
              <w:t>Edición de 2019</w:t>
            </w:r>
            <w:r w:rsidRPr="00B2067F">
              <w:rPr>
                <w:rFonts w:eastAsia="SimSun"/>
              </w:rPr>
              <w:br/>
              <w:t>(diciembre)</w:t>
            </w:r>
          </w:p>
        </w:tc>
        <w:tc>
          <w:tcPr>
            <w:tcW w:w="1350" w:type="dxa"/>
          </w:tcPr>
          <w:p w14:paraId="17BCFFD4" w14:textId="77777777" w:rsidR="00BC7088" w:rsidRPr="00B2067F" w:rsidRDefault="00BC7088" w:rsidP="00820F86">
            <w:pPr>
              <w:pStyle w:val="Tabletext"/>
              <w:jc w:val="center"/>
              <w:cnfStyle w:val="000000000000" w:firstRow="0" w:lastRow="0" w:firstColumn="0" w:lastColumn="0" w:oddVBand="0" w:evenVBand="0" w:oddHBand="0" w:evenHBand="0" w:firstRowFirstColumn="0" w:firstRowLastColumn="0" w:lastRowFirstColumn="0" w:lastRowLastColumn="0"/>
              <w:rPr>
                <w:rFonts w:eastAsia="SimSun"/>
              </w:rPr>
            </w:pPr>
          </w:p>
        </w:tc>
      </w:tr>
      <w:tr w:rsidR="00BC7088" w:rsidRPr="00B2067F" w14:paraId="2E487FBA" w14:textId="77777777" w:rsidTr="00820F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Pr>
          <w:p w14:paraId="0336E5FF" w14:textId="77777777" w:rsidR="00BC7088" w:rsidRPr="00B2067F" w:rsidRDefault="00BC7088" w:rsidP="00820F86">
            <w:pPr>
              <w:pStyle w:val="Tablehead"/>
              <w:rPr>
                <w:sz w:val="20"/>
              </w:rPr>
            </w:pPr>
            <w:r w:rsidRPr="00B2067F">
              <w:t>Manual Marítimo</w:t>
            </w:r>
          </w:p>
        </w:tc>
        <w:tc>
          <w:tcPr>
            <w:tcW w:w="1440" w:type="dxa"/>
          </w:tcPr>
          <w:p w14:paraId="6C2228BF" w14:textId="77777777" w:rsidR="00BC7088" w:rsidRPr="00B2067F" w:rsidRDefault="00BC7088" w:rsidP="00820F86">
            <w:pPr>
              <w:pStyle w:val="Tabletext"/>
              <w:jc w:val="center"/>
              <w:cnfStyle w:val="000000100000" w:firstRow="0" w:lastRow="0" w:firstColumn="0" w:lastColumn="0" w:oddVBand="0" w:evenVBand="0" w:oddHBand="1" w:evenHBand="0" w:firstRowFirstColumn="0" w:firstRowLastColumn="0" w:lastRowFirstColumn="0" w:lastRowLastColumn="0"/>
            </w:pPr>
          </w:p>
        </w:tc>
        <w:tc>
          <w:tcPr>
            <w:tcW w:w="1170" w:type="dxa"/>
          </w:tcPr>
          <w:p w14:paraId="758221AB" w14:textId="77777777" w:rsidR="00BC7088" w:rsidRPr="00B2067F" w:rsidRDefault="00BC7088" w:rsidP="00820F86">
            <w:pPr>
              <w:pStyle w:val="Tabletext"/>
              <w:jc w:val="center"/>
              <w:cnfStyle w:val="000000100000" w:firstRow="0" w:lastRow="0" w:firstColumn="0" w:lastColumn="0" w:oddVBand="0" w:evenVBand="0" w:oddHBand="1" w:evenHBand="0" w:firstRowFirstColumn="0" w:firstRowLastColumn="0" w:lastRowFirstColumn="0" w:lastRowLastColumn="0"/>
            </w:pPr>
          </w:p>
        </w:tc>
        <w:tc>
          <w:tcPr>
            <w:tcW w:w="1350" w:type="dxa"/>
          </w:tcPr>
          <w:p w14:paraId="1C529ED3" w14:textId="77777777" w:rsidR="00BC7088" w:rsidRPr="00B2067F" w:rsidRDefault="00BC7088" w:rsidP="00820F86">
            <w:pPr>
              <w:pStyle w:val="Tabletext"/>
              <w:jc w:val="center"/>
              <w:cnfStyle w:val="000000100000" w:firstRow="0" w:lastRow="0" w:firstColumn="0" w:lastColumn="0" w:oddVBand="0" w:evenVBand="0" w:oddHBand="1" w:evenHBand="0" w:firstRowFirstColumn="0" w:firstRowLastColumn="0" w:lastRowFirstColumn="0" w:lastRowLastColumn="0"/>
            </w:pPr>
          </w:p>
        </w:tc>
        <w:tc>
          <w:tcPr>
            <w:tcW w:w="1350" w:type="dxa"/>
          </w:tcPr>
          <w:p w14:paraId="28A3C850" w14:textId="77777777" w:rsidR="00BC7088" w:rsidRPr="00B2067F" w:rsidRDefault="00BC7088"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rPr>
                <w:rFonts w:eastAsia="SimSun"/>
              </w:rPr>
              <w:t>Edición de 2020</w:t>
            </w:r>
            <w:r w:rsidRPr="00B2067F">
              <w:rPr>
                <w:rFonts w:eastAsia="SimSun"/>
              </w:rPr>
              <w:br/>
              <w:t>(diciembre)</w:t>
            </w:r>
          </w:p>
        </w:tc>
      </w:tr>
    </w:tbl>
    <w:p w14:paraId="35FE1B65" w14:textId="0366E6C7" w:rsidR="0077746C" w:rsidRPr="00B2067F" w:rsidRDefault="0077746C" w:rsidP="0077746C">
      <w:pPr>
        <w:pStyle w:val="Heading3"/>
      </w:pPr>
      <w:r w:rsidRPr="00B2067F">
        <w:t>8.1.3</w:t>
      </w:r>
      <w:r w:rsidRPr="00B2067F">
        <w:tab/>
        <w:t>Publicaciones de las Comisiones de Estudio</w:t>
      </w:r>
    </w:p>
    <w:p w14:paraId="706DD51E" w14:textId="1AF382F6" w:rsidR="0077746C" w:rsidRPr="00B2067F" w:rsidRDefault="0077746C" w:rsidP="0077746C">
      <w:bookmarkStart w:id="80" w:name="lt_pId607"/>
      <w:r w:rsidRPr="00B2067F">
        <w:t>Desde la reunión de 2020 del GAR, las publicaciones de las Comisiones de Estudio del UIT-R de la UIT siguieron elaborándose de conformidad con la Resolución UIT-R 1-8.</w:t>
      </w:r>
      <w:bookmarkEnd w:id="80"/>
    </w:p>
    <w:p w14:paraId="4095E186" w14:textId="77777777" w:rsidR="0077746C" w:rsidRPr="00B2067F" w:rsidRDefault="0077746C" w:rsidP="0077746C">
      <w:r w:rsidRPr="00B2067F">
        <w:t xml:space="preserve">El Addéndum 1 al Documento RAG/26 contiene la lista completa de las Cuestiones UIT-R, las Recomendaciones UIT-R y los Informes UIT-R aprobados desde la reunión de 2020 del GAR </w:t>
      </w:r>
    </w:p>
    <w:p w14:paraId="50F9B4CF" w14:textId="77777777" w:rsidR="0077746C" w:rsidRPr="00B2067F" w:rsidRDefault="0077746C" w:rsidP="00A85143">
      <w:pPr>
        <w:pStyle w:val="Headingb"/>
      </w:pPr>
      <w:bookmarkStart w:id="81" w:name="lt_pId608"/>
      <w:r w:rsidRPr="00B2067F">
        <w:t>•</w:t>
      </w:r>
      <w:r w:rsidRPr="00B2067F">
        <w:tab/>
      </w:r>
      <w:bookmarkEnd w:id="81"/>
      <w:r w:rsidRPr="00B2067F">
        <w:t>Cuestiones UIT-R</w:t>
      </w:r>
    </w:p>
    <w:p w14:paraId="169A4EF4" w14:textId="77777777" w:rsidR="0077746C" w:rsidRPr="00B2067F" w:rsidRDefault="0077746C" w:rsidP="0077746C">
      <w:bookmarkStart w:id="82" w:name="lt_pId609"/>
      <w:r w:rsidRPr="00B2067F">
        <w:t>Desde la reunión de 2020 del GAR, se ha aprobado y publicado una Cuestión UIT-R revisada, con arreglo a los procedimientos establecidos en la Resolución UIT-R 1-8. Durante este periodo, también se han suprimido cinco Cuestiones UIT-R.</w:t>
      </w:r>
      <w:bookmarkEnd w:id="82"/>
    </w:p>
    <w:p w14:paraId="38D3B3BE" w14:textId="77777777" w:rsidR="0077746C" w:rsidRPr="00B2067F" w:rsidRDefault="0077746C" w:rsidP="00A85143">
      <w:pPr>
        <w:pStyle w:val="Headingb"/>
      </w:pPr>
      <w:bookmarkStart w:id="83" w:name="lt_pId646"/>
      <w:r w:rsidRPr="00B2067F">
        <w:t>•</w:t>
      </w:r>
      <w:r w:rsidRPr="00B2067F">
        <w:tab/>
      </w:r>
      <w:bookmarkEnd w:id="83"/>
      <w:r w:rsidRPr="00B2067F">
        <w:t>Recomendaciones UIT-R</w:t>
      </w:r>
    </w:p>
    <w:p w14:paraId="2CA35658" w14:textId="003CB3EF" w:rsidR="0077746C" w:rsidRPr="00B2067F" w:rsidRDefault="0077746C" w:rsidP="0077746C">
      <w:r w:rsidRPr="00B2067F">
        <w:t>Desde la reunión de 2020 del GAR, se ha aprobado cuatro nu</w:t>
      </w:r>
      <w:r w:rsidR="007E3944" w:rsidRPr="00B2067F">
        <w:t>evas Recomendaciones UIT-R y 11 </w:t>
      </w:r>
      <w:r w:rsidRPr="00B2067F">
        <w:t xml:space="preserve">Recomendaciones UIT-R revisadas, con arreglo a los procedimientos establecidos en la </w:t>
      </w:r>
      <w:r w:rsidRPr="00B2067F">
        <w:lastRenderedPageBreak/>
        <w:t xml:space="preserve">Resolución UIT-R 1-8, y publicado en el sitio web de la UIT en inglés. Está en curso la publicación en 6 idiomas de algunas de estas Recomendaciones UIT-R. </w:t>
      </w:r>
    </w:p>
    <w:p w14:paraId="11342B0A" w14:textId="77777777" w:rsidR="0077746C" w:rsidRPr="00B2067F" w:rsidRDefault="0077746C" w:rsidP="00A85143">
      <w:pPr>
        <w:pStyle w:val="Headingb"/>
      </w:pPr>
      <w:bookmarkStart w:id="84" w:name="lt_pId701"/>
      <w:r w:rsidRPr="00B2067F">
        <w:t>•</w:t>
      </w:r>
      <w:r w:rsidRPr="00B2067F">
        <w:tab/>
      </w:r>
      <w:bookmarkEnd w:id="84"/>
      <w:r w:rsidRPr="00B2067F">
        <w:t>Informes UIT-R</w:t>
      </w:r>
    </w:p>
    <w:p w14:paraId="1963D389" w14:textId="77777777" w:rsidR="0077746C" w:rsidRPr="00B2067F" w:rsidRDefault="0077746C" w:rsidP="0077746C">
      <w:bookmarkStart w:id="85" w:name="lt_pId702"/>
      <w:r w:rsidRPr="00B2067F">
        <w:t>Desde la reunión de 2020 del GAR, se publicaron dos Informes UIT-R nuevos y 12 revisados en el sitio web de la UIT en inglés.</w:t>
      </w:r>
      <w:bookmarkEnd w:id="85"/>
    </w:p>
    <w:p w14:paraId="25B6EB63" w14:textId="77777777" w:rsidR="0077746C" w:rsidRPr="00B2067F" w:rsidRDefault="0077746C" w:rsidP="00A85143">
      <w:pPr>
        <w:pStyle w:val="Headingb"/>
      </w:pPr>
      <w:bookmarkStart w:id="86" w:name="lt_pId757"/>
      <w:r w:rsidRPr="00B2067F">
        <w:t>•</w:t>
      </w:r>
      <w:r w:rsidRPr="00B2067F">
        <w:tab/>
      </w:r>
      <w:bookmarkEnd w:id="86"/>
      <w:r w:rsidRPr="00B2067F">
        <w:t>Manuales del UIT-R</w:t>
      </w:r>
    </w:p>
    <w:p w14:paraId="75710CC7" w14:textId="77777777" w:rsidR="0077746C" w:rsidRPr="00B2067F" w:rsidRDefault="0077746C" w:rsidP="00A85143">
      <w:pPr>
        <w:rPr>
          <w:szCs w:val="24"/>
        </w:rPr>
      </w:pPr>
      <w:r w:rsidRPr="00B2067F">
        <w:t>Desde la reunión de 2020 del GAR, el GT 5A ha aprobado el Volumen 5: Despliegue de sistemas de acceso inalámbrico de banda ancha, del Manual sobre el servicio móvil terrestre (incluido el acceso inalámbrico) y se ha publicado en el sitio web de la UIT.</w:t>
      </w:r>
      <w:r w:rsidRPr="00B2067F">
        <w:rPr>
          <w:szCs w:val="24"/>
        </w:rPr>
        <w:t xml:space="preserve"> </w:t>
      </w:r>
    </w:p>
    <w:p w14:paraId="0D042A01" w14:textId="77777777" w:rsidR="0077746C" w:rsidRPr="00B2067F" w:rsidRDefault="0077746C" w:rsidP="0077746C">
      <w:pPr>
        <w:pStyle w:val="Heading3"/>
      </w:pPr>
      <w:r w:rsidRPr="00B2067F">
        <w:t>8.1.4</w:t>
      </w:r>
      <w:r w:rsidRPr="00B2067F">
        <w:tab/>
        <w:t>Descargas de publicaciones del UIT-R</w:t>
      </w:r>
    </w:p>
    <w:p w14:paraId="73CC17A4" w14:textId="77777777" w:rsidR="0077746C" w:rsidRPr="00B2067F" w:rsidRDefault="0077746C" w:rsidP="0077746C">
      <w:pPr>
        <w:pStyle w:val="Heading4"/>
      </w:pPr>
      <w:r w:rsidRPr="00B2067F">
        <w:t>8.1.4.1</w:t>
      </w:r>
      <w:r w:rsidRPr="00B2067F">
        <w:tab/>
        <w:t xml:space="preserve">Reglamento de Radiocomunicaciones y Reglas de Procedimiento </w:t>
      </w:r>
    </w:p>
    <w:p w14:paraId="77B3E004" w14:textId="77777777" w:rsidR="0077746C" w:rsidRPr="00B2067F" w:rsidRDefault="0077746C" w:rsidP="00A85143">
      <w:r w:rsidRPr="00B2067F">
        <w:t xml:space="preserve">En relación con estos documentos reglamentarios, en el Cuadro 8.1.4.1-1 se muestra el número de ejemplares distribuidos de la edición de 2016 del RR y de la edición de 2020 del RR. </w:t>
      </w:r>
    </w:p>
    <w:p w14:paraId="4AA5F9F4" w14:textId="77777777" w:rsidR="0077746C" w:rsidRPr="00B2067F" w:rsidRDefault="0077746C" w:rsidP="0077746C">
      <w:pPr>
        <w:pStyle w:val="TableNoBR"/>
      </w:pPr>
      <w:bookmarkStart w:id="87" w:name="lt_pId765"/>
      <w:r w:rsidRPr="00B2067F">
        <w:t>CUADRO 8.1.4.1-1</w:t>
      </w:r>
      <w:bookmarkEnd w:id="87"/>
    </w:p>
    <w:p w14:paraId="5C72F342" w14:textId="77777777" w:rsidR="0077746C" w:rsidRPr="00B2067F" w:rsidRDefault="0077746C" w:rsidP="0077746C">
      <w:pPr>
        <w:pStyle w:val="TabletitleBR"/>
      </w:pPr>
      <w:r w:rsidRPr="00B2067F">
        <w:t>Número de ejemplares distribuidos del Reglamento de Radiocomunicaciones</w:t>
      </w:r>
    </w:p>
    <w:tbl>
      <w:tblPr>
        <w:tblW w:w="8070" w:type="dxa"/>
        <w:jc w:val="center"/>
        <w:tblCellMar>
          <w:left w:w="0" w:type="dxa"/>
          <w:right w:w="0" w:type="dxa"/>
        </w:tblCellMar>
        <w:tblLook w:val="04A0" w:firstRow="1" w:lastRow="0" w:firstColumn="1" w:lastColumn="0" w:noHBand="0" w:noVBand="1"/>
      </w:tblPr>
      <w:tblGrid>
        <w:gridCol w:w="2478"/>
        <w:gridCol w:w="1491"/>
        <w:gridCol w:w="1550"/>
        <w:gridCol w:w="2551"/>
      </w:tblGrid>
      <w:tr w:rsidR="0077746C" w:rsidRPr="00B2067F" w14:paraId="19E22D2E" w14:textId="77777777" w:rsidTr="0077746C">
        <w:trPr>
          <w:trHeight w:val="525"/>
          <w:jc w:val="center"/>
        </w:trPr>
        <w:tc>
          <w:tcPr>
            <w:tcW w:w="2478" w:type="dxa"/>
            <w:tcBorders>
              <w:top w:val="single" w:sz="8" w:space="0" w:color="FFFFFF" w:themeColor="background1"/>
              <w:left w:val="single" w:sz="8" w:space="0" w:color="FFFFFF" w:themeColor="background1"/>
              <w:bottom w:val="single" w:sz="8" w:space="0" w:color="FFFFFF" w:themeColor="background1"/>
              <w:right w:val="nil"/>
            </w:tcBorders>
            <w:shd w:val="clear" w:color="auto" w:fill="4472C4"/>
            <w:tcMar>
              <w:top w:w="0" w:type="dxa"/>
              <w:left w:w="108" w:type="dxa"/>
              <w:bottom w:w="0" w:type="dxa"/>
              <w:right w:w="108" w:type="dxa"/>
            </w:tcMar>
            <w:vAlign w:val="center"/>
            <w:hideMark/>
          </w:tcPr>
          <w:p w14:paraId="40EB2137" w14:textId="77777777" w:rsidR="0077746C" w:rsidRPr="00B2067F" w:rsidRDefault="0077746C" w:rsidP="0077746C">
            <w:pPr>
              <w:pStyle w:val="Tablehead"/>
              <w:rPr>
                <w:b w:val="0"/>
                <w:color w:val="FFFFFF" w:themeColor="background1"/>
              </w:rPr>
            </w:pPr>
            <w:r w:rsidRPr="00B2067F">
              <w:rPr>
                <w:b w:val="0"/>
                <w:color w:val="FFFFFF" w:themeColor="background1"/>
              </w:rPr>
              <w:t>RR-16</w:t>
            </w:r>
          </w:p>
        </w:tc>
        <w:tc>
          <w:tcPr>
            <w:tcW w:w="1491" w:type="dxa"/>
            <w:tcBorders>
              <w:top w:val="single" w:sz="8" w:space="0" w:color="FFFFFF" w:themeColor="background1"/>
              <w:left w:val="nil"/>
              <w:bottom w:val="single" w:sz="8" w:space="0" w:color="FFFFFF" w:themeColor="background1"/>
              <w:right w:val="nil"/>
            </w:tcBorders>
            <w:shd w:val="clear" w:color="auto" w:fill="4472C4"/>
            <w:tcMar>
              <w:top w:w="0" w:type="dxa"/>
              <w:left w:w="108" w:type="dxa"/>
              <w:bottom w:w="0" w:type="dxa"/>
              <w:right w:w="108" w:type="dxa"/>
            </w:tcMar>
            <w:vAlign w:val="center"/>
            <w:hideMark/>
          </w:tcPr>
          <w:p w14:paraId="17660696" w14:textId="77777777" w:rsidR="0077746C" w:rsidRPr="00B2067F" w:rsidRDefault="0077746C" w:rsidP="0077746C">
            <w:pPr>
              <w:pStyle w:val="Tablehead"/>
              <w:rPr>
                <w:b w:val="0"/>
                <w:color w:val="FFFFFF" w:themeColor="background1"/>
              </w:rPr>
            </w:pPr>
            <w:r w:rsidRPr="00B2067F">
              <w:rPr>
                <w:b w:val="0"/>
                <w:color w:val="FFFFFF" w:themeColor="background1"/>
              </w:rPr>
              <w:t>2018</w:t>
            </w:r>
          </w:p>
        </w:tc>
        <w:tc>
          <w:tcPr>
            <w:tcW w:w="1550" w:type="dxa"/>
            <w:tcBorders>
              <w:top w:val="single" w:sz="8" w:space="0" w:color="FFFFFF" w:themeColor="background1"/>
              <w:left w:val="nil"/>
              <w:bottom w:val="single" w:sz="8" w:space="0" w:color="FFFFFF" w:themeColor="background1"/>
              <w:right w:val="nil"/>
            </w:tcBorders>
            <w:shd w:val="clear" w:color="auto" w:fill="4472C4"/>
            <w:tcMar>
              <w:top w:w="0" w:type="dxa"/>
              <w:left w:w="108" w:type="dxa"/>
              <w:bottom w:w="0" w:type="dxa"/>
              <w:right w:w="108" w:type="dxa"/>
            </w:tcMar>
            <w:vAlign w:val="center"/>
            <w:hideMark/>
          </w:tcPr>
          <w:p w14:paraId="40176688" w14:textId="77777777" w:rsidR="0077746C" w:rsidRPr="00B2067F" w:rsidRDefault="0077746C" w:rsidP="0077746C">
            <w:pPr>
              <w:pStyle w:val="Tablehead"/>
              <w:rPr>
                <w:b w:val="0"/>
                <w:color w:val="FFFFFF" w:themeColor="background1"/>
              </w:rPr>
            </w:pPr>
            <w:r w:rsidRPr="00B2067F">
              <w:rPr>
                <w:b w:val="0"/>
                <w:color w:val="FFFFFF" w:themeColor="background1"/>
              </w:rPr>
              <w:t>2019</w:t>
            </w:r>
          </w:p>
        </w:tc>
        <w:tc>
          <w:tcPr>
            <w:tcW w:w="2551" w:type="dxa"/>
            <w:tcBorders>
              <w:top w:val="single" w:sz="8" w:space="0" w:color="FFFFFF" w:themeColor="background1"/>
              <w:left w:val="nil"/>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vAlign w:val="center"/>
            <w:hideMark/>
          </w:tcPr>
          <w:p w14:paraId="5CC55887" w14:textId="77777777" w:rsidR="0077746C" w:rsidRPr="00B2067F" w:rsidRDefault="0077746C" w:rsidP="0077746C">
            <w:pPr>
              <w:pStyle w:val="Tablehead"/>
              <w:rPr>
                <w:b w:val="0"/>
                <w:color w:val="FFFFFF" w:themeColor="background1"/>
              </w:rPr>
            </w:pPr>
            <w:r w:rsidRPr="00B2067F">
              <w:rPr>
                <w:b w:val="0"/>
                <w:color w:val="FFFFFF" w:themeColor="background1"/>
              </w:rPr>
              <w:t xml:space="preserve">2020* </w:t>
            </w:r>
            <w:r w:rsidRPr="00B2067F">
              <w:rPr>
                <w:b w:val="0"/>
                <w:color w:val="FFFFFF" w:themeColor="background1"/>
              </w:rPr>
              <w:br/>
              <w:t>(Ed. 2016 y Ed. 2020)</w:t>
            </w:r>
          </w:p>
        </w:tc>
      </w:tr>
      <w:tr w:rsidR="0077746C" w:rsidRPr="00B2067F" w14:paraId="5CDE7EE8" w14:textId="77777777" w:rsidTr="0077746C">
        <w:trPr>
          <w:trHeight w:val="315"/>
          <w:jc w:val="center"/>
        </w:trPr>
        <w:tc>
          <w:tcPr>
            <w:tcW w:w="2478"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14EBF409" w14:textId="77777777" w:rsidR="0077746C" w:rsidRPr="00B2067F" w:rsidRDefault="0077746C" w:rsidP="00BC7088">
            <w:pPr>
              <w:pStyle w:val="Tablehead"/>
              <w:rPr>
                <w:b w:val="0"/>
                <w:color w:val="FFFFFF" w:themeColor="background1"/>
              </w:rPr>
            </w:pPr>
            <w:r w:rsidRPr="00B2067F">
              <w:rPr>
                <w:b w:val="0"/>
                <w:color w:val="FFFFFF" w:themeColor="background1"/>
              </w:rPr>
              <w:t>Copias impresas vendidas</w:t>
            </w:r>
          </w:p>
        </w:tc>
        <w:tc>
          <w:tcPr>
            <w:tcW w:w="1491"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3AFDCB32" w14:textId="77777777" w:rsidR="0077746C" w:rsidRPr="00B2067F" w:rsidRDefault="0077746C" w:rsidP="0077746C">
            <w:pPr>
              <w:pStyle w:val="Tabletext"/>
              <w:jc w:val="center"/>
            </w:pPr>
            <w:r w:rsidRPr="00B2067F">
              <w:t>257</w:t>
            </w:r>
          </w:p>
        </w:tc>
        <w:tc>
          <w:tcPr>
            <w:tcW w:w="1550"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35691368" w14:textId="77777777" w:rsidR="0077746C" w:rsidRPr="00B2067F" w:rsidRDefault="0077746C" w:rsidP="0077746C">
            <w:pPr>
              <w:pStyle w:val="Tabletext"/>
              <w:jc w:val="center"/>
            </w:pPr>
            <w:r w:rsidRPr="00B2067F">
              <w:t>182</w:t>
            </w:r>
          </w:p>
        </w:tc>
        <w:tc>
          <w:tcPr>
            <w:tcW w:w="2551"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1B1A593F" w14:textId="4E60558F" w:rsidR="0077746C" w:rsidRPr="00B2067F" w:rsidRDefault="00B2067F" w:rsidP="00BC7088">
            <w:pPr>
              <w:pStyle w:val="Tabletext"/>
              <w:jc w:val="center"/>
            </w:pPr>
            <w:r>
              <w:t>Ed. 2016:</w:t>
            </w:r>
            <w:r w:rsidR="00BC7088" w:rsidRPr="00B2067F">
              <w:t xml:space="preserve"> 59</w:t>
            </w:r>
            <w:r w:rsidR="00BC7088" w:rsidRPr="00B2067F">
              <w:br/>
            </w:r>
            <w:r w:rsidR="0077746C" w:rsidRPr="00B2067F">
              <w:t>Ed. 2020: 1 170</w:t>
            </w:r>
          </w:p>
        </w:tc>
      </w:tr>
      <w:tr w:rsidR="0077746C" w:rsidRPr="00B2067F" w14:paraId="4037F32E" w14:textId="77777777" w:rsidTr="0077746C">
        <w:trPr>
          <w:trHeight w:val="315"/>
          <w:jc w:val="center"/>
        </w:trPr>
        <w:tc>
          <w:tcPr>
            <w:tcW w:w="2478"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5EB76CE3" w14:textId="77777777" w:rsidR="0077746C" w:rsidRPr="00B2067F" w:rsidRDefault="0077746C" w:rsidP="00BC7088">
            <w:pPr>
              <w:pStyle w:val="Tablehead"/>
              <w:rPr>
                <w:b w:val="0"/>
                <w:color w:val="FFFFFF" w:themeColor="background1"/>
              </w:rPr>
            </w:pPr>
            <w:r w:rsidRPr="00B2067F">
              <w:rPr>
                <w:b w:val="0"/>
                <w:color w:val="FFFFFF" w:themeColor="background1"/>
              </w:rPr>
              <w:t>DVD vendidos</w:t>
            </w:r>
          </w:p>
        </w:tc>
        <w:tc>
          <w:tcPr>
            <w:tcW w:w="1491"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hideMark/>
          </w:tcPr>
          <w:p w14:paraId="3DD91BCE" w14:textId="77777777" w:rsidR="0077746C" w:rsidRPr="00B2067F" w:rsidRDefault="0077746C" w:rsidP="0077746C">
            <w:pPr>
              <w:pStyle w:val="Tabletext"/>
              <w:jc w:val="center"/>
            </w:pPr>
            <w:r w:rsidRPr="00B2067F">
              <w:t>1 264</w:t>
            </w:r>
          </w:p>
        </w:tc>
        <w:tc>
          <w:tcPr>
            <w:tcW w:w="1550"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hideMark/>
          </w:tcPr>
          <w:p w14:paraId="4D0C716C" w14:textId="77777777" w:rsidR="0077746C" w:rsidRPr="00B2067F" w:rsidRDefault="0077746C" w:rsidP="0077746C">
            <w:pPr>
              <w:pStyle w:val="Tabletext"/>
              <w:jc w:val="center"/>
            </w:pPr>
            <w:r w:rsidRPr="00B2067F">
              <w:t>1 063</w:t>
            </w:r>
          </w:p>
        </w:tc>
        <w:tc>
          <w:tcPr>
            <w:tcW w:w="2551"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hideMark/>
          </w:tcPr>
          <w:p w14:paraId="71680FED" w14:textId="505B67A5" w:rsidR="0077746C" w:rsidRPr="00B2067F" w:rsidRDefault="00BC7088" w:rsidP="00BC7088">
            <w:pPr>
              <w:pStyle w:val="Tabletext"/>
              <w:jc w:val="center"/>
            </w:pPr>
            <w:r w:rsidRPr="00B2067F">
              <w:t>Ed. 2016: 482</w:t>
            </w:r>
            <w:r w:rsidRPr="00B2067F">
              <w:br/>
            </w:r>
            <w:r w:rsidR="0077746C" w:rsidRPr="00B2067F">
              <w:t>Ed. 2020: 5 061</w:t>
            </w:r>
          </w:p>
        </w:tc>
      </w:tr>
      <w:tr w:rsidR="0077746C" w:rsidRPr="00B2067F" w14:paraId="00261371" w14:textId="77777777" w:rsidTr="0077746C">
        <w:trPr>
          <w:trHeight w:val="315"/>
          <w:jc w:val="center"/>
        </w:trPr>
        <w:tc>
          <w:tcPr>
            <w:tcW w:w="2478"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3D78FDC2" w14:textId="77777777" w:rsidR="0077746C" w:rsidRPr="00B2067F" w:rsidRDefault="0077746C" w:rsidP="00BC7088">
            <w:pPr>
              <w:pStyle w:val="Tablehead"/>
              <w:rPr>
                <w:b w:val="0"/>
                <w:color w:val="FFFFFF" w:themeColor="background1"/>
              </w:rPr>
            </w:pPr>
            <w:r w:rsidRPr="00B2067F">
              <w:rPr>
                <w:b w:val="0"/>
                <w:color w:val="FFFFFF" w:themeColor="background1"/>
              </w:rPr>
              <w:t>Descargas gratuitas</w:t>
            </w:r>
          </w:p>
        </w:tc>
        <w:tc>
          <w:tcPr>
            <w:tcW w:w="1491"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65ABD158" w14:textId="77777777" w:rsidR="0077746C" w:rsidRPr="00B2067F" w:rsidRDefault="0077746C" w:rsidP="0077746C">
            <w:pPr>
              <w:pStyle w:val="Tabletext"/>
              <w:jc w:val="center"/>
            </w:pPr>
            <w:r w:rsidRPr="00B2067F">
              <w:t>5 342*</w:t>
            </w:r>
          </w:p>
        </w:tc>
        <w:tc>
          <w:tcPr>
            <w:tcW w:w="1550"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0B8AFCF5" w14:textId="77777777" w:rsidR="0077746C" w:rsidRPr="00B2067F" w:rsidRDefault="0077746C" w:rsidP="0077746C">
            <w:pPr>
              <w:pStyle w:val="Tabletext"/>
              <w:jc w:val="center"/>
            </w:pPr>
            <w:r w:rsidRPr="00B2067F">
              <w:t>18 400**</w:t>
            </w:r>
          </w:p>
        </w:tc>
        <w:tc>
          <w:tcPr>
            <w:tcW w:w="2551"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6E16EA44" w14:textId="3F380613" w:rsidR="0077746C" w:rsidRPr="00B2067F" w:rsidRDefault="00BC7088" w:rsidP="00BC7088">
            <w:pPr>
              <w:pStyle w:val="Tabletext"/>
              <w:jc w:val="center"/>
            </w:pPr>
            <w:r w:rsidRPr="00B2067F">
              <w:t>Ed. 2016: 10 818</w:t>
            </w:r>
            <w:r w:rsidRPr="00B2067F">
              <w:br/>
            </w:r>
            <w:r w:rsidR="0077746C" w:rsidRPr="00B2067F">
              <w:t>Ed. 2020: 2 318</w:t>
            </w:r>
          </w:p>
        </w:tc>
      </w:tr>
      <w:tr w:rsidR="0077746C" w:rsidRPr="00B2067F" w14:paraId="08FC5D40" w14:textId="77777777" w:rsidTr="0077746C">
        <w:trPr>
          <w:trHeight w:val="315"/>
          <w:jc w:val="center"/>
        </w:trPr>
        <w:tc>
          <w:tcPr>
            <w:tcW w:w="8070" w:type="dxa"/>
            <w:gridSpan w:val="4"/>
            <w:tcBorders>
              <w:top w:val="nil"/>
              <w:left w:val="single" w:sz="8" w:space="0" w:color="FFFFFF" w:themeColor="background1"/>
              <w:bottom w:val="single" w:sz="8" w:space="0" w:color="FFFFFF" w:themeColor="background1"/>
              <w:right w:val="single" w:sz="8" w:space="0" w:color="FFFFFF" w:themeColor="background1"/>
            </w:tcBorders>
            <w:tcMar>
              <w:top w:w="0" w:type="dxa"/>
              <w:left w:w="108" w:type="dxa"/>
              <w:bottom w:w="0" w:type="dxa"/>
              <w:right w:w="108" w:type="dxa"/>
            </w:tcMar>
          </w:tcPr>
          <w:p w14:paraId="4FC47658" w14:textId="232D2832" w:rsidR="0077746C" w:rsidRPr="00B2067F" w:rsidRDefault="00A85143" w:rsidP="007E3944">
            <w:pPr>
              <w:pStyle w:val="Tablelegend"/>
              <w:spacing w:before="40"/>
              <w:rPr>
                <w:sz w:val="16"/>
                <w:szCs w:val="16"/>
              </w:rPr>
            </w:pPr>
            <w:r w:rsidRPr="00B2067F">
              <w:rPr>
                <w:sz w:val="16"/>
                <w:szCs w:val="16"/>
              </w:rPr>
              <w:t>*</w:t>
            </w:r>
            <w:r w:rsidRPr="00B2067F">
              <w:rPr>
                <w:sz w:val="16"/>
                <w:szCs w:val="16"/>
              </w:rPr>
              <w:tab/>
            </w:r>
            <w:r w:rsidR="0077746C" w:rsidRPr="00B2067F">
              <w:rPr>
                <w:sz w:val="16"/>
                <w:szCs w:val="16"/>
              </w:rPr>
              <w:t>Valor acumulado de diciembre de 2016 a septiembre de 2018.</w:t>
            </w:r>
          </w:p>
          <w:p w14:paraId="3EFCF2D3" w14:textId="56CF8271" w:rsidR="0077746C" w:rsidRPr="00B2067F" w:rsidRDefault="00A85143" w:rsidP="007E3944">
            <w:pPr>
              <w:pStyle w:val="Tablelegend"/>
              <w:spacing w:before="0"/>
              <w:rPr>
                <w:b/>
                <w:bCs/>
              </w:rPr>
            </w:pPr>
            <w:r w:rsidRPr="00B2067F">
              <w:rPr>
                <w:sz w:val="16"/>
                <w:szCs w:val="16"/>
              </w:rPr>
              <w:t>**</w:t>
            </w:r>
            <w:r w:rsidRPr="00B2067F">
              <w:rPr>
                <w:sz w:val="16"/>
                <w:szCs w:val="16"/>
              </w:rPr>
              <w:tab/>
            </w:r>
            <w:r w:rsidR="0077746C" w:rsidRPr="00B2067F">
              <w:rPr>
                <w:sz w:val="16"/>
                <w:szCs w:val="16"/>
              </w:rPr>
              <w:t>Valor acumulado del 1 de enero al 1 de diciembre de 2019.</w:t>
            </w:r>
          </w:p>
        </w:tc>
      </w:tr>
    </w:tbl>
    <w:p w14:paraId="5492167F" w14:textId="77777777" w:rsidR="0077746C" w:rsidRPr="00B2067F" w:rsidRDefault="0077746C" w:rsidP="0077746C">
      <w:pPr>
        <w:pStyle w:val="Heading4"/>
      </w:pPr>
      <w:r w:rsidRPr="00B2067F">
        <w:t>8.1.4.2</w:t>
      </w:r>
      <w:r w:rsidRPr="00B2067F">
        <w:tab/>
        <w:t>Recomendaciones UIT-R</w:t>
      </w:r>
    </w:p>
    <w:p w14:paraId="0375F376" w14:textId="77777777" w:rsidR="0077746C" w:rsidRPr="00B2067F" w:rsidRDefault="0077746C" w:rsidP="0077746C">
      <w:r w:rsidRPr="00B2067F">
        <w:t>La política de acceso gratuito en línea brinda la posibilidad de acceder a las Recomendaciones UIT</w:t>
      </w:r>
      <w:r w:rsidRPr="00B2067F">
        <w:noBreakHyphen/>
        <w:t>R y descargarlas desde cualquier parte del mundo. En un periodo de 45 meses (de enero de 2017 a septiembre de 2020), se registraron más de cinco millones de descargas de Recomendaciones UIT</w:t>
      </w:r>
      <w:r w:rsidRPr="00B2067F">
        <w:noBreakHyphen/>
        <w:t>R desde el sitio web de la UIT. En el Cuadro 8.1.4.2-1 se resume su distribución por año y serie. Actualmente, existen 1 182 Recomendaciones UIT-R en vigor.</w:t>
      </w:r>
    </w:p>
    <w:p w14:paraId="5F09A9DE" w14:textId="77777777" w:rsidR="0077746C" w:rsidRPr="00B2067F" w:rsidRDefault="0077746C" w:rsidP="0077746C">
      <w:pPr>
        <w:pStyle w:val="TableNoBR"/>
      </w:pPr>
      <w:bookmarkStart w:id="88" w:name="_Hlk35613784"/>
      <w:r w:rsidRPr="00B2067F">
        <w:lastRenderedPageBreak/>
        <w:t>CUADRO 8.1.4.2-1</w:t>
      </w:r>
    </w:p>
    <w:p w14:paraId="10C685BD" w14:textId="77777777" w:rsidR="0077746C" w:rsidRPr="00B2067F" w:rsidRDefault="0077746C" w:rsidP="0077746C">
      <w:pPr>
        <w:pStyle w:val="TabletitleBR"/>
      </w:pPr>
      <w:r w:rsidRPr="00B2067F">
        <w:t>Distribución de Recomendaciones UIT-R (descargas)</w:t>
      </w:r>
    </w:p>
    <w:tbl>
      <w:tblPr>
        <w:tblStyle w:val="GridTable5Dark-Accent1"/>
        <w:tblW w:w="0" w:type="auto"/>
        <w:tblInd w:w="90" w:type="dxa"/>
        <w:tblLook w:val="04A0" w:firstRow="1" w:lastRow="0" w:firstColumn="1" w:lastColumn="0" w:noHBand="0" w:noVBand="1"/>
      </w:tblPr>
      <w:tblGrid>
        <w:gridCol w:w="1275"/>
        <w:gridCol w:w="1245"/>
        <w:gridCol w:w="1245"/>
        <w:gridCol w:w="1290"/>
        <w:gridCol w:w="1320"/>
        <w:gridCol w:w="1245"/>
        <w:gridCol w:w="1170"/>
      </w:tblGrid>
      <w:tr w:rsidR="0077746C" w:rsidRPr="00B2067F" w14:paraId="2E2CDC20" w14:textId="77777777" w:rsidTr="0077746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tcBorders>
            <w:hideMark/>
          </w:tcPr>
          <w:p w14:paraId="2B056034" w14:textId="77777777" w:rsidR="0077746C" w:rsidRPr="00B2067F" w:rsidRDefault="0077746C" w:rsidP="00BC7088">
            <w:pPr>
              <w:pStyle w:val="Tablehead"/>
              <w:spacing w:before="120" w:after="0"/>
            </w:pPr>
            <w:r w:rsidRPr="00B2067F">
              <w:t>SERIE</w:t>
            </w:r>
          </w:p>
        </w:tc>
        <w:tc>
          <w:tcPr>
            <w:tcW w:w="1245" w:type="dxa"/>
            <w:tcBorders>
              <w:top w:val="single" w:sz="8" w:space="0" w:color="FFFFFF" w:themeColor="background1"/>
              <w:bottom w:val="single" w:sz="8" w:space="0" w:color="FFFFFF" w:themeColor="background1"/>
            </w:tcBorders>
            <w:hideMark/>
          </w:tcPr>
          <w:p w14:paraId="08487BBE" w14:textId="77777777" w:rsidR="0077746C" w:rsidRPr="00B2067F" w:rsidRDefault="0077746C" w:rsidP="00BC7088">
            <w:pPr>
              <w:pStyle w:val="Tablehead"/>
              <w:spacing w:before="120" w:after="0"/>
              <w:cnfStyle w:val="100000000000" w:firstRow="1" w:lastRow="0" w:firstColumn="0" w:lastColumn="0" w:oddVBand="0" w:evenVBand="0" w:oddHBand="0" w:evenHBand="0" w:firstRowFirstColumn="0" w:firstRowLastColumn="0" w:lastRowFirstColumn="0" w:lastRowLastColumn="0"/>
            </w:pPr>
            <w:r w:rsidRPr="00B2067F">
              <w:t>2017</w:t>
            </w:r>
          </w:p>
        </w:tc>
        <w:tc>
          <w:tcPr>
            <w:tcW w:w="1245" w:type="dxa"/>
            <w:tcBorders>
              <w:top w:val="single" w:sz="8" w:space="0" w:color="FFFFFF" w:themeColor="background1"/>
              <w:bottom w:val="single" w:sz="8" w:space="0" w:color="FFFFFF" w:themeColor="background1"/>
            </w:tcBorders>
            <w:hideMark/>
          </w:tcPr>
          <w:p w14:paraId="5FBFDB1F" w14:textId="77777777" w:rsidR="0077746C" w:rsidRPr="00B2067F" w:rsidRDefault="0077746C" w:rsidP="00BC7088">
            <w:pPr>
              <w:pStyle w:val="Tablehead"/>
              <w:spacing w:before="120" w:after="0"/>
              <w:cnfStyle w:val="100000000000" w:firstRow="1" w:lastRow="0" w:firstColumn="0" w:lastColumn="0" w:oddVBand="0" w:evenVBand="0" w:oddHBand="0" w:evenHBand="0" w:firstRowFirstColumn="0" w:firstRowLastColumn="0" w:lastRowFirstColumn="0" w:lastRowLastColumn="0"/>
            </w:pPr>
            <w:r w:rsidRPr="00B2067F">
              <w:t>2018*</w:t>
            </w:r>
          </w:p>
        </w:tc>
        <w:tc>
          <w:tcPr>
            <w:tcW w:w="1290" w:type="dxa"/>
            <w:tcBorders>
              <w:top w:val="single" w:sz="8" w:space="0" w:color="FFFFFF" w:themeColor="background1"/>
              <w:bottom w:val="single" w:sz="8" w:space="0" w:color="FFFFFF" w:themeColor="background1"/>
            </w:tcBorders>
            <w:hideMark/>
          </w:tcPr>
          <w:p w14:paraId="5E462FD1" w14:textId="77777777" w:rsidR="0077746C" w:rsidRPr="00B2067F" w:rsidRDefault="0077746C" w:rsidP="00BC7088">
            <w:pPr>
              <w:pStyle w:val="Tablehead"/>
              <w:spacing w:before="120" w:after="0"/>
              <w:cnfStyle w:val="100000000000" w:firstRow="1" w:lastRow="0" w:firstColumn="0" w:lastColumn="0" w:oddVBand="0" w:evenVBand="0" w:oddHBand="0" w:evenHBand="0" w:firstRowFirstColumn="0" w:firstRowLastColumn="0" w:lastRowFirstColumn="0" w:lastRowLastColumn="0"/>
            </w:pPr>
            <w:r w:rsidRPr="00B2067F">
              <w:t>2019</w:t>
            </w:r>
          </w:p>
        </w:tc>
        <w:tc>
          <w:tcPr>
            <w:tcW w:w="1320" w:type="dxa"/>
            <w:tcBorders>
              <w:top w:val="single" w:sz="8" w:space="0" w:color="FFFFFF" w:themeColor="background1"/>
              <w:bottom w:val="single" w:sz="8" w:space="0" w:color="FFFFFF" w:themeColor="background1"/>
            </w:tcBorders>
            <w:hideMark/>
          </w:tcPr>
          <w:p w14:paraId="45A552EC" w14:textId="77777777" w:rsidR="0077746C" w:rsidRPr="00B2067F" w:rsidRDefault="0077746C" w:rsidP="00BC7088">
            <w:pPr>
              <w:pStyle w:val="Tablehead"/>
              <w:spacing w:before="120" w:after="0"/>
              <w:cnfStyle w:val="100000000000" w:firstRow="1" w:lastRow="0" w:firstColumn="0" w:lastColumn="0" w:oddVBand="0" w:evenVBand="0" w:oddHBand="0" w:evenHBand="0" w:firstRowFirstColumn="0" w:firstRowLastColumn="0" w:lastRowFirstColumn="0" w:lastRowLastColumn="0"/>
            </w:pPr>
            <w:r w:rsidRPr="00B2067F">
              <w:t>2020</w:t>
            </w:r>
          </w:p>
        </w:tc>
        <w:tc>
          <w:tcPr>
            <w:tcW w:w="1245" w:type="dxa"/>
            <w:tcBorders>
              <w:top w:val="single" w:sz="8" w:space="0" w:color="FFFFFF" w:themeColor="background1"/>
              <w:bottom w:val="single" w:sz="8" w:space="0" w:color="FFFFFF" w:themeColor="background1"/>
            </w:tcBorders>
            <w:hideMark/>
          </w:tcPr>
          <w:p w14:paraId="726AF415" w14:textId="77777777" w:rsidR="0077746C" w:rsidRPr="00B2067F" w:rsidRDefault="0077746C" w:rsidP="00BC7088">
            <w:pPr>
              <w:pStyle w:val="Tablehead"/>
              <w:spacing w:before="120" w:after="0"/>
              <w:cnfStyle w:val="100000000000" w:firstRow="1" w:lastRow="0" w:firstColumn="0" w:lastColumn="0" w:oddVBand="0" w:evenVBand="0" w:oddHBand="0" w:evenHBand="0" w:firstRowFirstColumn="0" w:firstRowLastColumn="0" w:lastRowFirstColumn="0" w:lastRowLastColumn="0"/>
            </w:pPr>
            <w:r w:rsidRPr="00B2067F">
              <w:t>TOTAL</w:t>
            </w:r>
          </w:p>
        </w:tc>
        <w:tc>
          <w:tcPr>
            <w:tcW w:w="1170" w:type="dxa"/>
            <w:tcBorders>
              <w:top w:val="single" w:sz="8" w:space="0" w:color="FFFFFF" w:themeColor="background1"/>
              <w:bottom w:val="single" w:sz="8" w:space="0" w:color="FFFFFF" w:themeColor="background1"/>
              <w:right w:val="single" w:sz="8" w:space="0" w:color="FFFFFF" w:themeColor="background1"/>
            </w:tcBorders>
            <w:hideMark/>
          </w:tcPr>
          <w:p w14:paraId="0C22CD5B" w14:textId="77777777" w:rsidR="0077746C" w:rsidRPr="00B2067F" w:rsidRDefault="0077746C" w:rsidP="00BC7088">
            <w:pPr>
              <w:pStyle w:val="Tablehead"/>
              <w:spacing w:before="120" w:after="0"/>
              <w:cnfStyle w:val="100000000000" w:firstRow="1" w:lastRow="0" w:firstColumn="0" w:lastColumn="0" w:oddVBand="0" w:evenVBand="0" w:oddHBand="0" w:evenHBand="0" w:firstRowFirstColumn="0" w:firstRowLastColumn="0" w:lastRowFirstColumn="0" w:lastRowLastColumn="0"/>
            </w:pPr>
            <w:r w:rsidRPr="00B2067F">
              <w:t>%</w:t>
            </w:r>
          </w:p>
        </w:tc>
      </w:tr>
      <w:tr w:rsidR="0077746C" w:rsidRPr="00B2067F" w14:paraId="01ECAFA0" w14:textId="77777777" w:rsidTr="007774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A0576B8" w14:textId="77777777" w:rsidR="0077746C" w:rsidRPr="00B2067F" w:rsidRDefault="0077746C" w:rsidP="00BC7088">
            <w:pPr>
              <w:pStyle w:val="Tablehead"/>
              <w:spacing w:before="120" w:after="0"/>
            </w:pPr>
            <w:r w:rsidRPr="00B2067F">
              <w:t>P</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EA82213" w14:textId="77777777" w:rsidR="0077746C" w:rsidRPr="00B2067F" w:rsidRDefault="0077746C" w:rsidP="00BC7088">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316 019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32FF357" w14:textId="77777777" w:rsidR="0077746C" w:rsidRPr="00B2067F" w:rsidRDefault="0077746C" w:rsidP="00BC7088">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280 201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1973289" w14:textId="77777777" w:rsidR="0077746C" w:rsidRPr="00B2067F" w:rsidRDefault="0077746C" w:rsidP="00BC7088">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290 677</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07A9B1E" w14:textId="77777777" w:rsidR="0077746C" w:rsidRPr="00B2067F" w:rsidRDefault="0077746C" w:rsidP="00BC7088">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351 395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A9DB692" w14:textId="77777777" w:rsidR="0077746C" w:rsidRPr="00B2067F" w:rsidRDefault="0077746C" w:rsidP="00BC7088">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1 238 292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F71F5B9" w14:textId="77777777" w:rsidR="0077746C" w:rsidRPr="00B2067F" w:rsidRDefault="0077746C" w:rsidP="00BC7088">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21,83%</w:t>
            </w:r>
          </w:p>
        </w:tc>
      </w:tr>
      <w:tr w:rsidR="0077746C" w:rsidRPr="00B2067F" w14:paraId="188C81AF" w14:textId="77777777" w:rsidTr="0077746C">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01A3283" w14:textId="77777777" w:rsidR="0077746C" w:rsidRPr="00B2067F" w:rsidRDefault="0077746C" w:rsidP="00BC7088">
            <w:pPr>
              <w:pStyle w:val="Tablehead"/>
              <w:spacing w:before="120" w:after="0"/>
            </w:pPr>
            <w:r w:rsidRPr="00B2067F">
              <w:t>BT</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810BDEF" w14:textId="77777777" w:rsidR="0077746C" w:rsidRPr="00B2067F" w:rsidRDefault="0077746C" w:rsidP="00BC7088">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269 185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5534B6B" w14:textId="77777777" w:rsidR="0077746C" w:rsidRPr="00B2067F" w:rsidRDefault="0077746C" w:rsidP="00BC7088">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254 048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78140A9" w14:textId="77777777" w:rsidR="0077746C" w:rsidRPr="00B2067F" w:rsidRDefault="0077746C" w:rsidP="00BC7088">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167 909</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49A3F60" w14:textId="77777777" w:rsidR="0077746C" w:rsidRPr="00B2067F" w:rsidRDefault="0077746C" w:rsidP="00BC7088">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201 022</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C7E379E" w14:textId="77777777" w:rsidR="0077746C" w:rsidRPr="00B2067F" w:rsidRDefault="0077746C" w:rsidP="00BC7088">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892 164</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12877E6" w14:textId="77777777" w:rsidR="0077746C" w:rsidRPr="00B2067F" w:rsidRDefault="0077746C" w:rsidP="00BC7088">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15,73%</w:t>
            </w:r>
          </w:p>
        </w:tc>
      </w:tr>
      <w:tr w:rsidR="0077746C" w:rsidRPr="00B2067F" w14:paraId="69C0A217" w14:textId="77777777" w:rsidTr="007774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157C2DB" w14:textId="77777777" w:rsidR="0077746C" w:rsidRPr="00B2067F" w:rsidRDefault="0077746C" w:rsidP="00BC7088">
            <w:pPr>
              <w:pStyle w:val="Tablehead"/>
              <w:spacing w:before="120" w:after="0"/>
            </w:pPr>
            <w:r w:rsidRPr="00B2067F">
              <w:t>M</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EDB32CE" w14:textId="77777777" w:rsidR="0077746C" w:rsidRPr="00B2067F" w:rsidRDefault="0077746C" w:rsidP="00BC7088">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208 528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A391494" w14:textId="77777777" w:rsidR="0077746C" w:rsidRPr="00B2067F" w:rsidRDefault="0077746C" w:rsidP="00BC7088">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182 366</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AD74277" w14:textId="77777777" w:rsidR="0077746C" w:rsidRPr="00B2067F" w:rsidRDefault="0077746C" w:rsidP="00BC7088">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236 681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F1D9AC1" w14:textId="77777777" w:rsidR="0077746C" w:rsidRPr="00B2067F" w:rsidRDefault="0077746C" w:rsidP="00BC7088">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329 236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DC6E1E9" w14:textId="77777777" w:rsidR="0077746C" w:rsidRPr="00B2067F" w:rsidRDefault="0077746C" w:rsidP="00BC7088">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956 811</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1D594F7" w14:textId="77777777" w:rsidR="0077746C" w:rsidRPr="00B2067F" w:rsidRDefault="0077746C" w:rsidP="00BC7088">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16,87%</w:t>
            </w:r>
          </w:p>
        </w:tc>
      </w:tr>
      <w:tr w:rsidR="0077746C" w:rsidRPr="00B2067F" w14:paraId="06BD0168" w14:textId="77777777" w:rsidTr="0077746C">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E174ECF" w14:textId="77777777" w:rsidR="0077746C" w:rsidRPr="00B2067F" w:rsidRDefault="0077746C" w:rsidP="00BC7088">
            <w:pPr>
              <w:pStyle w:val="Tablehead"/>
              <w:spacing w:before="120" w:after="0"/>
            </w:pPr>
            <w:r w:rsidRPr="00B2067F">
              <w:t>SM</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F3717BD"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147 502</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F96A4DE"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136 164</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13FD88D"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130 949</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9637576"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154 205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79DFA59"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568 820</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299F0F1"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10,03%</w:t>
            </w:r>
          </w:p>
        </w:tc>
      </w:tr>
      <w:tr w:rsidR="0077746C" w:rsidRPr="00B2067F" w14:paraId="5205CED1" w14:textId="77777777" w:rsidTr="007774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BEB9A92" w14:textId="77777777" w:rsidR="0077746C" w:rsidRPr="00B2067F" w:rsidRDefault="0077746C" w:rsidP="00BC7088">
            <w:pPr>
              <w:pStyle w:val="Tablehead"/>
              <w:spacing w:before="120" w:after="0"/>
            </w:pPr>
            <w:r w:rsidRPr="00B2067F">
              <w:t>BS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89597D3"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152 305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DEE49C0"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135 637</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9902B43"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106 231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AD85B04"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129 114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92892B3"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523 287</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490CC98"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9,23%</w:t>
            </w:r>
          </w:p>
        </w:tc>
      </w:tr>
      <w:tr w:rsidR="0077746C" w:rsidRPr="00B2067F" w14:paraId="139A1F3A" w14:textId="77777777" w:rsidTr="0077746C">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3DBFB79" w14:textId="77777777" w:rsidR="0077746C" w:rsidRPr="00B2067F" w:rsidRDefault="0077746C" w:rsidP="00BC7088">
            <w:pPr>
              <w:pStyle w:val="Tablehead"/>
              <w:spacing w:before="120" w:after="0"/>
            </w:pPr>
            <w:r w:rsidRPr="00B2067F">
              <w:t>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94B18BC"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131 647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100E4F4"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107 795</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A5C1366"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107 027</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960F0B8"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135 623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6FF9ED1"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482 092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77CA386"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8,50%</w:t>
            </w:r>
          </w:p>
        </w:tc>
      </w:tr>
      <w:tr w:rsidR="0077746C" w:rsidRPr="00B2067F" w14:paraId="79662E0C" w14:textId="77777777" w:rsidTr="007774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AACBBDB" w14:textId="77777777" w:rsidR="0077746C" w:rsidRPr="00B2067F" w:rsidRDefault="0077746C" w:rsidP="00BC7088">
            <w:pPr>
              <w:pStyle w:val="Tablehead"/>
              <w:spacing w:before="120" w:after="0"/>
            </w:pPr>
            <w:r w:rsidRPr="00B2067F">
              <w:t>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FAF747B"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103 445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9148E2B"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90 408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49EC848"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75 665</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A7668FE"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101 589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BA6B542"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371 107</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5848EC6"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6,54%</w:t>
            </w:r>
          </w:p>
        </w:tc>
      </w:tr>
      <w:tr w:rsidR="0077746C" w:rsidRPr="00B2067F" w14:paraId="6FDCE710" w14:textId="77777777" w:rsidTr="0077746C">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00186C2" w14:textId="77777777" w:rsidR="0077746C" w:rsidRPr="00B2067F" w:rsidRDefault="0077746C" w:rsidP="00BC7088">
            <w:pPr>
              <w:pStyle w:val="Tablehead"/>
              <w:spacing w:before="120" w:after="0"/>
            </w:pPr>
            <w:r w:rsidRPr="00B2067F">
              <w:t>BO</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59B98D1"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32 071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D4269B0"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34 735</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7DD3DA8"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14 614</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D934321"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24 649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5830E73"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106 069</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FCE13DE"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1,87%</w:t>
            </w:r>
          </w:p>
        </w:tc>
      </w:tr>
      <w:tr w:rsidR="0077746C" w:rsidRPr="00B2067F" w14:paraId="3A0EECDC" w14:textId="77777777" w:rsidTr="007774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8995298" w14:textId="77777777" w:rsidR="0077746C" w:rsidRPr="00B2067F" w:rsidRDefault="0077746C" w:rsidP="00BC7088">
            <w:pPr>
              <w:pStyle w:val="Tablehead"/>
              <w:spacing w:before="120" w:after="0"/>
            </w:pPr>
            <w:r w:rsidRPr="00B2067F">
              <w:t>SA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D023568"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25 168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8C7CCB8"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25 301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4058517"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22 836</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2CF7974"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39 557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C733686"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112 862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AFF9548"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1,99%</w:t>
            </w:r>
          </w:p>
        </w:tc>
      </w:tr>
      <w:tr w:rsidR="0077746C" w:rsidRPr="00B2067F" w14:paraId="37F0E188" w14:textId="77777777" w:rsidTr="0077746C">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9A17794" w14:textId="77777777" w:rsidR="0077746C" w:rsidRPr="00B2067F" w:rsidRDefault="0077746C" w:rsidP="00BC7088">
            <w:pPr>
              <w:pStyle w:val="Tablehead"/>
              <w:spacing w:before="120" w:after="0"/>
            </w:pPr>
            <w:r w:rsidRPr="00B2067F">
              <w:t>RS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27569CA"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28 578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D686258"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21 263</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8919C77"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13 571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52C5A8C"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22 707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19A741D"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86 119</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D6572C5"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1,52%</w:t>
            </w:r>
          </w:p>
        </w:tc>
      </w:tr>
      <w:tr w:rsidR="0077746C" w:rsidRPr="00B2067F" w14:paraId="084951AA" w14:textId="77777777" w:rsidTr="007774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F0902E3" w14:textId="77777777" w:rsidR="0077746C" w:rsidRPr="00B2067F" w:rsidRDefault="0077746C" w:rsidP="00BC7088">
            <w:pPr>
              <w:pStyle w:val="Tablehead"/>
              <w:spacing w:before="120" w:after="0"/>
            </w:pPr>
            <w:r w:rsidRPr="00B2067F">
              <w:t>V</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7C08833"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18 827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035B5D1"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19 778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78CC9A0"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29 689</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F1FC987"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36 926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183366E"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105 220</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1CBF381"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1,86%</w:t>
            </w:r>
          </w:p>
        </w:tc>
      </w:tr>
      <w:tr w:rsidR="0077746C" w:rsidRPr="00B2067F" w14:paraId="2855A717" w14:textId="77777777" w:rsidTr="0077746C">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FCEAA44" w14:textId="77777777" w:rsidR="0077746C" w:rsidRPr="00B2067F" w:rsidRDefault="0077746C" w:rsidP="00BC7088">
            <w:pPr>
              <w:pStyle w:val="Tablehead"/>
              <w:spacing w:before="120" w:after="0"/>
            </w:pPr>
            <w:r w:rsidRPr="00B2067F">
              <w:t>TF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666FCCA"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18 354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7FC92F2"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17 323</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F9E2548"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13 294</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1090D0E"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19 945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3469A05"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68 916</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68F73AD"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1,22%</w:t>
            </w:r>
          </w:p>
        </w:tc>
      </w:tr>
      <w:tr w:rsidR="0077746C" w:rsidRPr="00B2067F" w14:paraId="5099ADA6" w14:textId="77777777" w:rsidTr="007774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8F7DEC4" w14:textId="77777777" w:rsidR="0077746C" w:rsidRPr="00B2067F" w:rsidRDefault="0077746C" w:rsidP="00BC7088">
            <w:pPr>
              <w:pStyle w:val="Tablehead"/>
              <w:spacing w:before="120" w:after="0"/>
            </w:pPr>
            <w:r w:rsidRPr="00B2067F">
              <w:t>SF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829F4FF"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15 181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CA8B4C6"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15 584</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F2BFD79"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13 168</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5A7FA39"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15 739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83752CA"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59 672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D7019C6"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1,05%</w:t>
            </w:r>
          </w:p>
        </w:tc>
      </w:tr>
      <w:tr w:rsidR="0077746C" w:rsidRPr="00B2067F" w14:paraId="17809E30" w14:textId="77777777" w:rsidTr="0077746C">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2A7A8B9" w14:textId="77777777" w:rsidR="0077746C" w:rsidRPr="00B2067F" w:rsidRDefault="0077746C" w:rsidP="00BC7088">
            <w:pPr>
              <w:pStyle w:val="Tablehead"/>
              <w:spacing w:before="120" w:after="0"/>
            </w:pPr>
            <w:r w:rsidRPr="00B2067F">
              <w:t>BR</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5009EDE"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16 844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3DB866F"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15 014</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7C13DB7"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8 210</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B699D2D"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13 405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DBF9F64"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53 473</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B528337"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0,94%</w:t>
            </w:r>
          </w:p>
        </w:tc>
      </w:tr>
      <w:tr w:rsidR="0077746C" w:rsidRPr="00B2067F" w14:paraId="5DEF7F52" w14:textId="77777777" w:rsidTr="007774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C415CAC" w14:textId="77777777" w:rsidR="0077746C" w:rsidRPr="00B2067F" w:rsidRDefault="0077746C" w:rsidP="00BC7088">
            <w:pPr>
              <w:pStyle w:val="Tablehead"/>
              <w:spacing w:before="120" w:after="0"/>
            </w:pPr>
            <w:r w:rsidRPr="00B2067F">
              <w:t>RA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28D0608"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9 589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72D28AF"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9 100</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A7EC23A"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6 916</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BEE002F"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9 900</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48A1876"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35 505</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0D95DC7"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0,63%</w:t>
            </w:r>
          </w:p>
        </w:tc>
      </w:tr>
      <w:tr w:rsidR="0077746C" w:rsidRPr="00B2067F" w14:paraId="1FB3E03D" w14:textId="77777777" w:rsidTr="0077746C">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7F45983" w14:textId="77777777" w:rsidR="0077746C" w:rsidRPr="00B2067F" w:rsidRDefault="0077746C" w:rsidP="00BC7088">
            <w:pPr>
              <w:pStyle w:val="Tablehead"/>
              <w:spacing w:before="120" w:after="0"/>
            </w:pPr>
            <w:r w:rsidRPr="00B2067F">
              <w:t>SNG</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41ABF93"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3 221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1341ABC"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3 049</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6F257D8"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2 064</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A20C020"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2 711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577707B"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11 045</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222E4E4"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0,19%</w:t>
            </w:r>
          </w:p>
        </w:tc>
      </w:tr>
      <w:tr w:rsidR="0077746C" w:rsidRPr="00B2067F" w14:paraId="3AABE892" w14:textId="77777777" w:rsidTr="007774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2AE3CBB" w14:textId="77777777" w:rsidR="0077746C" w:rsidRPr="00B2067F" w:rsidRDefault="0077746C" w:rsidP="00BC7088">
            <w:pPr>
              <w:pStyle w:val="Tablehead"/>
              <w:spacing w:before="120" w:after="0"/>
            </w:pPr>
            <w:r w:rsidRPr="00B2067F">
              <w:t>TOTAL</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15CB119"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2067F">
              <w:rPr>
                <w:b/>
                <w:bCs/>
              </w:rPr>
              <w:t>1 496 464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C02B36B"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2067F">
              <w:rPr>
                <w:b/>
                <w:bCs/>
              </w:rPr>
              <w:t>1 347 766</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EA9F792"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2067F">
              <w:rPr>
                <w:b/>
                <w:bCs/>
              </w:rPr>
              <w:t>1 239 501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98B9055"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2067F">
              <w:rPr>
                <w:b/>
                <w:bCs/>
              </w:rPr>
              <w:t>1 587 723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A2CBCC2"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B2067F">
              <w:rPr>
                <w:b/>
                <w:bCs/>
              </w:rPr>
              <w:t>5 671 454</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1523AF0"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100,00%</w:t>
            </w:r>
          </w:p>
        </w:tc>
      </w:tr>
    </w:tbl>
    <w:p w14:paraId="70060BA4" w14:textId="264FE553" w:rsidR="0077746C" w:rsidRPr="00B2067F" w:rsidRDefault="00BC7088" w:rsidP="00BC7088">
      <w:pPr>
        <w:pStyle w:val="Tablelegend"/>
        <w:rPr>
          <w:sz w:val="16"/>
          <w:szCs w:val="16"/>
        </w:rPr>
      </w:pPr>
      <w:r w:rsidRPr="00B2067F">
        <w:rPr>
          <w:sz w:val="16"/>
          <w:szCs w:val="16"/>
        </w:rPr>
        <w:t>*</w:t>
      </w:r>
      <w:r w:rsidRPr="00B2067F">
        <w:rPr>
          <w:sz w:val="16"/>
          <w:szCs w:val="16"/>
        </w:rPr>
        <w:tab/>
      </w:r>
      <w:r w:rsidR="0077746C" w:rsidRPr="00B2067F">
        <w:rPr>
          <w:sz w:val="16"/>
          <w:szCs w:val="16"/>
        </w:rPr>
        <w:t>A septiembre de 2018</w:t>
      </w:r>
      <w:r w:rsidRPr="00B2067F">
        <w:rPr>
          <w:sz w:val="16"/>
          <w:szCs w:val="16"/>
        </w:rPr>
        <w:t>.</w:t>
      </w:r>
    </w:p>
    <w:p w14:paraId="32F99448" w14:textId="77777777" w:rsidR="0077746C" w:rsidRPr="00B2067F" w:rsidRDefault="0077746C" w:rsidP="0077746C">
      <w:pPr>
        <w:pStyle w:val="Heading4"/>
      </w:pPr>
      <w:bookmarkStart w:id="89" w:name="lt_pId913"/>
      <w:bookmarkEnd w:id="88"/>
      <w:r w:rsidRPr="00B2067F">
        <w:t>8.1.4.3</w:t>
      </w:r>
      <w:r w:rsidRPr="00B2067F">
        <w:tab/>
        <w:t>Informes UIT-R</w:t>
      </w:r>
      <w:bookmarkEnd w:id="89"/>
    </w:p>
    <w:p w14:paraId="2BBA51D1" w14:textId="77777777" w:rsidR="0077746C" w:rsidRPr="00B2067F" w:rsidRDefault="0077746C" w:rsidP="0077746C">
      <w:r w:rsidRPr="00B2067F">
        <w:t>Al igual que en el caso de las Recomendaciones UIT-R, los Informes UIT-R, que se han publicado a escala mundial y se han puesto a disposición de la mayoría del público y han contribuido a la adopción de buenas prácticas técnicas en diversos ámbitos de las radiocomunicaciones. En un periodo de 45 meses (del 1 de enero de 2017 al 1 de diciembre de 2020), se registraron más de 1 millón de descargas de Informes UIT-R desde el sitio web de la UIT. En el Cuadro 8.1.4.3-1 se resume su distribución por año y serie. Actualmente, existen 593 Informes UIT-R en vigor.</w:t>
      </w:r>
    </w:p>
    <w:p w14:paraId="25E19997" w14:textId="77777777" w:rsidR="0077746C" w:rsidRPr="00B2067F" w:rsidRDefault="0077746C" w:rsidP="0077746C">
      <w:pPr>
        <w:pStyle w:val="TableNoBR"/>
      </w:pPr>
      <w:bookmarkStart w:id="90" w:name="lt_pId918"/>
      <w:r w:rsidRPr="00B2067F">
        <w:lastRenderedPageBreak/>
        <w:t>CUADRO 8.1.4.3-1</w:t>
      </w:r>
      <w:bookmarkEnd w:id="90"/>
    </w:p>
    <w:p w14:paraId="5ACE0773" w14:textId="77777777" w:rsidR="0077746C" w:rsidRPr="00B2067F" w:rsidRDefault="0077746C" w:rsidP="0077746C">
      <w:pPr>
        <w:pStyle w:val="TabletitleBR"/>
      </w:pPr>
      <w:bookmarkStart w:id="91" w:name="lt_pId919"/>
      <w:r w:rsidRPr="00B2067F">
        <w:t>Distribución de Informes UIT-R (descargas)</w:t>
      </w:r>
      <w:bookmarkEnd w:id="91"/>
    </w:p>
    <w:tbl>
      <w:tblPr>
        <w:tblStyle w:val="GridTable5Dark-Accent1"/>
        <w:tblW w:w="9399" w:type="dxa"/>
        <w:jc w:val="center"/>
        <w:tblLook w:val="04A0" w:firstRow="1" w:lastRow="0" w:firstColumn="1" w:lastColumn="0" w:noHBand="0" w:noVBand="1"/>
      </w:tblPr>
      <w:tblGrid>
        <w:gridCol w:w="1273"/>
        <w:gridCol w:w="1557"/>
        <w:gridCol w:w="1416"/>
        <w:gridCol w:w="1415"/>
        <w:gridCol w:w="1084"/>
        <w:gridCol w:w="1327"/>
        <w:gridCol w:w="1327"/>
      </w:tblGrid>
      <w:tr w:rsidR="0077746C" w:rsidRPr="00B2067F" w14:paraId="75247CD0" w14:textId="77777777" w:rsidTr="0077746C">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3" w:type="dxa"/>
            <w:tcBorders>
              <w:bottom w:val="single" w:sz="4" w:space="0" w:color="FFFFFF" w:themeColor="background1"/>
            </w:tcBorders>
            <w:noWrap/>
            <w:hideMark/>
          </w:tcPr>
          <w:p w14:paraId="2D00BF90" w14:textId="77777777" w:rsidR="0077746C" w:rsidRPr="00B2067F" w:rsidRDefault="0077746C" w:rsidP="003C734A">
            <w:pPr>
              <w:pStyle w:val="Tablehead"/>
            </w:pPr>
            <w:r w:rsidRPr="00B2067F">
              <w:t>SERIE</w:t>
            </w:r>
          </w:p>
        </w:tc>
        <w:tc>
          <w:tcPr>
            <w:tcW w:w="1557" w:type="dxa"/>
            <w:tcBorders>
              <w:bottom w:val="single" w:sz="4" w:space="0" w:color="FFFFFF" w:themeColor="background1"/>
            </w:tcBorders>
            <w:noWrap/>
            <w:hideMark/>
          </w:tcPr>
          <w:p w14:paraId="10C1C9A9" w14:textId="77777777" w:rsidR="0077746C" w:rsidRPr="00B2067F" w:rsidRDefault="0077746C" w:rsidP="003C734A">
            <w:pPr>
              <w:pStyle w:val="Tablehead"/>
              <w:cnfStyle w:val="100000000000" w:firstRow="1" w:lastRow="0" w:firstColumn="0" w:lastColumn="0" w:oddVBand="0" w:evenVBand="0" w:oddHBand="0" w:evenHBand="0" w:firstRowFirstColumn="0" w:firstRowLastColumn="0" w:lastRowFirstColumn="0" w:lastRowLastColumn="0"/>
            </w:pPr>
            <w:r w:rsidRPr="00B2067F">
              <w:t>2017</w:t>
            </w:r>
          </w:p>
        </w:tc>
        <w:tc>
          <w:tcPr>
            <w:tcW w:w="1416" w:type="dxa"/>
            <w:tcBorders>
              <w:bottom w:val="single" w:sz="4" w:space="0" w:color="FFFFFF" w:themeColor="background1"/>
            </w:tcBorders>
            <w:noWrap/>
            <w:hideMark/>
          </w:tcPr>
          <w:p w14:paraId="756223C5" w14:textId="77777777" w:rsidR="0077746C" w:rsidRPr="00B2067F" w:rsidRDefault="0077746C" w:rsidP="003C734A">
            <w:pPr>
              <w:pStyle w:val="Tablehead"/>
              <w:cnfStyle w:val="100000000000" w:firstRow="1" w:lastRow="0" w:firstColumn="0" w:lastColumn="0" w:oddVBand="0" w:evenVBand="0" w:oddHBand="0" w:evenHBand="0" w:firstRowFirstColumn="0" w:firstRowLastColumn="0" w:lastRowFirstColumn="0" w:lastRowLastColumn="0"/>
            </w:pPr>
            <w:r w:rsidRPr="00B2067F">
              <w:t>2018*</w:t>
            </w:r>
          </w:p>
        </w:tc>
        <w:tc>
          <w:tcPr>
            <w:tcW w:w="1415" w:type="dxa"/>
            <w:tcBorders>
              <w:bottom w:val="single" w:sz="4" w:space="0" w:color="FFFFFF" w:themeColor="background1"/>
            </w:tcBorders>
            <w:noWrap/>
            <w:hideMark/>
          </w:tcPr>
          <w:p w14:paraId="5103326E" w14:textId="77777777" w:rsidR="0077746C" w:rsidRPr="00B2067F" w:rsidRDefault="0077746C" w:rsidP="003C734A">
            <w:pPr>
              <w:pStyle w:val="Tablehead"/>
              <w:cnfStyle w:val="100000000000" w:firstRow="1" w:lastRow="0" w:firstColumn="0" w:lastColumn="0" w:oddVBand="0" w:evenVBand="0" w:oddHBand="0" w:evenHBand="0" w:firstRowFirstColumn="0" w:firstRowLastColumn="0" w:lastRowFirstColumn="0" w:lastRowLastColumn="0"/>
            </w:pPr>
            <w:r w:rsidRPr="00B2067F">
              <w:t>2019</w:t>
            </w:r>
          </w:p>
        </w:tc>
        <w:tc>
          <w:tcPr>
            <w:tcW w:w="1084" w:type="dxa"/>
            <w:tcBorders>
              <w:bottom w:val="single" w:sz="4" w:space="0" w:color="FFFFFF" w:themeColor="background1"/>
            </w:tcBorders>
            <w:hideMark/>
          </w:tcPr>
          <w:p w14:paraId="02B2752A" w14:textId="77777777" w:rsidR="0077746C" w:rsidRPr="00B2067F" w:rsidRDefault="0077746C" w:rsidP="003C734A">
            <w:pPr>
              <w:pStyle w:val="Tablehead"/>
              <w:cnfStyle w:val="100000000000" w:firstRow="1" w:lastRow="0" w:firstColumn="0" w:lastColumn="0" w:oddVBand="0" w:evenVBand="0" w:oddHBand="0" w:evenHBand="0" w:firstRowFirstColumn="0" w:firstRowLastColumn="0" w:lastRowFirstColumn="0" w:lastRowLastColumn="0"/>
            </w:pPr>
            <w:r w:rsidRPr="00B2067F">
              <w:t>2020</w:t>
            </w:r>
          </w:p>
        </w:tc>
        <w:tc>
          <w:tcPr>
            <w:tcW w:w="1327" w:type="dxa"/>
            <w:tcBorders>
              <w:bottom w:val="single" w:sz="4" w:space="0" w:color="FFFFFF" w:themeColor="background1"/>
            </w:tcBorders>
            <w:noWrap/>
            <w:hideMark/>
          </w:tcPr>
          <w:p w14:paraId="13457F83" w14:textId="77777777" w:rsidR="0077746C" w:rsidRPr="00B2067F" w:rsidRDefault="0077746C" w:rsidP="003C734A">
            <w:pPr>
              <w:pStyle w:val="Tablehead"/>
              <w:cnfStyle w:val="100000000000" w:firstRow="1" w:lastRow="0" w:firstColumn="0" w:lastColumn="0" w:oddVBand="0" w:evenVBand="0" w:oddHBand="0" w:evenHBand="0" w:firstRowFirstColumn="0" w:firstRowLastColumn="0" w:lastRowFirstColumn="0" w:lastRowLastColumn="0"/>
            </w:pPr>
            <w:r w:rsidRPr="00B2067F">
              <w:t>TOTAL</w:t>
            </w:r>
          </w:p>
        </w:tc>
        <w:tc>
          <w:tcPr>
            <w:tcW w:w="1327" w:type="dxa"/>
            <w:tcBorders>
              <w:bottom w:val="single" w:sz="4" w:space="0" w:color="FFFFFF" w:themeColor="background1"/>
            </w:tcBorders>
            <w:hideMark/>
          </w:tcPr>
          <w:p w14:paraId="6C39815B" w14:textId="77777777" w:rsidR="0077746C" w:rsidRPr="00B2067F" w:rsidRDefault="0077746C" w:rsidP="003C734A">
            <w:pPr>
              <w:pStyle w:val="Tablehead"/>
              <w:cnfStyle w:val="100000000000" w:firstRow="1" w:lastRow="0" w:firstColumn="0" w:lastColumn="0" w:oddVBand="0" w:evenVBand="0" w:oddHBand="0" w:evenHBand="0" w:firstRowFirstColumn="0" w:firstRowLastColumn="0" w:lastRowFirstColumn="0" w:lastRowLastColumn="0"/>
            </w:pPr>
            <w:r w:rsidRPr="00B2067F">
              <w:t>%</w:t>
            </w:r>
          </w:p>
        </w:tc>
      </w:tr>
      <w:tr w:rsidR="0077746C" w:rsidRPr="00B2067F" w14:paraId="7FF618EF" w14:textId="77777777" w:rsidTr="0077746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FFFFF" w:themeColor="background1"/>
              <w:bottom w:val="single" w:sz="4" w:space="0" w:color="FFFFFF" w:themeColor="background1"/>
              <w:right w:val="single" w:sz="4" w:space="0" w:color="FFFFFF" w:themeColor="background1"/>
            </w:tcBorders>
            <w:noWrap/>
            <w:hideMark/>
          </w:tcPr>
          <w:p w14:paraId="13D5220A" w14:textId="77777777" w:rsidR="0077746C" w:rsidRPr="00B2067F" w:rsidRDefault="0077746C" w:rsidP="003C734A">
            <w:pPr>
              <w:pStyle w:val="Tabletext"/>
              <w:keepNext/>
              <w:jc w:val="center"/>
              <w:rPr>
                <w:b w:val="0"/>
              </w:rPr>
            </w:pPr>
            <w:r w:rsidRPr="00B2067F">
              <w:rPr>
                <w:b w:val="0"/>
              </w:rPr>
              <w:t>M</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2879174"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76 531</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5E3F558"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63 114</w: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5480185"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90 065</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66F08E8"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112 052</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CB591F5"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341 762</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CAD5080"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30,24</w:t>
            </w:r>
          </w:p>
        </w:tc>
      </w:tr>
      <w:tr w:rsidR="0077746C" w:rsidRPr="00B2067F" w14:paraId="44AC09C7" w14:textId="77777777" w:rsidTr="0077746C">
        <w:trPr>
          <w:trHeight w:val="330"/>
          <w:jc w:val="center"/>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FFFFF" w:themeColor="background1"/>
              <w:bottom w:val="single" w:sz="4" w:space="0" w:color="FFFFFF" w:themeColor="background1"/>
              <w:right w:val="single" w:sz="4" w:space="0" w:color="FFFFFF" w:themeColor="background1"/>
            </w:tcBorders>
            <w:noWrap/>
            <w:hideMark/>
          </w:tcPr>
          <w:p w14:paraId="1F27923F" w14:textId="77777777" w:rsidR="0077746C" w:rsidRPr="00B2067F" w:rsidRDefault="0077746C" w:rsidP="003C734A">
            <w:pPr>
              <w:pStyle w:val="Tabletext"/>
              <w:keepNext/>
              <w:jc w:val="center"/>
              <w:rPr>
                <w:b w:val="0"/>
              </w:rPr>
            </w:pPr>
            <w:r w:rsidRPr="00B2067F">
              <w:rPr>
                <w:b w:val="0"/>
              </w:rPr>
              <w:t>BT</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C223375"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53 616</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71CEEA9"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45 439</w: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BFCBD76"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54 621</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9FD1934"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63 401</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DBCC8B6"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217 077</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E6CF2D1"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19,21</w:t>
            </w:r>
          </w:p>
        </w:tc>
      </w:tr>
      <w:tr w:rsidR="0077746C" w:rsidRPr="00B2067F" w14:paraId="63B63509" w14:textId="77777777" w:rsidTr="0077746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FFFFF" w:themeColor="background1"/>
              <w:bottom w:val="single" w:sz="4" w:space="0" w:color="FFFFFF" w:themeColor="background1"/>
              <w:right w:val="single" w:sz="4" w:space="0" w:color="FFFFFF" w:themeColor="background1"/>
            </w:tcBorders>
            <w:noWrap/>
            <w:hideMark/>
          </w:tcPr>
          <w:p w14:paraId="16FFE692" w14:textId="77777777" w:rsidR="0077746C" w:rsidRPr="00B2067F" w:rsidRDefault="0077746C" w:rsidP="003C734A">
            <w:pPr>
              <w:pStyle w:val="Tabletext"/>
              <w:keepNext/>
              <w:jc w:val="center"/>
              <w:rPr>
                <w:b w:val="0"/>
              </w:rPr>
            </w:pPr>
            <w:r w:rsidRPr="00B2067F">
              <w:rPr>
                <w:b w:val="0"/>
              </w:rPr>
              <w:t>SM</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23D2941"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44 340</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F64A7FD"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40 327</w: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38D54AD"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74 915</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FF63A6E"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108 430</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42C4FAC"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268 012</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2F95EC9"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23,72</w:t>
            </w:r>
          </w:p>
        </w:tc>
      </w:tr>
      <w:tr w:rsidR="0077746C" w:rsidRPr="00B2067F" w14:paraId="2298ED9C" w14:textId="77777777" w:rsidTr="0077746C">
        <w:trPr>
          <w:trHeight w:val="330"/>
          <w:jc w:val="center"/>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FFFFF" w:themeColor="background1"/>
              <w:bottom w:val="single" w:sz="4" w:space="0" w:color="FFFFFF" w:themeColor="background1"/>
              <w:right w:val="single" w:sz="4" w:space="0" w:color="FFFFFF" w:themeColor="background1"/>
            </w:tcBorders>
            <w:noWrap/>
            <w:hideMark/>
          </w:tcPr>
          <w:p w14:paraId="601D8963" w14:textId="77777777" w:rsidR="0077746C" w:rsidRPr="00B2067F" w:rsidRDefault="0077746C" w:rsidP="003C734A">
            <w:pPr>
              <w:pStyle w:val="Tabletext"/>
              <w:keepNext/>
              <w:jc w:val="center"/>
              <w:rPr>
                <w:b w:val="0"/>
              </w:rPr>
            </w:pPr>
            <w:r w:rsidRPr="00B2067F">
              <w:rPr>
                <w:b w:val="0"/>
              </w:rPr>
              <w:t>BS</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82C831D"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24 015</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EAEDBCF"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15 503</w: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53359BB"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23 054</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E064A59"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32 983</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25F3C5B"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95 555</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9B4AFF"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8,46</w:t>
            </w:r>
          </w:p>
        </w:tc>
      </w:tr>
      <w:tr w:rsidR="0077746C" w:rsidRPr="00B2067F" w14:paraId="1FA5DA4B" w14:textId="77777777" w:rsidTr="0077746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FFFFF" w:themeColor="background1"/>
              <w:bottom w:val="single" w:sz="4" w:space="0" w:color="FFFFFF" w:themeColor="background1"/>
              <w:right w:val="single" w:sz="4" w:space="0" w:color="FFFFFF" w:themeColor="background1"/>
            </w:tcBorders>
            <w:noWrap/>
            <w:hideMark/>
          </w:tcPr>
          <w:p w14:paraId="5FE02C66" w14:textId="77777777" w:rsidR="0077746C" w:rsidRPr="00B2067F" w:rsidRDefault="0077746C" w:rsidP="003C734A">
            <w:pPr>
              <w:pStyle w:val="Tabletext"/>
              <w:keepNext/>
              <w:jc w:val="center"/>
              <w:rPr>
                <w:b w:val="0"/>
              </w:rPr>
            </w:pPr>
            <w:r w:rsidRPr="00B2067F">
              <w:rPr>
                <w:b w:val="0"/>
              </w:rPr>
              <w:t>BO</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6141DC5"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12 572</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CC6EACE"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9 315</w: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62AAB51"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9 690</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DFB0B09"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16 794</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2E30C1F"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48 371</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B54CF6A" w14:textId="77777777" w:rsidR="0077746C" w:rsidRPr="00B2067F" w:rsidRDefault="0077746C" w:rsidP="003C734A">
            <w:pPr>
              <w:pStyle w:val="Tabletext"/>
              <w:keepNext/>
              <w:jc w:val="center"/>
              <w:cnfStyle w:val="000000100000" w:firstRow="0" w:lastRow="0" w:firstColumn="0" w:lastColumn="0" w:oddVBand="0" w:evenVBand="0" w:oddHBand="1" w:evenHBand="0" w:firstRowFirstColumn="0" w:firstRowLastColumn="0" w:lastRowFirstColumn="0" w:lastRowLastColumn="0"/>
            </w:pPr>
            <w:r w:rsidRPr="00B2067F">
              <w:t>4,28</w:t>
            </w:r>
          </w:p>
        </w:tc>
      </w:tr>
      <w:tr w:rsidR="0077746C" w:rsidRPr="00B2067F" w14:paraId="203F4DC8" w14:textId="77777777" w:rsidTr="0077746C">
        <w:trPr>
          <w:trHeight w:val="330"/>
          <w:jc w:val="center"/>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FFFFF" w:themeColor="background1"/>
              <w:bottom w:val="single" w:sz="4" w:space="0" w:color="FFFFFF" w:themeColor="background1"/>
              <w:right w:val="single" w:sz="4" w:space="0" w:color="FFFFFF" w:themeColor="background1"/>
            </w:tcBorders>
            <w:noWrap/>
            <w:hideMark/>
          </w:tcPr>
          <w:p w14:paraId="38B43F58" w14:textId="77777777" w:rsidR="0077746C" w:rsidRPr="00B2067F" w:rsidRDefault="0077746C" w:rsidP="003C734A">
            <w:pPr>
              <w:pStyle w:val="Tabletext"/>
              <w:keepNext/>
              <w:jc w:val="center"/>
              <w:rPr>
                <w:b w:val="0"/>
              </w:rPr>
            </w:pPr>
            <w:r w:rsidRPr="00B2067F">
              <w:rPr>
                <w:b w:val="0"/>
              </w:rPr>
              <w:t>P</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5EEF379"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10 541</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AFF675C"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7 520</w: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32D1EBE"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13 322</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50155A2"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17 742</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F3F164C"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49 125</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2473169" w14:textId="77777777" w:rsidR="0077746C" w:rsidRPr="00B2067F" w:rsidRDefault="0077746C" w:rsidP="003C734A">
            <w:pPr>
              <w:pStyle w:val="Tabletext"/>
              <w:keepNext/>
              <w:jc w:val="center"/>
              <w:cnfStyle w:val="000000000000" w:firstRow="0" w:lastRow="0" w:firstColumn="0" w:lastColumn="0" w:oddVBand="0" w:evenVBand="0" w:oddHBand="0" w:evenHBand="0" w:firstRowFirstColumn="0" w:firstRowLastColumn="0" w:lastRowFirstColumn="0" w:lastRowLastColumn="0"/>
            </w:pPr>
            <w:r w:rsidRPr="00B2067F">
              <w:t>4,35</w:t>
            </w:r>
          </w:p>
        </w:tc>
      </w:tr>
      <w:tr w:rsidR="0077746C" w:rsidRPr="00B2067F" w14:paraId="305C5BF1" w14:textId="77777777" w:rsidTr="0077746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FFFFF" w:themeColor="background1"/>
              <w:bottom w:val="single" w:sz="4" w:space="0" w:color="FFFFFF" w:themeColor="background1"/>
              <w:right w:val="single" w:sz="4" w:space="0" w:color="FFFFFF" w:themeColor="background1"/>
            </w:tcBorders>
            <w:noWrap/>
            <w:hideMark/>
          </w:tcPr>
          <w:p w14:paraId="3797B3D2" w14:textId="77777777" w:rsidR="0077746C" w:rsidRPr="00B2067F" w:rsidRDefault="0077746C" w:rsidP="003C734A">
            <w:pPr>
              <w:pStyle w:val="Tabletext"/>
              <w:jc w:val="center"/>
              <w:rPr>
                <w:b w:val="0"/>
              </w:rPr>
            </w:pPr>
            <w:r w:rsidRPr="00B2067F">
              <w:rPr>
                <w:b w:val="0"/>
              </w:rPr>
              <w:t>S</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1DA41AD"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10 142</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D166124"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7 282</w: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E996D02"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8 339</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EF7B1C6"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9 524</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F6C0724"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35 287</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E5AE6FD"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3,12</w:t>
            </w:r>
          </w:p>
        </w:tc>
      </w:tr>
      <w:tr w:rsidR="0077746C" w:rsidRPr="00B2067F" w14:paraId="253DEF9B" w14:textId="77777777" w:rsidTr="0077746C">
        <w:trPr>
          <w:trHeight w:val="330"/>
          <w:jc w:val="center"/>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FFFFF" w:themeColor="background1"/>
              <w:bottom w:val="single" w:sz="4" w:space="0" w:color="FFFFFF" w:themeColor="background1"/>
              <w:right w:val="single" w:sz="4" w:space="0" w:color="FFFFFF" w:themeColor="background1"/>
            </w:tcBorders>
            <w:noWrap/>
            <w:hideMark/>
          </w:tcPr>
          <w:p w14:paraId="623FF2E8" w14:textId="77777777" w:rsidR="0077746C" w:rsidRPr="00B2067F" w:rsidRDefault="0077746C" w:rsidP="003C734A">
            <w:pPr>
              <w:pStyle w:val="Tabletext"/>
              <w:jc w:val="center"/>
              <w:rPr>
                <w:b w:val="0"/>
              </w:rPr>
            </w:pPr>
            <w:r w:rsidRPr="00B2067F">
              <w:rPr>
                <w:b w:val="0"/>
              </w:rPr>
              <w:t>F</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A569DA0"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6 152</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7E9D9D0"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5 177</w: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15606D5"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9 475</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510666"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10 981</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B6F5BE9"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31 785</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A25BFDA"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2,81</w:t>
            </w:r>
          </w:p>
        </w:tc>
      </w:tr>
      <w:tr w:rsidR="0077746C" w:rsidRPr="00B2067F" w14:paraId="62CF5D8E" w14:textId="77777777" w:rsidTr="0077746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FFFFF" w:themeColor="background1"/>
              <w:bottom w:val="single" w:sz="4" w:space="0" w:color="FFFFFF" w:themeColor="background1"/>
              <w:right w:val="single" w:sz="4" w:space="0" w:color="FFFFFF" w:themeColor="background1"/>
            </w:tcBorders>
            <w:noWrap/>
            <w:hideMark/>
          </w:tcPr>
          <w:p w14:paraId="541DC5E1" w14:textId="77777777" w:rsidR="0077746C" w:rsidRPr="00B2067F" w:rsidRDefault="0077746C" w:rsidP="003C734A">
            <w:pPr>
              <w:pStyle w:val="Tabletext"/>
              <w:jc w:val="center"/>
              <w:rPr>
                <w:b w:val="0"/>
              </w:rPr>
            </w:pPr>
            <w:r w:rsidRPr="00B2067F">
              <w:rPr>
                <w:b w:val="0"/>
              </w:rPr>
              <w:t>RS</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53D27E6"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3 764</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6307041"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2 966</w: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B4F5550"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2 730</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D88C6E3"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4 322</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342D0CC"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13 782</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5511640"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1,22</w:t>
            </w:r>
          </w:p>
        </w:tc>
      </w:tr>
      <w:tr w:rsidR="0077746C" w:rsidRPr="00B2067F" w14:paraId="3E9C4D67" w14:textId="77777777" w:rsidTr="0077746C">
        <w:trPr>
          <w:trHeight w:val="330"/>
          <w:jc w:val="center"/>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FFFFF" w:themeColor="background1"/>
              <w:bottom w:val="single" w:sz="4" w:space="0" w:color="FFFFFF" w:themeColor="background1"/>
              <w:right w:val="single" w:sz="4" w:space="0" w:color="FFFFFF" w:themeColor="background1"/>
            </w:tcBorders>
            <w:noWrap/>
            <w:hideMark/>
          </w:tcPr>
          <w:p w14:paraId="4844F54A" w14:textId="77777777" w:rsidR="0077746C" w:rsidRPr="00B2067F" w:rsidRDefault="0077746C" w:rsidP="003C734A">
            <w:pPr>
              <w:pStyle w:val="Tabletext"/>
              <w:jc w:val="center"/>
              <w:rPr>
                <w:b w:val="0"/>
              </w:rPr>
            </w:pPr>
            <w:r w:rsidRPr="00B2067F">
              <w:rPr>
                <w:b w:val="0"/>
              </w:rPr>
              <w:t>RA</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882F685"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3 292</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3380F99"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2 502</w: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8BB6521"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2 736</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8238944"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3 774</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655CD38"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12 304</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4AEBD2E"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1,09</w:t>
            </w:r>
          </w:p>
        </w:tc>
      </w:tr>
      <w:tr w:rsidR="0077746C" w:rsidRPr="00B2067F" w14:paraId="222694A9" w14:textId="77777777" w:rsidTr="0077746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FFFFF" w:themeColor="background1"/>
              <w:bottom w:val="single" w:sz="4" w:space="0" w:color="FFFFFF" w:themeColor="background1"/>
              <w:right w:val="single" w:sz="4" w:space="0" w:color="FFFFFF" w:themeColor="background1"/>
            </w:tcBorders>
            <w:noWrap/>
            <w:hideMark/>
          </w:tcPr>
          <w:p w14:paraId="0D522B08" w14:textId="77777777" w:rsidR="0077746C" w:rsidRPr="00B2067F" w:rsidRDefault="0077746C" w:rsidP="003C734A">
            <w:pPr>
              <w:pStyle w:val="Tabletext"/>
              <w:jc w:val="center"/>
              <w:rPr>
                <w:b w:val="0"/>
              </w:rPr>
            </w:pPr>
            <w:r w:rsidRPr="00B2067F">
              <w:rPr>
                <w:b w:val="0"/>
              </w:rPr>
              <w:t>SA</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44997BE"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3 106</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64F1297"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2 860</w: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288F809"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4 438</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BA02832"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5 422</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A32BF1C"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15 826</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7DA70CF"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1,40</w:t>
            </w:r>
          </w:p>
        </w:tc>
      </w:tr>
      <w:tr w:rsidR="0077746C" w:rsidRPr="00B2067F" w14:paraId="0B451CF6" w14:textId="77777777" w:rsidTr="0077746C">
        <w:trPr>
          <w:trHeight w:val="330"/>
          <w:jc w:val="center"/>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FFFFF" w:themeColor="background1"/>
              <w:bottom w:val="single" w:sz="4" w:space="0" w:color="FFFFFF" w:themeColor="background1"/>
              <w:right w:val="single" w:sz="4" w:space="0" w:color="FFFFFF" w:themeColor="background1"/>
            </w:tcBorders>
            <w:noWrap/>
            <w:hideMark/>
          </w:tcPr>
          <w:p w14:paraId="3D21DA9B" w14:textId="77777777" w:rsidR="0077746C" w:rsidRPr="00B2067F" w:rsidRDefault="0077746C" w:rsidP="003C734A">
            <w:pPr>
              <w:pStyle w:val="Tabletext"/>
              <w:jc w:val="center"/>
              <w:rPr>
                <w:b w:val="0"/>
              </w:rPr>
            </w:pPr>
            <w:r w:rsidRPr="00B2067F">
              <w:rPr>
                <w:b w:val="0"/>
              </w:rPr>
              <w:t>SF</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6CC4386"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303</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5475600"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266</w: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CBB3489"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81</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4DB5365"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330</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D1B2B8D"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980</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6627C3E"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0,09</w:t>
            </w:r>
          </w:p>
        </w:tc>
      </w:tr>
      <w:tr w:rsidR="0077746C" w:rsidRPr="00B2067F" w14:paraId="6A1A4F7E" w14:textId="77777777" w:rsidTr="0077746C">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FFFFF" w:themeColor="background1"/>
              <w:bottom w:val="single" w:sz="4" w:space="0" w:color="FFFFFF" w:themeColor="background1"/>
              <w:right w:val="single" w:sz="4" w:space="0" w:color="FFFFFF" w:themeColor="background1"/>
            </w:tcBorders>
            <w:noWrap/>
            <w:hideMark/>
          </w:tcPr>
          <w:p w14:paraId="7574B2F3" w14:textId="77777777" w:rsidR="0077746C" w:rsidRPr="00B2067F" w:rsidRDefault="0077746C" w:rsidP="003C734A">
            <w:pPr>
              <w:pStyle w:val="Tabletext"/>
              <w:jc w:val="center"/>
              <w:rPr>
                <w:b w:val="0"/>
              </w:rPr>
            </w:pPr>
            <w:r w:rsidRPr="00B2067F">
              <w:rPr>
                <w:b w:val="0"/>
              </w:rPr>
              <w:t>BR</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9020D37"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65</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EC1B10C"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35</w: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7B210CB"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43</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53B2A44"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64</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9D14979"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207</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CFC6779"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pPr>
            <w:r w:rsidRPr="00B2067F">
              <w:t>0,02</w:t>
            </w:r>
          </w:p>
        </w:tc>
      </w:tr>
      <w:tr w:rsidR="0077746C" w:rsidRPr="00B2067F" w14:paraId="47725FAC" w14:textId="77777777" w:rsidTr="0077746C">
        <w:trPr>
          <w:trHeight w:val="330"/>
          <w:jc w:val="center"/>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FFFFF" w:themeColor="background1"/>
              <w:bottom w:val="single" w:sz="4" w:space="0" w:color="FFFFFF" w:themeColor="background1"/>
              <w:right w:val="single" w:sz="4" w:space="0" w:color="FFFFFF" w:themeColor="background1"/>
            </w:tcBorders>
            <w:noWrap/>
            <w:hideMark/>
          </w:tcPr>
          <w:p w14:paraId="0E687A01" w14:textId="77777777" w:rsidR="0077746C" w:rsidRPr="00B2067F" w:rsidRDefault="0077746C" w:rsidP="003C734A">
            <w:pPr>
              <w:pStyle w:val="Tabletext"/>
              <w:jc w:val="center"/>
              <w:rPr>
                <w:b w:val="0"/>
              </w:rPr>
            </w:pPr>
            <w:r w:rsidRPr="00B2067F">
              <w:rPr>
                <w:b w:val="0"/>
              </w:rPr>
              <w:t>TOTAL</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91D3B0C"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rPr>
                <w:b/>
              </w:rPr>
            </w:pPr>
            <w:r w:rsidRPr="00B2067F">
              <w:rPr>
                <w:b/>
                <w:bCs/>
              </w:rPr>
              <w:t>248 439</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16F2E86"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rPr>
                <w:b/>
              </w:rPr>
            </w:pPr>
            <w:r w:rsidRPr="00B2067F">
              <w:rPr>
                <w:b/>
                <w:bCs/>
              </w:rPr>
              <w:t>202 306</w:t>
            </w:r>
          </w:p>
        </w:tc>
        <w:tc>
          <w:tcPr>
            <w:tcW w:w="1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158AB7D"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rPr>
                <w:b/>
              </w:rPr>
            </w:pPr>
            <w:r w:rsidRPr="00B2067F">
              <w:rPr>
                <w:b/>
                <w:bCs/>
              </w:rPr>
              <w:t>293 509</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1B7A7F6"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rPr>
                <w:b/>
              </w:rPr>
            </w:pPr>
            <w:r w:rsidRPr="00B2067F">
              <w:rPr>
                <w:b/>
                <w:bCs/>
              </w:rPr>
              <w:t>385 819</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DB36221"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rPr>
                <w:b/>
              </w:rPr>
            </w:pPr>
            <w:r w:rsidRPr="00B2067F">
              <w:rPr>
                <w:b/>
                <w:bCs/>
              </w:rPr>
              <w:t>1 130 073</w:t>
            </w:r>
          </w:p>
        </w:tc>
        <w:tc>
          <w:tcPr>
            <w:tcW w:w="1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5C87D0F" w14:textId="77777777" w:rsidR="0077746C" w:rsidRPr="00B2067F" w:rsidRDefault="0077746C" w:rsidP="0077746C">
            <w:pPr>
              <w:pStyle w:val="Tabletext"/>
              <w:jc w:val="center"/>
              <w:cnfStyle w:val="000000000000" w:firstRow="0" w:lastRow="0" w:firstColumn="0" w:lastColumn="0" w:oddVBand="0" w:evenVBand="0" w:oddHBand="0" w:evenHBand="0" w:firstRowFirstColumn="0" w:firstRowLastColumn="0" w:lastRowFirstColumn="0" w:lastRowLastColumn="0"/>
            </w:pPr>
            <w:r w:rsidRPr="00B2067F">
              <w:t>100%</w:t>
            </w:r>
          </w:p>
        </w:tc>
      </w:tr>
      <w:tr w:rsidR="0077746C" w:rsidRPr="00B2067F" w14:paraId="1D10617E" w14:textId="77777777" w:rsidTr="0077746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399" w:type="dxa"/>
            <w:gridSpan w:val="7"/>
            <w:tcBorders>
              <w:top w:val="single" w:sz="4" w:space="0" w:color="FFFFFF" w:themeColor="background1"/>
              <w:right w:val="single" w:sz="4" w:space="0" w:color="FFFFFF" w:themeColor="background1"/>
            </w:tcBorders>
            <w:shd w:val="clear" w:color="auto" w:fill="FFFFFF" w:themeFill="background1"/>
            <w:noWrap/>
            <w:hideMark/>
          </w:tcPr>
          <w:p w14:paraId="09CD1E4F" w14:textId="4BF0EBB5" w:rsidR="0077746C" w:rsidRPr="00B2067F" w:rsidRDefault="0077746C" w:rsidP="003C734A">
            <w:pPr>
              <w:pStyle w:val="Tablelegend"/>
              <w:rPr>
                <w:b w:val="0"/>
                <w:sz w:val="16"/>
                <w:szCs w:val="16"/>
              </w:rPr>
            </w:pPr>
            <w:r w:rsidRPr="00B2067F">
              <w:rPr>
                <w:b w:val="0"/>
                <w:color w:val="auto"/>
                <w:sz w:val="16"/>
                <w:szCs w:val="16"/>
              </w:rPr>
              <w:t>*</w:t>
            </w:r>
            <w:r w:rsidR="003C734A" w:rsidRPr="00B2067F">
              <w:rPr>
                <w:b w:val="0"/>
                <w:color w:val="auto"/>
                <w:sz w:val="16"/>
                <w:szCs w:val="16"/>
              </w:rPr>
              <w:tab/>
            </w:r>
            <w:r w:rsidRPr="00B2067F">
              <w:rPr>
                <w:b w:val="0"/>
                <w:color w:val="auto"/>
                <w:sz w:val="16"/>
                <w:szCs w:val="16"/>
              </w:rPr>
              <w:t>A septiembre de 2018</w:t>
            </w:r>
            <w:r w:rsidR="003C734A" w:rsidRPr="00B2067F">
              <w:rPr>
                <w:b w:val="0"/>
                <w:color w:val="auto"/>
                <w:sz w:val="16"/>
                <w:szCs w:val="16"/>
              </w:rPr>
              <w:t>.</w:t>
            </w:r>
          </w:p>
        </w:tc>
      </w:tr>
    </w:tbl>
    <w:p w14:paraId="1878D95F" w14:textId="77777777" w:rsidR="0077746C" w:rsidRPr="00B2067F" w:rsidRDefault="0077746C" w:rsidP="0077746C">
      <w:pPr>
        <w:pStyle w:val="Heading4"/>
      </w:pPr>
      <w:r w:rsidRPr="00B2067F">
        <w:t>8.1.4.4</w:t>
      </w:r>
      <w:r w:rsidRPr="00B2067F">
        <w:tab/>
        <w:t xml:space="preserve">Manuales sobre gestión del espectro </w:t>
      </w:r>
    </w:p>
    <w:p w14:paraId="6F37C6A2" w14:textId="444C6827" w:rsidR="0077746C" w:rsidRPr="00B2067F" w:rsidRDefault="0077746C" w:rsidP="0077746C">
      <w:bookmarkStart w:id="92" w:name="lt_pId1014"/>
      <w:r w:rsidRPr="00B2067F">
        <w:t>A raíz de la decisión adoptada por el Director de la BR en 2017, todos los Manuales del UIT-R pueden descargarse gratuitamente desde el sitio web de la UIT. Se han registrado más de 100 000 descargas hasta finales de 2020.</w:t>
      </w:r>
      <w:bookmarkEnd w:id="92"/>
      <w:r w:rsidRPr="00B2067F">
        <w:t xml:space="preserve"> El Cuadro 8.1.4.4</w:t>
      </w:r>
      <w:r w:rsidRPr="00B2067F">
        <w:noBreakHyphen/>
        <w:t>1 muestra la distribución de las ventas de Manuales del UIT-R sobre gestión y comprobación técnica del espectro y de otros Manuales</w:t>
      </w:r>
      <w:r w:rsidR="00B2067F">
        <w:t>.</w:t>
      </w:r>
    </w:p>
    <w:p w14:paraId="49CC2CBD" w14:textId="77777777" w:rsidR="0077746C" w:rsidRPr="00B2067F" w:rsidRDefault="0077746C" w:rsidP="0077746C">
      <w:r w:rsidRPr="00B2067F">
        <w:t>Hasta la fecha, se han publicado 42 Manuales del UIT-R, incluida una serie sobre gestión del espectro. Cabe señalar que, de los 42 Manuales publicados, 38 están en vigor, 1 se ha fusionado y 3 se han suprimido, pero siguen estando disponibles en el sitio web de la UIT a título de referencia.</w:t>
      </w:r>
    </w:p>
    <w:p w14:paraId="38DD1A1D" w14:textId="77777777" w:rsidR="0077746C" w:rsidRPr="00B2067F" w:rsidRDefault="0077746C" w:rsidP="0077746C">
      <w:pPr>
        <w:pStyle w:val="TableNoBR"/>
      </w:pPr>
      <w:r w:rsidRPr="00B2067F">
        <w:t>CUADRO 8.1.4.4-1</w:t>
      </w:r>
    </w:p>
    <w:p w14:paraId="153FA101" w14:textId="77777777" w:rsidR="0077746C" w:rsidRPr="00B2067F" w:rsidRDefault="0077746C" w:rsidP="0077746C">
      <w:pPr>
        <w:pStyle w:val="TabletitleBR"/>
      </w:pPr>
      <w:r w:rsidRPr="00B2067F">
        <w:t>Distribución de Manuales del UIT-R sobre gestión y comprobación técnica del espectro</w:t>
      </w:r>
    </w:p>
    <w:tbl>
      <w:tblPr>
        <w:tblW w:w="9345" w:type="dxa"/>
        <w:jc w:val="center"/>
        <w:tblCellMar>
          <w:left w:w="0" w:type="dxa"/>
          <w:right w:w="0" w:type="dxa"/>
        </w:tblCellMar>
        <w:tblLook w:val="04A0" w:firstRow="1" w:lastRow="0" w:firstColumn="1" w:lastColumn="0" w:noHBand="0" w:noVBand="1"/>
      </w:tblPr>
      <w:tblGrid>
        <w:gridCol w:w="4422"/>
        <w:gridCol w:w="1641"/>
        <w:gridCol w:w="1641"/>
        <w:gridCol w:w="1641"/>
      </w:tblGrid>
      <w:tr w:rsidR="0077746C" w:rsidRPr="00B2067F" w14:paraId="2543DF17" w14:textId="77777777" w:rsidTr="0077746C">
        <w:trPr>
          <w:trHeight w:val="481"/>
          <w:jc w:val="center"/>
        </w:trPr>
        <w:tc>
          <w:tcPr>
            <w:tcW w:w="4422"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45106E5E" w14:textId="77777777" w:rsidR="0077746C" w:rsidRPr="00B2067F" w:rsidRDefault="0077746C" w:rsidP="0077746C">
            <w:pPr>
              <w:pStyle w:val="Tablehead"/>
              <w:rPr>
                <w:b w:val="0"/>
                <w:bCs/>
                <w:color w:val="FFFFFF" w:themeColor="background1"/>
              </w:rPr>
            </w:pPr>
            <w:r w:rsidRPr="00B2067F">
              <w:rPr>
                <w:b w:val="0"/>
                <w:bCs/>
                <w:color w:val="FFFFFF" w:themeColor="background1"/>
              </w:rPr>
              <w:t>Manual</w:t>
            </w:r>
          </w:p>
        </w:tc>
        <w:tc>
          <w:tcPr>
            <w:tcW w:w="164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2266DF2C" w14:textId="77777777" w:rsidR="0077746C" w:rsidRPr="00B2067F" w:rsidRDefault="0077746C" w:rsidP="0077746C">
            <w:pPr>
              <w:pStyle w:val="Tablehead"/>
              <w:rPr>
                <w:b w:val="0"/>
                <w:bCs/>
                <w:color w:val="FFFFFF" w:themeColor="background1"/>
              </w:rPr>
            </w:pPr>
            <w:r w:rsidRPr="00B2067F">
              <w:rPr>
                <w:b w:val="0"/>
                <w:bCs/>
                <w:color w:val="FFFFFF" w:themeColor="background1"/>
              </w:rPr>
              <w:t>2018</w:t>
            </w:r>
          </w:p>
        </w:tc>
        <w:tc>
          <w:tcPr>
            <w:tcW w:w="164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5F8C5859" w14:textId="77777777" w:rsidR="0077746C" w:rsidRPr="00B2067F" w:rsidRDefault="0077746C" w:rsidP="0077746C">
            <w:pPr>
              <w:pStyle w:val="Tablehead"/>
              <w:rPr>
                <w:b w:val="0"/>
                <w:bCs/>
                <w:color w:val="FFFFFF" w:themeColor="background1"/>
              </w:rPr>
            </w:pPr>
            <w:r w:rsidRPr="00B2067F">
              <w:rPr>
                <w:b w:val="0"/>
                <w:bCs/>
                <w:color w:val="FFFFFF" w:themeColor="background1"/>
              </w:rPr>
              <w:t>2019</w:t>
            </w:r>
          </w:p>
        </w:tc>
        <w:tc>
          <w:tcPr>
            <w:tcW w:w="1641"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vAlign w:val="center"/>
            <w:hideMark/>
          </w:tcPr>
          <w:p w14:paraId="26264578" w14:textId="77777777" w:rsidR="0077746C" w:rsidRPr="00B2067F" w:rsidRDefault="0077746C" w:rsidP="0077746C">
            <w:pPr>
              <w:pStyle w:val="Tablehead"/>
              <w:rPr>
                <w:b w:val="0"/>
                <w:bCs/>
                <w:color w:val="FFFFFF" w:themeColor="background1"/>
              </w:rPr>
            </w:pPr>
            <w:r w:rsidRPr="00B2067F">
              <w:rPr>
                <w:b w:val="0"/>
                <w:bCs/>
                <w:color w:val="FFFFFF" w:themeColor="background1"/>
              </w:rPr>
              <w:t>2020</w:t>
            </w:r>
          </w:p>
        </w:tc>
      </w:tr>
      <w:tr w:rsidR="0077746C" w:rsidRPr="00B2067F" w14:paraId="51BE3102" w14:textId="77777777" w:rsidTr="0077746C">
        <w:trPr>
          <w:trHeight w:val="510"/>
          <w:jc w:val="center"/>
        </w:trPr>
        <w:tc>
          <w:tcPr>
            <w:tcW w:w="4422"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37D24EAC" w14:textId="5ED7D3FA" w:rsidR="0077746C" w:rsidRPr="00B2067F" w:rsidRDefault="0077746C" w:rsidP="003C734A">
            <w:pPr>
              <w:pStyle w:val="Tablehead"/>
              <w:jc w:val="left"/>
              <w:rPr>
                <w:b w:val="0"/>
                <w:color w:val="FFFFFF" w:themeColor="background1"/>
              </w:rPr>
            </w:pPr>
            <w:r w:rsidRPr="00B2067F">
              <w:rPr>
                <w:b w:val="0"/>
                <w:color w:val="FFFFFF" w:themeColor="background1"/>
              </w:rPr>
              <w:t>Serie sob</w:t>
            </w:r>
            <w:r w:rsidR="007E3944" w:rsidRPr="00B2067F">
              <w:rPr>
                <w:b w:val="0"/>
                <w:color w:val="FFFFFF" w:themeColor="background1"/>
              </w:rPr>
              <w:t>re gestión del espectro (copias </w:t>
            </w:r>
            <w:r w:rsidRPr="00B2067F">
              <w:rPr>
                <w:b w:val="0"/>
                <w:color w:val="FFFFFF" w:themeColor="background1"/>
              </w:rPr>
              <w:t>impresas vendidas)</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A20E3BE" w14:textId="77777777" w:rsidR="0077746C" w:rsidRPr="00B2067F" w:rsidRDefault="0077746C" w:rsidP="0077746C">
            <w:pPr>
              <w:pStyle w:val="Tabletext"/>
              <w:jc w:val="center"/>
            </w:pPr>
            <w:r w:rsidRPr="00B2067F">
              <w:t>9</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ACDBFE5" w14:textId="77777777" w:rsidR="0077746C" w:rsidRPr="00B2067F" w:rsidRDefault="0077746C" w:rsidP="0077746C">
            <w:pPr>
              <w:pStyle w:val="Tabletext"/>
              <w:jc w:val="center"/>
            </w:pPr>
            <w:r w:rsidRPr="00B2067F">
              <w:t>9</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247A628" w14:textId="77777777" w:rsidR="0077746C" w:rsidRPr="00B2067F" w:rsidRDefault="0077746C" w:rsidP="0077746C">
            <w:pPr>
              <w:pStyle w:val="Tabletext"/>
              <w:jc w:val="center"/>
            </w:pPr>
            <w:r w:rsidRPr="00B2067F">
              <w:t>3</w:t>
            </w:r>
          </w:p>
        </w:tc>
      </w:tr>
      <w:tr w:rsidR="0077746C" w:rsidRPr="00B2067F" w14:paraId="0ADE5BAC" w14:textId="77777777" w:rsidTr="0077746C">
        <w:trPr>
          <w:trHeight w:val="441"/>
          <w:jc w:val="center"/>
        </w:trPr>
        <w:tc>
          <w:tcPr>
            <w:tcW w:w="4422"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86B09D3" w14:textId="77777777" w:rsidR="0077746C" w:rsidRPr="00B2067F" w:rsidRDefault="0077746C" w:rsidP="003C734A">
            <w:pPr>
              <w:pStyle w:val="Tablehead"/>
              <w:jc w:val="left"/>
              <w:rPr>
                <w:b w:val="0"/>
                <w:color w:val="FFFFFF" w:themeColor="background1"/>
              </w:rPr>
            </w:pPr>
            <w:r w:rsidRPr="00B2067F">
              <w:rPr>
                <w:b w:val="0"/>
                <w:color w:val="FFFFFF" w:themeColor="background1"/>
              </w:rPr>
              <w:t>Otros Manuales (copias impresas vendidas)</w:t>
            </w:r>
          </w:p>
        </w:tc>
        <w:tc>
          <w:tcPr>
            <w:tcW w:w="164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D648CF1" w14:textId="77777777" w:rsidR="0077746C" w:rsidRPr="00B2067F" w:rsidRDefault="0077746C" w:rsidP="0077746C">
            <w:pPr>
              <w:pStyle w:val="Tabletext"/>
              <w:jc w:val="center"/>
            </w:pPr>
            <w:r w:rsidRPr="00B2067F">
              <w:t>21</w:t>
            </w:r>
          </w:p>
        </w:tc>
        <w:tc>
          <w:tcPr>
            <w:tcW w:w="164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57FB03F" w14:textId="77777777" w:rsidR="0077746C" w:rsidRPr="00B2067F" w:rsidRDefault="0077746C" w:rsidP="0077746C">
            <w:pPr>
              <w:pStyle w:val="Tabletext"/>
              <w:jc w:val="center"/>
            </w:pPr>
            <w:r w:rsidRPr="00B2067F">
              <w:t>20</w:t>
            </w:r>
          </w:p>
        </w:tc>
        <w:tc>
          <w:tcPr>
            <w:tcW w:w="164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E9951A7" w14:textId="77777777" w:rsidR="0077746C" w:rsidRPr="00B2067F" w:rsidRDefault="0077746C" w:rsidP="0077746C">
            <w:pPr>
              <w:pStyle w:val="Tabletext"/>
              <w:jc w:val="center"/>
            </w:pPr>
            <w:r w:rsidRPr="00B2067F">
              <w:t>4</w:t>
            </w:r>
          </w:p>
        </w:tc>
      </w:tr>
      <w:tr w:rsidR="0077746C" w:rsidRPr="00B2067F" w14:paraId="51F093AC" w14:textId="77777777" w:rsidTr="0077746C">
        <w:trPr>
          <w:trHeight w:val="248"/>
          <w:jc w:val="center"/>
        </w:trPr>
        <w:tc>
          <w:tcPr>
            <w:tcW w:w="4422"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F6F8D76" w14:textId="77777777" w:rsidR="0077746C" w:rsidRPr="00B2067F" w:rsidRDefault="0077746C" w:rsidP="003C734A">
            <w:pPr>
              <w:pStyle w:val="Tablehead"/>
              <w:jc w:val="left"/>
              <w:rPr>
                <w:b w:val="0"/>
                <w:color w:val="FFFFFF" w:themeColor="background1"/>
              </w:rPr>
            </w:pPr>
            <w:r w:rsidRPr="00B2067F">
              <w:rPr>
                <w:b w:val="0"/>
                <w:color w:val="FFFFFF" w:themeColor="background1"/>
              </w:rPr>
              <w:t>TOTAL</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5928F48" w14:textId="77777777" w:rsidR="0077746C" w:rsidRPr="00B2067F" w:rsidRDefault="0077746C" w:rsidP="0077746C">
            <w:pPr>
              <w:pStyle w:val="Tabletext"/>
              <w:jc w:val="center"/>
            </w:pPr>
            <w:r w:rsidRPr="00B2067F">
              <w:t>30</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228F8577" w14:textId="77777777" w:rsidR="0077746C" w:rsidRPr="00B2067F" w:rsidRDefault="0077746C" w:rsidP="0077746C">
            <w:pPr>
              <w:pStyle w:val="Tabletext"/>
              <w:jc w:val="center"/>
            </w:pPr>
            <w:r w:rsidRPr="00B2067F">
              <w:t>29</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6FFE491" w14:textId="77777777" w:rsidR="0077746C" w:rsidRPr="00B2067F" w:rsidRDefault="0077746C" w:rsidP="0077746C">
            <w:pPr>
              <w:pStyle w:val="Tabletext"/>
              <w:jc w:val="center"/>
            </w:pPr>
            <w:r w:rsidRPr="00B2067F">
              <w:t>7</w:t>
            </w:r>
          </w:p>
        </w:tc>
      </w:tr>
    </w:tbl>
    <w:p w14:paraId="155E1736" w14:textId="77777777" w:rsidR="0077746C" w:rsidRPr="00B2067F" w:rsidRDefault="0077746C" w:rsidP="0077746C">
      <w:pPr>
        <w:pStyle w:val="Heading2"/>
        <w:rPr>
          <w:i/>
          <w:iCs/>
        </w:rPr>
      </w:pPr>
      <w:bookmarkStart w:id="93" w:name="_Toc424047601"/>
      <w:bookmarkStart w:id="94" w:name="_Toc446060783"/>
      <w:r w:rsidRPr="00B2067F">
        <w:t>8.2</w:t>
      </w:r>
      <w:r w:rsidRPr="00B2067F">
        <w:tab/>
      </w:r>
      <w:bookmarkEnd w:id="93"/>
      <w:bookmarkEnd w:id="94"/>
      <w:r w:rsidRPr="00B2067F">
        <w:t>Seminarios, talleres y otros eventos</w:t>
      </w:r>
    </w:p>
    <w:p w14:paraId="55AD3168" w14:textId="77777777" w:rsidR="0077746C" w:rsidRPr="00B2067F" w:rsidRDefault="0077746C" w:rsidP="0077746C">
      <w:r w:rsidRPr="00B2067F">
        <w:t xml:space="preserve">Durante el año 2020, se ha iniciado el nuevo ciclo de SMR y SRR entre dos CMR: el ciclo de SMR y SRR para el periodo 2020-2023. El objetivo de estos seminarios es la divulgación en todo el </w:t>
      </w:r>
      <w:r w:rsidRPr="00B2067F">
        <w:lastRenderedPageBreak/>
        <w:t xml:space="preserve">mundo de las actualizaciones que contiene la edición de 2020 del Reglamento de Radiocomunicaciones (con las decisiones adoptadas por la CMR-19) y las Reglas de Procedimiento (RdP) correspondientes. En base a la experiencia de los SMR y SRR anteriores, la planificación del ciclo de SMR y SRR para 2020-2023 prevé la celebración de dos Seminarios Mundiales de Radiocomunicaciones (SMR) bienales complementados con once Seminario Regionales de Radiocomunicaciones (SRR), cada uno dedicado a una subregión diferente, como se indica a continuación: </w:t>
      </w:r>
    </w:p>
    <w:p w14:paraId="704D44DC" w14:textId="77777777" w:rsidR="0077746C" w:rsidRPr="00B2067F" w:rsidRDefault="0077746C" w:rsidP="0077746C">
      <w:pPr>
        <w:pStyle w:val="TableNoBR"/>
      </w:pPr>
      <w:r w:rsidRPr="00B2067F">
        <w:t>CUADRO 8.2.2-1</w:t>
      </w:r>
    </w:p>
    <w:tbl>
      <w:tblPr>
        <w:tblStyle w:val="TableGrid"/>
        <w:tblW w:w="0" w:type="auto"/>
        <w:tblLayout w:type="fixed"/>
        <w:tblLook w:val="04A0" w:firstRow="1" w:lastRow="0" w:firstColumn="1" w:lastColumn="0" w:noHBand="0" w:noVBand="1"/>
      </w:tblPr>
      <w:tblGrid>
        <w:gridCol w:w="2805"/>
        <w:gridCol w:w="2025"/>
        <w:gridCol w:w="1245"/>
        <w:gridCol w:w="1170"/>
        <w:gridCol w:w="1290"/>
        <w:gridCol w:w="810"/>
      </w:tblGrid>
      <w:tr w:rsidR="0077746C" w:rsidRPr="00B2067F" w14:paraId="6D3784FD" w14:textId="77777777" w:rsidTr="0077746C">
        <w:trPr>
          <w:trHeight w:val="375"/>
        </w:trPr>
        <w:tc>
          <w:tcPr>
            <w:tcW w:w="2805" w:type="dxa"/>
            <w:tcBorders>
              <w:top w:val="single" w:sz="8" w:space="0" w:color="auto"/>
              <w:left w:val="single" w:sz="8" w:space="0" w:color="auto"/>
              <w:bottom w:val="single" w:sz="8" w:space="0" w:color="auto"/>
              <w:right w:val="single" w:sz="8" w:space="0" w:color="auto"/>
            </w:tcBorders>
          </w:tcPr>
          <w:p w14:paraId="5F57A335" w14:textId="77777777" w:rsidR="0077746C" w:rsidRPr="00B2067F" w:rsidRDefault="0077746C" w:rsidP="0077746C">
            <w:pPr>
              <w:pStyle w:val="Tablehead"/>
            </w:pPr>
          </w:p>
        </w:tc>
        <w:tc>
          <w:tcPr>
            <w:tcW w:w="2025" w:type="dxa"/>
            <w:tcBorders>
              <w:top w:val="single" w:sz="8" w:space="0" w:color="auto"/>
              <w:left w:val="single" w:sz="8" w:space="0" w:color="auto"/>
              <w:bottom w:val="single" w:sz="8" w:space="0" w:color="auto"/>
              <w:right w:val="single" w:sz="8" w:space="0" w:color="auto"/>
            </w:tcBorders>
            <w:hideMark/>
          </w:tcPr>
          <w:p w14:paraId="401D08B0" w14:textId="77777777" w:rsidR="0077746C" w:rsidRPr="00B2067F" w:rsidRDefault="0077746C" w:rsidP="0077746C">
            <w:pPr>
              <w:pStyle w:val="Tablehead"/>
              <w:rPr>
                <w:bCs/>
              </w:rPr>
            </w:pPr>
            <w:r w:rsidRPr="00B2067F">
              <w:rPr>
                <w:bCs/>
              </w:rPr>
              <w:t>Idioma</w:t>
            </w:r>
          </w:p>
        </w:tc>
        <w:tc>
          <w:tcPr>
            <w:tcW w:w="1245" w:type="dxa"/>
            <w:tcBorders>
              <w:top w:val="single" w:sz="8" w:space="0" w:color="auto"/>
              <w:left w:val="single" w:sz="8" w:space="0" w:color="auto"/>
              <w:bottom w:val="single" w:sz="8" w:space="0" w:color="auto"/>
              <w:right w:val="single" w:sz="8" w:space="0" w:color="auto"/>
            </w:tcBorders>
            <w:hideMark/>
          </w:tcPr>
          <w:p w14:paraId="34E31903" w14:textId="77777777" w:rsidR="0077746C" w:rsidRPr="00B2067F" w:rsidRDefault="0077746C" w:rsidP="0077746C">
            <w:pPr>
              <w:pStyle w:val="Tablehead"/>
              <w:rPr>
                <w:bCs/>
              </w:rPr>
            </w:pPr>
            <w:r w:rsidRPr="00B2067F">
              <w:rPr>
                <w:bCs/>
              </w:rPr>
              <w:t>2020</w:t>
            </w:r>
          </w:p>
        </w:tc>
        <w:tc>
          <w:tcPr>
            <w:tcW w:w="1170" w:type="dxa"/>
            <w:tcBorders>
              <w:top w:val="single" w:sz="8" w:space="0" w:color="auto"/>
              <w:left w:val="single" w:sz="8" w:space="0" w:color="auto"/>
              <w:bottom w:val="single" w:sz="8" w:space="0" w:color="auto"/>
              <w:right w:val="single" w:sz="8" w:space="0" w:color="auto"/>
            </w:tcBorders>
            <w:hideMark/>
          </w:tcPr>
          <w:p w14:paraId="0743501A" w14:textId="77777777" w:rsidR="0077746C" w:rsidRPr="00B2067F" w:rsidRDefault="0077746C" w:rsidP="0077746C">
            <w:pPr>
              <w:pStyle w:val="Tablehead"/>
              <w:rPr>
                <w:bCs/>
              </w:rPr>
            </w:pPr>
            <w:r w:rsidRPr="00B2067F">
              <w:rPr>
                <w:bCs/>
              </w:rPr>
              <w:t>2021</w:t>
            </w:r>
          </w:p>
        </w:tc>
        <w:tc>
          <w:tcPr>
            <w:tcW w:w="1290" w:type="dxa"/>
            <w:tcBorders>
              <w:top w:val="single" w:sz="8" w:space="0" w:color="auto"/>
              <w:left w:val="single" w:sz="8" w:space="0" w:color="auto"/>
              <w:bottom w:val="single" w:sz="8" w:space="0" w:color="auto"/>
              <w:right w:val="single" w:sz="8" w:space="0" w:color="auto"/>
            </w:tcBorders>
            <w:hideMark/>
          </w:tcPr>
          <w:p w14:paraId="3C6497EA" w14:textId="77777777" w:rsidR="0077746C" w:rsidRPr="00B2067F" w:rsidRDefault="0077746C" w:rsidP="0077746C">
            <w:pPr>
              <w:pStyle w:val="Tablehead"/>
              <w:rPr>
                <w:bCs/>
              </w:rPr>
            </w:pPr>
            <w:r w:rsidRPr="00B2067F">
              <w:rPr>
                <w:bCs/>
              </w:rPr>
              <w:t>2022</w:t>
            </w:r>
          </w:p>
        </w:tc>
        <w:tc>
          <w:tcPr>
            <w:tcW w:w="810" w:type="dxa"/>
            <w:tcBorders>
              <w:top w:val="single" w:sz="8" w:space="0" w:color="auto"/>
              <w:left w:val="single" w:sz="8" w:space="0" w:color="auto"/>
              <w:bottom w:val="single" w:sz="8" w:space="0" w:color="auto"/>
              <w:right w:val="single" w:sz="8" w:space="0" w:color="auto"/>
            </w:tcBorders>
            <w:hideMark/>
          </w:tcPr>
          <w:p w14:paraId="7A24B4C3" w14:textId="77777777" w:rsidR="0077746C" w:rsidRPr="00B2067F" w:rsidRDefault="0077746C" w:rsidP="0077746C">
            <w:pPr>
              <w:pStyle w:val="Tablehead"/>
              <w:rPr>
                <w:bCs/>
              </w:rPr>
            </w:pPr>
            <w:r w:rsidRPr="00B2067F">
              <w:rPr>
                <w:bCs/>
              </w:rPr>
              <w:t>2023</w:t>
            </w:r>
          </w:p>
        </w:tc>
      </w:tr>
      <w:tr w:rsidR="0077746C" w:rsidRPr="00B2067F" w14:paraId="615E6335" w14:textId="77777777" w:rsidTr="00820F86">
        <w:trPr>
          <w:trHeight w:val="300"/>
        </w:trPr>
        <w:tc>
          <w:tcPr>
            <w:tcW w:w="2805" w:type="dxa"/>
            <w:tcBorders>
              <w:top w:val="single" w:sz="8" w:space="0" w:color="auto"/>
              <w:left w:val="single" w:sz="8" w:space="0" w:color="auto"/>
              <w:bottom w:val="single" w:sz="8" w:space="0" w:color="auto"/>
              <w:right w:val="single" w:sz="8" w:space="0" w:color="auto"/>
            </w:tcBorders>
            <w:hideMark/>
          </w:tcPr>
          <w:p w14:paraId="05F5CA56" w14:textId="77777777" w:rsidR="0077746C" w:rsidRPr="00B2067F" w:rsidRDefault="0077746C" w:rsidP="007E3944">
            <w:pPr>
              <w:pStyle w:val="Tablehead"/>
            </w:pPr>
            <w:r w:rsidRPr="00B2067F">
              <w:t>África (subsahariana): 2</w:t>
            </w:r>
          </w:p>
        </w:tc>
        <w:tc>
          <w:tcPr>
            <w:tcW w:w="2025" w:type="dxa"/>
            <w:tcBorders>
              <w:top w:val="single" w:sz="8" w:space="0" w:color="auto"/>
              <w:left w:val="single" w:sz="8" w:space="0" w:color="auto"/>
              <w:bottom w:val="single" w:sz="8" w:space="0" w:color="auto"/>
              <w:right w:val="single" w:sz="8" w:space="0" w:color="auto"/>
            </w:tcBorders>
            <w:vAlign w:val="center"/>
            <w:hideMark/>
          </w:tcPr>
          <w:p w14:paraId="415FF26D" w14:textId="77777777" w:rsidR="0077746C" w:rsidRPr="00B2067F" w:rsidRDefault="0077746C" w:rsidP="00820F86">
            <w:pPr>
              <w:pStyle w:val="Tabletext"/>
            </w:pPr>
            <w:r w:rsidRPr="00B2067F">
              <w:t xml:space="preserve"> </w:t>
            </w:r>
          </w:p>
        </w:tc>
        <w:tc>
          <w:tcPr>
            <w:tcW w:w="1245" w:type="dxa"/>
            <w:tcBorders>
              <w:top w:val="single" w:sz="8" w:space="0" w:color="auto"/>
              <w:left w:val="single" w:sz="8" w:space="0" w:color="auto"/>
              <w:bottom w:val="single" w:sz="8" w:space="0" w:color="auto"/>
              <w:right w:val="single" w:sz="8" w:space="0" w:color="auto"/>
            </w:tcBorders>
            <w:vAlign w:val="center"/>
          </w:tcPr>
          <w:p w14:paraId="18E40762" w14:textId="77777777" w:rsidR="0077746C" w:rsidRPr="00B2067F" w:rsidRDefault="0077746C" w:rsidP="00820F86">
            <w:pPr>
              <w:pStyle w:val="Tabletext"/>
              <w:jc w:val="center"/>
            </w:pPr>
          </w:p>
        </w:tc>
        <w:tc>
          <w:tcPr>
            <w:tcW w:w="1170" w:type="dxa"/>
            <w:tcBorders>
              <w:top w:val="single" w:sz="8" w:space="0" w:color="auto"/>
              <w:left w:val="single" w:sz="8" w:space="0" w:color="auto"/>
              <w:bottom w:val="single" w:sz="8" w:space="0" w:color="auto"/>
              <w:right w:val="single" w:sz="8" w:space="0" w:color="auto"/>
            </w:tcBorders>
            <w:vAlign w:val="center"/>
          </w:tcPr>
          <w:p w14:paraId="7EFBEE86" w14:textId="77777777" w:rsidR="0077746C" w:rsidRPr="00B2067F" w:rsidRDefault="0077746C" w:rsidP="00820F86">
            <w:pPr>
              <w:pStyle w:val="Tabletext"/>
              <w:jc w:val="center"/>
            </w:pPr>
          </w:p>
        </w:tc>
        <w:tc>
          <w:tcPr>
            <w:tcW w:w="1290" w:type="dxa"/>
            <w:tcBorders>
              <w:top w:val="single" w:sz="8" w:space="0" w:color="auto"/>
              <w:left w:val="single" w:sz="8" w:space="0" w:color="auto"/>
              <w:bottom w:val="single" w:sz="8" w:space="0" w:color="auto"/>
              <w:right w:val="single" w:sz="8" w:space="0" w:color="auto"/>
            </w:tcBorders>
            <w:vAlign w:val="center"/>
          </w:tcPr>
          <w:p w14:paraId="21FA862A" w14:textId="77777777" w:rsidR="0077746C" w:rsidRPr="00B2067F" w:rsidRDefault="0077746C" w:rsidP="00820F86">
            <w:pPr>
              <w:pStyle w:val="Tabletext"/>
              <w:jc w:val="center"/>
            </w:pPr>
          </w:p>
        </w:tc>
        <w:tc>
          <w:tcPr>
            <w:tcW w:w="810" w:type="dxa"/>
            <w:tcBorders>
              <w:top w:val="single" w:sz="8" w:space="0" w:color="auto"/>
              <w:left w:val="single" w:sz="8" w:space="0" w:color="auto"/>
              <w:bottom w:val="single" w:sz="8" w:space="0" w:color="auto"/>
              <w:right w:val="single" w:sz="8" w:space="0" w:color="auto"/>
            </w:tcBorders>
            <w:vAlign w:val="center"/>
          </w:tcPr>
          <w:p w14:paraId="22F9B9EC" w14:textId="77777777" w:rsidR="0077746C" w:rsidRPr="00B2067F" w:rsidRDefault="0077746C" w:rsidP="00820F86">
            <w:pPr>
              <w:pStyle w:val="Tabletext"/>
              <w:jc w:val="center"/>
            </w:pPr>
          </w:p>
        </w:tc>
      </w:tr>
      <w:tr w:rsidR="0077746C" w:rsidRPr="00B2067F" w14:paraId="28090314" w14:textId="77777777" w:rsidTr="00820F86">
        <w:trPr>
          <w:trHeight w:val="300"/>
        </w:trPr>
        <w:tc>
          <w:tcPr>
            <w:tcW w:w="2805" w:type="dxa"/>
            <w:tcBorders>
              <w:top w:val="single" w:sz="8" w:space="0" w:color="auto"/>
              <w:left w:val="single" w:sz="8" w:space="0" w:color="auto"/>
              <w:bottom w:val="single" w:sz="8" w:space="0" w:color="auto"/>
              <w:right w:val="single" w:sz="8" w:space="0" w:color="auto"/>
            </w:tcBorders>
            <w:hideMark/>
          </w:tcPr>
          <w:p w14:paraId="7D10C53D" w14:textId="77777777" w:rsidR="0077746C" w:rsidRPr="00B2067F" w:rsidRDefault="0077746C" w:rsidP="003C734A">
            <w:pPr>
              <w:pStyle w:val="Tablehead"/>
              <w:jc w:val="right"/>
              <w:rPr>
                <w:b w:val="0"/>
              </w:rPr>
            </w:pPr>
            <w:r w:rsidRPr="00B2067F">
              <w:rPr>
                <w:b w:val="0"/>
              </w:rPr>
              <w:t>África de habla francesa</w:t>
            </w:r>
          </w:p>
        </w:tc>
        <w:tc>
          <w:tcPr>
            <w:tcW w:w="2025" w:type="dxa"/>
            <w:tcBorders>
              <w:top w:val="single" w:sz="8" w:space="0" w:color="auto"/>
              <w:left w:val="single" w:sz="8" w:space="0" w:color="auto"/>
              <w:bottom w:val="single" w:sz="8" w:space="0" w:color="auto"/>
              <w:right w:val="single" w:sz="8" w:space="0" w:color="auto"/>
            </w:tcBorders>
            <w:vAlign w:val="center"/>
            <w:hideMark/>
          </w:tcPr>
          <w:p w14:paraId="076B9EF6" w14:textId="78CF0344" w:rsidR="0077746C" w:rsidRPr="00B2067F" w:rsidRDefault="007E3944" w:rsidP="00820F86">
            <w:pPr>
              <w:pStyle w:val="Tabletext"/>
            </w:pPr>
            <w:r w:rsidRPr="00B2067F">
              <w:t>I</w:t>
            </w:r>
            <w:r w:rsidR="0077746C" w:rsidRPr="00B2067F">
              <w:t xml:space="preserve">nglés/francés </w:t>
            </w:r>
          </w:p>
        </w:tc>
        <w:tc>
          <w:tcPr>
            <w:tcW w:w="1245" w:type="dxa"/>
            <w:tcBorders>
              <w:top w:val="single" w:sz="8" w:space="0" w:color="auto"/>
              <w:left w:val="single" w:sz="8" w:space="0" w:color="auto"/>
              <w:bottom w:val="single" w:sz="8" w:space="0" w:color="auto"/>
              <w:right w:val="single" w:sz="8" w:space="0" w:color="auto"/>
            </w:tcBorders>
            <w:vAlign w:val="center"/>
          </w:tcPr>
          <w:p w14:paraId="46BE0920" w14:textId="77777777" w:rsidR="0077746C" w:rsidRPr="00B2067F" w:rsidRDefault="0077746C" w:rsidP="00820F86">
            <w:pPr>
              <w:pStyle w:val="Tabletext"/>
              <w:jc w:val="center"/>
            </w:pPr>
          </w:p>
        </w:tc>
        <w:tc>
          <w:tcPr>
            <w:tcW w:w="1170" w:type="dxa"/>
            <w:tcBorders>
              <w:top w:val="single" w:sz="8" w:space="0" w:color="auto"/>
              <w:left w:val="single" w:sz="8" w:space="0" w:color="auto"/>
              <w:bottom w:val="single" w:sz="8" w:space="0" w:color="auto"/>
              <w:right w:val="single" w:sz="8" w:space="0" w:color="auto"/>
            </w:tcBorders>
            <w:vAlign w:val="center"/>
            <w:hideMark/>
          </w:tcPr>
          <w:p w14:paraId="0370EE97" w14:textId="77777777" w:rsidR="0077746C" w:rsidRPr="00B2067F" w:rsidRDefault="0077746C" w:rsidP="00820F86">
            <w:pPr>
              <w:pStyle w:val="Tabletext"/>
              <w:jc w:val="center"/>
            </w:pPr>
            <w:r w:rsidRPr="00B2067F">
              <w:t>1T</w:t>
            </w:r>
          </w:p>
        </w:tc>
        <w:tc>
          <w:tcPr>
            <w:tcW w:w="1290" w:type="dxa"/>
            <w:tcBorders>
              <w:top w:val="single" w:sz="8" w:space="0" w:color="auto"/>
              <w:left w:val="single" w:sz="8" w:space="0" w:color="auto"/>
              <w:bottom w:val="single" w:sz="8" w:space="0" w:color="auto"/>
              <w:right w:val="single" w:sz="8" w:space="0" w:color="auto"/>
            </w:tcBorders>
            <w:vAlign w:val="center"/>
          </w:tcPr>
          <w:p w14:paraId="1E7DC1CB" w14:textId="77777777" w:rsidR="0077746C" w:rsidRPr="00B2067F" w:rsidRDefault="0077746C" w:rsidP="00820F86">
            <w:pPr>
              <w:pStyle w:val="Tabletext"/>
              <w:jc w:val="center"/>
            </w:pPr>
          </w:p>
        </w:tc>
        <w:tc>
          <w:tcPr>
            <w:tcW w:w="810" w:type="dxa"/>
            <w:tcBorders>
              <w:top w:val="single" w:sz="8" w:space="0" w:color="auto"/>
              <w:left w:val="single" w:sz="8" w:space="0" w:color="auto"/>
              <w:bottom w:val="single" w:sz="8" w:space="0" w:color="auto"/>
              <w:right w:val="single" w:sz="8" w:space="0" w:color="auto"/>
            </w:tcBorders>
            <w:vAlign w:val="center"/>
          </w:tcPr>
          <w:p w14:paraId="59803F4B" w14:textId="77777777" w:rsidR="0077746C" w:rsidRPr="00B2067F" w:rsidRDefault="0077746C" w:rsidP="00820F86">
            <w:pPr>
              <w:pStyle w:val="Tabletext"/>
              <w:jc w:val="center"/>
            </w:pPr>
          </w:p>
        </w:tc>
      </w:tr>
      <w:tr w:rsidR="0077746C" w:rsidRPr="00B2067F" w14:paraId="2ED36181" w14:textId="77777777" w:rsidTr="00820F86">
        <w:trPr>
          <w:trHeight w:val="300"/>
        </w:trPr>
        <w:tc>
          <w:tcPr>
            <w:tcW w:w="2805" w:type="dxa"/>
            <w:tcBorders>
              <w:top w:val="single" w:sz="8" w:space="0" w:color="auto"/>
              <w:left w:val="single" w:sz="8" w:space="0" w:color="auto"/>
              <w:bottom w:val="single" w:sz="8" w:space="0" w:color="auto"/>
              <w:right w:val="single" w:sz="8" w:space="0" w:color="auto"/>
            </w:tcBorders>
            <w:hideMark/>
          </w:tcPr>
          <w:p w14:paraId="7CC7E024" w14:textId="77777777" w:rsidR="0077746C" w:rsidRPr="00B2067F" w:rsidRDefault="0077746C" w:rsidP="003C734A">
            <w:pPr>
              <w:pStyle w:val="Tablehead"/>
              <w:jc w:val="right"/>
              <w:rPr>
                <w:b w:val="0"/>
              </w:rPr>
            </w:pPr>
            <w:r w:rsidRPr="00B2067F">
              <w:rPr>
                <w:b w:val="0"/>
              </w:rPr>
              <w:t xml:space="preserve">África de habla inglesa </w:t>
            </w:r>
          </w:p>
        </w:tc>
        <w:tc>
          <w:tcPr>
            <w:tcW w:w="2025" w:type="dxa"/>
            <w:tcBorders>
              <w:top w:val="single" w:sz="8" w:space="0" w:color="auto"/>
              <w:left w:val="single" w:sz="8" w:space="0" w:color="auto"/>
              <w:bottom w:val="single" w:sz="8" w:space="0" w:color="auto"/>
              <w:right w:val="single" w:sz="8" w:space="0" w:color="auto"/>
            </w:tcBorders>
            <w:vAlign w:val="center"/>
            <w:hideMark/>
          </w:tcPr>
          <w:p w14:paraId="1AEEC908" w14:textId="459CF7E3" w:rsidR="0077746C" w:rsidRPr="00B2067F" w:rsidRDefault="007E3944" w:rsidP="00820F86">
            <w:pPr>
              <w:pStyle w:val="Tabletext"/>
            </w:pPr>
            <w:r w:rsidRPr="00B2067F">
              <w:t>I</w:t>
            </w:r>
            <w:r w:rsidR="0077746C" w:rsidRPr="00B2067F">
              <w:t xml:space="preserve">nglés/francés </w:t>
            </w:r>
          </w:p>
        </w:tc>
        <w:tc>
          <w:tcPr>
            <w:tcW w:w="1245" w:type="dxa"/>
            <w:tcBorders>
              <w:top w:val="single" w:sz="8" w:space="0" w:color="auto"/>
              <w:left w:val="single" w:sz="8" w:space="0" w:color="auto"/>
              <w:bottom w:val="single" w:sz="8" w:space="0" w:color="auto"/>
              <w:right w:val="single" w:sz="8" w:space="0" w:color="auto"/>
            </w:tcBorders>
            <w:vAlign w:val="center"/>
          </w:tcPr>
          <w:p w14:paraId="55A2E670" w14:textId="77777777" w:rsidR="0077746C" w:rsidRPr="00B2067F" w:rsidRDefault="0077746C" w:rsidP="00820F86">
            <w:pPr>
              <w:pStyle w:val="Tabletext"/>
              <w:jc w:val="center"/>
            </w:pPr>
          </w:p>
        </w:tc>
        <w:tc>
          <w:tcPr>
            <w:tcW w:w="1170" w:type="dxa"/>
            <w:tcBorders>
              <w:top w:val="single" w:sz="8" w:space="0" w:color="auto"/>
              <w:left w:val="single" w:sz="8" w:space="0" w:color="auto"/>
              <w:bottom w:val="single" w:sz="8" w:space="0" w:color="auto"/>
              <w:right w:val="single" w:sz="8" w:space="0" w:color="auto"/>
            </w:tcBorders>
            <w:vAlign w:val="center"/>
          </w:tcPr>
          <w:p w14:paraId="656F28CF" w14:textId="77777777" w:rsidR="0077746C" w:rsidRPr="00B2067F" w:rsidRDefault="0077746C" w:rsidP="00820F86">
            <w:pPr>
              <w:pStyle w:val="Tabletext"/>
              <w:jc w:val="center"/>
            </w:pPr>
          </w:p>
        </w:tc>
        <w:tc>
          <w:tcPr>
            <w:tcW w:w="1290" w:type="dxa"/>
            <w:tcBorders>
              <w:top w:val="single" w:sz="8" w:space="0" w:color="auto"/>
              <w:left w:val="single" w:sz="8" w:space="0" w:color="auto"/>
              <w:bottom w:val="single" w:sz="8" w:space="0" w:color="auto"/>
              <w:right w:val="single" w:sz="8" w:space="0" w:color="auto"/>
            </w:tcBorders>
            <w:vAlign w:val="center"/>
          </w:tcPr>
          <w:p w14:paraId="747D6A08" w14:textId="77777777" w:rsidR="0077746C" w:rsidRPr="00B2067F" w:rsidRDefault="0077746C" w:rsidP="00820F86">
            <w:pPr>
              <w:pStyle w:val="Tabletext"/>
              <w:jc w:val="center"/>
            </w:pPr>
          </w:p>
        </w:tc>
        <w:tc>
          <w:tcPr>
            <w:tcW w:w="810" w:type="dxa"/>
            <w:tcBorders>
              <w:top w:val="single" w:sz="8" w:space="0" w:color="auto"/>
              <w:left w:val="single" w:sz="8" w:space="0" w:color="auto"/>
              <w:bottom w:val="single" w:sz="8" w:space="0" w:color="auto"/>
              <w:right w:val="single" w:sz="8" w:space="0" w:color="auto"/>
            </w:tcBorders>
            <w:vAlign w:val="center"/>
            <w:hideMark/>
          </w:tcPr>
          <w:p w14:paraId="0A59B723" w14:textId="77777777" w:rsidR="0077746C" w:rsidRPr="00B2067F" w:rsidRDefault="0077746C" w:rsidP="00820F86">
            <w:pPr>
              <w:pStyle w:val="Tabletext"/>
              <w:jc w:val="center"/>
            </w:pPr>
            <w:r w:rsidRPr="00B2067F">
              <w:t>1T</w:t>
            </w:r>
          </w:p>
        </w:tc>
      </w:tr>
      <w:tr w:rsidR="0077746C" w:rsidRPr="00B2067F" w14:paraId="2DDA0912" w14:textId="77777777" w:rsidTr="00820F86">
        <w:trPr>
          <w:trHeight w:val="300"/>
        </w:trPr>
        <w:tc>
          <w:tcPr>
            <w:tcW w:w="2805" w:type="dxa"/>
            <w:tcBorders>
              <w:top w:val="single" w:sz="8" w:space="0" w:color="auto"/>
              <w:left w:val="single" w:sz="8" w:space="0" w:color="auto"/>
              <w:bottom w:val="single" w:sz="8" w:space="0" w:color="auto"/>
              <w:right w:val="single" w:sz="8" w:space="0" w:color="auto"/>
            </w:tcBorders>
            <w:hideMark/>
          </w:tcPr>
          <w:p w14:paraId="7E5056A5" w14:textId="77777777" w:rsidR="0077746C" w:rsidRPr="00B2067F" w:rsidRDefault="0077746C" w:rsidP="007E3944">
            <w:pPr>
              <w:pStyle w:val="Tablehead"/>
            </w:pPr>
            <w:r w:rsidRPr="00B2067F">
              <w:t>América: (3)</w:t>
            </w:r>
          </w:p>
        </w:tc>
        <w:tc>
          <w:tcPr>
            <w:tcW w:w="2025" w:type="dxa"/>
            <w:tcBorders>
              <w:top w:val="single" w:sz="8" w:space="0" w:color="auto"/>
              <w:left w:val="single" w:sz="8" w:space="0" w:color="auto"/>
              <w:bottom w:val="single" w:sz="8" w:space="0" w:color="auto"/>
              <w:right w:val="single" w:sz="8" w:space="0" w:color="auto"/>
            </w:tcBorders>
            <w:vAlign w:val="center"/>
          </w:tcPr>
          <w:p w14:paraId="6B18EE67" w14:textId="77777777" w:rsidR="0077746C" w:rsidRPr="00B2067F" w:rsidRDefault="0077746C" w:rsidP="00820F86">
            <w:pPr>
              <w:pStyle w:val="Tabletext"/>
            </w:pPr>
          </w:p>
        </w:tc>
        <w:tc>
          <w:tcPr>
            <w:tcW w:w="1245" w:type="dxa"/>
            <w:tcBorders>
              <w:top w:val="single" w:sz="8" w:space="0" w:color="auto"/>
              <w:left w:val="single" w:sz="8" w:space="0" w:color="auto"/>
              <w:bottom w:val="single" w:sz="8" w:space="0" w:color="auto"/>
              <w:right w:val="single" w:sz="8" w:space="0" w:color="auto"/>
            </w:tcBorders>
            <w:vAlign w:val="center"/>
          </w:tcPr>
          <w:p w14:paraId="367EC600" w14:textId="77777777" w:rsidR="0077746C" w:rsidRPr="00B2067F" w:rsidRDefault="0077746C" w:rsidP="00820F86">
            <w:pPr>
              <w:pStyle w:val="Tabletext"/>
              <w:jc w:val="center"/>
            </w:pPr>
          </w:p>
        </w:tc>
        <w:tc>
          <w:tcPr>
            <w:tcW w:w="1170" w:type="dxa"/>
            <w:tcBorders>
              <w:top w:val="single" w:sz="8" w:space="0" w:color="auto"/>
              <w:left w:val="single" w:sz="8" w:space="0" w:color="auto"/>
              <w:bottom w:val="single" w:sz="8" w:space="0" w:color="auto"/>
              <w:right w:val="single" w:sz="8" w:space="0" w:color="auto"/>
            </w:tcBorders>
            <w:vAlign w:val="center"/>
          </w:tcPr>
          <w:p w14:paraId="387ECD16" w14:textId="77777777" w:rsidR="0077746C" w:rsidRPr="00B2067F" w:rsidRDefault="0077746C" w:rsidP="00820F86">
            <w:pPr>
              <w:pStyle w:val="Tabletext"/>
              <w:jc w:val="center"/>
            </w:pPr>
          </w:p>
        </w:tc>
        <w:tc>
          <w:tcPr>
            <w:tcW w:w="1290" w:type="dxa"/>
            <w:tcBorders>
              <w:top w:val="single" w:sz="8" w:space="0" w:color="auto"/>
              <w:left w:val="single" w:sz="8" w:space="0" w:color="auto"/>
              <w:bottom w:val="single" w:sz="8" w:space="0" w:color="auto"/>
              <w:right w:val="single" w:sz="8" w:space="0" w:color="auto"/>
            </w:tcBorders>
            <w:vAlign w:val="center"/>
          </w:tcPr>
          <w:p w14:paraId="738E8BB9" w14:textId="77777777" w:rsidR="0077746C" w:rsidRPr="00B2067F" w:rsidRDefault="0077746C" w:rsidP="00820F86">
            <w:pPr>
              <w:pStyle w:val="Tabletext"/>
              <w:jc w:val="center"/>
            </w:pPr>
          </w:p>
        </w:tc>
        <w:tc>
          <w:tcPr>
            <w:tcW w:w="810" w:type="dxa"/>
            <w:tcBorders>
              <w:top w:val="single" w:sz="8" w:space="0" w:color="auto"/>
              <w:left w:val="single" w:sz="8" w:space="0" w:color="auto"/>
              <w:bottom w:val="single" w:sz="8" w:space="0" w:color="auto"/>
              <w:right w:val="single" w:sz="8" w:space="0" w:color="auto"/>
            </w:tcBorders>
            <w:vAlign w:val="center"/>
          </w:tcPr>
          <w:p w14:paraId="3E932407" w14:textId="77777777" w:rsidR="0077746C" w:rsidRPr="00B2067F" w:rsidRDefault="0077746C" w:rsidP="00820F86">
            <w:pPr>
              <w:pStyle w:val="Tabletext"/>
              <w:jc w:val="center"/>
            </w:pPr>
          </w:p>
        </w:tc>
      </w:tr>
      <w:tr w:rsidR="0077746C" w:rsidRPr="00B2067F" w14:paraId="3C165A60" w14:textId="77777777" w:rsidTr="00820F86">
        <w:trPr>
          <w:trHeight w:val="300"/>
        </w:trPr>
        <w:tc>
          <w:tcPr>
            <w:tcW w:w="2805" w:type="dxa"/>
            <w:tcBorders>
              <w:top w:val="single" w:sz="8" w:space="0" w:color="auto"/>
              <w:left w:val="single" w:sz="8" w:space="0" w:color="auto"/>
              <w:bottom w:val="single" w:sz="8" w:space="0" w:color="auto"/>
              <w:right w:val="single" w:sz="8" w:space="0" w:color="auto"/>
            </w:tcBorders>
            <w:hideMark/>
          </w:tcPr>
          <w:p w14:paraId="209AB9EE" w14:textId="77777777" w:rsidR="0077746C" w:rsidRPr="00B2067F" w:rsidRDefault="0077746C" w:rsidP="003C734A">
            <w:pPr>
              <w:pStyle w:val="Tablehead"/>
              <w:jc w:val="right"/>
              <w:rPr>
                <w:b w:val="0"/>
              </w:rPr>
            </w:pPr>
            <w:r w:rsidRPr="00B2067F">
              <w:rPr>
                <w:b w:val="0"/>
              </w:rPr>
              <w:t>América del Sur</w:t>
            </w:r>
          </w:p>
        </w:tc>
        <w:tc>
          <w:tcPr>
            <w:tcW w:w="2025" w:type="dxa"/>
            <w:tcBorders>
              <w:top w:val="single" w:sz="8" w:space="0" w:color="auto"/>
              <w:left w:val="single" w:sz="8" w:space="0" w:color="auto"/>
              <w:bottom w:val="single" w:sz="8" w:space="0" w:color="auto"/>
              <w:right w:val="single" w:sz="8" w:space="0" w:color="auto"/>
            </w:tcBorders>
            <w:vAlign w:val="center"/>
            <w:hideMark/>
          </w:tcPr>
          <w:p w14:paraId="6ADB9063" w14:textId="5CE5C1F3" w:rsidR="0077746C" w:rsidRPr="00B2067F" w:rsidRDefault="007E3944" w:rsidP="00820F86">
            <w:pPr>
              <w:pStyle w:val="Tabletext"/>
            </w:pPr>
            <w:r w:rsidRPr="00B2067F">
              <w:t>E</w:t>
            </w:r>
            <w:r w:rsidR="0077746C" w:rsidRPr="00B2067F">
              <w:t>spañol</w:t>
            </w:r>
          </w:p>
        </w:tc>
        <w:tc>
          <w:tcPr>
            <w:tcW w:w="1245" w:type="dxa"/>
            <w:tcBorders>
              <w:top w:val="single" w:sz="8" w:space="0" w:color="auto"/>
              <w:left w:val="single" w:sz="8" w:space="0" w:color="auto"/>
              <w:bottom w:val="single" w:sz="8" w:space="0" w:color="auto"/>
              <w:right w:val="single" w:sz="8" w:space="0" w:color="auto"/>
            </w:tcBorders>
            <w:vAlign w:val="center"/>
          </w:tcPr>
          <w:p w14:paraId="043F1743" w14:textId="77777777" w:rsidR="0077746C" w:rsidRPr="00B2067F" w:rsidRDefault="0077746C" w:rsidP="00820F86">
            <w:pPr>
              <w:pStyle w:val="Tabletext"/>
              <w:jc w:val="center"/>
            </w:pPr>
          </w:p>
        </w:tc>
        <w:tc>
          <w:tcPr>
            <w:tcW w:w="1170" w:type="dxa"/>
            <w:tcBorders>
              <w:top w:val="single" w:sz="8" w:space="0" w:color="auto"/>
              <w:left w:val="single" w:sz="8" w:space="0" w:color="auto"/>
              <w:bottom w:val="single" w:sz="8" w:space="0" w:color="auto"/>
              <w:right w:val="single" w:sz="8" w:space="0" w:color="auto"/>
            </w:tcBorders>
            <w:vAlign w:val="center"/>
          </w:tcPr>
          <w:p w14:paraId="036C0B08" w14:textId="77777777" w:rsidR="0077746C" w:rsidRPr="00B2067F" w:rsidRDefault="0077746C" w:rsidP="00820F86">
            <w:pPr>
              <w:pStyle w:val="Tabletext"/>
              <w:jc w:val="center"/>
            </w:pPr>
          </w:p>
        </w:tc>
        <w:tc>
          <w:tcPr>
            <w:tcW w:w="1290" w:type="dxa"/>
            <w:tcBorders>
              <w:top w:val="single" w:sz="8" w:space="0" w:color="auto"/>
              <w:left w:val="single" w:sz="8" w:space="0" w:color="auto"/>
              <w:bottom w:val="single" w:sz="8" w:space="0" w:color="auto"/>
              <w:right w:val="single" w:sz="8" w:space="0" w:color="auto"/>
            </w:tcBorders>
            <w:vAlign w:val="center"/>
            <w:hideMark/>
          </w:tcPr>
          <w:p w14:paraId="62EFF364" w14:textId="77777777" w:rsidR="0077746C" w:rsidRPr="00B2067F" w:rsidRDefault="0077746C" w:rsidP="00820F86">
            <w:pPr>
              <w:pStyle w:val="Tabletext"/>
              <w:jc w:val="center"/>
            </w:pPr>
            <w:r w:rsidRPr="00B2067F">
              <w:t>2T</w:t>
            </w:r>
          </w:p>
        </w:tc>
        <w:tc>
          <w:tcPr>
            <w:tcW w:w="810" w:type="dxa"/>
            <w:tcBorders>
              <w:top w:val="single" w:sz="8" w:space="0" w:color="auto"/>
              <w:left w:val="single" w:sz="8" w:space="0" w:color="auto"/>
              <w:bottom w:val="single" w:sz="8" w:space="0" w:color="auto"/>
              <w:right w:val="single" w:sz="8" w:space="0" w:color="auto"/>
            </w:tcBorders>
            <w:vAlign w:val="center"/>
          </w:tcPr>
          <w:p w14:paraId="2A593A17" w14:textId="77777777" w:rsidR="0077746C" w:rsidRPr="00B2067F" w:rsidRDefault="0077746C" w:rsidP="00820F86">
            <w:pPr>
              <w:pStyle w:val="Tabletext"/>
              <w:jc w:val="center"/>
            </w:pPr>
          </w:p>
        </w:tc>
      </w:tr>
      <w:tr w:rsidR="0077746C" w:rsidRPr="00B2067F" w14:paraId="55BAC24C" w14:textId="77777777" w:rsidTr="00820F86">
        <w:trPr>
          <w:trHeight w:val="300"/>
        </w:trPr>
        <w:tc>
          <w:tcPr>
            <w:tcW w:w="2805" w:type="dxa"/>
            <w:tcBorders>
              <w:top w:val="single" w:sz="8" w:space="0" w:color="auto"/>
              <w:left w:val="single" w:sz="8" w:space="0" w:color="auto"/>
              <w:bottom w:val="single" w:sz="8" w:space="0" w:color="auto"/>
              <w:right w:val="single" w:sz="8" w:space="0" w:color="auto"/>
            </w:tcBorders>
            <w:hideMark/>
          </w:tcPr>
          <w:p w14:paraId="4095DC6F" w14:textId="77777777" w:rsidR="0077746C" w:rsidRPr="00B2067F" w:rsidRDefault="0077746C" w:rsidP="003C734A">
            <w:pPr>
              <w:pStyle w:val="Tablehead"/>
              <w:jc w:val="right"/>
              <w:rPr>
                <w:b w:val="0"/>
              </w:rPr>
            </w:pPr>
            <w:r w:rsidRPr="00B2067F">
              <w:rPr>
                <w:b w:val="0"/>
              </w:rPr>
              <w:t>Mesoamérica</w:t>
            </w:r>
          </w:p>
        </w:tc>
        <w:tc>
          <w:tcPr>
            <w:tcW w:w="2025" w:type="dxa"/>
            <w:tcBorders>
              <w:top w:val="single" w:sz="8" w:space="0" w:color="auto"/>
              <w:left w:val="single" w:sz="8" w:space="0" w:color="auto"/>
              <w:bottom w:val="single" w:sz="8" w:space="0" w:color="auto"/>
              <w:right w:val="single" w:sz="8" w:space="0" w:color="auto"/>
            </w:tcBorders>
            <w:vAlign w:val="center"/>
            <w:hideMark/>
          </w:tcPr>
          <w:p w14:paraId="503653B5" w14:textId="6E36AB1B" w:rsidR="0077746C" w:rsidRPr="00B2067F" w:rsidRDefault="007E3944" w:rsidP="00820F86">
            <w:pPr>
              <w:pStyle w:val="Tabletext"/>
            </w:pPr>
            <w:r w:rsidRPr="00B2067F">
              <w:t>E</w:t>
            </w:r>
            <w:r w:rsidR="0077746C" w:rsidRPr="00B2067F">
              <w:t>spañol</w:t>
            </w:r>
          </w:p>
        </w:tc>
        <w:tc>
          <w:tcPr>
            <w:tcW w:w="1245" w:type="dxa"/>
            <w:tcBorders>
              <w:top w:val="single" w:sz="8" w:space="0" w:color="auto"/>
              <w:left w:val="single" w:sz="8" w:space="0" w:color="auto"/>
              <w:bottom w:val="single" w:sz="8" w:space="0" w:color="auto"/>
              <w:right w:val="single" w:sz="8" w:space="0" w:color="auto"/>
            </w:tcBorders>
            <w:vAlign w:val="center"/>
          </w:tcPr>
          <w:p w14:paraId="4F36283C" w14:textId="77777777" w:rsidR="0077746C" w:rsidRPr="00B2067F" w:rsidRDefault="0077746C" w:rsidP="00820F86">
            <w:pPr>
              <w:pStyle w:val="Tabletext"/>
              <w:jc w:val="center"/>
            </w:pPr>
          </w:p>
        </w:tc>
        <w:tc>
          <w:tcPr>
            <w:tcW w:w="1170" w:type="dxa"/>
            <w:tcBorders>
              <w:top w:val="single" w:sz="8" w:space="0" w:color="auto"/>
              <w:left w:val="single" w:sz="8" w:space="0" w:color="auto"/>
              <w:bottom w:val="single" w:sz="8" w:space="0" w:color="auto"/>
              <w:right w:val="single" w:sz="8" w:space="0" w:color="auto"/>
            </w:tcBorders>
            <w:vAlign w:val="center"/>
            <w:hideMark/>
          </w:tcPr>
          <w:p w14:paraId="6BB26BB2" w14:textId="77777777" w:rsidR="0077746C" w:rsidRPr="00B2067F" w:rsidRDefault="0077746C" w:rsidP="00820F86">
            <w:pPr>
              <w:pStyle w:val="Tabletext"/>
              <w:jc w:val="center"/>
            </w:pPr>
            <w:r w:rsidRPr="00B2067F">
              <w:t>2T</w:t>
            </w:r>
          </w:p>
        </w:tc>
        <w:tc>
          <w:tcPr>
            <w:tcW w:w="1290" w:type="dxa"/>
            <w:tcBorders>
              <w:top w:val="single" w:sz="8" w:space="0" w:color="auto"/>
              <w:left w:val="single" w:sz="8" w:space="0" w:color="auto"/>
              <w:bottom w:val="single" w:sz="8" w:space="0" w:color="auto"/>
              <w:right w:val="single" w:sz="8" w:space="0" w:color="auto"/>
            </w:tcBorders>
            <w:vAlign w:val="center"/>
          </w:tcPr>
          <w:p w14:paraId="36DA8D11" w14:textId="77777777" w:rsidR="0077746C" w:rsidRPr="00B2067F" w:rsidRDefault="0077746C" w:rsidP="00820F86">
            <w:pPr>
              <w:pStyle w:val="Tabletext"/>
              <w:jc w:val="center"/>
            </w:pPr>
          </w:p>
        </w:tc>
        <w:tc>
          <w:tcPr>
            <w:tcW w:w="810" w:type="dxa"/>
            <w:tcBorders>
              <w:top w:val="single" w:sz="8" w:space="0" w:color="auto"/>
              <w:left w:val="single" w:sz="8" w:space="0" w:color="auto"/>
              <w:bottom w:val="single" w:sz="8" w:space="0" w:color="auto"/>
              <w:right w:val="single" w:sz="8" w:space="0" w:color="auto"/>
            </w:tcBorders>
            <w:vAlign w:val="center"/>
          </w:tcPr>
          <w:p w14:paraId="79629353" w14:textId="77777777" w:rsidR="0077746C" w:rsidRPr="00B2067F" w:rsidRDefault="0077746C" w:rsidP="00820F86">
            <w:pPr>
              <w:pStyle w:val="Tabletext"/>
              <w:jc w:val="center"/>
            </w:pPr>
          </w:p>
        </w:tc>
      </w:tr>
      <w:tr w:rsidR="0077746C" w:rsidRPr="00B2067F" w14:paraId="5C02069E" w14:textId="77777777" w:rsidTr="00820F86">
        <w:trPr>
          <w:trHeight w:val="300"/>
        </w:trPr>
        <w:tc>
          <w:tcPr>
            <w:tcW w:w="2805" w:type="dxa"/>
            <w:tcBorders>
              <w:top w:val="single" w:sz="8" w:space="0" w:color="auto"/>
              <w:left w:val="single" w:sz="8" w:space="0" w:color="auto"/>
              <w:bottom w:val="single" w:sz="8" w:space="0" w:color="auto"/>
              <w:right w:val="single" w:sz="8" w:space="0" w:color="auto"/>
            </w:tcBorders>
            <w:hideMark/>
          </w:tcPr>
          <w:p w14:paraId="78BCD438" w14:textId="77777777" w:rsidR="0077746C" w:rsidRPr="00B2067F" w:rsidRDefault="0077746C" w:rsidP="003C734A">
            <w:pPr>
              <w:pStyle w:val="Tablehead"/>
              <w:jc w:val="right"/>
              <w:rPr>
                <w:b w:val="0"/>
              </w:rPr>
            </w:pPr>
            <w:r w:rsidRPr="00B2067F">
              <w:rPr>
                <w:b w:val="0"/>
              </w:rPr>
              <w:t>Caribe</w:t>
            </w:r>
          </w:p>
        </w:tc>
        <w:tc>
          <w:tcPr>
            <w:tcW w:w="2025" w:type="dxa"/>
            <w:tcBorders>
              <w:top w:val="single" w:sz="8" w:space="0" w:color="auto"/>
              <w:left w:val="single" w:sz="8" w:space="0" w:color="auto"/>
              <w:bottom w:val="single" w:sz="8" w:space="0" w:color="auto"/>
              <w:right w:val="single" w:sz="8" w:space="0" w:color="auto"/>
            </w:tcBorders>
            <w:vAlign w:val="center"/>
            <w:hideMark/>
          </w:tcPr>
          <w:p w14:paraId="7F2656C9" w14:textId="0F3B9DDD" w:rsidR="0077746C" w:rsidRPr="00B2067F" w:rsidRDefault="007E3944" w:rsidP="00820F86">
            <w:pPr>
              <w:pStyle w:val="Tabletext"/>
            </w:pPr>
            <w:r w:rsidRPr="00B2067F">
              <w:t>I</w:t>
            </w:r>
            <w:r w:rsidR="0077746C" w:rsidRPr="00B2067F">
              <w:t>nglés</w:t>
            </w:r>
          </w:p>
        </w:tc>
        <w:tc>
          <w:tcPr>
            <w:tcW w:w="1245" w:type="dxa"/>
            <w:tcBorders>
              <w:top w:val="single" w:sz="8" w:space="0" w:color="auto"/>
              <w:left w:val="single" w:sz="8" w:space="0" w:color="auto"/>
              <w:bottom w:val="single" w:sz="8" w:space="0" w:color="auto"/>
              <w:right w:val="single" w:sz="8" w:space="0" w:color="auto"/>
            </w:tcBorders>
            <w:vAlign w:val="center"/>
            <w:hideMark/>
          </w:tcPr>
          <w:p w14:paraId="7CDC5354" w14:textId="77777777" w:rsidR="0077746C" w:rsidRPr="00B2067F" w:rsidRDefault="0077746C" w:rsidP="00820F86">
            <w:pPr>
              <w:pStyle w:val="Tabletext"/>
              <w:jc w:val="center"/>
            </w:pPr>
            <w:r w:rsidRPr="00B2067F">
              <w:t>Julio</w:t>
            </w:r>
          </w:p>
        </w:tc>
        <w:tc>
          <w:tcPr>
            <w:tcW w:w="1170" w:type="dxa"/>
            <w:tcBorders>
              <w:top w:val="single" w:sz="8" w:space="0" w:color="auto"/>
              <w:left w:val="single" w:sz="8" w:space="0" w:color="auto"/>
              <w:bottom w:val="single" w:sz="8" w:space="0" w:color="auto"/>
              <w:right w:val="single" w:sz="8" w:space="0" w:color="auto"/>
            </w:tcBorders>
            <w:vAlign w:val="center"/>
          </w:tcPr>
          <w:p w14:paraId="2B75B687" w14:textId="77777777" w:rsidR="0077746C" w:rsidRPr="00B2067F" w:rsidRDefault="0077746C" w:rsidP="00820F86">
            <w:pPr>
              <w:pStyle w:val="Tabletext"/>
              <w:jc w:val="center"/>
            </w:pPr>
          </w:p>
        </w:tc>
        <w:tc>
          <w:tcPr>
            <w:tcW w:w="1290" w:type="dxa"/>
            <w:tcBorders>
              <w:top w:val="single" w:sz="8" w:space="0" w:color="auto"/>
              <w:left w:val="single" w:sz="8" w:space="0" w:color="auto"/>
              <w:bottom w:val="single" w:sz="8" w:space="0" w:color="auto"/>
              <w:right w:val="single" w:sz="8" w:space="0" w:color="auto"/>
            </w:tcBorders>
            <w:vAlign w:val="center"/>
          </w:tcPr>
          <w:p w14:paraId="5DE81A01" w14:textId="77777777" w:rsidR="0077746C" w:rsidRPr="00B2067F" w:rsidRDefault="0077746C" w:rsidP="00820F86">
            <w:pPr>
              <w:pStyle w:val="Tabletext"/>
              <w:jc w:val="center"/>
            </w:pPr>
          </w:p>
        </w:tc>
        <w:tc>
          <w:tcPr>
            <w:tcW w:w="810" w:type="dxa"/>
            <w:tcBorders>
              <w:top w:val="single" w:sz="8" w:space="0" w:color="auto"/>
              <w:left w:val="single" w:sz="8" w:space="0" w:color="auto"/>
              <w:bottom w:val="single" w:sz="8" w:space="0" w:color="auto"/>
              <w:right w:val="single" w:sz="8" w:space="0" w:color="auto"/>
            </w:tcBorders>
            <w:vAlign w:val="center"/>
          </w:tcPr>
          <w:p w14:paraId="2C3A84B6" w14:textId="77777777" w:rsidR="0077746C" w:rsidRPr="00B2067F" w:rsidRDefault="0077746C" w:rsidP="00820F86">
            <w:pPr>
              <w:pStyle w:val="Tabletext"/>
              <w:jc w:val="center"/>
            </w:pPr>
          </w:p>
        </w:tc>
      </w:tr>
      <w:tr w:rsidR="0077746C" w:rsidRPr="00B2067F" w14:paraId="10DE2F32" w14:textId="77777777" w:rsidTr="00820F86">
        <w:trPr>
          <w:trHeight w:val="300"/>
        </w:trPr>
        <w:tc>
          <w:tcPr>
            <w:tcW w:w="2805" w:type="dxa"/>
            <w:tcBorders>
              <w:top w:val="single" w:sz="8" w:space="0" w:color="auto"/>
              <w:left w:val="single" w:sz="8" w:space="0" w:color="auto"/>
              <w:bottom w:val="single" w:sz="8" w:space="0" w:color="auto"/>
              <w:right w:val="single" w:sz="8" w:space="0" w:color="auto"/>
            </w:tcBorders>
            <w:hideMark/>
          </w:tcPr>
          <w:p w14:paraId="54C4C6B2" w14:textId="77777777" w:rsidR="0077746C" w:rsidRPr="00B2067F" w:rsidRDefault="0077746C" w:rsidP="007E3944">
            <w:pPr>
              <w:pStyle w:val="Tablehead"/>
            </w:pPr>
            <w:r w:rsidRPr="00B2067F">
              <w:t>Asia-Pacífico: (3)</w:t>
            </w:r>
          </w:p>
        </w:tc>
        <w:tc>
          <w:tcPr>
            <w:tcW w:w="2025" w:type="dxa"/>
            <w:tcBorders>
              <w:top w:val="single" w:sz="8" w:space="0" w:color="auto"/>
              <w:left w:val="single" w:sz="8" w:space="0" w:color="auto"/>
              <w:bottom w:val="single" w:sz="8" w:space="0" w:color="auto"/>
              <w:right w:val="single" w:sz="8" w:space="0" w:color="auto"/>
            </w:tcBorders>
            <w:vAlign w:val="center"/>
          </w:tcPr>
          <w:p w14:paraId="1C0778B4" w14:textId="77777777" w:rsidR="0077746C" w:rsidRPr="00B2067F" w:rsidRDefault="0077746C" w:rsidP="00820F86">
            <w:pPr>
              <w:pStyle w:val="Tabletext"/>
            </w:pPr>
          </w:p>
        </w:tc>
        <w:tc>
          <w:tcPr>
            <w:tcW w:w="1245" w:type="dxa"/>
            <w:tcBorders>
              <w:top w:val="single" w:sz="8" w:space="0" w:color="auto"/>
              <w:left w:val="single" w:sz="8" w:space="0" w:color="auto"/>
              <w:bottom w:val="single" w:sz="8" w:space="0" w:color="auto"/>
              <w:right w:val="single" w:sz="8" w:space="0" w:color="auto"/>
            </w:tcBorders>
            <w:vAlign w:val="center"/>
          </w:tcPr>
          <w:p w14:paraId="65AE434A" w14:textId="77777777" w:rsidR="0077746C" w:rsidRPr="00B2067F" w:rsidRDefault="0077746C" w:rsidP="00820F86">
            <w:pPr>
              <w:pStyle w:val="Tabletext"/>
              <w:jc w:val="center"/>
            </w:pPr>
          </w:p>
        </w:tc>
        <w:tc>
          <w:tcPr>
            <w:tcW w:w="1170" w:type="dxa"/>
            <w:tcBorders>
              <w:top w:val="single" w:sz="8" w:space="0" w:color="auto"/>
              <w:left w:val="single" w:sz="8" w:space="0" w:color="auto"/>
              <w:bottom w:val="single" w:sz="8" w:space="0" w:color="auto"/>
              <w:right w:val="single" w:sz="8" w:space="0" w:color="auto"/>
            </w:tcBorders>
            <w:vAlign w:val="center"/>
          </w:tcPr>
          <w:p w14:paraId="69586D09" w14:textId="77777777" w:rsidR="0077746C" w:rsidRPr="00B2067F" w:rsidRDefault="0077746C" w:rsidP="00820F86">
            <w:pPr>
              <w:pStyle w:val="Tabletext"/>
              <w:jc w:val="center"/>
            </w:pPr>
          </w:p>
        </w:tc>
        <w:tc>
          <w:tcPr>
            <w:tcW w:w="1290" w:type="dxa"/>
            <w:tcBorders>
              <w:top w:val="single" w:sz="8" w:space="0" w:color="auto"/>
              <w:left w:val="single" w:sz="8" w:space="0" w:color="auto"/>
              <w:bottom w:val="single" w:sz="8" w:space="0" w:color="auto"/>
              <w:right w:val="single" w:sz="8" w:space="0" w:color="auto"/>
            </w:tcBorders>
            <w:vAlign w:val="center"/>
          </w:tcPr>
          <w:p w14:paraId="005BD57B" w14:textId="77777777" w:rsidR="0077746C" w:rsidRPr="00B2067F" w:rsidRDefault="0077746C" w:rsidP="00820F86">
            <w:pPr>
              <w:pStyle w:val="Tabletext"/>
              <w:jc w:val="center"/>
            </w:pPr>
          </w:p>
        </w:tc>
        <w:tc>
          <w:tcPr>
            <w:tcW w:w="810" w:type="dxa"/>
            <w:tcBorders>
              <w:top w:val="single" w:sz="8" w:space="0" w:color="auto"/>
              <w:left w:val="single" w:sz="8" w:space="0" w:color="auto"/>
              <w:bottom w:val="single" w:sz="8" w:space="0" w:color="auto"/>
              <w:right w:val="single" w:sz="8" w:space="0" w:color="auto"/>
            </w:tcBorders>
            <w:vAlign w:val="center"/>
          </w:tcPr>
          <w:p w14:paraId="5E196FAD" w14:textId="77777777" w:rsidR="0077746C" w:rsidRPr="00B2067F" w:rsidRDefault="0077746C" w:rsidP="00820F86">
            <w:pPr>
              <w:pStyle w:val="Tabletext"/>
              <w:jc w:val="center"/>
            </w:pPr>
          </w:p>
        </w:tc>
      </w:tr>
      <w:tr w:rsidR="0077746C" w:rsidRPr="00B2067F" w14:paraId="47AB0BBA" w14:textId="77777777" w:rsidTr="00820F86">
        <w:trPr>
          <w:trHeight w:val="300"/>
        </w:trPr>
        <w:tc>
          <w:tcPr>
            <w:tcW w:w="2805" w:type="dxa"/>
            <w:tcBorders>
              <w:top w:val="single" w:sz="8" w:space="0" w:color="auto"/>
              <w:left w:val="single" w:sz="8" w:space="0" w:color="auto"/>
              <w:bottom w:val="single" w:sz="8" w:space="0" w:color="auto"/>
              <w:right w:val="single" w:sz="8" w:space="0" w:color="auto"/>
            </w:tcBorders>
            <w:hideMark/>
          </w:tcPr>
          <w:p w14:paraId="36C54FE1" w14:textId="77777777" w:rsidR="0077746C" w:rsidRPr="00B2067F" w:rsidRDefault="0077746C" w:rsidP="003C734A">
            <w:pPr>
              <w:pStyle w:val="Tablehead"/>
              <w:jc w:val="right"/>
              <w:rPr>
                <w:b w:val="0"/>
              </w:rPr>
            </w:pPr>
            <w:r w:rsidRPr="00B2067F">
              <w:rPr>
                <w:b w:val="0"/>
              </w:rPr>
              <w:t>Estados insulares del Pacífico</w:t>
            </w:r>
          </w:p>
        </w:tc>
        <w:tc>
          <w:tcPr>
            <w:tcW w:w="2025" w:type="dxa"/>
            <w:tcBorders>
              <w:top w:val="single" w:sz="8" w:space="0" w:color="auto"/>
              <w:left w:val="single" w:sz="8" w:space="0" w:color="auto"/>
              <w:bottom w:val="single" w:sz="8" w:space="0" w:color="auto"/>
              <w:right w:val="single" w:sz="8" w:space="0" w:color="auto"/>
            </w:tcBorders>
            <w:vAlign w:val="center"/>
            <w:hideMark/>
          </w:tcPr>
          <w:p w14:paraId="4A9645DA" w14:textId="3D3546C1" w:rsidR="0077746C" w:rsidRPr="00B2067F" w:rsidRDefault="007E3944" w:rsidP="00820F86">
            <w:pPr>
              <w:pStyle w:val="Tabletext"/>
            </w:pPr>
            <w:r w:rsidRPr="00B2067F">
              <w:t>I</w:t>
            </w:r>
            <w:r w:rsidR="0077746C" w:rsidRPr="00B2067F">
              <w:t>nglés</w:t>
            </w:r>
          </w:p>
        </w:tc>
        <w:tc>
          <w:tcPr>
            <w:tcW w:w="1245" w:type="dxa"/>
            <w:tcBorders>
              <w:top w:val="single" w:sz="8" w:space="0" w:color="auto"/>
              <w:left w:val="single" w:sz="8" w:space="0" w:color="auto"/>
              <w:bottom w:val="single" w:sz="8" w:space="0" w:color="auto"/>
              <w:right w:val="single" w:sz="8" w:space="0" w:color="auto"/>
            </w:tcBorders>
            <w:vAlign w:val="center"/>
          </w:tcPr>
          <w:p w14:paraId="0202913E" w14:textId="77777777" w:rsidR="0077746C" w:rsidRPr="00B2067F" w:rsidRDefault="0077746C" w:rsidP="00820F86">
            <w:pPr>
              <w:pStyle w:val="Tabletext"/>
              <w:jc w:val="center"/>
            </w:pPr>
          </w:p>
        </w:tc>
        <w:tc>
          <w:tcPr>
            <w:tcW w:w="1170" w:type="dxa"/>
            <w:tcBorders>
              <w:top w:val="single" w:sz="8" w:space="0" w:color="auto"/>
              <w:left w:val="single" w:sz="8" w:space="0" w:color="auto"/>
              <w:bottom w:val="single" w:sz="8" w:space="0" w:color="auto"/>
              <w:right w:val="single" w:sz="8" w:space="0" w:color="auto"/>
            </w:tcBorders>
            <w:vAlign w:val="center"/>
            <w:hideMark/>
          </w:tcPr>
          <w:p w14:paraId="378AB138" w14:textId="77777777" w:rsidR="0077746C" w:rsidRPr="00B2067F" w:rsidRDefault="0077746C" w:rsidP="00820F86">
            <w:pPr>
              <w:pStyle w:val="Tabletext"/>
              <w:jc w:val="center"/>
            </w:pPr>
            <w:r w:rsidRPr="00B2067F">
              <w:t>3T</w:t>
            </w:r>
          </w:p>
        </w:tc>
        <w:tc>
          <w:tcPr>
            <w:tcW w:w="1290" w:type="dxa"/>
            <w:tcBorders>
              <w:top w:val="single" w:sz="8" w:space="0" w:color="auto"/>
              <w:left w:val="single" w:sz="8" w:space="0" w:color="auto"/>
              <w:bottom w:val="single" w:sz="8" w:space="0" w:color="auto"/>
              <w:right w:val="single" w:sz="8" w:space="0" w:color="auto"/>
            </w:tcBorders>
            <w:vAlign w:val="center"/>
          </w:tcPr>
          <w:p w14:paraId="5EBD85F0" w14:textId="77777777" w:rsidR="0077746C" w:rsidRPr="00B2067F" w:rsidRDefault="0077746C" w:rsidP="00820F86">
            <w:pPr>
              <w:pStyle w:val="Tabletext"/>
              <w:jc w:val="center"/>
            </w:pPr>
          </w:p>
        </w:tc>
        <w:tc>
          <w:tcPr>
            <w:tcW w:w="810" w:type="dxa"/>
            <w:tcBorders>
              <w:top w:val="single" w:sz="8" w:space="0" w:color="auto"/>
              <w:left w:val="single" w:sz="8" w:space="0" w:color="auto"/>
              <w:bottom w:val="single" w:sz="8" w:space="0" w:color="auto"/>
              <w:right w:val="single" w:sz="8" w:space="0" w:color="auto"/>
            </w:tcBorders>
            <w:vAlign w:val="center"/>
          </w:tcPr>
          <w:p w14:paraId="27C83BCE" w14:textId="77777777" w:rsidR="0077746C" w:rsidRPr="00B2067F" w:rsidRDefault="0077746C" w:rsidP="00820F86">
            <w:pPr>
              <w:pStyle w:val="Tabletext"/>
              <w:jc w:val="center"/>
            </w:pPr>
          </w:p>
        </w:tc>
      </w:tr>
      <w:tr w:rsidR="0077746C" w:rsidRPr="00B2067F" w14:paraId="166EB110" w14:textId="77777777" w:rsidTr="00820F86">
        <w:trPr>
          <w:trHeight w:val="300"/>
        </w:trPr>
        <w:tc>
          <w:tcPr>
            <w:tcW w:w="2805" w:type="dxa"/>
            <w:tcBorders>
              <w:top w:val="single" w:sz="8" w:space="0" w:color="auto"/>
              <w:left w:val="single" w:sz="8" w:space="0" w:color="auto"/>
              <w:bottom w:val="single" w:sz="8" w:space="0" w:color="auto"/>
              <w:right w:val="single" w:sz="8" w:space="0" w:color="auto"/>
            </w:tcBorders>
            <w:hideMark/>
          </w:tcPr>
          <w:p w14:paraId="07EDB9C3" w14:textId="77777777" w:rsidR="0077746C" w:rsidRPr="00B2067F" w:rsidRDefault="0077746C" w:rsidP="003C734A">
            <w:pPr>
              <w:pStyle w:val="Tablehead"/>
              <w:jc w:val="right"/>
              <w:rPr>
                <w:b w:val="0"/>
              </w:rPr>
            </w:pPr>
            <w:r w:rsidRPr="00B2067F">
              <w:rPr>
                <w:b w:val="0"/>
              </w:rPr>
              <w:t>Asia central</w:t>
            </w:r>
          </w:p>
        </w:tc>
        <w:tc>
          <w:tcPr>
            <w:tcW w:w="2025" w:type="dxa"/>
            <w:tcBorders>
              <w:top w:val="single" w:sz="8" w:space="0" w:color="auto"/>
              <w:left w:val="single" w:sz="8" w:space="0" w:color="auto"/>
              <w:bottom w:val="single" w:sz="8" w:space="0" w:color="auto"/>
              <w:right w:val="single" w:sz="8" w:space="0" w:color="auto"/>
            </w:tcBorders>
            <w:vAlign w:val="center"/>
            <w:hideMark/>
          </w:tcPr>
          <w:p w14:paraId="45FC237D" w14:textId="02C3B18E" w:rsidR="0077746C" w:rsidRPr="00B2067F" w:rsidRDefault="007E3944" w:rsidP="00820F86">
            <w:pPr>
              <w:pStyle w:val="Tabletext"/>
            </w:pPr>
            <w:r w:rsidRPr="00B2067F">
              <w:t>I</w:t>
            </w:r>
            <w:r w:rsidR="0077746C" w:rsidRPr="00B2067F">
              <w:t>nglés</w:t>
            </w:r>
          </w:p>
        </w:tc>
        <w:tc>
          <w:tcPr>
            <w:tcW w:w="1245" w:type="dxa"/>
            <w:tcBorders>
              <w:top w:val="single" w:sz="8" w:space="0" w:color="auto"/>
              <w:left w:val="single" w:sz="8" w:space="0" w:color="auto"/>
              <w:bottom w:val="single" w:sz="8" w:space="0" w:color="auto"/>
              <w:right w:val="single" w:sz="8" w:space="0" w:color="auto"/>
            </w:tcBorders>
            <w:vAlign w:val="center"/>
          </w:tcPr>
          <w:p w14:paraId="74EA4E58" w14:textId="77777777" w:rsidR="0077746C" w:rsidRPr="00B2067F" w:rsidRDefault="0077746C" w:rsidP="00820F86">
            <w:pPr>
              <w:pStyle w:val="Tabletext"/>
              <w:jc w:val="center"/>
            </w:pPr>
          </w:p>
        </w:tc>
        <w:tc>
          <w:tcPr>
            <w:tcW w:w="1170" w:type="dxa"/>
            <w:tcBorders>
              <w:top w:val="single" w:sz="8" w:space="0" w:color="auto"/>
              <w:left w:val="single" w:sz="8" w:space="0" w:color="auto"/>
              <w:bottom w:val="single" w:sz="8" w:space="0" w:color="auto"/>
              <w:right w:val="single" w:sz="8" w:space="0" w:color="auto"/>
            </w:tcBorders>
            <w:vAlign w:val="center"/>
          </w:tcPr>
          <w:p w14:paraId="5BCC814D" w14:textId="77777777" w:rsidR="0077746C" w:rsidRPr="00B2067F" w:rsidRDefault="0077746C" w:rsidP="00820F86">
            <w:pPr>
              <w:pStyle w:val="Tabletext"/>
              <w:jc w:val="center"/>
            </w:pPr>
          </w:p>
        </w:tc>
        <w:tc>
          <w:tcPr>
            <w:tcW w:w="1290" w:type="dxa"/>
            <w:tcBorders>
              <w:top w:val="single" w:sz="8" w:space="0" w:color="auto"/>
              <w:left w:val="single" w:sz="8" w:space="0" w:color="auto"/>
              <w:bottom w:val="single" w:sz="8" w:space="0" w:color="auto"/>
              <w:right w:val="single" w:sz="8" w:space="0" w:color="auto"/>
            </w:tcBorders>
            <w:vAlign w:val="center"/>
            <w:hideMark/>
          </w:tcPr>
          <w:p w14:paraId="4F894036" w14:textId="77777777" w:rsidR="0077746C" w:rsidRPr="00B2067F" w:rsidRDefault="0077746C" w:rsidP="00820F86">
            <w:pPr>
              <w:pStyle w:val="Tabletext"/>
              <w:jc w:val="center"/>
            </w:pPr>
            <w:r w:rsidRPr="00B2067F">
              <w:t>3T</w:t>
            </w:r>
          </w:p>
        </w:tc>
        <w:tc>
          <w:tcPr>
            <w:tcW w:w="810" w:type="dxa"/>
            <w:tcBorders>
              <w:top w:val="single" w:sz="8" w:space="0" w:color="auto"/>
              <w:left w:val="single" w:sz="8" w:space="0" w:color="auto"/>
              <w:bottom w:val="single" w:sz="8" w:space="0" w:color="auto"/>
              <w:right w:val="single" w:sz="8" w:space="0" w:color="auto"/>
            </w:tcBorders>
            <w:vAlign w:val="center"/>
          </w:tcPr>
          <w:p w14:paraId="5F713E44" w14:textId="77777777" w:rsidR="0077746C" w:rsidRPr="00B2067F" w:rsidRDefault="0077746C" w:rsidP="00820F86">
            <w:pPr>
              <w:pStyle w:val="Tabletext"/>
              <w:jc w:val="center"/>
            </w:pPr>
          </w:p>
        </w:tc>
      </w:tr>
      <w:tr w:rsidR="0077746C" w:rsidRPr="00B2067F" w14:paraId="18B01670" w14:textId="77777777" w:rsidTr="00820F86">
        <w:trPr>
          <w:trHeight w:val="300"/>
        </w:trPr>
        <w:tc>
          <w:tcPr>
            <w:tcW w:w="2805" w:type="dxa"/>
            <w:tcBorders>
              <w:top w:val="single" w:sz="8" w:space="0" w:color="auto"/>
              <w:left w:val="single" w:sz="8" w:space="0" w:color="auto"/>
              <w:bottom w:val="single" w:sz="8" w:space="0" w:color="auto"/>
              <w:right w:val="single" w:sz="8" w:space="0" w:color="auto"/>
            </w:tcBorders>
            <w:hideMark/>
          </w:tcPr>
          <w:p w14:paraId="2F8B7E0B" w14:textId="77777777" w:rsidR="0077746C" w:rsidRPr="00B2067F" w:rsidRDefault="0077746C" w:rsidP="003C734A">
            <w:pPr>
              <w:pStyle w:val="Tablehead"/>
              <w:jc w:val="right"/>
              <w:rPr>
                <w:b w:val="0"/>
              </w:rPr>
            </w:pPr>
            <w:r w:rsidRPr="00B2067F">
              <w:rPr>
                <w:b w:val="0"/>
              </w:rPr>
              <w:t>Asia meridional</w:t>
            </w:r>
          </w:p>
        </w:tc>
        <w:tc>
          <w:tcPr>
            <w:tcW w:w="2025" w:type="dxa"/>
            <w:tcBorders>
              <w:top w:val="single" w:sz="8" w:space="0" w:color="auto"/>
              <w:left w:val="single" w:sz="8" w:space="0" w:color="auto"/>
              <w:bottom w:val="single" w:sz="8" w:space="0" w:color="auto"/>
              <w:right w:val="single" w:sz="8" w:space="0" w:color="auto"/>
            </w:tcBorders>
            <w:vAlign w:val="center"/>
            <w:hideMark/>
          </w:tcPr>
          <w:p w14:paraId="156F2D90" w14:textId="60542798" w:rsidR="0077746C" w:rsidRPr="00B2067F" w:rsidRDefault="007E3944" w:rsidP="00820F86">
            <w:pPr>
              <w:pStyle w:val="Tabletext"/>
            </w:pPr>
            <w:r w:rsidRPr="00B2067F">
              <w:t>I</w:t>
            </w:r>
            <w:r w:rsidR="0077746C" w:rsidRPr="00B2067F">
              <w:t>nglés</w:t>
            </w:r>
          </w:p>
        </w:tc>
        <w:tc>
          <w:tcPr>
            <w:tcW w:w="1245" w:type="dxa"/>
            <w:tcBorders>
              <w:top w:val="single" w:sz="8" w:space="0" w:color="auto"/>
              <w:left w:val="single" w:sz="8" w:space="0" w:color="auto"/>
              <w:bottom w:val="single" w:sz="8" w:space="0" w:color="auto"/>
              <w:right w:val="single" w:sz="8" w:space="0" w:color="auto"/>
            </w:tcBorders>
            <w:vAlign w:val="center"/>
            <w:hideMark/>
          </w:tcPr>
          <w:p w14:paraId="65339E50" w14:textId="77777777" w:rsidR="0077746C" w:rsidRPr="00B2067F" w:rsidRDefault="0077746C" w:rsidP="00820F86">
            <w:pPr>
              <w:pStyle w:val="Tabletext"/>
              <w:jc w:val="center"/>
            </w:pPr>
            <w:r w:rsidRPr="00B2067F">
              <w:t>Octubre</w:t>
            </w:r>
          </w:p>
        </w:tc>
        <w:tc>
          <w:tcPr>
            <w:tcW w:w="1170" w:type="dxa"/>
            <w:tcBorders>
              <w:top w:val="single" w:sz="8" w:space="0" w:color="auto"/>
              <w:left w:val="single" w:sz="8" w:space="0" w:color="auto"/>
              <w:bottom w:val="single" w:sz="8" w:space="0" w:color="auto"/>
              <w:right w:val="single" w:sz="8" w:space="0" w:color="auto"/>
            </w:tcBorders>
            <w:vAlign w:val="center"/>
          </w:tcPr>
          <w:p w14:paraId="084D5B53" w14:textId="77777777" w:rsidR="0077746C" w:rsidRPr="00B2067F" w:rsidRDefault="0077746C" w:rsidP="00820F86">
            <w:pPr>
              <w:pStyle w:val="Tabletext"/>
              <w:jc w:val="center"/>
            </w:pPr>
          </w:p>
        </w:tc>
        <w:tc>
          <w:tcPr>
            <w:tcW w:w="1290" w:type="dxa"/>
            <w:tcBorders>
              <w:top w:val="single" w:sz="8" w:space="0" w:color="auto"/>
              <w:left w:val="single" w:sz="8" w:space="0" w:color="auto"/>
              <w:bottom w:val="single" w:sz="8" w:space="0" w:color="auto"/>
              <w:right w:val="single" w:sz="8" w:space="0" w:color="auto"/>
            </w:tcBorders>
            <w:vAlign w:val="center"/>
          </w:tcPr>
          <w:p w14:paraId="1AB54716" w14:textId="77777777" w:rsidR="0077746C" w:rsidRPr="00B2067F" w:rsidRDefault="0077746C" w:rsidP="00820F86">
            <w:pPr>
              <w:pStyle w:val="Tabletext"/>
              <w:jc w:val="center"/>
            </w:pPr>
          </w:p>
        </w:tc>
        <w:tc>
          <w:tcPr>
            <w:tcW w:w="810" w:type="dxa"/>
            <w:tcBorders>
              <w:top w:val="single" w:sz="8" w:space="0" w:color="auto"/>
              <w:left w:val="single" w:sz="8" w:space="0" w:color="auto"/>
              <w:bottom w:val="single" w:sz="8" w:space="0" w:color="auto"/>
              <w:right w:val="single" w:sz="8" w:space="0" w:color="auto"/>
            </w:tcBorders>
            <w:vAlign w:val="center"/>
          </w:tcPr>
          <w:p w14:paraId="3774D8DB" w14:textId="77777777" w:rsidR="0077746C" w:rsidRPr="00B2067F" w:rsidRDefault="0077746C" w:rsidP="00820F86">
            <w:pPr>
              <w:pStyle w:val="Tabletext"/>
              <w:jc w:val="center"/>
            </w:pPr>
          </w:p>
        </w:tc>
      </w:tr>
      <w:tr w:rsidR="0077746C" w:rsidRPr="00B2067F" w14:paraId="0AB7B314" w14:textId="77777777" w:rsidTr="00820F86">
        <w:trPr>
          <w:trHeight w:val="300"/>
        </w:trPr>
        <w:tc>
          <w:tcPr>
            <w:tcW w:w="2805" w:type="dxa"/>
            <w:tcBorders>
              <w:top w:val="single" w:sz="8" w:space="0" w:color="auto"/>
              <w:left w:val="single" w:sz="8" w:space="0" w:color="auto"/>
              <w:bottom w:val="single" w:sz="8" w:space="0" w:color="auto"/>
              <w:right w:val="single" w:sz="8" w:space="0" w:color="auto"/>
            </w:tcBorders>
            <w:hideMark/>
          </w:tcPr>
          <w:p w14:paraId="3659881A" w14:textId="77777777" w:rsidR="0077746C" w:rsidRPr="00B2067F" w:rsidRDefault="0077746C" w:rsidP="007E3944">
            <w:pPr>
              <w:pStyle w:val="Tablehead"/>
            </w:pPr>
            <w:r w:rsidRPr="00B2067F">
              <w:t>Estados Árabes (1)</w:t>
            </w:r>
          </w:p>
        </w:tc>
        <w:tc>
          <w:tcPr>
            <w:tcW w:w="2025" w:type="dxa"/>
            <w:tcBorders>
              <w:top w:val="single" w:sz="8" w:space="0" w:color="auto"/>
              <w:left w:val="single" w:sz="8" w:space="0" w:color="auto"/>
              <w:bottom w:val="single" w:sz="8" w:space="0" w:color="auto"/>
              <w:right w:val="single" w:sz="8" w:space="0" w:color="auto"/>
            </w:tcBorders>
            <w:vAlign w:val="center"/>
            <w:hideMark/>
          </w:tcPr>
          <w:p w14:paraId="23C716E1" w14:textId="5736CBA9" w:rsidR="0077746C" w:rsidRPr="00B2067F" w:rsidRDefault="007E3944" w:rsidP="00820F86">
            <w:pPr>
              <w:pStyle w:val="Tabletext"/>
            </w:pPr>
            <w:r w:rsidRPr="00B2067F">
              <w:t>Á</w:t>
            </w:r>
            <w:r w:rsidR="0077746C" w:rsidRPr="00B2067F">
              <w:t>rabe/inglés</w:t>
            </w:r>
          </w:p>
        </w:tc>
        <w:tc>
          <w:tcPr>
            <w:tcW w:w="1245" w:type="dxa"/>
            <w:tcBorders>
              <w:top w:val="single" w:sz="8" w:space="0" w:color="auto"/>
              <w:left w:val="single" w:sz="8" w:space="0" w:color="auto"/>
              <w:bottom w:val="single" w:sz="8" w:space="0" w:color="auto"/>
              <w:right w:val="single" w:sz="8" w:space="0" w:color="auto"/>
            </w:tcBorders>
            <w:vAlign w:val="center"/>
          </w:tcPr>
          <w:p w14:paraId="27C56984" w14:textId="77777777" w:rsidR="0077746C" w:rsidRPr="00B2067F" w:rsidRDefault="0077746C" w:rsidP="00820F86">
            <w:pPr>
              <w:pStyle w:val="Tabletext"/>
              <w:jc w:val="center"/>
            </w:pPr>
          </w:p>
        </w:tc>
        <w:tc>
          <w:tcPr>
            <w:tcW w:w="1170" w:type="dxa"/>
            <w:tcBorders>
              <w:top w:val="single" w:sz="8" w:space="0" w:color="auto"/>
              <w:left w:val="single" w:sz="8" w:space="0" w:color="auto"/>
              <w:bottom w:val="single" w:sz="8" w:space="0" w:color="auto"/>
              <w:right w:val="single" w:sz="8" w:space="0" w:color="auto"/>
            </w:tcBorders>
            <w:vAlign w:val="center"/>
            <w:hideMark/>
          </w:tcPr>
          <w:p w14:paraId="5B6DB422" w14:textId="77777777" w:rsidR="0077746C" w:rsidRPr="00B2067F" w:rsidRDefault="0077746C" w:rsidP="00820F86">
            <w:pPr>
              <w:pStyle w:val="Tabletext"/>
              <w:jc w:val="center"/>
            </w:pPr>
            <w:r w:rsidRPr="00B2067F">
              <w:t>4T</w:t>
            </w:r>
          </w:p>
        </w:tc>
        <w:tc>
          <w:tcPr>
            <w:tcW w:w="1290" w:type="dxa"/>
            <w:tcBorders>
              <w:top w:val="single" w:sz="8" w:space="0" w:color="auto"/>
              <w:left w:val="single" w:sz="8" w:space="0" w:color="auto"/>
              <w:bottom w:val="single" w:sz="8" w:space="0" w:color="auto"/>
              <w:right w:val="single" w:sz="8" w:space="0" w:color="auto"/>
            </w:tcBorders>
            <w:vAlign w:val="center"/>
          </w:tcPr>
          <w:p w14:paraId="1AA46B9F" w14:textId="77777777" w:rsidR="0077746C" w:rsidRPr="00B2067F" w:rsidRDefault="0077746C" w:rsidP="00820F86">
            <w:pPr>
              <w:pStyle w:val="Tabletext"/>
              <w:jc w:val="center"/>
            </w:pPr>
          </w:p>
        </w:tc>
        <w:tc>
          <w:tcPr>
            <w:tcW w:w="810" w:type="dxa"/>
            <w:tcBorders>
              <w:top w:val="single" w:sz="8" w:space="0" w:color="auto"/>
              <w:left w:val="single" w:sz="8" w:space="0" w:color="auto"/>
              <w:bottom w:val="single" w:sz="8" w:space="0" w:color="auto"/>
              <w:right w:val="single" w:sz="8" w:space="0" w:color="auto"/>
            </w:tcBorders>
            <w:vAlign w:val="center"/>
          </w:tcPr>
          <w:p w14:paraId="30C1827D" w14:textId="77777777" w:rsidR="0077746C" w:rsidRPr="00B2067F" w:rsidRDefault="0077746C" w:rsidP="00820F86">
            <w:pPr>
              <w:pStyle w:val="Tabletext"/>
              <w:jc w:val="center"/>
            </w:pPr>
          </w:p>
        </w:tc>
      </w:tr>
      <w:tr w:rsidR="0077746C" w:rsidRPr="00B2067F" w14:paraId="14F2F292" w14:textId="77777777" w:rsidTr="00820F86">
        <w:trPr>
          <w:trHeight w:val="300"/>
        </w:trPr>
        <w:tc>
          <w:tcPr>
            <w:tcW w:w="2805" w:type="dxa"/>
            <w:tcBorders>
              <w:top w:val="single" w:sz="8" w:space="0" w:color="auto"/>
              <w:left w:val="single" w:sz="8" w:space="0" w:color="auto"/>
              <w:bottom w:val="single" w:sz="8" w:space="0" w:color="auto"/>
              <w:right w:val="single" w:sz="8" w:space="0" w:color="auto"/>
            </w:tcBorders>
            <w:hideMark/>
          </w:tcPr>
          <w:p w14:paraId="445DCC8C" w14:textId="77777777" w:rsidR="0077746C" w:rsidRPr="00B2067F" w:rsidRDefault="0077746C" w:rsidP="007E3944">
            <w:pPr>
              <w:pStyle w:val="Tablehead"/>
            </w:pPr>
            <w:r w:rsidRPr="00B2067F">
              <w:t>CEI (1)</w:t>
            </w:r>
          </w:p>
        </w:tc>
        <w:tc>
          <w:tcPr>
            <w:tcW w:w="2025" w:type="dxa"/>
            <w:tcBorders>
              <w:top w:val="single" w:sz="8" w:space="0" w:color="auto"/>
              <w:left w:val="single" w:sz="8" w:space="0" w:color="auto"/>
              <w:bottom w:val="single" w:sz="8" w:space="0" w:color="auto"/>
              <w:right w:val="single" w:sz="8" w:space="0" w:color="auto"/>
            </w:tcBorders>
            <w:vAlign w:val="center"/>
            <w:hideMark/>
          </w:tcPr>
          <w:p w14:paraId="5D7CFF3C" w14:textId="68C68711" w:rsidR="0077746C" w:rsidRPr="00B2067F" w:rsidRDefault="007E3944" w:rsidP="00820F86">
            <w:pPr>
              <w:pStyle w:val="Tabletext"/>
            </w:pPr>
            <w:r w:rsidRPr="00B2067F">
              <w:t>R</w:t>
            </w:r>
            <w:r w:rsidR="0077746C" w:rsidRPr="00B2067F">
              <w:t>uso</w:t>
            </w:r>
          </w:p>
        </w:tc>
        <w:tc>
          <w:tcPr>
            <w:tcW w:w="1245" w:type="dxa"/>
            <w:tcBorders>
              <w:top w:val="single" w:sz="8" w:space="0" w:color="auto"/>
              <w:left w:val="single" w:sz="8" w:space="0" w:color="auto"/>
              <w:bottom w:val="single" w:sz="8" w:space="0" w:color="auto"/>
              <w:right w:val="single" w:sz="8" w:space="0" w:color="auto"/>
            </w:tcBorders>
            <w:vAlign w:val="center"/>
          </w:tcPr>
          <w:p w14:paraId="1F587B9D" w14:textId="77777777" w:rsidR="0077746C" w:rsidRPr="00B2067F" w:rsidRDefault="0077746C" w:rsidP="00820F86">
            <w:pPr>
              <w:pStyle w:val="Tabletext"/>
              <w:jc w:val="center"/>
            </w:pPr>
          </w:p>
        </w:tc>
        <w:tc>
          <w:tcPr>
            <w:tcW w:w="1170" w:type="dxa"/>
            <w:tcBorders>
              <w:top w:val="single" w:sz="8" w:space="0" w:color="auto"/>
              <w:left w:val="single" w:sz="8" w:space="0" w:color="auto"/>
              <w:bottom w:val="single" w:sz="8" w:space="0" w:color="auto"/>
              <w:right w:val="single" w:sz="8" w:space="0" w:color="auto"/>
            </w:tcBorders>
            <w:vAlign w:val="center"/>
          </w:tcPr>
          <w:p w14:paraId="208AEF35" w14:textId="77777777" w:rsidR="0077746C" w:rsidRPr="00B2067F" w:rsidRDefault="0077746C" w:rsidP="00820F86">
            <w:pPr>
              <w:pStyle w:val="Tabletext"/>
              <w:jc w:val="center"/>
            </w:pPr>
          </w:p>
        </w:tc>
        <w:tc>
          <w:tcPr>
            <w:tcW w:w="1290" w:type="dxa"/>
            <w:tcBorders>
              <w:top w:val="single" w:sz="8" w:space="0" w:color="auto"/>
              <w:left w:val="single" w:sz="8" w:space="0" w:color="auto"/>
              <w:bottom w:val="single" w:sz="8" w:space="0" w:color="auto"/>
              <w:right w:val="single" w:sz="8" w:space="0" w:color="auto"/>
            </w:tcBorders>
            <w:vAlign w:val="center"/>
            <w:hideMark/>
          </w:tcPr>
          <w:p w14:paraId="0D078E70" w14:textId="77777777" w:rsidR="0077746C" w:rsidRPr="00B2067F" w:rsidRDefault="0077746C" w:rsidP="00820F86">
            <w:pPr>
              <w:pStyle w:val="Tabletext"/>
              <w:jc w:val="center"/>
            </w:pPr>
            <w:r w:rsidRPr="00B2067F">
              <w:t>1T</w:t>
            </w:r>
          </w:p>
        </w:tc>
        <w:tc>
          <w:tcPr>
            <w:tcW w:w="810" w:type="dxa"/>
            <w:tcBorders>
              <w:top w:val="single" w:sz="8" w:space="0" w:color="auto"/>
              <w:left w:val="single" w:sz="8" w:space="0" w:color="auto"/>
              <w:bottom w:val="single" w:sz="8" w:space="0" w:color="auto"/>
              <w:right w:val="single" w:sz="8" w:space="0" w:color="auto"/>
            </w:tcBorders>
            <w:vAlign w:val="center"/>
          </w:tcPr>
          <w:p w14:paraId="75F00B6B" w14:textId="77777777" w:rsidR="0077746C" w:rsidRPr="00B2067F" w:rsidRDefault="0077746C" w:rsidP="00820F86">
            <w:pPr>
              <w:pStyle w:val="Tabletext"/>
              <w:jc w:val="center"/>
            </w:pPr>
          </w:p>
        </w:tc>
      </w:tr>
      <w:tr w:rsidR="0077746C" w:rsidRPr="00B2067F" w14:paraId="70DD9120" w14:textId="77777777" w:rsidTr="00820F86">
        <w:trPr>
          <w:trHeight w:val="300"/>
        </w:trPr>
        <w:tc>
          <w:tcPr>
            <w:tcW w:w="2805" w:type="dxa"/>
            <w:tcBorders>
              <w:top w:val="single" w:sz="8" w:space="0" w:color="auto"/>
              <w:left w:val="single" w:sz="8" w:space="0" w:color="auto"/>
              <w:bottom w:val="single" w:sz="8" w:space="0" w:color="auto"/>
              <w:right w:val="single" w:sz="8" w:space="0" w:color="auto"/>
            </w:tcBorders>
            <w:hideMark/>
          </w:tcPr>
          <w:p w14:paraId="475097B1" w14:textId="77777777" w:rsidR="0077746C" w:rsidRPr="00B2067F" w:rsidRDefault="0077746C" w:rsidP="007E3944">
            <w:pPr>
              <w:pStyle w:val="Tablehead"/>
            </w:pPr>
            <w:r w:rsidRPr="00B2067F">
              <w:t>Europa Oriental (1)</w:t>
            </w:r>
          </w:p>
        </w:tc>
        <w:tc>
          <w:tcPr>
            <w:tcW w:w="2025" w:type="dxa"/>
            <w:tcBorders>
              <w:top w:val="single" w:sz="8" w:space="0" w:color="auto"/>
              <w:left w:val="single" w:sz="8" w:space="0" w:color="auto"/>
              <w:bottom w:val="single" w:sz="8" w:space="0" w:color="auto"/>
              <w:right w:val="single" w:sz="8" w:space="0" w:color="auto"/>
            </w:tcBorders>
            <w:vAlign w:val="center"/>
            <w:hideMark/>
          </w:tcPr>
          <w:p w14:paraId="79D8342B" w14:textId="5A2AE966" w:rsidR="0077746C" w:rsidRPr="00B2067F" w:rsidRDefault="007E3944" w:rsidP="00820F86">
            <w:pPr>
              <w:pStyle w:val="Tabletext"/>
            </w:pPr>
            <w:r w:rsidRPr="00B2067F">
              <w:t>I</w:t>
            </w:r>
            <w:r w:rsidR="0077746C" w:rsidRPr="00B2067F">
              <w:t>nglés/ruso</w:t>
            </w:r>
          </w:p>
        </w:tc>
        <w:tc>
          <w:tcPr>
            <w:tcW w:w="1245" w:type="dxa"/>
            <w:tcBorders>
              <w:top w:val="single" w:sz="8" w:space="0" w:color="auto"/>
              <w:left w:val="single" w:sz="8" w:space="0" w:color="auto"/>
              <w:bottom w:val="single" w:sz="8" w:space="0" w:color="auto"/>
              <w:right w:val="single" w:sz="8" w:space="0" w:color="auto"/>
            </w:tcBorders>
            <w:vAlign w:val="center"/>
          </w:tcPr>
          <w:p w14:paraId="765651C6" w14:textId="77777777" w:rsidR="0077746C" w:rsidRPr="00B2067F" w:rsidRDefault="0077746C" w:rsidP="00820F86">
            <w:pPr>
              <w:pStyle w:val="Tabletext"/>
              <w:jc w:val="center"/>
            </w:pPr>
          </w:p>
        </w:tc>
        <w:tc>
          <w:tcPr>
            <w:tcW w:w="1170" w:type="dxa"/>
            <w:tcBorders>
              <w:top w:val="single" w:sz="8" w:space="0" w:color="auto"/>
              <w:left w:val="single" w:sz="8" w:space="0" w:color="auto"/>
              <w:bottom w:val="single" w:sz="8" w:space="0" w:color="auto"/>
              <w:right w:val="single" w:sz="8" w:space="0" w:color="auto"/>
            </w:tcBorders>
            <w:vAlign w:val="center"/>
          </w:tcPr>
          <w:p w14:paraId="688C1861" w14:textId="77777777" w:rsidR="0077746C" w:rsidRPr="00B2067F" w:rsidRDefault="0077746C" w:rsidP="00820F86">
            <w:pPr>
              <w:pStyle w:val="Tabletext"/>
              <w:jc w:val="center"/>
            </w:pPr>
          </w:p>
        </w:tc>
        <w:tc>
          <w:tcPr>
            <w:tcW w:w="1290" w:type="dxa"/>
            <w:tcBorders>
              <w:top w:val="single" w:sz="8" w:space="0" w:color="auto"/>
              <w:left w:val="single" w:sz="8" w:space="0" w:color="auto"/>
              <w:bottom w:val="single" w:sz="8" w:space="0" w:color="auto"/>
              <w:right w:val="single" w:sz="8" w:space="0" w:color="auto"/>
            </w:tcBorders>
            <w:vAlign w:val="center"/>
          </w:tcPr>
          <w:p w14:paraId="61904064" w14:textId="77777777" w:rsidR="0077746C" w:rsidRPr="00B2067F" w:rsidRDefault="0077746C" w:rsidP="00820F86">
            <w:pPr>
              <w:pStyle w:val="Tabletext"/>
              <w:jc w:val="center"/>
            </w:pPr>
          </w:p>
        </w:tc>
        <w:tc>
          <w:tcPr>
            <w:tcW w:w="810" w:type="dxa"/>
            <w:tcBorders>
              <w:top w:val="single" w:sz="8" w:space="0" w:color="auto"/>
              <w:left w:val="single" w:sz="8" w:space="0" w:color="auto"/>
              <w:bottom w:val="single" w:sz="8" w:space="0" w:color="auto"/>
              <w:right w:val="single" w:sz="8" w:space="0" w:color="auto"/>
            </w:tcBorders>
            <w:vAlign w:val="center"/>
            <w:hideMark/>
          </w:tcPr>
          <w:p w14:paraId="76031F88" w14:textId="77777777" w:rsidR="0077746C" w:rsidRPr="00B2067F" w:rsidRDefault="0077746C" w:rsidP="00820F86">
            <w:pPr>
              <w:pStyle w:val="Tabletext"/>
              <w:jc w:val="center"/>
            </w:pPr>
            <w:r w:rsidRPr="00B2067F">
              <w:t>2T</w:t>
            </w:r>
          </w:p>
        </w:tc>
      </w:tr>
      <w:tr w:rsidR="0077746C" w:rsidRPr="00B2067F" w14:paraId="5D675CD4" w14:textId="77777777" w:rsidTr="00820F86">
        <w:trPr>
          <w:trHeight w:val="450"/>
        </w:trPr>
        <w:tc>
          <w:tcPr>
            <w:tcW w:w="2805" w:type="dxa"/>
            <w:tcBorders>
              <w:top w:val="single" w:sz="8" w:space="0" w:color="auto"/>
              <w:left w:val="single" w:sz="8" w:space="0" w:color="auto"/>
              <w:bottom w:val="single" w:sz="8" w:space="0" w:color="auto"/>
              <w:right w:val="single" w:sz="8" w:space="0" w:color="auto"/>
            </w:tcBorders>
            <w:hideMark/>
          </w:tcPr>
          <w:p w14:paraId="7F15680A" w14:textId="77777777" w:rsidR="0077746C" w:rsidRPr="00B2067F" w:rsidRDefault="0077746C" w:rsidP="007E3944">
            <w:pPr>
              <w:pStyle w:val="Tablehead"/>
            </w:pPr>
            <w:r w:rsidRPr="00B2067F">
              <w:t>SMR (2)</w:t>
            </w:r>
          </w:p>
        </w:tc>
        <w:tc>
          <w:tcPr>
            <w:tcW w:w="2025" w:type="dxa"/>
            <w:tcBorders>
              <w:top w:val="single" w:sz="8" w:space="0" w:color="auto"/>
              <w:left w:val="single" w:sz="8" w:space="0" w:color="auto"/>
              <w:bottom w:val="single" w:sz="8" w:space="0" w:color="auto"/>
              <w:right w:val="single" w:sz="8" w:space="0" w:color="auto"/>
            </w:tcBorders>
            <w:vAlign w:val="center"/>
            <w:hideMark/>
          </w:tcPr>
          <w:p w14:paraId="73454BBB" w14:textId="554345BA" w:rsidR="0077746C" w:rsidRPr="00B2067F" w:rsidRDefault="007E3944" w:rsidP="00820F86">
            <w:pPr>
              <w:pStyle w:val="Tabletext"/>
            </w:pPr>
            <w:r w:rsidRPr="00B2067F">
              <w:t>T</w:t>
            </w:r>
            <w:r w:rsidR="0077746C" w:rsidRPr="00B2067F">
              <w:t>odos los idiomas de las Naciones Unidas</w:t>
            </w:r>
          </w:p>
        </w:tc>
        <w:tc>
          <w:tcPr>
            <w:tcW w:w="1245" w:type="dxa"/>
            <w:tcBorders>
              <w:top w:val="single" w:sz="8" w:space="0" w:color="auto"/>
              <w:left w:val="single" w:sz="8" w:space="0" w:color="auto"/>
              <w:bottom w:val="single" w:sz="8" w:space="0" w:color="auto"/>
              <w:right w:val="single" w:sz="8" w:space="0" w:color="auto"/>
            </w:tcBorders>
            <w:vAlign w:val="center"/>
            <w:hideMark/>
          </w:tcPr>
          <w:p w14:paraId="447727C4" w14:textId="77777777" w:rsidR="0077746C" w:rsidRPr="00B2067F" w:rsidRDefault="0077746C" w:rsidP="00820F86">
            <w:pPr>
              <w:pStyle w:val="Tabletext"/>
              <w:jc w:val="center"/>
            </w:pPr>
            <w:r w:rsidRPr="00B2067F">
              <w:t>Diciembre</w:t>
            </w:r>
          </w:p>
        </w:tc>
        <w:tc>
          <w:tcPr>
            <w:tcW w:w="1170" w:type="dxa"/>
            <w:tcBorders>
              <w:top w:val="single" w:sz="8" w:space="0" w:color="auto"/>
              <w:left w:val="single" w:sz="8" w:space="0" w:color="auto"/>
              <w:bottom w:val="single" w:sz="8" w:space="0" w:color="auto"/>
              <w:right w:val="single" w:sz="8" w:space="0" w:color="auto"/>
            </w:tcBorders>
            <w:vAlign w:val="center"/>
          </w:tcPr>
          <w:p w14:paraId="2A3D5429" w14:textId="77777777" w:rsidR="0077746C" w:rsidRPr="00B2067F" w:rsidRDefault="0077746C" w:rsidP="00820F86">
            <w:pPr>
              <w:pStyle w:val="Tabletext"/>
              <w:jc w:val="center"/>
            </w:pPr>
          </w:p>
        </w:tc>
        <w:tc>
          <w:tcPr>
            <w:tcW w:w="1290" w:type="dxa"/>
            <w:tcBorders>
              <w:top w:val="single" w:sz="8" w:space="0" w:color="auto"/>
              <w:left w:val="single" w:sz="8" w:space="0" w:color="auto"/>
              <w:bottom w:val="single" w:sz="8" w:space="0" w:color="auto"/>
              <w:right w:val="single" w:sz="8" w:space="0" w:color="auto"/>
            </w:tcBorders>
            <w:vAlign w:val="center"/>
            <w:hideMark/>
          </w:tcPr>
          <w:p w14:paraId="0DD26717" w14:textId="77777777" w:rsidR="0077746C" w:rsidRPr="00B2067F" w:rsidRDefault="0077746C" w:rsidP="00820F86">
            <w:pPr>
              <w:pStyle w:val="Tabletext"/>
              <w:jc w:val="center"/>
            </w:pPr>
            <w:r w:rsidRPr="00B2067F">
              <w:t>Diciembre</w:t>
            </w:r>
          </w:p>
        </w:tc>
        <w:tc>
          <w:tcPr>
            <w:tcW w:w="810" w:type="dxa"/>
            <w:tcBorders>
              <w:top w:val="single" w:sz="8" w:space="0" w:color="auto"/>
              <w:left w:val="single" w:sz="8" w:space="0" w:color="auto"/>
              <w:bottom w:val="single" w:sz="8" w:space="0" w:color="auto"/>
              <w:right w:val="single" w:sz="8" w:space="0" w:color="auto"/>
            </w:tcBorders>
            <w:vAlign w:val="center"/>
          </w:tcPr>
          <w:p w14:paraId="5BC987B0" w14:textId="77777777" w:rsidR="0077746C" w:rsidRPr="00B2067F" w:rsidRDefault="0077746C" w:rsidP="00820F86">
            <w:pPr>
              <w:pStyle w:val="Tabletext"/>
              <w:jc w:val="center"/>
            </w:pPr>
          </w:p>
        </w:tc>
      </w:tr>
    </w:tbl>
    <w:p w14:paraId="61610E73" w14:textId="77777777" w:rsidR="0077746C" w:rsidRPr="00B2067F" w:rsidRDefault="0077746C" w:rsidP="003C734A">
      <w:pPr>
        <w:spacing w:before="240"/>
      </w:pPr>
      <w:r w:rsidRPr="00B2067F">
        <w:t>Como en los ciclos anteriores y para una optimización de los recursos necesarios, esta planificación responde a los siguientes principios:</w:t>
      </w:r>
    </w:p>
    <w:p w14:paraId="63743F05" w14:textId="14F3110C" w:rsidR="0077746C" w:rsidRPr="00B2067F" w:rsidRDefault="0077746C" w:rsidP="0077746C">
      <w:pPr>
        <w:pStyle w:val="enumlev1"/>
      </w:pPr>
      <w:r w:rsidRPr="00B2067F">
        <w:t>–</w:t>
      </w:r>
      <w:r w:rsidRPr="00B2067F">
        <w:tab/>
        <w:t>Primer semestre de 2020: no se celebran SMR y SRR, actualización del Reglamento de Radiocomunicaciones y de las correspondi</w:t>
      </w:r>
      <w:r w:rsidR="003C734A" w:rsidRPr="00B2067F">
        <w:t>entes herramientas informáticas.</w:t>
      </w:r>
    </w:p>
    <w:p w14:paraId="7DA29C92" w14:textId="77777777" w:rsidR="0077746C" w:rsidRPr="00B2067F" w:rsidRDefault="0077746C" w:rsidP="0077746C">
      <w:pPr>
        <w:pStyle w:val="enumlev1"/>
      </w:pPr>
      <w:r w:rsidRPr="00B2067F">
        <w:t>–</w:t>
      </w:r>
      <w:r w:rsidRPr="00B2067F">
        <w:tab/>
        <w:t>Segundo semestre de 2023: no se celebran SMR y SRR, preparación de la futura CMR-23;</w:t>
      </w:r>
    </w:p>
    <w:p w14:paraId="625D939C" w14:textId="67822D2D" w:rsidR="0077746C" w:rsidRPr="00B2067F" w:rsidRDefault="0077746C" w:rsidP="0077746C">
      <w:pPr>
        <w:pStyle w:val="enumlev1"/>
      </w:pPr>
      <w:r w:rsidRPr="00B2067F">
        <w:t>–</w:t>
      </w:r>
      <w:r w:rsidRPr="00B2067F">
        <w:tab/>
        <w:t>Se celebrarán 2 SMR por ciclo</w:t>
      </w:r>
      <w:r w:rsidR="003C734A" w:rsidRPr="00B2067F">
        <w:t xml:space="preserve"> (cada 2 años): SMR-20 y SMR-22.</w:t>
      </w:r>
    </w:p>
    <w:p w14:paraId="3AF4AA34" w14:textId="5B7A4D18" w:rsidR="0077746C" w:rsidRPr="00B2067F" w:rsidRDefault="0077746C" w:rsidP="0077746C">
      <w:pPr>
        <w:pStyle w:val="enumlev1"/>
      </w:pPr>
      <w:r w:rsidRPr="00B2067F">
        <w:t>–</w:t>
      </w:r>
      <w:r w:rsidRPr="00B2067F">
        <w:tab/>
        <w:t>El primer SMR después de la CMR comprenderá una reunión específica dedicada a explicar en detalle las modificaciones</w:t>
      </w:r>
      <w:r w:rsidR="003C734A" w:rsidRPr="00B2067F">
        <w:t xml:space="preserve"> del RR introducidas por la CMR.</w:t>
      </w:r>
    </w:p>
    <w:p w14:paraId="57326142" w14:textId="51B36613" w:rsidR="0077746C" w:rsidRPr="00B2067F" w:rsidRDefault="0077746C" w:rsidP="0077746C">
      <w:pPr>
        <w:pStyle w:val="enumlev1"/>
      </w:pPr>
      <w:r w:rsidRPr="00B2067F">
        <w:lastRenderedPageBreak/>
        <w:t>–</w:t>
      </w:r>
      <w:r w:rsidRPr="00B2067F">
        <w:tab/>
        <w:t>Los dos SRR de África no tendrán lugar el mismo año que los SMR, dado que la participación en los SRR de África es casi el doble que en los demás SRR y que es preciso distribuir equitativamente el presupuesto para</w:t>
      </w:r>
      <w:r w:rsidR="003C734A" w:rsidRPr="00B2067F">
        <w:t xml:space="preserve"> becas.</w:t>
      </w:r>
    </w:p>
    <w:p w14:paraId="42CA0F0C" w14:textId="5AD86ABB" w:rsidR="0077746C" w:rsidRPr="00B2067F" w:rsidRDefault="0077746C" w:rsidP="0077746C">
      <w:pPr>
        <w:pStyle w:val="enumlev1"/>
      </w:pPr>
      <w:r w:rsidRPr="00B2067F">
        <w:t>–</w:t>
      </w:r>
      <w:r w:rsidRPr="00B2067F">
        <w:tab/>
        <w:t>Los SRR se celebrarán en el idioma predominante de la región, con el fin de reducir los costos de interpretación y facilitar el intercambio d</w:t>
      </w:r>
      <w:r w:rsidR="003C734A" w:rsidRPr="00B2067F">
        <w:t>e información durante el evento.</w:t>
      </w:r>
    </w:p>
    <w:p w14:paraId="5CB012AE" w14:textId="27AF1EF9" w:rsidR="0077746C" w:rsidRPr="00B2067F" w:rsidRDefault="0077746C" w:rsidP="0077746C">
      <w:pPr>
        <w:pStyle w:val="enumlev1"/>
      </w:pPr>
      <w:r w:rsidRPr="00B2067F">
        <w:t>–</w:t>
      </w:r>
      <w:r w:rsidRPr="00B2067F">
        <w:tab/>
        <w:t>Los programas de los SRR se ajustarán a las necesidades específicas de</w:t>
      </w:r>
      <w:r w:rsidR="00820F86" w:rsidRPr="00B2067F">
        <w:t xml:space="preserve"> la región en </w:t>
      </w:r>
      <w:r w:rsidR="003C734A" w:rsidRPr="00B2067F">
        <w:t>cuestión.</w:t>
      </w:r>
    </w:p>
    <w:p w14:paraId="69C97673" w14:textId="77777777" w:rsidR="0077746C" w:rsidRPr="00B2067F" w:rsidRDefault="0077746C" w:rsidP="0077746C">
      <w:pPr>
        <w:pStyle w:val="enumlev1"/>
      </w:pPr>
      <w:r w:rsidRPr="00B2067F">
        <w:t>–</w:t>
      </w:r>
      <w:r w:rsidRPr="00B2067F">
        <w:tab/>
        <w:t>El último día o los últimos días de cada SRR se dedicarán a una sesión de tipo foro, a la que podrá invitarse a oradores de otras regiones para ampliar el alcance de los debates (ese día podría requerirse la prestación de servicios de interpretación desde o hacia el inglés).</w:t>
      </w:r>
    </w:p>
    <w:p w14:paraId="70D2006D" w14:textId="77777777" w:rsidR="0077746C" w:rsidRPr="00B2067F" w:rsidRDefault="0077746C" w:rsidP="0077746C">
      <w:r w:rsidRPr="00B2067F">
        <w:t>La planificación anterior deberá coordinarse y ajustarse debidamente con las Oficinas Regionales (OR) de la UIT y los grupos regionales pertinentes, teniendo en cuenta los problemas que plantean la pandemia actual y los consiguientes cambios de formato (eventos en línea), así como las implicaciones que tienen para el personal de la UIT involucrado (BR, OR).</w:t>
      </w:r>
    </w:p>
    <w:p w14:paraId="43674FF5" w14:textId="77777777" w:rsidR="0077746C" w:rsidRPr="00B2067F" w:rsidRDefault="0077746C" w:rsidP="0077746C">
      <w:pPr>
        <w:pStyle w:val="Heading3"/>
      </w:pPr>
      <w:r w:rsidRPr="00B2067F">
        <w:t>8.2.1</w:t>
      </w:r>
      <w:r w:rsidRPr="00B2067F">
        <w:tab/>
        <w:t>Seminarios Mundiales de Radiocomunicaciones</w:t>
      </w:r>
    </w:p>
    <w:p w14:paraId="6D73354E" w14:textId="09A53B3B" w:rsidR="0077746C" w:rsidRPr="00B2067F" w:rsidRDefault="0077746C" w:rsidP="0077746C">
      <w:r w:rsidRPr="00B2067F">
        <w:t>Como parte del ciclo de SMR y SRR para el periodo 2020-2023, se celebró el SMR-20 en diciembre de 2020. Inicialmente previsto en Ginebra para la primera semana de diciembre de 2020, debido a las restricciones de viaje relacionadas con la pandemia, el SMR pasó a un formato virtua</w:t>
      </w:r>
      <w:r w:rsidR="003C734A" w:rsidRPr="00B2067F">
        <w:t>l, con los siguientes cambios:</w:t>
      </w:r>
    </w:p>
    <w:p w14:paraId="77D0E03A" w14:textId="77777777" w:rsidR="0077746C" w:rsidRPr="00B2067F" w:rsidRDefault="0077746C" w:rsidP="0077746C">
      <w:pPr>
        <w:pStyle w:val="enumlev1"/>
      </w:pPr>
      <w:r w:rsidRPr="00B2067F">
        <w:t>–</w:t>
      </w:r>
      <w:r w:rsidRPr="00B2067F">
        <w:tab/>
        <w:t xml:space="preserve">El SMR-20 se celebró durante dos semanas, del 30 de noviembre al 11 de diciembre, con sesiones diarias de 3 horas. </w:t>
      </w:r>
    </w:p>
    <w:p w14:paraId="23370AAE" w14:textId="77777777" w:rsidR="0077746C" w:rsidRPr="00B2067F" w:rsidRDefault="0077746C" w:rsidP="0077746C">
      <w:pPr>
        <w:pStyle w:val="enumlev1"/>
      </w:pPr>
      <w:r w:rsidRPr="00B2067F">
        <w:t>–</w:t>
      </w:r>
      <w:r w:rsidRPr="00B2067F">
        <w:tab/>
        <w:t xml:space="preserve">Para adaptarse a los participantes de los diferentes husos horarios de todo el mundo, las sesiones del SMR-20 se presentaron dos veces al día: </w:t>
      </w:r>
    </w:p>
    <w:p w14:paraId="11A1878F" w14:textId="21AA445B" w:rsidR="0077746C" w:rsidRPr="00B2067F" w:rsidRDefault="0077746C" w:rsidP="0077746C">
      <w:pPr>
        <w:pStyle w:val="enumlev2"/>
      </w:pPr>
      <w:r w:rsidRPr="00B2067F">
        <w:t>•</w:t>
      </w:r>
      <w:r w:rsidRPr="00B2067F">
        <w:tab/>
        <w:t>Sesiones de mañana (horario de Ginebra) para los partic</w:t>
      </w:r>
      <w:r w:rsidR="00820F86" w:rsidRPr="00B2067F">
        <w:t>ipantes de las regiones de Asia</w:t>
      </w:r>
      <w:r w:rsidR="00820F86" w:rsidRPr="00B2067F">
        <w:noBreakHyphen/>
      </w:r>
      <w:r w:rsidRPr="00B2067F">
        <w:t>Pacífico, y</w:t>
      </w:r>
      <w:r w:rsidR="003C734A" w:rsidRPr="00B2067F">
        <w:t xml:space="preserve"> África meridional y oriental.</w:t>
      </w:r>
    </w:p>
    <w:p w14:paraId="7CDA4453" w14:textId="77777777" w:rsidR="0077746C" w:rsidRPr="00B2067F" w:rsidRDefault="0077746C" w:rsidP="0077746C">
      <w:pPr>
        <w:pStyle w:val="enumlev2"/>
      </w:pPr>
      <w:r w:rsidRPr="00B2067F">
        <w:t>•</w:t>
      </w:r>
      <w:r w:rsidRPr="00B2067F">
        <w:tab/>
        <w:t xml:space="preserve">Sesiones de tarde (horario de Ginebra) para los participantes de las regiones de Américas, Europa, CEI, Estados Árabes y África occidental. </w:t>
      </w:r>
    </w:p>
    <w:p w14:paraId="5C7C1A03" w14:textId="7BA124B0" w:rsidR="0077746C" w:rsidRPr="00B2067F" w:rsidRDefault="0077746C" w:rsidP="0077746C">
      <w:pPr>
        <w:pStyle w:val="enumlev1"/>
      </w:pPr>
      <w:r w:rsidRPr="00B2067F">
        <w:t>–</w:t>
      </w:r>
      <w:r w:rsidRPr="00B2067F">
        <w:tab/>
        <w:t>También se facilitó el acceso a las grabaciones de las sesiones de los seminari</w:t>
      </w:r>
      <w:r w:rsidR="003C734A" w:rsidRPr="00B2067F">
        <w:t>os en el sitio web del evento.</w:t>
      </w:r>
    </w:p>
    <w:p w14:paraId="1FFEDAA8" w14:textId="77777777" w:rsidR="0077746C" w:rsidRPr="00B2067F" w:rsidRDefault="0077746C" w:rsidP="0077746C">
      <w:r w:rsidRPr="00B2067F">
        <w:t>Además, habida cuenta de que cada vez más gente está utilizando y desplegando sistemas de radiocomunicaciones, y considerando que la BR tiene la función de informar a las personas y las organizaciones de todo el mundo sobre el Reglamento de Radiocomunicaciones y su aplicación, por primera vez, las sesiones plenarias del SMR estuvieron abiertas a todo el mundo, independientemente de tener la condición de Miembro de la UIT o no.</w:t>
      </w:r>
    </w:p>
    <w:p w14:paraId="0F171249" w14:textId="17538E9D" w:rsidR="0077746C" w:rsidRPr="00B2067F" w:rsidRDefault="0077746C" w:rsidP="0077746C">
      <w:r w:rsidRPr="00B2067F">
        <w:t>Durante la primera semana, en las sesiones plenarias (abiertas a todo el mundo) se trataron los aspectos básicos de la gestión del espectro a nivel nacional, regional y mundial. También se revisó el Reglamento de Radiocomunicaciones de la UIT actualizado por la CMR-19, se presentó una visión general del marco reglamentario para los servicios de radiocomunicaciones terrenales y espaciales, y se informó a los participantes sobre las actividades actuales de las Comisiones de Estudio del UIT-R. Estas sesiones plenarias se llevaron a cabo en los 6 i</w:t>
      </w:r>
      <w:r w:rsidR="003C734A" w:rsidRPr="00B2067F">
        <w:t>diomas de las Naciones Unidas.</w:t>
      </w:r>
    </w:p>
    <w:p w14:paraId="0325374A" w14:textId="21FD0E8B" w:rsidR="0077746C" w:rsidRPr="00B2067F" w:rsidRDefault="0077746C" w:rsidP="0077746C">
      <w:r w:rsidRPr="00B2067F">
        <w:t xml:space="preserve">En la segunda semana, limitada únicamente a los Miembros de la UIT, se realizaron talleres de formación básica sobre la utilización de las </w:t>
      </w:r>
      <w:r w:rsidR="00820F86" w:rsidRPr="00B2067F">
        <w:t>herramientas desarrolladas por la</w:t>
      </w:r>
      <w:r w:rsidRPr="00B2067F">
        <w:t xml:space="preserve"> UIT para las notificaciones de frecuencias y los exámenes técnicos. Los ejercicios del cursillo web permitieron a los participantes formarse tanto en los procedimientos como en el </w:t>
      </w:r>
      <w:r w:rsidRPr="00B2067F">
        <w:rPr>
          <w:i/>
        </w:rPr>
        <w:t>software</w:t>
      </w:r>
      <w:r w:rsidRPr="00B2067F">
        <w:t xml:space="preserve"> que el Sector de </w:t>
      </w:r>
      <w:r w:rsidRPr="00B2067F">
        <w:lastRenderedPageBreak/>
        <w:t xml:space="preserve">Radiocomunicaciones (UIT-R) utiliza para la tramitación de las notificaciones. Los participantes pudieron alternar entre servicios espaciales y terrenales. </w:t>
      </w:r>
    </w:p>
    <w:p w14:paraId="45C6D146" w14:textId="77777777" w:rsidR="0077746C" w:rsidRPr="00B2067F" w:rsidRDefault="0077746C" w:rsidP="0077746C">
      <w:r w:rsidRPr="00B2067F">
        <w:t xml:space="preserve">El SMR-20 acogió a 2 183 participantes de 159 países, lo que demuestra el gran éxito de este evento, que tuvo un número de participantes varias veces superior al de la media de las ediciones presenciales del SMR. </w:t>
      </w:r>
    </w:p>
    <w:p w14:paraId="77573788" w14:textId="77777777" w:rsidR="0077746C" w:rsidRPr="00B2067F" w:rsidRDefault="0077746C" w:rsidP="0077746C">
      <w:pPr>
        <w:pStyle w:val="Heading3"/>
      </w:pPr>
      <w:r w:rsidRPr="00B2067F">
        <w:t>8.2.2</w:t>
      </w:r>
      <w:r w:rsidRPr="00B2067F">
        <w:tab/>
        <w:t>Seminarios Regionales de Radiocomunicaciones</w:t>
      </w:r>
    </w:p>
    <w:p w14:paraId="67FA49B9" w14:textId="77777777" w:rsidR="0077746C" w:rsidRPr="00B2067F" w:rsidRDefault="0077746C" w:rsidP="0077746C">
      <w:r w:rsidRPr="00B2067F">
        <w:t>A fin de complementar los Seminarios Mundiales de Radiocomunicaciones de carácter bienal, la BR mantuvo su estrategia de divulgación regional mediante la organización de Seminarios Regionales de Radiocomunicaciones (SRR), con el objetivo de visitar todas las regiones en desarrollo del mundo e impulsar así la creación de capacidad en materia de utilización del espectro de radiofrecuencias y las órbitas de los satélites y, en particular, de aplicación de las disposiciones del Reglamento de Radiocomunicaciones de la UIT.</w:t>
      </w:r>
    </w:p>
    <w:p w14:paraId="07EB3F03" w14:textId="77777777" w:rsidR="0077746C" w:rsidRPr="00B2067F" w:rsidRDefault="0077746C" w:rsidP="0077746C">
      <w:r w:rsidRPr="00B2067F">
        <w:t>Los SRR se organizan junto con las autoridades de gestión del espectro de los países anfitriones, en estrecha colaboración con las organizaciones regionales pertinentes y las Oficinas Regionales y/o de Zona de la UIT. Su orden del día incluye dos días de sesiones teóricas y uno o dos días de talleres sobre servicios terrenales y espaciales, que se complementan con un foro de uno o dos días dedicado a temas relacionados con el espectro que revisten una importancia particular para la región correspondiente.</w:t>
      </w:r>
    </w:p>
    <w:p w14:paraId="66DD12C8" w14:textId="77777777" w:rsidR="0077746C" w:rsidRPr="00B2067F" w:rsidRDefault="0077746C" w:rsidP="0077746C">
      <w:r w:rsidRPr="00B2067F">
        <w:t>En 2020, se organizaron los dos SRR siguientes:</w:t>
      </w:r>
    </w:p>
    <w:p w14:paraId="4A266171" w14:textId="77777777" w:rsidR="0077746C" w:rsidRPr="00B2067F" w:rsidRDefault="0077746C" w:rsidP="0077746C">
      <w:pPr>
        <w:pStyle w:val="enumlev1"/>
        <w:rPr>
          <w:b/>
          <w:bCs/>
        </w:rPr>
      </w:pPr>
      <w:r w:rsidRPr="00B2067F">
        <w:rPr>
          <w:b/>
          <w:bCs/>
        </w:rPr>
        <w:t>•</w:t>
      </w:r>
      <w:r w:rsidRPr="00B2067F">
        <w:rPr>
          <w:b/>
          <w:bCs/>
        </w:rPr>
        <w:tab/>
        <w:t>Seminario Regional de Radiocomunicaciones de la UIT para la Región de las Américas 2020 (SRR-20 Américas)</w:t>
      </w:r>
    </w:p>
    <w:p w14:paraId="3D74FD46" w14:textId="77777777" w:rsidR="0077746C" w:rsidRPr="00B2067F" w:rsidRDefault="0077746C" w:rsidP="0077746C">
      <w:r w:rsidRPr="00B2067F">
        <w:t>El Seminario Regional de Radiocomunicaciones de la UIT para la Región de las Américas 2020 (SRR-20 Américas), organizado conjuntamente por la UIT (BR y Oficina Regional de las Américas) y la Unión de Telecomunicaciones del Caribe (CTU), debía celebrarse en el Caribe en la tercera semana de julio de 2020, con un formato tradicional (5 días, 6 horas por día), pero debido a la situación de la pandemia, se modificó su formato de la manera siguiente:</w:t>
      </w:r>
    </w:p>
    <w:p w14:paraId="4C253C5F" w14:textId="1E9607A0" w:rsidR="0077746C" w:rsidRPr="00B2067F" w:rsidRDefault="00820F86" w:rsidP="0077746C">
      <w:pPr>
        <w:pStyle w:val="enumlev1"/>
      </w:pPr>
      <w:r w:rsidRPr="00B2067F">
        <w:t>–</w:t>
      </w:r>
      <w:r w:rsidRPr="00B2067F">
        <w:tab/>
        <w:t>Sesiones en línea.</w:t>
      </w:r>
    </w:p>
    <w:p w14:paraId="4B89EF76" w14:textId="73A17ED4" w:rsidR="0077746C" w:rsidRPr="00B2067F" w:rsidRDefault="00820F86" w:rsidP="0077746C">
      <w:pPr>
        <w:pStyle w:val="enumlev1"/>
      </w:pPr>
      <w:r w:rsidRPr="00B2067F">
        <w:t>–</w:t>
      </w:r>
      <w:r w:rsidRPr="00B2067F">
        <w:tab/>
        <w:t>Dos</w:t>
      </w:r>
      <w:r w:rsidR="0077746C" w:rsidRPr="00B2067F">
        <w:t xml:space="preserve"> semanas (10 días), con solo 3 horas por día.</w:t>
      </w:r>
    </w:p>
    <w:p w14:paraId="05B471BD" w14:textId="084F3F41" w:rsidR="0077746C" w:rsidRPr="00B2067F" w:rsidRDefault="0077746C" w:rsidP="0077746C">
      <w:r w:rsidRPr="00B2067F">
        <w:t xml:space="preserve">El SRR-20 Américas se llevó a cabo en línea del 13 al 24 de julio de 2020, utilizando las licencias de Zoom de la CTU. Habida cuenta de la diferencia horaria, las sesiones </w:t>
      </w:r>
      <w:r w:rsidR="00820F86" w:rsidRPr="00B2067F">
        <w:t>se celebraron de 9.00 a </w:t>
      </w:r>
      <w:r w:rsidRPr="00B2067F">
        <w:t>12.30</w:t>
      </w:r>
      <w:r w:rsidR="00820F86" w:rsidRPr="00B2067F">
        <w:t xml:space="preserve"> horas, horario del Caribe (UTC–</w:t>
      </w:r>
      <w:r w:rsidRPr="00B2067F">
        <w:t>4H), es decir de 15.00 a 18.30 horas en Ginebra (horario de verano).</w:t>
      </w:r>
    </w:p>
    <w:p w14:paraId="767C1A67" w14:textId="5ADB2B0D" w:rsidR="0077746C" w:rsidRPr="00B2067F" w:rsidRDefault="0077746C" w:rsidP="0077746C">
      <w:r w:rsidRPr="00B2067F">
        <w:t>Del lunes 13 al jueves 16 de julio, el seminario celebró las sesiones plenarias, el viernes 7 y el lunes 20 de julio, el seminario se dedicó a cursillos sobre los procesos de coordinación y de notificación. El SRR-20 Américas se cerró con un Fo</w:t>
      </w:r>
      <w:r w:rsidR="004B693C">
        <w:t>ro de cuatro medios días sobre «</w:t>
      </w:r>
      <w:r w:rsidRPr="00B2067F">
        <w:rPr>
          <w:i/>
        </w:rPr>
        <w:t>Resultados de la CMR-19, retos y oportunidades para la Región</w:t>
      </w:r>
      <w:r w:rsidR="004B693C">
        <w:t>»</w:t>
      </w:r>
      <w:r w:rsidRPr="00B2067F">
        <w:t xml:space="preserve"> que juntó a las principales partes interesadas de la Región. Los temas tratados incluyeron: TDT, HTS, Constelaciones no OSG, ETEM, comunicaciones de emergencia, sistemas de transporte inteligentes, marítimos y aeronáuticos, sistemas IMT y de banda ancha, fijación de precios del espectro 5G, mesa redonda sobre los resultados de la CMR-19 y los desafíos del orden del día de la CMR-23. </w:t>
      </w:r>
    </w:p>
    <w:p w14:paraId="120DCAD8" w14:textId="77777777" w:rsidR="0077746C" w:rsidRPr="00B2067F" w:rsidRDefault="0077746C" w:rsidP="0077746C">
      <w:r w:rsidRPr="00B2067F">
        <w:t xml:space="preserve">La participación superó ampliamente las expectativas: en base a los SRR anteriores se preveía una participación de aproximadamente 40-60 participantes de 15-20 países, pero asistieron más de 350 participantes de 38 países al evento, incluidos 29 países de las Américas, lo que demuestra el gran éxito de este evento. </w:t>
      </w:r>
    </w:p>
    <w:p w14:paraId="362B89D3" w14:textId="0A7BAD62" w:rsidR="0077746C" w:rsidRPr="00B2067F" w:rsidRDefault="0077746C" w:rsidP="003C734A">
      <w:pPr>
        <w:pStyle w:val="enumlev1"/>
        <w:keepNext/>
        <w:rPr>
          <w:b/>
          <w:bCs/>
        </w:rPr>
      </w:pPr>
      <w:r w:rsidRPr="00B2067F">
        <w:rPr>
          <w:b/>
          <w:bCs/>
        </w:rPr>
        <w:lastRenderedPageBreak/>
        <w:t>•</w:t>
      </w:r>
      <w:r w:rsidRPr="00B2067F">
        <w:rPr>
          <w:b/>
          <w:bCs/>
        </w:rPr>
        <w:tab/>
        <w:t xml:space="preserve">Seminario Regional de Radiocomunicaciones de la </w:t>
      </w:r>
      <w:r w:rsidR="00820F86" w:rsidRPr="00B2067F">
        <w:rPr>
          <w:b/>
          <w:bCs/>
        </w:rPr>
        <w:t>UIT para la Región de Asia y el </w:t>
      </w:r>
      <w:r w:rsidRPr="00B2067F">
        <w:rPr>
          <w:b/>
          <w:bCs/>
        </w:rPr>
        <w:t>Pacifico (SRR</w:t>
      </w:r>
      <w:r w:rsidRPr="00B2067F">
        <w:rPr>
          <w:b/>
          <w:bCs/>
        </w:rPr>
        <w:noBreakHyphen/>
        <w:t>20 Asia-Pacífico)</w:t>
      </w:r>
    </w:p>
    <w:p w14:paraId="3F5336D3" w14:textId="77777777" w:rsidR="0077746C" w:rsidRPr="00B2067F" w:rsidRDefault="0077746C" w:rsidP="0077746C">
      <w:r w:rsidRPr="00B2067F">
        <w:t>El Seminario Regional de Radiocomunicaciones 2020 de la UIT para la Región de Asia y el Pacifico (SRR-20 Asia-Pacífico), organizado por la UIT (BR y Oficina Regional de Asia-Pacífico) en cooperación con la Telecomunidad Asia Pacífico (APT) debía celebrarse en un Estado insular del Pacífico en la tercera semana de octubre de 2020, con un formato tradicional (5 días, 6 horas por día), pero debido a la situación de la pandemia, se modificó el formato como el SRR-20 Américas. El SRR-20 Asia-Pacífico se llevó a cabo, por tanto, en línea del 19 al 30 de octubre de 2020, utilizando las licencias GoToWebinar de la UIT. Habida cuenta de la diferencia horaria, las sesiones se celebraron de 14.00 a 17.30 horas, horario de Bangkok (UTC+7H), es decir de 8.00 a 11.30 horas en horario de Ginebra.</w:t>
      </w:r>
    </w:p>
    <w:p w14:paraId="766B07F4" w14:textId="72DD89DA" w:rsidR="0077746C" w:rsidRPr="00B2067F" w:rsidRDefault="0077746C" w:rsidP="0077746C">
      <w:r w:rsidRPr="00B2067F">
        <w:t>Del lunes a jueves, del 19 al 22 de octubre, el seminario celebró las sesiones plenarias, el viernes y el lunes, 17 y 20 de octubre, el seminario se dedicó a cursillos sobre los procesos de coordinación y de notificación. El SRR-20 Asia-Pacífico concluyó con el Foro de cuatro medios días sobre</w:t>
      </w:r>
      <w:r w:rsidR="004B693C">
        <w:t xml:space="preserve"> «</w:t>
      </w:r>
      <w:r w:rsidRPr="00B2067F">
        <w:rPr>
          <w:i/>
        </w:rPr>
        <w:t>Resultados de la CMR-19, retos y oportunidades para la Región</w:t>
      </w:r>
      <w:r w:rsidR="004B693C">
        <w:t>»</w:t>
      </w:r>
      <w:r w:rsidRPr="00B2067F">
        <w:t xml:space="preserve"> juntando a las principales partes interesadas de la región. Los temas tratados incluyeron: Tendencias más recientes en radiodifusión, HTS, Constelaciones no OSG, ETEM, comunicaciones de emergencia, sistemas de transporte inteligentes, marítimos y aeronáuticos, sistemas IMT y de banda ancha, fijación de precios del espectro 5G, radio cognitiva y radio definida por </w:t>
      </w:r>
      <w:r w:rsidRPr="00B2067F">
        <w:rPr>
          <w:i/>
        </w:rPr>
        <w:t>software</w:t>
      </w:r>
      <w:r w:rsidRPr="00B2067F">
        <w:t>, mesa red</w:t>
      </w:r>
      <w:r w:rsidR="00820F86" w:rsidRPr="00B2067F">
        <w:t>onda sobre los resultados de la </w:t>
      </w:r>
      <w:r w:rsidRPr="00B2067F">
        <w:t>CMR-19 y los desafíos del orden del día de la CMR-23.</w:t>
      </w:r>
    </w:p>
    <w:p w14:paraId="031D0A8A" w14:textId="77777777" w:rsidR="0077746C" w:rsidRPr="00B2067F" w:rsidRDefault="0077746C" w:rsidP="0077746C">
      <w:r w:rsidRPr="00B2067F">
        <w:t>Como en el anterior SRR en línea, la participación superó ampliamente las expectativas: asistieron más de 300 participantes de 30 países al evento, así como 10 organismos internacionales y representantes de la industria de telecomunicaciones, operadores, organizaciones internacionales asociaciones e instituciones académicas de la Región Asia-Pacífico, lo que demuestra el gran éxito de este evento.</w:t>
      </w:r>
    </w:p>
    <w:p w14:paraId="0C29FD05" w14:textId="77777777" w:rsidR="0077746C" w:rsidRPr="00B2067F" w:rsidRDefault="0077746C" w:rsidP="0077746C">
      <w:r w:rsidRPr="00B2067F">
        <w:t>En el Cuadro 8.2.2-2 se muestra un resumen de los SRR celebrados durante 2020.</w:t>
      </w:r>
    </w:p>
    <w:p w14:paraId="41DC54BA" w14:textId="77777777" w:rsidR="0077746C" w:rsidRPr="00B2067F" w:rsidRDefault="0077746C" w:rsidP="0077746C"/>
    <w:p w14:paraId="3CAB3EF9" w14:textId="77777777" w:rsidR="0077746C" w:rsidRPr="00B2067F" w:rsidRDefault="0077746C" w:rsidP="0077746C">
      <w:pPr>
        <w:sectPr w:rsidR="0077746C" w:rsidRPr="00B2067F" w:rsidSect="004D6C09">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pPr>
    </w:p>
    <w:p w14:paraId="109BB818" w14:textId="77777777" w:rsidR="0077746C" w:rsidRPr="00B2067F" w:rsidRDefault="0077746C" w:rsidP="0077746C">
      <w:pPr>
        <w:pStyle w:val="TableNoBR"/>
      </w:pPr>
      <w:r w:rsidRPr="00B2067F">
        <w:lastRenderedPageBreak/>
        <w:t>CUADRO 8.2.2-2</w:t>
      </w:r>
    </w:p>
    <w:p w14:paraId="40F217D5" w14:textId="77777777" w:rsidR="0077746C" w:rsidRPr="00B2067F" w:rsidRDefault="0077746C" w:rsidP="0077746C">
      <w:pPr>
        <w:pStyle w:val="TabletitleBR"/>
      </w:pPr>
      <w:r w:rsidRPr="00B2067F">
        <w:t>Seminarios Regionales de Radiocomunicaciones de la UIT (2020)</w:t>
      </w:r>
    </w:p>
    <w:tbl>
      <w:tblPr>
        <w:tblW w:w="5000" w:type="pct"/>
        <w:jc w:val="center"/>
        <w:tblLayout w:type="fixed"/>
        <w:tblLook w:val="0420" w:firstRow="1" w:lastRow="0" w:firstColumn="0" w:lastColumn="0" w:noHBand="0" w:noVBand="1"/>
      </w:tblPr>
      <w:tblGrid>
        <w:gridCol w:w="1080"/>
        <w:gridCol w:w="1188"/>
        <w:gridCol w:w="993"/>
        <w:gridCol w:w="992"/>
        <w:gridCol w:w="1777"/>
        <w:gridCol w:w="6210"/>
        <w:gridCol w:w="810"/>
        <w:gridCol w:w="948"/>
      </w:tblGrid>
      <w:tr w:rsidR="0077746C" w:rsidRPr="00B2067F" w14:paraId="473A07FE" w14:textId="77777777" w:rsidTr="0077746C">
        <w:trPr>
          <w:jc w:val="center"/>
        </w:trPr>
        <w:tc>
          <w:tcPr>
            <w:tcW w:w="1080" w:type="dxa"/>
            <w:vAlign w:val="center"/>
            <w:hideMark/>
          </w:tcPr>
          <w:p w14:paraId="2289192D" w14:textId="77777777" w:rsidR="0077746C" w:rsidRPr="00B2067F" w:rsidRDefault="0077746C" w:rsidP="0077746C">
            <w:pPr>
              <w:pStyle w:val="Tablehead"/>
            </w:pPr>
            <w:r w:rsidRPr="00B2067F">
              <w:t>Fecha</w:t>
            </w:r>
          </w:p>
        </w:tc>
        <w:tc>
          <w:tcPr>
            <w:tcW w:w="1188" w:type="dxa"/>
            <w:vAlign w:val="center"/>
            <w:hideMark/>
          </w:tcPr>
          <w:p w14:paraId="0097A22D" w14:textId="77777777" w:rsidR="0077746C" w:rsidRPr="00B2067F" w:rsidRDefault="0077746C" w:rsidP="0077746C">
            <w:pPr>
              <w:pStyle w:val="Tablehead"/>
            </w:pPr>
            <w:bookmarkStart w:id="95" w:name="lt_pId1063"/>
            <w:r w:rsidRPr="00B2067F">
              <w:t>SRR</w:t>
            </w:r>
            <w:bookmarkEnd w:id="95"/>
          </w:p>
        </w:tc>
        <w:tc>
          <w:tcPr>
            <w:tcW w:w="993" w:type="dxa"/>
            <w:tcMar>
              <w:left w:w="0" w:type="dxa"/>
              <w:right w:w="0" w:type="dxa"/>
            </w:tcMar>
            <w:vAlign w:val="center"/>
            <w:hideMark/>
          </w:tcPr>
          <w:p w14:paraId="54354F1F" w14:textId="77777777" w:rsidR="0077746C" w:rsidRPr="00B2067F" w:rsidRDefault="0077746C" w:rsidP="0077746C">
            <w:pPr>
              <w:pStyle w:val="Tablehead"/>
            </w:pPr>
            <w:r w:rsidRPr="00B2067F">
              <w:t>Lugar</w:t>
            </w:r>
          </w:p>
        </w:tc>
        <w:tc>
          <w:tcPr>
            <w:tcW w:w="992" w:type="dxa"/>
            <w:tcMar>
              <w:left w:w="0" w:type="dxa"/>
              <w:right w:w="0" w:type="dxa"/>
            </w:tcMar>
            <w:vAlign w:val="center"/>
            <w:hideMark/>
          </w:tcPr>
          <w:p w14:paraId="1C2929A3" w14:textId="77777777" w:rsidR="0077746C" w:rsidRPr="00B2067F" w:rsidRDefault="0077746C" w:rsidP="0077746C">
            <w:pPr>
              <w:pStyle w:val="Tablehead"/>
            </w:pPr>
            <w:r w:rsidRPr="00B2067F">
              <w:t>Anfitrión</w:t>
            </w:r>
          </w:p>
        </w:tc>
        <w:tc>
          <w:tcPr>
            <w:tcW w:w="1777" w:type="dxa"/>
            <w:tcMar>
              <w:left w:w="0" w:type="dxa"/>
              <w:right w:w="0" w:type="dxa"/>
            </w:tcMar>
            <w:vAlign w:val="center"/>
            <w:hideMark/>
          </w:tcPr>
          <w:p w14:paraId="722F1B31" w14:textId="77777777" w:rsidR="0077746C" w:rsidRPr="00B2067F" w:rsidRDefault="0077746C" w:rsidP="0077746C">
            <w:pPr>
              <w:pStyle w:val="Tablehead"/>
            </w:pPr>
            <w:r w:rsidRPr="00B2067F">
              <w:t>Cooperación</w:t>
            </w:r>
          </w:p>
        </w:tc>
        <w:tc>
          <w:tcPr>
            <w:tcW w:w="6210" w:type="dxa"/>
            <w:tcMar>
              <w:left w:w="0" w:type="dxa"/>
              <w:right w:w="0" w:type="dxa"/>
            </w:tcMar>
            <w:vAlign w:val="center"/>
            <w:hideMark/>
          </w:tcPr>
          <w:p w14:paraId="143323DC" w14:textId="77777777" w:rsidR="0077746C" w:rsidRPr="00B2067F" w:rsidRDefault="0077746C" w:rsidP="0077746C">
            <w:pPr>
              <w:pStyle w:val="Tablehead"/>
            </w:pPr>
            <w:r w:rsidRPr="00B2067F">
              <w:t>Temas del Foro</w:t>
            </w:r>
          </w:p>
        </w:tc>
        <w:tc>
          <w:tcPr>
            <w:tcW w:w="810" w:type="dxa"/>
            <w:tcMar>
              <w:left w:w="0" w:type="dxa"/>
              <w:right w:w="0" w:type="dxa"/>
            </w:tcMar>
            <w:vAlign w:val="center"/>
            <w:hideMark/>
          </w:tcPr>
          <w:p w14:paraId="08F3688C" w14:textId="77777777" w:rsidR="0077746C" w:rsidRPr="00B2067F" w:rsidRDefault="0077746C" w:rsidP="0077746C">
            <w:pPr>
              <w:pStyle w:val="Tablehead"/>
            </w:pPr>
            <w:bookmarkStart w:id="96" w:name="lt_pId1068"/>
            <w:r w:rsidRPr="00B2067F">
              <w:t>Idiom</w:t>
            </w:r>
            <w:bookmarkEnd w:id="96"/>
            <w:r w:rsidRPr="00B2067F">
              <w:t>a</w:t>
            </w:r>
          </w:p>
        </w:tc>
        <w:tc>
          <w:tcPr>
            <w:tcW w:w="948" w:type="dxa"/>
            <w:tcMar>
              <w:left w:w="0" w:type="dxa"/>
              <w:right w:w="0" w:type="dxa"/>
            </w:tcMar>
            <w:vAlign w:val="center"/>
            <w:hideMark/>
          </w:tcPr>
          <w:p w14:paraId="7CFE6A1E" w14:textId="77777777" w:rsidR="0077746C" w:rsidRPr="00B2067F" w:rsidRDefault="0077746C" w:rsidP="0077746C">
            <w:pPr>
              <w:pStyle w:val="Tablehead"/>
            </w:pPr>
            <w:r w:rsidRPr="00B2067F">
              <w:t>Particip./</w:t>
            </w:r>
            <w:r w:rsidRPr="00B2067F">
              <w:br/>
              <w:t>Admin.</w:t>
            </w:r>
          </w:p>
        </w:tc>
      </w:tr>
      <w:tr w:rsidR="0077746C" w:rsidRPr="00B2067F" w14:paraId="0AE68A1A" w14:textId="77777777" w:rsidTr="0077746C">
        <w:trPr>
          <w:jc w:val="center"/>
        </w:trPr>
        <w:tc>
          <w:tcPr>
            <w:tcW w:w="13998" w:type="dxa"/>
            <w:gridSpan w:val="8"/>
            <w:tcBorders>
              <w:top w:val="single" w:sz="4" w:space="0" w:color="9CC2E5"/>
              <w:left w:val="single" w:sz="4" w:space="0" w:color="9CC2E5"/>
              <w:bottom w:val="single" w:sz="4" w:space="0" w:color="9CC2E5"/>
              <w:right w:val="single" w:sz="4" w:space="0" w:color="9CC2E5"/>
            </w:tcBorders>
            <w:shd w:val="clear" w:color="auto" w:fill="DEEAF6"/>
            <w:hideMark/>
          </w:tcPr>
          <w:p w14:paraId="1851884C" w14:textId="77777777" w:rsidR="0077746C" w:rsidRPr="00B2067F" w:rsidRDefault="0077746C" w:rsidP="0077746C">
            <w:pPr>
              <w:pStyle w:val="Tabletext"/>
              <w:jc w:val="center"/>
              <w:rPr>
                <w:b/>
                <w:bCs/>
              </w:rPr>
            </w:pPr>
            <w:r w:rsidRPr="00B2067F">
              <w:rPr>
                <w:b/>
                <w:bCs/>
              </w:rPr>
              <w:t>2020</w:t>
            </w:r>
          </w:p>
        </w:tc>
      </w:tr>
      <w:tr w:rsidR="0077746C" w:rsidRPr="00B2067F" w14:paraId="1FA4C6FF" w14:textId="77777777" w:rsidTr="0077746C">
        <w:trPr>
          <w:jc w:val="center"/>
        </w:trPr>
        <w:tc>
          <w:tcPr>
            <w:tcW w:w="1080" w:type="dxa"/>
            <w:tcBorders>
              <w:top w:val="single" w:sz="4" w:space="0" w:color="9CC2E5"/>
              <w:left w:val="single" w:sz="4" w:space="0" w:color="9CC2E5"/>
              <w:bottom w:val="single" w:sz="4" w:space="0" w:color="9CC2E5"/>
              <w:right w:val="single" w:sz="4" w:space="0" w:color="9CC2E5"/>
            </w:tcBorders>
            <w:hideMark/>
          </w:tcPr>
          <w:p w14:paraId="494CCDA7" w14:textId="77777777" w:rsidR="0077746C" w:rsidRPr="00B2067F" w:rsidRDefault="0077746C" w:rsidP="0077746C">
            <w:pPr>
              <w:pStyle w:val="Tabletext"/>
            </w:pPr>
            <w:r w:rsidRPr="00B2067F">
              <w:t>13-24 de julio de 2020</w:t>
            </w:r>
          </w:p>
        </w:tc>
        <w:tc>
          <w:tcPr>
            <w:tcW w:w="1188" w:type="dxa"/>
            <w:tcBorders>
              <w:top w:val="single" w:sz="4" w:space="0" w:color="9CC2E5"/>
              <w:left w:val="single" w:sz="4" w:space="0" w:color="9CC2E5"/>
              <w:bottom w:val="single" w:sz="4" w:space="0" w:color="9CC2E5"/>
              <w:right w:val="single" w:sz="4" w:space="0" w:color="9CC2E5"/>
            </w:tcBorders>
            <w:hideMark/>
          </w:tcPr>
          <w:p w14:paraId="227A6114" w14:textId="77777777" w:rsidR="0077746C" w:rsidRPr="00B2067F" w:rsidRDefault="0077746C" w:rsidP="0077746C">
            <w:pPr>
              <w:pStyle w:val="Tabletext"/>
            </w:pPr>
            <w:r w:rsidRPr="00B2067F">
              <w:t xml:space="preserve">SRR-20 </w:t>
            </w:r>
            <w:r w:rsidRPr="00B2067F">
              <w:br/>
              <w:t>Américas</w:t>
            </w:r>
          </w:p>
        </w:tc>
        <w:tc>
          <w:tcPr>
            <w:tcW w:w="993" w:type="dxa"/>
            <w:tcBorders>
              <w:top w:val="single" w:sz="4" w:space="0" w:color="9CC2E5"/>
              <w:left w:val="single" w:sz="4" w:space="0" w:color="9CC2E5"/>
              <w:bottom w:val="single" w:sz="4" w:space="0" w:color="9CC2E5"/>
              <w:right w:val="single" w:sz="4" w:space="0" w:color="9CC2E5"/>
            </w:tcBorders>
            <w:hideMark/>
          </w:tcPr>
          <w:p w14:paraId="4BEAF4D6" w14:textId="4478AA60" w:rsidR="0077746C" w:rsidRPr="00B2067F" w:rsidRDefault="00820F86" w:rsidP="0077746C">
            <w:pPr>
              <w:pStyle w:val="Tabletext"/>
            </w:pPr>
            <w:r w:rsidRPr="00B2067F">
              <w:t>R</w:t>
            </w:r>
            <w:r w:rsidR="0077746C" w:rsidRPr="00B2067F">
              <w:t>eunión en línea</w:t>
            </w:r>
          </w:p>
        </w:tc>
        <w:tc>
          <w:tcPr>
            <w:tcW w:w="992" w:type="dxa"/>
            <w:tcBorders>
              <w:top w:val="single" w:sz="4" w:space="0" w:color="9CC2E5"/>
              <w:left w:val="single" w:sz="4" w:space="0" w:color="9CC2E5"/>
              <w:bottom w:val="single" w:sz="4" w:space="0" w:color="9CC2E5"/>
              <w:right w:val="single" w:sz="4" w:space="0" w:color="9CC2E5"/>
            </w:tcBorders>
            <w:hideMark/>
          </w:tcPr>
          <w:p w14:paraId="0FBF94E8" w14:textId="77777777" w:rsidR="0077746C" w:rsidRPr="00B2067F" w:rsidRDefault="0077746C" w:rsidP="0077746C">
            <w:pPr>
              <w:pStyle w:val="Tabletext"/>
            </w:pPr>
            <w:r w:rsidRPr="00B2067F">
              <w:t>−</w:t>
            </w:r>
          </w:p>
        </w:tc>
        <w:tc>
          <w:tcPr>
            <w:tcW w:w="1777" w:type="dxa"/>
            <w:tcBorders>
              <w:top w:val="single" w:sz="4" w:space="0" w:color="9CC2E5"/>
              <w:left w:val="single" w:sz="4" w:space="0" w:color="9CC2E5"/>
              <w:bottom w:val="single" w:sz="4" w:space="0" w:color="9CC2E5"/>
              <w:right w:val="single" w:sz="4" w:space="0" w:color="9CC2E5"/>
            </w:tcBorders>
          </w:tcPr>
          <w:p w14:paraId="43C02F9E" w14:textId="77777777" w:rsidR="0077746C" w:rsidRPr="00B2067F" w:rsidRDefault="0077746C" w:rsidP="0077746C">
            <w:pPr>
              <w:pStyle w:val="Tabletext"/>
            </w:pPr>
            <w:r w:rsidRPr="00B2067F">
              <w:t>Unión de Telecomunicaciones del Caribe (CTU)</w:t>
            </w:r>
          </w:p>
          <w:p w14:paraId="3EEFA819" w14:textId="77777777" w:rsidR="0077746C" w:rsidRPr="00B2067F" w:rsidRDefault="0077746C" w:rsidP="0077746C">
            <w:pPr>
              <w:pStyle w:val="Tabletext"/>
            </w:pPr>
          </w:p>
          <w:p w14:paraId="0B10AFE9" w14:textId="77777777" w:rsidR="0077746C" w:rsidRPr="00B2067F" w:rsidRDefault="0077746C" w:rsidP="0077746C">
            <w:pPr>
              <w:pStyle w:val="Tabletext"/>
            </w:pPr>
            <w:r w:rsidRPr="00B2067F">
              <w:t xml:space="preserve">Oficina de la UIT para las Américas </w:t>
            </w:r>
          </w:p>
        </w:tc>
        <w:tc>
          <w:tcPr>
            <w:tcW w:w="6210" w:type="dxa"/>
            <w:tcBorders>
              <w:top w:val="single" w:sz="4" w:space="0" w:color="9CC2E5"/>
              <w:left w:val="single" w:sz="4" w:space="0" w:color="9CC2E5"/>
              <w:bottom w:val="single" w:sz="4" w:space="0" w:color="9CC2E5"/>
              <w:right w:val="single" w:sz="4" w:space="0" w:color="9CC2E5"/>
            </w:tcBorders>
            <w:hideMark/>
          </w:tcPr>
          <w:p w14:paraId="1A39358B" w14:textId="2047ADCA" w:rsidR="0077746C" w:rsidRPr="00B2067F" w:rsidRDefault="00B922BE" w:rsidP="00B922BE">
            <w:pPr>
              <w:pStyle w:val="Tabletext"/>
              <w:ind w:left="284" w:hanging="284"/>
            </w:pPr>
            <w:r w:rsidRPr="00B2067F">
              <w:t>•</w:t>
            </w:r>
            <w:r w:rsidRPr="00B2067F">
              <w:tab/>
            </w:r>
            <w:r w:rsidR="0077746C" w:rsidRPr="00B2067F">
              <w:t>Radiodifusión: hacia la TDT.</w:t>
            </w:r>
          </w:p>
          <w:p w14:paraId="1FC7DC4E" w14:textId="6D36AE9C" w:rsidR="0077746C" w:rsidRPr="00B2067F" w:rsidRDefault="00B922BE" w:rsidP="00B922BE">
            <w:pPr>
              <w:pStyle w:val="Tabletext"/>
              <w:ind w:left="284" w:hanging="284"/>
            </w:pPr>
            <w:r w:rsidRPr="00B2067F">
              <w:t>•</w:t>
            </w:r>
            <w:r w:rsidRPr="00B2067F">
              <w:tab/>
            </w:r>
            <w:r w:rsidR="0077746C" w:rsidRPr="00B2067F">
              <w:t xml:space="preserve">Sistemas de satélites: HTS, Constelaciones no OSG y ETEM. </w:t>
            </w:r>
          </w:p>
          <w:p w14:paraId="515B68C3" w14:textId="26D52211" w:rsidR="0077746C" w:rsidRPr="00B2067F" w:rsidRDefault="00B922BE" w:rsidP="00B922BE">
            <w:pPr>
              <w:pStyle w:val="Tabletext"/>
              <w:ind w:left="284" w:hanging="284"/>
            </w:pPr>
            <w:r w:rsidRPr="00B2067F">
              <w:t>•</w:t>
            </w:r>
            <w:r w:rsidRPr="00B2067F">
              <w:tab/>
            </w:r>
            <w:r w:rsidR="0077746C" w:rsidRPr="00B2067F">
              <w:t>Asistencia de la UIT para la preparación de un Plan Nacional para las Comunicaciones de Emergencia. Polí</w:t>
            </w:r>
            <w:r w:rsidR="00820F86" w:rsidRPr="00B2067F">
              <w:t>ticas y marcos de procedimiento.</w:t>
            </w:r>
          </w:p>
          <w:p w14:paraId="3ACEE52B" w14:textId="4712AF36" w:rsidR="0077746C" w:rsidRPr="00B2067F" w:rsidRDefault="00B922BE" w:rsidP="00B922BE">
            <w:pPr>
              <w:pStyle w:val="Tabletext"/>
              <w:ind w:left="284" w:hanging="284"/>
            </w:pPr>
            <w:r w:rsidRPr="00B2067F">
              <w:t>•</w:t>
            </w:r>
            <w:r w:rsidRPr="00B2067F">
              <w:tab/>
            </w:r>
            <w:r w:rsidR="0077746C" w:rsidRPr="00B2067F">
              <w:t>Sistemas IMT y de banda ancha: Bandas, estado de la región, servicio fijo, HAPS, RLAN/WiFi.</w:t>
            </w:r>
          </w:p>
          <w:p w14:paraId="2E3A84C7" w14:textId="14B04827" w:rsidR="0077746C" w:rsidRPr="00B2067F" w:rsidRDefault="00B922BE" w:rsidP="00B922BE">
            <w:pPr>
              <w:pStyle w:val="Tabletext"/>
              <w:ind w:left="284" w:hanging="284"/>
            </w:pPr>
            <w:r w:rsidRPr="00B2067F">
              <w:t>•</w:t>
            </w:r>
            <w:r w:rsidRPr="00B2067F">
              <w:tab/>
            </w:r>
            <w:r w:rsidR="0077746C" w:rsidRPr="00B2067F">
              <w:t>Principios generales, retos y enfoques de la fijación de precios del espectro 5G.</w:t>
            </w:r>
          </w:p>
          <w:p w14:paraId="16049E30" w14:textId="2069B1D7" w:rsidR="0077746C" w:rsidRPr="00B2067F" w:rsidRDefault="00B922BE" w:rsidP="00B922BE">
            <w:pPr>
              <w:pStyle w:val="Tabletext"/>
              <w:ind w:left="284" w:hanging="284"/>
            </w:pPr>
            <w:r w:rsidRPr="00B2067F">
              <w:t>•</w:t>
            </w:r>
            <w:r w:rsidRPr="00B2067F">
              <w:tab/>
            </w:r>
            <w:r w:rsidR="0077746C" w:rsidRPr="00B2067F">
              <w:t>Mesa redonda sobre los resultados de la CMR-19 y los desafíos del orden del día de la CMR-23.</w:t>
            </w:r>
          </w:p>
        </w:tc>
        <w:tc>
          <w:tcPr>
            <w:tcW w:w="810" w:type="dxa"/>
            <w:tcBorders>
              <w:top w:val="single" w:sz="4" w:space="0" w:color="9CC2E5"/>
              <w:left w:val="single" w:sz="4" w:space="0" w:color="9CC2E5"/>
              <w:bottom w:val="single" w:sz="4" w:space="0" w:color="9CC2E5"/>
              <w:right w:val="single" w:sz="4" w:space="0" w:color="9CC2E5"/>
            </w:tcBorders>
            <w:hideMark/>
          </w:tcPr>
          <w:p w14:paraId="4A354D63" w14:textId="7D99DBF8" w:rsidR="0077746C" w:rsidRPr="00B2067F" w:rsidRDefault="00820F86" w:rsidP="0077746C">
            <w:pPr>
              <w:pStyle w:val="Tabletext"/>
            </w:pPr>
            <w:r w:rsidRPr="00B2067F">
              <w:t>I</w:t>
            </w:r>
            <w:r w:rsidR="0077746C" w:rsidRPr="00B2067F">
              <w:t>nglés</w:t>
            </w:r>
          </w:p>
        </w:tc>
        <w:tc>
          <w:tcPr>
            <w:tcW w:w="948" w:type="dxa"/>
            <w:tcBorders>
              <w:top w:val="single" w:sz="4" w:space="0" w:color="9CC2E5"/>
              <w:left w:val="single" w:sz="4" w:space="0" w:color="9CC2E5"/>
              <w:bottom w:val="single" w:sz="4" w:space="0" w:color="9CC2E5"/>
              <w:right w:val="single" w:sz="4" w:space="0" w:color="9CC2E5"/>
            </w:tcBorders>
            <w:hideMark/>
          </w:tcPr>
          <w:p w14:paraId="79E6A069" w14:textId="77777777" w:rsidR="0077746C" w:rsidRPr="00B2067F" w:rsidRDefault="0077746C" w:rsidP="0077746C">
            <w:pPr>
              <w:pStyle w:val="Tabletext"/>
            </w:pPr>
            <w:r w:rsidRPr="00B2067F">
              <w:t>350/38</w:t>
            </w:r>
          </w:p>
        </w:tc>
      </w:tr>
      <w:tr w:rsidR="0077746C" w:rsidRPr="00B2067F" w14:paraId="68C62373" w14:textId="77777777" w:rsidTr="0077746C">
        <w:trPr>
          <w:jc w:val="center"/>
        </w:trPr>
        <w:tc>
          <w:tcPr>
            <w:tcW w:w="1080" w:type="dxa"/>
            <w:tcBorders>
              <w:top w:val="single" w:sz="4" w:space="0" w:color="9CC2E5"/>
              <w:left w:val="single" w:sz="4" w:space="0" w:color="9CC2E5"/>
              <w:bottom w:val="single" w:sz="4" w:space="0" w:color="9CC2E5"/>
              <w:right w:val="single" w:sz="4" w:space="0" w:color="9CC2E5"/>
            </w:tcBorders>
            <w:shd w:val="clear" w:color="auto" w:fill="DEEAF6"/>
            <w:hideMark/>
          </w:tcPr>
          <w:p w14:paraId="0F72D904" w14:textId="77777777" w:rsidR="0077746C" w:rsidRPr="00B2067F" w:rsidRDefault="0077746C" w:rsidP="0077746C">
            <w:pPr>
              <w:pStyle w:val="Tabletext"/>
            </w:pPr>
            <w:r w:rsidRPr="00B2067F">
              <w:t>19-30 de octubre de 2020</w:t>
            </w:r>
          </w:p>
        </w:tc>
        <w:tc>
          <w:tcPr>
            <w:tcW w:w="1188" w:type="dxa"/>
            <w:tcBorders>
              <w:top w:val="single" w:sz="4" w:space="0" w:color="9CC2E5"/>
              <w:left w:val="single" w:sz="4" w:space="0" w:color="9CC2E5"/>
              <w:bottom w:val="single" w:sz="4" w:space="0" w:color="9CC2E5"/>
              <w:right w:val="single" w:sz="4" w:space="0" w:color="9CC2E5"/>
            </w:tcBorders>
            <w:shd w:val="clear" w:color="auto" w:fill="DEEAF6"/>
            <w:hideMark/>
          </w:tcPr>
          <w:p w14:paraId="43FC20A8" w14:textId="77777777" w:rsidR="0077746C" w:rsidRPr="00B2067F" w:rsidRDefault="0077746C" w:rsidP="0077746C">
            <w:pPr>
              <w:pStyle w:val="Tabletext"/>
            </w:pPr>
            <w:r w:rsidRPr="00B2067F">
              <w:t xml:space="preserve">SRR-20 </w:t>
            </w:r>
            <w:r w:rsidRPr="00B2067F">
              <w:br/>
              <w:t>Asia-Pacífico</w:t>
            </w:r>
          </w:p>
        </w:tc>
        <w:tc>
          <w:tcPr>
            <w:tcW w:w="993" w:type="dxa"/>
            <w:tcBorders>
              <w:top w:val="single" w:sz="4" w:space="0" w:color="9CC2E5"/>
              <w:left w:val="single" w:sz="4" w:space="0" w:color="9CC2E5"/>
              <w:bottom w:val="single" w:sz="4" w:space="0" w:color="9CC2E5"/>
              <w:right w:val="single" w:sz="4" w:space="0" w:color="9CC2E5"/>
            </w:tcBorders>
            <w:shd w:val="clear" w:color="auto" w:fill="DEEAF6"/>
            <w:hideMark/>
          </w:tcPr>
          <w:p w14:paraId="3A7D9B55" w14:textId="727C6789" w:rsidR="0077746C" w:rsidRPr="00B2067F" w:rsidRDefault="00820F86" w:rsidP="0077746C">
            <w:pPr>
              <w:pStyle w:val="Tabletext"/>
            </w:pPr>
            <w:r w:rsidRPr="00B2067F">
              <w:t>R</w:t>
            </w:r>
            <w:r w:rsidR="0077746C" w:rsidRPr="00B2067F">
              <w:t>eunión en línea</w:t>
            </w:r>
          </w:p>
        </w:tc>
        <w:tc>
          <w:tcPr>
            <w:tcW w:w="992" w:type="dxa"/>
            <w:tcBorders>
              <w:top w:val="single" w:sz="4" w:space="0" w:color="9CC2E5"/>
              <w:left w:val="single" w:sz="4" w:space="0" w:color="9CC2E5"/>
              <w:bottom w:val="single" w:sz="4" w:space="0" w:color="9CC2E5"/>
              <w:right w:val="single" w:sz="4" w:space="0" w:color="9CC2E5"/>
            </w:tcBorders>
            <w:shd w:val="clear" w:color="auto" w:fill="DEEAF6"/>
            <w:hideMark/>
          </w:tcPr>
          <w:p w14:paraId="7FBCDE99" w14:textId="77777777" w:rsidR="0077746C" w:rsidRPr="00B2067F" w:rsidRDefault="0077746C" w:rsidP="0077746C">
            <w:pPr>
              <w:pStyle w:val="Tabletext"/>
            </w:pPr>
            <w:r w:rsidRPr="00B2067F">
              <w:t>−</w:t>
            </w:r>
          </w:p>
        </w:tc>
        <w:tc>
          <w:tcPr>
            <w:tcW w:w="1777" w:type="dxa"/>
            <w:tcBorders>
              <w:top w:val="single" w:sz="4" w:space="0" w:color="9CC2E5"/>
              <w:left w:val="single" w:sz="4" w:space="0" w:color="9CC2E5"/>
              <w:bottom w:val="single" w:sz="4" w:space="0" w:color="9CC2E5"/>
              <w:right w:val="single" w:sz="4" w:space="0" w:color="9CC2E5"/>
            </w:tcBorders>
            <w:shd w:val="clear" w:color="auto" w:fill="DEEAF6"/>
            <w:hideMark/>
          </w:tcPr>
          <w:p w14:paraId="0BB481CE" w14:textId="77777777" w:rsidR="0077746C" w:rsidRPr="00B2067F" w:rsidRDefault="0077746C" w:rsidP="0077746C">
            <w:pPr>
              <w:pStyle w:val="Tabletext"/>
            </w:pPr>
            <w:r w:rsidRPr="00B2067F">
              <w:t>Telecomunidad Asia</w:t>
            </w:r>
            <w:r w:rsidRPr="00B2067F">
              <w:noBreakHyphen/>
              <w:t>Pacífico (APT)</w:t>
            </w:r>
            <w:r w:rsidRPr="00B2067F">
              <w:br/>
            </w:r>
          </w:p>
          <w:p w14:paraId="26E476CE" w14:textId="77777777" w:rsidR="0077746C" w:rsidRPr="00B2067F" w:rsidRDefault="0077746C" w:rsidP="0077746C">
            <w:pPr>
              <w:pStyle w:val="Tabletext"/>
            </w:pPr>
            <w:r w:rsidRPr="00B2067F">
              <w:t>Oficina de la UIT para Asia- Pacífico</w:t>
            </w:r>
          </w:p>
        </w:tc>
        <w:tc>
          <w:tcPr>
            <w:tcW w:w="6210" w:type="dxa"/>
            <w:tcBorders>
              <w:top w:val="single" w:sz="4" w:space="0" w:color="9CC2E5"/>
              <w:left w:val="single" w:sz="4" w:space="0" w:color="9CC2E5"/>
              <w:bottom w:val="single" w:sz="4" w:space="0" w:color="9CC2E5"/>
              <w:right w:val="single" w:sz="4" w:space="0" w:color="9CC2E5"/>
            </w:tcBorders>
            <w:shd w:val="clear" w:color="auto" w:fill="DEEAF6"/>
            <w:hideMark/>
          </w:tcPr>
          <w:p w14:paraId="25AE94CE" w14:textId="0D2C7C35" w:rsidR="0077746C" w:rsidRPr="00B2067F" w:rsidRDefault="00B922BE" w:rsidP="00B922BE">
            <w:pPr>
              <w:pStyle w:val="Tabletext"/>
              <w:ind w:left="284" w:hanging="284"/>
            </w:pPr>
            <w:r w:rsidRPr="00B2067F">
              <w:t>•</w:t>
            </w:r>
            <w:r w:rsidRPr="00B2067F">
              <w:tab/>
            </w:r>
            <w:r w:rsidR="0077746C" w:rsidRPr="00B2067F">
              <w:t>Tendencias más recientes en radiodifusión.</w:t>
            </w:r>
          </w:p>
          <w:p w14:paraId="358F5FC1" w14:textId="05DE2EC2" w:rsidR="0077746C" w:rsidRPr="00B2067F" w:rsidRDefault="00B922BE" w:rsidP="00B922BE">
            <w:pPr>
              <w:pStyle w:val="Tabletext"/>
              <w:ind w:left="284" w:hanging="284"/>
            </w:pPr>
            <w:r w:rsidRPr="00B2067F">
              <w:t>•</w:t>
            </w:r>
            <w:r w:rsidRPr="00B2067F">
              <w:tab/>
            </w:r>
            <w:r w:rsidR="0077746C" w:rsidRPr="00B2067F">
              <w:t>Sistemas de satélites: HTS, Constelaciones no OSG y ETEM.</w:t>
            </w:r>
          </w:p>
          <w:p w14:paraId="58593C70" w14:textId="37186AA3" w:rsidR="0077746C" w:rsidRPr="00B2067F" w:rsidRDefault="00B922BE" w:rsidP="00B922BE">
            <w:pPr>
              <w:pStyle w:val="Tabletext"/>
              <w:ind w:left="284" w:hanging="284"/>
            </w:pPr>
            <w:r w:rsidRPr="00B2067F">
              <w:t>•</w:t>
            </w:r>
            <w:r w:rsidRPr="00B2067F">
              <w:tab/>
            </w:r>
            <w:r w:rsidR="0077746C" w:rsidRPr="00B2067F">
              <w:t>Planes Nacionales y de ba</w:t>
            </w:r>
            <w:r w:rsidR="00820F86" w:rsidRPr="00B2067F">
              <w:t>ndas para las Comunicaciones de </w:t>
            </w:r>
            <w:r w:rsidR="0077746C" w:rsidRPr="00B2067F">
              <w:t>Emergencia.</w:t>
            </w:r>
          </w:p>
          <w:p w14:paraId="72707FE8" w14:textId="4D60A320" w:rsidR="0077746C" w:rsidRPr="00B2067F" w:rsidRDefault="00B922BE" w:rsidP="00B922BE">
            <w:pPr>
              <w:pStyle w:val="Tabletext"/>
              <w:ind w:left="284" w:hanging="284"/>
            </w:pPr>
            <w:r w:rsidRPr="00B2067F">
              <w:t>•</w:t>
            </w:r>
            <w:r w:rsidRPr="00B2067F">
              <w:tab/>
            </w:r>
            <w:r w:rsidR="0077746C" w:rsidRPr="00B2067F">
              <w:t>Sis</w:t>
            </w:r>
            <w:r w:rsidRPr="00B2067F">
              <w:t xml:space="preserve">temas de transporte: </w:t>
            </w:r>
            <w:r w:rsidR="0077746C" w:rsidRPr="00B2067F">
              <w:t>aeronáuticos, marítimos e ITS.</w:t>
            </w:r>
          </w:p>
          <w:p w14:paraId="60E7E4B6" w14:textId="0B9F3D5C" w:rsidR="0077746C" w:rsidRPr="00B2067F" w:rsidRDefault="00B922BE" w:rsidP="00B922BE">
            <w:pPr>
              <w:pStyle w:val="Tabletext"/>
              <w:ind w:left="284" w:hanging="284"/>
            </w:pPr>
            <w:r w:rsidRPr="00B2067F">
              <w:t>•</w:t>
            </w:r>
            <w:r w:rsidRPr="00B2067F">
              <w:tab/>
            </w:r>
            <w:r w:rsidR="0077746C" w:rsidRPr="00B2067F">
              <w:t>Sistemas IMT y de banda ancha: Bandas, estado, fijo, HAPS, RLAN/WiFi.</w:t>
            </w:r>
          </w:p>
          <w:p w14:paraId="3B3DF6A7" w14:textId="56CF51DF" w:rsidR="0077746C" w:rsidRPr="00B2067F" w:rsidRDefault="00B922BE" w:rsidP="00B922BE">
            <w:pPr>
              <w:pStyle w:val="Tabletext"/>
              <w:ind w:left="284" w:hanging="284"/>
            </w:pPr>
            <w:r w:rsidRPr="00B2067F">
              <w:t>•</w:t>
            </w:r>
            <w:r w:rsidRPr="00B2067F">
              <w:tab/>
            </w:r>
            <w:r w:rsidR="0077746C" w:rsidRPr="00B2067F">
              <w:t>Principios generales, retos y enfoques de la fijación de precios del espectro 5G.</w:t>
            </w:r>
          </w:p>
          <w:p w14:paraId="532C4B05" w14:textId="21B9FE6B" w:rsidR="0077746C" w:rsidRPr="00B2067F" w:rsidRDefault="00B922BE" w:rsidP="00B922BE">
            <w:pPr>
              <w:pStyle w:val="Tabletext"/>
              <w:ind w:left="284" w:hanging="284"/>
            </w:pPr>
            <w:r w:rsidRPr="00B2067F">
              <w:t>•</w:t>
            </w:r>
            <w:r w:rsidRPr="00B2067F">
              <w:tab/>
            </w:r>
            <w:r w:rsidR="0077746C" w:rsidRPr="00B2067F">
              <w:t>Tendencias y desafíos en radio cognitiva y ra</w:t>
            </w:r>
            <w:r w:rsidR="00820F86" w:rsidRPr="00B2067F">
              <w:t>dio definida por </w:t>
            </w:r>
            <w:r w:rsidR="0077746C" w:rsidRPr="00B2067F">
              <w:rPr>
                <w:i/>
              </w:rPr>
              <w:t>software</w:t>
            </w:r>
            <w:r w:rsidR="0077746C" w:rsidRPr="00B2067F">
              <w:t>.</w:t>
            </w:r>
          </w:p>
          <w:p w14:paraId="6546DD4D" w14:textId="1F2AD512" w:rsidR="0077746C" w:rsidRPr="00B2067F" w:rsidRDefault="00B922BE" w:rsidP="00B922BE">
            <w:pPr>
              <w:pStyle w:val="Tabletext"/>
              <w:ind w:left="284" w:hanging="284"/>
              <w:rPr>
                <w:b/>
              </w:rPr>
            </w:pPr>
            <w:r w:rsidRPr="00B2067F">
              <w:t>•</w:t>
            </w:r>
            <w:r w:rsidRPr="00B2067F">
              <w:tab/>
            </w:r>
            <w:r w:rsidR="0077746C" w:rsidRPr="00B2067F">
              <w:t>Mesa redonda sobre los resultados de la CMR-19 y los desafíos del orden del día de la CMR-23.</w:t>
            </w:r>
          </w:p>
        </w:tc>
        <w:tc>
          <w:tcPr>
            <w:tcW w:w="810" w:type="dxa"/>
            <w:tcBorders>
              <w:top w:val="single" w:sz="4" w:space="0" w:color="9CC2E5"/>
              <w:left w:val="single" w:sz="4" w:space="0" w:color="9CC2E5"/>
              <w:bottom w:val="single" w:sz="4" w:space="0" w:color="9CC2E5"/>
              <w:right w:val="single" w:sz="4" w:space="0" w:color="9CC2E5"/>
            </w:tcBorders>
            <w:shd w:val="clear" w:color="auto" w:fill="DEEAF6"/>
            <w:hideMark/>
          </w:tcPr>
          <w:p w14:paraId="6AA4AEAF" w14:textId="77777777" w:rsidR="0077746C" w:rsidRPr="00B2067F" w:rsidRDefault="0077746C" w:rsidP="0077746C">
            <w:pPr>
              <w:pStyle w:val="Tabletext"/>
            </w:pPr>
            <w:r w:rsidRPr="00B2067F">
              <w:t>Inglés</w:t>
            </w:r>
          </w:p>
        </w:tc>
        <w:tc>
          <w:tcPr>
            <w:tcW w:w="948" w:type="dxa"/>
            <w:tcBorders>
              <w:top w:val="single" w:sz="4" w:space="0" w:color="9CC2E5"/>
              <w:left w:val="single" w:sz="4" w:space="0" w:color="9CC2E5"/>
              <w:bottom w:val="single" w:sz="4" w:space="0" w:color="9CC2E5"/>
              <w:right w:val="single" w:sz="4" w:space="0" w:color="9CC2E5"/>
            </w:tcBorders>
            <w:shd w:val="clear" w:color="auto" w:fill="DEEAF6"/>
            <w:hideMark/>
          </w:tcPr>
          <w:p w14:paraId="4ACE5600" w14:textId="77777777" w:rsidR="0077746C" w:rsidRPr="00B2067F" w:rsidRDefault="0077746C" w:rsidP="0077746C">
            <w:pPr>
              <w:pStyle w:val="Tabletext"/>
            </w:pPr>
            <w:r w:rsidRPr="00B2067F">
              <w:t>300/30</w:t>
            </w:r>
          </w:p>
        </w:tc>
      </w:tr>
    </w:tbl>
    <w:p w14:paraId="144AF0BC" w14:textId="77777777" w:rsidR="0077746C" w:rsidRPr="00B2067F" w:rsidRDefault="0077746C" w:rsidP="0077746C"/>
    <w:p w14:paraId="1A021CBD" w14:textId="77777777" w:rsidR="0077746C" w:rsidRPr="00B2067F" w:rsidRDefault="0077746C" w:rsidP="0077746C">
      <w:pPr>
        <w:sectPr w:rsidR="0077746C" w:rsidRPr="00B2067F" w:rsidSect="00A308AE">
          <w:headerReference w:type="first" r:id="rId33"/>
          <w:footerReference w:type="first" r:id="rId34"/>
          <w:pgSz w:w="16834" w:h="11907" w:orient="landscape"/>
          <w:pgMar w:top="1134" w:right="1418" w:bottom="1134" w:left="1418" w:header="720" w:footer="720" w:gutter="0"/>
          <w:paperSrc w:first="15" w:other="15"/>
          <w:cols w:space="720"/>
          <w:titlePg/>
          <w:docGrid w:linePitch="326"/>
        </w:sectPr>
      </w:pPr>
    </w:p>
    <w:p w14:paraId="5E153A3A" w14:textId="77777777" w:rsidR="0077746C" w:rsidRPr="00B2067F" w:rsidRDefault="0077746C" w:rsidP="0077746C">
      <w:pPr>
        <w:pStyle w:val="Heading3"/>
      </w:pPr>
      <w:bookmarkStart w:id="97" w:name="_Toc446060786"/>
      <w:r w:rsidRPr="00B2067F">
        <w:lastRenderedPageBreak/>
        <w:t>8.2.3</w:t>
      </w:r>
      <w:r w:rsidRPr="00B2067F">
        <w:tab/>
      </w:r>
      <w:bookmarkEnd w:id="97"/>
      <w:r w:rsidRPr="00B2067F">
        <w:t>Seminarios Mundiales y Regionales de Radiocomunicaciones previstos para 2021-2023</w:t>
      </w:r>
    </w:p>
    <w:p w14:paraId="6F67AC6B" w14:textId="77777777" w:rsidR="0077746C" w:rsidRPr="00B2067F" w:rsidRDefault="0077746C" w:rsidP="0077746C">
      <w:r w:rsidRPr="00B2067F">
        <w:t xml:space="preserve">En base a la planificación de SMR y SRR para 2020-2023 (Cuadro 8.2.2-1), se están considerando los siguientes seminarios en 2021: </w:t>
      </w:r>
    </w:p>
    <w:p w14:paraId="774E6D8B" w14:textId="1773811D" w:rsidR="0077746C" w:rsidRPr="00B2067F" w:rsidRDefault="0077746C" w:rsidP="0077746C">
      <w:pPr>
        <w:pStyle w:val="enumlev1"/>
      </w:pPr>
      <w:r w:rsidRPr="00B2067F">
        <w:t>–</w:t>
      </w:r>
      <w:r w:rsidRPr="00B2067F">
        <w:tab/>
        <w:t>SRR-21 África: primer trimestre de 2021, en línea, en inglés/francés</w:t>
      </w:r>
      <w:r w:rsidR="00B922BE" w:rsidRPr="00B2067F">
        <w:t>.</w:t>
      </w:r>
    </w:p>
    <w:p w14:paraId="16CD6443" w14:textId="49A91C1E" w:rsidR="0077746C" w:rsidRPr="00B2067F" w:rsidRDefault="0077746C" w:rsidP="0077746C">
      <w:pPr>
        <w:pStyle w:val="enumlev1"/>
      </w:pPr>
      <w:r w:rsidRPr="00B2067F">
        <w:t>–</w:t>
      </w:r>
      <w:r w:rsidRPr="00B2067F">
        <w:tab/>
        <w:t xml:space="preserve">SRR-21 Américas: segundo trimestre de 2021, en línea, en </w:t>
      </w:r>
      <w:r w:rsidR="00B922BE" w:rsidRPr="00B2067F">
        <w:t>español.</w:t>
      </w:r>
    </w:p>
    <w:p w14:paraId="608C0E11" w14:textId="56E4C0F6" w:rsidR="0077746C" w:rsidRPr="00B2067F" w:rsidRDefault="0077746C" w:rsidP="0077746C">
      <w:pPr>
        <w:pStyle w:val="enumlev1"/>
      </w:pPr>
      <w:r w:rsidRPr="00B2067F">
        <w:t>–</w:t>
      </w:r>
      <w:r w:rsidRPr="00B2067F">
        <w:tab/>
        <w:t>SRR-21 Asia-Pacífico: tercer trimestre de 2021, en línea, en inglés</w:t>
      </w:r>
      <w:r w:rsidR="00B922BE" w:rsidRPr="00B2067F">
        <w:t>.</w:t>
      </w:r>
    </w:p>
    <w:p w14:paraId="78049710" w14:textId="7AD34AB2" w:rsidR="0077746C" w:rsidRPr="00B2067F" w:rsidRDefault="0077746C" w:rsidP="0077746C">
      <w:pPr>
        <w:pStyle w:val="enumlev1"/>
      </w:pPr>
      <w:r w:rsidRPr="00B2067F">
        <w:t>–</w:t>
      </w:r>
      <w:r w:rsidRPr="00B2067F">
        <w:tab/>
        <w:t>SRR-21</w:t>
      </w:r>
      <w:r w:rsidR="00B922BE" w:rsidRPr="00B2067F">
        <w:t xml:space="preserve"> </w:t>
      </w:r>
      <w:r w:rsidRPr="00B2067F">
        <w:t>Estados Árabes: cuarto trimestre 2021, en línea, en árabe/inglés</w:t>
      </w:r>
      <w:r w:rsidR="00B922BE" w:rsidRPr="00B2067F">
        <w:t>.</w:t>
      </w:r>
    </w:p>
    <w:p w14:paraId="63242870" w14:textId="77777777" w:rsidR="0077746C" w:rsidRPr="00B2067F" w:rsidRDefault="0077746C" w:rsidP="0077746C">
      <w:r w:rsidRPr="00B2067F">
        <w:t xml:space="preserve">Como se ha indicado anteriormente, se está coordinando y ajustando la planificación de 2021 con las OR y los grupos regionales pertinentes, teniendo en cuenta los problemas que han surgido debido al brote de SARS-CoV-2 y los consiguientes cambios de formato necesarios para la celebración de estos eventos. </w:t>
      </w:r>
    </w:p>
    <w:p w14:paraId="7D30329E" w14:textId="77777777" w:rsidR="0077746C" w:rsidRPr="00B2067F" w:rsidRDefault="0077746C" w:rsidP="0077746C">
      <w:pPr>
        <w:pStyle w:val="Heading3"/>
      </w:pPr>
      <w:bookmarkStart w:id="98" w:name="_Toc446060787"/>
      <w:r w:rsidRPr="00B2067F">
        <w:t>8.2.4</w:t>
      </w:r>
      <w:r w:rsidRPr="00B2067F">
        <w:tab/>
      </w:r>
      <w:bookmarkEnd w:id="98"/>
      <w:r w:rsidRPr="00B2067F">
        <w:t>Otros eventos</w:t>
      </w:r>
    </w:p>
    <w:p w14:paraId="3D12C0C0" w14:textId="77777777" w:rsidR="0077746C" w:rsidRPr="00B2067F" w:rsidRDefault="0077746C" w:rsidP="0077746C">
      <w:bookmarkStart w:id="99" w:name="lt_pId1203"/>
      <w:r w:rsidRPr="00B2067F">
        <w:t xml:space="preserve">Los expertos de la BR siguieron asistiendo y prestando apoyo a diversos eventos como los organizados por organismos especializados de las Naciones Unidas y organizaciones regionales de telecomunicaciones, así como a conferencias y simposios no organizados por la UIT. La BR también organizó seminarios y talleres y respondió a solicitudes de asistencia de Estados Miembros. Debido a las restricciones de viaje provocadas por el brote de SARS-CoV-2, casi todas las reuniones se celebraron en línea, incluido grandes eventos como: </w:t>
      </w:r>
    </w:p>
    <w:bookmarkEnd w:id="99"/>
    <w:p w14:paraId="13794837" w14:textId="20457C95" w:rsidR="0077746C" w:rsidRPr="00B2067F" w:rsidRDefault="0077746C" w:rsidP="0077746C">
      <w:pPr>
        <w:pStyle w:val="enumlev1"/>
      </w:pPr>
      <w:r w:rsidRPr="00B2067F">
        <w:t>–</w:t>
      </w:r>
      <w:r w:rsidRPr="00B2067F">
        <w:tab/>
        <w:t>Taller de capacitación en cuestione</w:t>
      </w:r>
      <w:r w:rsidR="00B922BE" w:rsidRPr="00B2067F">
        <w:t>s de satélites de la SADC.</w:t>
      </w:r>
    </w:p>
    <w:p w14:paraId="2ED41DE1" w14:textId="07F8F308" w:rsidR="0077746C" w:rsidRPr="00B2067F" w:rsidRDefault="0077746C" w:rsidP="0077746C">
      <w:pPr>
        <w:pStyle w:val="enumlev1"/>
      </w:pPr>
      <w:r w:rsidRPr="00B2067F">
        <w:t>–</w:t>
      </w:r>
      <w:r w:rsidRPr="00B2067F">
        <w:tab/>
        <w:t>Taller UIT/UAT sobre la aplicación del punto 1.4 del orden del día de la CMR-19</w:t>
      </w:r>
      <w:r w:rsidR="00B922BE" w:rsidRPr="00B2067F">
        <w:t>.</w:t>
      </w:r>
    </w:p>
    <w:p w14:paraId="1A8B078C" w14:textId="4DCE5531" w:rsidR="0077746C" w:rsidRPr="00B2067F" w:rsidRDefault="0077746C" w:rsidP="0077746C">
      <w:pPr>
        <w:pStyle w:val="enumlev1"/>
      </w:pPr>
      <w:r w:rsidRPr="00B2067F">
        <w:t>–</w:t>
      </w:r>
      <w:r w:rsidRPr="00B2067F">
        <w:tab/>
        <w:t>Talleres UIT/PRIDA sobre gestión del espectro – inglés/francés</w:t>
      </w:r>
      <w:r w:rsidR="00B922BE" w:rsidRPr="00B2067F">
        <w:t>.</w:t>
      </w:r>
    </w:p>
    <w:p w14:paraId="62AD5249" w14:textId="4806F7F4" w:rsidR="0077746C" w:rsidRPr="00B2067F" w:rsidRDefault="0077746C" w:rsidP="0077746C">
      <w:pPr>
        <w:pStyle w:val="enumlev1"/>
      </w:pPr>
      <w:r w:rsidRPr="00B2067F">
        <w:t>–</w:t>
      </w:r>
      <w:r w:rsidRPr="00B2067F">
        <w:tab/>
        <w:t>Talleres UIT/PRIDA sobre IoT y servicios digitales – inglés/francés</w:t>
      </w:r>
      <w:r w:rsidR="00B922BE" w:rsidRPr="00B2067F">
        <w:t>.</w:t>
      </w:r>
    </w:p>
    <w:p w14:paraId="2E3A9EDA" w14:textId="11ECECE7" w:rsidR="0077746C" w:rsidRPr="00B2067F" w:rsidRDefault="0077746C" w:rsidP="0077746C">
      <w:pPr>
        <w:pStyle w:val="enumlev1"/>
      </w:pPr>
      <w:r w:rsidRPr="00B2067F">
        <w:t>–</w:t>
      </w:r>
      <w:r w:rsidRPr="00B2067F">
        <w:tab/>
        <w:t>Seminario Regional Europa y la CEI de la UIT</w:t>
      </w:r>
      <w:r w:rsidR="00F83593" w:rsidRPr="00B2067F">
        <w:t xml:space="preserve"> </w:t>
      </w:r>
      <w:r w:rsidRPr="00B2067F">
        <w:t>– Espectro y Radiodifusión</w:t>
      </w:r>
      <w:r w:rsidR="00B922BE" w:rsidRPr="00B2067F">
        <w:t>.</w:t>
      </w:r>
    </w:p>
    <w:p w14:paraId="19ECCCFE" w14:textId="16B6C6DF" w:rsidR="0077746C" w:rsidRPr="00B2067F" w:rsidRDefault="0077746C" w:rsidP="0077746C">
      <w:pPr>
        <w:pStyle w:val="enumlev1"/>
      </w:pPr>
      <w:r w:rsidRPr="00B2067F">
        <w:t>–</w:t>
      </w:r>
      <w:r w:rsidRPr="00B2067F">
        <w:tab/>
        <w:t>Talleres de los Grupos de Coordinación 1 a 4 – Optimización del Plan GE84 para los países africanos – inglés/francés</w:t>
      </w:r>
      <w:r w:rsidR="00B922BE" w:rsidRPr="00B2067F">
        <w:t>.</w:t>
      </w:r>
    </w:p>
    <w:p w14:paraId="2C80DDCD" w14:textId="5B1A730F" w:rsidR="0077746C" w:rsidRPr="00B2067F" w:rsidRDefault="0077746C" w:rsidP="0077746C">
      <w:pPr>
        <w:pStyle w:val="enumlev1"/>
      </w:pPr>
      <w:r w:rsidRPr="00B2067F">
        <w:t>–</w:t>
      </w:r>
      <w:r w:rsidRPr="00B2067F">
        <w:tab/>
        <w:t>Formación UIT/ITSO para las Américas</w:t>
      </w:r>
      <w:r w:rsidR="00B922BE" w:rsidRPr="00B2067F">
        <w:t>.</w:t>
      </w:r>
    </w:p>
    <w:p w14:paraId="66C9DDC8" w14:textId="317E5640" w:rsidR="0077746C" w:rsidRPr="00B2067F" w:rsidRDefault="0077746C" w:rsidP="0077746C">
      <w:pPr>
        <w:pStyle w:val="enumlev1"/>
      </w:pPr>
      <w:r w:rsidRPr="00B2067F">
        <w:t>–</w:t>
      </w:r>
      <w:r w:rsidRPr="00B2067F">
        <w:tab/>
        <w:t>Taller UIT sobre control técnico del espectro para la Región Árabe</w:t>
      </w:r>
      <w:r w:rsidR="00B922BE" w:rsidRPr="00B2067F">
        <w:t>.</w:t>
      </w:r>
    </w:p>
    <w:p w14:paraId="694E3977" w14:textId="77777777" w:rsidR="0077746C" w:rsidRPr="00B2067F" w:rsidRDefault="0077746C" w:rsidP="0077746C">
      <w:pPr>
        <w:pStyle w:val="Heading2"/>
      </w:pPr>
      <w:r w:rsidRPr="00B2067F">
        <w:t>8.3</w:t>
      </w:r>
      <w:r w:rsidRPr="00B2067F">
        <w:tab/>
        <w:t>Asistencia a los Estados Miembros, en particular a países en desarrollo y PMA</w:t>
      </w:r>
    </w:p>
    <w:p w14:paraId="78FF7513" w14:textId="77777777" w:rsidR="0077746C" w:rsidRPr="00B2067F" w:rsidRDefault="0077746C" w:rsidP="0077746C">
      <w:pPr>
        <w:pStyle w:val="Heading3"/>
      </w:pPr>
      <w:bookmarkStart w:id="100" w:name="_Toc424047611"/>
      <w:bookmarkStart w:id="101" w:name="_Toc446060789"/>
      <w:r w:rsidRPr="00B2067F">
        <w:t>8.3.1</w:t>
      </w:r>
      <w:r w:rsidRPr="00B2067F">
        <w:tab/>
      </w:r>
      <w:bookmarkEnd w:id="100"/>
      <w:bookmarkEnd w:id="101"/>
      <w:r w:rsidRPr="00B2067F">
        <w:t>Asistencia a las administraciones de los países en desarrollo</w:t>
      </w:r>
    </w:p>
    <w:p w14:paraId="7B3B5ADA" w14:textId="77777777" w:rsidR="0077746C" w:rsidRPr="00B2067F" w:rsidRDefault="0077746C" w:rsidP="0077746C">
      <w:r w:rsidRPr="00B2067F">
        <w:t>La Oficina siguió prestando asistencia a las administraciones de los países en desarrollo a través de medidas tales como:</w:t>
      </w:r>
    </w:p>
    <w:p w14:paraId="2F194E43" w14:textId="7C55EB0A" w:rsidR="0077746C" w:rsidRPr="00B2067F" w:rsidRDefault="00B922BE" w:rsidP="0077746C">
      <w:pPr>
        <w:pStyle w:val="enumlev1"/>
      </w:pPr>
      <w:r w:rsidRPr="00B2067F">
        <w:t>–</w:t>
      </w:r>
      <w:r w:rsidRPr="00B2067F">
        <w:tab/>
        <w:t>L</w:t>
      </w:r>
      <w:r w:rsidR="0077746C" w:rsidRPr="00B2067F">
        <w:t xml:space="preserve">a prestación de apoyo a las actividades nacionales de gestión del espectro en un entorno reglamentario en rápida evolución (véase la Resolución </w:t>
      </w:r>
      <w:r w:rsidR="0077746C" w:rsidRPr="00B2067F">
        <w:rPr>
          <w:b/>
          <w:bCs/>
        </w:rPr>
        <w:t>7 (Rev.CMR-19)</w:t>
      </w:r>
      <w:r w:rsidR="0077746C" w:rsidRPr="00B2067F">
        <w:t xml:space="preserve">), así como de asistencia técnica en el campo de las radiocomunicaciones espaciales (Resolución </w:t>
      </w:r>
      <w:r w:rsidR="0077746C" w:rsidRPr="00B2067F">
        <w:rPr>
          <w:b/>
          <w:bCs/>
        </w:rPr>
        <w:t>15 (Rev.CMR-03)</w:t>
      </w:r>
      <w:r w:rsidR="0077746C" w:rsidRPr="00B2067F">
        <w:t>), ya sea en la</w:t>
      </w:r>
      <w:r w:rsidRPr="00B2067F">
        <w:t xml:space="preserve"> sede de la UIT o en el terreno.</w:t>
      </w:r>
    </w:p>
    <w:p w14:paraId="78DC3DEC" w14:textId="678F447D" w:rsidR="0077746C" w:rsidRPr="00B2067F" w:rsidRDefault="00B922BE" w:rsidP="0077746C">
      <w:pPr>
        <w:pStyle w:val="enumlev1"/>
      </w:pPr>
      <w:r w:rsidRPr="00B2067F">
        <w:t>–</w:t>
      </w:r>
      <w:r w:rsidRPr="00B2067F">
        <w:tab/>
        <w:t>L</w:t>
      </w:r>
      <w:r w:rsidR="0077746C" w:rsidRPr="00B2067F">
        <w:t>a participación en las reuniones de los grupos de coordinación regional, como se estipula en el Artículo 12 del Reglamento de Radiocomunicaci</w:t>
      </w:r>
      <w:r w:rsidRPr="00B2067F">
        <w:t>ones.</w:t>
      </w:r>
    </w:p>
    <w:p w14:paraId="344081EB" w14:textId="7C961AB9" w:rsidR="0077746C" w:rsidRPr="00B2067F" w:rsidRDefault="00B922BE" w:rsidP="0077746C">
      <w:pPr>
        <w:pStyle w:val="enumlev1"/>
      </w:pPr>
      <w:r w:rsidRPr="00B2067F">
        <w:t>–</w:t>
      </w:r>
      <w:r w:rsidRPr="00B2067F">
        <w:tab/>
        <w:t>L</w:t>
      </w:r>
      <w:r w:rsidR="0077746C" w:rsidRPr="00B2067F">
        <w:t>a prestación de asistencia en relación con el plan de gestión del espectro a largo plazo para la banda ancha móvil y la asignación de frecuencias pa</w:t>
      </w:r>
      <w:r w:rsidRPr="00B2067F">
        <w:t>ra la banda ancha móvil (IMT).</w:t>
      </w:r>
    </w:p>
    <w:p w14:paraId="29C4DF87" w14:textId="62740EC1" w:rsidR="0077746C" w:rsidRPr="00B2067F" w:rsidRDefault="00B922BE" w:rsidP="0077746C">
      <w:pPr>
        <w:pStyle w:val="enumlev1"/>
      </w:pPr>
      <w:r w:rsidRPr="00B2067F">
        <w:t>–</w:t>
      </w:r>
      <w:r w:rsidRPr="00B2067F">
        <w:tab/>
        <w:t>L</w:t>
      </w:r>
      <w:r w:rsidR="0077746C" w:rsidRPr="00B2067F">
        <w:t>a provisión de directrices y apoyo técnico para la transición a la televisión digital y la atribución del dividendo digital.</w:t>
      </w:r>
    </w:p>
    <w:p w14:paraId="00BFF8A4" w14:textId="77777777" w:rsidR="0077746C" w:rsidRPr="00B2067F" w:rsidRDefault="0077746C" w:rsidP="0077746C">
      <w:r w:rsidRPr="00B2067F">
        <w:lastRenderedPageBreak/>
        <w:t xml:space="preserve">A lo largo del año 2020 se finalizaron las prestaciones de asistencia que estaban en curso. No se han recibido nuevas solicitudes directas. </w:t>
      </w:r>
    </w:p>
    <w:p w14:paraId="5FB260B3" w14:textId="77777777" w:rsidR="0077746C" w:rsidRPr="00B2067F" w:rsidRDefault="0077746C" w:rsidP="0077746C">
      <w:pPr>
        <w:pStyle w:val="Heading3"/>
      </w:pPr>
      <w:r w:rsidRPr="00B2067F">
        <w:t>8.3.2</w:t>
      </w:r>
      <w:r w:rsidRPr="00B2067F">
        <w:tab/>
        <w:t>Asistencia a los grupos regionales</w:t>
      </w:r>
    </w:p>
    <w:p w14:paraId="5934AAEA" w14:textId="77777777" w:rsidR="0077746C" w:rsidRPr="00B2067F" w:rsidRDefault="0077746C" w:rsidP="0077746C">
      <w:r w:rsidRPr="00B2067F">
        <w:t>La Oficina siguió participando en las reuniones de los grupos de coordinación regionales (por ejemplo, la HFCC) conforme a lo estipulado en el Artículo 12 del Reglamento de Radiocomunicaciones, prestando la asistencia y colaboración necesarias, como se indica a continuación.</w:t>
      </w:r>
    </w:p>
    <w:p w14:paraId="548DA9EC" w14:textId="77777777" w:rsidR="0077746C" w:rsidRPr="00B2067F" w:rsidRDefault="0077746C" w:rsidP="0077746C">
      <w:pPr>
        <w:pStyle w:val="Heading4"/>
      </w:pPr>
      <w:bookmarkStart w:id="102" w:name="_Toc424047613"/>
      <w:r w:rsidRPr="00B2067F">
        <w:t>8.3.2.1</w:t>
      </w:r>
      <w:r w:rsidRPr="00B2067F">
        <w:tab/>
      </w:r>
      <w:bookmarkStart w:id="103" w:name="lt_pId1318"/>
      <w:r w:rsidRPr="00B2067F">
        <w:t>Asistencia a la UAT</w:t>
      </w:r>
      <w:bookmarkEnd w:id="102"/>
      <w:bookmarkEnd w:id="103"/>
    </w:p>
    <w:p w14:paraId="59BCB78C" w14:textId="2CE71428" w:rsidR="0077746C" w:rsidRPr="00B2067F" w:rsidRDefault="0077746C" w:rsidP="0077746C">
      <w:r w:rsidRPr="00B2067F">
        <w:rPr>
          <w:b/>
          <w:bCs/>
        </w:rPr>
        <w:t>Proyecto de optimización del Plan GE84 para África:</w:t>
      </w:r>
      <w:r w:rsidRPr="00B2067F">
        <w:t xml:space="preserve"> La Oficina, en colaboración con la UAT, celebró un total de 5 talleres en línea (en inglés y en francés) en septiembre y octubre de 2020, y enero de 2021. La primera reunión de coordinación de frecuencias para la optimización del Plan GE84 para África se celebró en línea de</w:t>
      </w:r>
      <w:r w:rsidR="00B2067F">
        <w:t>l 15 al 19 de febrero de 2021.</w:t>
      </w:r>
    </w:p>
    <w:p w14:paraId="37DA5685" w14:textId="50B919F3" w:rsidR="0077746C" w:rsidRPr="00B2067F" w:rsidRDefault="0077746C" w:rsidP="0077746C">
      <w:pPr>
        <w:rPr>
          <w:bCs/>
        </w:rPr>
      </w:pPr>
      <w:bookmarkStart w:id="104" w:name="lt_pId1319"/>
      <w:r w:rsidRPr="00B2067F">
        <w:rPr>
          <w:b/>
        </w:rPr>
        <w:t>PRIDA</w:t>
      </w:r>
      <w:r w:rsidRPr="00B2067F">
        <w:rPr>
          <w:bCs/>
        </w:rPr>
        <w:t>: El proyecto de la Iniciativa de Política y Reglamentación para el África Digital (PRIDA) es una iniciativa de la Unión Africana, la Unión Europea y la UIT, en la que también participan comunidades económicas regionales, la UAT, asociaciones de reglamentación regionales, organismos reguladores nacionales y otros interesados. La BR, junto con la BDT, participa activamente en la iniciativa encaminada al</w:t>
      </w:r>
      <w:r w:rsidR="004B693C">
        <w:rPr>
          <w:bCs/>
        </w:rPr>
        <w:t xml:space="preserve"> «</w:t>
      </w:r>
      <w:r w:rsidR="00CC1EC2" w:rsidRPr="00B2067F">
        <w:rPr>
          <w:bCs/>
          <w:i/>
          <w:iCs/>
        </w:rPr>
        <w:t>A</w:t>
      </w:r>
      <w:r w:rsidRPr="00B2067F">
        <w:rPr>
          <w:bCs/>
          <w:i/>
          <w:iCs/>
        </w:rPr>
        <w:t>umento de la penetración de la banda ancha inalámbrica a través de la mejora y la armonización de la utilización del espectro y la reglamentación</w:t>
      </w:r>
      <w:r w:rsidR="004B693C">
        <w:rPr>
          <w:bCs/>
          <w:i/>
          <w:iCs/>
        </w:rPr>
        <w:t>»</w:t>
      </w:r>
      <w:r w:rsidRPr="00B2067F">
        <w:rPr>
          <w:bCs/>
        </w:rPr>
        <w:t>. En ese sentido, en el transcurso de 2020 se celebraron las cinco reuniones siguientes:</w:t>
      </w:r>
      <w:bookmarkEnd w:id="104"/>
    </w:p>
    <w:p w14:paraId="4E35EBEE" w14:textId="723AE51C" w:rsidR="0077746C" w:rsidRPr="00B2067F" w:rsidRDefault="0077746C" w:rsidP="0077746C">
      <w:pPr>
        <w:pStyle w:val="enumlev1"/>
      </w:pPr>
      <w:r w:rsidRPr="00B2067F">
        <w:t>–</w:t>
      </w:r>
      <w:r w:rsidRPr="00B2067F">
        <w:tab/>
        <w:t>Taller sobre técnicas modernas de gestión del espectro y el SMS4DC (Sistema de Gestión del Espectro para Países en Desarrollo), en inglés: Zanz</w:t>
      </w:r>
      <w:r w:rsidR="00B922BE" w:rsidRPr="00B2067F">
        <w:t>íbar, Tanzania, 2-4 de marzo de </w:t>
      </w:r>
      <w:r w:rsidRPr="00B2067F">
        <w:t>2020.</w:t>
      </w:r>
    </w:p>
    <w:p w14:paraId="05A8EB79" w14:textId="2C99F079" w:rsidR="0077746C" w:rsidRPr="00B2067F" w:rsidRDefault="0077746C" w:rsidP="0077746C">
      <w:pPr>
        <w:pStyle w:val="enumlev1"/>
      </w:pPr>
      <w:r w:rsidRPr="00B2067F">
        <w:t>–</w:t>
      </w:r>
      <w:r w:rsidRPr="00B2067F">
        <w:tab/>
        <w:t xml:space="preserve">Taller sobre técnicas modernas de gestión del espectro y el </w:t>
      </w:r>
      <w:r w:rsidR="00CC1EC2" w:rsidRPr="00B2067F">
        <w:t>SMS4DC, en inglés, en línea del </w:t>
      </w:r>
      <w:r w:rsidRPr="00B2067F">
        <w:t xml:space="preserve">20 de abril al 1 de mayo de 2020. </w:t>
      </w:r>
    </w:p>
    <w:p w14:paraId="3C5E248C" w14:textId="77777777" w:rsidR="0077746C" w:rsidRPr="00B2067F" w:rsidRDefault="0077746C" w:rsidP="0077746C">
      <w:pPr>
        <w:pStyle w:val="enumlev1"/>
      </w:pPr>
      <w:r w:rsidRPr="00B2067F">
        <w:t>–</w:t>
      </w:r>
      <w:r w:rsidRPr="00B2067F">
        <w:tab/>
        <w:t>Taller sobre técnicas modernas de gestión del espectro y el SMS4DC, en francés, en línea del 11 al 22 de mayo de 2020.</w:t>
      </w:r>
    </w:p>
    <w:p w14:paraId="02ACF36B" w14:textId="77777777" w:rsidR="0077746C" w:rsidRPr="00B2067F" w:rsidRDefault="0077746C" w:rsidP="0077746C">
      <w:pPr>
        <w:pStyle w:val="enumlev1"/>
      </w:pPr>
      <w:r w:rsidRPr="00B2067F">
        <w:t>–</w:t>
      </w:r>
      <w:r w:rsidRPr="00B2067F">
        <w:tab/>
        <w:t>Taller sobre IoT y servicios digitales, en francés, en línea del 24 al 28 de agosto de 2020.</w:t>
      </w:r>
    </w:p>
    <w:p w14:paraId="4002FA35" w14:textId="77777777" w:rsidR="0077746C" w:rsidRPr="00B2067F" w:rsidRDefault="0077746C" w:rsidP="0077746C">
      <w:pPr>
        <w:pStyle w:val="enumlev1"/>
      </w:pPr>
      <w:r w:rsidRPr="00B2067F">
        <w:t>–</w:t>
      </w:r>
      <w:r w:rsidRPr="00B2067F">
        <w:tab/>
        <w:t>Taller sobre IoT y servicios digitales, en inglés, en línea del 7 al 11 de septiembre de 2020.</w:t>
      </w:r>
    </w:p>
    <w:p w14:paraId="4D458EC9" w14:textId="77777777" w:rsidR="0077746C" w:rsidRPr="00B2067F" w:rsidRDefault="0077746C" w:rsidP="0077746C">
      <w:pPr>
        <w:pStyle w:val="Heading2"/>
      </w:pPr>
      <w:bookmarkStart w:id="105" w:name="_Toc446060792"/>
      <w:bookmarkStart w:id="106" w:name="_Toc424047620"/>
      <w:bookmarkStart w:id="107" w:name="_Toc418232300"/>
      <w:bookmarkStart w:id="108" w:name="_Toc418163382"/>
      <w:r w:rsidRPr="00B2067F">
        <w:t>8.4</w:t>
      </w:r>
      <w:r w:rsidRPr="00B2067F">
        <w:tab/>
      </w:r>
      <w:bookmarkStart w:id="109" w:name="lt_pId1333"/>
      <w:r w:rsidRPr="00B2067F">
        <w:t>Asociaciones estratégicas, incluida la cooperación intersectorial</w:t>
      </w:r>
      <w:bookmarkEnd w:id="105"/>
      <w:bookmarkEnd w:id="106"/>
      <w:bookmarkEnd w:id="107"/>
      <w:bookmarkEnd w:id="108"/>
      <w:bookmarkEnd w:id="109"/>
    </w:p>
    <w:p w14:paraId="00838319" w14:textId="77777777" w:rsidR="0077746C" w:rsidRPr="00B2067F" w:rsidRDefault="0077746C" w:rsidP="0077746C">
      <w:bookmarkStart w:id="110" w:name="lt_pId1334"/>
      <w:r w:rsidRPr="00B2067F">
        <w:t>Debido al brote de SARS-CoV-2, solo se ha celebrado un taller de capacitación UIT/ITSO sobre comunicaciones por satélite, organizado como evento en línea para las Américas del 2 al 27 de noviembre de 2020. Este taller forma parte de una colaboración entre la UIT y la ITSO para la impartición de formación relacionada con las comunicaciones por satélite</w:t>
      </w:r>
      <w:bookmarkEnd w:id="110"/>
      <w:r w:rsidRPr="00B2067F">
        <w:t>.</w:t>
      </w:r>
    </w:p>
    <w:p w14:paraId="504913E6" w14:textId="77777777" w:rsidR="0077746C" w:rsidRPr="00B2067F" w:rsidRDefault="0077746C" w:rsidP="0077746C">
      <w:pPr>
        <w:pStyle w:val="Heading3"/>
      </w:pPr>
      <w:bookmarkStart w:id="111" w:name="_Toc427230145"/>
      <w:bookmarkStart w:id="112" w:name="_Toc427158785"/>
      <w:bookmarkStart w:id="113" w:name="_Toc427046906"/>
      <w:bookmarkStart w:id="114" w:name="_Toc20478083"/>
      <w:r w:rsidRPr="00B2067F">
        <w:t>8.4.1</w:t>
      </w:r>
      <w:r w:rsidRPr="00B2067F">
        <w:tab/>
        <w:t>Cooperación con el UIT-D</w:t>
      </w:r>
      <w:bookmarkEnd w:id="111"/>
      <w:bookmarkEnd w:id="112"/>
      <w:bookmarkEnd w:id="113"/>
      <w:bookmarkEnd w:id="114"/>
    </w:p>
    <w:p w14:paraId="1E8D32C7" w14:textId="77777777" w:rsidR="0077746C" w:rsidRPr="00B2067F" w:rsidRDefault="0077746C" w:rsidP="0077746C">
      <w:r w:rsidRPr="00B2067F">
        <w:t>La Oficina de Radiocomunicaciones mantiene una estrecha colaboración con la BDT en asuntos de interés común al UIT-R y el UIT</w:t>
      </w:r>
      <w:r w:rsidRPr="00B2067F">
        <w:noBreakHyphen/>
        <w:t>D. Además, la BR ha participado en las reuniones pertinentes de las Comisiones de Estudio del UIT-D, los Grupos de Relator y el GADT, donde las actividades de coordinación han incluido temas como la gestión del espectro, la radiodifusión digital y la migración de los sistemas analógicos, la transición a las IMT y su implantación, y las tecnologías de acceso inalámbrico de banda ancha. Todo ello se suma a la colaboración llevada a cabo en el marco de la Cuestión 9-3/2 del UIT</w:t>
      </w:r>
      <w:r w:rsidRPr="00B2067F">
        <w:noBreakHyphen/>
        <w:t>D, que solicita la identificación de temas de estudio del UIT-R (y el UIT-T) que revistan un interés particular para los países en desarrollo.</w:t>
      </w:r>
    </w:p>
    <w:p w14:paraId="29E1C187" w14:textId="77777777" w:rsidR="0077746C" w:rsidRPr="00B2067F" w:rsidRDefault="0077746C" w:rsidP="0077746C">
      <w:bookmarkStart w:id="115" w:name="lt_pId1351"/>
      <w:r w:rsidRPr="00B2067F">
        <w:lastRenderedPageBreak/>
        <w:t>En estrecha cooperación con la BDT y las oficinas regionales y de zona de la UIT, así como con otras organizaciones internacionales y autoridades nacionales relevantes, la BR participó en la organización y el desarrollo de los siguientes eventos en línea:</w:t>
      </w:r>
      <w:bookmarkEnd w:id="115"/>
    </w:p>
    <w:p w14:paraId="54CA2B96" w14:textId="3B42EE4E" w:rsidR="0077746C" w:rsidRPr="00B2067F" w:rsidRDefault="0077746C" w:rsidP="0077746C">
      <w:pPr>
        <w:pStyle w:val="enumlev1"/>
      </w:pPr>
      <w:r w:rsidRPr="00B2067F">
        <w:t>–</w:t>
      </w:r>
      <w:r w:rsidRPr="00B2067F">
        <w:tab/>
        <w:t>Seminario regional de la UIT para Europa y la CEI– Espectro y radiodifusión, 1-2 de julio de 2020</w:t>
      </w:r>
      <w:r w:rsidR="00B922BE" w:rsidRPr="00B2067F">
        <w:t>.</w:t>
      </w:r>
    </w:p>
    <w:p w14:paraId="6AF707A2" w14:textId="4B5BF75E" w:rsidR="0077746C" w:rsidRPr="00B2067F" w:rsidRDefault="0077746C" w:rsidP="0077746C">
      <w:pPr>
        <w:pStyle w:val="enumlev1"/>
      </w:pPr>
      <w:r w:rsidRPr="00B2067F">
        <w:t>–</w:t>
      </w:r>
      <w:r w:rsidRPr="00B2067F">
        <w:tab/>
        <w:t>Conferencia conjunta de la UIT para Europa y la CEI sobre 5G, 22-23 de octubre de 2020</w:t>
      </w:r>
      <w:r w:rsidR="00B922BE" w:rsidRPr="00B2067F">
        <w:t>.</w:t>
      </w:r>
    </w:p>
    <w:p w14:paraId="21ECD281" w14:textId="7E572868" w:rsidR="0077746C" w:rsidRPr="00B2067F" w:rsidRDefault="0077746C" w:rsidP="0077746C">
      <w:pPr>
        <w:pStyle w:val="enumlev1"/>
      </w:pPr>
      <w:r w:rsidRPr="00B2067F">
        <w:t>–</w:t>
      </w:r>
      <w:r w:rsidRPr="00B2067F">
        <w:tab/>
        <w:t>Taller de la UIT para la Región Árabe sobre control técnico del espectro, 9-11 de noviembre de 2020</w:t>
      </w:r>
      <w:r w:rsidR="00B922BE" w:rsidRPr="00B2067F">
        <w:t>.</w:t>
      </w:r>
    </w:p>
    <w:p w14:paraId="1554740F" w14:textId="077C52CA" w:rsidR="0077746C" w:rsidRPr="00B2067F" w:rsidRDefault="0077746C" w:rsidP="0077746C">
      <w:pPr>
        <w:pStyle w:val="enumlev1"/>
      </w:pPr>
      <w:r w:rsidRPr="00B2067F">
        <w:t>–</w:t>
      </w:r>
      <w:r w:rsidRPr="00B2067F">
        <w:tab/>
        <w:t>Taller UIT/CITC sobre Espectro radioeléctrico para las IMT-2020 y posteriores, 8-10 de diciembre de 2020</w:t>
      </w:r>
      <w:r w:rsidR="00B922BE" w:rsidRPr="00B2067F">
        <w:t>.</w:t>
      </w:r>
    </w:p>
    <w:p w14:paraId="63F52B14" w14:textId="77777777" w:rsidR="0077746C" w:rsidRPr="00B2067F" w:rsidRDefault="0077746C" w:rsidP="0077746C">
      <w:pPr>
        <w:pStyle w:val="Heading4"/>
      </w:pPr>
      <w:bookmarkStart w:id="116" w:name="_Toc427230146"/>
      <w:bookmarkStart w:id="117" w:name="_Toc427158786"/>
      <w:bookmarkStart w:id="118" w:name="_Toc427046907"/>
      <w:bookmarkStart w:id="119" w:name="_Toc20478084"/>
      <w:r w:rsidRPr="00B2067F">
        <w:t>8.4.1.1</w:t>
      </w:r>
      <w:r w:rsidRPr="00B2067F">
        <w:tab/>
        <w:t>Simposio Mundial para Organismos Reguladores</w:t>
      </w:r>
      <w:bookmarkEnd w:id="116"/>
      <w:bookmarkEnd w:id="117"/>
      <w:bookmarkEnd w:id="118"/>
      <w:bookmarkEnd w:id="119"/>
      <w:r w:rsidRPr="00B2067F">
        <w:t xml:space="preserve"> (GSR)</w:t>
      </w:r>
    </w:p>
    <w:p w14:paraId="4F8290FB" w14:textId="060A4AD4" w:rsidR="0077746C" w:rsidRPr="00B2067F" w:rsidRDefault="0077746C" w:rsidP="0077746C">
      <w:pPr>
        <w:rPr>
          <w:bCs/>
        </w:rPr>
      </w:pPr>
      <w:r w:rsidRPr="00B2067F">
        <w:rPr>
          <w:bCs/>
        </w:rPr>
        <w:t>La BR contribuyó al Simposio Mundial para Organismos Reguladores de la UIT en 2020 participando en un panel de debate sobre la función del espectro en el proceso de transformación digital y los principios de concesión de licencias para nuevos s</w:t>
      </w:r>
      <w:r w:rsidR="00B2067F">
        <w:rPr>
          <w:bCs/>
        </w:rPr>
        <w:t>ervicios.</w:t>
      </w:r>
    </w:p>
    <w:p w14:paraId="5F00CA8B" w14:textId="77777777" w:rsidR="0077746C" w:rsidRPr="00B2067F" w:rsidRDefault="0077746C" w:rsidP="0077746C">
      <w:pPr>
        <w:pStyle w:val="Heading4"/>
      </w:pPr>
      <w:bookmarkStart w:id="120" w:name="_Toc424047623"/>
      <w:r w:rsidRPr="00B2067F">
        <w:t>8.4.1.2</w:t>
      </w:r>
      <w:bookmarkStart w:id="121" w:name="lt_pId1359"/>
      <w:r w:rsidRPr="00B2067F">
        <w:tab/>
      </w:r>
      <w:bookmarkEnd w:id="120"/>
      <w:bookmarkEnd w:id="121"/>
      <w:r w:rsidRPr="00B2067F">
        <w:t>Simposio Mundial sobre Indicadores de Telecomunicaciones/TIC</w:t>
      </w:r>
    </w:p>
    <w:p w14:paraId="3C671CC6" w14:textId="23D68668" w:rsidR="0077746C" w:rsidRPr="00B2067F" w:rsidRDefault="0077746C" w:rsidP="0077746C">
      <w:r w:rsidRPr="00B2067F">
        <w:t>El SMIT 2020 se celebró en línea del 1 al 3 de diciembre de 2020. La BR y la BDT apoyaron conjuntamente los debates relativos a las asignaciones y atribuci</w:t>
      </w:r>
      <w:r w:rsidR="00B922BE" w:rsidRPr="00B2067F">
        <w:t>ones de espectro nacional a las </w:t>
      </w:r>
      <w:r w:rsidRPr="00B2067F">
        <w:t xml:space="preserve">IMT. </w:t>
      </w:r>
    </w:p>
    <w:p w14:paraId="5AC7AF72" w14:textId="77777777" w:rsidR="0077746C" w:rsidRPr="00B2067F" w:rsidRDefault="0077746C" w:rsidP="0077746C">
      <w:pPr>
        <w:pStyle w:val="Heading4"/>
      </w:pPr>
      <w:bookmarkStart w:id="122" w:name="_Toc427230147"/>
      <w:bookmarkStart w:id="123" w:name="_Toc427158787"/>
      <w:bookmarkStart w:id="124" w:name="_Toc427046908"/>
      <w:bookmarkStart w:id="125" w:name="_Toc20478085"/>
      <w:r w:rsidRPr="00B2067F">
        <w:t>8.4.1.3</w:t>
      </w:r>
      <w:r w:rsidRPr="00B2067F">
        <w:tab/>
        <w:t xml:space="preserve">Encuesta sobre las TIC y </w:t>
      </w:r>
      <w:bookmarkEnd w:id="122"/>
      <w:bookmarkEnd w:id="123"/>
      <w:bookmarkEnd w:id="124"/>
      <w:bookmarkEnd w:id="125"/>
      <w:r w:rsidRPr="00B2067F">
        <w:t>la base de datos ICT Eye</w:t>
      </w:r>
    </w:p>
    <w:p w14:paraId="39A28840" w14:textId="77777777" w:rsidR="0077746C" w:rsidRPr="00B2067F" w:rsidRDefault="0077746C" w:rsidP="0077746C">
      <w:bookmarkStart w:id="126" w:name="lt_pId1363"/>
      <w:r w:rsidRPr="00B2067F">
        <w:t>La BR colaboró con la BDT en la elaboración de los indicadores y las definiciones utilizados para recopilar datos sobre tecnologías y normas de banda ancha móvil, participando en las reuniones del Grupo de Expertos sobre indicadores de las telecomunicaciones/TIC (GEIT).</w:t>
      </w:r>
      <w:bookmarkEnd w:id="126"/>
    </w:p>
    <w:p w14:paraId="2B51BEF1" w14:textId="68843E1E" w:rsidR="0077746C" w:rsidRPr="00B2067F" w:rsidRDefault="0077746C" w:rsidP="0077746C">
      <w:r w:rsidRPr="00B2067F">
        <w:t>En 2020, la reunión del GEIT se celebró en línea los días 14, 18 y 29 de septiembre de 2020. Se debatió sobre el indicador relativo al espectro de las IMT, así como los datos re</w:t>
      </w:r>
      <w:r w:rsidR="00B922BE" w:rsidRPr="00B2067F">
        <w:t>copilados sobre:</w:t>
      </w:r>
    </w:p>
    <w:p w14:paraId="7A16E629" w14:textId="286E85E7" w:rsidR="0077746C" w:rsidRPr="00B2067F" w:rsidRDefault="0077746C" w:rsidP="0077746C">
      <w:pPr>
        <w:pStyle w:val="enumlev1"/>
      </w:pPr>
      <w:bookmarkStart w:id="127" w:name="lt_pId1365"/>
      <w:r w:rsidRPr="00B2067F">
        <w:t>–</w:t>
      </w:r>
      <w:r w:rsidRPr="00B2067F">
        <w:tab/>
        <w:t>Cantidad de espectro ofrecida para los servicios IMT, por banda de frecuencias, en MHz</w:t>
      </w:r>
      <w:bookmarkStart w:id="128" w:name="lt_pId1366"/>
      <w:bookmarkEnd w:id="127"/>
      <w:r w:rsidR="00B922BE" w:rsidRPr="00B2067F">
        <w:t>.</w:t>
      </w:r>
    </w:p>
    <w:p w14:paraId="5B889F17" w14:textId="77777777" w:rsidR="0077746C" w:rsidRPr="00B2067F" w:rsidRDefault="0077746C" w:rsidP="0077746C">
      <w:pPr>
        <w:pStyle w:val="enumlev1"/>
      </w:pPr>
      <w:r w:rsidRPr="00B2067F">
        <w:t>–</w:t>
      </w:r>
      <w:r w:rsidRPr="00B2067F">
        <w:tab/>
        <w:t>Espectro total, en MHz, disponible para su utilización (es decir, atribuido) a través de cualquier publicación nacional oficial, de la índole del Plan Nacional de Frecuencias, para los servicios de IMT o IMT avanzadas, incluidas todas las interfaces aéreas acordes a las Recomendaciones UIT-R relativas a estas normas en materia de comunicaciones móviles.</w:t>
      </w:r>
      <w:bookmarkEnd w:id="128"/>
    </w:p>
    <w:p w14:paraId="234C1A49" w14:textId="6A445AF0" w:rsidR="0077746C" w:rsidRPr="00B2067F" w:rsidRDefault="0077746C" w:rsidP="0077746C">
      <w:pPr>
        <w:pStyle w:val="enumlev1"/>
      </w:pPr>
      <w:bookmarkStart w:id="129" w:name="lt_pId1367"/>
      <w:r w:rsidRPr="00B2067F">
        <w:t>–</w:t>
      </w:r>
      <w:r w:rsidRPr="00B2067F">
        <w:tab/>
        <w:t>Cantidad de espectro autorizada para los servicios IMT, por banda de frecuencias, en MHz</w:t>
      </w:r>
      <w:bookmarkStart w:id="130" w:name="lt_pId1368"/>
      <w:bookmarkEnd w:id="129"/>
      <w:r w:rsidR="00B922BE" w:rsidRPr="00B2067F">
        <w:t>.</w:t>
      </w:r>
    </w:p>
    <w:p w14:paraId="39992FB2" w14:textId="77777777" w:rsidR="0077746C" w:rsidRPr="00B2067F" w:rsidRDefault="0077746C" w:rsidP="0077746C">
      <w:pPr>
        <w:pStyle w:val="enumlev1"/>
      </w:pPr>
      <w:r w:rsidRPr="00B2067F">
        <w:t>–</w:t>
      </w:r>
      <w:r w:rsidRPr="00B2067F">
        <w:tab/>
        <w:t>Espectro total, en MHz, asignado a escala nacional para su utilización por sistemas IMT, incluidas todas las interfaces aéreas acordes a las Recomendaciones UIT-R relativas a estas normas en materia de comunicaciones móviles.</w:t>
      </w:r>
      <w:bookmarkEnd w:id="130"/>
    </w:p>
    <w:p w14:paraId="44C79CF3" w14:textId="77777777" w:rsidR="0077746C" w:rsidRPr="00B2067F" w:rsidRDefault="0077746C" w:rsidP="0077746C">
      <w:bookmarkStart w:id="131" w:name="lt_pId1369"/>
      <w:r w:rsidRPr="00B2067F">
        <w:t xml:space="preserve">Estos datos se incluyeron en la recopilación de datos de 2020. La BR y la BDT están trabajando conjuntamente en el tratamiento y entrega de los indicadores relevantes sobre este asunto. </w:t>
      </w:r>
    </w:p>
    <w:p w14:paraId="38DCF596" w14:textId="77777777" w:rsidR="0077746C" w:rsidRPr="00B2067F" w:rsidRDefault="0077746C" w:rsidP="0077746C">
      <w:pPr>
        <w:pStyle w:val="Heading4"/>
      </w:pPr>
      <w:bookmarkStart w:id="132" w:name="_Toc20478086"/>
      <w:bookmarkEnd w:id="131"/>
      <w:r w:rsidRPr="00B2067F">
        <w:t>8.4.1.4</w:t>
      </w:r>
      <w:r w:rsidRPr="00B2067F">
        <w:tab/>
        <w:t>Programa de capacitación en gestión del espectro</w:t>
      </w:r>
      <w:bookmarkEnd w:id="132"/>
    </w:p>
    <w:p w14:paraId="0FC65722" w14:textId="4D593BB6" w:rsidR="0077746C" w:rsidRPr="00B2067F" w:rsidRDefault="0077746C" w:rsidP="0077746C">
      <w:r w:rsidRPr="00B2067F">
        <w:t xml:space="preserve">La BR ha participado activamente desde 2013 en un proyecto conjunto con la BDT para la elaboración del Programa de capacitación en gestión del espectro (SMTP), en sus distintas fases: diseño, preparación del material, revisión por expertos y prueba piloto. A lo largo de los años, se han realizado varias actualizaciones y la BR ha revisado periódicamente el material del SMTP. Recientemente, se han realizado actualizaciones para incluir los </w:t>
      </w:r>
      <w:r w:rsidR="00CC1EC2" w:rsidRPr="00B2067F">
        <w:t>resultados de la CMR-19 y la AR</w:t>
      </w:r>
      <w:r w:rsidR="00CC1EC2" w:rsidRPr="00B2067F">
        <w:noBreakHyphen/>
      </w:r>
      <w:r w:rsidRPr="00B2067F">
        <w:t>19. Se prevé que la actividad continúe los próximos años.</w:t>
      </w:r>
    </w:p>
    <w:p w14:paraId="47096C72" w14:textId="77777777" w:rsidR="0077746C" w:rsidRPr="00B2067F" w:rsidRDefault="0077746C" w:rsidP="0077746C">
      <w:r w:rsidRPr="00B2067F">
        <w:lastRenderedPageBreak/>
        <w:t xml:space="preserve">A lo largo de 2020, la BR ha realizado una revisión detallada y una actualización de todo el contenido del SMTP para incluir las decisiones de la CMR-19 y las actualizaciones correspondientes de la edición de 2020 del RR, así como para alinear el contenido de los módulos con los trabajos y los resultados (Recomendaciones, Informes, etc.) del UIT-R. Una segunda revisión de algunos módulos está actualmente en curso. </w:t>
      </w:r>
    </w:p>
    <w:p w14:paraId="4F923AFD" w14:textId="77777777" w:rsidR="0077746C" w:rsidRPr="00B2067F" w:rsidRDefault="0077746C" w:rsidP="0077746C">
      <w:pPr>
        <w:pStyle w:val="Heading3"/>
      </w:pPr>
      <w:r w:rsidRPr="00B2067F">
        <w:t>8.4.2</w:t>
      </w:r>
      <w:r w:rsidRPr="00B2067F">
        <w:tab/>
      </w:r>
      <w:bookmarkStart w:id="133" w:name="lt_pId1381"/>
      <w:r w:rsidRPr="00B2067F">
        <w:t>ITU Telecom</w:t>
      </w:r>
      <w:bookmarkEnd w:id="133"/>
    </w:p>
    <w:p w14:paraId="37EDD321" w14:textId="1EDAEC97" w:rsidR="0077746C" w:rsidRPr="00B2067F" w:rsidRDefault="0077746C" w:rsidP="0077746C">
      <w:bookmarkStart w:id="134" w:name="_Toc418163383"/>
      <w:bookmarkStart w:id="135" w:name="_Toc418232301"/>
      <w:bookmarkStart w:id="136" w:name="_Toc424047626"/>
      <w:bookmarkStart w:id="137" w:name="_Toc446060795"/>
      <w:r w:rsidRPr="00B2067F">
        <w:t>La BR ayudó al equipo de ITU Telecom en la organización de ITU Virtual Digital World 2020 y moderó dos sesiones, una mesa redonda ministerial sobre</w:t>
      </w:r>
      <w:r w:rsidR="004B693C">
        <w:t xml:space="preserve"> «</w:t>
      </w:r>
      <w:r w:rsidRPr="00B2067F">
        <w:t>El papel de las tecnologías digitales durante y después de la pandemia de COVID-19</w:t>
      </w:r>
      <w:r w:rsidR="004B693C">
        <w:t>»</w:t>
      </w:r>
      <w:r w:rsidRPr="00B2067F">
        <w:t xml:space="preserve"> y una segunda m</w:t>
      </w:r>
      <w:r w:rsidR="00CC1EC2" w:rsidRPr="00B2067F">
        <w:t>esa redonda</w:t>
      </w:r>
      <w:r w:rsidR="004B693C">
        <w:t xml:space="preserve"> «</w:t>
      </w:r>
      <w:r w:rsidR="00CC1EC2" w:rsidRPr="00B2067F">
        <w:t>Entrando en la era </w:t>
      </w:r>
      <w:r w:rsidRPr="00B2067F">
        <w:t>5G: demanda, despliegue, e inquietud</w:t>
      </w:r>
      <w:r w:rsidR="004B693C">
        <w:t>»</w:t>
      </w:r>
      <w:r w:rsidRPr="00B2067F">
        <w:t>.</w:t>
      </w:r>
      <w:bookmarkEnd w:id="134"/>
      <w:bookmarkEnd w:id="135"/>
      <w:bookmarkEnd w:id="136"/>
      <w:bookmarkEnd w:id="137"/>
    </w:p>
    <w:p w14:paraId="39C95CF3" w14:textId="77777777" w:rsidR="0077746C" w:rsidRPr="00B2067F" w:rsidRDefault="0077746C" w:rsidP="0077746C">
      <w:pPr>
        <w:pStyle w:val="Heading2"/>
      </w:pPr>
      <w:bookmarkStart w:id="138" w:name="_Toc446060796"/>
      <w:r w:rsidRPr="00B2067F">
        <w:t>8.5</w:t>
      </w:r>
      <w:r w:rsidRPr="00B2067F">
        <w:tab/>
      </w:r>
      <w:bookmarkEnd w:id="138"/>
      <w:r w:rsidRPr="00B2067F">
        <w:t>Miembros</w:t>
      </w:r>
    </w:p>
    <w:p w14:paraId="7CFFA672" w14:textId="77777777" w:rsidR="0077746C" w:rsidRPr="00B2067F" w:rsidRDefault="0077746C" w:rsidP="0077746C">
      <w:pPr>
        <w:pStyle w:val="Heading3"/>
      </w:pPr>
      <w:r w:rsidRPr="00B2067F">
        <w:t>8.5.1</w:t>
      </w:r>
      <w:r w:rsidRPr="00B2067F">
        <w:tab/>
        <w:t>Miembros de la UIT</w:t>
      </w:r>
    </w:p>
    <w:p w14:paraId="76A17140" w14:textId="77777777" w:rsidR="0077746C" w:rsidRPr="00B2067F" w:rsidRDefault="0077746C" w:rsidP="0077746C">
      <w:bookmarkStart w:id="139" w:name="lt_pId1391"/>
      <w:r w:rsidRPr="00B2067F">
        <w:t>Los Cuadros 8.5.1-1 a 8.5.1-3 muestran la proporción de Miembros por Sector y Región, junto con las contribuciones que aportaron en 2020, y la evolución del número de Miembros de Sector, Asociados e Instituciones Académicas del UIT-R durante el periodo comprendido entre 2016 y 2020.</w:t>
      </w:r>
      <w:bookmarkEnd w:id="139"/>
    </w:p>
    <w:p w14:paraId="2A829E9C" w14:textId="77777777" w:rsidR="0077746C" w:rsidRPr="00B2067F" w:rsidRDefault="0077746C" w:rsidP="0077746C">
      <w:pPr>
        <w:pStyle w:val="TableNoBR"/>
      </w:pPr>
      <w:bookmarkStart w:id="140" w:name="lt_pId1392"/>
      <w:r w:rsidRPr="00B2067F">
        <w:t>Cuadro 8.5.1-1</w:t>
      </w:r>
      <w:bookmarkEnd w:id="140"/>
    </w:p>
    <w:p w14:paraId="700B91F9" w14:textId="10F85F0F" w:rsidR="0077746C" w:rsidRPr="00B2067F" w:rsidRDefault="0077746C" w:rsidP="0077746C">
      <w:r w:rsidRPr="00B2067F">
        <w:rPr>
          <w:noProof/>
          <w:lang w:eastAsia="es-ES_tradnl"/>
        </w:rPr>
        <mc:AlternateContent>
          <mc:Choice Requires="wps">
            <w:drawing>
              <wp:anchor distT="0" distB="0" distL="114300" distR="114300" simplePos="0" relativeHeight="251660288" behindDoc="0" locked="0" layoutInCell="1" allowOverlap="1" wp14:anchorId="495B98D8" wp14:editId="5A0368BD">
                <wp:simplePos x="0" y="0"/>
                <wp:positionH relativeFrom="column">
                  <wp:posOffset>2117395</wp:posOffset>
                </wp:positionH>
                <wp:positionV relativeFrom="paragraph">
                  <wp:posOffset>2034540</wp:posOffset>
                </wp:positionV>
                <wp:extent cx="1016813" cy="103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16813" cy="103175"/>
                        </a:xfrm>
                        <a:prstGeom prst="rect">
                          <a:avLst/>
                        </a:prstGeom>
                        <a:solidFill>
                          <a:schemeClr val="lt1"/>
                        </a:solidFill>
                        <a:ln w="6350">
                          <a:noFill/>
                        </a:ln>
                      </wps:spPr>
                      <wps:txbx>
                        <w:txbxContent>
                          <w:p w14:paraId="6C6642BB" w14:textId="77777777" w:rsidR="00820F86" w:rsidRDefault="00820F86" w:rsidP="0077746C">
                            <w:pPr>
                              <w:spacing w:before="0"/>
                              <w:rPr>
                                <w:sz w:val="12"/>
                                <w:szCs w:val="12"/>
                                <w:lang w:val="fr-CH"/>
                              </w:rPr>
                            </w:pPr>
                            <w:r>
                              <w:rPr>
                                <w:sz w:val="12"/>
                                <w:szCs w:val="12"/>
                              </w:rPr>
                              <w:t>Instituciones Académicas</w:t>
                            </w:r>
                            <w:r>
                              <w:rPr>
                                <w:sz w:val="12"/>
                                <w:szCs w:val="12"/>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B98D8" id="_x0000_t202" coordsize="21600,21600" o:spt="202" path="m,l,21600r21600,l21600,xe">
                <v:stroke joinstyle="miter"/>
                <v:path gradientshapeok="t" o:connecttype="rect"/>
              </v:shapetype>
              <v:shape id="Text Box 10" o:spid="_x0000_s1026" type="#_x0000_t202" style="position:absolute;margin-left:166.7pt;margin-top:160.2pt;width:80.0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" fillcolor="white [3201]" stroked="f" strokeweight=".5pt">
                <v:textbox inset="0,0,0,0">
                  <w:txbxContent>
                    <w:p w14:paraId="6C6642BB" w14:textId="77777777" w:rsidR="00820F86" w:rsidRDefault="00820F86" w:rsidP="0077746C">
                      <w:pPr>
                        <w:spacing w:before="0"/>
                        <w:rPr>
                          <w:sz w:val="12"/>
                          <w:szCs w:val="12"/>
                          <w:lang w:val="fr-CH"/>
                        </w:rPr>
                      </w:pPr>
                      <w:r>
                        <w:rPr>
                          <w:sz w:val="12"/>
                          <w:szCs w:val="12"/>
                        </w:rPr>
                        <w:t>Instituciones Académicas</w:t>
                      </w:r>
                      <w:r>
                        <w:rPr>
                          <w:sz w:val="12"/>
                          <w:szCs w:val="12"/>
                          <w:lang w:val="fr-CH"/>
                        </w:rPr>
                        <w:t>*</w:t>
                      </w:r>
                    </w:p>
                  </w:txbxContent>
                </v:textbox>
              </v:shape>
            </w:pict>
          </mc:Fallback>
        </mc:AlternateContent>
      </w:r>
      <w:r w:rsidRPr="00B2067F">
        <w:rPr>
          <w:noProof/>
          <w:lang w:eastAsia="es-ES_tradnl"/>
        </w:rPr>
        <mc:AlternateContent>
          <mc:Choice Requires="wps">
            <w:drawing>
              <wp:anchor distT="0" distB="0" distL="114300" distR="114300" simplePos="0" relativeHeight="251659264" behindDoc="0" locked="0" layoutInCell="1" allowOverlap="1" wp14:anchorId="4FD6056F" wp14:editId="609B46F1">
                <wp:simplePos x="0" y="0"/>
                <wp:positionH relativeFrom="column">
                  <wp:posOffset>98894</wp:posOffset>
                </wp:positionH>
                <wp:positionV relativeFrom="paragraph">
                  <wp:posOffset>737870</wp:posOffset>
                </wp:positionV>
                <wp:extent cx="915753" cy="116884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5753" cy="1168842"/>
                        </a:xfrm>
                        <a:prstGeom prst="rect">
                          <a:avLst/>
                        </a:prstGeom>
                        <a:solidFill>
                          <a:schemeClr val="lt1"/>
                        </a:solidFill>
                        <a:ln w="6350">
                          <a:noFill/>
                        </a:ln>
                      </wps:spPr>
                      <wps:txbx>
                        <w:txbxContent>
                          <w:p w14:paraId="642CA693" w14:textId="77777777" w:rsidR="00820F86" w:rsidRPr="000A598C" w:rsidRDefault="00820F86" w:rsidP="0077746C">
                            <w:pPr>
                              <w:spacing w:before="40" w:after="40"/>
                              <w:jc w:val="right"/>
                              <w:rPr>
                                <w:sz w:val="12"/>
                                <w:szCs w:val="12"/>
                                <w:lang w:val="es-ES"/>
                              </w:rPr>
                            </w:pPr>
                            <w:r w:rsidRPr="000A598C">
                              <w:rPr>
                                <w:sz w:val="12"/>
                                <w:szCs w:val="12"/>
                                <w:lang w:val="es-ES"/>
                              </w:rPr>
                              <w:t>Región de la BDT</w:t>
                            </w:r>
                          </w:p>
                          <w:p w14:paraId="1FFF2F2B" w14:textId="77777777" w:rsidR="00820F86" w:rsidRPr="000A598C" w:rsidRDefault="00820F86" w:rsidP="0077746C">
                            <w:pPr>
                              <w:spacing w:before="40" w:after="40"/>
                              <w:jc w:val="right"/>
                              <w:rPr>
                                <w:sz w:val="12"/>
                                <w:szCs w:val="12"/>
                                <w:lang w:val="es-ES"/>
                              </w:rPr>
                            </w:pPr>
                            <w:r w:rsidRPr="000A598C">
                              <w:rPr>
                                <w:sz w:val="12"/>
                                <w:szCs w:val="12"/>
                                <w:lang w:val="es-ES"/>
                              </w:rPr>
                              <w:t>África</w:t>
                            </w:r>
                          </w:p>
                          <w:p w14:paraId="1BC14F54" w14:textId="77777777" w:rsidR="00820F86" w:rsidRPr="000A598C" w:rsidRDefault="00820F86" w:rsidP="0077746C">
                            <w:pPr>
                              <w:spacing w:before="60"/>
                              <w:jc w:val="right"/>
                              <w:rPr>
                                <w:sz w:val="12"/>
                                <w:szCs w:val="12"/>
                                <w:lang w:val="es-ES"/>
                              </w:rPr>
                            </w:pPr>
                            <w:r w:rsidRPr="000A598C">
                              <w:rPr>
                                <w:sz w:val="12"/>
                                <w:szCs w:val="12"/>
                              </w:rPr>
                              <w:t>Américas</w:t>
                            </w:r>
                          </w:p>
                          <w:p w14:paraId="620D00A9" w14:textId="77777777" w:rsidR="00820F86" w:rsidRPr="000A598C" w:rsidRDefault="00820F86" w:rsidP="0077746C">
                            <w:pPr>
                              <w:spacing w:before="80"/>
                              <w:jc w:val="right"/>
                              <w:rPr>
                                <w:sz w:val="12"/>
                                <w:szCs w:val="12"/>
                                <w:lang w:val="es-ES"/>
                              </w:rPr>
                            </w:pPr>
                            <w:r w:rsidRPr="000A598C">
                              <w:rPr>
                                <w:sz w:val="12"/>
                                <w:szCs w:val="12"/>
                                <w:lang w:val="es-ES"/>
                              </w:rPr>
                              <w:t>Estados Árabes</w:t>
                            </w:r>
                          </w:p>
                          <w:p w14:paraId="27DF479C" w14:textId="77777777" w:rsidR="00820F86" w:rsidRPr="008057A2" w:rsidRDefault="00820F86" w:rsidP="0077746C">
                            <w:pPr>
                              <w:spacing w:before="60"/>
                              <w:jc w:val="right"/>
                              <w:rPr>
                                <w:sz w:val="12"/>
                                <w:szCs w:val="12"/>
                                <w:lang w:val="es-ES"/>
                              </w:rPr>
                            </w:pPr>
                            <w:r>
                              <w:rPr>
                                <w:sz w:val="12"/>
                                <w:szCs w:val="12"/>
                              </w:rPr>
                              <w:t>Asia-</w:t>
                            </w:r>
                            <w:r w:rsidRPr="000A598C">
                              <w:rPr>
                                <w:sz w:val="12"/>
                                <w:szCs w:val="12"/>
                              </w:rPr>
                              <w:t>Pacífico</w:t>
                            </w:r>
                          </w:p>
                          <w:p w14:paraId="3BCAFAF2" w14:textId="77777777" w:rsidR="00820F86" w:rsidRPr="000A598C" w:rsidRDefault="00820F86" w:rsidP="0077746C">
                            <w:pPr>
                              <w:spacing w:before="60" w:line="192" w:lineRule="auto"/>
                              <w:jc w:val="right"/>
                              <w:rPr>
                                <w:sz w:val="12"/>
                                <w:szCs w:val="12"/>
                              </w:rPr>
                            </w:pPr>
                            <w:r w:rsidRPr="000A598C">
                              <w:rPr>
                                <w:sz w:val="12"/>
                                <w:szCs w:val="12"/>
                              </w:rPr>
                              <w:t>CEI (Comunidad de Estados Independientes)</w:t>
                            </w:r>
                          </w:p>
                          <w:p w14:paraId="7509F67E" w14:textId="77777777" w:rsidR="00820F86" w:rsidRPr="000A598C" w:rsidRDefault="00820F86" w:rsidP="0077746C">
                            <w:pPr>
                              <w:spacing w:before="60" w:line="192" w:lineRule="auto"/>
                              <w:jc w:val="right"/>
                              <w:rPr>
                                <w:sz w:val="12"/>
                                <w:szCs w:val="12"/>
                              </w:rPr>
                            </w:pPr>
                            <w:r w:rsidRPr="000A598C">
                              <w:rPr>
                                <w:sz w:val="12"/>
                                <w:szCs w:val="12"/>
                              </w:rPr>
                              <w:t>Europa</w:t>
                            </w:r>
                          </w:p>
                          <w:p w14:paraId="1A424526" w14:textId="77777777" w:rsidR="00820F86" w:rsidRPr="002865FC" w:rsidRDefault="00820F86" w:rsidP="0077746C">
                            <w:pPr>
                              <w:spacing w:before="60"/>
                              <w:jc w:val="right"/>
                              <w:rPr>
                                <w:sz w:val="14"/>
                                <w:szCs w:val="14"/>
                                <w:lang w:val="fr-CH"/>
                              </w:rPr>
                            </w:pPr>
                            <w:r w:rsidRPr="000A598C">
                              <w:rPr>
                                <w:sz w:val="12"/>
                                <w:szCs w:val="12"/>
                              </w:rPr>
                              <w:t>Regional e Internacional</w:t>
                            </w:r>
                            <w:r w:rsidRPr="000A598C">
                              <w:rPr>
                                <w:sz w:val="12"/>
                                <w:szCs w:val="12"/>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6056F" id="Text Box 14" o:spid="_x0000_s1027" type="#_x0000_t202" style="position:absolute;margin-left:7.8pt;margin-top:58.1pt;width:72.1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" fillcolor="white [3201]" stroked="f" strokeweight=".5pt">
                <v:textbox inset="0,0,0,0">
                  <w:txbxContent>
                    <w:p w14:paraId="642CA693" w14:textId="77777777" w:rsidR="00820F86" w:rsidRPr="000A598C" w:rsidRDefault="00820F86" w:rsidP="0077746C">
                      <w:pPr>
                        <w:spacing w:before="40" w:after="40"/>
                        <w:jc w:val="right"/>
                        <w:rPr>
                          <w:sz w:val="12"/>
                          <w:szCs w:val="12"/>
                          <w:lang w:val="es-ES"/>
                        </w:rPr>
                      </w:pPr>
                      <w:r w:rsidRPr="000A598C">
                        <w:rPr>
                          <w:sz w:val="12"/>
                          <w:szCs w:val="12"/>
                          <w:lang w:val="es-ES"/>
                        </w:rPr>
                        <w:t>Región de la BDT</w:t>
                      </w:r>
                    </w:p>
                    <w:p w14:paraId="1FFF2F2B" w14:textId="77777777" w:rsidR="00820F86" w:rsidRPr="000A598C" w:rsidRDefault="00820F86" w:rsidP="0077746C">
                      <w:pPr>
                        <w:spacing w:before="40" w:after="40"/>
                        <w:jc w:val="right"/>
                        <w:rPr>
                          <w:sz w:val="12"/>
                          <w:szCs w:val="12"/>
                          <w:lang w:val="es-ES"/>
                        </w:rPr>
                      </w:pPr>
                      <w:r w:rsidRPr="000A598C">
                        <w:rPr>
                          <w:sz w:val="12"/>
                          <w:szCs w:val="12"/>
                          <w:lang w:val="es-ES"/>
                        </w:rPr>
                        <w:t>África</w:t>
                      </w:r>
                    </w:p>
                    <w:p w14:paraId="1BC14F54" w14:textId="77777777" w:rsidR="00820F86" w:rsidRPr="000A598C" w:rsidRDefault="00820F86" w:rsidP="0077746C">
                      <w:pPr>
                        <w:spacing w:before="60"/>
                        <w:jc w:val="right"/>
                        <w:rPr>
                          <w:sz w:val="12"/>
                          <w:szCs w:val="12"/>
                          <w:lang w:val="es-ES"/>
                        </w:rPr>
                      </w:pPr>
                      <w:r w:rsidRPr="000A598C">
                        <w:rPr>
                          <w:sz w:val="12"/>
                          <w:szCs w:val="12"/>
                        </w:rPr>
                        <w:t>Américas</w:t>
                      </w:r>
                    </w:p>
                    <w:p w14:paraId="620D00A9" w14:textId="77777777" w:rsidR="00820F86" w:rsidRPr="000A598C" w:rsidRDefault="00820F86" w:rsidP="0077746C">
                      <w:pPr>
                        <w:spacing w:before="80"/>
                        <w:jc w:val="right"/>
                        <w:rPr>
                          <w:sz w:val="12"/>
                          <w:szCs w:val="12"/>
                          <w:lang w:val="es-ES"/>
                        </w:rPr>
                      </w:pPr>
                      <w:r w:rsidRPr="000A598C">
                        <w:rPr>
                          <w:sz w:val="12"/>
                          <w:szCs w:val="12"/>
                          <w:lang w:val="es-ES"/>
                        </w:rPr>
                        <w:t>Estados Árabes</w:t>
                      </w:r>
                    </w:p>
                    <w:p w14:paraId="27DF479C" w14:textId="77777777" w:rsidR="00820F86" w:rsidRPr="008057A2" w:rsidRDefault="00820F86" w:rsidP="0077746C">
                      <w:pPr>
                        <w:spacing w:before="60"/>
                        <w:jc w:val="right"/>
                        <w:rPr>
                          <w:sz w:val="12"/>
                          <w:szCs w:val="12"/>
                          <w:lang w:val="es-ES"/>
                        </w:rPr>
                      </w:pPr>
                      <w:r>
                        <w:rPr>
                          <w:sz w:val="12"/>
                          <w:szCs w:val="12"/>
                        </w:rPr>
                        <w:t>Asia-</w:t>
                      </w:r>
                      <w:r w:rsidRPr="000A598C">
                        <w:rPr>
                          <w:sz w:val="12"/>
                          <w:szCs w:val="12"/>
                        </w:rPr>
                        <w:t>Pacífico</w:t>
                      </w:r>
                    </w:p>
                    <w:p w14:paraId="3BCAFAF2" w14:textId="77777777" w:rsidR="00820F86" w:rsidRPr="000A598C" w:rsidRDefault="00820F86" w:rsidP="0077746C">
                      <w:pPr>
                        <w:spacing w:before="60" w:line="192" w:lineRule="auto"/>
                        <w:jc w:val="right"/>
                        <w:rPr>
                          <w:sz w:val="12"/>
                          <w:szCs w:val="12"/>
                        </w:rPr>
                      </w:pPr>
                      <w:r w:rsidRPr="000A598C">
                        <w:rPr>
                          <w:sz w:val="12"/>
                          <w:szCs w:val="12"/>
                        </w:rPr>
                        <w:t>CEI (Comunidad de Estados Independientes)</w:t>
                      </w:r>
                    </w:p>
                    <w:p w14:paraId="7509F67E" w14:textId="77777777" w:rsidR="00820F86" w:rsidRPr="000A598C" w:rsidRDefault="00820F86" w:rsidP="0077746C">
                      <w:pPr>
                        <w:spacing w:before="60" w:line="192" w:lineRule="auto"/>
                        <w:jc w:val="right"/>
                        <w:rPr>
                          <w:sz w:val="12"/>
                          <w:szCs w:val="12"/>
                        </w:rPr>
                      </w:pPr>
                      <w:r w:rsidRPr="000A598C">
                        <w:rPr>
                          <w:sz w:val="12"/>
                          <w:szCs w:val="12"/>
                        </w:rPr>
                        <w:t>Europa</w:t>
                      </w:r>
                    </w:p>
                    <w:p w14:paraId="1A424526" w14:textId="77777777" w:rsidR="00820F86" w:rsidRPr="002865FC" w:rsidRDefault="00820F86" w:rsidP="0077746C">
                      <w:pPr>
                        <w:spacing w:before="60"/>
                        <w:jc w:val="right"/>
                        <w:rPr>
                          <w:sz w:val="14"/>
                          <w:szCs w:val="14"/>
                          <w:lang w:val="fr-CH"/>
                        </w:rPr>
                      </w:pPr>
                      <w:r w:rsidRPr="000A598C">
                        <w:rPr>
                          <w:sz w:val="12"/>
                          <w:szCs w:val="12"/>
                        </w:rPr>
                        <w:t>Regional e Internacional</w:t>
                      </w:r>
                      <w:r w:rsidRPr="000A598C">
                        <w:rPr>
                          <w:sz w:val="12"/>
                          <w:szCs w:val="12"/>
                          <w:lang w:val="fr-CH"/>
                        </w:rPr>
                        <w:t>*</w:t>
                      </w:r>
                    </w:p>
                  </w:txbxContent>
                </v:textbox>
              </v:shape>
            </w:pict>
          </mc:Fallback>
        </mc:AlternateContent>
      </w:r>
      <w:r w:rsidRPr="00B2067F">
        <w:rPr>
          <w:noProof/>
          <w:lang w:eastAsia="es-ES_tradnl"/>
        </w:rPr>
        <mc:AlternateContent>
          <mc:Choice Requires="wps">
            <w:drawing>
              <wp:anchor distT="0" distB="0" distL="114300" distR="114300" simplePos="0" relativeHeight="251663360" behindDoc="0" locked="0" layoutInCell="1" allowOverlap="1" wp14:anchorId="3FFD80AA" wp14:editId="7B3DCFEC">
                <wp:simplePos x="0" y="0"/>
                <wp:positionH relativeFrom="column">
                  <wp:posOffset>1545286</wp:posOffset>
                </wp:positionH>
                <wp:positionV relativeFrom="paragraph">
                  <wp:posOffset>2033270</wp:posOffset>
                </wp:positionV>
                <wp:extent cx="285750" cy="1104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285750" cy="110490"/>
                        </a:xfrm>
                        <a:prstGeom prst="rect">
                          <a:avLst/>
                        </a:prstGeom>
                        <a:solidFill>
                          <a:schemeClr val="lt1"/>
                        </a:solidFill>
                        <a:ln w="6350">
                          <a:noFill/>
                        </a:ln>
                      </wps:spPr>
                      <wps:txbx>
                        <w:txbxContent>
                          <w:p w14:paraId="3394E49F" w14:textId="77777777" w:rsidR="00820F86" w:rsidRPr="000A598C" w:rsidRDefault="00820F86" w:rsidP="0077746C">
                            <w:pPr>
                              <w:spacing w:before="0"/>
                              <w:rPr>
                                <w:sz w:val="12"/>
                                <w:szCs w:val="12"/>
                                <w:lang w:val="es-ES"/>
                              </w:rPr>
                            </w:pPr>
                            <w:r>
                              <w:rPr>
                                <w:sz w:val="12"/>
                                <w:szCs w:val="12"/>
                                <w:lang w:val="es-ES"/>
                              </w:rPr>
                              <w:t>UIT-D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D80AA" id="Text Box 4" o:spid="_x0000_s1028" type="#_x0000_t202" style="position:absolute;margin-left:121.7pt;margin-top:160.1pt;width:2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" fillcolor="white [3201]" stroked="f" strokeweight=".5pt">
                <v:textbox inset="0,0,0,0">
                  <w:txbxContent>
                    <w:p w14:paraId="3394E49F" w14:textId="77777777" w:rsidR="00820F86" w:rsidRPr="000A598C" w:rsidRDefault="00820F86" w:rsidP="0077746C">
                      <w:pPr>
                        <w:spacing w:before="0"/>
                        <w:rPr>
                          <w:sz w:val="12"/>
                          <w:szCs w:val="12"/>
                          <w:lang w:val="es-ES"/>
                        </w:rPr>
                      </w:pPr>
                      <w:r>
                        <w:rPr>
                          <w:sz w:val="12"/>
                          <w:szCs w:val="12"/>
                          <w:lang w:val="es-ES"/>
                        </w:rPr>
                        <w:t>UIT-D</w:t>
                      </w:r>
                    </w:p>
                  </w:txbxContent>
                </v:textbox>
              </v:shape>
            </w:pict>
          </mc:Fallback>
        </mc:AlternateContent>
      </w:r>
      <w:r w:rsidRPr="00B2067F">
        <w:rPr>
          <w:noProof/>
          <w:lang w:eastAsia="es-ES_tradnl"/>
        </w:rPr>
        <mc:AlternateContent>
          <mc:Choice Requires="wps">
            <w:drawing>
              <wp:anchor distT="0" distB="0" distL="114300" distR="114300" simplePos="0" relativeHeight="251665408" behindDoc="0" locked="0" layoutInCell="1" allowOverlap="1" wp14:anchorId="0D5E8C98" wp14:editId="7F44606E">
                <wp:simplePos x="0" y="0"/>
                <wp:positionH relativeFrom="column">
                  <wp:posOffset>945846</wp:posOffset>
                </wp:positionH>
                <wp:positionV relativeFrom="paragraph">
                  <wp:posOffset>2026920</wp:posOffset>
                </wp:positionV>
                <wp:extent cx="286247" cy="111042"/>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286247" cy="111042"/>
                        </a:xfrm>
                        <a:prstGeom prst="rect">
                          <a:avLst/>
                        </a:prstGeom>
                        <a:solidFill>
                          <a:schemeClr val="lt1"/>
                        </a:solidFill>
                        <a:ln w="6350">
                          <a:noFill/>
                        </a:ln>
                      </wps:spPr>
                      <wps:txbx>
                        <w:txbxContent>
                          <w:p w14:paraId="6DC7EC00" w14:textId="77777777" w:rsidR="00820F86" w:rsidRPr="000A598C" w:rsidRDefault="00820F86" w:rsidP="0077746C">
                            <w:pPr>
                              <w:spacing w:before="0"/>
                              <w:rPr>
                                <w:sz w:val="12"/>
                                <w:szCs w:val="12"/>
                                <w:lang w:val="es-ES"/>
                              </w:rPr>
                            </w:pPr>
                            <w:r>
                              <w:rPr>
                                <w:sz w:val="12"/>
                                <w:szCs w:val="12"/>
                                <w:lang w:val="es-ES"/>
                              </w:rPr>
                              <w:t>UIT-T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E8C98" id="Text Box 7" o:spid="_x0000_s1029" type="#_x0000_t202" style="position:absolute;margin-left:74.5pt;margin-top:159.6pt;width:22.55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" fillcolor="white [3201]" stroked="f" strokeweight=".5pt">
                <v:textbox inset="0,0,0,0">
                  <w:txbxContent>
                    <w:p w14:paraId="6DC7EC00" w14:textId="77777777" w:rsidR="00820F86" w:rsidRPr="000A598C" w:rsidRDefault="00820F86" w:rsidP="0077746C">
                      <w:pPr>
                        <w:spacing w:before="0"/>
                        <w:rPr>
                          <w:sz w:val="12"/>
                          <w:szCs w:val="12"/>
                          <w:lang w:val="es-ES"/>
                        </w:rPr>
                      </w:pPr>
                      <w:r>
                        <w:rPr>
                          <w:sz w:val="12"/>
                          <w:szCs w:val="12"/>
                          <w:lang w:val="es-ES"/>
                        </w:rPr>
                        <w:t>UIT-T</w:t>
                      </w:r>
                    </w:p>
                  </w:txbxContent>
                </v:textbox>
              </v:shape>
            </w:pict>
          </mc:Fallback>
        </mc:AlternateContent>
      </w:r>
      <w:r w:rsidRPr="00B2067F">
        <w:rPr>
          <w:noProof/>
          <w:lang w:eastAsia="es-ES_tradnl"/>
        </w:rPr>
        <mc:AlternateContent>
          <mc:Choice Requires="wps">
            <w:drawing>
              <wp:anchor distT="0" distB="0" distL="114300" distR="114300" simplePos="0" relativeHeight="251664384" behindDoc="0" locked="0" layoutInCell="1" allowOverlap="1" wp14:anchorId="7D346B85" wp14:editId="5F0DCE6B">
                <wp:simplePos x="0" y="0"/>
                <wp:positionH relativeFrom="column">
                  <wp:posOffset>357809</wp:posOffset>
                </wp:positionH>
                <wp:positionV relativeFrom="paragraph">
                  <wp:posOffset>2026948</wp:posOffset>
                </wp:positionV>
                <wp:extent cx="286247" cy="111042"/>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286247" cy="111042"/>
                        </a:xfrm>
                        <a:prstGeom prst="rect">
                          <a:avLst/>
                        </a:prstGeom>
                        <a:solidFill>
                          <a:schemeClr val="lt1"/>
                        </a:solidFill>
                        <a:ln w="6350">
                          <a:noFill/>
                        </a:ln>
                      </wps:spPr>
                      <wps:txbx>
                        <w:txbxContent>
                          <w:p w14:paraId="385E928A" w14:textId="77777777" w:rsidR="00820F86" w:rsidRPr="000A598C" w:rsidRDefault="00820F86" w:rsidP="0077746C">
                            <w:pPr>
                              <w:spacing w:before="0"/>
                              <w:rPr>
                                <w:sz w:val="12"/>
                                <w:szCs w:val="12"/>
                                <w:lang w:val="es-ES"/>
                              </w:rPr>
                            </w:pPr>
                            <w:r>
                              <w:rPr>
                                <w:sz w:val="12"/>
                                <w:szCs w:val="12"/>
                                <w:lang w:val="es-ES"/>
                              </w:rPr>
                              <w:t>UIT-R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46B85" id="Text Box 5" o:spid="_x0000_s1030" type="#_x0000_t202" style="position:absolute;margin-left:28.15pt;margin-top:159.6pt;width:22.55pt;height: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" fillcolor="white [3201]" stroked="f" strokeweight=".5pt">
                <v:textbox inset="0,0,0,0">
                  <w:txbxContent>
                    <w:p w14:paraId="385E928A" w14:textId="77777777" w:rsidR="00820F86" w:rsidRPr="000A598C" w:rsidRDefault="00820F86" w:rsidP="0077746C">
                      <w:pPr>
                        <w:spacing w:before="0"/>
                        <w:rPr>
                          <w:sz w:val="12"/>
                          <w:szCs w:val="12"/>
                          <w:lang w:val="es-ES"/>
                        </w:rPr>
                      </w:pPr>
                      <w:r>
                        <w:rPr>
                          <w:sz w:val="12"/>
                          <w:szCs w:val="12"/>
                          <w:lang w:val="es-ES"/>
                        </w:rPr>
                        <w:t>UIT-R</w:t>
                      </w:r>
                    </w:p>
                  </w:txbxContent>
                </v:textbox>
              </v:shape>
            </w:pict>
          </mc:Fallback>
        </mc:AlternateContent>
      </w:r>
      <w:r w:rsidRPr="00B2067F">
        <w:rPr>
          <w:noProof/>
          <w:lang w:eastAsia="es-ES_tradnl"/>
        </w:rPr>
        <mc:AlternateContent>
          <mc:Choice Requires="wps">
            <w:drawing>
              <wp:anchor distT="0" distB="0" distL="114300" distR="114300" simplePos="0" relativeHeight="251661312" behindDoc="0" locked="0" layoutInCell="1" allowOverlap="1" wp14:anchorId="2FB4B783" wp14:editId="0D5ADF9A">
                <wp:simplePos x="0" y="0"/>
                <wp:positionH relativeFrom="column">
                  <wp:posOffset>3143885</wp:posOffset>
                </wp:positionH>
                <wp:positionV relativeFrom="paragraph">
                  <wp:posOffset>1904669</wp:posOffset>
                </wp:positionV>
                <wp:extent cx="739471" cy="143123"/>
                <wp:effectExtent l="0" t="0" r="3810" b="9525"/>
                <wp:wrapNone/>
                <wp:docPr id="11" name="Text Box 11"/>
                <wp:cNvGraphicFramePr/>
                <a:graphic xmlns:a="http://schemas.openxmlformats.org/drawingml/2006/main">
                  <a:graphicData uri="http://schemas.microsoft.com/office/word/2010/wordprocessingShape">
                    <wps:wsp>
                      <wps:cNvSpPr txBox="1"/>
                      <wps:spPr>
                        <a:xfrm>
                          <a:off x="0" y="0"/>
                          <a:ext cx="739471" cy="143123"/>
                        </a:xfrm>
                        <a:prstGeom prst="rect">
                          <a:avLst/>
                        </a:prstGeom>
                        <a:solidFill>
                          <a:schemeClr val="lt1"/>
                        </a:solidFill>
                        <a:ln w="6350">
                          <a:noFill/>
                        </a:ln>
                      </wps:spPr>
                      <wps:txbx>
                        <w:txbxContent>
                          <w:p w14:paraId="724F70CF" w14:textId="77777777" w:rsidR="00820F86" w:rsidRPr="000A598C" w:rsidRDefault="00820F86" w:rsidP="0077746C">
                            <w:pPr>
                              <w:spacing w:before="0"/>
                              <w:rPr>
                                <w:sz w:val="12"/>
                                <w:szCs w:val="12"/>
                              </w:rPr>
                            </w:pPr>
                            <w:r w:rsidRPr="000A598C">
                              <w:rPr>
                                <w:sz w:val="12"/>
                                <w:szCs w:val="12"/>
                              </w:rPr>
                              <w:t>Número de miembros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4B783" id="Text Box 11" o:spid="_x0000_s1031" type="#_x0000_t202" style="position:absolute;margin-left:247.55pt;margin-top:149.95pt;width:58.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" fillcolor="white [3201]" stroked="f" strokeweight=".5pt">
                <v:textbox inset="0,0,0,0">
                  <w:txbxContent>
                    <w:p w14:paraId="724F70CF" w14:textId="77777777" w:rsidR="00820F86" w:rsidRPr="000A598C" w:rsidRDefault="00820F86" w:rsidP="0077746C">
                      <w:pPr>
                        <w:spacing w:before="0"/>
                        <w:rPr>
                          <w:sz w:val="12"/>
                          <w:szCs w:val="12"/>
                        </w:rPr>
                      </w:pPr>
                      <w:r w:rsidRPr="000A598C">
                        <w:rPr>
                          <w:sz w:val="12"/>
                          <w:szCs w:val="12"/>
                        </w:rPr>
                        <w:t>Número de miembros</w:t>
                      </w:r>
                    </w:p>
                  </w:txbxContent>
                </v:textbox>
              </v:shape>
            </w:pict>
          </mc:Fallback>
        </mc:AlternateContent>
      </w:r>
      <w:r w:rsidR="00CC1EC2" w:rsidRPr="00B2067F">
        <w:rPr>
          <w:noProof/>
          <w:lang w:eastAsia="es-ES_tradnl"/>
        </w:rPr>
        <mc:AlternateContent>
          <mc:Choice Requires="wps">
            <w:drawing>
              <wp:anchor distT="0" distB="0" distL="114300" distR="114300" simplePos="0" relativeHeight="251662336" behindDoc="0" locked="0" layoutInCell="1" allowOverlap="1" wp14:anchorId="307B5386" wp14:editId="1C4BB7F1">
                <wp:simplePos x="0" y="0"/>
                <wp:positionH relativeFrom="column">
                  <wp:posOffset>1529715</wp:posOffset>
                </wp:positionH>
                <wp:positionV relativeFrom="paragraph">
                  <wp:posOffset>125537</wp:posOffset>
                </wp:positionV>
                <wp:extent cx="3009900" cy="588397"/>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3009900" cy="588397"/>
                        </a:xfrm>
                        <a:prstGeom prst="rect">
                          <a:avLst/>
                        </a:prstGeom>
                        <a:solidFill>
                          <a:schemeClr val="lt1"/>
                        </a:solidFill>
                        <a:ln w="6350">
                          <a:noFill/>
                        </a:ln>
                      </wps:spPr>
                      <wps:txbx>
                        <w:txbxContent>
                          <w:p w14:paraId="755D8AD3" w14:textId="77777777" w:rsidR="00820F86" w:rsidRPr="002865FC" w:rsidRDefault="00820F86" w:rsidP="0077746C">
                            <w:pPr>
                              <w:spacing w:before="0"/>
                              <w:jc w:val="center"/>
                              <w:rPr>
                                <w:b/>
                                <w:bCs/>
                                <w:sz w:val="20"/>
                                <w:szCs w:val="16"/>
                                <w:lang w:val="es-ES"/>
                              </w:rPr>
                            </w:pPr>
                            <w:r w:rsidRPr="002865FC">
                              <w:rPr>
                                <w:b/>
                                <w:bCs/>
                                <w:sz w:val="20"/>
                                <w:szCs w:val="16"/>
                                <w:lang w:val="es-ES"/>
                              </w:rPr>
                              <w:t>Miembros por sector y Región</w:t>
                            </w:r>
                            <w:r w:rsidRPr="002865FC">
                              <w:rPr>
                                <w:b/>
                                <w:bCs/>
                                <w:sz w:val="20"/>
                                <w:szCs w:val="16"/>
                                <w:lang w:val="es-ES"/>
                              </w:rPr>
                              <w:br/>
                              <w:t>2020</w:t>
                            </w:r>
                          </w:p>
                          <w:p w14:paraId="20A3BA43" w14:textId="77777777" w:rsidR="00820F86" w:rsidRPr="002865FC" w:rsidRDefault="00820F86" w:rsidP="0077746C">
                            <w:pPr>
                              <w:spacing w:before="0"/>
                              <w:jc w:val="center"/>
                              <w:rPr>
                                <w:sz w:val="16"/>
                                <w:szCs w:val="16"/>
                                <w:lang w:val="es-ES"/>
                              </w:rPr>
                            </w:pPr>
                            <w:r w:rsidRPr="002865FC">
                              <w:rPr>
                                <w:sz w:val="16"/>
                                <w:szCs w:val="16"/>
                                <w:lang w:val="es-ES"/>
                              </w:rPr>
                              <w:t>(por Región y Oficina regional</w:t>
                            </w:r>
                            <w:r w:rsidRPr="008D5495">
                              <w:rPr>
                                <w:sz w:val="16"/>
                                <w:szCs w:val="16"/>
                                <w:lang w:val="es-ES"/>
                              </w:rPr>
                              <w:t xml:space="preserve"> </w:t>
                            </w:r>
                            <w:r w:rsidRPr="002865FC">
                              <w:rPr>
                                <w:sz w:val="16"/>
                                <w:szCs w:val="16"/>
                                <w:lang w:val="es-ES"/>
                              </w:rPr>
                              <w:t>de la BDT)</w:t>
                            </w:r>
                          </w:p>
                          <w:p w14:paraId="442D6EB0" w14:textId="77777777" w:rsidR="00820F86" w:rsidRPr="002865FC" w:rsidRDefault="00820F86" w:rsidP="0077746C">
                            <w:pPr>
                              <w:spacing w:before="60"/>
                              <w:jc w:val="center"/>
                              <w:rPr>
                                <w:sz w:val="18"/>
                                <w:szCs w:val="16"/>
                                <w:lang w:val="es-ES"/>
                              </w:rPr>
                            </w:pPr>
                            <w:r w:rsidRPr="002865FC">
                              <w:rPr>
                                <w:color w:val="FF0000"/>
                                <w:sz w:val="14"/>
                                <w:szCs w:val="14"/>
                                <w:lang w:val="es-ES"/>
                              </w:rPr>
                              <w:t>Datos relativos a los miembros al 31 de diciembre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7B5386" id="Text Box 6" o:spid="_x0000_s1032" type="#_x0000_t202" style="position:absolute;margin-left:120.45pt;margin-top:9.9pt;width:237pt;height:4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" fillcolor="white [3201]" stroked="f" strokeweight=".5pt">
                <v:textbox inset="0,0,0,0">
                  <w:txbxContent>
                    <w:p w14:paraId="755D8AD3" w14:textId="77777777" w:rsidR="00820F86" w:rsidRPr="002865FC" w:rsidRDefault="00820F86" w:rsidP="0077746C">
                      <w:pPr>
                        <w:spacing w:before="0"/>
                        <w:jc w:val="center"/>
                        <w:rPr>
                          <w:b/>
                          <w:bCs/>
                          <w:sz w:val="20"/>
                          <w:szCs w:val="16"/>
                          <w:lang w:val="es-ES"/>
                        </w:rPr>
                      </w:pPr>
                      <w:r w:rsidRPr="002865FC">
                        <w:rPr>
                          <w:b/>
                          <w:bCs/>
                          <w:sz w:val="20"/>
                          <w:szCs w:val="16"/>
                          <w:lang w:val="es-ES"/>
                        </w:rPr>
                        <w:t>Miembros por sector y Región</w:t>
                      </w:r>
                      <w:r w:rsidRPr="002865FC">
                        <w:rPr>
                          <w:b/>
                          <w:bCs/>
                          <w:sz w:val="20"/>
                          <w:szCs w:val="16"/>
                          <w:lang w:val="es-ES"/>
                        </w:rPr>
                        <w:br/>
                        <w:t>2020</w:t>
                      </w:r>
                    </w:p>
                    <w:p w14:paraId="20A3BA43" w14:textId="77777777" w:rsidR="00820F86" w:rsidRPr="002865FC" w:rsidRDefault="00820F86" w:rsidP="0077746C">
                      <w:pPr>
                        <w:spacing w:before="0"/>
                        <w:jc w:val="center"/>
                        <w:rPr>
                          <w:sz w:val="16"/>
                          <w:szCs w:val="16"/>
                          <w:lang w:val="es-ES"/>
                        </w:rPr>
                      </w:pPr>
                      <w:r w:rsidRPr="002865FC">
                        <w:rPr>
                          <w:sz w:val="16"/>
                          <w:szCs w:val="16"/>
                          <w:lang w:val="es-ES"/>
                        </w:rPr>
                        <w:t>(por Región y Oficina regional</w:t>
                      </w:r>
                      <w:r w:rsidRPr="008D5495">
                        <w:rPr>
                          <w:sz w:val="16"/>
                          <w:szCs w:val="16"/>
                          <w:lang w:val="es-ES"/>
                        </w:rPr>
                        <w:t xml:space="preserve"> </w:t>
                      </w:r>
                      <w:r w:rsidRPr="002865FC">
                        <w:rPr>
                          <w:sz w:val="16"/>
                          <w:szCs w:val="16"/>
                          <w:lang w:val="es-ES"/>
                        </w:rPr>
                        <w:t>de la BDT)</w:t>
                      </w:r>
                    </w:p>
                    <w:p w14:paraId="442D6EB0" w14:textId="77777777" w:rsidR="00820F86" w:rsidRPr="002865FC" w:rsidRDefault="00820F86" w:rsidP="0077746C">
                      <w:pPr>
                        <w:spacing w:before="60"/>
                        <w:jc w:val="center"/>
                        <w:rPr>
                          <w:sz w:val="18"/>
                          <w:szCs w:val="16"/>
                          <w:lang w:val="es-ES"/>
                        </w:rPr>
                      </w:pPr>
                      <w:r w:rsidRPr="002865FC">
                        <w:rPr>
                          <w:color w:val="FF0000"/>
                          <w:sz w:val="14"/>
                          <w:szCs w:val="14"/>
                          <w:lang w:val="es-ES"/>
                        </w:rPr>
                        <w:t>Datos relativos a los miembros al 31 de diciembre 2020</w:t>
                      </w:r>
                    </w:p>
                  </w:txbxContent>
                </v:textbox>
              </v:shape>
            </w:pict>
          </mc:Fallback>
        </mc:AlternateContent>
      </w:r>
      <w:r w:rsidRPr="00B2067F">
        <w:rPr>
          <w:noProof/>
          <w:lang w:eastAsia="es-ES_tradnl"/>
        </w:rPr>
        <w:drawing>
          <wp:inline distT="0" distB="0" distL="0" distR="0" wp14:anchorId="60E2DF61" wp14:editId="7AA06EFE">
            <wp:extent cx="6120765" cy="2269490"/>
            <wp:effectExtent l="0" t="0" r="0" b="0"/>
            <wp:docPr id="633438139" name="Picture 633438139"/>
            <wp:cNvGraphicFramePr/>
            <a:graphic xmlns:a="http://schemas.openxmlformats.org/drawingml/2006/main">
              <a:graphicData uri="http://schemas.openxmlformats.org/drawingml/2006/picture">
                <pic:pic xmlns:pic="http://schemas.openxmlformats.org/drawingml/2006/picture">
                  <pic:nvPicPr>
                    <pic:cNvPr id="633438139" name="Picture 633438139"/>
                    <pic:cNvPicPr/>
                  </pic:nvPicPr>
                  <pic:blipFill>
                    <a:blip r:embed="rId35">
                      <a:extLst>
                        <a:ext uri="{28A0092B-C50C-407E-A947-70E740481C1C}">
                          <a14:useLocalDpi xmlns:a14="http://schemas.microsoft.com/office/drawing/2010/main" val="0"/>
                        </a:ext>
                      </a:extLst>
                    </a:blip>
                    <a:stretch>
                      <a:fillRect/>
                    </a:stretch>
                  </pic:blipFill>
                  <pic:spPr>
                    <a:xfrm>
                      <a:off x="0" y="0"/>
                      <a:ext cx="6120765" cy="2269490"/>
                    </a:xfrm>
                    <a:prstGeom prst="rect">
                      <a:avLst/>
                    </a:prstGeom>
                  </pic:spPr>
                </pic:pic>
              </a:graphicData>
            </a:graphic>
          </wp:inline>
        </w:drawing>
      </w:r>
    </w:p>
    <w:p w14:paraId="06EBEC5B" w14:textId="77777777" w:rsidR="0077746C" w:rsidRPr="00B2067F" w:rsidRDefault="0077746C" w:rsidP="0077746C">
      <w:pPr>
        <w:pStyle w:val="TableNoBR"/>
      </w:pPr>
      <w:bookmarkStart w:id="141" w:name="lt_pId1393"/>
      <w:r w:rsidRPr="00B2067F">
        <w:lastRenderedPageBreak/>
        <w:t>Cuadro 8.5.1-2</w:t>
      </w:r>
      <w:bookmarkEnd w:id="141"/>
    </w:p>
    <w:p w14:paraId="23D70BF1" w14:textId="77777777" w:rsidR="0077746C" w:rsidRPr="00B2067F" w:rsidRDefault="0077746C" w:rsidP="0077746C">
      <w:pPr>
        <w:pStyle w:val="TabletitleBR"/>
      </w:pPr>
      <w:r w:rsidRPr="00B2067F">
        <w:rPr>
          <w:noProof/>
          <w:lang w:eastAsia="es-ES_tradnl"/>
        </w:rPr>
        <w:drawing>
          <wp:inline distT="0" distB="0" distL="0" distR="0" wp14:anchorId="77CEEF8B" wp14:editId="58C8AFA4">
            <wp:extent cx="4946650" cy="3462655"/>
            <wp:effectExtent l="19050" t="19050" r="25400" b="23495"/>
            <wp:docPr id="448403431" name="Picture 448403431"/>
            <wp:cNvGraphicFramePr/>
            <a:graphic xmlns:a="http://schemas.openxmlformats.org/drawingml/2006/main">
              <a:graphicData uri="http://schemas.openxmlformats.org/drawingml/2006/picture">
                <pic:pic xmlns:pic="http://schemas.openxmlformats.org/drawingml/2006/picture">
                  <pic:nvPicPr>
                    <pic:cNvPr id="448403431" name="Picture 448403431"/>
                    <pic:cNvPicPr/>
                  </pic:nvPicPr>
                  <pic:blipFill>
                    <a:blip r:embed="rId36">
                      <a:extLst>
                        <a:ext uri="{28A0092B-C50C-407E-A947-70E740481C1C}">
                          <a14:useLocalDpi xmlns:a14="http://schemas.microsoft.com/office/drawing/2010/main" val="0"/>
                        </a:ext>
                      </a:extLst>
                    </a:blip>
                    <a:stretch>
                      <a:fillRect/>
                    </a:stretch>
                  </pic:blipFill>
                  <pic:spPr>
                    <a:xfrm>
                      <a:off x="0" y="0"/>
                      <a:ext cx="4946650" cy="3462655"/>
                    </a:xfrm>
                    <a:prstGeom prst="rect">
                      <a:avLst/>
                    </a:prstGeom>
                    <a:ln>
                      <a:solidFill>
                        <a:schemeClr val="accent1"/>
                      </a:solidFill>
                    </a:ln>
                  </pic:spPr>
                </pic:pic>
              </a:graphicData>
            </a:graphic>
          </wp:inline>
        </w:drawing>
      </w:r>
    </w:p>
    <w:p w14:paraId="0BF1EED3" w14:textId="77777777" w:rsidR="0077746C" w:rsidRPr="00B2067F" w:rsidRDefault="0077746C" w:rsidP="00B922BE">
      <w:pPr>
        <w:pStyle w:val="Tablelegend"/>
        <w:spacing w:after="120"/>
        <w:rPr>
          <w:sz w:val="18"/>
          <w:szCs w:val="18"/>
        </w:rPr>
      </w:pPr>
      <w:r w:rsidRPr="00B2067F">
        <w:rPr>
          <w:sz w:val="18"/>
          <w:szCs w:val="18"/>
        </w:rPr>
        <w:t>Leyenda de la figura:</w:t>
      </w:r>
    </w:p>
    <w:p w14:paraId="5B63D90F" w14:textId="77777777" w:rsidR="0077746C" w:rsidRPr="00B2067F" w:rsidRDefault="0077746C" w:rsidP="00B922BE">
      <w:pPr>
        <w:pStyle w:val="Tablelegend"/>
        <w:spacing w:before="20" w:after="20"/>
        <w:rPr>
          <w:b/>
          <w:sz w:val="18"/>
          <w:szCs w:val="18"/>
        </w:rPr>
      </w:pPr>
      <w:r w:rsidRPr="00B2067F">
        <w:rPr>
          <w:sz w:val="18"/>
          <w:szCs w:val="18"/>
        </w:rPr>
        <w:tab/>
      </w:r>
      <w:r w:rsidRPr="00B2067F">
        <w:rPr>
          <w:b/>
          <w:sz w:val="18"/>
          <w:szCs w:val="18"/>
        </w:rPr>
        <w:t>Informe anual de Miembros del UIT-R 2020</w:t>
      </w:r>
    </w:p>
    <w:p w14:paraId="208B0E6F" w14:textId="77777777" w:rsidR="0077746C" w:rsidRPr="00B2067F" w:rsidRDefault="0077746C" w:rsidP="00B922BE">
      <w:pPr>
        <w:pStyle w:val="Tablelegend"/>
        <w:spacing w:before="20" w:after="20"/>
        <w:rPr>
          <w:sz w:val="18"/>
          <w:szCs w:val="18"/>
        </w:rPr>
      </w:pPr>
      <w:r w:rsidRPr="00B2067F">
        <w:rPr>
          <w:b/>
          <w:sz w:val="18"/>
          <w:szCs w:val="18"/>
        </w:rPr>
        <w:t>461</w:t>
      </w:r>
      <w:r w:rsidRPr="00B2067F">
        <w:rPr>
          <w:sz w:val="18"/>
          <w:szCs w:val="18"/>
        </w:rPr>
        <w:t xml:space="preserve"> Entidades Miembros</w:t>
      </w:r>
    </w:p>
    <w:p w14:paraId="11B58714" w14:textId="77777777" w:rsidR="0077746C" w:rsidRPr="00B2067F" w:rsidRDefault="0077746C" w:rsidP="00B922BE">
      <w:pPr>
        <w:pStyle w:val="Tablelegend"/>
        <w:spacing w:before="20" w:after="20"/>
        <w:rPr>
          <w:sz w:val="18"/>
          <w:szCs w:val="18"/>
        </w:rPr>
      </w:pPr>
      <w:r w:rsidRPr="00B2067F">
        <w:rPr>
          <w:b/>
          <w:sz w:val="18"/>
          <w:szCs w:val="18"/>
        </w:rPr>
        <w:t>461</w:t>
      </w:r>
      <w:r w:rsidRPr="00B2067F">
        <w:rPr>
          <w:sz w:val="18"/>
          <w:szCs w:val="18"/>
        </w:rPr>
        <w:t xml:space="preserve"> Miembros</w:t>
      </w:r>
    </w:p>
    <w:p w14:paraId="7C0BBA11" w14:textId="77777777" w:rsidR="0077746C" w:rsidRPr="00B2067F" w:rsidRDefault="0077746C" w:rsidP="00B922BE">
      <w:pPr>
        <w:pStyle w:val="Tablelegend"/>
        <w:spacing w:before="20" w:after="20"/>
        <w:rPr>
          <w:sz w:val="18"/>
          <w:szCs w:val="18"/>
        </w:rPr>
      </w:pPr>
      <w:r w:rsidRPr="00B2067F">
        <w:rPr>
          <w:b/>
          <w:sz w:val="18"/>
          <w:szCs w:val="18"/>
        </w:rPr>
        <w:t>111</w:t>
      </w:r>
      <w:r w:rsidRPr="00B2067F">
        <w:rPr>
          <w:sz w:val="18"/>
          <w:szCs w:val="18"/>
        </w:rPr>
        <w:t xml:space="preserve"> Miembros de los 3 Sectores</w:t>
      </w:r>
    </w:p>
    <w:p w14:paraId="68EE1A08" w14:textId="77777777" w:rsidR="0077746C" w:rsidRPr="00B2067F" w:rsidRDefault="0077746C" w:rsidP="00B922BE">
      <w:pPr>
        <w:pStyle w:val="Tablelegend"/>
        <w:spacing w:before="20" w:after="20"/>
        <w:rPr>
          <w:sz w:val="18"/>
          <w:szCs w:val="18"/>
        </w:rPr>
      </w:pPr>
      <w:r w:rsidRPr="00B2067F">
        <w:rPr>
          <w:sz w:val="18"/>
          <w:szCs w:val="18"/>
        </w:rPr>
        <w:t>Datos de los Miembros a 31 de diciembre de 2020</w:t>
      </w:r>
    </w:p>
    <w:p w14:paraId="1169887D" w14:textId="0AF52599" w:rsidR="0077746C" w:rsidRPr="00B2067F" w:rsidRDefault="0077746C" w:rsidP="00B922BE">
      <w:pPr>
        <w:pStyle w:val="Tablelegend"/>
        <w:spacing w:before="20" w:after="20"/>
        <w:rPr>
          <w:sz w:val="18"/>
          <w:szCs w:val="18"/>
        </w:rPr>
      </w:pPr>
      <w:r w:rsidRPr="00B2067F">
        <w:rPr>
          <w:sz w:val="18"/>
          <w:szCs w:val="18"/>
        </w:rPr>
        <w:t>UIT-R</w:t>
      </w:r>
      <w:r w:rsidRPr="00B2067F">
        <w:rPr>
          <w:sz w:val="18"/>
          <w:szCs w:val="18"/>
        </w:rPr>
        <w:tab/>
      </w:r>
      <w:r w:rsidRPr="00B2067F">
        <w:rPr>
          <w:sz w:val="18"/>
          <w:szCs w:val="18"/>
        </w:rPr>
        <w:tab/>
        <w:t>Instituciones Académicas*</w:t>
      </w:r>
      <w:r w:rsidRPr="00B2067F">
        <w:rPr>
          <w:sz w:val="18"/>
          <w:szCs w:val="18"/>
        </w:rPr>
        <w:tab/>
      </w:r>
      <w:r w:rsidR="00CC1EC2" w:rsidRPr="00B2067F">
        <w:rPr>
          <w:sz w:val="18"/>
          <w:szCs w:val="18"/>
        </w:rPr>
        <w:tab/>
      </w:r>
      <w:r w:rsidRPr="00B2067F">
        <w:rPr>
          <w:sz w:val="18"/>
          <w:szCs w:val="18"/>
        </w:rPr>
        <w:t>Total</w:t>
      </w:r>
    </w:p>
    <w:p w14:paraId="18A5E640" w14:textId="77777777" w:rsidR="0077746C" w:rsidRPr="00B2067F" w:rsidRDefault="0077746C" w:rsidP="00B922BE">
      <w:pPr>
        <w:pStyle w:val="Tablelegend"/>
        <w:spacing w:before="20" w:after="20"/>
        <w:rPr>
          <w:sz w:val="18"/>
          <w:szCs w:val="18"/>
        </w:rPr>
      </w:pPr>
      <w:r w:rsidRPr="00B2067F">
        <w:rPr>
          <w:sz w:val="18"/>
          <w:szCs w:val="18"/>
        </w:rPr>
        <w:t>Miembros de Sector</w:t>
      </w:r>
    </w:p>
    <w:p w14:paraId="2F7ED9A0" w14:textId="77777777" w:rsidR="0077746C" w:rsidRPr="00B2067F" w:rsidRDefault="0077746C" w:rsidP="00B922BE">
      <w:pPr>
        <w:pStyle w:val="Tablelegend"/>
        <w:spacing w:before="20" w:after="20"/>
        <w:rPr>
          <w:sz w:val="18"/>
          <w:szCs w:val="18"/>
        </w:rPr>
      </w:pPr>
      <w:r w:rsidRPr="00B2067F">
        <w:rPr>
          <w:sz w:val="18"/>
          <w:szCs w:val="18"/>
        </w:rPr>
        <w:t>Asociados</w:t>
      </w:r>
    </w:p>
    <w:p w14:paraId="306FA7B1" w14:textId="77777777" w:rsidR="0077746C" w:rsidRPr="00B2067F" w:rsidRDefault="0077746C" w:rsidP="00B922BE">
      <w:pPr>
        <w:pStyle w:val="Tablelegend"/>
        <w:spacing w:before="20" w:after="20"/>
        <w:rPr>
          <w:sz w:val="18"/>
          <w:szCs w:val="18"/>
        </w:rPr>
      </w:pPr>
      <w:r w:rsidRPr="00B2067F">
        <w:rPr>
          <w:sz w:val="18"/>
          <w:szCs w:val="18"/>
        </w:rPr>
        <w:t>Instituciones Académicas*</w:t>
      </w:r>
    </w:p>
    <w:p w14:paraId="4680FF9A" w14:textId="77777777" w:rsidR="0077746C" w:rsidRPr="00B2067F" w:rsidRDefault="0077746C" w:rsidP="00B922BE">
      <w:pPr>
        <w:pStyle w:val="Tablelegend"/>
        <w:spacing w:before="20" w:after="20"/>
        <w:rPr>
          <w:sz w:val="18"/>
          <w:szCs w:val="18"/>
        </w:rPr>
      </w:pPr>
      <w:r w:rsidRPr="00B2067F">
        <w:rPr>
          <w:sz w:val="18"/>
          <w:szCs w:val="18"/>
        </w:rPr>
        <w:t xml:space="preserve">Total de las contribuciones </w:t>
      </w:r>
    </w:p>
    <w:p w14:paraId="5DDA89AA" w14:textId="77777777" w:rsidR="0077746C" w:rsidRPr="00B2067F" w:rsidRDefault="0077746C" w:rsidP="00B922BE">
      <w:pPr>
        <w:pStyle w:val="Tablelegend"/>
        <w:spacing w:before="20" w:after="20"/>
        <w:rPr>
          <w:sz w:val="18"/>
          <w:szCs w:val="18"/>
        </w:rPr>
      </w:pPr>
      <w:r w:rsidRPr="00B2067F">
        <w:rPr>
          <w:sz w:val="18"/>
          <w:szCs w:val="18"/>
        </w:rPr>
        <w:t>*Nota: las Instituciones Académicas son automáticamente Miembros de los 3 Sectores</w:t>
      </w:r>
    </w:p>
    <w:p w14:paraId="23E02CFB" w14:textId="77777777" w:rsidR="0077746C" w:rsidRPr="00B2067F" w:rsidRDefault="0077746C" w:rsidP="00B922BE">
      <w:pPr>
        <w:pStyle w:val="Tablelegend"/>
        <w:spacing w:before="20" w:after="20"/>
        <w:rPr>
          <w:b/>
          <w:sz w:val="18"/>
          <w:szCs w:val="18"/>
        </w:rPr>
      </w:pPr>
      <w:r w:rsidRPr="00B2067F">
        <w:rPr>
          <w:sz w:val="18"/>
          <w:szCs w:val="18"/>
        </w:rPr>
        <w:tab/>
      </w:r>
      <w:r w:rsidRPr="00B2067F">
        <w:rPr>
          <w:b/>
          <w:sz w:val="18"/>
          <w:szCs w:val="18"/>
        </w:rPr>
        <w:t>Indicadores fundamentales de rendimiento respecto de los Miembros (frente a 2019)</w:t>
      </w:r>
    </w:p>
    <w:p w14:paraId="6A2A5413" w14:textId="77777777" w:rsidR="0077746C" w:rsidRPr="00B2067F" w:rsidRDefault="0077746C" w:rsidP="00B922BE">
      <w:pPr>
        <w:pStyle w:val="Tablelegend"/>
        <w:spacing w:before="20" w:after="20"/>
        <w:rPr>
          <w:sz w:val="18"/>
          <w:szCs w:val="18"/>
        </w:rPr>
      </w:pPr>
      <w:r w:rsidRPr="00B2067F">
        <w:rPr>
          <w:sz w:val="18"/>
          <w:szCs w:val="18"/>
        </w:rPr>
        <w:t>Entidades Miembros</w:t>
      </w:r>
      <w:r w:rsidRPr="00B2067F">
        <w:rPr>
          <w:sz w:val="18"/>
          <w:szCs w:val="18"/>
        </w:rPr>
        <w:tab/>
      </w:r>
      <w:r w:rsidRPr="00B2067F">
        <w:rPr>
          <w:sz w:val="18"/>
          <w:szCs w:val="18"/>
        </w:rPr>
        <w:tab/>
      </w:r>
      <w:r w:rsidRPr="00B2067F">
        <w:rPr>
          <w:sz w:val="18"/>
          <w:szCs w:val="18"/>
        </w:rPr>
        <w:tab/>
      </w:r>
      <w:r w:rsidRPr="00B2067F">
        <w:rPr>
          <w:sz w:val="18"/>
          <w:szCs w:val="18"/>
        </w:rPr>
        <w:tab/>
      </w:r>
      <w:r w:rsidRPr="00B2067F">
        <w:rPr>
          <w:sz w:val="18"/>
          <w:szCs w:val="18"/>
        </w:rPr>
        <w:tab/>
      </w:r>
      <w:r w:rsidRPr="00B2067F">
        <w:rPr>
          <w:sz w:val="18"/>
          <w:szCs w:val="18"/>
        </w:rPr>
        <w:tab/>
      </w:r>
      <w:r w:rsidRPr="00B2067F">
        <w:rPr>
          <w:sz w:val="18"/>
          <w:szCs w:val="18"/>
        </w:rPr>
        <w:tab/>
      </w:r>
      <w:r w:rsidRPr="00B2067F">
        <w:rPr>
          <w:sz w:val="18"/>
          <w:szCs w:val="18"/>
        </w:rPr>
        <w:tab/>
        <w:t>Miembros de Sector</w:t>
      </w:r>
    </w:p>
    <w:p w14:paraId="74E85443" w14:textId="77777777" w:rsidR="0077746C" w:rsidRPr="00B2067F" w:rsidRDefault="0077746C" w:rsidP="00B922BE">
      <w:pPr>
        <w:pStyle w:val="Tablelegend"/>
        <w:spacing w:before="20" w:after="20"/>
        <w:rPr>
          <w:sz w:val="18"/>
          <w:szCs w:val="18"/>
        </w:rPr>
      </w:pPr>
      <w:r w:rsidRPr="00B2067F">
        <w:rPr>
          <w:sz w:val="18"/>
          <w:szCs w:val="18"/>
        </w:rPr>
        <w:t>Estimación del total de las contribuciones</w:t>
      </w:r>
      <w:r w:rsidRPr="00B2067F">
        <w:rPr>
          <w:sz w:val="18"/>
          <w:szCs w:val="18"/>
        </w:rPr>
        <w:tab/>
      </w:r>
      <w:r w:rsidRPr="00B2067F">
        <w:rPr>
          <w:sz w:val="18"/>
          <w:szCs w:val="18"/>
        </w:rPr>
        <w:tab/>
      </w:r>
      <w:r w:rsidRPr="00B2067F">
        <w:rPr>
          <w:sz w:val="18"/>
          <w:szCs w:val="18"/>
        </w:rPr>
        <w:tab/>
      </w:r>
      <w:r w:rsidRPr="00B2067F">
        <w:rPr>
          <w:sz w:val="18"/>
          <w:szCs w:val="18"/>
        </w:rPr>
        <w:tab/>
        <w:t>Asociados</w:t>
      </w:r>
    </w:p>
    <w:p w14:paraId="0FF575BF" w14:textId="77777777" w:rsidR="0077746C" w:rsidRPr="00B2067F" w:rsidRDefault="0077746C" w:rsidP="00B922BE">
      <w:pPr>
        <w:pStyle w:val="Tablelegend"/>
        <w:spacing w:before="20" w:after="20"/>
        <w:rPr>
          <w:sz w:val="18"/>
          <w:szCs w:val="18"/>
        </w:rPr>
      </w:pPr>
      <w:r w:rsidRPr="00B2067F">
        <w:rPr>
          <w:sz w:val="18"/>
          <w:szCs w:val="18"/>
        </w:rPr>
        <w:t>Miembros de los 3 Sectores</w:t>
      </w:r>
      <w:r w:rsidRPr="00B2067F">
        <w:rPr>
          <w:sz w:val="18"/>
          <w:szCs w:val="18"/>
        </w:rPr>
        <w:tab/>
      </w:r>
      <w:r w:rsidRPr="00B2067F">
        <w:rPr>
          <w:sz w:val="18"/>
          <w:szCs w:val="18"/>
        </w:rPr>
        <w:tab/>
      </w:r>
      <w:r w:rsidRPr="00B2067F">
        <w:rPr>
          <w:sz w:val="18"/>
          <w:szCs w:val="18"/>
        </w:rPr>
        <w:tab/>
      </w:r>
      <w:r w:rsidRPr="00B2067F">
        <w:rPr>
          <w:sz w:val="18"/>
          <w:szCs w:val="18"/>
        </w:rPr>
        <w:tab/>
      </w:r>
      <w:r w:rsidRPr="00B2067F">
        <w:rPr>
          <w:sz w:val="18"/>
          <w:szCs w:val="18"/>
        </w:rPr>
        <w:tab/>
      </w:r>
      <w:r w:rsidRPr="00B2067F">
        <w:rPr>
          <w:sz w:val="18"/>
          <w:szCs w:val="18"/>
        </w:rPr>
        <w:tab/>
        <w:t>Instituciones Académicas</w:t>
      </w:r>
    </w:p>
    <w:p w14:paraId="56B2C6F9" w14:textId="77777777" w:rsidR="0077746C" w:rsidRPr="00B2067F" w:rsidRDefault="0077746C" w:rsidP="0077746C">
      <w:pPr>
        <w:pStyle w:val="TableNoBR"/>
      </w:pPr>
      <w:r w:rsidRPr="00B2067F">
        <w:lastRenderedPageBreak/>
        <w:t>CUADRO 8.5.1-3</w:t>
      </w:r>
    </w:p>
    <w:p w14:paraId="23882D34" w14:textId="77777777" w:rsidR="0077746C" w:rsidRPr="00B2067F" w:rsidRDefault="0077746C" w:rsidP="0077746C">
      <w:pPr>
        <w:pStyle w:val="TabletitleBR"/>
      </w:pPr>
      <w:r w:rsidRPr="00B2067F">
        <w:rPr>
          <w:noProof/>
          <w:lang w:eastAsia="es-ES_tradnl"/>
        </w:rPr>
        <w:drawing>
          <wp:inline distT="0" distB="0" distL="0" distR="0" wp14:anchorId="26070211" wp14:editId="75E717B2">
            <wp:extent cx="6106795" cy="1755140"/>
            <wp:effectExtent l="0" t="0" r="8255" b="0"/>
            <wp:docPr id="1992355984" name="Picture 1992355984"/>
            <wp:cNvGraphicFramePr/>
            <a:graphic xmlns:a="http://schemas.openxmlformats.org/drawingml/2006/main">
              <a:graphicData uri="http://schemas.openxmlformats.org/drawingml/2006/picture">
                <pic:pic xmlns:pic="http://schemas.openxmlformats.org/drawingml/2006/picture">
                  <pic:nvPicPr>
                    <pic:cNvPr id="1992355984" name="Picture 1992355984"/>
                    <pic:cNvPicPr/>
                  </pic:nvPicPr>
                  <pic:blipFill>
                    <a:blip r:embed="rId37">
                      <a:extLst>
                        <a:ext uri="{28A0092B-C50C-407E-A947-70E740481C1C}">
                          <a14:useLocalDpi xmlns:a14="http://schemas.microsoft.com/office/drawing/2010/main" val="0"/>
                        </a:ext>
                      </a:extLst>
                    </a:blip>
                    <a:stretch>
                      <a:fillRect/>
                    </a:stretch>
                  </pic:blipFill>
                  <pic:spPr>
                    <a:xfrm>
                      <a:off x="0" y="0"/>
                      <a:ext cx="6106795" cy="1755140"/>
                    </a:xfrm>
                    <a:prstGeom prst="rect">
                      <a:avLst/>
                    </a:prstGeom>
                  </pic:spPr>
                </pic:pic>
              </a:graphicData>
            </a:graphic>
          </wp:inline>
        </w:drawing>
      </w:r>
    </w:p>
    <w:p w14:paraId="3A3AE933" w14:textId="77777777" w:rsidR="0077746C" w:rsidRPr="00B2067F" w:rsidRDefault="0077746C" w:rsidP="00B922BE">
      <w:pPr>
        <w:pStyle w:val="Figurelegend"/>
        <w:spacing w:after="120"/>
      </w:pPr>
      <w:r w:rsidRPr="00B2067F">
        <w:t>Leyenda de la figura:</w:t>
      </w:r>
    </w:p>
    <w:p w14:paraId="0111240B" w14:textId="77777777" w:rsidR="0077746C" w:rsidRPr="00B2067F" w:rsidRDefault="0077746C" w:rsidP="0077746C">
      <w:pPr>
        <w:pStyle w:val="Figurelegend"/>
        <w:rPr>
          <w:b/>
        </w:rPr>
      </w:pPr>
      <w:r w:rsidRPr="00B2067F">
        <w:rPr>
          <w:b/>
        </w:rPr>
        <w:t>Número neto de Miembros por Sector y tipo</w:t>
      </w:r>
    </w:p>
    <w:p w14:paraId="09A07DA9" w14:textId="77777777" w:rsidR="0077746C" w:rsidRPr="00B2067F" w:rsidRDefault="0077746C" w:rsidP="0077746C">
      <w:pPr>
        <w:pStyle w:val="Figurelegend"/>
        <w:rPr>
          <w:b/>
        </w:rPr>
      </w:pPr>
      <w:r w:rsidRPr="00B2067F">
        <w:rPr>
          <w:b/>
        </w:rPr>
        <w:t>Sector</w:t>
      </w:r>
      <w:r w:rsidRPr="00B2067F">
        <w:rPr>
          <w:b/>
        </w:rPr>
        <w:tab/>
        <w:t>Tipo de Miembro</w:t>
      </w:r>
    </w:p>
    <w:p w14:paraId="6D0170B1" w14:textId="28D74DC0" w:rsidR="0077746C" w:rsidRPr="00B2067F" w:rsidRDefault="0077746C" w:rsidP="0077746C">
      <w:pPr>
        <w:pStyle w:val="Figurelegend"/>
        <w:rPr>
          <w:b/>
        </w:rPr>
      </w:pPr>
      <w:r w:rsidRPr="00B2067F">
        <w:rPr>
          <w:b/>
        </w:rPr>
        <w:t>UIT-</w:t>
      </w:r>
      <w:r w:rsidR="00CC1EC2" w:rsidRPr="00B2067F">
        <w:rPr>
          <w:b/>
        </w:rPr>
        <w:t>R</w:t>
      </w:r>
      <w:r w:rsidR="00CC1EC2" w:rsidRPr="00B2067F">
        <w:rPr>
          <w:b/>
        </w:rPr>
        <w:tab/>
        <w:t>UIT-T</w:t>
      </w:r>
      <w:r w:rsidR="00CC1EC2" w:rsidRPr="00B2067F">
        <w:rPr>
          <w:b/>
        </w:rPr>
        <w:tab/>
        <w:t>UIT-D</w:t>
      </w:r>
      <w:r w:rsidR="00CC1EC2" w:rsidRPr="00B2067F">
        <w:rPr>
          <w:b/>
        </w:rPr>
        <w:tab/>
        <w:t>Miembro de Sector</w:t>
      </w:r>
    </w:p>
    <w:p w14:paraId="6B4D39C3" w14:textId="77777777" w:rsidR="0077746C" w:rsidRPr="00B2067F" w:rsidRDefault="0077746C" w:rsidP="0077746C">
      <w:pPr>
        <w:pStyle w:val="Figurelegend"/>
        <w:ind w:left="1440" w:firstLine="720"/>
        <w:rPr>
          <w:b/>
        </w:rPr>
      </w:pPr>
      <w:r w:rsidRPr="00B2067F">
        <w:rPr>
          <w:b/>
        </w:rPr>
        <w:t>Asociado</w:t>
      </w:r>
    </w:p>
    <w:p w14:paraId="0CADCF06" w14:textId="77777777" w:rsidR="0077746C" w:rsidRPr="00B2067F" w:rsidRDefault="0077746C" w:rsidP="0077746C">
      <w:pPr>
        <w:pStyle w:val="Figurelegend"/>
        <w:rPr>
          <w:b/>
        </w:rPr>
      </w:pPr>
      <w:r w:rsidRPr="00B2067F">
        <w:rPr>
          <w:b/>
        </w:rPr>
        <w:t>Instituciones Académicas</w:t>
      </w:r>
      <w:r w:rsidRPr="00B2067F">
        <w:rPr>
          <w:b/>
        </w:rPr>
        <w:tab/>
        <w:t>Instituciones Académicas</w:t>
      </w:r>
    </w:p>
    <w:p w14:paraId="02EBE34A" w14:textId="77777777" w:rsidR="0077746C" w:rsidRPr="00B2067F" w:rsidRDefault="0077746C" w:rsidP="0077746C">
      <w:pPr>
        <w:pStyle w:val="Figurelegend"/>
      </w:pPr>
      <w:r w:rsidRPr="00B2067F">
        <w:t>Explicación</w:t>
      </w:r>
    </w:p>
    <w:p w14:paraId="2E7B33A6" w14:textId="7EEE7684" w:rsidR="0077746C" w:rsidRPr="00B2067F" w:rsidRDefault="00B922BE" w:rsidP="00CC1EC2">
      <w:pPr>
        <w:pStyle w:val="Figurelegend"/>
        <w:tabs>
          <w:tab w:val="left" w:pos="284"/>
        </w:tabs>
        <w:ind w:left="284" w:hanging="284"/>
      </w:pPr>
      <w:r w:rsidRPr="00B2067F">
        <w:t>–</w:t>
      </w:r>
      <w:r w:rsidRPr="00B2067F">
        <w:tab/>
      </w:r>
      <w:r w:rsidR="0077746C" w:rsidRPr="00B2067F">
        <w:t>Las casillas blancas representan un año sin movimiento alguno</w:t>
      </w:r>
    </w:p>
    <w:p w14:paraId="47792FC3" w14:textId="10E9EFFE" w:rsidR="0077746C" w:rsidRPr="00B2067F" w:rsidRDefault="00B922BE" w:rsidP="00CC1EC2">
      <w:pPr>
        <w:pStyle w:val="Figurelegend"/>
        <w:tabs>
          <w:tab w:val="left" w:pos="284"/>
        </w:tabs>
        <w:ind w:left="284" w:hanging="284"/>
      </w:pPr>
      <w:r w:rsidRPr="00B2067F">
        <w:t>–</w:t>
      </w:r>
      <w:r w:rsidRPr="00B2067F">
        <w:tab/>
      </w:r>
      <w:r w:rsidR="0077746C" w:rsidRPr="00B2067F">
        <w:t>Las casillas beis representan un movimiento neto de cero (es decir, nuevo = denuncia + exclusión)</w:t>
      </w:r>
    </w:p>
    <w:p w14:paraId="0F2A2F20" w14:textId="131A9EDC" w:rsidR="0077746C" w:rsidRPr="00B2067F" w:rsidRDefault="00B922BE" w:rsidP="00CC1EC2">
      <w:pPr>
        <w:pStyle w:val="Figurelegend"/>
        <w:tabs>
          <w:tab w:val="left" w:pos="284"/>
        </w:tabs>
        <w:ind w:left="284" w:hanging="284"/>
      </w:pPr>
      <w:r w:rsidRPr="00B2067F">
        <w:t>–</w:t>
      </w:r>
      <w:r w:rsidRPr="00B2067F">
        <w:tab/>
      </w:r>
      <w:r w:rsidR="0077746C" w:rsidRPr="00B2067F">
        <w:t>Las casillas verdes representan un movimien</w:t>
      </w:r>
      <w:r w:rsidR="00CC1EC2" w:rsidRPr="00B2067F">
        <w:t>to neto positivo durante el año</w:t>
      </w:r>
      <w:r w:rsidR="00CC1EC2" w:rsidRPr="00B2067F">
        <w:br/>
      </w:r>
      <w:r w:rsidR="0077746C" w:rsidRPr="00B2067F">
        <w:t>(es decir, nuevos Miembros &gt; denuncias + exclusiones)</w:t>
      </w:r>
    </w:p>
    <w:p w14:paraId="605E8596" w14:textId="65B20AC6" w:rsidR="0077746C" w:rsidRPr="00B2067F" w:rsidRDefault="00B922BE" w:rsidP="00CC1EC2">
      <w:pPr>
        <w:pStyle w:val="Figurelegend"/>
        <w:tabs>
          <w:tab w:val="left" w:pos="284"/>
        </w:tabs>
        <w:ind w:left="284" w:hanging="284"/>
      </w:pPr>
      <w:r w:rsidRPr="00B2067F">
        <w:t>–</w:t>
      </w:r>
      <w:r w:rsidRPr="00B2067F">
        <w:tab/>
      </w:r>
      <w:r w:rsidR="0077746C" w:rsidRPr="00B2067F">
        <w:t>Las casillas rojas representan un movimien</w:t>
      </w:r>
      <w:r w:rsidR="00CC1EC2" w:rsidRPr="00B2067F">
        <w:t>to neto negativo durante el año</w:t>
      </w:r>
      <w:r w:rsidR="00CC1EC2" w:rsidRPr="00B2067F">
        <w:br/>
      </w:r>
      <w:r w:rsidR="0077746C" w:rsidRPr="00B2067F">
        <w:t>(es decir, nuevos Miembros &lt; denuncias + exclusiones)</w:t>
      </w:r>
    </w:p>
    <w:p w14:paraId="2537B6B7" w14:textId="6387D91B" w:rsidR="0077746C" w:rsidRPr="00B2067F" w:rsidRDefault="00B922BE" w:rsidP="00CC1EC2">
      <w:pPr>
        <w:pStyle w:val="Figurelegend"/>
        <w:tabs>
          <w:tab w:val="left" w:pos="284"/>
        </w:tabs>
        <w:ind w:left="284" w:hanging="284"/>
      </w:pPr>
      <w:r w:rsidRPr="00B2067F">
        <w:t>–</w:t>
      </w:r>
      <w:r w:rsidRPr="00B2067F">
        <w:tab/>
      </w:r>
      <w:r w:rsidR="0077746C" w:rsidRPr="00B2067F">
        <w:t>Los colores más oscuros representan los números más elevados</w:t>
      </w:r>
    </w:p>
    <w:p w14:paraId="6569618C" w14:textId="77777777" w:rsidR="0077746C" w:rsidRPr="00B2067F" w:rsidRDefault="0077746C" w:rsidP="0077746C">
      <w:pPr>
        <w:pStyle w:val="Heading3"/>
      </w:pPr>
      <w:bookmarkStart w:id="142" w:name="_Toc19090142"/>
      <w:bookmarkStart w:id="143" w:name="_Toc20478069"/>
      <w:r w:rsidRPr="00B2067F">
        <w:t>8.5.2</w:t>
      </w:r>
      <w:r w:rsidRPr="00B2067F">
        <w:tab/>
      </w:r>
      <w:bookmarkEnd w:id="142"/>
      <w:r w:rsidRPr="00B2067F">
        <w:t>Miembros</w:t>
      </w:r>
      <w:bookmarkEnd w:id="143"/>
      <w:r w:rsidRPr="00B2067F">
        <w:t xml:space="preserve"> del UIT-R</w:t>
      </w:r>
    </w:p>
    <w:p w14:paraId="16D01440" w14:textId="77777777" w:rsidR="0077746C" w:rsidRPr="00B2067F" w:rsidRDefault="0077746C" w:rsidP="0077746C">
      <w:r w:rsidRPr="00B2067F">
        <w:t>En el Cuadro 8.5.2 se muestra la evolución del número de Miembros de Sector, Asociados e Instituciones Académicas del UIT-R durante el periodo comprendido entre 2017 y 2020.</w:t>
      </w:r>
    </w:p>
    <w:p w14:paraId="47A58D4D" w14:textId="77777777" w:rsidR="0077746C" w:rsidRPr="00B2067F" w:rsidRDefault="0077746C" w:rsidP="0077746C">
      <w:pPr>
        <w:pStyle w:val="TableNoBR"/>
      </w:pPr>
      <w:bookmarkStart w:id="144" w:name="lt_pId1398"/>
      <w:r w:rsidRPr="00B2067F">
        <w:t>CUADRO 8.5.2</w:t>
      </w:r>
      <w:bookmarkEnd w:id="144"/>
    </w:p>
    <w:p w14:paraId="352AA9B3" w14:textId="4334B013" w:rsidR="0077746C" w:rsidRPr="00B2067F" w:rsidRDefault="0077746C" w:rsidP="0077746C">
      <w:pPr>
        <w:pStyle w:val="TabletitleBR"/>
      </w:pPr>
      <w:r w:rsidRPr="00B2067F">
        <w:t>Evolución de los Miembros del UIT-R desde 2017</w:t>
      </w:r>
    </w:p>
    <w:tbl>
      <w:tblPr>
        <w:tblStyle w:val="GridTable5Dark-Accent11"/>
        <w:tblW w:w="8913" w:type="dxa"/>
        <w:jc w:val="center"/>
        <w:tblLook w:val="04A0" w:firstRow="1" w:lastRow="0" w:firstColumn="1" w:lastColumn="0" w:noHBand="0" w:noVBand="1"/>
      </w:tblPr>
      <w:tblGrid>
        <w:gridCol w:w="1640"/>
        <w:gridCol w:w="960"/>
        <w:gridCol w:w="960"/>
        <w:gridCol w:w="960"/>
        <w:gridCol w:w="1373"/>
        <w:gridCol w:w="1373"/>
        <w:gridCol w:w="1647"/>
      </w:tblGrid>
      <w:tr w:rsidR="00E14EC1" w:rsidRPr="00B2067F" w14:paraId="65D9BA1F" w14:textId="77777777" w:rsidTr="00820F86">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0" w:type="dxa"/>
            <w:noWrap/>
            <w:hideMark/>
          </w:tcPr>
          <w:p w14:paraId="256A9D55" w14:textId="77777777" w:rsidR="00E14EC1" w:rsidRPr="00B2067F" w:rsidRDefault="00E14EC1" w:rsidP="00820F86">
            <w:pPr>
              <w:spacing w:after="120"/>
              <w:jc w:val="center"/>
              <w:rPr>
                <w:sz w:val="20"/>
              </w:rPr>
            </w:pPr>
          </w:p>
        </w:tc>
        <w:tc>
          <w:tcPr>
            <w:tcW w:w="960" w:type="dxa"/>
            <w:noWrap/>
            <w:hideMark/>
          </w:tcPr>
          <w:p w14:paraId="062284E6" w14:textId="77777777" w:rsidR="00E14EC1" w:rsidRPr="00B2067F" w:rsidRDefault="00E14EC1" w:rsidP="00820F86">
            <w:pPr>
              <w:pStyle w:val="Tablehead"/>
              <w:cnfStyle w:val="100000000000" w:firstRow="1" w:lastRow="0" w:firstColumn="0" w:lastColumn="0" w:oddVBand="0" w:evenVBand="0" w:oddHBand="0" w:evenHBand="0" w:firstRowFirstColumn="0" w:firstRowLastColumn="0" w:lastRowFirstColumn="0" w:lastRowLastColumn="0"/>
              <w:rPr>
                <w:sz w:val="20"/>
              </w:rPr>
            </w:pPr>
            <w:r w:rsidRPr="00B2067F">
              <w:t>2017</w:t>
            </w:r>
          </w:p>
        </w:tc>
        <w:tc>
          <w:tcPr>
            <w:tcW w:w="960" w:type="dxa"/>
            <w:noWrap/>
            <w:hideMark/>
          </w:tcPr>
          <w:p w14:paraId="755115D0" w14:textId="77777777" w:rsidR="00E14EC1" w:rsidRPr="00B2067F" w:rsidRDefault="00E14EC1" w:rsidP="00820F86">
            <w:pPr>
              <w:pStyle w:val="Tablehead"/>
              <w:cnfStyle w:val="100000000000" w:firstRow="1" w:lastRow="0" w:firstColumn="0" w:lastColumn="0" w:oddVBand="0" w:evenVBand="0" w:oddHBand="0" w:evenHBand="0" w:firstRowFirstColumn="0" w:firstRowLastColumn="0" w:lastRowFirstColumn="0" w:lastRowLastColumn="0"/>
              <w:rPr>
                <w:sz w:val="20"/>
              </w:rPr>
            </w:pPr>
            <w:r w:rsidRPr="00B2067F">
              <w:t>2018</w:t>
            </w:r>
          </w:p>
        </w:tc>
        <w:tc>
          <w:tcPr>
            <w:tcW w:w="960" w:type="dxa"/>
            <w:noWrap/>
            <w:hideMark/>
          </w:tcPr>
          <w:p w14:paraId="42BEB77C" w14:textId="77777777" w:rsidR="00E14EC1" w:rsidRPr="00B2067F" w:rsidRDefault="00E14EC1" w:rsidP="00820F86">
            <w:pPr>
              <w:pStyle w:val="Tablehead"/>
              <w:cnfStyle w:val="100000000000" w:firstRow="1" w:lastRow="0" w:firstColumn="0" w:lastColumn="0" w:oddVBand="0" w:evenVBand="0" w:oddHBand="0" w:evenHBand="0" w:firstRowFirstColumn="0" w:firstRowLastColumn="0" w:lastRowFirstColumn="0" w:lastRowLastColumn="0"/>
              <w:rPr>
                <w:sz w:val="20"/>
              </w:rPr>
            </w:pPr>
            <w:r w:rsidRPr="00B2067F">
              <w:t>2019</w:t>
            </w:r>
          </w:p>
        </w:tc>
        <w:tc>
          <w:tcPr>
            <w:tcW w:w="1373" w:type="dxa"/>
          </w:tcPr>
          <w:p w14:paraId="2991F1AE" w14:textId="77777777" w:rsidR="00E14EC1" w:rsidRPr="00B2067F" w:rsidRDefault="00E14EC1" w:rsidP="00820F86">
            <w:pPr>
              <w:pStyle w:val="Tablehead"/>
              <w:cnfStyle w:val="100000000000" w:firstRow="1" w:lastRow="0" w:firstColumn="0" w:lastColumn="0" w:oddVBand="0" w:evenVBand="0" w:oddHBand="0" w:evenHBand="0" w:firstRowFirstColumn="0" w:firstRowLastColumn="0" w:lastRowFirstColumn="0" w:lastRowLastColumn="0"/>
              <w:rPr>
                <w:sz w:val="20"/>
              </w:rPr>
            </w:pPr>
            <w:r w:rsidRPr="00B2067F">
              <w:t>2020</w:t>
            </w:r>
          </w:p>
        </w:tc>
        <w:tc>
          <w:tcPr>
            <w:tcW w:w="1373" w:type="dxa"/>
            <w:noWrap/>
            <w:hideMark/>
          </w:tcPr>
          <w:p w14:paraId="5EF16DAF" w14:textId="77777777" w:rsidR="00E14EC1" w:rsidRPr="00B2067F" w:rsidRDefault="00E14EC1" w:rsidP="00820F86">
            <w:pPr>
              <w:pStyle w:val="Tablehead"/>
              <w:cnfStyle w:val="100000000000" w:firstRow="1" w:lastRow="0" w:firstColumn="0" w:lastColumn="0" w:oddVBand="0" w:evenVBand="0" w:oddHBand="0" w:evenHBand="0" w:firstRowFirstColumn="0" w:firstRowLastColumn="0" w:lastRowFirstColumn="0" w:lastRowLastColumn="0"/>
              <w:rPr>
                <w:sz w:val="20"/>
              </w:rPr>
            </w:pPr>
            <w:bookmarkStart w:id="145" w:name="lt_pId1404"/>
            <w:r w:rsidRPr="00B2067F">
              <w:t>2020 frente a 201</w:t>
            </w:r>
            <w:bookmarkEnd w:id="145"/>
            <w:r w:rsidRPr="00B2067F">
              <w:t>7</w:t>
            </w:r>
          </w:p>
        </w:tc>
        <w:tc>
          <w:tcPr>
            <w:tcW w:w="1647" w:type="dxa"/>
            <w:noWrap/>
            <w:hideMark/>
          </w:tcPr>
          <w:p w14:paraId="6F09CBBB" w14:textId="77777777" w:rsidR="00E14EC1" w:rsidRPr="00B2067F" w:rsidRDefault="00E14EC1" w:rsidP="00820F86">
            <w:pPr>
              <w:pStyle w:val="Tablehead"/>
              <w:cnfStyle w:val="100000000000" w:firstRow="1" w:lastRow="0" w:firstColumn="0" w:lastColumn="0" w:oddVBand="0" w:evenVBand="0" w:oddHBand="0" w:evenHBand="0" w:firstRowFirstColumn="0" w:firstRowLastColumn="0" w:lastRowFirstColumn="0" w:lastRowLastColumn="0"/>
              <w:rPr>
                <w:sz w:val="20"/>
              </w:rPr>
            </w:pPr>
            <w:r w:rsidRPr="00B2067F">
              <w:t>% de aumento</w:t>
            </w:r>
          </w:p>
        </w:tc>
      </w:tr>
      <w:tr w:rsidR="00E14EC1" w:rsidRPr="00B2067F" w14:paraId="13F4D8F9" w14:textId="77777777" w:rsidTr="00820F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40" w:type="dxa"/>
            <w:noWrap/>
            <w:hideMark/>
          </w:tcPr>
          <w:p w14:paraId="6CC61465" w14:textId="77777777" w:rsidR="00E14EC1" w:rsidRPr="00B2067F" w:rsidRDefault="00E14EC1" w:rsidP="00820F86">
            <w:pPr>
              <w:pStyle w:val="Tabletext"/>
              <w:rPr>
                <w:b w:val="0"/>
                <w:sz w:val="20"/>
              </w:rPr>
            </w:pPr>
            <w:r w:rsidRPr="00B2067F">
              <w:rPr>
                <w:b w:val="0"/>
              </w:rPr>
              <w:t>Miembros</w:t>
            </w:r>
            <w:r w:rsidRPr="00B2067F">
              <w:rPr>
                <w:b w:val="0"/>
              </w:rPr>
              <w:br/>
              <w:t>de Sector</w:t>
            </w:r>
          </w:p>
        </w:tc>
        <w:tc>
          <w:tcPr>
            <w:tcW w:w="960" w:type="dxa"/>
            <w:noWrap/>
            <w:vAlign w:val="center"/>
          </w:tcPr>
          <w:p w14:paraId="06095E6E" w14:textId="77777777" w:rsidR="00E14EC1" w:rsidRPr="00B2067F" w:rsidRDefault="00E14EC1"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265</w:t>
            </w:r>
          </w:p>
        </w:tc>
        <w:tc>
          <w:tcPr>
            <w:tcW w:w="960" w:type="dxa"/>
            <w:noWrap/>
            <w:vAlign w:val="center"/>
          </w:tcPr>
          <w:p w14:paraId="30785FA1" w14:textId="77777777" w:rsidR="00E14EC1" w:rsidRPr="00B2067F" w:rsidRDefault="00E14EC1"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263</w:t>
            </w:r>
          </w:p>
        </w:tc>
        <w:tc>
          <w:tcPr>
            <w:tcW w:w="960" w:type="dxa"/>
            <w:noWrap/>
            <w:vAlign w:val="center"/>
          </w:tcPr>
          <w:p w14:paraId="14F969C6" w14:textId="77777777" w:rsidR="00E14EC1" w:rsidRPr="00B2067F" w:rsidRDefault="00E14EC1"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272</w:t>
            </w:r>
          </w:p>
        </w:tc>
        <w:tc>
          <w:tcPr>
            <w:tcW w:w="1373" w:type="dxa"/>
            <w:vAlign w:val="center"/>
          </w:tcPr>
          <w:p w14:paraId="3F5B92F1" w14:textId="77777777" w:rsidR="00E14EC1" w:rsidRPr="00B2067F" w:rsidRDefault="00E14EC1"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276</w:t>
            </w:r>
          </w:p>
        </w:tc>
        <w:tc>
          <w:tcPr>
            <w:tcW w:w="1373" w:type="dxa"/>
            <w:noWrap/>
            <w:vAlign w:val="center"/>
          </w:tcPr>
          <w:p w14:paraId="3721025D" w14:textId="77777777" w:rsidR="00E14EC1" w:rsidRPr="00B2067F" w:rsidRDefault="00E14EC1"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11</w:t>
            </w:r>
          </w:p>
        </w:tc>
        <w:tc>
          <w:tcPr>
            <w:tcW w:w="1647" w:type="dxa"/>
            <w:noWrap/>
            <w:vAlign w:val="center"/>
          </w:tcPr>
          <w:p w14:paraId="08648953" w14:textId="77777777" w:rsidR="00E14EC1" w:rsidRPr="00B2067F" w:rsidRDefault="00E14EC1"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4,2%</w:t>
            </w:r>
          </w:p>
        </w:tc>
      </w:tr>
      <w:tr w:rsidR="00E14EC1" w:rsidRPr="00B2067F" w14:paraId="211B254E" w14:textId="77777777" w:rsidTr="00820F86">
        <w:trPr>
          <w:trHeight w:val="300"/>
          <w:jc w:val="center"/>
        </w:trPr>
        <w:tc>
          <w:tcPr>
            <w:cnfStyle w:val="001000000000" w:firstRow="0" w:lastRow="0" w:firstColumn="1" w:lastColumn="0" w:oddVBand="0" w:evenVBand="0" w:oddHBand="0" w:evenHBand="0" w:firstRowFirstColumn="0" w:firstRowLastColumn="0" w:lastRowFirstColumn="0" w:lastRowLastColumn="0"/>
            <w:tcW w:w="1640" w:type="dxa"/>
            <w:noWrap/>
            <w:hideMark/>
          </w:tcPr>
          <w:p w14:paraId="33347531" w14:textId="77777777" w:rsidR="00E14EC1" w:rsidRPr="00B2067F" w:rsidRDefault="00E14EC1" w:rsidP="00820F86">
            <w:pPr>
              <w:pStyle w:val="Tabletext"/>
              <w:rPr>
                <w:b w:val="0"/>
                <w:sz w:val="20"/>
              </w:rPr>
            </w:pPr>
            <w:r w:rsidRPr="00B2067F">
              <w:rPr>
                <w:b w:val="0"/>
              </w:rPr>
              <w:t>Asociados</w:t>
            </w:r>
          </w:p>
        </w:tc>
        <w:tc>
          <w:tcPr>
            <w:tcW w:w="960" w:type="dxa"/>
            <w:noWrap/>
            <w:vAlign w:val="center"/>
          </w:tcPr>
          <w:p w14:paraId="7E809D22" w14:textId="77777777" w:rsidR="00E14EC1" w:rsidRPr="00B2067F" w:rsidRDefault="00E14EC1" w:rsidP="00820F86">
            <w:pPr>
              <w:pStyle w:val="Tabletext"/>
              <w:jc w:val="center"/>
              <w:cnfStyle w:val="000000000000" w:firstRow="0" w:lastRow="0" w:firstColumn="0" w:lastColumn="0" w:oddVBand="0" w:evenVBand="0" w:oddHBand="0" w:evenHBand="0" w:firstRowFirstColumn="0" w:firstRowLastColumn="0" w:lastRowFirstColumn="0" w:lastRowLastColumn="0"/>
            </w:pPr>
            <w:r w:rsidRPr="00B2067F">
              <w:t>21</w:t>
            </w:r>
          </w:p>
        </w:tc>
        <w:tc>
          <w:tcPr>
            <w:tcW w:w="960" w:type="dxa"/>
            <w:noWrap/>
            <w:vAlign w:val="center"/>
          </w:tcPr>
          <w:p w14:paraId="2719145E" w14:textId="77777777" w:rsidR="00E14EC1" w:rsidRPr="00B2067F" w:rsidRDefault="00E14EC1" w:rsidP="00820F86">
            <w:pPr>
              <w:pStyle w:val="Tabletext"/>
              <w:jc w:val="center"/>
              <w:cnfStyle w:val="000000000000" w:firstRow="0" w:lastRow="0" w:firstColumn="0" w:lastColumn="0" w:oddVBand="0" w:evenVBand="0" w:oddHBand="0" w:evenHBand="0" w:firstRowFirstColumn="0" w:firstRowLastColumn="0" w:lastRowFirstColumn="0" w:lastRowLastColumn="0"/>
            </w:pPr>
            <w:r w:rsidRPr="00B2067F">
              <w:t>20</w:t>
            </w:r>
          </w:p>
        </w:tc>
        <w:tc>
          <w:tcPr>
            <w:tcW w:w="960" w:type="dxa"/>
            <w:noWrap/>
            <w:vAlign w:val="center"/>
          </w:tcPr>
          <w:p w14:paraId="082F2D19" w14:textId="77777777" w:rsidR="00E14EC1" w:rsidRPr="00B2067F" w:rsidRDefault="00E14EC1" w:rsidP="00820F86">
            <w:pPr>
              <w:pStyle w:val="Tabletext"/>
              <w:jc w:val="center"/>
              <w:cnfStyle w:val="000000000000" w:firstRow="0" w:lastRow="0" w:firstColumn="0" w:lastColumn="0" w:oddVBand="0" w:evenVBand="0" w:oddHBand="0" w:evenHBand="0" w:firstRowFirstColumn="0" w:firstRowLastColumn="0" w:lastRowFirstColumn="0" w:lastRowLastColumn="0"/>
            </w:pPr>
            <w:r w:rsidRPr="00B2067F">
              <w:t>21</w:t>
            </w:r>
          </w:p>
        </w:tc>
        <w:tc>
          <w:tcPr>
            <w:tcW w:w="1373" w:type="dxa"/>
            <w:vAlign w:val="center"/>
          </w:tcPr>
          <w:p w14:paraId="14E1CE7C" w14:textId="77777777" w:rsidR="00E14EC1" w:rsidRPr="00B2067F" w:rsidRDefault="00E14EC1" w:rsidP="00820F86">
            <w:pPr>
              <w:pStyle w:val="Tabletext"/>
              <w:jc w:val="center"/>
              <w:cnfStyle w:val="000000000000" w:firstRow="0" w:lastRow="0" w:firstColumn="0" w:lastColumn="0" w:oddVBand="0" w:evenVBand="0" w:oddHBand="0" w:evenHBand="0" w:firstRowFirstColumn="0" w:firstRowLastColumn="0" w:lastRowFirstColumn="0" w:lastRowLastColumn="0"/>
            </w:pPr>
            <w:r w:rsidRPr="00B2067F">
              <w:t>23</w:t>
            </w:r>
          </w:p>
        </w:tc>
        <w:tc>
          <w:tcPr>
            <w:tcW w:w="1373" w:type="dxa"/>
            <w:noWrap/>
            <w:vAlign w:val="center"/>
          </w:tcPr>
          <w:p w14:paraId="35BB1994" w14:textId="77777777" w:rsidR="00E14EC1" w:rsidRPr="00B2067F" w:rsidRDefault="00E14EC1" w:rsidP="00820F86">
            <w:pPr>
              <w:pStyle w:val="Tabletext"/>
              <w:jc w:val="center"/>
              <w:cnfStyle w:val="000000000000" w:firstRow="0" w:lastRow="0" w:firstColumn="0" w:lastColumn="0" w:oddVBand="0" w:evenVBand="0" w:oddHBand="0" w:evenHBand="0" w:firstRowFirstColumn="0" w:firstRowLastColumn="0" w:lastRowFirstColumn="0" w:lastRowLastColumn="0"/>
            </w:pPr>
            <w:r w:rsidRPr="00B2067F">
              <w:t>2</w:t>
            </w:r>
          </w:p>
        </w:tc>
        <w:tc>
          <w:tcPr>
            <w:tcW w:w="1647" w:type="dxa"/>
            <w:noWrap/>
            <w:vAlign w:val="center"/>
          </w:tcPr>
          <w:p w14:paraId="65D114E3" w14:textId="77777777" w:rsidR="00E14EC1" w:rsidRPr="00B2067F" w:rsidRDefault="00E14EC1" w:rsidP="00820F86">
            <w:pPr>
              <w:pStyle w:val="Tabletext"/>
              <w:jc w:val="center"/>
              <w:cnfStyle w:val="000000000000" w:firstRow="0" w:lastRow="0" w:firstColumn="0" w:lastColumn="0" w:oddVBand="0" w:evenVBand="0" w:oddHBand="0" w:evenHBand="0" w:firstRowFirstColumn="0" w:firstRowLastColumn="0" w:lastRowFirstColumn="0" w:lastRowLastColumn="0"/>
            </w:pPr>
            <w:r w:rsidRPr="00B2067F">
              <w:t>9,6%</w:t>
            </w:r>
          </w:p>
        </w:tc>
      </w:tr>
      <w:tr w:rsidR="00E14EC1" w:rsidRPr="00B2067F" w14:paraId="52AF0F64" w14:textId="77777777" w:rsidTr="00820F8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0" w:type="dxa"/>
            <w:noWrap/>
            <w:hideMark/>
          </w:tcPr>
          <w:p w14:paraId="2972D6D6" w14:textId="77777777" w:rsidR="00E14EC1" w:rsidRPr="00B2067F" w:rsidRDefault="00E14EC1" w:rsidP="00820F86">
            <w:pPr>
              <w:pStyle w:val="Tabletext"/>
              <w:rPr>
                <w:b w:val="0"/>
                <w:sz w:val="20"/>
              </w:rPr>
            </w:pPr>
            <w:bookmarkStart w:id="146" w:name="lt_pId1420"/>
            <w:r w:rsidRPr="00B2067F">
              <w:rPr>
                <w:b w:val="0"/>
              </w:rPr>
              <w:t>Instituciones Académicas*</w:t>
            </w:r>
            <w:bookmarkEnd w:id="146"/>
          </w:p>
        </w:tc>
        <w:tc>
          <w:tcPr>
            <w:tcW w:w="960" w:type="dxa"/>
            <w:noWrap/>
            <w:vAlign w:val="center"/>
          </w:tcPr>
          <w:p w14:paraId="35A89DBE" w14:textId="77777777" w:rsidR="00E14EC1" w:rsidRPr="00B2067F" w:rsidRDefault="00E14EC1"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121</w:t>
            </w:r>
          </w:p>
        </w:tc>
        <w:tc>
          <w:tcPr>
            <w:tcW w:w="960" w:type="dxa"/>
            <w:noWrap/>
            <w:vAlign w:val="center"/>
          </w:tcPr>
          <w:p w14:paraId="20B85F3D" w14:textId="77777777" w:rsidR="00E14EC1" w:rsidRPr="00B2067F" w:rsidRDefault="00E14EC1"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148</w:t>
            </w:r>
          </w:p>
        </w:tc>
        <w:tc>
          <w:tcPr>
            <w:tcW w:w="960" w:type="dxa"/>
            <w:noWrap/>
            <w:vAlign w:val="center"/>
          </w:tcPr>
          <w:p w14:paraId="5C2A5923" w14:textId="77777777" w:rsidR="00E14EC1" w:rsidRPr="00B2067F" w:rsidRDefault="00E14EC1"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158</w:t>
            </w:r>
          </w:p>
        </w:tc>
        <w:tc>
          <w:tcPr>
            <w:tcW w:w="1373" w:type="dxa"/>
            <w:vAlign w:val="center"/>
          </w:tcPr>
          <w:p w14:paraId="5FAA7379" w14:textId="77777777" w:rsidR="00E14EC1" w:rsidRPr="00B2067F" w:rsidRDefault="00E14EC1"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163</w:t>
            </w:r>
          </w:p>
        </w:tc>
        <w:tc>
          <w:tcPr>
            <w:tcW w:w="1373" w:type="dxa"/>
            <w:noWrap/>
            <w:vAlign w:val="center"/>
          </w:tcPr>
          <w:p w14:paraId="291CC80B" w14:textId="77777777" w:rsidR="00E14EC1" w:rsidRPr="00B2067F" w:rsidRDefault="00E14EC1"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42</w:t>
            </w:r>
          </w:p>
        </w:tc>
        <w:tc>
          <w:tcPr>
            <w:tcW w:w="1647" w:type="dxa"/>
            <w:noWrap/>
            <w:vAlign w:val="center"/>
          </w:tcPr>
          <w:p w14:paraId="503314BA" w14:textId="77777777" w:rsidR="00E14EC1" w:rsidRPr="00B2067F" w:rsidRDefault="00E14EC1" w:rsidP="00820F86">
            <w:pPr>
              <w:pStyle w:val="Tabletext"/>
              <w:jc w:val="center"/>
              <w:cnfStyle w:val="000000100000" w:firstRow="0" w:lastRow="0" w:firstColumn="0" w:lastColumn="0" w:oddVBand="0" w:evenVBand="0" w:oddHBand="1" w:evenHBand="0" w:firstRowFirstColumn="0" w:firstRowLastColumn="0" w:lastRowFirstColumn="0" w:lastRowLastColumn="0"/>
            </w:pPr>
            <w:r w:rsidRPr="00B2067F">
              <w:t>34,7%</w:t>
            </w:r>
          </w:p>
        </w:tc>
      </w:tr>
    </w:tbl>
    <w:p w14:paraId="57539866" w14:textId="217B1D35" w:rsidR="00E14EC1" w:rsidRPr="00B2067F" w:rsidRDefault="00E14EC1" w:rsidP="00E14EC1">
      <w:pPr>
        <w:pStyle w:val="Tablelegend"/>
        <w:rPr>
          <w:sz w:val="18"/>
          <w:szCs w:val="18"/>
        </w:rPr>
      </w:pPr>
      <w:bookmarkStart w:id="147" w:name="lt_pId1427"/>
      <w:r w:rsidRPr="00B2067F">
        <w:rPr>
          <w:sz w:val="18"/>
          <w:szCs w:val="18"/>
        </w:rPr>
        <w:t>* De acuerdo con la decisión de la PP-14, las Instituciones Académicas son miembros de los 3 Sectores de la UIT.</w:t>
      </w:r>
      <w:bookmarkEnd w:id="147"/>
    </w:p>
    <w:p w14:paraId="3FB6E116" w14:textId="77777777" w:rsidR="0077746C" w:rsidRPr="00B2067F" w:rsidRDefault="0077746C" w:rsidP="0077746C">
      <w:pPr>
        <w:pStyle w:val="Heading2"/>
      </w:pPr>
      <w:bookmarkStart w:id="148" w:name="_Toc19090143"/>
      <w:bookmarkStart w:id="149" w:name="_Toc20478070"/>
      <w:r w:rsidRPr="00B2067F">
        <w:t>8.6</w:t>
      </w:r>
      <w:r w:rsidRPr="00B2067F">
        <w:tab/>
      </w:r>
      <w:bookmarkEnd w:id="148"/>
      <w:r w:rsidRPr="00B2067F">
        <w:t>Comunicación y promoción</w:t>
      </w:r>
      <w:bookmarkEnd w:id="149"/>
    </w:p>
    <w:p w14:paraId="65E5E108" w14:textId="77777777" w:rsidR="0077746C" w:rsidRPr="00B2067F" w:rsidRDefault="0077746C" w:rsidP="0077746C">
      <w:pPr>
        <w:pStyle w:val="Heading3"/>
        <w:rPr>
          <w:i/>
          <w:iCs/>
        </w:rPr>
      </w:pPr>
      <w:r w:rsidRPr="00B2067F">
        <w:t>8.6.1</w:t>
      </w:r>
      <w:r w:rsidRPr="00B2067F">
        <w:tab/>
      </w:r>
      <w:bookmarkStart w:id="150" w:name="lt_pId1431"/>
      <w:r w:rsidRPr="00B2067F">
        <w:t>Sitio web</w:t>
      </w:r>
      <w:bookmarkEnd w:id="150"/>
    </w:p>
    <w:p w14:paraId="3EF6DA28" w14:textId="77777777" w:rsidR="0077746C" w:rsidRPr="00B2067F" w:rsidRDefault="0077746C" w:rsidP="0077746C">
      <w:bookmarkStart w:id="151" w:name="lt_pId1432"/>
      <w:r w:rsidRPr="00B2067F">
        <w:t>La BR completó las mejoras, actualizaciones y traducciones de los menús del sitio web del UIT-R, de conformidad con las directrices para la armonización de los menús web sectoriales. Esta labor se presentó durante la reunión del Grupo de Trabajo del Consejo sobre los Idiomas (GTC-Idiomas), celebrada el 14 de febrero de 2020.</w:t>
      </w:r>
      <w:bookmarkEnd w:id="151"/>
    </w:p>
    <w:p w14:paraId="1F1BF9BD" w14:textId="77777777" w:rsidR="0077746C" w:rsidRPr="00B2067F" w:rsidRDefault="0077746C" w:rsidP="0077746C">
      <w:bookmarkStart w:id="152" w:name="lt_pId1434"/>
      <w:r w:rsidRPr="00B2067F">
        <w:lastRenderedPageBreak/>
        <w:t xml:space="preserve">En el Cuadro 8.6-1 se indica la situación actual en términos de traducción de todas las páginas web de los niveles 0 y 1 del </w:t>
      </w:r>
      <w:hyperlink r:id="rId38" w:history="1">
        <w:r w:rsidRPr="00B2067F">
          <w:rPr>
            <w:rStyle w:val="Hyperlink"/>
          </w:rPr>
          <w:t>sitio web del UIT-R</w:t>
        </w:r>
      </w:hyperlink>
      <w:r w:rsidRPr="00B2067F">
        <w:t xml:space="preserve"> y su disponibilidad en los seis idiomas oficiales de la UIT. Las cifras incluidas en este cuadro se refieren al número de páginas de destino de los diversos departamentos de la BR (nivel 0) y al número de páginas a las que dan acceso con un solo clic (nivel 1).</w:t>
      </w:r>
      <w:bookmarkEnd w:id="152"/>
    </w:p>
    <w:p w14:paraId="0F488CE6" w14:textId="77777777" w:rsidR="0077746C" w:rsidRPr="00B2067F" w:rsidRDefault="0077746C" w:rsidP="0077746C">
      <w:pPr>
        <w:pStyle w:val="TableNoBR"/>
      </w:pPr>
      <w:bookmarkStart w:id="153" w:name="lt_pId1436"/>
      <w:r w:rsidRPr="00B2067F">
        <w:t>CUADRO 8.6.1-1</w:t>
      </w:r>
      <w:bookmarkEnd w:id="153"/>
    </w:p>
    <w:p w14:paraId="6D5200BC" w14:textId="77777777" w:rsidR="0077746C" w:rsidRPr="00B2067F" w:rsidRDefault="0077746C" w:rsidP="0077746C">
      <w:pPr>
        <w:pStyle w:val="TabletitleBR"/>
      </w:pPr>
      <w:r w:rsidRPr="00B2067F">
        <w:t>Estadísticas de disponibilidad de las páginas web del UIT-R en los distintos idiomas</w:t>
      </w:r>
    </w:p>
    <w:tbl>
      <w:tblPr>
        <w:tblStyle w:val="GridTable5Dark-Accent1"/>
        <w:tblW w:w="9630" w:type="dxa"/>
        <w:jc w:val="center"/>
        <w:tblLayout w:type="fixed"/>
        <w:tblLook w:val="04A0" w:firstRow="1" w:lastRow="0" w:firstColumn="1" w:lastColumn="0" w:noHBand="0" w:noVBand="1"/>
      </w:tblPr>
      <w:tblGrid>
        <w:gridCol w:w="850"/>
        <w:gridCol w:w="3881"/>
        <w:gridCol w:w="819"/>
        <w:gridCol w:w="819"/>
        <w:gridCol w:w="818"/>
        <w:gridCol w:w="819"/>
        <w:gridCol w:w="818"/>
        <w:gridCol w:w="806"/>
      </w:tblGrid>
      <w:tr w:rsidR="0077746C" w:rsidRPr="00B2067F" w14:paraId="35E94CF6" w14:textId="77777777" w:rsidTr="0077746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31" w:type="dxa"/>
            <w:gridSpan w:val="2"/>
            <w:vMerge w:val="restart"/>
            <w:tcBorders>
              <w:bottom w:val="single" w:sz="4" w:space="0" w:color="FFFFFF" w:themeColor="background1"/>
            </w:tcBorders>
            <w:noWrap/>
            <w:hideMark/>
          </w:tcPr>
          <w:p w14:paraId="7DF31A70" w14:textId="77777777" w:rsidR="0077746C" w:rsidRPr="00B2067F" w:rsidRDefault="0077746C" w:rsidP="0077746C">
            <w:pPr>
              <w:pStyle w:val="Tabletext"/>
            </w:pPr>
          </w:p>
        </w:tc>
        <w:tc>
          <w:tcPr>
            <w:tcW w:w="4899" w:type="dxa"/>
            <w:gridSpan w:val="6"/>
            <w:tcBorders>
              <w:bottom w:val="single" w:sz="4" w:space="0" w:color="FFFFFF" w:themeColor="background1"/>
            </w:tcBorders>
            <w:hideMark/>
          </w:tcPr>
          <w:p w14:paraId="724A3B7D" w14:textId="77777777" w:rsidR="0077746C" w:rsidRPr="00B2067F" w:rsidRDefault="0077746C" w:rsidP="0077746C">
            <w:pPr>
              <w:pStyle w:val="Tablehead"/>
              <w:cnfStyle w:val="100000000000" w:firstRow="1" w:lastRow="0" w:firstColumn="0" w:lastColumn="0" w:oddVBand="0" w:evenVBand="0" w:oddHBand="0" w:evenHBand="0" w:firstRowFirstColumn="0" w:firstRowLastColumn="0" w:lastRowFirstColumn="0" w:lastRowLastColumn="0"/>
            </w:pPr>
            <w:r w:rsidRPr="00B2067F">
              <w:t>Situación de la traducción de las páginas web del UIT</w:t>
            </w:r>
            <w:r w:rsidRPr="00B2067F">
              <w:noBreakHyphen/>
              <w:t>R de nivel 0 y 1</w:t>
            </w:r>
          </w:p>
          <w:p w14:paraId="24D90D8B" w14:textId="77777777" w:rsidR="0077746C" w:rsidRPr="00B2067F" w:rsidRDefault="0077746C" w:rsidP="0077746C">
            <w:pPr>
              <w:pStyle w:val="Tablehead"/>
              <w:cnfStyle w:val="100000000000" w:firstRow="1" w:lastRow="0" w:firstColumn="0" w:lastColumn="0" w:oddVBand="0" w:evenVBand="0" w:oddHBand="0" w:evenHBand="0" w:firstRowFirstColumn="0" w:firstRowLastColumn="0" w:lastRowFirstColumn="0" w:lastRowLastColumn="0"/>
              <w:rPr>
                <w:b/>
              </w:rPr>
            </w:pPr>
            <w:r w:rsidRPr="00B2067F">
              <w:t>(1</w:t>
            </w:r>
            <w:r w:rsidRPr="00B2067F">
              <w:rPr>
                <w:vertAlign w:val="superscript"/>
              </w:rPr>
              <w:t>er</w:t>
            </w:r>
            <w:r w:rsidRPr="00B2067F">
              <w:t xml:space="preserve"> trimestre de 2020)</w:t>
            </w:r>
          </w:p>
        </w:tc>
      </w:tr>
      <w:tr w:rsidR="0077746C" w:rsidRPr="00B2067F" w14:paraId="1C2F58AD" w14:textId="77777777" w:rsidTr="0077746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731" w:type="dxa"/>
            <w:gridSpan w:val="2"/>
            <w:vMerge/>
            <w:tcBorders>
              <w:top w:val="single" w:sz="4" w:space="0" w:color="FFFFFF" w:themeColor="background1"/>
              <w:bottom w:val="single" w:sz="4" w:space="0" w:color="FFFFFF" w:themeColor="background1"/>
              <w:right w:val="nil"/>
            </w:tcBorders>
            <w:vAlign w:val="center"/>
            <w:hideMark/>
          </w:tcPr>
          <w:p w14:paraId="523A4D70" w14:textId="77777777" w:rsidR="0077746C" w:rsidRPr="00B2067F" w:rsidRDefault="0077746C" w:rsidP="0077746C">
            <w:pPr>
              <w:pStyle w:val="Tabletext"/>
            </w:pP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1B993E3"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2067F">
              <w:rPr>
                <w:b/>
              </w:rPr>
              <w:t>E</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76B28E7"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2067F">
              <w:rPr>
                <w:b/>
              </w:rPr>
              <w:t>F</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50D2406"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2067F">
              <w:rPr>
                <w:b/>
              </w:rPr>
              <w:t>S</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42BC88E"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2067F">
              <w:rPr>
                <w:b/>
              </w:rPr>
              <w:t>A</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EB9C947"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2067F">
              <w:rPr>
                <w:b/>
              </w:rPr>
              <w:t>C</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86B6C88" w14:textId="77777777" w:rsidR="0077746C" w:rsidRPr="00B2067F" w:rsidRDefault="0077746C" w:rsidP="0077746C">
            <w:pPr>
              <w:pStyle w:val="Tabletext"/>
              <w:jc w:val="center"/>
              <w:cnfStyle w:val="000000100000" w:firstRow="0" w:lastRow="0" w:firstColumn="0" w:lastColumn="0" w:oddVBand="0" w:evenVBand="0" w:oddHBand="1" w:evenHBand="0" w:firstRowFirstColumn="0" w:firstRowLastColumn="0" w:lastRowFirstColumn="0" w:lastRowLastColumn="0"/>
              <w:rPr>
                <w:b/>
              </w:rPr>
            </w:pPr>
            <w:r w:rsidRPr="00B2067F">
              <w:rPr>
                <w:b/>
              </w:rPr>
              <w:t>R</w:t>
            </w:r>
          </w:p>
        </w:tc>
      </w:tr>
      <w:tr w:rsidR="0077746C" w:rsidRPr="00B2067F" w14:paraId="72F09F7D" w14:textId="77777777" w:rsidTr="009145C6">
        <w:trPr>
          <w:trHeight w:val="300"/>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5F69B252" w14:textId="77777777" w:rsidR="0077746C" w:rsidRPr="00B2067F" w:rsidRDefault="0077746C" w:rsidP="009145C6">
            <w:pPr>
              <w:pStyle w:val="Tablehead"/>
              <w:spacing w:before="120" w:after="120"/>
            </w:pPr>
            <w:r w:rsidRPr="00B2067F">
              <w:t>SSD</w:t>
            </w:r>
          </w:p>
        </w:tc>
        <w:tc>
          <w:tcPr>
            <w:tcW w:w="3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4EAECF2" w14:textId="77777777" w:rsidR="0077746C" w:rsidRPr="00B2067F" w:rsidRDefault="0077746C" w:rsidP="009145C6">
            <w:pPr>
              <w:pStyle w:val="Tabletext"/>
              <w:cnfStyle w:val="000000000000" w:firstRow="0" w:lastRow="0" w:firstColumn="0" w:lastColumn="0" w:oddVBand="0" w:evenVBand="0" w:oddHBand="0" w:evenHBand="0" w:firstRowFirstColumn="0" w:firstRowLastColumn="0" w:lastRowFirstColumn="0" w:lastRowLastColumn="0"/>
            </w:pPr>
            <w:r w:rsidRPr="00B2067F">
              <w:t>Servicios espaciales</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390F519"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31</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B17C395"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19</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9B6FC93"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18</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C047E3F"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4</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36C37FD"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5</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9ACBD8C"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5</w:t>
            </w:r>
          </w:p>
        </w:tc>
      </w:tr>
      <w:tr w:rsidR="0077746C" w:rsidRPr="00B2067F" w14:paraId="4821B015" w14:textId="77777777" w:rsidTr="009145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14237387" w14:textId="77777777" w:rsidR="0077746C" w:rsidRPr="00B2067F" w:rsidRDefault="0077746C" w:rsidP="009145C6">
            <w:pPr>
              <w:pStyle w:val="Tablehead"/>
              <w:spacing w:before="120" w:after="120"/>
            </w:pPr>
            <w:r w:rsidRPr="00B2067F">
              <w:t>TSD</w:t>
            </w:r>
          </w:p>
        </w:tc>
        <w:tc>
          <w:tcPr>
            <w:tcW w:w="3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F13B1EC" w14:textId="77777777" w:rsidR="0077746C" w:rsidRPr="00B2067F" w:rsidRDefault="0077746C" w:rsidP="009145C6">
            <w:pPr>
              <w:pStyle w:val="Tabletext"/>
              <w:cnfStyle w:val="000000100000" w:firstRow="0" w:lastRow="0" w:firstColumn="0" w:lastColumn="0" w:oddVBand="0" w:evenVBand="0" w:oddHBand="1" w:evenHBand="0" w:firstRowFirstColumn="0" w:firstRowLastColumn="0" w:lastRowFirstColumn="0" w:lastRowLastColumn="0"/>
            </w:pPr>
            <w:r w:rsidRPr="00B2067F">
              <w:t>Servicios terrenales</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19D8733"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21</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358688D"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6</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61AFA577"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6</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A6BA192"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6</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E22219F"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6</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E70CAD1"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6</w:t>
            </w:r>
          </w:p>
        </w:tc>
      </w:tr>
      <w:tr w:rsidR="0077746C" w:rsidRPr="00B2067F" w14:paraId="20B1A4EB" w14:textId="77777777" w:rsidTr="009145C6">
        <w:trPr>
          <w:trHeight w:val="300"/>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4F6CEEB8" w14:textId="77777777" w:rsidR="0077746C" w:rsidRPr="00B2067F" w:rsidRDefault="0077746C" w:rsidP="009145C6">
            <w:pPr>
              <w:pStyle w:val="Tablehead"/>
              <w:spacing w:before="120" w:after="120"/>
            </w:pPr>
            <w:r w:rsidRPr="00B2067F">
              <w:t>SGD</w:t>
            </w:r>
          </w:p>
        </w:tc>
        <w:tc>
          <w:tcPr>
            <w:tcW w:w="3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10EE190" w14:textId="77777777" w:rsidR="0077746C" w:rsidRPr="00B2067F" w:rsidRDefault="0077746C" w:rsidP="009145C6">
            <w:pPr>
              <w:pStyle w:val="Tabletext"/>
              <w:cnfStyle w:val="000000000000" w:firstRow="0" w:lastRow="0" w:firstColumn="0" w:lastColumn="0" w:oddVBand="0" w:evenVBand="0" w:oddHBand="0" w:evenHBand="0" w:firstRowFirstColumn="0" w:firstRowLastColumn="0" w:lastRowFirstColumn="0" w:lastRowLastColumn="0"/>
            </w:pPr>
            <w:r w:rsidRPr="00B2067F">
              <w:t>Comisiones de Estudio</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2F0072F"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32</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D5086EA"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16</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554ADF9"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16</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4CA32A09"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14</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A90696C"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14</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1291906"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14</w:t>
            </w:r>
          </w:p>
        </w:tc>
      </w:tr>
      <w:tr w:rsidR="0077746C" w:rsidRPr="00B2067F" w14:paraId="5F8C3E3F" w14:textId="77777777" w:rsidTr="009145C6">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5A108584" w14:textId="77777777" w:rsidR="0077746C" w:rsidRPr="00B2067F" w:rsidRDefault="0077746C" w:rsidP="009145C6">
            <w:pPr>
              <w:pStyle w:val="Tablehead"/>
              <w:spacing w:before="120" w:after="120"/>
            </w:pPr>
            <w:r w:rsidRPr="00B2067F">
              <w:t>Conf.</w:t>
            </w:r>
          </w:p>
        </w:tc>
        <w:tc>
          <w:tcPr>
            <w:tcW w:w="3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6DEFC7F" w14:textId="77777777" w:rsidR="0077746C" w:rsidRPr="00B2067F" w:rsidRDefault="0077746C" w:rsidP="009145C6">
            <w:pPr>
              <w:pStyle w:val="Tabletext"/>
              <w:cnfStyle w:val="000000100000" w:firstRow="0" w:lastRow="0" w:firstColumn="0" w:lastColumn="0" w:oddVBand="0" w:evenVBand="0" w:oddHBand="1" w:evenHBand="0" w:firstRowFirstColumn="0" w:firstRowLastColumn="0" w:lastRowFirstColumn="0" w:lastRowLastColumn="0"/>
            </w:pPr>
            <w:r w:rsidRPr="00B2067F">
              <w:t>Conferencias/Reuniones/Seminarios/ Talleres</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38966B4"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15</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9360E09"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9</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9C558D8"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9</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2EE2DC3"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8</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65E5CC4"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8</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D19BD9D"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8</w:t>
            </w:r>
          </w:p>
        </w:tc>
      </w:tr>
      <w:tr w:rsidR="0077746C" w:rsidRPr="00B2067F" w14:paraId="266A16BE" w14:textId="77777777" w:rsidTr="009145C6">
        <w:trPr>
          <w:trHeight w:val="315"/>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223CEDCD" w14:textId="77777777" w:rsidR="0077746C" w:rsidRPr="00B2067F" w:rsidRDefault="0077746C" w:rsidP="009145C6">
            <w:pPr>
              <w:pStyle w:val="Tablehead"/>
              <w:spacing w:before="120" w:after="120"/>
            </w:pPr>
            <w:r w:rsidRPr="00B2067F">
              <w:t>Otros</w:t>
            </w:r>
          </w:p>
        </w:tc>
        <w:tc>
          <w:tcPr>
            <w:tcW w:w="3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67B8F11" w14:textId="77777777" w:rsidR="0077746C" w:rsidRPr="00B2067F" w:rsidRDefault="0077746C" w:rsidP="009145C6">
            <w:pPr>
              <w:pStyle w:val="Tabletext"/>
              <w:cnfStyle w:val="000000000000" w:firstRow="0" w:lastRow="0" w:firstColumn="0" w:lastColumn="0" w:oddVBand="0" w:evenVBand="0" w:oddHBand="0" w:evenHBand="0" w:firstRowFirstColumn="0" w:firstRowLastColumn="0" w:lastRowFirstColumn="0" w:lastRowLastColumn="0"/>
            </w:pPr>
            <w:r w:rsidRPr="00B2067F">
              <w:t>Información/Promoción/Eventos</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1D2C3E7E"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14</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45662DE8"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9</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BFBF7B7"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9</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C5B30E7"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9</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16FC67E"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9</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81E8891" w14:textId="77777777" w:rsidR="0077746C" w:rsidRPr="00B2067F" w:rsidRDefault="0077746C" w:rsidP="009145C6">
            <w:pPr>
              <w:pStyle w:val="Tabletext"/>
              <w:jc w:val="center"/>
              <w:cnfStyle w:val="000000000000" w:firstRow="0" w:lastRow="0" w:firstColumn="0" w:lastColumn="0" w:oddVBand="0" w:evenVBand="0" w:oddHBand="0" w:evenHBand="0" w:firstRowFirstColumn="0" w:firstRowLastColumn="0" w:lastRowFirstColumn="0" w:lastRowLastColumn="0"/>
            </w:pPr>
            <w:r w:rsidRPr="00B2067F">
              <w:t>9</w:t>
            </w:r>
          </w:p>
        </w:tc>
      </w:tr>
      <w:tr w:rsidR="0077746C" w:rsidRPr="00B2067F" w14:paraId="02350D71" w14:textId="77777777" w:rsidTr="009145C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731" w:type="dxa"/>
            <w:gridSpan w:val="2"/>
            <w:tcBorders>
              <w:top w:val="single" w:sz="4" w:space="0" w:color="FFFFFF" w:themeColor="background1"/>
              <w:right w:val="single" w:sz="4" w:space="0" w:color="FFFFFF" w:themeColor="background1"/>
            </w:tcBorders>
            <w:noWrap/>
            <w:hideMark/>
          </w:tcPr>
          <w:p w14:paraId="4EF7385C" w14:textId="77777777" w:rsidR="0077746C" w:rsidRPr="00B2067F" w:rsidRDefault="0077746C" w:rsidP="009145C6">
            <w:pPr>
              <w:pStyle w:val="Tablehead"/>
              <w:jc w:val="left"/>
            </w:pPr>
            <w:r w:rsidRPr="00B2067F">
              <w:t>Sitio web del UIT-R (total)</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D3A0A3E"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113</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6A7F126"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59</w:t>
            </w:r>
          </w:p>
          <w:p w14:paraId="63DB05C3"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(52%)</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478E434"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58</w:t>
            </w:r>
          </w:p>
          <w:p w14:paraId="0CD77AFB"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(51%)</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195ABBA"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41</w:t>
            </w:r>
          </w:p>
          <w:p w14:paraId="25E9CF6B"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(36%)</w:t>
            </w:r>
          </w:p>
        </w:tc>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5C71557"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42</w:t>
            </w:r>
          </w:p>
          <w:p w14:paraId="118A5970"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(37%)</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395E553"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42</w:t>
            </w:r>
          </w:p>
          <w:p w14:paraId="288B4725" w14:textId="77777777" w:rsidR="0077746C" w:rsidRPr="00B2067F" w:rsidRDefault="0077746C" w:rsidP="009145C6">
            <w:pPr>
              <w:pStyle w:val="Tabletext"/>
              <w:jc w:val="center"/>
              <w:cnfStyle w:val="000000100000" w:firstRow="0" w:lastRow="0" w:firstColumn="0" w:lastColumn="0" w:oddVBand="0" w:evenVBand="0" w:oddHBand="1" w:evenHBand="0" w:firstRowFirstColumn="0" w:firstRowLastColumn="0" w:lastRowFirstColumn="0" w:lastRowLastColumn="0"/>
            </w:pPr>
            <w:r w:rsidRPr="00B2067F">
              <w:t>(37%)</w:t>
            </w:r>
          </w:p>
        </w:tc>
      </w:tr>
    </w:tbl>
    <w:p w14:paraId="485167F7" w14:textId="77777777" w:rsidR="0077746C" w:rsidRPr="00B2067F" w:rsidRDefault="0077746C" w:rsidP="00CA17F7">
      <w:pPr>
        <w:pStyle w:val="Heading3"/>
        <w:spacing w:before="240"/>
      </w:pPr>
      <w:r w:rsidRPr="00B2067F">
        <w:t>8.6.2</w:t>
      </w:r>
      <w:r w:rsidRPr="00B2067F">
        <w:tab/>
        <w:t>Promoción y relaciones con los medios</w:t>
      </w:r>
    </w:p>
    <w:p w14:paraId="760E463F" w14:textId="77777777" w:rsidR="0077746C" w:rsidRPr="00B2067F" w:rsidRDefault="0077746C" w:rsidP="0077746C">
      <w:r w:rsidRPr="00B2067F">
        <w:t>Durante 2020, el objetivo principal de las comunicaciones de la BR ha estado centrado en las reuniones virtuales y los seminarios web de la BR y en la promoción de los trabajos de la Oficina en línea y a través de las redes sociales. La Oficina de Radiocomunicaciones organizó tres seminarios web de servicios espaciales entre septiembre y noviembre de 2020. Los seminarios web alcanzaron una asistencia record de 5 476 participantes de 135 países. Los seminarios web ofrecieron a los participantes la posibilidad recibir información respecto de la evolución de la situación técnica y reglamentaria actual, y las tendencias de la industria de satélites. El Seminario Mundial de Radiocomunicaciones SMR-20 acogió a más de 3 400 participantes de más de 140 países, que recibieron formación sobre los aspectos reglamentarios de las radiocomunicaciones y sobre cómo utilizar de manera equitativa el espectro de radiofrecuencias y las órbitas de los satélites. El SRR-20 Asia-Pacífico en línea atrajo a 300 participantes de 30 administraciones y el SRR-20 Américas en línea, 350 participantes de 38 administraciones. Los días de las Naciones Unidas o mundiales y las relaciones con los medios se realizaron en colaboración con la Oficina de Comunicaciones, Medios de Comunicación y Prensa de la UIT, respondiendo a más de cien preguntas de los medios o dando entrevistas relacionadas con los temas fundamentales y los ámbitos de trabajo de la Oficina de Radiocomunicaciones durante este periodo. La publicación de artículos y las entrevistas a expertos de radiocomunicaciones dirigidas a los días mundiales de las Naciones Unidas relacionados con el trabajo de la Oficina han sido un nuevo foco de actividad en 2020 como, por ejemplo, para el Día Mundial del Radioaficionado, la Semana Mundial del Espacio, el Día Mundial de la Normalización, el Día Marítimo Mundial, el Día Mundial de la Radio, entre otros.</w:t>
      </w:r>
    </w:p>
    <w:p w14:paraId="1CA9D5BA" w14:textId="77777777" w:rsidR="0077746C" w:rsidRPr="00B2067F" w:rsidRDefault="0077746C" w:rsidP="0077746C">
      <w:pPr>
        <w:pStyle w:val="Heading4"/>
      </w:pPr>
      <w:bookmarkStart w:id="154" w:name="_Toc19090145"/>
      <w:bookmarkStart w:id="155" w:name="_Toc20478072"/>
      <w:r w:rsidRPr="00B2067F">
        <w:lastRenderedPageBreak/>
        <w:t>8.6.2.1</w:t>
      </w:r>
      <w:r w:rsidRPr="00B2067F">
        <w:tab/>
      </w:r>
      <w:bookmarkStart w:id="156" w:name="_Hlk34136563"/>
      <w:r w:rsidRPr="00B2067F">
        <w:t>Preguntas más frecuentes</w:t>
      </w:r>
      <w:bookmarkEnd w:id="156"/>
      <w:r w:rsidRPr="00B2067F">
        <w:t>,</w:t>
      </w:r>
      <w:bookmarkEnd w:id="154"/>
      <w:r w:rsidRPr="00B2067F">
        <w:t xml:space="preserve"> documentos de antecedentes</w:t>
      </w:r>
      <w:bookmarkEnd w:id="155"/>
      <w:r w:rsidRPr="00B2067F">
        <w:t xml:space="preserve"> y revista Actualidades de la UIT</w:t>
      </w:r>
    </w:p>
    <w:p w14:paraId="3A78F758" w14:textId="77777777" w:rsidR="0077746C" w:rsidRPr="00B2067F" w:rsidRDefault="0077746C" w:rsidP="0077746C">
      <w:bookmarkStart w:id="157" w:name="lt_pId1505"/>
      <w:r w:rsidRPr="00B2067F">
        <w:t xml:space="preserve">A lo largo de 2020, se siguieron elaborando y manteniendo conjuntos de preguntas más frecuentes (FAQ), documentos de antecedentes para los medios, artículos, las revistas Actualidades de la UIT y otros recursos </w:t>
      </w:r>
      <w:bookmarkEnd w:id="157"/>
      <w:r w:rsidRPr="00B2067F">
        <w:t>que se indican a continuación:</w:t>
      </w:r>
    </w:p>
    <w:p w14:paraId="4DB5BC57" w14:textId="77777777" w:rsidR="0077746C" w:rsidRPr="00B2067F" w:rsidRDefault="0077746C" w:rsidP="0077746C">
      <w:bookmarkStart w:id="158" w:name="lt_pId1506"/>
      <w:r w:rsidRPr="00B2067F">
        <w:t>Preguntas más frecuentes:</w:t>
      </w:r>
      <w:bookmarkEnd w:id="158"/>
    </w:p>
    <w:p w14:paraId="5007397C" w14:textId="41E9820D" w:rsidR="0077746C" w:rsidRPr="00B2067F" w:rsidRDefault="0077746C" w:rsidP="0077746C">
      <w:pPr>
        <w:pStyle w:val="enumlev1"/>
      </w:pPr>
      <w:r w:rsidRPr="00B2067F">
        <w:t>•</w:t>
      </w:r>
      <w:r w:rsidRPr="00B2067F">
        <w:tab/>
      </w:r>
      <w:hyperlink r:id="rId39" w:history="1">
        <w:bookmarkStart w:id="159" w:name="_Hlk34647004"/>
        <w:r w:rsidRPr="00B2067F">
          <w:rPr>
            <w:rStyle w:val="Hyperlink"/>
          </w:rPr>
          <w:t>FAQ del UIT-R</w:t>
        </w:r>
        <w:bookmarkEnd w:id="159"/>
        <w:r w:rsidRPr="00B2067F">
          <w:rPr>
            <w:rStyle w:val="Hyperlink"/>
          </w:rPr>
          <w:t xml:space="preserve"> sobre escala de tiempo universal (UTC) – segundo intercalar</w:t>
        </w:r>
      </w:hyperlink>
    </w:p>
    <w:p w14:paraId="403528C2" w14:textId="43F8E826" w:rsidR="0077746C" w:rsidRPr="00B2067F" w:rsidRDefault="0077746C" w:rsidP="0077746C">
      <w:pPr>
        <w:pStyle w:val="enumlev1"/>
      </w:pPr>
      <w:bookmarkStart w:id="160" w:name="lt_pId1508"/>
      <w:r w:rsidRPr="00B2067F">
        <w:t>•</w:t>
      </w:r>
      <w:r w:rsidRPr="00B2067F">
        <w:tab/>
      </w:r>
      <w:hyperlink r:id="rId40" w:tgtFrame="_blank" w:history="1">
        <w:r w:rsidRPr="00B2067F">
          <w:rPr>
            <w:rStyle w:val="Hyperlink"/>
          </w:rPr>
          <w:t>FAQ del UIT-R sobre telecomunicaciones móviles internacionales (IMT)</w:t>
        </w:r>
      </w:hyperlink>
      <w:bookmarkEnd w:id="160"/>
    </w:p>
    <w:p w14:paraId="526964BB" w14:textId="421E3694" w:rsidR="0077746C" w:rsidRPr="00B2067F" w:rsidRDefault="0077746C" w:rsidP="0077746C">
      <w:pPr>
        <w:pStyle w:val="enumlev1"/>
      </w:pPr>
      <w:r w:rsidRPr="00B2067F">
        <w:t>•</w:t>
      </w:r>
      <w:r w:rsidRPr="00B2067F">
        <w:tab/>
      </w:r>
      <w:hyperlink r:id="rId41" w:tgtFrame="_blank" w:history="1">
        <w:bookmarkStart w:id="161" w:name="lt_pId1509"/>
        <w:r w:rsidRPr="00B2067F">
          <w:rPr>
            <w:rStyle w:val="Hyperlink"/>
          </w:rPr>
          <w:t xml:space="preserve">FAQ del UIT-R sobre el </w:t>
        </w:r>
        <w:bookmarkEnd w:id="161"/>
        <w:r w:rsidRPr="00B2067F">
          <w:rPr>
            <w:rStyle w:val="Hyperlink"/>
          </w:rPr>
          <w:t>dividendo digital y la transición a los sistemas digitales (DSO)</w:t>
        </w:r>
      </w:hyperlink>
    </w:p>
    <w:p w14:paraId="304A3400" w14:textId="6E613F70" w:rsidR="0077746C" w:rsidRPr="00B2067F" w:rsidRDefault="0077746C" w:rsidP="0077746C">
      <w:pPr>
        <w:pStyle w:val="enumlev1"/>
      </w:pPr>
      <w:r w:rsidRPr="00B2067F">
        <w:t>•</w:t>
      </w:r>
      <w:r w:rsidRPr="00B2067F">
        <w:tab/>
      </w:r>
      <w:hyperlink r:id="rId42" w:tgtFrame="_blank" w:history="1">
        <w:r w:rsidRPr="00B2067F">
          <w:rPr>
            <w:rStyle w:val="Hyperlink"/>
          </w:rPr>
          <w:t>FAQ del UIT-R sobre el Reglamento de Radiocomunicaciones</w:t>
        </w:r>
      </w:hyperlink>
    </w:p>
    <w:p w14:paraId="29B9A437" w14:textId="77777777" w:rsidR="0077746C" w:rsidRPr="00B2067F" w:rsidRDefault="0077746C" w:rsidP="0077746C">
      <w:r w:rsidRPr="00B2067F">
        <w:t>Documentos de antecedentes para los medios y el público en general:</w:t>
      </w:r>
    </w:p>
    <w:p w14:paraId="51DD9F02" w14:textId="77777777" w:rsidR="0077746C" w:rsidRPr="00B2067F" w:rsidRDefault="0077746C" w:rsidP="0077746C">
      <w:pPr>
        <w:pStyle w:val="enumlev1"/>
        <w:rPr>
          <w:u w:val="single"/>
        </w:rPr>
      </w:pPr>
      <w:r w:rsidRPr="00B2067F">
        <w:t>•</w:t>
      </w:r>
      <w:r w:rsidRPr="00B2067F">
        <w:tab/>
        <w:t>Cuestiones terrenales:</w:t>
      </w:r>
    </w:p>
    <w:p w14:paraId="3E29DF13" w14:textId="6079B331" w:rsidR="0077746C" w:rsidRPr="00B2067F" w:rsidRDefault="0077746C" w:rsidP="0077746C">
      <w:pPr>
        <w:pStyle w:val="enumlev2"/>
      </w:pPr>
      <w:r w:rsidRPr="00B2067F">
        <w:t>–</w:t>
      </w:r>
      <w:r w:rsidRPr="00B2067F">
        <w:tab/>
      </w:r>
      <w:hyperlink r:id="rId43" w:history="1">
        <w:r w:rsidRPr="00B2067F">
          <w:rPr>
            <w:rStyle w:val="Hyperlink"/>
          </w:rPr>
          <w:t>5G. Quinta generación de tecnologías móviles (IMT-2020 y posteriores)</w:t>
        </w:r>
      </w:hyperlink>
    </w:p>
    <w:p w14:paraId="675FC373" w14:textId="60041841" w:rsidR="0077746C" w:rsidRPr="00B2067F" w:rsidRDefault="0077746C" w:rsidP="0077746C">
      <w:pPr>
        <w:pStyle w:val="enumlev2"/>
        <w:rPr>
          <w:u w:val="single"/>
        </w:rPr>
      </w:pPr>
      <w:r w:rsidRPr="00B2067F">
        <w:t>–</w:t>
      </w:r>
      <w:r w:rsidRPr="00B2067F">
        <w:tab/>
      </w:r>
      <w:hyperlink r:id="rId44" w:history="1">
        <w:r w:rsidRPr="00B2067F">
          <w:rPr>
            <w:rStyle w:val="Hyperlink"/>
          </w:rPr>
          <w:t>5G. Exposición humana a los campos electromagnéticos (CEM) y salud</w:t>
        </w:r>
      </w:hyperlink>
    </w:p>
    <w:p w14:paraId="5FDA1407" w14:textId="35E9044F" w:rsidR="0077746C" w:rsidRPr="00B2067F" w:rsidRDefault="0077746C" w:rsidP="0077746C">
      <w:pPr>
        <w:pStyle w:val="enumlev2"/>
      </w:pPr>
      <w:r w:rsidRPr="00B2067F">
        <w:t>–</w:t>
      </w:r>
      <w:r w:rsidRPr="00B2067F">
        <w:tab/>
      </w:r>
      <w:hyperlink r:id="rId45" w:history="1">
        <w:r w:rsidRPr="00B2067F">
          <w:rPr>
            <w:rStyle w:val="Hyperlink"/>
          </w:rPr>
          <w:t>Sistemas de estaciones en plataformas a gran altitud (HAPS)</w:t>
        </w:r>
      </w:hyperlink>
    </w:p>
    <w:p w14:paraId="4C3F370B" w14:textId="7E7E989E" w:rsidR="0077746C" w:rsidRPr="00B2067F" w:rsidRDefault="0077746C" w:rsidP="0077746C">
      <w:pPr>
        <w:pStyle w:val="enumlev2"/>
        <w:rPr>
          <w:u w:val="single"/>
        </w:rPr>
      </w:pPr>
      <w:r w:rsidRPr="00B2067F">
        <w:t>–</w:t>
      </w:r>
      <w:r w:rsidRPr="00B2067F">
        <w:tab/>
      </w:r>
      <w:hyperlink r:id="rId46" w:history="1">
        <w:r w:rsidRPr="00B2067F">
          <w:rPr>
            <w:rStyle w:val="Hyperlink"/>
          </w:rPr>
          <w:t>Radiocomunicaciones para la seguridad de los barcos y de las personas en el mar</w:t>
        </w:r>
      </w:hyperlink>
    </w:p>
    <w:p w14:paraId="302F8D6B" w14:textId="21BB075C" w:rsidR="0077746C" w:rsidRPr="00B2067F" w:rsidRDefault="0077746C" w:rsidP="0077746C">
      <w:r w:rsidRPr="00B2067F">
        <w:t>•</w:t>
      </w:r>
      <w:r w:rsidRPr="00B2067F">
        <w:tab/>
      </w:r>
      <w:hyperlink r:id="rId47" w:history="1">
        <w:r w:rsidRPr="00B2067F">
          <w:rPr>
            <w:rStyle w:val="Hyperlink"/>
          </w:rPr>
          <w:t>Comisiones de Estudio de la UIT</w:t>
        </w:r>
      </w:hyperlink>
    </w:p>
    <w:p w14:paraId="2B511558" w14:textId="6CB459D5" w:rsidR="0077746C" w:rsidRPr="00B2067F" w:rsidRDefault="0077746C" w:rsidP="0077746C">
      <w:r w:rsidRPr="00B2067F">
        <w:t>•</w:t>
      </w:r>
      <w:r w:rsidRPr="00B2067F">
        <w:tab/>
      </w:r>
      <w:hyperlink r:id="rId48" w:history="1">
        <w:r w:rsidRPr="00B2067F">
          <w:rPr>
            <w:rStyle w:val="Hyperlink"/>
          </w:rPr>
          <w:t>UIT-R: Gestión mundial del espectro de frecuencias</w:t>
        </w:r>
      </w:hyperlink>
    </w:p>
    <w:p w14:paraId="60AC91C8" w14:textId="77777777" w:rsidR="0077746C" w:rsidRPr="00B2067F" w:rsidRDefault="0077746C" w:rsidP="0077746C">
      <w:pPr>
        <w:pStyle w:val="enumlev1"/>
        <w:rPr>
          <w:u w:val="single"/>
        </w:rPr>
      </w:pPr>
      <w:r w:rsidRPr="00B2067F">
        <w:t>•</w:t>
      </w:r>
      <w:r w:rsidRPr="00B2067F">
        <w:tab/>
        <w:t>Cuestiones relacionadas con los satélites:</w:t>
      </w:r>
    </w:p>
    <w:p w14:paraId="57618411" w14:textId="646DDCB6" w:rsidR="0077746C" w:rsidRPr="00B2067F" w:rsidRDefault="0077746C" w:rsidP="0077746C">
      <w:pPr>
        <w:pStyle w:val="enumlev2"/>
      </w:pPr>
      <w:r w:rsidRPr="00B2067F">
        <w:t>–</w:t>
      </w:r>
      <w:r w:rsidRPr="00B2067F">
        <w:tab/>
      </w:r>
      <w:hyperlink r:id="rId49" w:history="1">
        <w:r w:rsidRPr="00B2067F">
          <w:rPr>
            <w:rStyle w:val="Hyperlink"/>
          </w:rPr>
          <w:t>Estaciones terrenas en movimiento (ETEM)</w:t>
        </w:r>
      </w:hyperlink>
    </w:p>
    <w:p w14:paraId="531454EB" w14:textId="5C359EE0" w:rsidR="0077746C" w:rsidRPr="00B2067F" w:rsidRDefault="0077746C" w:rsidP="0077746C">
      <w:pPr>
        <w:pStyle w:val="enumlev2"/>
      </w:pPr>
      <w:r w:rsidRPr="00B2067F">
        <w:t>–</w:t>
      </w:r>
      <w:r w:rsidRPr="00B2067F">
        <w:tab/>
      </w:r>
      <w:hyperlink r:id="rId50" w:history="1">
        <w:r w:rsidRPr="00B2067F">
          <w:rPr>
            <w:rStyle w:val="Hyperlink"/>
          </w:rPr>
          <w:t>Sistemas de satélites no geoestacionarios</w:t>
        </w:r>
      </w:hyperlink>
    </w:p>
    <w:p w14:paraId="4E0AA5EB" w14:textId="7A0C696F" w:rsidR="0077746C" w:rsidRPr="00B2067F" w:rsidRDefault="0077746C" w:rsidP="0077746C">
      <w:pPr>
        <w:pStyle w:val="enumlev2"/>
      </w:pPr>
      <w:r w:rsidRPr="00B2067F">
        <w:t>–</w:t>
      </w:r>
      <w:r w:rsidRPr="00B2067F">
        <w:tab/>
      </w:r>
      <w:hyperlink r:id="rId51" w:history="1">
        <w:r w:rsidRPr="00B2067F">
          <w:rPr>
            <w:rStyle w:val="Hyperlink"/>
          </w:rPr>
          <w:t>Sistemas de satélites no geoestacionarios con misiones de corta duración</w:t>
        </w:r>
      </w:hyperlink>
    </w:p>
    <w:p w14:paraId="098C0D74" w14:textId="77777777" w:rsidR="0077746C" w:rsidRPr="00B2067F" w:rsidRDefault="0077746C" w:rsidP="0077746C">
      <w:r w:rsidRPr="00B2067F">
        <w:t>MyITU</w:t>
      </w:r>
    </w:p>
    <w:p w14:paraId="5CECCFE4" w14:textId="77777777" w:rsidR="0077746C" w:rsidRPr="00B2067F" w:rsidRDefault="0077746C" w:rsidP="0077746C">
      <w:r w:rsidRPr="00B2067F">
        <w:t>Desde la publicación de la versión beta de MyITU en el cuarto trimestre de 2020, los siguientes artículos de la BR estuvieron entre los 10 artículos más visitados en el apartado de noticias de MyITU:</w:t>
      </w:r>
    </w:p>
    <w:p w14:paraId="03F032E0" w14:textId="447A537F" w:rsidR="0077746C" w:rsidRPr="00B2067F" w:rsidRDefault="0077746C" w:rsidP="0077746C">
      <w:pPr>
        <w:pStyle w:val="enumlev1"/>
        <w:rPr>
          <w:u w:val="single"/>
        </w:rPr>
      </w:pPr>
      <w:r w:rsidRPr="00B2067F">
        <w:t>•</w:t>
      </w:r>
      <w:r w:rsidRPr="00B2067F">
        <w:tab/>
      </w:r>
      <w:hyperlink r:id="rId52" w:history="1">
        <w:r w:rsidRPr="00B2067F">
          <w:rPr>
            <w:rStyle w:val="Hyperlink"/>
          </w:rPr>
          <w:t>Radioaficionados y comunicaciones de emergencia: rellenando los agujeros sin cobertura del USGS (Servicio Ge</w:t>
        </w:r>
        <w:r w:rsidR="001F0BD7" w:rsidRPr="00B2067F">
          <w:rPr>
            <w:rStyle w:val="Hyperlink"/>
          </w:rPr>
          <w:t>ológico de los Estados Unidos) –</w:t>
        </w:r>
        <w:r w:rsidRPr="00B2067F">
          <w:rPr>
            <w:rStyle w:val="Hyperlink"/>
          </w:rPr>
          <w:t xml:space="preserve"> My ITU</w:t>
        </w:r>
      </w:hyperlink>
    </w:p>
    <w:p w14:paraId="30DC7512" w14:textId="27E8A269" w:rsidR="0077746C" w:rsidRPr="00B2067F" w:rsidRDefault="0077746C" w:rsidP="0077746C">
      <w:pPr>
        <w:pStyle w:val="enumlev1"/>
        <w:rPr>
          <w:u w:val="single"/>
        </w:rPr>
      </w:pPr>
      <w:r w:rsidRPr="00B2067F">
        <w:t>•</w:t>
      </w:r>
      <w:r w:rsidRPr="00B2067F">
        <w:tab/>
      </w:r>
      <w:hyperlink r:id="rId53" w:history="1">
        <w:r w:rsidRPr="00B2067F">
          <w:rPr>
            <w:rStyle w:val="Hyperlink"/>
          </w:rPr>
          <w:t>Las cinco principales dudas de la Internet de alta velocidad d</w:t>
        </w:r>
        <w:r w:rsidR="001F0BD7" w:rsidRPr="00B2067F">
          <w:rPr>
            <w:rStyle w:val="Hyperlink"/>
          </w:rPr>
          <w:t>esde una órbita terrestre baja –</w:t>
        </w:r>
        <w:r w:rsidRPr="00B2067F">
          <w:rPr>
            <w:rStyle w:val="Hyperlink"/>
          </w:rPr>
          <w:t xml:space="preserve"> My ITU</w:t>
        </w:r>
      </w:hyperlink>
    </w:p>
    <w:p w14:paraId="14840823" w14:textId="4F22684D" w:rsidR="0077746C" w:rsidRPr="00B2067F" w:rsidRDefault="0077746C" w:rsidP="0077746C">
      <w:pPr>
        <w:pStyle w:val="enumlev1"/>
        <w:rPr>
          <w:u w:val="single"/>
        </w:rPr>
      </w:pPr>
      <w:r w:rsidRPr="00B2067F">
        <w:t>•</w:t>
      </w:r>
      <w:r w:rsidRPr="00B2067F">
        <w:tab/>
      </w:r>
      <w:hyperlink r:id="rId54" w:history="1">
        <w:r w:rsidRPr="00B2067F">
          <w:rPr>
            <w:rStyle w:val="Hyperlink"/>
          </w:rPr>
          <w:t>Por qué las sesiones plenarias del Seminario Mundial de Radiocomunicaciones de este año están abiertas a todo el mundo: Mario Maniewicz, Director de la Oficina de</w:t>
        </w:r>
        <w:r w:rsidR="001F0BD7" w:rsidRPr="00B2067F">
          <w:rPr>
            <w:rStyle w:val="Hyperlink"/>
          </w:rPr>
          <w:t xml:space="preserve"> Radiocomunicaciones de la ITU –</w:t>
        </w:r>
        <w:r w:rsidRPr="00B2067F">
          <w:rPr>
            <w:rStyle w:val="Hyperlink"/>
          </w:rPr>
          <w:t xml:space="preserve"> My ITU</w:t>
        </w:r>
      </w:hyperlink>
    </w:p>
    <w:p w14:paraId="2838DCF7" w14:textId="5ECA0DCE" w:rsidR="0077746C" w:rsidRPr="00B2067F" w:rsidRDefault="0077746C" w:rsidP="0077746C">
      <w:pPr>
        <w:pStyle w:val="enumlev1"/>
      </w:pPr>
      <w:r w:rsidRPr="00B2067F">
        <w:t>•</w:t>
      </w:r>
      <w:r w:rsidRPr="00B2067F">
        <w:tab/>
      </w:r>
      <w:hyperlink r:id="rId55" w:history="1">
        <w:r w:rsidRPr="00B2067F">
          <w:rPr>
            <w:rStyle w:val="Hyperlink"/>
          </w:rPr>
          <w:t>Innovación de los satélites: la tecnología espacial para llegar a los que no están conectados</w:t>
        </w:r>
      </w:hyperlink>
    </w:p>
    <w:p w14:paraId="2881B6B0" w14:textId="5E7E5CAC" w:rsidR="0077746C" w:rsidRPr="00B2067F" w:rsidRDefault="0077746C" w:rsidP="0077746C">
      <w:pPr>
        <w:pStyle w:val="enumlev1"/>
        <w:rPr>
          <w:u w:val="single"/>
        </w:rPr>
      </w:pPr>
      <w:r w:rsidRPr="00B2067F">
        <w:t>•</w:t>
      </w:r>
      <w:r w:rsidRPr="00B2067F">
        <w:tab/>
      </w:r>
      <w:hyperlink r:id="rId56" w:history="1">
        <w:r w:rsidRPr="00B2067F">
          <w:rPr>
            <w:rStyle w:val="Hyperlink"/>
          </w:rPr>
          <w:t>Así es cómo la diversidad de los servicios de radiocomunicaciones mejora las vidas en todo el mundo</w:t>
        </w:r>
      </w:hyperlink>
    </w:p>
    <w:p w14:paraId="134A584E" w14:textId="77777777" w:rsidR="0077746C" w:rsidRPr="00B2067F" w:rsidRDefault="0077746C" w:rsidP="0077746C">
      <w:pPr>
        <w:pStyle w:val="enumlev1"/>
      </w:pPr>
      <w:r w:rsidRPr="00B2067F">
        <w:t>•</w:t>
      </w:r>
      <w:r w:rsidRPr="00B2067F">
        <w:tab/>
        <w:t>Día Mundial de la Radio:</w:t>
      </w:r>
    </w:p>
    <w:p w14:paraId="262A5E10" w14:textId="0417923E" w:rsidR="0077746C" w:rsidRPr="00B2067F" w:rsidRDefault="0077746C" w:rsidP="0077746C">
      <w:pPr>
        <w:pStyle w:val="enumlev2"/>
        <w:rPr>
          <w:u w:val="single"/>
        </w:rPr>
      </w:pPr>
      <w:r w:rsidRPr="00B2067F">
        <w:t>–</w:t>
      </w:r>
      <w:r w:rsidRPr="00B2067F">
        <w:tab/>
      </w:r>
      <w:hyperlink r:id="rId57" w:history="1">
        <w:r w:rsidRPr="00B2067F">
          <w:rPr>
            <w:rStyle w:val="Hyperlink"/>
          </w:rPr>
          <w:t>2020: Así es cómo la diversidad de los servicios de radiocomunicaciones mejora las vidas en todo el mundo</w:t>
        </w:r>
      </w:hyperlink>
    </w:p>
    <w:p w14:paraId="4267485B" w14:textId="6A074765" w:rsidR="0077746C" w:rsidRPr="00B2067F" w:rsidRDefault="0077746C" w:rsidP="0077746C">
      <w:pPr>
        <w:pStyle w:val="enumlev2"/>
        <w:rPr>
          <w:u w:val="single"/>
        </w:rPr>
      </w:pPr>
      <w:r w:rsidRPr="00B2067F">
        <w:t>–</w:t>
      </w:r>
      <w:r w:rsidRPr="00B2067F">
        <w:tab/>
      </w:r>
      <w:hyperlink r:id="rId58" w:history="1">
        <w:r w:rsidRPr="00B2067F">
          <w:rPr>
            <w:rStyle w:val="Hyperlink"/>
          </w:rPr>
          <w:t>2021: Celebración de la resiliencia de la radio</w:t>
        </w:r>
      </w:hyperlink>
    </w:p>
    <w:p w14:paraId="0F4F9BE9" w14:textId="77777777" w:rsidR="0077746C" w:rsidRPr="00B2067F" w:rsidRDefault="0077746C" w:rsidP="001F0BD7">
      <w:pPr>
        <w:keepNext/>
      </w:pPr>
      <w:r w:rsidRPr="00B2067F">
        <w:lastRenderedPageBreak/>
        <w:t>Artículos en Actualidades de la UIT:</w:t>
      </w:r>
    </w:p>
    <w:p w14:paraId="7C1CECBE" w14:textId="2975790F" w:rsidR="0077746C" w:rsidRPr="00B2067F" w:rsidRDefault="0077746C" w:rsidP="0077746C">
      <w:pPr>
        <w:pStyle w:val="enumlev1"/>
        <w:rPr>
          <w:u w:val="single"/>
        </w:rPr>
      </w:pPr>
      <w:r w:rsidRPr="00B2067F">
        <w:t>•</w:t>
      </w:r>
      <w:r w:rsidRPr="00B2067F">
        <w:tab/>
      </w:r>
      <w:hyperlink r:id="rId59" w:history="1">
        <w:r w:rsidRPr="00B2067F">
          <w:rPr>
            <w:rStyle w:val="Hyperlink"/>
          </w:rPr>
          <w:t>10 cosas que no sabías que dependen del Reg</w:t>
        </w:r>
        <w:r w:rsidR="001F0BD7" w:rsidRPr="00B2067F">
          <w:rPr>
            <w:rStyle w:val="Hyperlink"/>
          </w:rPr>
          <w:t>lamento de Radiocomunicacion</w:t>
        </w:r>
        <w:r w:rsidR="001F0BD7" w:rsidRPr="00B2067F">
          <w:rPr>
            <w:rStyle w:val="Hyperlink"/>
          </w:rPr>
          <w:t>e</w:t>
        </w:r>
        <w:r w:rsidR="001F0BD7" w:rsidRPr="00B2067F">
          <w:rPr>
            <w:rStyle w:val="Hyperlink"/>
          </w:rPr>
          <w:t>s –</w:t>
        </w:r>
        <w:r w:rsidRPr="00B2067F">
          <w:rPr>
            <w:rStyle w:val="Hyperlink"/>
          </w:rPr>
          <w:t xml:space="preserve"> My ITU</w:t>
        </w:r>
      </w:hyperlink>
    </w:p>
    <w:p w14:paraId="7CB33094" w14:textId="66B795DF" w:rsidR="0077746C" w:rsidRPr="00B2067F" w:rsidRDefault="0077746C" w:rsidP="0077746C">
      <w:pPr>
        <w:pStyle w:val="enumlev1"/>
        <w:rPr>
          <w:u w:val="single"/>
        </w:rPr>
      </w:pPr>
      <w:r w:rsidRPr="00B2067F">
        <w:t>•</w:t>
      </w:r>
      <w:r w:rsidRPr="00B2067F">
        <w:tab/>
      </w:r>
      <w:hyperlink r:id="rId60" w:history="1">
        <w:r w:rsidRPr="00B2067F">
          <w:rPr>
            <w:rStyle w:val="Hyperlink"/>
          </w:rPr>
          <w:t>Actualización del Reglamento de</w:t>
        </w:r>
        <w:r w:rsidR="001F0BD7" w:rsidRPr="00B2067F">
          <w:rPr>
            <w:rStyle w:val="Hyperlink"/>
          </w:rPr>
          <w:t xml:space="preserve"> Radiocomunicaciones de la UIT –</w:t>
        </w:r>
        <w:r w:rsidRPr="00B2067F">
          <w:rPr>
            <w:rStyle w:val="Hyperlink"/>
          </w:rPr>
          <w:t xml:space="preserve"> My ITU</w:t>
        </w:r>
      </w:hyperlink>
    </w:p>
    <w:p w14:paraId="015B8BD7" w14:textId="269D9C8B" w:rsidR="0077746C" w:rsidRPr="00B2067F" w:rsidRDefault="0077746C" w:rsidP="0077746C">
      <w:pPr>
        <w:pStyle w:val="enumlev1"/>
        <w:rPr>
          <w:u w:val="single"/>
        </w:rPr>
      </w:pPr>
      <w:r w:rsidRPr="00B2067F">
        <w:t>•</w:t>
      </w:r>
      <w:r w:rsidRPr="00B2067F">
        <w:tab/>
      </w:r>
      <w:hyperlink r:id="rId61" w:history="1">
        <w:r w:rsidRPr="00B2067F">
          <w:rPr>
            <w:rStyle w:val="Hyperlink"/>
          </w:rPr>
          <w:t>Cómo trabaja el Sector de Radiocomunicaciones de la UI</w:t>
        </w:r>
        <w:r w:rsidR="001F0BD7" w:rsidRPr="00B2067F">
          <w:rPr>
            <w:rStyle w:val="Hyperlink"/>
          </w:rPr>
          <w:t>T para la Agenda Conectar 2030 –</w:t>
        </w:r>
        <w:r w:rsidRPr="00B2067F">
          <w:rPr>
            <w:rStyle w:val="Hyperlink"/>
          </w:rPr>
          <w:t xml:space="preserve"> My ITU</w:t>
        </w:r>
      </w:hyperlink>
    </w:p>
    <w:p w14:paraId="30106424" w14:textId="6A64F4BD" w:rsidR="0077746C" w:rsidRPr="00B2067F" w:rsidRDefault="0077746C" w:rsidP="0077746C">
      <w:pPr>
        <w:pStyle w:val="enumlev1"/>
        <w:rPr>
          <w:u w:val="single"/>
        </w:rPr>
      </w:pPr>
      <w:r w:rsidRPr="00B2067F">
        <w:t>•</w:t>
      </w:r>
      <w:r w:rsidRPr="00B2067F">
        <w:tab/>
      </w:r>
      <w:hyperlink r:id="rId62" w:history="1">
        <w:r w:rsidRPr="00B2067F">
          <w:rPr>
            <w:rStyle w:val="Hyperlink"/>
          </w:rPr>
          <w:t xml:space="preserve">Reducir la exclusión digital: la hoja de </w:t>
        </w:r>
        <w:r w:rsidR="001F0BD7" w:rsidRPr="00B2067F">
          <w:rPr>
            <w:rStyle w:val="Hyperlink"/>
          </w:rPr>
          <w:t>ruta de África hacia la CMR-23 –</w:t>
        </w:r>
        <w:r w:rsidRPr="00B2067F">
          <w:rPr>
            <w:rStyle w:val="Hyperlink"/>
          </w:rPr>
          <w:t xml:space="preserve"> My ITU</w:t>
        </w:r>
      </w:hyperlink>
    </w:p>
    <w:p w14:paraId="7FDE72EC" w14:textId="2765583C" w:rsidR="0077746C" w:rsidRPr="00B2067F" w:rsidRDefault="0077746C" w:rsidP="0077746C">
      <w:pPr>
        <w:pStyle w:val="enumlev1"/>
        <w:rPr>
          <w:u w:val="single"/>
        </w:rPr>
      </w:pPr>
      <w:r w:rsidRPr="00B2067F">
        <w:t>•</w:t>
      </w:r>
      <w:r w:rsidRPr="00B2067F">
        <w:tab/>
      </w:r>
      <w:hyperlink r:id="rId63" w:history="1">
        <w:r w:rsidRPr="00B2067F">
          <w:rPr>
            <w:rStyle w:val="Hyperlink"/>
          </w:rPr>
          <w:t>Con una demanda creciente de radiodifusión sonora, África facilita la instalac</w:t>
        </w:r>
        <w:r w:rsidR="001F0BD7" w:rsidRPr="00B2067F">
          <w:rPr>
            <w:rStyle w:val="Hyperlink"/>
          </w:rPr>
          <w:t>ión de nuevas estaciones de FM –</w:t>
        </w:r>
        <w:r w:rsidRPr="00B2067F">
          <w:rPr>
            <w:rStyle w:val="Hyperlink"/>
          </w:rPr>
          <w:t xml:space="preserve"> My ITU</w:t>
        </w:r>
      </w:hyperlink>
    </w:p>
    <w:p w14:paraId="13EBB5C5" w14:textId="77777777" w:rsidR="0077746C" w:rsidRPr="00B2067F" w:rsidRDefault="0077746C" w:rsidP="0077746C">
      <w:pPr>
        <w:pStyle w:val="enumlev1"/>
        <w:rPr>
          <w:u w:val="single"/>
        </w:rPr>
      </w:pPr>
      <w:r w:rsidRPr="00B2067F">
        <w:t>•</w:t>
      </w:r>
      <w:r w:rsidRPr="00B2067F">
        <w:tab/>
        <w:t xml:space="preserve">Pueden encontrarse más artículos del Director de la BR </w:t>
      </w:r>
      <w:hyperlink r:id="rId64" w:history="1">
        <w:r w:rsidRPr="00B2067F">
          <w:rPr>
            <w:rStyle w:val="Hyperlink"/>
          </w:rPr>
          <w:t>en este enlace</w:t>
        </w:r>
      </w:hyperlink>
    </w:p>
    <w:p w14:paraId="54A90355" w14:textId="77777777" w:rsidR="0077746C" w:rsidRPr="00B2067F" w:rsidRDefault="0077746C" w:rsidP="0077746C">
      <w:r w:rsidRPr="00B2067F">
        <w:t>Revista Actualidades de la UIT – ediciones especiales:</w:t>
      </w:r>
    </w:p>
    <w:p w14:paraId="72F1B9A1" w14:textId="6BD538BA" w:rsidR="0077746C" w:rsidRPr="00B2067F" w:rsidRDefault="0077746C" w:rsidP="0077746C">
      <w:pPr>
        <w:pStyle w:val="enumlev1"/>
        <w:rPr>
          <w:u w:val="single"/>
        </w:rPr>
      </w:pPr>
      <w:r w:rsidRPr="00B2067F">
        <w:t>•</w:t>
      </w:r>
      <w:r w:rsidRPr="00B2067F">
        <w:tab/>
      </w:r>
      <w:hyperlink r:id="rId65" w:history="1">
        <w:r w:rsidRPr="00B2067F">
          <w:rPr>
            <w:rStyle w:val="Hyperlink"/>
          </w:rPr>
          <w:t xml:space="preserve">Revista Actualidades de la UIT – Ciencias espaciales para lograr los Objetivos de Desarrollo Sostenible </w:t>
        </w:r>
        <w:r w:rsidR="001F0BD7" w:rsidRPr="00B2067F">
          <w:rPr>
            <w:rStyle w:val="Hyperlink"/>
          </w:rPr>
          <w:t>–</w:t>
        </w:r>
        <w:r w:rsidRPr="00B2067F">
          <w:rPr>
            <w:rStyle w:val="Hyperlink"/>
          </w:rPr>
          <w:t xml:space="preserve"> My ITU</w:t>
        </w:r>
      </w:hyperlink>
    </w:p>
    <w:p w14:paraId="3E6B48F4" w14:textId="77777777" w:rsidR="0077746C" w:rsidRPr="00B2067F" w:rsidRDefault="0077746C" w:rsidP="0077746C">
      <w:r w:rsidRPr="00B2067F">
        <w:t xml:space="preserve">Otros recursos creados, mantenidos y actualizados durante el periodo: </w:t>
      </w:r>
    </w:p>
    <w:p w14:paraId="34DA8F09" w14:textId="77777777" w:rsidR="0077746C" w:rsidRPr="00B2067F" w:rsidRDefault="0077746C" w:rsidP="0077746C">
      <w:r w:rsidRPr="00B2067F">
        <w:t>•</w:t>
      </w:r>
      <w:r w:rsidRPr="00B2067F">
        <w:tab/>
      </w:r>
      <w:hyperlink r:id="rId66" w:history="1">
        <w:bookmarkStart w:id="162" w:name="lt_pId1520"/>
        <w:r w:rsidRPr="00B2067F">
          <w:rPr>
            <w:rStyle w:val="Hyperlink"/>
          </w:rPr>
          <w:t xml:space="preserve">Acceso gratuito en línea a publicaciones, </w:t>
        </w:r>
        <w:r w:rsidRPr="00B2067F">
          <w:rPr>
            <w:rStyle w:val="Hyperlink"/>
            <w:i/>
          </w:rPr>
          <w:t>software</w:t>
        </w:r>
        <w:r w:rsidRPr="00B2067F">
          <w:rPr>
            <w:rStyle w:val="Hyperlink"/>
          </w:rPr>
          <w:t xml:space="preserve"> y bases de datos del UIT-R</w:t>
        </w:r>
        <w:bookmarkEnd w:id="162"/>
      </w:hyperlink>
    </w:p>
    <w:p w14:paraId="3FAE104E" w14:textId="77777777" w:rsidR="0077746C" w:rsidRPr="00B2067F" w:rsidRDefault="0077746C" w:rsidP="0077746C">
      <w:pPr>
        <w:pStyle w:val="enumlev1"/>
      </w:pPr>
      <w:r w:rsidRPr="00B2067F">
        <w:t>•</w:t>
      </w:r>
      <w:r w:rsidRPr="00B2067F">
        <w:tab/>
      </w:r>
      <w:hyperlink r:id="rId67" w:history="1">
        <w:r w:rsidRPr="00B2067F">
          <w:rPr>
            <w:rStyle w:val="Hyperlink"/>
          </w:rPr>
          <w:t xml:space="preserve">La Inteligencia Artificial (IA) hará las radiocomunicaciones más inteligentes </w:t>
        </w:r>
      </w:hyperlink>
    </w:p>
    <w:p w14:paraId="13B4577B" w14:textId="454C7923" w:rsidR="0077746C" w:rsidRPr="00B2067F" w:rsidRDefault="0077746C" w:rsidP="0077746C">
      <w:pPr>
        <w:pStyle w:val="enumlev1"/>
        <w:rPr>
          <w:u w:val="single"/>
        </w:rPr>
      </w:pPr>
      <w:r w:rsidRPr="00B2067F">
        <w:t>•</w:t>
      </w:r>
      <w:r w:rsidRPr="00B2067F">
        <w:tab/>
      </w:r>
      <w:hyperlink r:id="rId68" w:history="1">
        <w:r w:rsidRPr="00B2067F">
          <w:rPr>
            <w:rStyle w:val="Hyperlink"/>
          </w:rPr>
          <w:t>Norma mundial de la UIT para las telecomunica</w:t>
        </w:r>
        <w:r w:rsidR="001F0BD7" w:rsidRPr="00B2067F">
          <w:rPr>
            <w:rStyle w:val="Hyperlink"/>
          </w:rPr>
          <w:t>ciones móviles internacionales '</w:t>
        </w:r>
        <w:r w:rsidRPr="00B2067F">
          <w:rPr>
            <w:rStyle w:val="Hyperlink"/>
          </w:rPr>
          <w:t>IMT para 2020 y en adelante</w:t>
        </w:r>
      </w:hyperlink>
      <w:r w:rsidR="001F0BD7" w:rsidRPr="00B2067F">
        <w:rPr>
          <w:rStyle w:val="Hyperlink"/>
        </w:rPr>
        <w:t>'</w:t>
      </w:r>
    </w:p>
    <w:p w14:paraId="088CC6AE" w14:textId="77777777" w:rsidR="0077746C" w:rsidRPr="00B2067F" w:rsidRDefault="0077746C" w:rsidP="0077746C">
      <w:pPr>
        <w:pStyle w:val="enumlev1"/>
        <w:rPr>
          <w:u w:val="single"/>
        </w:rPr>
      </w:pPr>
      <w:r w:rsidRPr="00B2067F">
        <w:t>•</w:t>
      </w:r>
      <w:r w:rsidRPr="00B2067F">
        <w:tab/>
      </w:r>
      <w:hyperlink r:id="rId69" w:history="1">
        <w:r w:rsidRPr="00B2067F">
          <w:rPr>
            <w:rStyle w:val="Hyperlink"/>
          </w:rPr>
          <w:t xml:space="preserve">Radiocomunicaciones y cambio climático </w:t>
        </w:r>
      </w:hyperlink>
    </w:p>
    <w:p w14:paraId="1BAEAF25" w14:textId="77777777" w:rsidR="0077746C" w:rsidRPr="00B2067F" w:rsidRDefault="0077746C" w:rsidP="0077746C">
      <w:pPr>
        <w:pStyle w:val="enumlev1"/>
        <w:rPr>
          <w:u w:val="single"/>
        </w:rPr>
      </w:pPr>
      <w:r w:rsidRPr="00B2067F">
        <w:t>•</w:t>
      </w:r>
      <w:r w:rsidRPr="00B2067F">
        <w:tab/>
      </w:r>
      <w:hyperlink r:id="rId70" w:history="1">
        <w:r w:rsidRPr="00B2067F">
          <w:rPr>
            <w:rStyle w:val="Hyperlink"/>
          </w:rPr>
          <w:t>Radiocomunicaciones de emergencia</w:t>
        </w:r>
      </w:hyperlink>
    </w:p>
    <w:p w14:paraId="1781DF2F" w14:textId="77777777" w:rsidR="0077746C" w:rsidRPr="00B2067F" w:rsidRDefault="0077746C" w:rsidP="0077746C">
      <w:pPr>
        <w:pStyle w:val="enumlev1"/>
      </w:pPr>
      <w:r w:rsidRPr="00B2067F">
        <w:t>•</w:t>
      </w:r>
      <w:r w:rsidRPr="00B2067F">
        <w:tab/>
      </w:r>
      <w:hyperlink r:id="rId71" w:history="1">
        <w:r w:rsidRPr="00B2067F">
          <w:rPr>
            <w:rStyle w:val="Hyperlink"/>
          </w:rPr>
          <w:t>Contribución del Sector UIT-R a la reducción de la brecha digital de discapacidad</w:t>
        </w:r>
      </w:hyperlink>
    </w:p>
    <w:p w14:paraId="6C5BBF26" w14:textId="77777777" w:rsidR="0077746C" w:rsidRPr="00B2067F" w:rsidRDefault="0077746C" w:rsidP="0077746C">
      <w:pPr>
        <w:pStyle w:val="Heading4"/>
      </w:pPr>
      <w:r w:rsidRPr="00B2067F">
        <w:t>8.6.2.3</w:t>
      </w:r>
      <w:r w:rsidRPr="00B2067F">
        <w:tab/>
        <w:t>Comunicaciones de marca, ventas y marketing</w:t>
      </w:r>
    </w:p>
    <w:p w14:paraId="16C11409" w14:textId="77777777" w:rsidR="0077746C" w:rsidRPr="00B2067F" w:rsidRDefault="0077746C" w:rsidP="0077746C">
      <w:pPr>
        <w:rPr>
          <w:u w:val="single"/>
        </w:rPr>
      </w:pPr>
      <w:r w:rsidRPr="00B2067F">
        <w:t xml:space="preserve">Las actividades de marca y comunicación realizadas a lo largo del año 2020 se centraron en la utilización de la nueva plataforma MyITU en colaboración con ventas y marketing para promover las siguientes publicaciones del UIT-R: </w:t>
      </w:r>
    </w:p>
    <w:p w14:paraId="082A613C" w14:textId="34664B76" w:rsidR="0077746C" w:rsidRPr="00B2067F" w:rsidRDefault="0077746C" w:rsidP="0077746C">
      <w:pPr>
        <w:pStyle w:val="enumlev1"/>
        <w:rPr>
          <w:u w:val="single"/>
        </w:rPr>
      </w:pPr>
      <w:r w:rsidRPr="00B2067F">
        <w:t>•</w:t>
      </w:r>
      <w:r w:rsidRPr="00B2067F">
        <w:tab/>
      </w:r>
      <w:hyperlink r:id="rId72" w:history="1">
        <w:r w:rsidRPr="00B2067F">
          <w:rPr>
            <w:rStyle w:val="Hyperlink"/>
          </w:rPr>
          <w:t>Actas Finales de la CMR-19</w:t>
        </w:r>
        <w:r w:rsidR="001F0BD7" w:rsidRPr="00B2067F">
          <w:rPr>
            <w:rStyle w:val="Hyperlink"/>
          </w:rPr>
          <w:t xml:space="preserve"> –</w:t>
        </w:r>
        <w:r w:rsidRPr="00B2067F">
          <w:rPr>
            <w:rStyle w:val="Hyperlink"/>
          </w:rPr>
          <w:t xml:space="preserve"> My ITU</w:t>
        </w:r>
      </w:hyperlink>
    </w:p>
    <w:p w14:paraId="5CE0E49B" w14:textId="29084960" w:rsidR="0077746C" w:rsidRPr="00B2067F" w:rsidRDefault="0077746C" w:rsidP="0077746C">
      <w:pPr>
        <w:pStyle w:val="enumlev1"/>
        <w:rPr>
          <w:u w:val="single"/>
        </w:rPr>
      </w:pPr>
      <w:r w:rsidRPr="00B2067F">
        <w:t>•</w:t>
      </w:r>
      <w:r w:rsidRPr="00B2067F">
        <w:tab/>
      </w:r>
      <w:hyperlink r:id="rId73" w:history="1">
        <w:r w:rsidRPr="00B2067F">
          <w:rPr>
            <w:rStyle w:val="Hyperlink"/>
          </w:rPr>
          <w:t xml:space="preserve">Reglamento de Radiocomunicaciones de 2020 </w:t>
        </w:r>
        <w:r w:rsidR="001F0BD7" w:rsidRPr="00B2067F">
          <w:rPr>
            <w:rStyle w:val="Hyperlink"/>
          </w:rPr>
          <w:t>–</w:t>
        </w:r>
        <w:r w:rsidRPr="00B2067F">
          <w:rPr>
            <w:rStyle w:val="Hyperlink"/>
          </w:rPr>
          <w:t xml:space="preserve"> My ITU</w:t>
        </w:r>
      </w:hyperlink>
    </w:p>
    <w:p w14:paraId="3AAEF5C9" w14:textId="1314B68B" w:rsidR="0077746C" w:rsidRPr="00B2067F" w:rsidRDefault="0077746C" w:rsidP="0077746C">
      <w:pPr>
        <w:pStyle w:val="enumlev1"/>
        <w:rPr>
          <w:u w:val="single"/>
        </w:rPr>
      </w:pPr>
      <w:r w:rsidRPr="00B2067F">
        <w:t>•</w:t>
      </w:r>
      <w:r w:rsidRPr="00B2067F">
        <w:tab/>
      </w:r>
      <w:hyperlink r:id="rId74" w:history="1">
        <w:r w:rsidR="001F0BD7" w:rsidRPr="00B2067F">
          <w:rPr>
            <w:rStyle w:val="Hyperlink"/>
          </w:rPr>
          <w:t>Manual marítimo 2020 –</w:t>
        </w:r>
        <w:r w:rsidRPr="00B2067F">
          <w:rPr>
            <w:rStyle w:val="Hyperlink"/>
          </w:rPr>
          <w:t xml:space="preserve"> My ITU</w:t>
        </w:r>
      </w:hyperlink>
    </w:p>
    <w:p w14:paraId="6517F3F0" w14:textId="54BDE318" w:rsidR="0077746C" w:rsidRPr="00B2067F" w:rsidRDefault="0077746C" w:rsidP="0077746C">
      <w:pPr>
        <w:pStyle w:val="enumlev1"/>
      </w:pPr>
      <w:r w:rsidRPr="00B2067F">
        <w:t>•</w:t>
      </w:r>
      <w:r w:rsidRPr="00B2067F">
        <w:tab/>
      </w:r>
      <w:hyperlink r:id="rId75" w:history="1">
        <w:r w:rsidR="001F0BD7" w:rsidRPr="00B2067F">
          <w:rPr>
            <w:rStyle w:val="Hyperlink"/>
            <w:i/>
          </w:rPr>
          <w:t>Software</w:t>
        </w:r>
        <w:r w:rsidR="001F0BD7" w:rsidRPr="00B2067F">
          <w:rPr>
            <w:rStyle w:val="Hyperlink"/>
          </w:rPr>
          <w:t xml:space="preserve"> RR5 –</w:t>
        </w:r>
        <w:r w:rsidRPr="00B2067F">
          <w:rPr>
            <w:rStyle w:val="Hyperlink"/>
          </w:rPr>
          <w:t xml:space="preserve"> My ITU</w:t>
        </w:r>
      </w:hyperlink>
    </w:p>
    <w:p w14:paraId="62F628CF" w14:textId="77777777" w:rsidR="0077746C" w:rsidRPr="00B2067F" w:rsidRDefault="0077746C" w:rsidP="0077746C">
      <w:pPr>
        <w:pStyle w:val="enumlev1"/>
      </w:pPr>
      <w:r w:rsidRPr="00B2067F">
        <w:t>•</w:t>
      </w:r>
      <w:r w:rsidRPr="00B2067F">
        <w:tab/>
      </w:r>
      <w:hyperlink r:id="rId76" w:history="1">
        <w:r w:rsidRPr="00B2067F">
          <w:rPr>
            <w:rStyle w:val="Hyperlink"/>
          </w:rPr>
          <w:t>Lista V − Nomenclátor de las estaciones de barco y de las asignaciones a identidades del servicio móvil marítimo 2020 – My ITU</w:t>
        </w:r>
      </w:hyperlink>
    </w:p>
    <w:p w14:paraId="18887940" w14:textId="77777777" w:rsidR="0077746C" w:rsidRPr="00B2067F" w:rsidRDefault="0077746C" w:rsidP="0077746C">
      <w:pPr>
        <w:pStyle w:val="Heading4"/>
      </w:pPr>
      <w:r w:rsidRPr="00B2067F">
        <w:t>8.6.2.4</w:t>
      </w:r>
      <w:r w:rsidRPr="00B2067F">
        <w:tab/>
        <w:t>Exposiciones y demostraciones</w:t>
      </w:r>
    </w:p>
    <w:p w14:paraId="46A03CE1" w14:textId="77777777" w:rsidR="0077746C" w:rsidRPr="00B2067F" w:rsidRDefault="0077746C" w:rsidP="0077746C">
      <w:r w:rsidRPr="00B2067F">
        <w:t xml:space="preserve">Debido a la crisis sanitaria mundial y las restricciones de viaje resultantes, no se han realizado exposiciones y demostraciones durante este periodo. </w:t>
      </w:r>
    </w:p>
    <w:p w14:paraId="0C4C5929" w14:textId="77777777" w:rsidR="0077746C" w:rsidRPr="00B2067F" w:rsidRDefault="0077746C" w:rsidP="0077746C">
      <w:pPr>
        <w:pStyle w:val="Heading2"/>
      </w:pPr>
      <w:r w:rsidRPr="00B2067F">
        <w:t>8.7</w:t>
      </w:r>
      <w:r w:rsidRPr="00B2067F">
        <w:tab/>
        <w:t>Igualdad de género</w:t>
      </w:r>
    </w:p>
    <w:p w14:paraId="68053011" w14:textId="77777777" w:rsidR="0077746C" w:rsidRPr="00B2067F" w:rsidRDefault="0077746C" w:rsidP="0077746C">
      <w:r w:rsidRPr="00B2067F">
        <w:t xml:space="preserve">La promoción de la igualdad de género en todas las esferas de la actual sociedad digital nunca ha sido tan esencial como ahora, cuando el mundo se embarca en el Decenio de Acción para lograr la Agenda 2030 para el Desarrollo Sostenible. Las tecnologías digitales son esenciales para lograr todos los 17 Objetivos de Desarrollo Sostenible y aumentar la proporción de mujeres que disponen de acceso a las tecnologías digitales y las utilizan para mejorar sus vidas y, por extensión, la mejora de las vidas de sus familias y sociedad es un desafío de desarrollo que nos interesa a todos. </w:t>
      </w:r>
    </w:p>
    <w:p w14:paraId="2A11E288" w14:textId="77777777" w:rsidR="0077746C" w:rsidRPr="00B2067F" w:rsidRDefault="0077746C" w:rsidP="0077746C">
      <w:r w:rsidRPr="00B2067F">
        <w:rPr>
          <w:bCs/>
        </w:rPr>
        <w:lastRenderedPageBreak/>
        <w:t xml:space="preserve">En 2020, se realizaron las siguientes actividades: </w:t>
      </w:r>
    </w:p>
    <w:p w14:paraId="0B2C3388" w14:textId="77777777" w:rsidR="0077746C" w:rsidRPr="00B2067F" w:rsidRDefault="0077746C" w:rsidP="0077746C">
      <w:pPr>
        <w:pStyle w:val="Heading3"/>
      </w:pPr>
      <w:r w:rsidRPr="00B2067F">
        <w:t>8.7.1</w:t>
      </w:r>
      <w:r w:rsidRPr="00B2067F">
        <w:tab/>
        <w:t>Grupo por Correspondencia del GAR sobre Cuestiones de Género</w:t>
      </w:r>
    </w:p>
    <w:p w14:paraId="39C19DC2" w14:textId="77777777" w:rsidR="0077746C" w:rsidRPr="00B2067F" w:rsidRDefault="0077746C" w:rsidP="0077746C">
      <w:pPr>
        <w:rPr>
          <w:bCs/>
        </w:rPr>
      </w:pPr>
      <w:r w:rsidRPr="00B2067F">
        <w:t xml:space="preserve">En la reciente CMR-19, los Miembros de la UIT adoptaron por unanimidad una declaración que promueve la igualdad de género, la equidad y la paridad en los trabajos del Sector de Radiocomunicaciones de la UIT. Como seguimiento de la aplicación de la Declaración de Género de la CMR-19, el </w:t>
      </w:r>
      <w:r w:rsidRPr="00B2067F">
        <w:rPr>
          <w:b/>
        </w:rPr>
        <w:t xml:space="preserve">Grupo Asesor de Radiocomunicaciones (GAR) </w:t>
      </w:r>
      <w:r w:rsidRPr="00B2067F">
        <w:t xml:space="preserve">– que, entre otros, revisa las prioridades y las estrategias adoptadas en el Sector de Radiocomunicaciones – creó el </w:t>
      </w:r>
      <w:r w:rsidRPr="00B2067F">
        <w:rPr>
          <w:b/>
          <w:bCs/>
        </w:rPr>
        <w:t xml:space="preserve">Grupo por Correspondencia sobre Cuestiones de Género </w:t>
      </w:r>
      <w:r w:rsidRPr="00B2067F">
        <w:rPr>
          <w:bCs/>
        </w:rPr>
        <w:t xml:space="preserve">para estudiar cuáles son las medidas adecuadas para iniciar e implementar las disposiciones de la Declaración de Género de la CMR-19 antes de la próxima Asamblea de Radiocomunicaciones (AR-23). </w:t>
      </w:r>
    </w:p>
    <w:p w14:paraId="53CDDB8A" w14:textId="77777777" w:rsidR="0077746C" w:rsidRPr="00B2067F" w:rsidRDefault="0077746C" w:rsidP="0077746C">
      <w:r w:rsidRPr="00B2067F">
        <w:rPr>
          <w:bCs/>
        </w:rPr>
        <w:t xml:space="preserve">La reunión respaldó el nombramiento de la Sra. </w:t>
      </w:r>
      <w:r w:rsidRPr="00B2067F">
        <w:t xml:space="preserve">Lucia Luisa La Franceschina de Italia como Presidenta del Grupo por Correspondencia y la Sra. Olfa Jammeli de Túnez como Vicepresidenta. Bajo su dirección, el Grupo por Correspondencia proporcionará también orientación y aliento para una selección equitativa de presidentes, vicepresidentes y relatores para los trabajos de las Comisiones de Estudio del UIT-R, sus Grupos de Trabajo u otros subgrupos, la Reunión Preparatoria de la Conferencia (RPC) y el propio Grupo Asesor de Radiocomunicaciones (GAR). </w:t>
      </w:r>
    </w:p>
    <w:p w14:paraId="1B6C2297" w14:textId="77777777" w:rsidR="0077746C" w:rsidRPr="00B2067F" w:rsidRDefault="0077746C" w:rsidP="0077746C">
      <w:r w:rsidRPr="00B2067F">
        <w:t xml:space="preserve">Se alienta a los Estados Miembros y los Miembros de Sector del UIT-R a participar activamente en los trabajos del Grupo por Correspondencia sobre Cuestiones de Género del GAR inscribiéndose en el sitio web dedicado </w:t>
      </w:r>
      <w:hyperlink r:id="rId77" w:history="1">
        <w:r w:rsidRPr="00B2067F">
          <w:rPr>
            <w:rStyle w:val="Hyperlink"/>
          </w:rPr>
          <w:t>en</w:t>
        </w:r>
      </w:hyperlink>
      <w:r w:rsidRPr="00B2067F">
        <w:rPr>
          <w:rStyle w:val="Hyperlink"/>
        </w:rPr>
        <w:t xml:space="preserve"> este enlace</w:t>
      </w:r>
      <w:r w:rsidRPr="00B2067F">
        <w:t xml:space="preserve">. </w:t>
      </w:r>
    </w:p>
    <w:p w14:paraId="1E77AC16" w14:textId="77777777" w:rsidR="0077746C" w:rsidRPr="00B2067F" w:rsidRDefault="0077746C" w:rsidP="0077746C">
      <w:pPr>
        <w:pStyle w:val="Heading3"/>
      </w:pPr>
      <w:r w:rsidRPr="00B2067F">
        <w:t>8.7.2</w:t>
      </w:r>
      <w:r w:rsidRPr="00B2067F">
        <w:tab/>
        <w:t xml:space="preserve">Red de mujeres para la CMR-23 (#NOW4WRC23) </w:t>
      </w:r>
    </w:p>
    <w:p w14:paraId="7011886E" w14:textId="1E78E45C" w:rsidR="0077746C" w:rsidRPr="00B2067F" w:rsidRDefault="0077746C" w:rsidP="0077746C">
      <w:r w:rsidRPr="00B2067F">
        <w:t>Antes de la CMR-19, se lanzó la Red de mujeres para la CMR-19 de la UIT que se ha dedicado a promover a las mujeres en las radiocomunicaciones, las telecomunicaciones/TIC y los ámbitos conexos para ayudar al logro del Objetivo 5 de Desarrollo Sostenible de las Naciones Unidas sobre la igualdad de género. El objetivo de esta iniciativa era comenzar a crear capacidad y fomentar una mayor participación de mujeres en papeles clave, para que asistan a reuniones y conferencias como delegadas, presidentas o vicepresidentas, por ejemplo, y esforzarse en superar el umbral del 30 por ciento necesario para que se produzca un cambio real. Además, tiene como finalidad fomentar una mayor inclusión de género y asegurar que las mujeres delegadas asumen funciones clave en las futuras conferencias y eventos de radiocomunicaciones, y desarrolla</w:t>
      </w:r>
      <w:r w:rsidR="00CA17F7" w:rsidRPr="00B2067F">
        <w:t>r la comunidad de mujeres de la </w:t>
      </w:r>
      <w:r w:rsidRPr="00B2067F">
        <w:t>UIT, su capacidad y su contribución.</w:t>
      </w:r>
    </w:p>
    <w:p w14:paraId="6BABC5E4" w14:textId="77777777" w:rsidR="0077746C" w:rsidRPr="00B2067F" w:rsidRDefault="0077746C" w:rsidP="0077746C">
      <w:r w:rsidRPr="00B2067F">
        <w:t xml:space="preserve">Poco después de la última reunión del Grupo Especial sobre Cuestiones de Género (GTF) el 25 de noviembre de 2020, la </w:t>
      </w:r>
      <w:r w:rsidRPr="00B2067F">
        <w:rPr>
          <w:b/>
          <w:bCs/>
        </w:rPr>
        <w:t xml:space="preserve">Red de mujeres para la CMR-23 </w:t>
      </w:r>
      <w:r w:rsidRPr="00B2067F">
        <w:t xml:space="preserve">celebró su </w:t>
      </w:r>
      <w:hyperlink r:id="rId78" w:history="1">
        <w:r w:rsidRPr="00B2067F">
          <w:rPr>
            <w:rStyle w:val="Hyperlink"/>
          </w:rPr>
          <w:t>reunión de lanzamiento</w:t>
        </w:r>
      </w:hyperlink>
      <w:r w:rsidRPr="00B2067F">
        <w:t xml:space="preserve"> durante el Seminario Mundial de Radiocomunicaciones 2020 (SMR-20), el 30 de noviembre de 2020. Además, se han propuesto y confirmado todas las copresidentas regionales: CITEL, Jennifer Manner (Estados Unidos); CEPT, Amela Hatibovic-Sehic (Suecia); ASMG, Asma Al Mheiri (EAU) y Zeina Mokaddem (Inmarsat); APT, Ms. Zhu Keer (China); CRC (por confirmar); UAT, Aminata Niang Diagne (Senegal) y se han celebrado reuniones regionales de la iniciativa NOW4WRC23 junto con reuniones regionales (por ejemplo, ECC PT1, el 27 de octubre de 2021). </w:t>
      </w:r>
    </w:p>
    <w:p w14:paraId="37D3A541" w14:textId="0F300D01" w:rsidR="0077746C" w:rsidRPr="00B2067F" w:rsidRDefault="0077746C" w:rsidP="0077746C">
      <w:r w:rsidRPr="00B2067F">
        <w:t>El Grupo por Correspondencia sobre Cuestiones de Género del GAR apoyará y presentará contribuciones al trabajo en curso de la</w:t>
      </w:r>
      <w:r w:rsidR="004B693C">
        <w:t xml:space="preserve"> «</w:t>
      </w:r>
      <w:r w:rsidRPr="00B2067F">
        <w:rPr>
          <w:b/>
          <w:bCs/>
        </w:rPr>
        <w:t>Red de mujeres para la CMR-23</w:t>
      </w:r>
      <w:r w:rsidR="004B693C">
        <w:rPr>
          <w:b/>
          <w:bCs/>
        </w:rPr>
        <w:t>»</w:t>
      </w:r>
      <w:r w:rsidRPr="00B2067F">
        <w:rPr>
          <w:bCs/>
        </w:rPr>
        <w:t xml:space="preserve"> para mejorar y maximizar la eficacia de esta iniciativa. </w:t>
      </w:r>
    </w:p>
    <w:p w14:paraId="4D7777F8" w14:textId="77777777" w:rsidR="0077746C" w:rsidRPr="00B2067F" w:rsidRDefault="0077746C" w:rsidP="001F0BD7">
      <w:pPr>
        <w:pStyle w:val="Heading1"/>
      </w:pPr>
      <w:r w:rsidRPr="00B2067F">
        <w:lastRenderedPageBreak/>
        <w:t>9</w:t>
      </w:r>
      <w:r w:rsidRPr="00B2067F">
        <w:tab/>
        <w:t xml:space="preserve">Resto de acciones de seguimiento solicitadas por el GAR en su reunión de 2020 </w:t>
      </w:r>
    </w:p>
    <w:p w14:paraId="7B423843" w14:textId="77777777" w:rsidR="0077746C" w:rsidRPr="00B2067F" w:rsidRDefault="0077746C" w:rsidP="001F0BD7">
      <w:pPr>
        <w:keepNext/>
      </w:pPr>
      <w:r w:rsidRPr="00B2067F">
        <w:t xml:space="preserve">En respuesta a las solicitudes del GAR en su reunión de 2020, contenidas en el resumen de conclusiones (Circular Administrativa </w:t>
      </w:r>
      <w:hyperlink r:id="rId79" w:history="1">
        <w:r w:rsidRPr="00B2067F">
          <w:rPr>
            <w:rStyle w:val="Hyperlink"/>
          </w:rPr>
          <w:t>CA/252</w:t>
        </w:r>
      </w:hyperlink>
      <w:r w:rsidRPr="00B2067F">
        <w:t xml:space="preserve">), además de las actividades indicadas en las secciones anteriores, la BR ha llevado a cabo las acciones siguientes: </w:t>
      </w:r>
    </w:p>
    <w:p w14:paraId="36755402" w14:textId="0F37EC4B" w:rsidR="0077746C" w:rsidRPr="00B2067F" w:rsidRDefault="0077746C" w:rsidP="0077746C">
      <w:pPr>
        <w:pStyle w:val="Heading2"/>
      </w:pPr>
      <w:r w:rsidRPr="00B2067F">
        <w:t>9.1</w:t>
      </w:r>
      <w:r w:rsidRPr="00B2067F">
        <w:tab/>
        <w:t>Compendio de decisiones en sesión plenaria d</w:t>
      </w:r>
      <w:r w:rsidR="00CA17F7" w:rsidRPr="00B2067F">
        <w:t>e las CMR, que no figuran en el </w:t>
      </w:r>
      <w:r w:rsidRPr="00B2067F">
        <w:t xml:space="preserve">Reglamento de Radiocomunicaciones </w:t>
      </w:r>
    </w:p>
    <w:p w14:paraId="4E249955" w14:textId="0E3EA095" w:rsidR="0077746C" w:rsidRPr="00B2067F" w:rsidRDefault="0077746C" w:rsidP="0077746C">
      <w:r w:rsidRPr="00B2067F">
        <w:t xml:space="preserve">En el punto 4 del orden del día de la CA/252, el GAR tomó nota de que ya está disponible en el sitio web de la Junta del Reglamento </w:t>
      </w:r>
      <w:r w:rsidR="00B2067F">
        <w:t>de Radiocomunicaciones (RRB) un</w:t>
      </w:r>
      <w:r w:rsidRPr="00B2067F">
        <w:t xml:space="preserve"> </w:t>
      </w:r>
      <w:hyperlink r:id="rId80" w:history="1">
        <w:r w:rsidRPr="00B2067F">
          <w:rPr>
            <w:rStyle w:val="Hyperlink"/>
          </w:rPr>
          <w:t>compendio de decisiones en sesión plenaria de las CMR anteriores</w:t>
        </w:r>
      </w:hyperlink>
      <w:r w:rsidRPr="00B2067F">
        <w:t xml:space="preserve"> que no figuran en el Reglamento de </w:t>
      </w:r>
      <w:r w:rsidRPr="00B2067F">
        <w:rPr>
          <w:spacing w:val="-2"/>
        </w:rPr>
        <w:t>Radiocomunicaciones</w:t>
      </w:r>
      <w:r w:rsidRPr="00B2067F">
        <w:t xml:space="preserve">. Sin embargo, el GAR solicitó que se mostrase esta información de manera más destacada en el sitio web del UIT-R para facilitar su acceso a los Miembros. Se ha actualizado este documento para incluir las decisiones en sesión plenaria relevantes de la CMR-15 (véase la Carta Circular </w:t>
      </w:r>
      <w:hyperlink r:id="rId81" w:history="1">
        <w:r w:rsidRPr="00B2067F">
          <w:rPr>
            <w:rStyle w:val="Hyperlink"/>
          </w:rPr>
          <w:t>CR/389</w:t>
        </w:r>
      </w:hyperlink>
      <w:r w:rsidRPr="00B2067F">
        <w:t xml:space="preserve">), así como las decisiones en sesión plenaria de la CMR-19 (véase la Carta Circular </w:t>
      </w:r>
      <w:hyperlink r:id="rId82" w:history="1">
        <w:r w:rsidRPr="00B2067F">
          <w:rPr>
            <w:rStyle w:val="Hyperlink"/>
          </w:rPr>
          <w:t>CR/456)</w:t>
        </w:r>
      </w:hyperlink>
      <w:r w:rsidRPr="00B2067F">
        <w:t>, que complementan las decisiones en sesión plenaria de las CMR anteriores, desde 1995, ya incluidas en el documento. Además de la ubicación en el sitio web de la RRB, se han identificado otras ubicaciones en el sitio web del UIT-R donde figuran enlaces a este documento, como en las páginas web de la RPC y de las Comisiones de Estudio.</w:t>
      </w:r>
    </w:p>
    <w:p w14:paraId="6D1B2C17" w14:textId="67495DEE" w:rsidR="0077746C" w:rsidRPr="00B2067F" w:rsidRDefault="0077746C" w:rsidP="0077746C">
      <w:pPr>
        <w:pStyle w:val="Heading2"/>
      </w:pPr>
      <w:r w:rsidRPr="00B2067F">
        <w:t>9.2</w:t>
      </w:r>
      <w:r w:rsidRPr="00B2067F">
        <w:tab/>
        <w:t>Otras acciones llevadas a cabo por el Departamento</w:t>
      </w:r>
      <w:r w:rsidR="001F0BD7" w:rsidRPr="00B2067F">
        <w:t xml:space="preserve"> de Comisiones de Estudio de la </w:t>
      </w:r>
      <w:r w:rsidRPr="00B2067F">
        <w:t xml:space="preserve">BR </w:t>
      </w:r>
    </w:p>
    <w:p w14:paraId="467762DE" w14:textId="77777777" w:rsidR="0077746C" w:rsidRPr="00B2067F" w:rsidRDefault="0077746C" w:rsidP="0077746C">
      <w:r w:rsidRPr="00B2067F">
        <w:t xml:space="preserve">El Departamento de Comisiones de Estudio de la BR llevó a cabo las otras acciones solicitadas por el GAR en su reunión de 2020 y están descrita en la sección 9 del Addéndum 1 al presente documento. </w:t>
      </w:r>
    </w:p>
    <w:p w14:paraId="6D18C9DE" w14:textId="77777777" w:rsidR="0077746C" w:rsidRPr="00B2067F" w:rsidRDefault="0077746C" w:rsidP="0077746C">
      <w:pPr>
        <w:tabs>
          <w:tab w:val="clear" w:pos="794"/>
          <w:tab w:val="clear" w:pos="1191"/>
          <w:tab w:val="clear" w:pos="1588"/>
          <w:tab w:val="clear" w:pos="1985"/>
        </w:tabs>
        <w:overflowPunct/>
        <w:autoSpaceDE/>
        <w:autoSpaceDN/>
        <w:adjustRightInd/>
        <w:spacing w:before="0"/>
        <w:textAlignment w:val="auto"/>
      </w:pPr>
      <w:r w:rsidRPr="00B2067F">
        <w:br w:type="page"/>
      </w:r>
    </w:p>
    <w:p w14:paraId="6B054713" w14:textId="48A4E568" w:rsidR="0077746C" w:rsidRPr="00B2067F" w:rsidRDefault="0077746C" w:rsidP="001F0BD7">
      <w:pPr>
        <w:pStyle w:val="AnnexNotitle"/>
        <w:spacing w:after="240"/>
      </w:pPr>
      <w:r w:rsidRPr="00B2067F">
        <w:lastRenderedPageBreak/>
        <w:t>Anexo</w:t>
      </w:r>
      <w:r w:rsidRPr="00B2067F">
        <w:br/>
      </w:r>
      <w:r w:rsidRPr="00B2067F">
        <w:br/>
        <w:t>Propuesta de actualización de la sección del UIT-R del Anexo 2 de</w:t>
      </w:r>
      <w:r w:rsidRPr="00B2067F">
        <w:br/>
        <w:t>C14/INF/4 – Medidas y pr</w:t>
      </w:r>
      <w:r w:rsidR="001F0BD7" w:rsidRPr="00B2067F">
        <w:t>incipios para la interpretación</w:t>
      </w:r>
      <w:r w:rsidR="001F0BD7" w:rsidRPr="00B2067F">
        <w:br/>
      </w:r>
      <w:r w:rsidRPr="00B2067F">
        <w:t>y la traducción en la UIT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577"/>
        <w:gridCol w:w="580"/>
        <w:gridCol w:w="580"/>
        <w:gridCol w:w="572"/>
        <w:gridCol w:w="574"/>
        <w:gridCol w:w="580"/>
        <w:gridCol w:w="2837"/>
      </w:tblGrid>
      <w:tr w:rsidR="0077746C" w:rsidRPr="00B2067F" w14:paraId="383C3952" w14:textId="77777777" w:rsidTr="0077746C">
        <w:trPr>
          <w:cantSplit/>
          <w:tblHeader/>
        </w:trPr>
        <w:tc>
          <w:tcPr>
            <w:tcW w:w="3339" w:type="dxa"/>
            <w:tcBorders>
              <w:top w:val="single" w:sz="4" w:space="0" w:color="auto"/>
              <w:left w:val="single" w:sz="4" w:space="0" w:color="auto"/>
              <w:bottom w:val="nil"/>
              <w:right w:val="single" w:sz="4" w:space="0" w:color="auto"/>
            </w:tcBorders>
            <w:shd w:val="clear" w:color="auto" w:fill="E6E6E6"/>
            <w:hideMark/>
          </w:tcPr>
          <w:p w14:paraId="4484A6CD" w14:textId="77777777" w:rsidR="0077746C" w:rsidRPr="00B2067F" w:rsidRDefault="0077746C" w:rsidP="0077746C">
            <w:pPr>
              <w:pStyle w:val="Tablehead"/>
              <w:rPr>
                <w:sz w:val="20"/>
              </w:rPr>
            </w:pPr>
            <w:r w:rsidRPr="00B2067F">
              <w:rPr>
                <w:sz w:val="20"/>
              </w:rPr>
              <w:t>UIT-R</w:t>
            </w:r>
          </w:p>
        </w:tc>
        <w:tc>
          <w:tcPr>
            <w:tcW w:w="3463"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2FFFECE7" w14:textId="77777777" w:rsidR="0077746C" w:rsidRPr="00B2067F" w:rsidRDefault="0077746C" w:rsidP="0077746C">
            <w:pPr>
              <w:pStyle w:val="Tablehead"/>
              <w:rPr>
                <w:i/>
                <w:sz w:val="20"/>
              </w:rPr>
            </w:pPr>
            <w:r w:rsidRPr="00B2067F">
              <w:rPr>
                <w:i/>
                <w:sz w:val="20"/>
              </w:rPr>
              <w:t>Idiomas</w:t>
            </w:r>
          </w:p>
        </w:tc>
        <w:tc>
          <w:tcPr>
            <w:tcW w:w="2837" w:type="dxa"/>
            <w:tcBorders>
              <w:top w:val="single" w:sz="4" w:space="0" w:color="auto"/>
              <w:left w:val="single" w:sz="4" w:space="0" w:color="auto"/>
              <w:bottom w:val="single" w:sz="4" w:space="0" w:color="auto"/>
              <w:right w:val="single" w:sz="4" w:space="0" w:color="auto"/>
            </w:tcBorders>
            <w:shd w:val="clear" w:color="auto" w:fill="E6E6E6"/>
            <w:hideMark/>
          </w:tcPr>
          <w:p w14:paraId="08301903" w14:textId="77777777" w:rsidR="0077746C" w:rsidRPr="00B2067F" w:rsidRDefault="0077746C" w:rsidP="0077746C">
            <w:pPr>
              <w:pStyle w:val="Tablehead"/>
              <w:rPr>
                <w:i/>
                <w:sz w:val="20"/>
              </w:rPr>
            </w:pPr>
            <w:r w:rsidRPr="00B2067F">
              <w:rPr>
                <w:i/>
                <w:sz w:val="20"/>
              </w:rPr>
              <w:t>Observaciones</w:t>
            </w:r>
          </w:p>
        </w:tc>
      </w:tr>
      <w:tr w:rsidR="0077746C" w:rsidRPr="00B2067F" w14:paraId="4074FB1B" w14:textId="77777777" w:rsidTr="0077746C">
        <w:trPr>
          <w:tblHeader/>
        </w:trPr>
        <w:tc>
          <w:tcPr>
            <w:tcW w:w="3339" w:type="dxa"/>
            <w:tcBorders>
              <w:top w:val="nil"/>
              <w:left w:val="single" w:sz="4" w:space="0" w:color="auto"/>
              <w:bottom w:val="single" w:sz="4" w:space="0" w:color="auto"/>
              <w:right w:val="single" w:sz="4" w:space="0" w:color="auto"/>
            </w:tcBorders>
            <w:shd w:val="clear" w:color="auto" w:fill="E6E6E6"/>
          </w:tcPr>
          <w:p w14:paraId="796FBF39" w14:textId="77777777" w:rsidR="0077746C" w:rsidRPr="00B2067F" w:rsidRDefault="0077746C" w:rsidP="0077746C">
            <w:pPr>
              <w:pStyle w:val="Tablehead"/>
              <w:rPr>
                <w:sz w:val="20"/>
                <w:u w:val="single"/>
              </w:rPr>
            </w:pPr>
          </w:p>
        </w:tc>
        <w:tc>
          <w:tcPr>
            <w:tcW w:w="577" w:type="dxa"/>
            <w:tcBorders>
              <w:top w:val="single" w:sz="4" w:space="0" w:color="auto"/>
              <w:left w:val="single" w:sz="4" w:space="0" w:color="auto"/>
              <w:bottom w:val="single" w:sz="4" w:space="0" w:color="auto"/>
              <w:right w:val="single" w:sz="4" w:space="0" w:color="auto"/>
            </w:tcBorders>
            <w:shd w:val="clear" w:color="auto" w:fill="E6E6E6"/>
            <w:hideMark/>
          </w:tcPr>
          <w:p w14:paraId="4F07F600" w14:textId="77777777" w:rsidR="0077746C" w:rsidRPr="00B2067F" w:rsidRDefault="0077746C" w:rsidP="0077746C">
            <w:pPr>
              <w:pStyle w:val="Tablehead"/>
              <w:rPr>
                <w:sz w:val="20"/>
              </w:rPr>
            </w:pPr>
            <w:r w:rsidRPr="00B2067F">
              <w:rPr>
                <w:sz w:val="20"/>
              </w:rPr>
              <w:t>E</w:t>
            </w:r>
          </w:p>
        </w:tc>
        <w:tc>
          <w:tcPr>
            <w:tcW w:w="580" w:type="dxa"/>
            <w:tcBorders>
              <w:top w:val="single" w:sz="4" w:space="0" w:color="auto"/>
              <w:left w:val="single" w:sz="4" w:space="0" w:color="auto"/>
              <w:bottom w:val="single" w:sz="4" w:space="0" w:color="auto"/>
              <w:right w:val="single" w:sz="4" w:space="0" w:color="auto"/>
            </w:tcBorders>
            <w:shd w:val="clear" w:color="auto" w:fill="E6E6E6"/>
            <w:hideMark/>
          </w:tcPr>
          <w:p w14:paraId="7F75476C" w14:textId="77777777" w:rsidR="0077746C" w:rsidRPr="00B2067F" w:rsidRDefault="0077746C" w:rsidP="0077746C">
            <w:pPr>
              <w:pStyle w:val="Tablehead"/>
              <w:rPr>
                <w:sz w:val="20"/>
              </w:rPr>
            </w:pPr>
            <w:r w:rsidRPr="00B2067F">
              <w:rPr>
                <w:sz w:val="20"/>
              </w:rPr>
              <w:t>A</w:t>
            </w:r>
          </w:p>
        </w:tc>
        <w:tc>
          <w:tcPr>
            <w:tcW w:w="580" w:type="dxa"/>
            <w:tcBorders>
              <w:top w:val="single" w:sz="4" w:space="0" w:color="auto"/>
              <w:left w:val="single" w:sz="4" w:space="0" w:color="auto"/>
              <w:bottom w:val="single" w:sz="4" w:space="0" w:color="auto"/>
              <w:right w:val="single" w:sz="4" w:space="0" w:color="auto"/>
            </w:tcBorders>
            <w:shd w:val="clear" w:color="auto" w:fill="E6E6E6"/>
            <w:hideMark/>
          </w:tcPr>
          <w:p w14:paraId="5141E9E0" w14:textId="77777777" w:rsidR="0077746C" w:rsidRPr="00B2067F" w:rsidRDefault="0077746C" w:rsidP="0077746C">
            <w:pPr>
              <w:pStyle w:val="Tablehead"/>
              <w:rPr>
                <w:sz w:val="20"/>
              </w:rPr>
            </w:pPr>
            <w:r w:rsidRPr="00B2067F">
              <w:rPr>
                <w:sz w:val="20"/>
              </w:rPr>
              <w:t>C</w:t>
            </w:r>
          </w:p>
        </w:tc>
        <w:tc>
          <w:tcPr>
            <w:tcW w:w="572" w:type="dxa"/>
            <w:tcBorders>
              <w:top w:val="single" w:sz="4" w:space="0" w:color="auto"/>
              <w:left w:val="single" w:sz="4" w:space="0" w:color="auto"/>
              <w:bottom w:val="single" w:sz="4" w:space="0" w:color="auto"/>
              <w:right w:val="single" w:sz="4" w:space="0" w:color="auto"/>
            </w:tcBorders>
            <w:shd w:val="clear" w:color="auto" w:fill="E6E6E6"/>
            <w:hideMark/>
          </w:tcPr>
          <w:p w14:paraId="68B62917" w14:textId="77777777" w:rsidR="0077746C" w:rsidRPr="00B2067F" w:rsidRDefault="0077746C" w:rsidP="0077746C">
            <w:pPr>
              <w:pStyle w:val="Tablehead"/>
              <w:rPr>
                <w:sz w:val="20"/>
              </w:rPr>
            </w:pPr>
            <w:r w:rsidRPr="00B2067F">
              <w:rPr>
                <w:sz w:val="20"/>
              </w:rPr>
              <w:t>S</w:t>
            </w:r>
          </w:p>
        </w:tc>
        <w:tc>
          <w:tcPr>
            <w:tcW w:w="574" w:type="dxa"/>
            <w:tcBorders>
              <w:top w:val="single" w:sz="4" w:space="0" w:color="auto"/>
              <w:left w:val="single" w:sz="4" w:space="0" w:color="auto"/>
              <w:bottom w:val="single" w:sz="4" w:space="0" w:color="auto"/>
              <w:right w:val="single" w:sz="4" w:space="0" w:color="auto"/>
            </w:tcBorders>
            <w:shd w:val="clear" w:color="auto" w:fill="E6E6E6"/>
            <w:hideMark/>
          </w:tcPr>
          <w:p w14:paraId="2F5334B8" w14:textId="77777777" w:rsidR="0077746C" w:rsidRPr="00B2067F" w:rsidRDefault="0077746C" w:rsidP="0077746C">
            <w:pPr>
              <w:pStyle w:val="Tablehead"/>
              <w:rPr>
                <w:sz w:val="20"/>
              </w:rPr>
            </w:pPr>
            <w:r w:rsidRPr="00B2067F">
              <w:rPr>
                <w:sz w:val="20"/>
              </w:rPr>
              <w:t>F</w:t>
            </w:r>
          </w:p>
        </w:tc>
        <w:tc>
          <w:tcPr>
            <w:tcW w:w="580" w:type="dxa"/>
            <w:tcBorders>
              <w:top w:val="single" w:sz="4" w:space="0" w:color="auto"/>
              <w:left w:val="single" w:sz="4" w:space="0" w:color="auto"/>
              <w:bottom w:val="single" w:sz="4" w:space="0" w:color="auto"/>
              <w:right w:val="single" w:sz="4" w:space="0" w:color="auto"/>
            </w:tcBorders>
            <w:shd w:val="clear" w:color="auto" w:fill="E6E6E6"/>
            <w:hideMark/>
          </w:tcPr>
          <w:p w14:paraId="261A36C2" w14:textId="77777777" w:rsidR="0077746C" w:rsidRPr="00B2067F" w:rsidRDefault="0077746C" w:rsidP="0077746C">
            <w:pPr>
              <w:pStyle w:val="Tablehead"/>
              <w:rPr>
                <w:sz w:val="20"/>
              </w:rPr>
            </w:pPr>
            <w:r w:rsidRPr="00B2067F">
              <w:rPr>
                <w:sz w:val="20"/>
              </w:rPr>
              <w:t>R</w:t>
            </w:r>
          </w:p>
        </w:tc>
        <w:tc>
          <w:tcPr>
            <w:tcW w:w="2837" w:type="dxa"/>
            <w:tcBorders>
              <w:top w:val="single" w:sz="4" w:space="0" w:color="auto"/>
              <w:left w:val="single" w:sz="4" w:space="0" w:color="auto"/>
              <w:bottom w:val="single" w:sz="4" w:space="0" w:color="auto"/>
              <w:right w:val="single" w:sz="4" w:space="0" w:color="auto"/>
            </w:tcBorders>
            <w:shd w:val="clear" w:color="auto" w:fill="E6E6E6"/>
          </w:tcPr>
          <w:p w14:paraId="56B387FE" w14:textId="77777777" w:rsidR="0077746C" w:rsidRPr="00B2067F" w:rsidRDefault="0077746C" w:rsidP="0077746C">
            <w:pPr>
              <w:pStyle w:val="Tablehead"/>
              <w:rPr>
                <w:sz w:val="20"/>
              </w:rPr>
            </w:pPr>
          </w:p>
        </w:tc>
      </w:tr>
      <w:tr w:rsidR="0077746C" w:rsidRPr="00B2067F" w14:paraId="207221DF" w14:textId="77777777" w:rsidTr="0077746C">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62D220DC" w14:textId="7C987576" w:rsidR="0077746C" w:rsidRPr="00B2067F" w:rsidRDefault="00226EBF" w:rsidP="00226EBF">
            <w:pPr>
              <w:pStyle w:val="Tabletext"/>
              <w:ind w:left="284" w:hanging="284"/>
              <w:rPr>
                <w:b/>
                <w:bCs/>
                <w:sz w:val="20"/>
                <w:u w:val="single"/>
              </w:rPr>
            </w:pPr>
            <w:r w:rsidRPr="00B2067F">
              <w:rPr>
                <w:b/>
                <w:bCs/>
                <w:sz w:val="20"/>
                <w:u w:val="single"/>
              </w:rPr>
              <w:t>1.</w:t>
            </w:r>
            <w:r w:rsidRPr="00B2067F">
              <w:rPr>
                <w:b/>
                <w:bCs/>
                <w:sz w:val="20"/>
                <w:u w:val="single"/>
              </w:rPr>
              <w:tab/>
            </w:r>
            <w:r w:rsidR="0077746C" w:rsidRPr="00B2067F">
              <w:rPr>
                <w:b/>
                <w:bCs/>
                <w:sz w:val="20"/>
                <w:u w:val="single"/>
              </w:rPr>
              <w:t>Asamblea de Radiocomunicaciones</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324380E6"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62B4BD63"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4AD263E5"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044F155F" w14:textId="77777777" w:rsidR="0077746C" w:rsidRPr="00B2067F" w:rsidRDefault="0077746C" w:rsidP="0077746C">
            <w:pPr>
              <w:pStyle w:val="Tabletext"/>
              <w:jc w:val="center"/>
              <w:rPr>
                <w:sz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68F3946F"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639245A2"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7D86337C" w14:textId="77777777" w:rsidR="0077746C" w:rsidRPr="00B2067F" w:rsidRDefault="0077746C" w:rsidP="0077746C">
            <w:pPr>
              <w:pStyle w:val="Tabletext"/>
              <w:rPr>
                <w:sz w:val="20"/>
              </w:rPr>
            </w:pPr>
          </w:p>
        </w:tc>
      </w:tr>
      <w:tr w:rsidR="0077746C" w:rsidRPr="00B2067F" w14:paraId="1F7AD32E" w14:textId="77777777" w:rsidTr="0077746C">
        <w:tc>
          <w:tcPr>
            <w:tcW w:w="3339" w:type="dxa"/>
            <w:tcBorders>
              <w:top w:val="single" w:sz="4" w:space="0" w:color="auto"/>
              <w:left w:val="single" w:sz="4" w:space="0" w:color="auto"/>
              <w:bottom w:val="single" w:sz="4" w:space="0" w:color="auto"/>
              <w:right w:val="single" w:sz="4" w:space="0" w:color="auto"/>
            </w:tcBorders>
            <w:shd w:val="clear" w:color="auto" w:fill="FFFF00"/>
            <w:hideMark/>
          </w:tcPr>
          <w:p w14:paraId="558A2B5F" w14:textId="77777777" w:rsidR="0077746C" w:rsidRPr="00B2067F" w:rsidRDefault="0077746C" w:rsidP="0077746C">
            <w:pPr>
              <w:pStyle w:val="Tabletext"/>
              <w:rPr>
                <w:sz w:val="20"/>
              </w:rPr>
            </w:pPr>
            <w:r w:rsidRPr="00B2067F">
              <w:rPr>
                <w:sz w:val="20"/>
              </w:rPr>
              <w:t>Interpretación</w:t>
            </w:r>
          </w:p>
        </w:tc>
        <w:tc>
          <w:tcPr>
            <w:tcW w:w="577" w:type="dxa"/>
            <w:tcBorders>
              <w:top w:val="single" w:sz="4" w:space="0" w:color="auto"/>
              <w:left w:val="single" w:sz="4" w:space="0" w:color="auto"/>
              <w:bottom w:val="single" w:sz="4" w:space="0" w:color="auto"/>
              <w:right w:val="single" w:sz="4" w:space="0" w:color="auto"/>
            </w:tcBorders>
            <w:shd w:val="clear" w:color="auto" w:fill="FFFF00"/>
            <w:hideMark/>
          </w:tcPr>
          <w:p w14:paraId="30AEC0AB"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3B221BD7"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2692D808"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14:paraId="6A7664F9"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shd w:val="clear" w:color="auto" w:fill="FFFF00"/>
            <w:hideMark/>
          </w:tcPr>
          <w:p w14:paraId="5B0C9BE4"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0DC56833"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shd w:val="clear" w:color="auto" w:fill="FFFF00"/>
          </w:tcPr>
          <w:p w14:paraId="693B355B" w14:textId="77777777" w:rsidR="0077746C" w:rsidRPr="00B2067F" w:rsidRDefault="0077746C" w:rsidP="0077746C">
            <w:pPr>
              <w:pStyle w:val="Tabletext"/>
              <w:rPr>
                <w:sz w:val="20"/>
              </w:rPr>
            </w:pPr>
          </w:p>
        </w:tc>
      </w:tr>
      <w:tr w:rsidR="0077746C" w:rsidRPr="00B2067F" w14:paraId="6F4FBEC1"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46044D7F" w14:textId="77777777" w:rsidR="0077746C" w:rsidRPr="00B2067F" w:rsidRDefault="0077746C" w:rsidP="0077746C">
            <w:pPr>
              <w:pStyle w:val="Tabletext"/>
              <w:rPr>
                <w:sz w:val="20"/>
              </w:rPr>
            </w:pPr>
            <w:r w:rsidRPr="00B2067F">
              <w:rPr>
                <w:sz w:val="20"/>
              </w:rPr>
              <w:t>Contribuciones</w:t>
            </w:r>
          </w:p>
        </w:tc>
        <w:tc>
          <w:tcPr>
            <w:tcW w:w="577" w:type="dxa"/>
            <w:tcBorders>
              <w:top w:val="single" w:sz="4" w:space="0" w:color="auto"/>
              <w:left w:val="single" w:sz="4" w:space="0" w:color="auto"/>
              <w:bottom w:val="single" w:sz="4" w:space="0" w:color="auto"/>
              <w:right w:val="single" w:sz="4" w:space="0" w:color="auto"/>
            </w:tcBorders>
            <w:hideMark/>
          </w:tcPr>
          <w:p w14:paraId="2E1DED69"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D299AAD"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01FCE44"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6F38E45C"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749D9F92"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DFF9182"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307E109A" w14:textId="77777777" w:rsidR="0077746C" w:rsidRPr="00B2067F" w:rsidRDefault="0077746C" w:rsidP="0077746C">
            <w:pPr>
              <w:pStyle w:val="Tabletext"/>
              <w:rPr>
                <w:sz w:val="20"/>
              </w:rPr>
            </w:pPr>
          </w:p>
        </w:tc>
      </w:tr>
      <w:tr w:rsidR="0077746C" w:rsidRPr="00B2067F" w14:paraId="3D5966ED"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6155F802" w14:textId="77777777" w:rsidR="0077746C" w:rsidRPr="00B2067F" w:rsidRDefault="0077746C" w:rsidP="0077746C">
            <w:pPr>
              <w:pStyle w:val="Tabletext"/>
              <w:rPr>
                <w:sz w:val="20"/>
              </w:rPr>
            </w:pPr>
            <w:r w:rsidRPr="00B2067F">
              <w:rPr>
                <w:sz w:val="20"/>
              </w:rPr>
              <w:t xml:space="preserve">Serie 1000 </w:t>
            </w:r>
          </w:p>
        </w:tc>
        <w:tc>
          <w:tcPr>
            <w:tcW w:w="577" w:type="dxa"/>
            <w:tcBorders>
              <w:top w:val="single" w:sz="4" w:space="0" w:color="auto"/>
              <w:left w:val="single" w:sz="4" w:space="0" w:color="auto"/>
              <w:bottom w:val="single" w:sz="4" w:space="0" w:color="auto"/>
              <w:right w:val="single" w:sz="4" w:space="0" w:color="auto"/>
            </w:tcBorders>
            <w:hideMark/>
          </w:tcPr>
          <w:p w14:paraId="3A185558"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28EEB08"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FDB787C"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31A9FA13"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60EB7A40"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4BDD0CD"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4100235C" w14:textId="77777777" w:rsidR="0077746C" w:rsidRPr="00B2067F" w:rsidRDefault="0077746C" w:rsidP="0077746C">
            <w:pPr>
              <w:pStyle w:val="Tabletext"/>
              <w:rPr>
                <w:sz w:val="20"/>
              </w:rPr>
            </w:pPr>
          </w:p>
        </w:tc>
      </w:tr>
      <w:tr w:rsidR="0077746C" w:rsidRPr="00B2067F" w14:paraId="113ED889"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29CE5828" w14:textId="77777777" w:rsidR="0077746C" w:rsidRPr="00B2067F" w:rsidRDefault="0077746C" w:rsidP="0077746C">
            <w:pPr>
              <w:pStyle w:val="Tabletext"/>
              <w:rPr>
                <w:sz w:val="20"/>
              </w:rPr>
            </w:pPr>
            <w:r w:rsidRPr="00B2067F">
              <w:rPr>
                <w:sz w:val="20"/>
              </w:rPr>
              <w:t>Órdenes del día</w:t>
            </w:r>
          </w:p>
        </w:tc>
        <w:tc>
          <w:tcPr>
            <w:tcW w:w="577" w:type="dxa"/>
            <w:tcBorders>
              <w:top w:val="single" w:sz="4" w:space="0" w:color="auto"/>
              <w:left w:val="single" w:sz="4" w:space="0" w:color="auto"/>
              <w:bottom w:val="single" w:sz="4" w:space="0" w:color="auto"/>
              <w:right w:val="single" w:sz="4" w:space="0" w:color="auto"/>
            </w:tcBorders>
            <w:hideMark/>
          </w:tcPr>
          <w:p w14:paraId="6C18CA00"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0E0A492E"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3BA621D5"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6F6CC417"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3AAB8CC8"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6244BA2F"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01A77BA3" w14:textId="77777777" w:rsidR="0077746C" w:rsidRPr="00B2067F" w:rsidRDefault="0077746C" w:rsidP="0077746C">
            <w:pPr>
              <w:pStyle w:val="Tabletext"/>
              <w:rPr>
                <w:sz w:val="20"/>
              </w:rPr>
            </w:pPr>
          </w:p>
        </w:tc>
      </w:tr>
      <w:tr w:rsidR="0077746C" w:rsidRPr="00B2067F" w14:paraId="6CDF6759"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3305BBB7" w14:textId="77777777" w:rsidR="0077746C" w:rsidRPr="00B2067F" w:rsidRDefault="0077746C" w:rsidP="0077746C">
            <w:pPr>
              <w:pStyle w:val="Tabletext"/>
              <w:rPr>
                <w:sz w:val="20"/>
              </w:rPr>
            </w:pPr>
            <w:r w:rsidRPr="00B2067F">
              <w:rPr>
                <w:sz w:val="20"/>
              </w:rPr>
              <w:t>Documentos informativos</w:t>
            </w:r>
          </w:p>
        </w:tc>
        <w:tc>
          <w:tcPr>
            <w:tcW w:w="577" w:type="dxa"/>
            <w:tcBorders>
              <w:top w:val="single" w:sz="4" w:space="0" w:color="auto"/>
              <w:left w:val="single" w:sz="4" w:space="0" w:color="auto"/>
              <w:bottom w:val="single" w:sz="4" w:space="0" w:color="auto"/>
              <w:right w:val="single" w:sz="4" w:space="0" w:color="auto"/>
            </w:tcBorders>
            <w:hideMark/>
          </w:tcPr>
          <w:p w14:paraId="7DFF2671" w14:textId="77777777" w:rsidR="0077746C" w:rsidRPr="00B2067F" w:rsidRDefault="0077746C" w:rsidP="0077746C">
            <w:pPr>
              <w:pStyle w:val="Tabletext"/>
              <w:jc w:val="center"/>
              <w:rPr>
                <w:color w:val="FF0000"/>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072C622" w14:textId="77777777" w:rsidR="0077746C" w:rsidRPr="00B2067F" w:rsidRDefault="0077746C" w:rsidP="0077746C">
            <w:pPr>
              <w:pStyle w:val="Tabletext"/>
              <w:jc w:val="center"/>
              <w:rPr>
                <w:color w:val="FF0000"/>
                <w:sz w:val="20"/>
                <w:u w:val="single"/>
              </w:rPr>
            </w:pPr>
            <w:r w:rsidRPr="00B2067F">
              <w:rPr>
                <w:color w:val="FF0000"/>
                <w:sz w:val="20"/>
                <w:u w:val="single"/>
              </w:rPr>
              <w:t>x</w:t>
            </w:r>
          </w:p>
        </w:tc>
        <w:tc>
          <w:tcPr>
            <w:tcW w:w="580" w:type="dxa"/>
            <w:tcBorders>
              <w:top w:val="single" w:sz="4" w:space="0" w:color="auto"/>
              <w:left w:val="single" w:sz="4" w:space="0" w:color="auto"/>
              <w:bottom w:val="single" w:sz="4" w:space="0" w:color="auto"/>
              <w:right w:val="single" w:sz="4" w:space="0" w:color="auto"/>
            </w:tcBorders>
            <w:hideMark/>
          </w:tcPr>
          <w:p w14:paraId="0E27D900" w14:textId="77777777" w:rsidR="0077746C" w:rsidRPr="00B2067F" w:rsidRDefault="0077746C" w:rsidP="0077746C">
            <w:pPr>
              <w:pStyle w:val="Tabletext"/>
              <w:jc w:val="center"/>
              <w:rPr>
                <w:color w:val="FF0000"/>
                <w:sz w:val="20"/>
                <w:u w:val="single"/>
              </w:rPr>
            </w:pPr>
            <w:r w:rsidRPr="00B2067F">
              <w:rPr>
                <w:color w:val="FF0000"/>
                <w:sz w:val="20"/>
                <w:u w:val="single"/>
              </w:rPr>
              <w:t>x</w:t>
            </w:r>
          </w:p>
        </w:tc>
        <w:tc>
          <w:tcPr>
            <w:tcW w:w="572" w:type="dxa"/>
            <w:tcBorders>
              <w:top w:val="single" w:sz="4" w:space="0" w:color="auto"/>
              <w:left w:val="single" w:sz="4" w:space="0" w:color="auto"/>
              <w:bottom w:val="single" w:sz="4" w:space="0" w:color="auto"/>
              <w:right w:val="single" w:sz="4" w:space="0" w:color="auto"/>
            </w:tcBorders>
            <w:hideMark/>
          </w:tcPr>
          <w:p w14:paraId="29BC95E4" w14:textId="77777777" w:rsidR="0077746C" w:rsidRPr="00B2067F" w:rsidRDefault="0077746C" w:rsidP="0077746C">
            <w:pPr>
              <w:pStyle w:val="Tabletext"/>
              <w:jc w:val="center"/>
              <w:rPr>
                <w:color w:val="FF0000"/>
                <w:sz w:val="20"/>
                <w:u w:val="single"/>
              </w:rPr>
            </w:pPr>
            <w:r w:rsidRPr="00B2067F">
              <w:rPr>
                <w:color w:val="FF0000"/>
                <w:sz w:val="20"/>
                <w:u w:val="single"/>
              </w:rPr>
              <w:t>x</w:t>
            </w:r>
          </w:p>
        </w:tc>
        <w:tc>
          <w:tcPr>
            <w:tcW w:w="574" w:type="dxa"/>
            <w:tcBorders>
              <w:top w:val="single" w:sz="4" w:space="0" w:color="auto"/>
              <w:left w:val="single" w:sz="4" w:space="0" w:color="auto"/>
              <w:bottom w:val="single" w:sz="4" w:space="0" w:color="auto"/>
              <w:right w:val="single" w:sz="4" w:space="0" w:color="auto"/>
            </w:tcBorders>
            <w:hideMark/>
          </w:tcPr>
          <w:p w14:paraId="42CF0AD8" w14:textId="77777777" w:rsidR="0077746C" w:rsidRPr="00B2067F" w:rsidRDefault="0077746C" w:rsidP="0077746C">
            <w:pPr>
              <w:pStyle w:val="Tabletext"/>
              <w:jc w:val="center"/>
              <w:rPr>
                <w:color w:val="FF0000"/>
                <w:sz w:val="20"/>
                <w:u w:val="single"/>
              </w:rPr>
            </w:pPr>
            <w:r w:rsidRPr="00B2067F">
              <w:rPr>
                <w:color w:val="FF0000"/>
                <w:sz w:val="20"/>
                <w:u w:val="single"/>
              </w:rPr>
              <w:t>x</w:t>
            </w:r>
          </w:p>
        </w:tc>
        <w:tc>
          <w:tcPr>
            <w:tcW w:w="580" w:type="dxa"/>
            <w:tcBorders>
              <w:top w:val="single" w:sz="4" w:space="0" w:color="auto"/>
              <w:left w:val="single" w:sz="4" w:space="0" w:color="auto"/>
              <w:bottom w:val="single" w:sz="4" w:space="0" w:color="auto"/>
              <w:right w:val="single" w:sz="4" w:space="0" w:color="auto"/>
            </w:tcBorders>
            <w:hideMark/>
          </w:tcPr>
          <w:p w14:paraId="1BDFD118" w14:textId="77777777" w:rsidR="0077746C" w:rsidRPr="00B2067F" w:rsidRDefault="0077746C" w:rsidP="0077746C">
            <w:pPr>
              <w:pStyle w:val="Tabletext"/>
              <w:jc w:val="center"/>
              <w:rPr>
                <w:color w:val="FF0000"/>
                <w:sz w:val="20"/>
                <w:u w:val="single"/>
              </w:rPr>
            </w:pPr>
            <w:r w:rsidRPr="00B2067F">
              <w:rPr>
                <w:color w:val="FF0000"/>
                <w:sz w:val="20"/>
                <w:u w:val="single"/>
              </w:rPr>
              <w:t>x</w:t>
            </w:r>
          </w:p>
        </w:tc>
        <w:tc>
          <w:tcPr>
            <w:tcW w:w="2837" w:type="dxa"/>
            <w:tcBorders>
              <w:top w:val="single" w:sz="4" w:space="0" w:color="auto"/>
              <w:left w:val="single" w:sz="4" w:space="0" w:color="auto"/>
              <w:bottom w:val="single" w:sz="4" w:space="0" w:color="auto"/>
              <w:right w:val="single" w:sz="4" w:space="0" w:color="auto"/>
            </w:tcBorders>
            <w:hideMark/>
          </w:tcPr>
          <w:p w14:paraId="74654A46" w14:textId="77777777" w:rsidR="0077746C" w:rsidRPr="00B2067F" w:rsidRDefault="0077746C" w:rsidP="0077746C">
            <w:pPr>
              <w:pStyle w:val="Tabletext"/>
              <w:rPr>
                <w:color w:val="FF0000"/>
                <w:sz w:val="20"/>
                <w:u w:val="single"/>
              </w:rPr>
            </w:pPr>
            <w:r w:rsidRPr="00B2067F">
              <w:rPr>
                <w:color w:val="FF0000"/>
                <w:sz w:val="20"/>
                <w:u w:val="single"/>
              </w:rPr>
              <w:t>Depende del contenido</w:t>
            </w:r>
          </w:p>
        </w:tc>
      </w:tr>
      <w:tr w:rsidR="0077746C" w:rsidRPr="00B2067F" w14:paraId="48A6F457"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518CAE5A" w14:textId="77777777" w:rsidR="0077746C" w:rsidRPr="00B2067F" w:rsidRDefault="0077746C" w:rsidP="0077746C">
            <w:pPr>
              <w:pStyle w:val="Tabletext"/>
              <w:rPr>
                <w:sz w:val="20"/>
              </w:rPr>
            </w:pPr>
            <w:r w:rsidRPr="00B2067F">
              <w:rPr>
                <w:sz w:val="20"/>
              </w:rPr>
              <w:t>Listas de participantes</w:t>
            </w:r>
          </w:p>
        </w:tc>
        <w:tc>
          <w:tcPr>
            <w:tcW w:w="577" w:type="dxa"/>
            <w:tcBorders>
              <w:top w:val="single" w:sz="4" w:space="0" w:color="auto"/>
              <w:left w:val="single" w:sz="4" w:space="0" w:color="auto"/>
              <w:bottom w:val="single" w:sz="4" w:space="0" w:color="auto"/>
              <w:right w:val="single" w:sz="4" w:space="0" w:color="auto"/>
            </w:tcBorders>
            <w:hideMark/>
          </w:tcPr>
          <w:p w14:paraId="1D0997A0"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tcPr>
          <w:p w14:paraId="140AA24E"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tcPr>
          <w:p w14:paraId="77014141"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tcPr>
          <w:p w14:paraId="0631604A" w14:textId="77777777" w:rsidR="0077746C" w:rsidRPr="00B2067F" w:rsidRDefault="0077746C" w:rsidP="0077746C">
            <w:pPr>
              <w:pStyle w:val="Tabletext"/>
              <w:jc w:val="center"/>
              <w:rPr>
                <w:sz w:val="20"/>
              </w:rPr>
            </w:pPr>
          </w:p>
        </w:tc>
        <w:tc>
          <w:tcPr>
            <w:tcW w:w="574" w:type="dxa"/>
            <w:tcBorders>
              <w:top w:val="single" w:sz="4" w:space="0" w:color="auto"/>
              <w:left w:val="single" w:sz="4" w:space="0" w:color="auto"/>
              <w:bottom w:val="single" w:sz="4" w:space="0" w:color="auto"/>
              <w:right w:val="single" w:sz="4" w:space="0" w:color="auto"/>
            </w:tcBorders>
          </w:tcPr>
          <w:p w14:paraId="2F47AC28"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tcPr>
          <w:p w14:paraId="6BA459FD"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tcPr>
          <w:p w14:paraId="1B1D287D" w14:textId="77777777" w:rsidR="0077746C" w:rsidRPr="00B2067F" w:rsidRDefault="0077746C" w:rsidP="0077746C">
            <w:pPr>
              <w:pStyle w:val="Tabletext"/>
              <w:rPr>
                <w:sz w:val="20"/>
              </w:rPr>
            </w:pPr>
          </w:p>
        </w:tc>
      </w:tr>
      <w:tr w:rsidR="0077746C" w:rsidRPr="00B2067F" w14:paraId="580B815A"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47F87889" w14:textId="77777777" w:rsidR="0077746C" w:rsidRPr="00B2067F" w:rsidRDefault="0077746C" w:rsidP="0077746C">
            <w:pPr>
              <w:pStyle w:val="Tabletext"/>
              <w:rPr>
                <w:sz w:val="20"/>
              </w:rPr>
            </w:pPr>
            <w:r w:rsidRPr="00B2067F">
              <w:rPr>
                <w:sz w:val="20"/>
              </w:rPr>
              <w:t>Resoluciones</w:t>
            </w:r>
          </w:p>
        </w:tc>
        <w:tc>
          <w:tcPr>
            <w:tcW w:w="577" w:type="dxa"/>
            <w:tcBorders>
              <w:top w:val="single" w:sz="4" w:space="0" w:color="auto"/>
              <w:left w:val="single" w:sz="4" w:space="0" w:color="auto"/>
              <w:bottom w:val="single" w:sz="4" w:space="0" w:color="auto"/>
              <w:right w:val="single" w:sz="4" w:space="0" w:color="auto"/>
            </w:tcBorders>
            <w:hideMark/>
          </w:tcPr>
          <w:p w14:paraId="2234EBD3"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6347BF23"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27C987A"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10F25657"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3BE70F2A"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2A3D83A5"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14F00C10" w14:textId="77777777" w:rsidR="0077746C" w:rsidRPr="00B2067F" w:rsidRDefault="0077746C" w:rsidP="0077746C">
            <w:pPr>
              <w:pStyle w:val="Tabletext"/>
              <w:rPr>
                <w:sz w:val="20"/>
              </w:rPr>
            </w:pPr>
          </w:p>
        </w:tc>
      </w:tr>
      <w:tr w:rsidR="0077746C" w:rsidRPr="00B2067F" w14:paraId="0244225B" w14:textId="77777777" w:rsidTr="0077746C">
        <w:trPr>
          <w:cantSplit/>
        </w:trPr>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4C6E34BC" w14:textId="26D2C945" w:rsidR="0077746C" w:rsidRPr="00B2067F" w:rsidRDefault="00226EBF" w:rsidP="0077746C">
            <w:pPr>
              <w:pStyle w:val="Tabletext"/>
              <w:rPr>
                <w:b/>
                <w:bCs/>
                <w:sz w:val="20"/>
                <w:u w:val="single"/>
              </w:rPr>
            </w:pPr>
            <w:r w:rsidRPr="00B2067F">
              <w:rPr>
                <w:b/>
                <w:bCs/>
                <w:sz w:val="20"/>
                <w:u w:val="single"/>
              </w:rPr>
              <w:t>2.</w:t>
            </w:r>
            <w:r w:rsidRPr="00B2067F">
              <w:rPr>
                <w:b/>
                <w:bCs/>
                <w:sz w:val="20"/>
                <w:u w:val="single"/>
              </w:rPr>
              <w:tab/>
            </w:r>
            <w:r w:rsidR="0077746C" w:rsidRPr="00B2067F">
              <w:rPr>
                <w:b/>
                <w:bCs/>
                <w:sz w:val="20"/>
                <w:u w:val="single"/>
              </w:rPr>
              <w:t>CMR</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3AE9DE5F"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3904C6B1"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07474886"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54B5F673" w14:textId="77777777" w:rsidR="0077746C" w:rsidRPr="00B2067F" w:rsidRDefault="0077746C" w:rsidP="0077746C">
            <w:pPr>
              <w:pStyle w:val="Tabletext"/>
              <w:jc w:val="center"/>
              <w:rPr>
                <w:sz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63BC7556"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4FEE6318"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075C7D6B" w14:textId="77777777" w:rsidR="0077746C" w:rsidRPr="00B2067F" w:rsidRDefault="0077746C" w:rsidP="0077746C">
            <w:pPr>
              <w:pStyle w:val="Tabletext"/>
              <w:rPr>
                <w:sz w:val="20"/>
              </w:rPr>
            </w:pPr>
          </w:p>
        </w:tc>
      </w:tr>
      <w:tr w:rsidR="0077746C" w:rsidRPr="00B2067F" w14:paraId="6325F46C" w14:textId="77777777" w:rsidTr="0077746C">
        <w:trPr>
          <w:cantSplit/>
          <w:trHeight w:val="315"/>
        </w:trPr>
        <w:tc>
          <w:tcPr>
            <w:tcW w:w="3339" w:type="dxa"/>
            <w:tcBorders>
              <w:top w:val="single" w:sz="4" w:space="0" w:color="auto"/>
              <w:left w:val="single" w:sz="4" w:space="0" w:color="auto"/>
              <w:bottom w:val="single" w:sz="4" w:space="0" w:color="auto"/>
              <w:right w:val="single" w:sz="4" w:space="0" w:color="auto"/>
            </w:tcBorders>
            <w:shd w:val="clear" w:color="auto" w:fill="FFFF00"/>
            <w:hideMark/>
          </w:tcPr>
          <w:p w14:paraId="0AE69E2E" w14:textId="77777777" w:rsidR="0077746C" w:rsidRPr="00B2067F" w:rsidRDefault="0077746C" w:rsidP="0077746C">
            <w:pPr>
              <w:pStyle w:val="Tabletext"/>
              <w:rPr>
                <w:sz w:val="20"/>
              </w:rPr>
            </w:pPr>
            <w:r w:rsidRPr="00B2067F">
              <w:rPr>
                <w:sz w:val="20"/>
              </w:rPr>
              <w:t>Interpretación</w:t>
            </w:r>
          </w:p>
        </w:tc>
        <w:tc>
          <w:tcPr>
            <w:tcW w:w="577" w:type="dxa"/>
            <w:tcBorders>
              <w:top w:val="single" w:sz="4" w:space="0" w:color="auto"/>
              <w:left w:val="single" w:sz="4" w:space="0" w:color="auto"/>
              <w:bottom w:val="single" w:sz="4" w:space="0" w:color="auto"/>
              <w:right w:val="single" w:sz="4" w:space="0" w:color="auto"/>
            </w:tcBorders>
            <w:shd w:val="clear" w:color="auto" w:fill="FFFF00"/>
            <w:hideMark/>
          </w:tcPr>
          <w:p w14:paraId="4C4F0921"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0F1E0D3A"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0EEE10E3"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14:paraId="5E0A8B63"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shd w:val="clear" w:color="auto" w:fill="FFFF00"/>
            <w:hideMark/>
          </w:tcPr>
          <w:p w14:paraId="55923446"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64EC3D11"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shd w:val="clear" w:color="auto" w:fill="FFFF00"/>
          </w:tcPr>
          <w:p w14:paraId="55EF94A2" w14:textId="77777777" w:rsidR="0077746C" w:rsidRPr="00B2067F" w:rsidRDefault="0077746C" w:rsidP="0077746C">
            <w:pPr>
              <w:pStyle w:val="Tabletext"/>
              <w:rPr>
                <w:sz w:val="20"/>
              </w:rPr>
            </w:pPr>
          </w:p>
        </w:tc>
      </w:tr>
      <w:tr w:rsidR="0077746C" w:rsidRPr="00B2067F" w14:paraId="431692C1"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421ED0D0" w14:textId="77777777" w:rsidR="0077746C" w:rsidRPr="00B2067F" w:rsidRDefault="0077746C" w:rsidP="0077746C">
            <w:pPr>
              <w:pStyle w:val="Tabletext"/>
              <w:rPr>
                <w:sz w:val="20"/>
              </w:rPr>
            </w:pPr>
            <w:r w:rsidRPr="00B2067F">
              <w:rPr>
                <w:sz w:val="20"/>
              </w:rPr>
              <w:t>Orden del día de la Conferencia</w:t>
            </w:r>
          </w:p>
        </w:tc>
        <w:tc>
          <w:tcPr>
            <w:tcW w:w="577" w:type="dxa"/>
            <w:tcBorders>
              <w:top w:val="single" w:sz="4" w:space="0" w:color="auto"/>
              <w:left w:val="single" w:sz="4" w:space="0" w:color="auto"/>
              <w:bottom w:val="single" w:sz="4" w:space="0" w:color="auto"/>
              <w:right w:val="single" w:sz="4" w:space="0" w:color="auto"/>
            </w:tcBorders>
            <w:hideMark/>
          </w:tcPr>
          <w:p w14:paraId="333DA5E3"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F11C5A3"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7D7E5B1"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40938B39"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7750CDF7"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71FA68C6"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2E927170" w14:textId="77777777" w:rsidR="0077746C" w:rsidRPr="00B2067F" w:rsidRDefault="0077746C" w:rsidP="0077746C">
            <w:pPr>
              <w:pStyle w:val="Tabletext"/>
              <w:rPr>
                <w:sz w:val="20"/>
              </w:rPr>
            </w:pPr>
          </w:p>
        </w:tc>
      </w:tr>
      <w:tr w:rsidR="0077746C" w:rsidRPr="00B2067F" w14:paraId="67B1A29B"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5408D160" w14:textId="77777777" w:rsidR="0077746C" w:rsidRPr="00B2067F" w:rsidRDefault="0077746C" w:rsidP="0077746C">
            <w:pPr>
              <w:pStyle w:val="Tabletext"/>
              <w:rPr>
                <w:sz w:val="20"/>
              </w:rPr>
            </w:pPr>
            <w:r w:rsidRPr="00B2067F">
              <w:rPr>
                <w:sz w:val="20"/>
              </w:rPr>
              <w:t>Informes/contribuciones/propuestas</w:t>
            </w:r>
          </w:p>
        </w:tc>
        <w:tc>
          <w:tcPr>
            <w:tcW w:w="577" w:type="dxa"/>
            <w:tcBorders>
              <w:top w:val="single" w:sz="4" w:space="0" w:color="auto"/>
              <w:left w:val="single" w:sz="4" w:space="0" w:color="auto"/>
              <w:bottom w:val="single" w:sz="4" w:space="0" w:color="auto"/>
              <w:right w:val="single" w:sz="4" w:space="0" w:color="auto"/>
            </w:tcBorders>
            <w:hideMark/>
          </w:tcPr>
          <w:p w14:paraId="715532DA"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6C8CD35F"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7195DF37"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1DA13CFD"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4DAD8110"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143D23C6"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0892180F" w14:textId="77777777" w:rsidR="0077746C" w:rsidRPr="00B2067F" w:rsidRDefault="0077746C" w:rsidP="0077746C">
            <w:pPr>
              <w:pStyle w:val="Tabletext"/>
              <w:rPr>
                <w:sz w:val="20"/>
              </w:rPr>
            </w:pPr>
          </w:p>
        </w:tc>
      </w:tr>
      <w:tr w:rsidR="0077746C" w:rsidRPr="00B2067F" w14:paraId="134EE993"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24B80620" w14:textId="77BA1FF3" w:rsidR="0077746C" w:rsidRPr="00B2067F" w:rsidRDefault="0077746C" w:rsidP="0077746C">
            <w:pPr>
              <w:pStyle w:val="Tabletext"/>
              <w:rPr>
                <w:sz w:val="20"/>
              </w:rPr>
            </w:pPr>
            <w:r w:rsidRPr="00B2067F">
              <w:rPr>
                <w:sz w:val="20"/>
              </w:rPr>
              <w:t>Do</w:t>
            </w:r>
            <w:r w:rsidR="00B2067F">
              <w:rPr>
                <w:sz w:val="20"/>
              </w:rPr>
              <w:t>cumentos de trabajo/temporales</w:t>
            </w:r>
          </w:p>
        </w:tc>
        <w:tc>
          <w:tcPr>
            <w:tcW w:w="577" w:type="dxa"/>
            <w:tcBorders>
              <w:top w:val="single" w:sz="4" w:space="0" w:color="auto"/>
              <w:left w:val="single" w:sz="4" w:space="0" w:color="auto"/>
              <w:bottom w:val="single" w:sz="4" w:space="0" w:color="auto"/>
              <w:right w:val="single" w:sz="4" w:space="0" w:color="auto"/>
            </w:tcBorders>
            <w:hideMark/>
          </w:tcPr>
          <w:p w14:paraId="42CFD018"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396EF3B9"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7088D33A"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4C1C3BCD"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722EF851"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0EF93B42"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0A6301F6" w14:textId="77777777" w:rsidR="0077746C" w:rsidRPr="00B2067F" w:rsidRDefault="0077746C" w:rsidP="0077746C">
            <w:pPr>
              <w:pStyle w:val="Tabletext"/>
              <w:rPr>
                <w:sz w:val="20"/>
              </w:rPr>
            </w:pPr>
          </w:p>
        </w:tc>
      </w:tr>
      <w:tr w:rsidR="0077746C" w:rsidRPr="00B2067F" w14:paraId="2F3B0FEB"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55637083" w14:textId="77777777" w:rsidR="0077746C" w:rsidRPr="00B2067F" w:rsidRDefault="0077746C" w:rsidP="0077746C">
            <w:pPr>
              <w:pStyle w:val="Tabletext"/>
              <w:rPr>
                <w:sz w:val="20"/>
              </w:rPr>
            </w:pPr>
            <w:r w:rsidRPr="00B2067F">
              <w:rPr>
                <w:sz w:val="20"/>
              </w:rPr>
              <w:t>Órdenes del día diarias</w:t>
            </w:r>
          </w:p>
        </w:tc>
        <w:tc>
          <w:tcPr>
            <w:tcW w:w="577" w:type="dxa"/>
            <w:tcBorders>
              <w:top w:val="single" w:sz="4" w:space="0" w:color="auto"/>
              <w:left w:val="single" w:sz="4" w:space="0" w:color="auto"/>
              <w:bottom w:val="single" w:sz="4" w:space="0" w:color="auto"/>
              <w:right w:val="single" w:sz="4" w:space="0" w:color="auto"/>
            </w:tcBorders>
            <w:hideMark/>
          </w:tcPr>
          <w:p w14:paraId="62E02FB3"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D92C543"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12A67003"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1623E04F"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7960F988"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1851D783"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16C56EDF" w14:textId="77777777" w:rsidR="0077746C" w:rsidRPr="00B2067F" w:rsidRDefault="0077746C" w:rsidP="0077746C">
            <w:pPr>
              <w:pStyle w:val="Tabletext"/>
              <w:rPr>
                <w:sz w:val="20"/>
              </w:rPr>
            </w:pPr>
          </w:p>
        </w:tc>
      </w:tr>
      <w:tr w:rsidR="0077746C" w:rsidRPr="00B2067F" w14:paraId="2347179F"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07DE78FA" w14:textId="77777777" w:rsidR="0077746C" w:rsidRPr="00B2067F" w:rsidRDefault="0077746C" w:rsidP="0077746C">
            <w:pPr>
              <w:pStyle w:val="Tabletext"/>
              <w:rPr>
                <w:sz w:val="20"/>
              </w:rPr>
            </w:pPr>
            <w:r w:rsidRPr="00B2067F">
              <w:rPr>
                <w:sz w:val="20"/>
              </w:rPr>
              <w:t xml:space="preserve">Documentos administrativos </w:t>
            </w:r>
          </w:p>
        </w:tc>
        <w:tc>
          <w:tcPr>
            <w:tcW w:w="577" w:type="dxa"/>
            <w:tcBorders>
              <w:top w:val="single" w:sz="4" w:space="0" w:color="auto"/>
              <w:left w:val="single" w:sz="4" w:space="0" w:color="auto"/>
              <w:bottom w:val="single" w:sz="4" w:space="0" w:color="auto"/>
              <w:right w:val="single" w:sz="4" w:space="0" w:color="auto"/>
            </w:tcBorders>
            <w:hideMark/>
          </w:tcPr>
          <w:p w14:paraId="7CD3B0AF"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602E2DAC"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669B0250"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63B4A74E"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248338EC"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92B8A8D"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766F34BC" w14:textId="77777777" w:rsidR="0077746C" w:rsidRPr="00B2067F" w:rsidRDefault="0077746C" w:rsidP="0077746C">
            <w:pPr>
              <w:pStyle w:val="Tabletext"/>
              <w:rPr>
                <w:sz w:val="20"/>
              </w:rPr>
            </w:pPr>
          </w:p>
        </w:tc>
      </w:tr>
      <w:tr w:rsidR="0077746C" w:rsidRPr="00B2067F" w14:paraId="2491903F"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7961E408" w14:textId="77777777" w:rsidR="0077746C" w:rsidRPr="00B2067F" w:rsidRDefault="0077746C" w:rsidP="0077746C">
            <w:pPr>
              <w:pStyle w:val="Tabletext"/>
              <w:rPr>
                <w:sz w:val="20"/>
              </w:rPr>
            </w:pPr>
            <w:r w:rsidRPr="00B2067F">
              <w:rPr>
                <w:sz w:val="20"/>
              </w:rPr>
              <w:t>Documentos informativos</w:t>
            </w:r>
          </w:p>
        </w:tc>
        <w:tc>
          <w:tcPr>
            <w:tcW w:w="577" w:type="dxa"/>
            <w:tcBorders>
              <w:top w:val="single" w:sz="4" w:space="0" w:color="auto"/>
              <w:left w:val="single" w:sz="4" w:space="0" w:color="auto"/>
              <w:bottom w:val="single" w:sz="4" w:space="0" w:color="auto"/>
              <w:right w:val="single" w:sz="4" w:space="0" w:color="auto"/>
            </w:tcBorders>
            <w:hideMark/>
          </w:tcPr>
          <w:p w14:paraId="3B760CBB"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3AD3254B"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14A9366"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35059223"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31C419A3"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B1862A6"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hideMark/>
          </w:tcPr>
          <w:p w14:paraId="018D4B62" w14:textId="77777777" w:rsidR="0077746C" w:rsidRPr="00B2067F" w:rsidRDefault="0077746C" w:rsidP="0077746C">
            <w:pPr>
              <w:pStyle w:val="Tabletext"/>
              <w:rPr>
                <w:sz w:val="20"/>
              </w:rPr>
            </w:pPr>
            <w:r w:rsidRPr="00B2067F">
              <w:rPr>
                <w:sz w:val="20"/>
              </w:rPr>
              <w:t>Depende del contenido</w:t>
            </w:r>
          </w:p>
        </w:tc>
      </w:tr>
      <w:tr w:rsidR="0077746C" w:rsidRPr="00B2067F" w14:paraId="1F7F8F39"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7F5789B7" w14:textId="77777777" w:rsidR="0077746C" w:rsidRPr="00B2067F" w:rsidRDefault="0077746C" w:rsidP="0077746C">
            <w:pPr>
              <w:pStyle w:val="Tabletext"/>
              <w:rPr>
                <w:sz w:val="20"/>
              </w:rPr>
            </w:pPr>
            <w:r w:rsidRPr="00B2067F">
              <w:rPr>
                <w:sz w:val="20"/>
              </w:rPr>
              <w:t>Lista de participantes</w:t>
            </w:r>
          </w:p>
        </w:tc>
        <w:tc>
          <w:tcPr>
            <w:tcW w:w="577" w:type="dxa"/>
            <w:tcBorders>
              <w:top w:val="single" w:sz="4" w:space="0" w:color="auto"/>
              <w:left w:val="single" w:sz="4" w:space="0" w:color="auto"/>
              <w:bottom w:val="single" w:sz="4" w:space="0" w:color="auto"/>
              <w:right w:val="single" w:sz="4" w:space="0" w:color="auto"/>
            </w:tcBorders>
            <w:hideMark/>
          </w:tcPr>
          <w:p w14:paraId="5C4B2C19"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tcPr>
          <w:p w14:paraId="4AE7B1FE"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tcPr>
          <w:p w14:paraId="35A4413B"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tcPr>
          <w:p w14:paraId="796733BF" w14:textId="77777777" w:rsidR="0077746C" w:rsidRPr="00B2067F" w:rsidRDefault="0077746C" w:rsidP="0077746C">
            <w:pPr>
              <w:pStyle w:val="Tabletext"/>
              <w:jc w:val="center"/>
              <w:rPr>
                <w:sz w:val="20"/>
              </w:rPr>
            </w:pPr>
          </w:p>
        </w:tc>
        <w:tc>
          <w:tcPr>
            <w:tcW w:w="574" w:type="dxa"/>
            <w:tcBorders>
              <w:top w:val="single" w:sz="4" w:space="0" w:color="auto"/>
              <w:left w:val="single" w:sz="4" w:space="0" w:color="auto"/>
              <w:bottom w:val="single" w:sz="4" w:space="0" w:color="auto"/>
              <w:right w:val="single" w:sz="4" w:space="0" w:color="auto"/>
            </w:tcBorders>
          </w:tcPr>
          <w:p w14:paraId="073912E3"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tcPr>
          <w:p w14:paraId="3396428B"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tcPr>
          <w:p w14:paraId="26838B31" w14:textId="77777777" w:rsidR="0077746C" w:rsidRPr="00B2067F" w:rsidRDefault="0077746C" w:rsidP="0077746C">
            <w:pPr>
              <w:pStyle w:val="Tabletext"/>
              <w:rPr>
                <w:sz w:val="20"/>
              </w:rPr>
            </w:pPr>
          </w:p>
        </w:tc>
      </w:tr>
      <w:tr w:rsidR="0077746C" w:rsidRPr="00B2067F" w14:paraId="7BD7C913"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7BA64EED" w14:textId="77777777" w:rsidR="0077746C" w:rsidRPr="00B2067F" w:rsidRDefault="0077746C" w:rsidP="0077746C">
            <w:pPr>
              <w:pStyle w:val="Tabletext"/>
              <w:rPr>
                <w:sz w:val="20"/>
              </w:rPr>
            </w:pPr>
            <w:r w:rsidRPr="00B2067F">
              <w:rPr>
                <w:sz w:val="20"/>
              </w:rPr>
              <w:t>Actas</w:t>
            </w:r>
          </w:p>
        </w:tc>
        <w:tc>
          <w:tcPr>
            <w:tcW w:w="577" w:type="dxa"/>
            <w:tcBorders>
              <w:top w:val="single" w:sz="4" w:space="0" w:color="auto"/>
              <w:left w:val="single" w:sz="4" w:space="0" w:color="auto"/>
              <w:bottom w:val="single" w:sz="4" w:space="0" w:color="auto"/>
              <w:right w:val="single" w:sz="4" w:space="0" w:color="auto"/>
            </w:tcBorders>
            <w:hideMark/>
          </w:tcPr>
          <w:p w14:paraId="362ED668"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3DE41472"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71F129E2"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4BE0C673"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092A13A8"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2E40BA65"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043B8E89" w14:textId="77777777" w:rsidR="0077746C" w:rsidRPr="00B2067F" w:rsidRDefault="0077746C" w:rsidP="0077746C">
            <w:pPr>
              <w:pStyle w:val="Tabletext"/>
              <w:rPr>
                <w:sz w:val="20"/>
              </w:rPr>
            </w:pPr>
          </w:p>
        </w:tc>
      </w:tr>
      <w:tr w:rsidR="0077746C" w:rsidRPr="00B2067F" w14:paraId="452B858A"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2049DDA8" w14:textId="77777777" w:rsidR="0077746C" w:rsidRPr="00B2067F" w:rsidRDefault="0077746C" w:rsidP="0077746C">
            <w:pPr>
              <w:pStyle w:val="Tabletext"/>
              <w:rPr>
                <w:sz w:val="20"/>
              </w:rPr>
            </w:pPr>
            <w:r w:rsidRPr="00B2067F">
              <w:rPr>
                <w:sz w:val="20"/>
              </w:rPr>
              <w:t>Actas Finales provisionales</w:t>
            </w:r>
          </w:p>
        </w:tc>
        <w:tc>
          <w:tcPr>
            <w:tcW w:w="577" w:type="dxa"/>
            <w:tcBorders>
              <w:top w:val="single" w:sz="4" w:space="0" w:color="auto"/>
              <w:left w:val="single" w:sz="4" w:space="0" w:color="auto"/>
              <w:bottom w:val="single" w:sz="4" w:space="0" w:color="auto"/>
              <w:right w:val="single" w:sz="4" w:space="0" w:color="auto"/>
            </w:tcBorders>
            <w:hideMark/>
          </w:tcPr>
          <w:p w14:paraId="4CC94455"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604F4399"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BE132CD"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6966C3BA"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266FADEF"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25706ADD"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64C06D3C" w14:textId="77777777" w:rsidR="0077746C" w:rsidRPr="00B2067F" w:rsidRDefault="0077746C" w:rsidP="0077746C">
            <w:pPr>
              <w:pStyle w:val="Tabletext"/>
              <w:rPr>
                <w:sz w:val="20"/>
              </w:rPr>
            </w:pPr>
          </w:p>
        </w:tc>
      </w:tr>
      <w:tr w:rsidR="0077746C" w:rsidRPr="00B2067F" w14:paraId="734E451B" w14:textId="77777777" w:rsidTr="0077746C">
        <w:trPr>
          <w:cantSplit/>
        </w:trPr>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31AEEACE" w14:textId="54356F8A" w:rsidR="0077746C" w:rsidRPr="00B2067F" w:rsidRDefault="00226EBF" w:rsidP="00226EBF">
            <w:pPr>
              <w:pStyle w:val="Tabletext"/>
              <w:ind w:left="284" w:hanging="284"/>
              <w:rPr>
                <w:b/>
                <w:bCs/>
                <w:sz w:val="20"/>
                <w:u w:val="single"/>
              </w:rPr>
            </w:pPr>
            <w:r w:rsidRPr="00B2067F">
              <w:rPr>
                <w:b/>
                <w:bCs/>
                <w:sz w:val="20"/>
                <w:u w:val="single"/>
              </w:rPr>
              <w:t>3.</w:t>
            </w:r>
            <w:r w:rsidRPr="00B2067F">
              <w:rPr>
                <w:b/>
                <w:bCs/>
                <w:sz w:val="20"/>
                <w:u w:val="single"/>
              </w:rPr>
              <w:tab/>
              <w:t>Sesiones de información</w:t>
            </w:r>
            <w:r w:rsidRPr="00B2067F">
              <w:rPr>
                <w:b/>
                <w:bCs/>
                <w:sz w:val="20"/>
                <w:u w:val="single"/>
              </w:rPr>
              <w:br/>
            </w:r>
            <w:r w:rsidR="0077746C" w:rsidRPr="00B2067F">
              <w:rPr>
                <w:b/>
                <w:bCs/>
                <w:sz w:val="20"/>
                <w:u w:val="single"/>
              </w:rPr>
              <w:t xml:space="preserve">de la CMR </w:t>
            </w:r>
            <w:r w:rsidR="0077746C" w:rsidRPr="00B2067F">
              <w:rPr>
                <w:b/>
                <w:bCs/>
                <w:sz w:val="20"/>
                <w:u w:val="single"/>
                <w:vertAlign w:val="superscript"/>
              </w:rPr>
              <w:footnoteReference w:id="4"/>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1E72BB5A"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328A2F5B"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7A4790B8"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2687DACE" w14:textId="77777777" w:rsidR="0077746C" w:rsidRPr="00B2067F" w:rsidRDefault="0077746C" w:rsidP="0077746C">
            <w:pPr>
              <w:pStyle w:val="Tabletext"/>
              <w:jc w:val="center"/>
              <w:rPr>
                <w:sz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44E1E355"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28DB0D32"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7695FE6B" w14:textId="77777777" w:rsidR="0077746C" w:rsidRPr="00B2067F" w:rsidRDefault="0077746C" w:rsidP="0077746C">
            <w:pPr>
              <w:pStyle w:val="Tabletext"/>
              <w:rPr>
                <w:sz w:val="20"/>
              </w:rPr>
            </w:pPr>
          </w:p>
        </w:tc>
      </w:tr>
      <w:tr w:rsidR="0077746C" w:rsidRPr="00B2067F" w14:paraId="4DE49DD0" w14:textId="77777777" w:rsidTr="0077746C">
        <w:tc>
          <w:tcPr>
            <w:tcW w:w="3339" w:type="dxa"/>
            <w:tcBorders>
              <w:top w:val="single" w:sz="4" w:space="0" w:color="auto"/>
              <w:left w:val="single" w:sz="4" w:space="0" w:color="auto"/>
              <w:bottom w:val="single" w:sz="4" w:space="0" w:color="auto"/>
              <w:right w:val="single" w:sz="4" w:space="0" w:color="auto"/>
            </w:tcBorders>
            <w:shd w:val="clear" w:color="auto" w:fill="FFFF00"/>
            <w:hideMark/>
          </w:tcPr>
          <w:p w14:paraId="1CBE0EED" w14:textId="77777777" w:rsidR="0077746C" w:rsidRPr="00B2067F" w:rsidRDefault="0077746C" w:rsidP="0077746C">
            <w:pPr>
              <w:pStyle w:val="Tabletext"/>
              <w:rPr>
                <w:sz w:val="20"/>
              </w:rPr>
            </w:pPr>
            <w:r w:rsidRPr="00B2067F">
              <w:rPr>
                <w:sz w:val="20"/>
              </w:rPr>
              <w:t>Interpretación</w:t>
            </w:r>
          </w:p>
        </w:tc>
        <w:tc>
          <w:tcPr>
            <w:tcW w:w="577" w:type="dxa"/>
            <w:tcBorders>
              <w:top w:val="single" w:sz="4" w:space="0" w:color="auto"/>
              <w:left w:val="single" w:sz="4" w:space="0" w:color="auto"/>
              <w:bottom w:val="single" w:sz="4" w:space="0" w:color="auto"/>
              <w:right w:val="single" w:sz="4" w:space="0" w:color="auto"/>
            </w:tcBorders>
            <w:shd w:val="clear" w:color="auto" w:fill="FFFF00"/>
            <w:hideMark/>
          </w:tcPr>
          <w:p w14:paraId="424F6626"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7B0EA7A7"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7C42A86D"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14:paraId="24445A0E"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shd w:val="clear" w:color="auto" w:fill="FFFF00"/>
            <w:hideMark/>
          </w:tcPr>
          <w:p w14:paraId="6D3F99AF"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3BF7BD2B"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shd w:val="clear" w:color="auto" w:fill="FFFF00"/>
          </w:tcPr>
          <w:p w14:paraId="2A20F85C" w14:textId="77777777" w:rsidR="0077746C" w:rsidRPr="00B2067F" w:rsidRDefault="0077746C" w:rsidP="0077746C">
            <w:pPr>
              <w:pStyle w:val="Tabletext"/>
              <w:rPr>
                <w:sz w:val="20"/>
              </w:rPr>
            </w:pPr>
          </w:p>
        </w:tc>
      </w:tr>
      <w:tr w:rsidR="0077746C" w:rsidRPr="00B2067F" w14:paraId="6FF3544A" w14:textId="77777777" w:rsidTr="0077746C">
        <w:trPr>
          <w:cantSplit/>
        </w:trPr>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56871DD6" w14:textId="309EC906" w:rsidR="0077746C" w:rsidRPr="00B2067F" w:rsidRDefault="00226EBF" w:rsidP="0077746C">
            <w:pPr>
              <w:pStyle w:val="Tabletext"/>
              <w:rPr>
                <w:b/>
                <w:bCs/>
                <w:sz w:val="20"/>
                <w:u w:val="single"/>
              </w:rPr>
            </w:pPr>
            <w:r w:rsidRPr="00B2067F">
              <w:rPr>
                <w:b/>
                <w:bCs/>
                <w:sz w:val="20"/>
                <w:u w:val="single"/>
              </w:rPr>
              <w:t>4a.</w:t>
            </w:r>
            <w:r w:rsidRPr="00B2067F">
              <w:rPr>
                <w:b/>
                <w:bCs/>
                <w:sz w:val="20"/>
                <w:u w:val="single"/>
              </w:rPr>
              <w:tab/>
            </w:r>
            <w:r w:rsidR="0077746C" w:rsidRPr="00B2067F">
              <w:rPr>
                <w:b/>
                <w:bCs/>
                <w:sz w:val="20"/>
                <w:u w:val="single"/>
              </w:rPr>
              <w:t>GAR</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18907C74"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7A031C38"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645E8561"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192FCFF4" w14:textId="77777777" w:rsidR="0077746C" w:rsidRPr="00B2067F" w:rsidRDefault="0077746C" w:rsidP="0077746C">
            <w:pPr>
              <w:pStyle w:val="Tabletext"/>
              <w:jc w:val="center"/>
              <w:rPr>
                <w:sz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5A4984D4"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517993E7"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402BEB6C" w14:textId="77777777" w:rsidR="0077746C" w:rsidRPr="00B2067F" w:rsidRDefault="0077746C" w:rsidP="0077746C">
            <w:pPr>
              <w:pStyle w:val="Tabletext"/>
              <w:rPr>
                <w:sz w:val="20"/>
              </w:rPr>
            </w:pPr>
          </w:p>
        </w:tc>
      </w:tr>
      <w:tr w:rsidR="0077746C" w:rsidRPr="00B2067F" w14:paraId="41E9C1A9" w14:textId="77777777" w:rsidTr="0077746C">
        <w:trPr>
          <w:cantSplit/>
        </w:trPr>
        <w:tc>
          <w:tcPr>
            <w:tcW w:w="3339" w:type="dxa"/>
            <w:tcBorders>
              <w:top w:val="single" w:sz="4" w:space="0" w:color="auto"/>
              <w:left w:val="single" w:sz="4" w:space="0" w:color="auto"/>
              <w:bottom w:val="single" w:sz="4" w:space="0" w:color="auto"/>
              <w:right w:val="single" w:sz="4" w:space="0" w:color="auto"/>
            </w:tcBorders>
            <w:shd w:val="clear" w:color="auto" w:fill="FFFF00"/>
            <w:hideMark/>
          </w:tcPr>
          <w:p w14:paraId="64F594B7" w14:textId="77777777" w:rsidR="0077746C" w:rsidRPr="00B2067F" w:rsidRDefault="0077746C" w:rsidP="0077746C">
            <w:pPr>
              <w:pStyle w:val="Tabletext"/>
              <w:rPr>
                <w:sz w:val="20"/>
              </w:rPr>
            </w:pPr>
            <w:r w:rsidRPr="00B2067F">
              <w:rPr>
                <w:sz w:val="20"/>
              </w:rPr>
              <w:t>Interpretación</w:t>
            </w:r>
          </w:p>
        </w:tc>
        <w:tc>
          <w:tcPr>
            <w:tcW w:w="577" w:type="dxa"/>
            <w:tcBorders>
              <w:top w:val="single" w:sz="4" w:space="0" w:color="auto"/>
              <w:left w:val="single" w:sz="4" w:space="0" w:color="auto"/>
              <w:bottom w:val="single" w:sz="4" w:space="0" w:color="auto"/>
              <w:right w:val="single" w:sz="4" w:space="0" w:color="auto"/>
            </w:tcBorders>
            <w:shd w:val="clear" w:color="auto" w:fill="FFFF00"/>
            <w:hideMark/>
          </w:tcPr>
          <w:p w14:paraId="3C5717CF"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7439262E"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4F7AA593"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14:paraId="2F2EE3C7"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shd w:val="clear" w:color="auto" w:fill="FFFF00"/>
            <w:hideMark/>
          </w:tcPr>
          <w:p w14:paraId="34E507EF"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516E2FF8"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shd w:val="clear" w:color="auto" w:fill="FFFF00"/>
          </w:tcPr>
          <w:p w14:paraId="0B331643" w14:textId="77777777" w:rsidR="0077746C" w:rsidRPr="00B2067F" w:rsidRDefault="0077746C" w:rsidP="0077746C">
            <w:pPr>
              <w:pStyle w:val="Tabletext"/>
              <w:rPr>
                <w:sz w:val="20"/>
              </w:rPr>
            </w:pPr>
          </w:p>
        </w:tc>
      </w:tr>
      <w:tr w:rsidR="0077746C" w:rsidRPr="00B2067F" w14:paraId="20DBA088"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3FB74883" w14:textId="77777777" w:rsidR="0077746C" w:rsidRPr="00B2067F" w:rsidRDefault="0077746C" w:rsidP="0077746C">
            <w:pPr>
              <w:pStyle w:val="Tabletext"/>
              <w:rPr>
                <w:sz w:val="20"/>
              </w:rPr>
            </w:pPr>
            <w:r w:rsidRPr="00B2067F">
              <w:rPr>
                <w:sz w:val="20"/>
              </w:rPr>
              <w:t xml:space="preserve">Contribuciones </w:t>
            </w:r>
          </w:p>
        </w:tc>
        <w:tc>
          <w:tcPr>
            <w:tcW w:w="577" w:type="dxa"/>
            <w:tcBorders>
              <w:top w:val="single" w:sz="4" w:space="0" w:color="auto"/>
              <w:left w:val="single" w:sz="4" w:space="0" w:color="auto"/>
              <w:bottom w:val="single" w:sz="4" w:space="0" w:color="auto"/>
              <w:right w:val="single" w:sz="4" w:space="0" w:color="auto"/>
            </w:tcBorders>
            <w:hideMark/>
          </w:tcPr>
          <w:p w14:paraId="75659471"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4FC9E7F"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7A595A41"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50E873F0"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00B48FA4"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29F724B3"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0947C19F" w14:textId="77777777" w:rsidR="0077746C" w:rsidRPr="00B2067F" w:rsidRDefault="0077746C" w:rsidP="0077746C">
            <w:pPr>
              <w:pStyle w:val="Tabletext"/>
              <w:rPr>
                <w:sz w:val="20"/>
              </w:rPr>
            </w:pPr>
          </w:p>
        </w:tc>
      </w:tr>
      <w:tr w:rsidR="0077746C" w:rsidRPr="00B2067F" w14:paraId="41F0493E"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24AA403C" w14:textId="1B191F1D" w:rsidR="0077746C" w:rsidRPr="00B2067F" w:rsidRDefault="00B2067F" w:rsidP="0077746C">
            <w:pPr>
              <w:pStyle w:val="Tabletext"/>
              <w:rPr>
                <w:sz w:val="20"/>
              </w:rPr>
            </w:pPr>
            <w:r>
              <w:rPr>
                <w:sz w:val="20"/>
              </w:rPr>
              <w:t>Documentos temporales</w:t>
            </w:r>
          </w:p>
        </w:tc>
        <w:tc>
          <w:tcPr>
            <w:tcW w:w="577" w:type="dxa"/>
            <w:tcBorders>
              <w:top w:val="single" w:sz="4" w:space="0" w:color="auto"/>
              <w:left w:val="single" w:sz="4" w:space="0" w:color="auto"/>
              <w:bottom w:val="single" w:sz="4" w:space="0" w:color="auto"/>
              <w:right w:val="single" w:sz="4" w:space="0" w:color="auto"/>
            </w:tcBorders>
            <w:hideMark/>
          </w:tcPr>
          <w:p w14:paraId="326F102F"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tcPr>
          <w:p w14:paraId="69CC96C1"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tcPr>
          <w:p w14:paraId="68C04ABB"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tcPr>
          <w:p w14:paraId="33FFDD92" w14:textId="77777777" w:rsidR="0077746C" w:rsidRPr="00B2067F" w:rsidRDefault="0077746C" w:rsidP="0077746C">
            <w:pPr>
              <w:pStyle w:val="Tabletext"/>
              <w:jc w:val="center"/>
              <w:rPr>
                <w:sz w:val="20"/>
              </w:rPr>
            </w:pPr>
          </w:p>
        </w:tc>
        <w:tc>
          <w:tcPr>
            <w:tcW w:w="574" w:type="dxa"/>
            <w:tcBorders>
              <w:top w:val="single" w:sz="4" w:space="0" w:color="auto"/>
              <w:left w:val="single" w:sz="4" w:space="0" w:color="auto"/>
              <w:bottom w:val="single" w:sz="4" w:space="0" w:color="auto"/>
              <w:right w:val="single" w:sz="4" w:space="0" w:color="auto"/>
            </w:tcBorders>
          </w:tcPr>
          <w:p w14:paraId="79E40A9E"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tcPr>
          <w:p w14:paraId="3C7854C5"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tcPr>
          <w:p w14:paraId="6F58EFB1" w14:textId="77777777" w:rsidR="0077746C" w:rsidRPr="00B2067F" w:rsidRDefault="0077746C" w:rsidP="0077746C">
            <w:pPr>
              <w:pStyle w:val="Tabletext"/>
              <w:rPr>
                <w:sz w:val="20"/>
              </w:rPr>
            </w:pPr>
          </w:p>
        </w:tc>
      </w:tr>
      <w:tr w:rsidR="0077746C" w:rsidRPr="00B2067F" w14:paraId="1355F8F8"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3A36B7C0" w14:textId="77777777" w:rsidR="0077746C" w:rsidRPr="00B2067F" w:rsidRDefault="0077746C" w:rsidP="0077746C">
            <w:pPr>
              <w:pStyle w:val="Tabletext"/>
              <w:rPr>
                <w:sz w:val="20"/>
              </w:rPr>
            </w:pPr>
            <w:r w:rsidRPr="00B2067F">
              <w:rPr>
                <w:sz w:val="20"/>
              </w:rPr>
              <w:t>Resumen de conclusiones del GAR</w:t>
            </w:r>
          </w:p>
        </w:tc>
        <w:tc>
          <w:tcPr>
            <w:tcW w:w="577" w:type="dxa"/>
            <w:tcBorders>
              <w:top w:val="single" w:sz="4" w:space="0" w:color="auto"/>
              <w:left w:val="single" w:sz="4" w:space="0" w:color="auto"/>
              <w:bottom w:val="single" w:sz="4" w:space="0" w:color="auto"/>
              <w:right w:val="single" w:sz="4" w:space="0" w:color="auto"/>
            </w:tcBorders>
            <w:hideMark/>
          </w:tcPr>
          <w:p w14:paraId="60340DA0"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7FB9AE7"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1A72595A"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2FDA8579"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6D3F3A23"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2DA63FFC"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5DF17658" w14:textId="77777777" w:rsidR="0077746C" w:rsidRPr="00B2067F" w:rsidRDefault="0077746C" w:rsidP="0077746C">
            <w:pPr>
              <w:pStyle w:val="Tabletext"/>
              <w:rPr>
                <w:sz w:val="20"/>
              </w:rPr>
            </w:pPr>
          </w:p>
        </w:tc>
      </w:tr>
      <w:tr w:rsidR="0077746C" w:rsidRPr="00B2067F" w14:paraId="1C76559F" w14:textId="77777777" w:rsidTr="0077746C">
        <w:trPr>
          <w:cantSplit/>
        </w:trPr>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643D0441" w14:textId="4B4DAE39" w:rsidR="0077746C" w:rsidRPr="00B2067F" w:rsidRDefault="00226EBF" w:rsidP="0077746C">
            <w:pPr>
              <w:pStyle w:val="Tabletext"/>
              <w:rPr>
                <w:b/>
                <w:bCs/>
                <w:sz w:val="20"/>
                <w:u w:val="single"/>
              </w:rPr>
            </w:pPr>
            <w:r w:rsidRPr="00B2067F">
              <w:rPr>
                <w:b/>
                <w:bCs/>
                <w:sz w:val="20"/>
                <w:u w:val="single"/>
              </w:rPr>
              <w:t>4b.</w:t>
            </w:r>
            <w:r w:rsidRPr="00B2067F">
              <w:rPr>
                <w:b/>
                <w:bCs/>
                <w:sz w:val="20"/>
                <w:u w:val="single"/>
              </w:rPr>
              <w:tab/>
            </w:r>
            <w:r w:rsidR="0077746C" w:rsidRPr="00B2067F">
              <w:rPr>
                <w:b/>
                <w:bCs/>
                <w:sz w:val="20"/>
                <w:u w:val="single"/>
              </w:rPr>
              <w:t>Comisiones de Estudio</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13D91A5E"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0AD53915"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30FB7F32"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3B4B6D38" w14:textId="77777777" w:rsidR="0077746C" w:rsidRPr="00B2067F" w:rsidRDefault="0077746C" w:rsidP="0077746C">
            <w:pPr>
              <w:pStyle w:val="Tabletext"/>
              <w:jc w:val="center"/>
              <w:rPr>
                <w:sz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57A9BED4"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260AC1C7"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05B8C551" w14:textId="77777777" w:rsidR="0077746C" w:rsidRPr="00B2067F" w:rsidRDefault="0077746C" w:rsidP="0077746C">
            <w:pPr>
              <w:pStyle w:val="Tabletext"/>
              <w:rPr>
                <w:sz w:val="20"/>
              </w:rPr>
            </w:pPr>
          </w:p>
        </w:tc>
      </w:tr>
      <w:tr w:rsidR="0077746C" w:rsidRPr="00B2067F" w14:paraId="0E67779F" w14:textId="77777777" w:rsidTr="0077746C">
        <w:trPr>
          <w:cantSplit/>
        </w:trPr>
        <w:tc>
          <w:tcPr>
            <w:tcW w:w="3339" w:type="dxa"/>
            <w:tcBorders>
              <w:top w:val="single" w:sz="4" w:space="0" w:color="auto"/>
              <w:left w:val="single" w:sz="4" w:space="0" w:color="auto"/>
              <w:bottom w:val="single" w:sz="4" w:space="0" w:color="auto"/>
              <w:right w:val="single" w:sz="4" w:space="0" w:color="auto"/>
            </w:tcBorders>
            <w:shd w:val="clear" w:color="auto" w:fill="FFFF00"/>
            <w:hideMark/>
          </w:tcPr>
          <w:p w14:paraId="02BF7A26" w14:textId="77777777" w:rsidR="0077746C" w:rsidRPr="00B2067F" w:rsidRDefault="0077746C" w:rsidP="0077746C">
            <w:pPr>
              <w:pStyle w:val="Tabletext"/>
              <w:rPr>
                <w:sz w:val="20"/>
              </w:rPr>
            </w:pPr>
            <w:r w:rsidRPr="00B2067F">
              <w:rPr>
                <w:sz w:val="20"/>
              </w:rPr>
              <w:t xml:space="preserve">Interpretación </w:t>
            </w:r>
          </w:p>
        </w:tc>
        <w:tc>
          <w:tcPr>
            <w:tcW w:w="577" w:type="dxa"/>
            <w:tcBorders>
              <w:top w:val="single" w:sz="4" w:space="0" w:color="auto"/>
              <w:left w:val="single" w:sz="4" w:space="0" w:color="auto"/>
              <w:bottom w:val="single" w:sz="4" w:space="0" w:color="auto"/>
              <w:right w:val="single" w:sz="4" w:space="0" w:color="auto"/>
            </w:tcBorders>
            <w:shd w:val="clear" w:color="auto" w:fill="FFFF00"/>
            <w:hideMark/>
          </w:tcPr>
          <w:p w14:paraId="06BDBEED"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385249A4"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47DFE43F"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14:paraId="734420F9"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shd w:val="clear" w:color="auto" w:fill="FFFF00"/>
            <w:hideMark/>
          </w:tcPr>
          <w:p w14:paraId="17B1D35D"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1C0667A3"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shd w:val="clear" w:color="auto" w:fill="FFFF00"/>
          </w:tcPr>
          <w:p w14:paraId="3CC28B51" w14:textId="77777777" w:rsidR="0077746C" w:rsidRPr="00B2067F" w:rsidRDefault="0077746C" w:rsidP="0077746C">
            <w:pPr>
              <w:pStyle w:val="Tabletext"/>
              <w:rPr>
                <w:sz w:val="20"/>
              </w:rPr>
            </w:pPr>
          </w:p>
        </w:tc>
      </w:tr>
      <w:tr w:rsidR="0077746C" w:rsidRPr="00B2067F" w14:paraId="271EDC68"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3264D665" w14:textId="77777777" w:rsidR="0077746C" w:rsidRPr="00B2067F" w:rsidRDefault="0077746C" w:rsidP="0077746C">
            <w:pPr>
              <w:pStyle w:val="Tabletext"/>
              <w:rPr>
                <w:sz w:val="20"/>
              </w:rPr>
            </w:pPr>
            <w:r w:rsidRPr="00B2067F">
              <w:rPr>
                <w:sz w:val="20"/>
              </w:rPr>
              <w:t xml:space="preserve">Todo los tipos de documentos </w:t>
            </w:r>
          </w:p>
        </w:tc>
        <w:tc>
          <w:tcPr>
            <w:tcW w:w="577" w:type="dxa"/>
            <w:tcBorders>
              <w:top w:val="single" w:sz="4" w:space="0" w:color="auto"/>
              <w:left w:val="single" w:sz="4" w:space="0" w:color="auto"/>
              <w:bottom w:val="single" w:sz="4" w:space="0" w:color="auto"/>
              <w:right w:val="single" w:sz="4" w:space="0" w:color="auto"/>
            </w:tcBorders>
            <w:hideMark/>
          </w:tcPr>
          <w:p w14:paraId="6181AD0B"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tcPr>
          <w:p w14:paraId="46D85C5B"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tcPr>
          <w:p w14:paraId="755BF555"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tcPr>
          <w:p w14:paraId="63DFBBC2" w14:textId="77777777" w:rsidR="0077746C" w:rsidRPr="00B2067F" w:rsidRDefault="0077746C" w:rsidP="0077746C">
            <w:pPr>
              <w:pStyle w:val="Tabletext"/>
              <w:jc w:val="center"/>
              <w:rPr>
                <w:sz w:val="20"/>
              </w:rPr>
            </w:pPr>
          </w:p>
        </w:tc>
        <w:tc>
          <w:tcPr>
            <w:tcW w:w="574" w:type="dxa"/>
            <w:tcBorders>
              <w:top w:val="single" w:sz="4" w:space="0" w:color="auto"/>
              <w:left w:val="single" w:sz="4" w:space="0" w:color="auto"/>
              <w:bottom w:val="single" w:sz="4" w:space="0" w:color="auto"/>
              <w:right w:val="single" w:sz="4" w:space="0" w:color="auto"/>
            </w:tcBorders>
          </w:tcPr>
          <w:p w14:paraId="1932E150"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tcPr>
          <w:p w14:paraId="4FFA79C0"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tcPr>
          <w:p w14:paraId="571DA3B9" w14:textId="77777777" w:rsidR="0077746C" w:rsidRPr="00B2067F" w:rsidRDefault="0077746C" w:rsidP="0077746C">
            <w:pPr>
              <w:pStyle w:val="Tabletext"/>
              <w:rPr>
                <w:sz w:val="20"/>
              </w:rPr>
            </w:pPr>
          </w:p>
        </w:tc>
      </w:tr>
      <w:tr w:rsidR="0077746C" w:rsidRPr="00B2067F" w14:paraId="44FCCD03" w14:textId="77777777" w:rsidTr="0077746C">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65FA4058" w14:textId="68924DAD" w:rsidR="0077746C" w:rsidRPr="00B2067F" w:rsidRDefault="00226EBF" w:rsidP="001F0BD7">
            <w:pPr>
              <w:pStyle w:val="Tabletext"/>
              <w:keepNext/>
              <w:rPr>
                <w:b/>
                <w:bCs/>
                <w:sz w:val="20"/>
                <w:u w:val="single"/>
              </w:rPr>
            </w:pPr>
            <w:r w:rsidRPr="00B2067F">
              <w:rPr>
                <w:b/>
                <w:bCs/>
                <w:sz w:val="20"/>
                <w:u w:val="single"/>
              </w:rPr>
              <w:lastRenderedPageBreak/>
              <w:t>5.</w:t>
            </w:r>
            <w:r w:rsidRPr="00B2067F">
              <w:rPr>
                <w:b/>
                <w:bCs/>
                <w:sz w:val="20"/>
                <w:u w:val="single"/>
              </w:rPr>
              <w:tab/>
            </w:r>
            <w:r w:rsidR="0077746C" w:rsidRPr="00B2067F">
              <w:rPr>
                <w:b/>
                <w:bCs/>
                <w:sz w:val="20"/>
                <w:u w:val="single"/>
              </w:rPr>
              <w:t>RRB</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4C836382"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678D4F83"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333033E6"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5B43DA31" w14:textId="77777777" w:rsidR="0077746C" w:rsidRPr="00B2067F" w:rsidRDefault="0077746C" w:rsidP="0077746C">
            <w:pPr>
              <w:pStyle w:val="Tabletext"/>
              <w:jc w:val="center"/>
              <w:rPr>
                <w:sz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55166942"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57D0F28D"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05F5E271" w14:textId="77777777" w:rsidR="0077746C" w:rsidRPr="00B2067F" w:rsidRDefault="0077746C" w:rsidP="0077746C">
            <w:pPr>
              <w:pStyle w:val="Tabletext"/>
              <w:rPr>
                <w:sz w:val="20"/>
              </w:rPr>
            </w:pPr>
          </w:p>
        </w:tc>
      </w:tr>
      <w:tr w:rsidR="0077746C" w:rsidRPr="00B2067F" w14:paraId="3AADAD13" w14:textId="77777777" w:rsidTr="0077746C">
        <w:tc>
          <w:tcPr>
            <w:tcW w:w="3339" w:type="dxa"/>
            <w:tcBorders>
              <w:top w:val="single" w:sz="4" w:space="0" w:color="auto"/>
              <w:left w:val="single" w:sz="4" w:space="0" w:color="auto"/>
              <w:bottom w:val="single" w:sz="4" w:space="0" w:color="auto"/>
              <w:right w:val="single" w:sz="4" w:space="0" w:color="auto"/>
            </w:tcBorders>
            <w:shd w:val="clear" w:color="auto" w:fill="FFFF00"/>
            <w:hideMark/>
          </w:tcPr>
          <w:p w14:paraId="3151BC44" w14:textId="77777777" w:rsidR="0077746C" w:rsidRPr="00B2067F" w:rsidRDefault="0077746C" w:rsidP="0077746C">
            <w:pPr>
              <w:pStyle w:val="Tabletext"/>
              <w:rPr>
                <w:sz w:val="20"/>
              </w:rPr>
            </w:pPr>
            <w:r w:rsidRPr="00B2067F">
              <w:rPr>
                <w:sz w:val="20"/>
              </w:rPr>
              <w:t>Interpretación</w:t>
            </w:r>
          </w:p>
        </w:tc>
        <w:tc>
          <w:tcPr>
            <w:tcW w:w="577" w:type="dxa"/>
            <w:tcBorders>
              <w:top w:val="single" w:sz="4" w:space="0" w:color="auto"/>
              <w:left w:val="single" w:sz="4" w:space="0" w:color="auto"/>
              <w:bottom w:val="single" w:sz="4" w:space="0" w:color="auto"/>
              <w:right w:val="single" w:sz="4" w:space="0" w:color="auto"/>
            </w:tcBorders>
            <w:shd w:val="clear" w:color="auto" w:fill="FFFF00"/>
            <w:hideMark/>
          </w:tcPr>
          <w:p w14:paraId="27B03DD1"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2F404ED9"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511D9F17"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14:paraId="786D2166"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shd w:val="clear" w:color="auto" w:fill="FFFF00"/>
            <w:hideMark/>
          </w:tcPr>
          <w:p w14:paraId="0DA7436A"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64D1E8A3"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shd w:val="clear" w:color="auto" w:fill="FFFF00"/>
            <w:hideMark/>
          </w:tcPr>
          <w:p w14:paraId="63D698B8" w14:textId="77777777" w:rsidR="0077746C" w:rsidRPr="00B2067F" w:rsidRDefault="0077746C" w:rsidP="0077746C">
            <w:pPr>
              <w:pStyle w:val="Tabletext"/>
              <w:rPr>
                <w:sz w:val="20"/>
              </w:rPr>
            </w:pPr>
            <w:r w:rsidRPr="00B2067F">
              <w:rPr>
                <w:sz w:val="20"/>
              </w:rPr>
              <w:t>Depende de la composición de la Junta</w:t>
            </w:r>
          </w:p>
        </w:tc>
      </w:tr>
      <w:tr w:rsidR="0077746C" w:rsidRPr="00B2067F" w14:paraId="2C9E1B73"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33D590C3" w14:textId="77777777" w:rsidR="0077746C" w:rsidRPr="00B2067F" w:rsidRDefault="0077746C" w:rsidP="0077746C">
            <w:pPr>
              <w:pStyle w:val="Tabletext"/>
              <w:rPr>
                <w:sz w:val="20"/>
              </w:rPr>
            </w:pPr>
            <w:r w:rsidRPr="00B2067F">
              <w:rPr>
                <w:sz w:val="20"/>
              </w:rPr>
              <w:t>Todo los tipos de documentos</w:t>
            </w:r>
          </w:p>
        </w:tc>
        <w:tc>
          <w:tcPr>
            <w:tcW w:w="577" w:type="dxa"/>
            <w:tcBorders>
              <w:top w:val="single" w:sz="4" w:space="0" w:color="auto"/>
              <w:left w:val="single" w:sz="4" w:space="0" w:color="auto"/>
              <w:bottom w:val="single" w:sz="4" w:space="0" w:color="auto"/>
              <w:right w:val="single" w:sz="4" w:space="0" w:color="auto"/>
            </w:tcBorders>
            <w:hideMark/>
          </w:tcPr>
          <w:p w14:paraId="231F6108"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05DA41BB"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211863E6"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3FBD348A"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58955EA2"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755C5825"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72AE87D6" w14:textId="77777777" w:rsidR="0077746C" w:rsidRPr="00B2067F" w:rsidRDefault="0077746C" w:rsidP="0077746C">
            <w:pPr>
              <w:pStyle w:val="Tabletext"/>
              <w:rPr>
                <w:sz w:val="20"/>
              </w:rPr>
            </w:pPr>
          </w:p>
        </w:tc>
      </w:tr>
      <w:tr w:rsidR="0077746C" w:rsidRPr="00B2067F" w14:paraId="7CE56354" w14:textId="77777777" w:rsidTr="0077746C">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488FC43F" w14:textId="27F70407" w:rsidR="0077746C" w:rsidRPr="00B2067F" w:rsidRDefault="00226EBF" w:rsidP="00226EBF">
            <w:pPr>
              <w:pStyle w:val="Tabletext"/>
              <w:ind w:left="284" w:hanging="284"/>
              <w:rPr>
                <w:b/>
                <w:bCs/>
                <w:sz w:val="20"/>
                <w:u w:val="single"/>
              </w:rPr>
            </w:pPr>
            <w:r w:rsidRPr="00B2067F">
              <w:rPr>
                <w:b/>
                <w:bCs/>
                <w:sz w:val="20"/>
                <w:u w:val="single"/>
              </w:rPr>
              <w:t>6.</w:t>
            </w:r>
            <w:r w:rsidRPr="00B2067F">
              <w:rPr>
                <w:b/>
                <w:bCs/>
                <w:sz w:val="20"/>
                <w:u w:val="single"/>
              </w:rPr>
              <w:tab/>
            </w:r>
            <w:r w:rsidR="0077746C" w:rsidRPr="00B2067F">
              <w:rPr>
                <w:b/>
                <w:bCs/>
                <w:sz w:val="20"/>
                <w:u w:val="single"/>
              </w:rPr>
              <w:t>Seminarios Mundiales de Radiocomunicaciones</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4E688AF0"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1BA7022A"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710ACB17"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461E1649" w14:textId="77777777" w:rsidR="0077746C" w:rsidRPr="00B2067F" w:rsidRDefault="0077746C" w:rsidP="0077746C">
            <w:pPr>
              <w:pStyle w:val="Tabletext"/>
              <w:jc w:val="center"/>
              <w:rPr>
                <w:sz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0B49BBC6"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26B558D3"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161D4B7B" w14:textId="77777777" w:rsidR="0077746C" w:rsidRPr="00B2067F" w:rsidRDefault="0077746C" w:rsidP="0077746C">
            <w:pPr>
              <w:pStyle w:val="Tabletext"/>
              <w:rPr>
                <w:sz w:val="20"/>
              </w:rPr>
            </w:pPr>
          </w:p>
        </w:tc>
      </w:tr>
      <w:tr w:rsidR="0077746C" w:rsidRPr="00B2067F" w14:paraId="6347F467" w14:textId="77777777" w:rsidTr="0077746C">
        <w:tc>
          <w:tcPr>
            <w:tcW w:w="3339" w:type="dxa"/>
            <w:tcBorders>
              <w:top w:val="single" w:sz="4" w:space="0" w:color="auto"/>
              <w:left w:val="single" w:sz="4" w:space="0" w:color="auto"/>
              <w:bottom w:val="single" w:sz="4" w:space="0" w:color="auto"/>
              <w:right w:val="single" w:sz="4" w:space="0" w:color="auto"/>
            </w:tcBorders>
            <w:shd w:val="clear" w:color="auto" w:fill="FFFF00"/>
            <w:hideMark/>
          </w:tcPr>
          <w:p w14:paraId="07208FD2" w14:textId="77777777" w:rsidR="0077746C" w:rsidRPr="00B2067F" w:rsidRDefault="0077746C" w:rsidP="0077746C">
            <w:pPr>
              <w:pStyle w:val="Tabletext"/>
              <w:rPr>
                <w:sz w:val="20"/>
              </w:rPr>
            </w:pPr>
            <w:r w:rsidRPr="00B2067F">
              <w:rPr>
                <w:sz w:val="20"/>
              </w:rPr>
              <w:t>Interpretación</w:t>
            </w:r>
          </w:p>
        </w:tc>
        <w:tc>
          <w:tcPr>
            <w:tcW w:w="577" w:type="dxa"/>
            <w:tcBorders>
              <w:top w:val="single" w:sz="4" w:space="0" w:color="auto"/>
              <w:left w:val="single" w:sz="4" w:space="0" w:color="auto"/>
              <w:bottom w:val="single" w:sz="4" w:space="0" w:color="auto"/>
              <w:right w:val="single" w:sz="4" w:space="0" w:color="auto"/>
            </w:tcBorders>
            <w:shd w:val="clear" w:color="auto" w:fill="FFFF00"/>
            <w:hideMark/>
          </w:tcPr>
          <w:p w14:paraId="073A19F9"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5B031F27"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21CEEFC4"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14:paraId="1AD0E874"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shd w:val="clear" w:color="auto" w:fill="FFFF00"/>
            <w:hideMark/>
          </w:tcPr>
          <w:p w14:paraId="5B727119"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5069A672"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shd w:val="clear" w:color="auto" w:fill="FFFF00"/>
            <w:hideMark/>
          </w:tcPr>
          <w:p w14:paraId="00233F81" w14:textId="77777777" w:rsidR="0077746C" w:rsidRPr="00B2067F" w:rsidRDefault="0077746C" w:rsidP="0077746C">
            <w:pPr>
              <w:pStyle w:val="Tabletext"/>
              <w:rPr>
                <w:sz w:val="20"/>
              </w:rPr>
            </w:pPr>
            <w:r w:rsidRPr="00B2067F">
              <w:rPr>
                <w:sz w:val="20"/>
              </w:rPr>
              <w:t>Solo sesiones plenarias</w:t>
            </w:r>
          </w:p>
        </w:tc>
      </w:tr>
      <w:tr w:rsidR="0077746C" w:rsidRPr="00B2067F" w14:paraId="179A3CEB"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5A780AA1" w14:textId="77777777" w:rsidR="0077746C" w:rsidRPr="00B2067F" w:rsidRDefault="0077746C" w:rsidP="0077746C">
            <w:pPr>
              <w:pStyle w:val="Tabletext"/>
              <w:rPr>
                <w:sz w:val="20"/>
              </w:rPr>
            </w:pPr>
            <w:r w:rsidRPr="00B2067F">
              <w:rPr>
                <w:sz w:val="20"/>
              </w:rPr>
              <w:t>Documentos</w:t>
            </w:r>
          </w:p>
        </w:tc>
        <w:tc>
          <w:tcPr>
            <w:tcW w:w="577" w:type="dxa"/>
            <w:tcBorders>
              <w:top w:val="single" w:sz="4" w:space="0" w:color="auto"/>
              <w:left w:val="single" w:sz="4" w:space="0" w:color="auto"/>
              <w:bottom w:val="single" w:sz="4" w:space="0" w:color="auto"/>
              <w:right w:val="single" w:sz="4" w:space="0" w:color="auto"/>
            </w:tcBorders>
            <w:hideMark/>
          </w:tcPr>
          <w:p w14:paraId="4A3CAA57"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145F9C02"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32F0A862"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55787F28"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0AB30D48"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12113E47"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3A8EE955" w14:textId="77777777" w:rsidR="0077746C" w:rsidRPr="00B2067F" w:rsidRDefault="0077746C" w:rsidP="0077746C">
            <w:pPr>
              <w:pStyle w:val="Tabletext"/>
              <w:rPr>
                <w:sz w:val="20"/>
              </w:rPr>
            </w:pPr>
          </w:p>
        </w:tc>
      </w:tr>
      <w:tr w:rsidR="0077746C" w:rsidRPr="00B2067F" w14:paraId="5F202588"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131FD173" w14:textId="77777777" w:rsidR="0077746C" w:rsidRPr="00B2067F" w:rsidRDefault="0077746C" w:rsidP="0077746C">
            <w:pPr>
              <w:pStyle w:val="Tabletext"/>
              <w:rPr>
                <w:sz w:val="20"/>
              </w:rPr>
            </w:pPr>
            <w:r w:rsidRPr="00B2067F">
              <w:rPr>
                <w:sz w:val="20"/>
              </w:rPr>
              <w:t>Presentaciones</w:t>
            </w:r>
          </w:p>
        </w:tc>
        <w:tc>
          <w:tcPr>
            <w:tcW w:w="577" w:type="dxa"/>
            <w:tcBorders>
              <w:top w:val="single" w:sz="4" w:space="0" w:color="auto"/>
              <w:left w:val="single" w:sz="4" w:space="0" w:color="auto"/>
              <w:bottom w:val="single" w:sz="4" w:space="0" w:color="auto"/>
              <w:right w:val="single" w:sz="4" w:space="0" w:color="auto"/>
            </w:tcBorders>
            <w:hideMark/>
          </w:tcPr>
          <w:p w14:paraId="46B2E698"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tcPr>
          <w:p w14:paraId="58452970"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tcPr>
          <w:p w14:paraId="70538DD1"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tcPr>
          <w:p w14:paraId="50748CDA" w14:textId="77777777" w:rsidR="0077746C" w:rsidRPr="00B2067F" w:rsidRDefault="0077746C" w:rsidP="0077746C">
            <w:pPr>
              <w:pStyle w:val="Tabletext"/>
              <w:jc w:val="center"/>
              <w:rPr>
                <w:sz w:val="20"/>
              </w:rPr>
            </w:pPr>
          </w:p>
        </w:tc>
        <w:tc>
          <w:tcPr>
            <w:tcW w:w="574" w:type="dxa"/>
            <w:tcBorders>
              <w:top w:val="single" w:sz="4" w:space="0" w:color="auto"/>
              <w:left w:val="single" w:sz="4" w:space="0" w:color="auto"/>
              <w:bottom w:val="single" w:sz="4" w:space="0" w:color="auto"/>
              <w:right w:val="single" w:sz="4" w:space="0" w:color="auto"/>
            </w:tcBorders>
          </w:tcPr>
          <w:p w14:paraId="224C5FD6"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tcPr>
          <w:p w14:paraId="67056A02"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tcPr>
          <w:p w14:paraId="55C0C3B0" w14:textId="77777777" w:rsidR="0077746C" w:rsidRPr="00B2067F" w:rsidRDefault="0077746C" w:rsidP="0077746C">
            <w:pPr>
              <w:pStyle w:val="Tabletext"/>
              <w:rPr>
                <w:sz w:val="20"/>
              </w:rPr>
            </w:pPr>
          </w:p>
        </w:tc>
      </w:tr>
      <w:tr w:rsidR="0077746C" w:rsidRPr="00B2067F" w14:paraId="78CB5623" w14:textId="77777777" w:rsidTr="0077746C">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6F4CB024" w14:textId="440EB875" w:rsidR="0077746C" w:rsidRPr="00B2067F" w:rsidRDefault="00226EBF" w:rsidP="0077746C">
            <w:pPr>
              <w:pStyle w:val="Tabletext"/>
              <w:rPr>
                <w:b/>
                <w:bCs/>
                <w:sz w:val="20"/>
                <w:u w:val="single"/>
              </w:rPr>
            </w:pPr>
            <w:r w:rsidRPr="00B2067F">
              <w:rPr>
                <w:b/>
                <w:bCs/>
                <w:sz w:val="20"/>
                <w:u w:val="single"/>
              </w:rPr>
              <w:t>7.</w:t>
            </w:r>
            <w:r w:rsidRPr="00B2067F">
              <w:rPr>
                <w:b/>
                <w:bCs/>
                <w:sz w:val="20"/>
                <w:u w:val="single"/>
              </w:rPr>
              <w:tab/>
            </w:r>
            <w:r w:rsidR="0077746C" w:rsidRPr="00B2067F">
              <w:rPr>
                <w:b/>
                <w:bCs/>
                <w:sz w:val="20"/>
                <w:u w:val="single"/>
              </w:rPr>
              <w:t>Publicaciones</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6C0E37D5"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7880CFCD"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00B0DB32"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1BD5BA0C" w14:textId="77777777" w:rsidR="0077746C" w:rsidRPr="00B2067F" w:rsidRDefault="0077746C" w:rsidP="0077746C">
            <w:pPr>
              <w:pStyle w:val="Tabletext"/>
              <w:jc w:val="center"/>
              <w:rPr>
                <w:sz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714F30A1"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060986C4"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3683C939" w14:textId="77777777" w:rsidR="0077746C" w:rsidRPr="00B2067F" w:rsidRDefault="0077746C" w:rsidP="0077746C">
            <w:pPr>
              <w:pStyle w:val="Tabletext"/>
              <w:rPr>
                <w:sz w:val="20"/>
              </w:rPr>
            </w:pPr>
          </w:p>
        </w:tc>
      </w:tr>
      <w:tr w:rsidR="0077746C" w:rsidRPr="00B2067F" w14:paraId="51CFCBD4"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2BB47307" w14:textId="77777777" w:rsidR="0077746C" w:rsidRPr="00B2067F" w:rsidRDefault="0077746C" w:rsidP="0077746C">
            <w:pPr>
              <w:pStyle w:val="Tabletext"/>
              <w:rPr>
                <w:sz w:val="20"/>
              </w:rPr>
            </w:pPr>
            <w:r w:rsidRPr="00B2067F">
              <w:rPr>
                <w:sz w:val="20"/>
              </w:rPr>
              <w:t>Recomendaciones aprobadas</w:t>
            </w:r>
          </w:p>
        </w:tc>
        <w:tc>
          <w:tcPr>
            <w:tcW w:w="577" w:type="dxa"/>
            <w:tcBorders>
              <w:top w:val="single" w:sz="4" w:space="0" w:color="auto"/>
              <w:left w:val="single" w:sz="4" w:space="0" w:color="auto"/>
              <w:bottom w:val="single" w:sz="4" w:space="0" w:color="auto"/>
              <w:right w:val="single" w:sz="4" w:space="0" w:color="auto"/>
            </w:tcBorders>
            <w:hideMark/>
          </w:tcPr>
          <w:p w14:paraId="44ADA630"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4CD66B0"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66E95350"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202E1B0D"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23D08649"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11BC59B7"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01CA87FE" w14:textId="77777777" w:rsidR="0077746C" w:rsidRPr="00B2067F" w:rsidRDefault="0077746C" w:rsidP="0077746C">
            <w:pPr>
              <w:pStyle w:val="Tabletext"/>
              <w:rPr>
                <w:sz w:val="20"/>
              </w:rPr>
            </w:pPr>
          </w:p>
        </w:tc>
      </w:tr>
      <w:tr w:rsidR="0077746C" w:rsidRPr="00B2067F" w14:paraId="498121AF"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2BCB5278" w14:textId="77777777" w:rsidR="0077746C" w:rsidRPr="00B2067F" w:rsidRDefault="0077746C" w:rsidP="0077746C">
            <w:pPr>
              <w:pStyle w:val="Tabletext"/>
              <w:rPr>
                <w:sz w:val="20"/>
              </w:rPr>
            </w:pPr>
            <w:r w:rsidRPr="00B2067F">
              <w:rPr>
                <w:sz w:val="20"/>
              </w:rPr>
              <w:t>Informes UIT-R</w:t>
            </w:r>
          </w:p>
        </w:tc>
        <w:tc>
          <w:tcPr>
            <w:tcW w:w="577" w:type="dxa"/>
            <w:tcBorders>
              <w:top w:val="single" w:sz="4" w:space="0" w:color="auto"/>
              <w:left w:val="single" w:sz="4" w:space="0" w:color="auto"/>
              <w:bottom w:val="single" w:sz="4" w:space="0" w:color="auto"/>
              <w:right w:val="single" w:sz="4" w:space="0" w:color="auto"/>
            </w:tcBorders>
            <w:hideMark/>
          </w:tcPr>
          <w:p w14:paraId="322796E4"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33D485BE"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7B1B867D"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6A0359A7"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1D933968"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340E072D"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hideMark/>
          </w:tcPr>
          <w:p w14:paraId="19360C43" w14:textId="77777777" w:rsidR="0077746C" w:rsidRPr="00B2067F" w:rsidRDefault="0077746C" w:rsidP="0077746C">
            <w:pPr>
              <w:pStyle w:val="Tabletext"/>
              <w:rPr>
                <w:sz w:val="20"/>
              </w:rPr>
            </w:pPr>
            <w:r w:rsidRPr="00B2067F">
              <w:rPr>
                <w:sz w:val="20"/>
              </w:rPr>
              <w:t>Depende del contenido</w:t>
            </w:r>
          </w:p>
        </w:tc>
      </w:tr>
      <w:tr w:rsidR="0077746C" w:rsidRPr="00B2067F" w14:paraId="2EEDA8F0"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79F60B04" w14:textId="77777777" w:rsidR="0077746C" w:rsidRPr="00B2067F" w:rsidRDefault="0077746C" w:rsidP="0077746C">
            <w:pPr>
              <w:pStyle w:val="Tabletext"/>
              <w:rPr>
                <w:sz w:val="20"/>
              </w:rPr>
            </w:pPr>
            <w:r w:rsidRPr="00B2067F">
              <w:rPr>
                <w:sz w:val="20"/>
              </w:rPr>
              <w:t>Manuales</w:t>
            </w:r>
          </w:p>
        </w:tc>
        <w:tc>
          <w:tcPr>
            <w:tcW w:w="577" w:type="dxa"/>
            <w:tcBorders>
              <w:top w:val="single" w:sz="4" w:space="0" w:color="auto"/>
              <w:left w:val="single" w:sz="4" w:space="0" w:color="auto"/>
              <w:bottom w:val="single" w:sz="4" w:space="0" w:color="auto"/>
              <w:right w:val="single" w:sz="4" w:space="0" w:color="auto"/>
            </w:tcBorders>
            <w:hideMark/>
          </w:tcPr>
          <w:p w14:paraId="6F118D7D"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0F6DEA20"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06BB8EE4"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64657C52"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245F382C"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73FAB66A"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hideMark/>
          </w:tcPr>
          <w:p w14:paraId="7434F6D1" w14:textId="77777777" w:rsidR="0077746C" w:rsidRPr="00B2067F" w:rsidRDefault="0077746C" w:rsidP="0077746C">
            <w:pPr>
              <w:pStyle w:val="Tabletext"/>
              <w:rPr>
                <w:sz w:val="20"/>
              </w:rPr>
            </w:pPr>
            <w:r w:rsidRPr="00B2067F">
              <w:rPr>
                <w:sz w:val="20"/>
              </w:rPr>
              <w:t>Depende del contenido</w:t>
            </w:r>
          </w:p>
        </w:tc>
      </w:tr>
      <w:tr w:rsidR="0077746C" w:rsidRPr="00B2067F" w14:paraId="5805A541" w14:textId="77777777" w:rsidTr="0077746C">
        <w:trPr>
          <w:cantSplit/>
        </w:trPr>
        <w:tc>
          <w:tcPr>
            <w:tcW w:w="3339" w:type="dxa"/>
            <w:tcBorders>
              <w:top w:val="single" w:sz="4" w:space="0" w:color="auto"/>
              <w:left w:val="single" w:sz="4" w:space="0" w:color="auto"/>
              <w:bottom w:val="single" w:sz="4" w:space="0" w:color="auto"/>
              <w:right w:val="single" w:sz="4" w:space="0" w:color="auto"/>
            </w:tcBorders>
            <w:hideMark/>
          </w:tcPr>
          <w:p w14:paraId="6E76C026" w14:textId="77777777" w:rsidR="0077746C" w:rsidRPr="00B2067F" w:rsidRDefault="0077746C" w:rsidP="0077746C">
            <w:pPr>
              <w:pStyle w:val="Tabletext"/>
              <w:rPr>
                <w:sz w:val="20"/>
              </w:rPr>
            </w:pPr>
            <w:r w:rsidRPr="00B2067F">
              <w:rPr>
                <w:sz w:val="20"/>
              </w:rPr>
              <w:t>Ruegos</w:t>
            </w:r>
          </w:p>
        </w:tc>
        <w:tc>
          <w:tcPr>
            <w:tcW w:w="577" w:type="dxa"/>
            <w:tcBorders>
              <w:top w:val="single" w:sz="4" w:space="0" w:color="auto"/>
              <w:left w:val="single" w:sz="4" w:space="0" w:color="auto"/>
              <w:bottom w:val="single" w:sz="4" w:space="0" w:color="auto"/>
              <w:right w:val="single" w:sz="4" w:space="0" w:color="auto"/>
            </w:tcBorders>
            <w:hideMark/>
          </w:tcPr>
          <w:p w14:paraId="5CB65E26"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B46CAD1"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5DFAD29"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3102D3B0"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547FDFF4"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8BF6563"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71A16752" w14:textId="77777777" w:rsidR="0077746C" w:rsidRPr="00B2067F" w:rsidRDefault="0077746C" w:rsidP="0077746C">
            <w:pPr>
              <w:pStyle w:val="Tabletext"/>
              <w:rPr>
                <w:sz w:val="20"/>
              </w:rPr>
            </w:pPr>
          </w:p>
        </w:tc>
      </w:tr>
      <w:tr w:rsidR="0077746C" w:rsidRPr="00B2067F" w14:paraId="4DD7AEA9"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6BA1A12D" w14:textId="77777777" w:rsidR="0077746C" w:rsidRPr="00B2067F" w:rsidRDefault="0077746C" w:rsidP="0077746C">
            <w:pPr>
              <w:pStyle w:val="Tabletext"/>
              <w:rPr>
                <w:sz w:val="20"/>
              </w:rPr>
            </w:pPr>
            <w:r w:rsidRPr="00B2067F">
              <w:rPr>
                <w:sz w:val="20"/>
              </w:rPr>
              <w:t>Reglamento de Radiocomunicaciones</w:t>
            </w:r>
          </w:p>
        </w:tc>
        <w:tc>
          <w:tcPr>
            <w:tcW w:w="577" w:type="dxa"/>
            <w:tcBorders>
              <w:top w:val="single" w:sz="4" w:space="0" w:color="auto"/>
              <w:left w:val="single" w:sz="4" w:space="0" w:color="auto"/>
              <w:bottom w:val="single" w:sz="4" w:space="0" w:color="auto"/>
              <w:right w:val="single" w:sz="4" w:space="0" w:color="auto"/>
            </w:tcBorders>
            <w:hideMark/>
          </w:tcPr>
          <w:p w14:paraId="32B13123"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2B6D3DF"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AEAE8C7"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30F1012C"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28C6B786"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6A7B4E8B"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1781138C" w14:textId="77777777" w:rsidR="0077746C" w:rsidRPr="00B2067F" w:rsidRDefault="0077746C" w:rsidP="0077746C">
            <w:pPr>
              <w:pStyle w:val="Tabletext"/>
              <w:rPr>
                <w:sz w:val="20"/>
              </w:rPr>
            </w:pPr>
          </w:p>
        </w:tc>
      </w:tr>
      <w:tr w:rsidR="0077746C" w:rsidRPr="00B2067F" w14:paraId="1A73485C"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66546A33" w14:textId="77777777" w:rsidR="0077746C" w:rsidRPr="00B2067F" w:rsidRDefault="0077746C" w:rsidP="0077746C">
            <w:pPr>
              <w:pStyle w:val="Tabletext"/>
              <w:rPr>
                <w:sz w:val="20"/>
              </w:rPr>
            </w:pPr>
            <w:r w:rsidRPr="00B2067F">
              <w:rPr>
                <w:sz w:val="20"/>
              </w:rPr>
              <w:t>BR-IFIC</w:t>
            </w:r>
          </w:p>
        </w:tc>
        <w:tc>
          <w:tcPr>
            <w:tcW w:w="577" w:type="dxa"/>
            <w:tcBorders>
              <w:top w:val="single" w:sz="4" w:space="0" w:color="auto"/>
              <w:left w:val="single" w:sz="4" w:space="0" w:color="auto"/>
              <w:bottom w:val="single" w:sz="4" w:space="0" w:color="auto"/>
              <w:right w:val="single" w:sz="4" w:space="0" w:color="auto"/>
            </w:tcBorders>
            <w:hideMark/>
          </w:tcPr>
          <w:p w14:paraId="4F7B1A71"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0B23AD1"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10872EA2"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2D14B400"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0E4A31DB"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F674778"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482DA72D" w14:textId="77777777" w:rsidR="0077746C" w:rsidRPr="00B2067F" w:rsidRDefault="0077746C" w:rsidP="0077746C">
            <w:pPr>
              <w:pStyle w:val="Tabletext"/>
              <w:rPr>
                <w:sz w:val="20"/>
              </w:rPr>
            </w:pPr>
          </w:p>
        </w:tc>
      </w:tr>
      <w:tr w:rsidR="0077746C" w:rsidRPr="00B2067F" w14:paraId="789FDA30"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53ABB12F" w14:textId="77777777" w:rsidR="0077746C" w:rsidRPr="00B2067F" w:rsidRDefault="0077746C" w:rsidP="0077746C">
            <w:pPr>
              <w:pStyle w:val="Tabletext"/>
              <w:rPr>
                <w:sz w:val="20"/>
              </w:rPr>
            </w:pPr>
            <w:r w:rsidRPr="00B2067F">
              <w:rPr>
                <w:sz w:val="20"/>
              </w:rPr>
              <w:t>Prefacio de la LFI</w:t>
            </w:r>
          </w:p>
        </w:tc>
        <w:tc>
          <w:tcPr>
            <w:tcW w:w="577" w:type="dxa"/>
            <w:tcBorders>
              <w:top w:val="single" w:sz="4" w:space="0" w:color="auto"/>
              <w:left w:val="single" w:sz="4" w:space="0" w:color="auto"/>
              <w:bottom w:val="single" w:sz="4" w:space="0" w:color="auto"/>
              <w:right w:val="single" w:sz="4" w:space="0" w:color="auto"/>
            </w:tcBorders>
            <w:hideMark/>
          </w:tcPr>
          <w:p w14:paraId="7CB94804"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6B0CA987"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FD0856B"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5D9B50EE"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2A7CAC5B"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0BECD622"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17DF9D3D" w14:textId="77777777" w:rsidR="0077746C" w:rsidRPr="00B2067F" w:rsidRDefault="0077746C" w:rsidP="0077746C">
            <w:pPr>
              <w:pStyle w:val="Tabletext"/>
              <w:rPr>
                <w:sz w:val="20"/>
              </w:rPr>
            </w:pPr>
          </w:p>
        </w:tc>
      </w:tr>
      <w:tr w:rsidR="0077746C" w:rsidRPr="00B2067F" w14:paraId="61FA1B61"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27826A03" w14:textId="77777777" w:rsidR="0077746C" w:rsidRPr="00B2067F" w:rsidRDefault="0077746C" w:rsidP="0077746C">
            <w:pPr>
              <w:pStyle w:val="Tabletext"/>
              <w:rPr>
                <w:sz w:val="20"/>
              </w:rPr>
            </w:pPr>
            <w:r w:rsidRPr="00B2067F">
              <w:rPr>
                <w:sz w:val="20"/>
              </w:rPr>
              <w:t>Reglas de Procedimiento</w:t>
            </w:r>
          </w:p>
        </w:tc>
        <w:tc>
          <w:tcPr>
            <w:tcW w:w="577" w:type="dxa"/>
            <w:tcBorders>
              <w:top w:val="single" w:sz="4" w:space="0" w:color="auto"/>
              <w:left w:val="single" w:sz="4" w:space="0" w:color="auto"/>
              <w:bottom w:val="single" w:sz="4" w:space="0" w:color="auto"/>
              <w:right w:val="single" w:sz="4" w:space="0" w:color="auto"/>
            </w:tcBorders>
            <w:hideMark/>
          </w:tcPr>
          <w:p w14:paraId="5129B142"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7820558"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6213EF09"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31C625F4"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19AADAE2"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A9BD064"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56966052" w14:textId="77777777" w:rsidR="0077746C" w:rsidRPr="00B2067F" w:rsidRDefault="0077746C" w:rsidP="0077746C">
            <w:pPr>
              <w:pStyle w:val="Tabletext"/>
              <w:rPr>
                <w:sz w:val="20"/>
              </w:rPr>
            </w:pPr>
          </w:p>
        </w:tc>
      </w:tr>
      <w:tr w:rsidR="0077746C" w:rsidRPr="00B2067F" w14:paraId="1833C4DE"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52F9402A" w14:textId="77777777" w:rsidR="0077746C" w:rsidRPr="00B2067F" w:rsidRDefault="0077746C" w:rsidP="0077746C">
            <w:pPr>
              <w:pStyle w:val="Tabletext"/>
              <w:rPr>
                <w:sz w:val="20"/>
              </w:rPr>
            </w:pPr>
            <w:r w:rsidRPr="00B2067F">
              <w:rPr>
                <w:sz w:val="20"/>
              </w:rPr>
              <w:t>Actas Finales (definitivas)</w:t>
            </w:r>
          </w:p>
        </w:tc>
        <w:tc>
          <w:tcPr>
            <w:tcW w:w="577" w:type="dxa"/>
            <w:tcBorders>
              <w:top w:val="single" w:sz="4" w:space="0" w:color="auto"/>
              <w:left w:val="single" w:sz="4" w:space="0" w:color="auto"/>
              <w:bottom w:val="single" w:sz="4" w:space="0" w:color="auto"/>
              <w:right w:val="single" w:sz="4" w:space="0" w:color="auto"/>
            </w:tcBorders>
            <w:hideMark/>
          </w:tcPr>
          <w:p w14:paraId="3F1F62A0"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32176606"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6B1BC1C"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2B8A6666"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778723EE"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167A493D"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6C5872AA" w14:textId="77777777" w:rsidR="0077746C" w:rsidRPr="00B2067F" w:rsidRDefault="0077746C" w:rsidP="0077746C">
            <w:pPr>
              <w:pStyle w:val="Tabletext"/>
              <w:rPr>
                <w:sz w:val="20"/>
              </w:rPr>
            </w:pPr>
          </w:p>
        </w:tc>
      </w:tr>
      <w:tr w:rsidR="0077746C" w:rsidRPr="00B2067F" w14:paraId="37903A80"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15143BB6" w14:textId="77777777" w:rsidR="0077746C" w:rsidRPr="00B2067F" w:rsidRDefault="0077746C" w:rsidP="0077746C">
            <w:pPr>
              <w:pStyle w:val="Tabletext"/>
              <w:rPr>
                <w:sz w:val="20"/>
              </w:rPr>
            </w:pPr>
            <w:r w:rsidRPr="00B2067F">
              <w:rPr>
                <w:sz w:val="20"/>
              </w:rPr>
              <w:t>Horario HFBC</w:t>
            </w:r>
          </w:p>
        </w:tc>
        <w:tc>
          <w:tcPr>
            <w:tcW w:w="577" w:type="dxa"/>
            <w:tcBorders>
              <w:top w:val="single" w:sz="4" w:space="0" w:color="auto"/>
              <w:left w:val="single" w:sz="4" w:space="0" w:color="auto"/>
              <w:bottom w:val="single" w:sz="4" w:space="0" w:color="auto"/>
              <w:right w:val="single" w:sz="4" w:space="0" w:color="auto"/>
            </w:tcBorders>
            <w:hideMark/>
          </w:tcPr>
          <w:p w14:paraId="44437E66"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tcPr>
          <w:p w14:paraId="6C54DB41"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tcPr>
          <w:p w14:paraId="0E6C4267"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hideMark/>
          </w:tcPr>
          <w:p w14:paraId="6A3C3192"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2246AB2C"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tcPr>
          <w:p w14:paraId="0C217780"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tcPr>
          <w:p w14:paraId="7AF22C08" w14:textId="77777777" w:rsidR="0077746C" w:rsidRPr="00B2067F" w:rsidRDefault="0077746C" w:rsidP="0077746C">
            <w:pPr>
              <w:pStyle w:val="Tabletext"/>
              <w:rPr>
                <w:sz w:val="20"/>
              </w:rPr>
            </w:pPr>
          </w:p>
        </w:tc>
      </w:tr>
      <w:tr w:rsidR="0077746C" w:rsidRPr="00B2067F" w14:paraId="65904368"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33210343" w14:textId="77777777" w:rsidR="0077746C" w:rsidRPr="00B2067F" w:rsidRDefault="0077746C" w:rsidP="0077746C">
            <w:pPr>
              <w:pStyle w:val="Tabletext"/>
              <w:rPr>
                <w:sz w:val="20"/>
              </w:rPr>
            </w:pPr>
            <w:r w:rsidRPr="00B2067F">
              <w:rPr>
                <w:sz w:val="20"/>
              </w:rPr>
              <w:t>Manual marítimo</w:t>
            </w:r>
          </w:p>
        </w:tc>
        <w:tc>
          <w:tcPr>
            <w:tcW w:w="577" w:type="dxa"/>
            <w:tcBorders>
              <w:top w:val="single" w:sz="4" w:space="0" w:color="auto"/>
              <w:left w:val="single" w:sz="4" w:space="0" w:color="auto"/>
              <w:bottom w:val="single" w:sz="4" w:space="0" w:color="auto"/>
              <w:right w:val="single" w:sz="4" w:space="0" w:color="auto"/>
            </w:tcBorders>
            <w:hideMark/>
          </w:tcPr>
          <w:p w14:paraId="1486F51D"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18760FDC"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044B38DA"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54D0B313"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6572BC5D"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7DB11B2A"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0E6C233B" w14:textId="77777777" w:rsidR="0077746C" w:rsidRPr="00B2067F" w:rsidRDefault="0077746C" w:rsidP="0077746C">
            <w:pPr>
              <w:pStyle w:val="Tabletext"/>
              <w:rPr>
                <w:sz w:val="20"/>
              </w:rPr>
            </w:pPr>
          </w:p>
        </w:tc>
      </w:tr>
      <w:tr w:rsidR="0077746C" w:rsidRPr="00B2067F" w14:paraId="4CE63ED8"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6A76D6BA" w14:textId="77777777" w:rsidR="0077746C" w:rsidRPr="00B2067F" w:rsidRDefault="0077746C" w:rsidP="0077746C">
            <w:pPr>
              <w:pStyle w:val="Tabletext"/>
              <w:rPr>
                <w:sz w:val="20"/>
              </w:rPr>
            </w:pPr>
            <w:r w:rsidRPr="00B2067F">
              <w:rPr>
                <w:sz w:val="20"/>
              </w:rPr>
              <w:t>Publicaciones de servicio (marítimo)</w:t>
            </w:r>
          </w:p>
        </w:tc>
        <w:tc>
          <w:tcPr>
            <w:tcW w:w="577" w:type="dxa"/>
            <w:tcBorders>
              <w:top w:val="single" w:sz="4" w:space="0" w:color="auto"/>
              <w:left w:val="single" w:sz="4" w:space="0" w:color="auto"/>
              <w:bottom w:val="single" w:sz="4" w:space="0" w:color="auto"/>
              <w:right w:val="single" w:sz="4" w:space="0" w:color="auto"/>
            </w:tcBorders>
            <w:hideMark/>
          </w:tcPr>
          <w:p w14:paraId="6C1897A0"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067DD136"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23CFB04D"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71AB4FD6"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5422CB16"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5D5FF0E"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0DA6A3CA" w14:textId="77777777" w:rsidR="0077746C" w:rsidRPr="00B2067F" w:rsidRDefault="0077746C" w:rsidP="0077746C">
            <w:pPr>
              <w:pStyle w:val="Tabletext"/>
              <w:rPr>
                <w:sz w:val="20"/>
              </w:rPr>
            </w:pPr>
          </w:p>
        </w:tc>
      </w:tr>
      <w:tr w:rsidR="0077746C" w:rsidRPr="00B2067F" w14:paraId="4E9E406E"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3805C2BB" w14:textId="77777777" w:rsidR="0077746C" w:rsidRPr="00B2067F" w:rsidRDefault="0077746C" w:rsidP="0077746C">
            <w:pPr>
              <w:pStyle w:val="Tabletext"/>
              <w:rPr>
                <w:sz w:val="20"/>
              </w:rPr>
            </w:pPr>
            <w:r w:rsidRPr="00B2067F">
              <w:rPr>
                <w:sz w:val="20"/>
              </w:rPr>
              <w:t xml:space="preserve">Listas </w:t>
            </w:r>
          </w:p>
        </w:tc>
        <w:tc>
          <w:tcPr>
            <w:tcW w:w="577" w:type="dxa"/>
            <w:tcBorders>
              <w:top w:val="single" w:sz="4" w:space="0" w:color="auto"/>
              <w:left w:val="single" w:sz="4" w:space="0" w:color="auto"/>
              <w:bottom w:val="single" w:sz="4" w:space="0" w:color="auto"/>
              <w:right w:val="single" w:sz="4" w:space="0" w:color="auto"/>
            </w:tcBorders>
            <w:hideMark/>
          </w:tcPr>
          <w:p w14:paraId="500C46BD"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0202B374"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3CAB271B"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0D0818F8"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0AB2AAA1"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03488F60"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tcPr>
          <w:p w14:paraId="11B101C9" w14:textId="77777777" w:rsidR="0077746C" w:rsidRPr="00B2067F" w:rsidRDefault="0077746C" w:rsidP="0077746C">
            <w:pPr>
              <w:pStyle w:val="Tabletext"/>
              <w:rPr>
                <w:sz w:val="20"/>
              </w:rPr>
            </w:pPr>
          </w:p>
        </w:tc>
      </w:tr>
      <w:tr w:rsidR="0077746C" w:rsidRPr="00B2067F" w14:paraId="4DB60510" w14:textId="77777777" w:rsidTr="0077746C">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281AA696" w14:textId="0A3E1967" w:rsidR="0077746C" w:rsidRPr="00B2067F" w:rsidRDefault="00226EBF" w:rsidP="0077746C">
            <w:pPr>
              <w:pStyle w:val="Tabletext"/>
              <w:rPr>
                <w:b/>
                <w:bCs/>
                <w:sz w:val="20"/>
                <w:u w:val="single"/>
              </w:rPr>
            </w:pPr>
            <w:r w:rsidRPr="00B2067F">
              <w:rPr>
                <w:b/>
                <w:bCs/>
                <w:sz w:val="20"/>
                <w:u w:val="single"/>
              </w:rPr>
              <w:t>8.</w:t>
            </w:r>
            <w:r w:rsidRPr="00B2067F">
              <w:rPr>
                <w:b/>
                <w:bCs/>
                <w:sz w:val="20"/>
                <w:u w:val="single"/>
              </w:rPr>
              <w:tab/>
            </w:r>
            <w:r w:rsidR="0077746C" w:rsidRPr="00B2067F">
              <w:rPr>
                <w:b/>
                <w:bCs/>
                <w:sz w:val="20"/>
                <w:u w:val="single"/>
              </w:rPr>
              <w:t xml:space="preserve">Documentos administrativos </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21758E2D"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35DC2B57"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5A777E06" w14:textId="77777777" w:rsidR="0077746C" w:rsidRPr="00B2067F" w:rsidRDefault="0077746C" w:rsidP="0077746C">
            <w:pPr>
              <w:pStyle w:val="Tabletext"/>
              <w:jc w:val="center"/>
              <w:rPr>
                <w:sz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352A88B8" w14:textId="77777777" w:rsidR="0077746C" w:rsidRPr="00B2067F" w:rsidRDefault="0077746C" w:rsidP="0077746C">
            <w:pPr>
              <w:pStyle w:val="Tabletext"/>
              <w:jc w:val="center"/>
              <w:rPr>
                <w:sz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3BCBBAD5" w14:textId="77777777" w:rsidR="0077746C" w:rsidRPr="00B2067F" w:rsidRDefault="0077746C" w:rsidP="0077746C">
            <w:pPr>
              <w:pStyle w:val="Tabletext"/>
              <w:jc w:val="center"/>
              <w:rPr>
                <w:sz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11CB5BDE" w14:textId="77777777" w:rsidR="0077746C" w:rsidRPr="00B2067F" w:rsidRDefault="0077746C" w:rsidP="0077746C">
            <w:pPr>
              <w:pStyle w:val="Tabletext"/>
              <w:jc w:val="center"/>
              <w:rPr>
                <w:sz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419008FF" w14:textId="77777777" w:rsidR="0077746C" w:rsidRPr="00B2067F" w:rsidRDefault="0077746C" w:rsidP="0077746C">
            <w:pPr>
              <w:pStyle w:val="Tabletext"/>
              <w:rPr>
                <w:sz w:val="20"/>
              </w:rPr>
            </w:pPr>
          </w:p>
        </w:tc>
      </w:tr>
      <w:tr w:rsidR="0077746C" w:rsidRPr="00B2067F" w14:paraId="667D4830"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5AED1C44" w14:textId="77777777" w:rsidR="0077746C" w:rsidRPr="00B2067F" w:rsidRDefault="0077746C" w:rsidP="0077746C">
            <w:pPr>
              <w:pStyle w:val="Tabletext"/>
              <w:rPr>
                <w:sz w:val="20"/>
              </w:rPr>
            </w:pPr>
            <w:r w:rsidRPr="00B2067F">
              <w:rPr>
                <w:sz w:val="20"/>
              </w:rPr>
              <w:t xml:space="preserve">Circulares </w:t>
            </w:r>
          </w:p>
        </w:tc>
        <w:tc>
          <w:tcPr>
            <w:tcW w:w="577" w:type="dxa"/>
            <w:tcBorders>
              <w:top w:val="single" w:sz="4" w:space="0" w:color="auto"/>
              <w:left w:val="single" w:sz="4" w:space="0" w:color="auto"/>
              <w:bottom w:val="single" w:sz="4" w:space="0" w:color="auto"/>
              <w:right w:val="single" w:sz="4" w:space="0" w:color="auto"/>
            </w:tcBorders>
            <w:hideMark/>
          </w:tcPr>
          <w:p w14:paraId="5562344B"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337D080C"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EAA964A"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51547E3B"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317B861C"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6AD4B07E"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hideMark/>
          </w:tcPr>
          <w:p w14:paraId="7C83C72F" w14:textId="77777777" w:rsidR="0077746C" w:rsidRPr="00B2067F" w:rsidRDefault="0077746C" w:rsidP="0077746C">
            <w:pPr>
              <w:pStyle w:val="Tabletext"/>
              <w:rPr>
                <w:sz w:val="20"/>
              </w:rPr>
            </w:pPr>
            <w:r w:rsidRPr="00B2067F">
              <w:rPr>
                <w:sz w:val="20"/>
              </w:rPr>
              <w:t>Excepto circulares relativas a los Grupos de Trabajo/Grupos de Tareas Especiales (solo inglés)</w:t>
            </w:r>
          </w:p>
        </w:tc>
      </w:tr>
      <w:tr w:rsidR="0077746C" w:rsidRPr="00B2067F" w14:paraId="1A412A47"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6F474BDA" w14:textId="0E37C976" w:rsidR="0077746C" w:rsidRPr="00B2067F" w:rsidRDefault="0077746C" w:rsidP="00226EBF">
            <w:pPr>
              <w:pStyle w:val="Tabletext"/>
              <w:ind w:left="2052"/>
              <w:rPr>
                <w:sz w:val="20"/>
              </w:rPr>
            </w:pPr>
            <w:r w:rsidRPr="00B2067F">
              <w:rPr>
                <w:sz w:val="20"/>
              </w:rPr>
              <w:t>anexos</w:t>
            </w:r>
          </w:p>
        </w:tc>
        <w:tc>
          <w:tcPr>
            <w:tcW w:w="577" w:type="dxa"/>
            <w:tcBorders>
              <w:top w:val="single" w:sz="4" w:space="0" w:color="auto"/>
              <w:left w:val="single" w:sz="4" w:space="0" w:color="auto"/>
              <w:bottom w:val="single" w:sz="4" w:space="0" w:color="auto"/>
              <w:right w:val="single" w:sz="4" w:space="0" w:color="auto"/>
            </w:tcBorders>
            <w:hideMark/>
          </w:tcPr>
          <w:p w14:paraId="1D35D20C"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34C7E6E9"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73F2363C"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2E17817A"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56CEEB87"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B2E7B73"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hideMark/>
          </w:tcPr>
          <w:p w14:paraId="2142C9B7" w14:textId="77777777" w:rsidR="0077746C" w:rsidRPr="00B2067F" w:rsidRDefault="0077746C" w:rsidP="0077746C">
            <w:pPr>
              <w:pStyle w:val="Tabletext"/>
              <w:rPr>
                <w:sz w:val="20"/>
              </w:rPr>
            </w:pPr>
            <w:r w:rsidRPr="00B2067F">
              <w:rPr>
                <w:sz w:val="20"/>
              </w:rPr>
              <w:t>Depende del contenido</w:t>
            </w:r>
          </w:p>
        </w:tc>
      </w:tr>
      <w:tr w:rsidR="0077746C" w:rsidRPr="00B2067F" w14:paraId="4381D0F7"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50FFB37E" w14:textId="77777777" w:rsidR="0077746C" w:rsidRPr="00B2067F" w:rsidRDefault="0077746C" w:rsidP="0077746C">
            <w:pPr>
              <w:pStyle w:val="Tabletext"/>
              <w:rPr>
                <w:sz w:val="20"/>
              </w:rPr>
            </w:pPr>
            <w:r w:rsidRPr="00B2067F">
              <w:rPr>
                <w:sz w:val="20"/>
              </w:rPr>
              <w:t xml:space="preserve">Material promocional y sitio web </w:t>
            </w:r>
          </w:p>
        </w:tc>
        <w:tc>
          <w:tcPr>
            <w:tcW w:w="577" w:type="dxa"/>
            <w:tcBorders>
              <w:top w:val="single" w:sz="4" w:space="0" w:color="auto"/>
              <w:left w:val="single" w:sz="4" w:space="0" w:color="auto"/>
              <w:bottom w:val="single" w:sz="4" w:space="0" w:color="auto"/>
              <w:right w:val="single" w:sz="4" w:space="0" w:color="auto"/>
            </w:tcBorders>
            <w:hideMark/>
          </w:tcPr>
          <w:p w14:paraId="7C95D079"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1A6B9AC9"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2D1DC8FE"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6AB4860C"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2A876908"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27D51640"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hideMark/>
          </w:tcPr>
          <w:p w14:paraId="34C34D86" w14:textId="77777777" w:rsidR="0077746C" w:rsidRPr="00B2067F" w:rsidRDefault="0077746C" w:rsidP="0077746C">
            <w:pPr>
              <w:pStyle w:val="Tabletext"/>
              <w:rPr>
                <w:sz w:val="20"/>
              </w:rPr>
            </w:pPr>
            <w:r w:rsidRPr="00B2067F">
              <w:rPr>
                <w:sz w:val="20"/>
              </w:rPr>
              <w:t>Depende del contenido</w:t>
            </w:r>
          </w:p>
        </w:tc>
      </w:tr>
      <w:tr w:rsidR="0077746C" w:rsidRPr="00B2067F" w14:paraId="1871306E" w14:textId="77777777" w:rsidTr="0077746C">
        <w:tc>
          <w:tcPr>
            <w:tcW w:w="3339" w:type="dxa"/>
            <w:tcBorders>
              <w:top w:val="single" w:sz="4" w:space="0" w:color="auto"/>
              <w:left w:val="single" w:sz="4" w:space="0" w:color="auto"/>
              <w:bottom w:val="single" w:sz="4" w:space="0" w:color="auto"/>
              <w:right w:val="single" w:sz="4" w:space="0" w:color="auto"/>
            </w:tcBorders>
            <w:hideMark/>
          </w:tcPr>
          <w:p w14:paraId="663A71EA" w14:textId="77777777" w:rsidR="0077746C" w:rsidRPr="00B2067F" w:rsidRDefault="0077746C" w:rsidP="0077746C">
            <w:pPr>
              <w:pStyle w:val="Tabletext"/>
              <w:rPr>
                <w:sz w:val="20"/>
              </w:rPr>
            </w:pPr>
            <w:r w:rsidRPr="00B2067F">
              <w:rPr>
                <w:sz w:val="20"/>
              </w:rPr>
              <w:t>Información general para delegados</w:t>
            </w:r>
          </w:p>
        </w:tc>
        <w:tc>
          <w:tcPr>
            <w:tcW w:w="577" w:type="dxa"/>
            <w:tcBorders>
              <w:top w:val="single" w:sz="4" w:space="0" w:color="auto"/>
              <w:left w:val="single" w:sz="4" w:space="0" w:color="auto"/>
              <w:bottom w:val="single" w:sz="4" w:space="0" w:color="auto"/>
              <w:right w:val="single" w:sz="4" w:space="0" w:color="auto"/>
            </w:tcBorders>
            <w:hideMark/>
          </w:tcPr>
          <w:p w14:paraId="6B310435"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527B5C2A"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618B9B49" w14:textId="77777777" w:rsidR="0077746C" w:rsidRPr="00B2067F" w:rsidRDefault="0077746C" w:rsidP="0077746C">
            <w:pPr>
              <w:pStyle w:val="Tabletext"/>
              <w:jc w:val="center"/>
              <w:rPr>
                <w:sz w:val="20"/>
              </w:rPr>
            </w:pPr>
            <w:r w:rsidRPr="00B2067F">
              <w:rPr>
                <w:sz w:val="20"/>
              </w:rPr>
              <w:t>x</w:t>
            </w:r>
          </w:p>
        </w:tc>
        <w:tc>
          <w:tcPr>
            <w:tcW w:w="572" w:type="dxa"/>
            <w:tcBorders>
              <w:top w:val="single" w:sz="4" w:space="0" w:color="auto"/>
              <w:left w:val="single" w:sz="4" w:space="0" w:color="auto"/>
              <w:bottom w:val="single" w:sz="4" w:space="0" w:color="auto"/>
              <w:right w:val="single" w:sz="4" w:space="0" w:color="auto"/>
            </w:tcBorders>
            <w:hideMark/>
          </w:tcPr>
          <w:p w14:paraId="43D12C2A" w14:textId="77777777" w:rsidR="0077746C" w:rsidRPr="00B2067F" w:rsidRDefault="0077746C" w:rsidP="0077746C">
            <w:pPr>
              <w:pStyle w:val="Tabletext"/>
              <w:jc w:val="center"/>
              <w:rPr>
                <w:sz w:val="20"/>
              </w:rPr>
            </w:pPr>
            <w:r w:rsidRPr="00B2067F">
              <w:rPr>
                <w:sz w:val="20"/>
              </w:rPr>
              <w:t>x</w:t>
            </w:r>
          </w:p>
        </w:tc>
        <w:tc>
          <w:tcPr>
            <w:tcW w:w="574" w:type="dxa"/>
            <w:tcBorders>
              <w:top w:val="single" w:sz="4" w:space="0" w:color="auto"/>
              <w:left w:val="single" w:sz="4" w:space="0" w:color="auto"/>
              <w:bottom w:val="single" w:sz="4" w:space="0" w:color="auto"/>
              <w:right w:val="single" w:sz="4" w:space="0" w:color="auto"/>
            </w:tcBorders>
            <w:hideMark/>
          </w:tcPr>
          <w:p w14:paraId="4A982FA2" w14:textId="77777777" w:rsidR="0077746C" w:rsidRPr="00B2067F" w:rsidRDefault="0077746C" w:rsidP="0077746C">
            <w:pPr>
              <w:pStyle w:val="Tabletext"/>
              <w:jc w:val="center"/>
              <w:rPr>
                <w:sz w:val="20"/>
              </w:rPr>
            </w:pPr>
            <w:r w:rsidRPr="00B2067F">
              <w:rPr>
                <w:sz w:val="20"/>
              </w:rPr>
              <w:t>x</w:t>
            </w:r>
          </w:p>
        </w:tc>
        <w:tc>
          <w:tcPr>
            <w:tcW w:w="580" w:type="dxa"/>
            <w:tcBorders>
              <w:top w:val="single" w:sz="4" w:space="0" w:color="auto"/>
              <w:left w:val="single" w:sz="4" w:space="0" w:color="auto"/>
              <w:bottom w:val="single" w:sz="4" w:space="0" w:color="auto"/>
              <w:right w:val="single" w:sz="4" w:space="0" w:color="auto"/>
            </w:tcBorders>
            <w:hideMark/>
          </w:tcPr>
          <w:p w14:paraId="4B6834AA" w14:textId="77777777" w:rsidR="0077746C" w:rsidRPr="00B2067F" w:rsidRDefault="0077746C" w:rsidP="0077746C">
            <w:pPr>
              <w:pStyle w:val="Tabletext"/>
              <w:jc w:val="center"/>
              <w:rPr>
                <w:sz w:val="20"/>
              </w:rPr>
            </w:pPr>
            <w:r w:rsidRPr="00B2067F">
              <w:rPr>
                <w:sz w:val="20"/>
              </w:rPr>
              <w:t>x</w:t>
            </w:r>
          </w:p>
        </w:tc>
        <w:tc>
          <w:tcPr>
            <w:tcW w:w="2837" w:type="dxa"/>
            <w:tcBorders>
              <w:top w:val="single" w:sz="4" w:space="0" w:color="auto"/>
              <w:left w:val="single" w:sz="4" w:space="0" w:color="auto"/>
              <w:bottom w:val="single" w:sz="4" w:space="0" w:color="auto"/>
              <w:right w:val="single" w:sz="4" w:space="0" w:color="auto"/>
            </w:tcBorders>
            <w:vAlign w:val="center"/>
            <w:hideMark/>
          </w:tcPr>
          <w:p w14:paraId="77B93D4A" w14:textId="77777777" w:rsidR="0077746C" w:rsidRPr="00B2067F" w:rsidRDefault="0077746C" w:rsidP="0077746C">
            <w:pPr>
              <w:pStyle w:val="Tabletext"/>
              <w:rPr>
                <w:sz w:val="20"/>
              </w:rPr>
            </w:pPr>
            <w:r w:rsidRPr="00B2067F">
              <w:rPr>
                <w:sz w:val="20"/>
              </w:rPr>
              <w:t>Depende del contenido</w:t>
            </w:r>
          </w:p>
        </w:tc>
      </w:tr>
    </w:tbl>
    <w:p w14:paraId="3CAA04BC" w14:textId="77777777" w:rsidR="0077746C" w:rsidRPr="00B2067F" w:rsidRDefault="0077746C" w:rsidP="0077746C">
      <w:pPr>
        <w:pStyle w:val="Reasons"/>
        <w:rPr>
          <w:lang w:val="es-ES_tradnl"/>
        </w:rPr>
      </w:pPr>
    </w:p>
    <w:p w14:paraId="61847D35" w14:textId="77777777" w:rsidR="0077746C" w:rsidRPr="00B2067F" w:rsidRDefault="0077746C">
      <w:pPr>
        <w:jc w:val="center"/>
      </w:pPr>
      <w:r w:rsidRPr="00B2067F">
        <w:t>______________</w:t>
      </w:r>
    </w:p>
    <w:p w14:paraId="7FDFCF2D" w14:textId="77777777" w:rsidR="0077746C" w:rsidRPr="00B2067F" w:rsidRDefault="0077746C" w:rsidP="00DD1BE8">
      <w:bookmarkStart w:id="163" w:name="_GoBack"/>
      <w:bookmarkEnd w:id="163"/>
    </w:p>
    <w:sectPr w:rsidR="0077746C" w:rsidRPr="00B2067F" w:rsidSect="004D6C09">
      <w:headerReference w:type="default" r:id="rId83"/>
      <w:headerReference w:type="first" r:id="rId84"/>
      <w:footerReference w:type="first" r:id="rId8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747E3" w14:textId="77777777" w:rsidR="00820F86" w:rsidRDefault="00820F86">
      <w:r>
        <w:separator/>
      </w:r>
    </w:p>
  </w:endnote>
  <w:endnote w:type="continuationSeparator" w:id="0">
    <w:p w14:paraId="364F01E9" w14:textId="77777777" w:rsidR="00820F86" w:rsidRDefault="0082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1A87" w14:textId="4003BAA5" w:rsidR="00820F86" w:rsidRDefault="00820F86">
    <w:pPr>
      <w:pStyle w:val="Footer"/>
      <w:rPr>
        <w:lang w:val="en-US"/>
      </w:rPr>
    </w:pPr>
    <w:r>
      <w:fldChar w:fldCharType="begin"/>
    </w:r>
    <w:r w:rsidRPr="00E72EA7">
      <w:rPr>
        <w:lang w:val="en-US"/>
      </w:rPr>
      <w:instrText xml:space="preserve"> FILENAME \p \* MERGEFORMAT </w:instrText>
    </w:r>
    <w:r>
      <w:fldChar w:fldCharType="separate"/>
    </w:r>
    <w:r>
      <w:rPr>
        <w:lang w:val="en-US"/>
      </w:rPr>
      <w:t>P:\ESP\ITU-R\AG\RAG\RAG21\000\026S.docx</w:t>
    </w:r>
    <w:r>
      <w:rPr>
        <w:lang w:val="en-US"/>
      </w:rPr>
      <w:fldChar w:fldCharType="end"/>
    </w:r>
    <w:r>
      <w:rPr>
        <w:lang w:val="en-US"/>
      </w:rPr>
      <w:t xml:space="preserve"> (481783)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01A9" w14:textId="559AB8B5" w:rsidR="00820F86" w:rsidRPr="00182A83" w:rsidRDefault="00820F86" w:rsidP="0077746C">
    <w:pPr>
      <w:pStyle w:val="Footer"/>
      <w:rPr>
        <w:lang w:val="en-US"/>
      </w:rPr>
    </w:pPr>
    <w:r>
      <w:fldChar w:fldCharType="begin"/>
    </w:r>
    <w:r w:rsidRPr="00E72EA7">
      <w:rPr>
        <w:lang w:val="en-US"/>
      </w:rPr>
      <w:instrText xml:space="preserve"> FILENAME \p \* MERGEFORMAT </w:instrText>
    </w:r>
    <w:r>
      <w:fldChar w:fldCharType="separate"/>
    </w:r>
    <w:r>
      <w:rPr>
        <w:lang w:val="en-US"/>
      </w:rPr>
      <w:t>P:\ESP\ITU-R\AG\RAG\RAG21\000\026S.docx</w:t>
    </w:r>
    <w:r>
      <w:rPr>
        <w:lang w:val="en-US"/>
      </w:rPr>
      <w:fldChar w:fldCharType="end"/>
    </w:r>
    <w:r>
      <w:rPr>
        <w:lang w:val="en-US"/>
      </w:rPr>
      <w:t xml:space="preserve"> (481783)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3B43" w14:textId="0050842D" w:rsidR="00820F86" w:rsidRPr="00182A83" w:rsidRDefault="00820F86" w:rsidP="00182A83">
    <w:pPr>
      <w:pStyle w:val="Footer"/>
      <w:rPr>
        <w:lang w:val="en-US"/>
      </w:rPr>
    </w:pPr>
    <w:r>
      <w:fldChar w:fldCharType="begin"/>
    </w:r>
    <w:r w:rsidRPr="00E72EA7">
      <w:rPr>
        <w:lang w:val="en-US"/>
      </w:rPr>
      <w:instrText xml:space="preserve"> FILENAME \p \* MERGEFORMAT </w:instrText>
    </w:r>
    <w:r>
      <w:fldChar w:fldCharType="separate"/>
    </w:r>
    <w:r>
      <w:rPr>
        <w:lang w:val="en-US"/>
      </w:rPr>
      <w:t>P:\ESP\ITU-R\AG\RAG\RAG21\000\026S.docx</w:t>
    </w:r>
    <w:r>
      <w:rPr>
        <w:lang w:val="en-US"/>
      </w:rPr>
      <w:fldChar w:fldCharType="end"/>
    </w:r>
    <w:r>
      <w:rPr>
        <w:lang w:val="en-US"/>
      </w:rPr>
      <w:t xml:space="preserve"> (481783)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FBAE" w14:textId="2B0B8E9A" w:rsidR="00820F86" w:rsidRDefault="00820F86" w:rsidP="008D0AD5">
    <w:pPr>
      <w:pStyle w:val="Footer"/>
    </w:pPr>
    <w:fldSimple w:instr=" FILENAME \p  \* MERGEFORMAT ">
      <w:r>
        <w:t>P:\ESP\ITU-R\AG\RAG\RAG21\000\026S.docx</w:t>
      </w:r>
    </w:fldSimple>
    <w:r>
      <w:t xml:space="preserve"> (</w:t>
    </w:r>
    <w:r w:rsidRPr="008D0AD5">
      <w:t>481783</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E3C0B" w14:textId="77777777" w:rsidR="00820F86" w:rsidRDefault="00820F86">
      <w:r>
        <w:t>____________________</w:t>
      </w:r>
    </w:p>
  </w:footnote>
  <w:footnote w:type="continuationSeparator" w:id="0">
    <w:p w14:paraId="4C82DEF0" w14:textId="77777777" w:rsidR="00820F86" w:rsidRDefault="00820F86">
      <w:r>
        <w:continuationSeparator/>
      </w:r>
    </w:p>
  </w:footnote>
  <w:footnote w:id="1">
    <w:p w14:paraId="10C346D0" w14:textId="08451560" w:rsidR="00820F86" w:rsidRPr="00D44FDA" w:rsidRDefault="00820F86" w:rsidP="00A40384">
      <w:pPr>
        <w:pStyle w:val="FootnoteText"/>
        <w:tabs>
          <w:tab w:val="clear" w:pos="255"/>
          <w:tab w:val="left" w:pos="397"/>
        </w:tabs>
        <w:ind w:left="397" w:hanging="397"/>
        <w:rPr>
          <w:lang w:val="es-ES"/>
        </w:rPr>
      </w:pPr>
      <w:r w:rsidRPr="00D44FDA">
        <w:rPr>
          <w:rStyle w:val="FootnoteReference"/>
          <w:lang w:val="es-ES"/>
        </w:rPr>
        <w:t>*</w:t>
      </w:r>
      <w:r w:rsidRPr="00D44FDA">
        <w:rPr>
          <w:lang w:val="es-ES"/>
        </w:rPr>
        <w:tab/>
      </w:r>
      <w:r w:rsidRPr="00D44FDA">
        <w:rPr>
          <w:color w:val="000000" w:themeColor="text1"/>
          <w:szCs w:val="24"/>
          <w:lang w:val="es-ES"/>
        </w:rPr>
        <w:t xml:space="preserve">Las fechas previstas exactas de la RPC23-2 se establecerán </w:t>
      </w:r>
      <w:r>
        <w:rPr>
          <w:color w:val="000000" w:themeColor="text1"/>
          <w:szCs w:val="24"/>
          <w:lang w:val="es-ES"/>
        </w:rPr>
        <w:t>en función de</w:t>
      </w:r>
      <w:r w:rsidRPr="00D44FDA">
        <w:rPr>
          <w:color w:val="000000" w:themeColor="text1"/>
          <w:szCs w:val="24"/>
          <w:lang w:val="es-ES"/>
        </w:rPr>
        <w:t xml:space="preserve"> la</w:t>
      </w:r>
      <w:r>
        <w:rPr>
          <w:color w:val="000000" w:themeColor="text1"/>
          <w:szCs w:val="24"/>
          <w:lang w:val="es-ES"/>
        </w:rPr>
        <w:t>s fechas definitivas de la</w:t>
      </w:r>
      <w:r w:rsidRPr="00D44FDA">
        <w:rPr>
          <w:color w:val="000000" w:themeColor="text1"/>
          <w:szCs w:val="24"/>
          <w:lang w:val="es-ES"/>
        </w:rPr>
        <w:t xml:space="preserve"> CMR-23.</w:t>
      </w:r>
    </w:p>
  </w:footnote>
  <w:footnote w:id="2">
    <w:p w14:paraId="389D5D9B" w14:textId="507B24A6" w:rsidR="00820F86" w:rsidRPr="00D44FDA" w:rsidRDefault="00820F86" w:rsidP="00A40384">
      <w:pPr>
        <w:pStyle w:val="FootnoteText"/>
        <w:tabs>
          <w:tab w:val="clear" w:pos="255"/>
          <w:tab w:val="clear" w:pos="794"/>
          <w:tab w:val="left" w:pos="397"/>
        </w:tabs>
        <w:ind w:left="397" w:hanging="397"/>
        <w:rPr>
          <w:lang w:val="es-ES"/>
        </w:rPr>
      </w:pPr>
      <w:r w:rsidRPr="00D44FDA">
        <w:rPr>
          <w:rStyle w:val="FootnoteReference"/>
          <w:lang w:val="es-ES"/>
        </w:rPr>
        <w:t>**</w:t>
      </w:r>
      <w:r>
        <w:rPr>
          <w:lang w:val="es-ES"/>
        </w:rPr>
        <w:tab/>
      </w:r>
      <w:r w:rsidRPr="00D44FDA">
        <w:rPr>
          <w:lang w:val="es-ES"/>
        </w:rPr>
        <w:t xml:space="preserve">Estas fechas pueden ser pospuestas </w:t>
      </w:r>
      <w:r>
        <w:rPr>
          <w:lang w:val="es-ES"/>
        </w:rPr>
        <w:t xml:space="preserve">una vez planificadas </w:t>
      </w:r>
      <w:r w:rsidRPr="00D44FDA">
        <w:rPr>
          <w:lang w:val="es-ES"/>
        </w:rPr>
        <w:t xml:space="preserve">las fechas </w:t>
      </w:r>
      <w:r>
        <w:rPr>
          <w:lang w:val="es-ES"/>
        </w:rPr>
        <w:t>d</w:t>
      </w:r>
      <w:r w:rsidRPr="00D44FDA">
        <w:rPr>
          <w:lang w:val="es-ES"/>
        </w:rPr>
        <w:t>e</w:t>
      </w:r>
      <w:r>
        <w:rPr>
          <w:lang w:val="es-ES"/>
        </w:rPr>
        <w:t xml:space="preserve"> </w:t>
      </w:r>
      <w:r w:rsidRPr="00D44FDA">
        <w:rPr>
          <w:lang w:val="es-ES"/>
        </w:rPr>
        <w:t>la RPC</w:t>
      </w:r>
      <w:r w:rsidRPr="00D44FDA">
        <w:rPr>
          <w:color w:val="000000" w:themeColor="text1"/>
          <w:szCs w:val="24"/>
          <w:lang w:val="es-ES"/>
        </w:rPr>
        <w:t>23-2.</w:t>
      </w:r>
    </w:p>
  </w:footnote>
  <w:footnote w:id="3">
    <w:p w14:paraId="2595C23F" w14:textId="7421CF31" w:rsidR="00820F86" w:rsidRPr="00D44FDA" w:rsidRDefault="00820F86" w:rsidP="00B55380">
      <w:pPr>
        <w:pStyle w:val="FootnoteText"/>
        <w:tabs>
          <w:tab w:val="clear" w:pos="794"/>
          <w:tab w:val="left" w:pos="426"/>
        </w:tabs>
        <w:ind w:left="397" w:hanging="397"/>
        <w:rPr>
          <w:lang w:val="es-ES"/>
        </w:rPr>
      </w:pPr>
      <w:r w:rsidRPr="00D44FDA">
        <w:rPr>
          <w:rStyle w:val="FootnoteReference"/>
          <w:lang w:val="es-ES"/>
        </w:rPr>
        <w:t>***</w:t>
      </w:r>
      <w:r>
        <w:rPr>
          <w:lang w:val="es-ES"/>
        </w:rPr>
        <w:tab/>
      </w:r>
      <w:r w:rsidRPr="00D44FDA">
        <w:rPr>
          <w:lang w:val="es-ES"/>
        </w:rPr>
        <w:t>Estas fechas y el lugar de celebración pueden sufrir cambios en funci</w:t>
      </w:r>
      <w:r>
        <w:rPr>
          <w:lang w:val="es-ES"/>
        </w:rPr>
        <w:t xml:space="preserve">ón de la evolución pandemia de la </w:t>
      </w:r>
      <w:r w:rsidRPr="00D44FDA">
        <w:rPr>
          <w:szCs w:val="24"/>
          <w:lang w:val="es-ES"/>
        </w:rPr>
        <w:t>C</w:t>
      </w:r>
      <w:r>
        <w:rPr>
          <w:szCs w:val="24"/>
          <w:lang w:val="es-ES"/>
        </w:rPr>
        <w:t>OVID</w:t>
      </w:r>
      <w:r w:rsidRPr="00D44FDA">
        <w:rPr>
          <w:szCs w:val="24"/>
          <w:lang w:val="es-ES"/>
        </w:rPr>
        <w:t>-19.</w:t>
      </w:r>
    </w:p>
  </w:footnote>
  <w:footnote w:id="4">
    <w:p w14:paraId="3D84F97B" w14:textId="6794873E" w:rsidR="00820F86" w:rsidRDefault="00820F86" w:rsidP="0077746C">
      <w:pPr>
        <w:pStyle w:val="FootnoteText"/>
      </w:pPr>
      <w:r>
        <w:rPr>
          <w:rStyle w:val="FootnoteReference"/>
        </w:rPr>
        <w:footnoteRef/>
      </w:r>
      <w:r>
        <w:tab/>
        <w:t>Res. 72 (Rev.CMR-07).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15E5" w14:textId="1CA2E9C3" w:rsidR="00820F86" w:rsidRDefault="00820F86">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EF2B8B">
      <w:rPr>
        <w:rStyle w:val="PageNumber"/>
        <w:noProof/>
      </w:rPr>
      <w:t>2</w:t>
    </w:r>
    <w:r>
      <w:rPr>
        <w:rStyle w:val="PageNumber"/>
      </w:rPr>
      <w:fldChar w:fldCharType="end"/>
    </w:r>
  </w:p>
  <w:p w14:paraId="2584D64C" w14:textId="77777777" w:rsidR="00820F86" w:rsidRDefault="00820F86" w:rsidP="00AB4BAD">
    <w:pPr>
      <w:pStyle w:val="Header"/>
      <w:rPr>
        <w:lang w:val="es-ES"/>
      </w:rPr>
    </w:pPr>
    <w:r>
      <w:rPr>
        <w:lang w:val="es-ES"/>
      </w:rPr>
      <w:t>RAG/26-S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791E" w14:textId="1A1CA47C" w:rsidR="00820F86" w:rsidRDefault="00820F86" w:rsidP="00182A8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EF2B8B">
      <w:rPr>
        <w:rStyle w:val="PageNumber"/>
        <w:noProof/>
      </w:rPr>
      <w:t>25</w:t>
    </w:r>
    <w:r>
      <w:rPr>
        <w:rStyle w:val="PageNumber"/>
      </w:rPr>
      <w:fldChar w:fldCharType="end"/>
    </w:r>
  </w:p>
  <w:p w14:paraId="3E0A3A8E" w14:textId="77777777" w:rsidR="00820F86" w:rsidRPr="00182A83" w:rsidRDefault="00820F86">
    <w:pPr>
      <w:pStyle w:val="Header"/>
      <w:rPr>
        <w:lang w:val="es-ES"/>
      </w:rPr>
    </w:pPr>
    <w:r>
      <w:rPr>
        <w:lang w:val="es-ES"/>
      </w:rPr>
      <w:t>RAG/26-S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AEA96" w14:textId="12689248" w:rsidR="00820F86" w:rsidRPr="00D87C77" w:rsidRDefault="00820F86" w:rsidP="00D87C77">
    <w:pPr>
      <w:pStyle w:val="Header"/>
      <w:rPr>
        <w:lang w:val="es-ES"/>
      </w:rPr>
    </w:pPr>
    <w:r w:rsidRPr="00D87C77">
      <w:fldChar w:fldCharType="begin"/>
    </w:r>
    <w:r w:rsidRPr="00D87C77">
      <w:instrText xml:space="preserve"> PAGE </w:instrText>
    </w:r>
    <w:r w:rsidRPr="00D87C77">
      <w:fldChar w:fldCharType="separate"/>
    </w:r>
    <w:r w:rsidR="00EF2B8B">
      <w:rPr>
        <w:noProof/>
      </w:rPr>
      <w:t>38</w:t>
    </w:r>
    <w:r w:rsidRPr="00D87C77">
      <w:fldChar w:fldCharType="end"/>
    </w:r>
  </w:p>
  <w:p w14:paraId="411732F0" w14:textId="0777B05A" w:rsidR="00820F86" w:rsidRPr="00D87C77" w:rsidRDefault="00820F86">
    <w:pPr>
      <w:pStyle w:val="Header"/>
      <w:rPr>
        <w:lang w:val="es-ES"/>
      </w:rPr>
    </w:pPr>
    <w:r w:rsidRPr="00D87C77">
      <w:rPr>
        <w:lang w:val="es-ES"/>
      </w:rPr>
      <w:t>RAG/26-S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29461" w14:textId="1FF7A1BA" w:rsidR="00820F86" w:rsidRDefault="00820F86" w:rsidP="00182A8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EF2B8B">
      <w:rPr>
        <w:rStyle w:val="PageNumber"/>
        <w:noProof/>
      </w:rPr>
      <w:t>26</w:t>
    </w:r>
    <w:r>
      <w:rPr>
        <w:rStyle w:val="PageNumber"/>
      </w:rPr>
      <w:fldChar w:fldCharType="end"/>
    </w:r>
  </w:p>
  <w:p w14:paraId="3EB99EED" w14:textId="3B23764E" w:rsidR="00820F86" w:rsidRPr="00182A83" w:rsidRDefault="00820F86">
    <w:pPr>
      <w:pStyle w:val="Header"/>
      <w:rPr>
        <w:lang w:val="es-ES"/>
      </w:rPr>
    </w:pPr>
    <w:r>
      <w:rPr>
        <w:lang w:val="es-ES"/>
      </w:rPr>
      <w:t>RAG/26-S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1CCD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D443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04CE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6206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BA9D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B4AC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A803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F079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A02D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A042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02ED9"/>
    <w:multiLevelType w:val="hybridMultilevel"/>
    <w:tmpl w:val="0B16CB7A"/>
    <w:lvl w:ilvl="0" w:tplc="BF80265C">
      <w:start w:val="1"/>
      <w:numFmt w:val="bullet"/>
      <w:lvlText w:val=""/>
      <w:lvlJc w:val="left"/>
      <w:pPr>
        <w:ind w:left="720" w:hanging="360"/>
      </w:pPr>
      <w:rPr>
        <w:rFonts w:ascii="Symbol" w:hAnsi="Symbol" w:hint="default"/>
      </w:rPr>
    </w:lvl>
    <w:lvl w:ilvl="1" w:tplc="1CDC9218">
      <w:start w:val="1"/>
      <w:numFmt w:val="bullet"/>
      <w:lvlText w:val="o"/>
      <w:lvlJc w:val="left"/>
      <w:pPr>
        <w:ind w:left="1440" w:hanging="360"/>
      </w:pPr>
      <w:rPr>
        <w:rFonts w:ascii="Courier New" w:hAnsi="Courier New" w:cs="Times New Roman" w:hint="default"/>
      </w:rPr>
    </w:lvl>
    <w:lvl w:ilvl="2" w:tplc="2514DA74">
      <w:start w:val="1"/>
      <w:numFmt w:val="bullet"/>
      <w:lvlText w:val=""/>
      <w:lvlJc w:val="left"/>
      <w:pPr>
        <w:ind w:left="2160" w:hanging="360"/>
      </w:pPr>
      <w:rPr>
        <w:rFonts w:ascii="Wingdings" w:hAnsi="Wingdings" w:hint="default"/>
      </w:rPr>
    </w:lvl>
    <w:lvl w:ilvl="3" w:tplc="0D6EAF62">
      <w:start w:val="1"/>
      <w:numFmt w:val="bullet"/>
      <w:lvlText w:val=""/>
      <w:lvlJc w:val="left"/>
      <w:pPr>
        <w:ind w:left="2880" w:hanging="360"/>
      </w:pPr>
      <w:rPr>
        <w:rFonts w:ascii="Symbol" w:hAnsi="Symbol" w:hint="default"/>
      </w:rPr>
    </w:lvl>
    <w:lvl w:ilvl="4" w:tplc="D04A41C0">
      <w:start w:val="1"/>
      <w:numFmt w:val="bullet"/>
      <w:lvlText w:val="o"/>
      <w:lvlJc w:val="left"/>
      <w:pPr>
        <w:ind w:left="3600" w:hanging="360"/>
      </w:pPr>
      <w:rPr>
        <w:rFonts w:ascii="Courier New" w:hAnsi="Courier New" w:cs="Times New Roman" w:hint="default"/>
      </w:rPr>
    </w:lvl>
    <w:lvl w:ilvl="5" w:tplc="B2BEC3F8">
      <w:start w:val="1"/>
      <w:numFmt w:val="bullet"/>
      <w:lvlText w:val=""/>
      <w:lvlJc w:val="left"/>
      <w:pPr>
        <w:ind w:left="4320" w:hanging="360"/>
      </w:pPr>
      <w:rPr>
        <w:rFonts w:ascii="Wingdings" w:hAnsi="Wingdings" w:hint="default"/>
      </w:rPr>
    </w:lvl>
    <w:lvl w:ilvl="6" w:tplc="8E54AAC8">
      <w:start w:val="1"/>
      <w:numFmt w:val="bullet"/>
      <w:lvlText w:val=""/>
      <w:lvlJc w:val="left"/>
      <w:pPr>
        <w:ind w:left="5040" w:hanging="360"/>
      </w:pPr>
      <w:rPr>
        <w:rFonts w:ascii="Symbol" w:hAnsi="Symbol" w:hint="default"/>
      </w:rPr>
    </w:lvl>
    <w:lvl w:ilvl="7" w:tplc="6AA22D2C">
      <w:start w:val="1"/>
      <w:numFmt w:val="bullet"/>
      <w:lvlText w:val="o"/>
      <w:lvlJc w:val="left"/>
      <w:pPr>
        <w:ind w:left="5760" w:hanging="360"/>
      </w:pPr>
      <w:rPr>
        <w:rFonts w:ascii="Courier New" w:hAnsi="Courier New" w:cs="Times New Roman" w:hint="default"/>
      </w:rPr>
    </w:lvl>
    <w:lvl w:ilvl="8" w:tplc="476668A8">
      <w:start w:val="1"/>
      <w:numFmt w:val="bullet"/>
      <w:lvlText w:val=""/>
      <w:lvlJc w:val="left"/>
      <w:pPr>
        <w:ind w:left="6480" w:hanging="360"/>
      </w:pPr>
      <w:rPr>
        <w:rFonts w:ascii="Wingdings" w:hAnsi="Wingdings" w:hint="default"/>
      </w:rPr>
    </w:lvl>
  </w:abstractNum>
  <w:abstractNum w:abstractNumId="11"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437D59"/>
    <w:multiLevelType w:val="hybridMultilevel"/>
    <w:tmpl w:val="A8FC3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190494"/>
    <w:multiLevelType w:val="hybridMultilevel"/>
    <w:tmpl w:val="BC746404"/>
    <w:lvl w:ilvl="0" w:tplc="FFFFFFFF">
      <w:start w:val="1"/>
      <w:numFmt w:val="bullet"/>
      <w:lvlText w:val="–"/>
      <w:lvlJc w:val="left"/>
      <w:pPr>
        <w:ind w:left="720" w:hanging="360"/>
      </w:pPr>
      <w:rPr>
        <w:rFonts w:ascii="Times New Roman" w:hAnsi="Times New Roman" w:cs="Times New Roman" w:hint="default"/>
      </w:rPr>
    </w:lvl>
    <w:lvl w:ilvl="1" w:tplc="2E4A2518">
      <w:start w:val="1"/>
      <w:numFmt w:val="bullet"/>
      <w:lvlText w:val="o"/>
      <w:lvlJc w:val="left"/>
      <w:pPr>
        <w:ind w:left="1440" w:hanging="360"/>
      </w:pPr>
      <w:rPr>
        <w:rFonts w:ascii="Times New Roman" w:hAnsi="Times New Roman" w:cs="Times New Roman"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cs="Times New Roman"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cs="Times New Roman" w:hint="default"/>
      </w:rPr>
    </w:lvl>
    <w:lvl w:ilvl="8" w:tplc="56742786">
      <w:start w:val="1"/>
      <w:numFmt w:val="bullet"/>
      <w:lvlText w:val=""/>
      <w:lvlJc w:val="left"/>
      <w:pPr>
        <w:ind w:left="6480" w:hanging="360"/>
      </w:pPr>
      <w:rPr>
        <w:rFonts w:ascii="Wingdings" w:hAnsi="Wingdings" w:hint="default"/>
      </w:rPr>
    </w:lvl>
  </w:abstractNum>
  <w:abstractNum w:abstractNumId="15" w15:restartNumberingAfterBreak="0">
    <w:nsid w:val="29A5498E"/>
    <w:multiLevelType w:val="hybridMultilevel"/>
    <w:tmpl w:val="C3AACC16"/>
    <w:lvl w:ilvl="0" w:tplc="FFFFFFFF">
      <w:start w:val="1"/>
      <w:numFmt w:val="bullet"/>
      <w:lvlText w:val=""/>
      <w:lvlJc w:val="left"/>
      <w:pPr>
        <w:ind w:left="720" w:hanging="360"/>
      </w:pPr>
      <w:rPr>
        <w:rFonts w:ascii="Symbol" w:hAnsi="Symbol" w:hint="default"/>
      </w:rPr>
    </w:lvl>
    <w:lvl w:ilvl="1" w:tplc="2160A864">
      <w:start w:val="5"/>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484CF1"/>
    <w:multiLevelType w:val="hybridMultilevel"/>
    <w:tmpl w:val="FD347B46"/>
    <w:lvl w:ilvl="0" w:tplc="31F288A8">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cs="Times New Roman"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cs="Times New Roman" w:hint="default"/>
      </w:rPr>
    </w:lvl>
    <w:lvl w:ilvl="8" w:tplc="56742786">
      <w:start w:val="1"/>
      <w:numFmt w:val="bullet"/>
      <w:lvlText w:val=""/>
      <w:lvlJc w:val="left"/>
      <w:pPr>
        <w:ind w:left="6480" w:hanging="360"/>
      </w:pPr>
      <w:rPr>
        <w:rFonts w:ascii="Wingdings" w:hAnsi="Wingdings" w:hint="default"/>
      </w:rPr>
    </w:lvl>
  </w:abstractNum>
  <w:abstractNum w:abstractNumId="17" w15:restartNumberingAfterBreak="0">
    <w:nsid w:val="523F0118"/>
    <w:multiLevelType w:val="hybridMultilevel"/>
    <w:tmpl w:val="35906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E078A"/>
    <w:multiLevelType w:val="hybridMultilevel"/>
    <w:tmpl w:val="EDD0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AA1213"/>
    <w:multiLevelType w:val="hybridMultilevel"/>
    <w:tmpl w:val="4B78D292"/>
    <w:lvl w:ilvl="0" w:tplc="A926A0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FDC2DBB"/>
    <w:multiLevelType w:val="hybridMultilevel"/>
    <w:tmpl w:val="26B41578"/>
    <w:lvl w:ilvl="0" w:tplc="08090001">
      <w:start w:val="1"/>
      <w:numFmt w:val="bullet"/>
      <w:lvlText w:val=""/>
      <w:lvlJc w:val="left"/>
      <w:pPr>
        <w:ind w:left="720" w:hanging="360"/>
      </w:pPr>
      <w:rPr>
        <w:rFonts w:ascii="Symbol" w:hAnsi="Symbol" w:hint="default"/>
      </w:rPr>
    </w:lvl>
    <w:lvl w:ilvl="1" w:tplc="4C0CC49C">
      <w:start w:val="1"/>
      <w:numFmt w:val="lowerLetter"/>
      <w:lvlText w:val="%2."/>
      <w:lvlJc w:val="left"/>
      <w:pPr>
        <w:ind w:left="1440" w:hanging="360"/>
      </w:pPr>
    </w:lvl>
    <w:lvl w:ilvl="2" w:tplc="19204214">
      <w:start w:val="1"/>
      <w:numFmt w:val="lowerRoman"/>
      <w:lvlText w:val="%3."/>
      <w:lvlJc w:val="right"/>
      <w:pPr>
        <w:ind w:left="2160" w:hanging="180"/>
      </w:pPr>
    </w:lvl>
    <w:lvl w:ilvl="3" w:tplc="7C82FCF4">
      <w:start w:val="1"/>
      <w:numFmt w:val="decimal"/>
      <w:lvlText w:val="%4."/>
      <w:lvlJc w:val="left"/>
      <w:pPr>
        <w:ind w:left="2880" w:hanging="360"/>
      </w:pPr>
    </w:lvl>
    <w:lvl w:ilvl="4" w:tplc="DF08C824">
      <w:start w:val="1"/>
      <w:numFmt w:val="lowerLetter"/>
      <w:lvlText w:val="%5."/>
      <w:lvlJc w:val="left"/>
      <w:pPr>
        <w:ind w:left="3600" w:hanging="360"/>
      </w:pPr>
    </w:lvl>
    <w:lvl w:ilvl="5" w:tplc="C6ECCD88">
      <w:start w:val="1"/>
      <w:numFmt w:val="lowerRoman"/>
      <w:lvlText w:val="%6."/>
      <w:lvlJc w:val="right"/>
      <w:pPr>
        <w:ind w:left="4320" w:hanging="180"/>
      </w:pPr>
    </w:lvl>
    <w:lvl w:ilvl="6" w:tplc="5976812A">
      <w:start w:val="1"/>
      <w:numFmt w:val="decimal"/>
      <w:lvlText w:val="%7."/>
      <w:lvlJc w:val="left"/>
      <w:pPr>
        <w:ind w:left="5040" w:hanging="360"/>
      </w:pPr>
    </w:lvl>
    <w:lvl w:ilvl="7" w:tplc="A4B40950">
      <w:start w:val="1"/>
      <w:numFmt w:val="lowerLetter"/>
      <w:lvlText w:val="%8."/>
      <w:lvlJc w:val="left"/>
      <w:pPr>
        <w:ind w:left="5760" w:hanging="360"/>
      </w:pPr>
    </w:lvl>
    <w:lvl w:ilvl="8" w:tplc="86001A4C">
      <w:start w:val="1"/>
      <w:numFmt w:val="lowerRoman"/>
      <w:lvlText w:val="%9."/>
      <w:lvlJc w:val="right"/>
      <w:pPr>
        <w:ind w:left="6480" w:hanging="180"/>
      </w:pPr>
    </w:lvl>
  </w:abstractNum>
  <w:abstractNum w:abstractNumId="21" w15:restartNumberingAfterBreak="0">
    <w:nsid w:val="72F8649D"/>
    <w:multiLevelType w:val="hybridMultilevel"/>
    <w:tmpl w:val="3FC6163E"/>
    <w:lvl w:ilvl="0" w:tplc="8AE641FE">
      <w:start w:val="1"/>
      <w:numFmt w:val="bullet"/>
      <w:lvlText w:val=""/>
      <w:lvlJc w:val="left"/>
      <w:pPr>
        <w:ind w:left="720" w:hanging="360"/>
      </w:pPr>
      <w:rPr>
        <w:rFonts w:ascii="Symbol" w:hAnsi="Symbol" w:hint="default"/>
      </w:rPr>
    </w:lvl>
    <w:lvl w:ilvl="1" w:tplc="09E613A0">
      <w:start w:val="1"/>
      <w:numFmt w:val="bullet"/>
      <w:lvlText w:val="o"/>
      <w:lvlJc w:val="left"/>
      <w:pPr>
        <w:ind w:left="1440" w:hanging="360"/>
      </w:pPr>
      <w:rPr>
        <w:rFonts w:ascii="Courier New" w:hAnsi="Courier New" w:cs="Times New Roman" w:hint="default"/>
      </w:rPr>
    </w:lvl>
    <w:lvl w:ilvl="2" w:tplc="4FDC2EC8">
      <w:start w:val="1"/>
      <w:numFmt w:val="bullet"/>
      <w:lvlText w:val=""/>
      <w:lvlJc w:val="left"/>
      <w:pPr>
        <w:ind w:left="2160" w:hanging="360"/>
      </w:pPr>
      <w:rPr>
        <w:rFonts w:ascii="Wingdings" w:hAnsi="Wingdings" w:hint="default"/>
      </w:rPr>
    </w:lvl>
    <w:lvl w:ilvl="3" w:tplc="14988104">
      <w:start w:val="1"/>
      <w:numFmt w:val="bullet"/>
      <w:lvlText w:val=""/>
      <w:lvlJc w:val="left"/>
      <w:pPr>
        <w:ind w:left="2880" w:hanging="360"/>
      </w:pPr>
      <w:rPr>
        <w:rFonts w:ascii="Symbol" w:hAnsi="Symbol" w:hint="default"/>
      </w:rPr>
    </w:lvl>
    <w:lvl w:ilvl="4" w:tplc="0598F074">
      <w:start w:val="1"/>
      <w:numFmt w:val="bullet"/>
      <w:lvlText w:val="o"/>
      <w:lvlJc w:val="left"/>
      <w:pPr>
        <w:ind w:left="3600" w:hanging="360"/>
      </w:pPr>
      <w:rPr>
        <w:rFonts w:ascii="Courier New" w:hAnsi="Courier New" w:cs="Times New Roman" w:hint="default"/>
      </w:rPr>
    </w:lvl>
    <w:lvl w:ilvl="5" w:tplc="48D8E0BA">
      <w:start w:val="1"/>
      <w:numFmt w:val="bullet"/>
      <w:lvlText w:val=""/>
      <w:lvlJc w:val="left"/>
      <w:pPr>
        <w:ind w:left="4320" w:hanging="360"/>
      </w:pPr>
      <w:rPr>
        <w:rFonts w:ascii="Wingdings" w:hAnsi="Wingdings" w:hint="default"/>
      </w:rPr>
    </w:lvl>
    <w:lvl w:ilvl="6" w:tplc="C4B84428">
      <w:start w:val="1"/>
      <w:numFmt w:val="bullet"/>
      <w:lvlText w:val=""/>
      <w:lvlJc w:val="left"/>
      <w:pPr>
        <w:ind w:left="5040" w:hanging="360"/>
      </w:pPr>
      <w:rPr>
        <w:rFonts w:ascii="Symbol" w:hAnsi="Symbol" w:hint="default"/>
      </w:rPr>
    </w:lvl>
    <w:lvl w:ilvl="7" w:tplc="3690AE68">
      <w:start w:val="1"/>
      <w:numFmt w:val="bullet"/>
      <w:lvlText w:val="o"/>
      <w:lvlJc w:val="left"/>
      <w:pPr>
        <w:ind w:left="5760" w:hanging="360"/>
      </w:pPr>
      <w:rPr>
        <w:rFonts w:ascii="Courier New" w:hAnsi="Courier New" w:cs="Times New Roman" w:hint="default"/>
      </w:rPr>
    </w:lvl>
    <w:lvl w:ilvl="8" w:tplc="6A36354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7"/>
  </w:num>
  <w:num w:numId="14">
    <w:abstractNumId w:val="15"/>
  </w:num>
  <w:num w:numId="15">
    <w:abstractNumId w:val="14"/>
  </w:num>
  <w:num w:numId="16">
    <w:abstractNumId w:val="16"/>
  </w:num>
  <w:num w:numId="17">
    <w:abstractNumId w:val="13"/>
  </w:num>
  <w:num w:numId="18">
    <w:abstractNumId w:val="19"/>
  </w:num>
  <w:num w:numId="19">
    <w:abstractNumId w:val="11"/>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es-BO"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7A"/>
    <w:rsid w:val="00005BF4"/>
    <w:rsid w:val="0001482E"/>
    <w:rsid w:val="00015000"/>
    <w:rsid w:val="00015434"/>
    <w:rsid w:val="00042185"/>
    <w:rsid w:val="00063C44"/>
    <w:rsid w:val="000A23ED"/>
    <w:rsid w:val="000A598C"/>
    <w:rsid w:val="000C62BA"/>
    <w:rsid w:val="000D756D"/>
    <w:rsid w:val="000E1FBD"/>
    <w:rsid w:val="000F4BB1"/>
    <w:rsid w:val="00100A87"/>
    <w:rsid w:val="0011384E"/>
    <w:rsid w:val="00121F42"/>
    <w:rsid w:val="0012592F"/>
    <w:rsid w:val="00130BCA"/>
    <w:rsid w:val="001320E1"/>
    <w:rsid w:val="001342F9"/>
    <w:rsid w:val="00164815"/>
    <w:rsid w:val="00175DDD"/>
    <w:rsid w:val="00182A83"/>
    <w:rsid w:val="001A3749"/>
    <w:rsid w:val="001C04D9"/>
    <w:rsid w:val="001D0F37"/>
    <w:rsid w:val="001D71AC"/>
    <w:rsid w:val="001F0BD7"/>
    <w:rsid w:val="001F2F50"/>
    <w:rsid w:val="00204C5B"/>
    <w:rsid w:val="0021044B"/>
    <w:rsid w:val="00226EBF"/>
    <w:rsid w:val="00237B6F"/>
    <w:rsid w:val="00267B11"/>
    <w:rsid w:val="00274066"/>
    <w:rsid w:val="0028612A"/>
    <w:rsid w:val="002865FC"/>
    <w:rsid w:val="0029256C"/>
    <w:rsid w:val="002A1EAE"/>
    <w:rsid w:val="002B4DB6"/>
    <w:rsid w:val="002B5B24"/>
    <w:rsid w:val="002D045D"/>
    <w:rsid w:val="002F515B"/>
    <w:rsid w:val="002F7390"/>
    <w:rsid w:val="003051F9"/>
    <w:rsid w:val="0031432E"/>
    <w:rsid w:val="00332DA2"/>
    <w:rsid w:val="0034043B"/>
    <w:rsid w:val="00344EE0"/>
    <w:rsid w:val="00362AF8"/>
    <w:rsid w:val="00364E9A"/>
    <w:rsid w:val="003678D0"/>
    <w:rsid w:val="00373CF8"/>
    <w:rsid w:val="0038696D"/>
    <w:rsid w:val="00391B29"/>
    <w:rsid w:val="003B37E1"/>
    <w:rsid w:val="003C3CDC"/>
    <w:rsid w:val="003C734A"/>
    <w:rsid w:val="003F4176"/>
    <w:rsid w:val="004009B7"/>
    <w:rsid w:val="00401056"/>
    <w:rsid w:val="00413F1A"/>
    <w:rsid w:val="00414D8B"/>
    <w:rsid w:val="00437DD0"/>
    <w:rsid w:val="00447590"/>
    <w:rsid w:val="00461E9D"/>
    <w:rsid w:val="004718F4"/>
    <w:rsid w:val="00482905"/>
    <w:rsid w:val="00492122"/>
    <w:rsid w:val="00494752"/>
    <w:rsid w:val="004A7163"/>
    <w:rsid w:val="004B176B"/>
    <w:rsid w:val="004B693C"/>
    <w:rsid w:val="004C1439"/>
    <w:rsid w:val="004C7100"/>
    <w:rsid w:val="004D6C09"/>
    <w:rsid w:val="004E5992"/>
    <w:rsid w:val="004F5FFC"/>
    <w:rsid w:val="00553C7B"/>
    <w:rsid w:val="00557AAE"/>
    <w:rsid w:val="0056716A"/>
    <w:rsid w:val="0057336B"/>
    <w:rsid w:val="00575EC4"/>
    <w:rsid w:val="005A2195"/>
    <w:rsid w:val="005B59BB"/>
    <w:rsid w:val="005D3E02"/>
    <w:rsid w:val="005E1204"/>
    <w:rsid w:val="00604B03"/>
    <w:rsid w:val="006051C3"/>
    <w:rsid w:val="00610642"/>
    <w:rsid w:val="00616601"/>
    <w:rsid w:val="00620356"/>
    <w:rsid w:val="00627BC3"/>
    <w:rsid w:val="006335BF"/>
    <w:rsid w:val="00646EEF"/>
    <w:rsid w:val="00654F90"/>
    <w:rsid w:val="00663829"/>
    <w:rsid w:val="006A42AB"/>
    <w:rsid w:val="006B5313"/>
    <w:rsid w:val="006D2858"/>
    <w:rsid w:val="006D68D9"/>
    <w:rsid w:val="006E291F"/>
    <w:rsid w:val="006F1BD5"/>
    <w:rsid w:val="007243FA"/>
    <w:rsid w:val="00733D11"/>
    <w:rsid w:val="007427BE"/>
    <w:rsid w:val="00754ECF"/>
    <w:rsid w:val="0077746C"/>
    <w:rsid w:val="00781631"/>
    <w:rsid w:val="00784006"/>
    <w:rsid w:val="007871A7"/>
    <w:rsid w:val="007B39F0"/>
    <w:rsid w:val="007D608F"/>
    <w:rsid w:val="007E3944"/>
    <w:rsid w:val="007F6B81"/>
    <w:rsid w:val="0080110F"/>
    <w:rsid w:val="00811A9A"/>
    <w:rsid w:val="00811D99"/>
    <w:rsid w:val="00820F86"/>
    <w:rsid w:val="008303AE"/>
    <w:rsid w:val="00836DFC"/>
    <w:rsid w:val="00844F6E"/>
    <w:rsid w:val="00845449"/>
    <w:rsid w:val="008506C9"/>
    <w:rsid w:val="00881B0C"/>
    <w:rsid w:val="00890AD7"/>
    <w:rsid w:val="008A6D18"/>
    <w:rsid w:val="008A73D1"/>
    <w:rsid w:val="008A7AF3"/>
    <w:rsid w:val="008C5175"/>
    <w:rsid w:val="008D0AD5"/>
    <w:rsid w:val="008F0106"/>
    <w:rsid w:val="009145C6"/>
    <w:rsid w:val="00914C45"/>
    <w:rsid w:val="009243B7"/>
    <w:rsid w:val="00924B63"/>
    <w:rsid w:val="00931559"/>
    <w:rsid w:val="00945326"/>
    <w:rsid w:val="00947A41"/>
    <w:rsid w:val="009547C8"/>
    <w:rsid w:val="0096759E"/>
    <w:rsid w:val="00972227"/>
    <w:rsid w:val="009731BC"/>
    <w:rsid w:val="00981CD0"/>
    <w:rsid w:val="00982618"/>
    <w:rsid w:val="009A4F31"/>
    <w:rsid w:val="009B16DE"/>
    <w:rsid w:val="009C1713"/>
    <w:rsid w:val="009C205E"/>
    <w:rsid w:val="009C508C"/>
    <w:rsid w:val="009E21D9"/>
    <w:rsid w:val="00A008C3"/>
    <w:rsid w:val="00A0579C"/>
    <w:rsid w:val="00A15C92"/>
    <w:rsid w:val="00A23943"/>
    <w:rsid w:val="00A3039F"/>
    <w:rsid w:val="00A308AE"/>
    <w:rsid w:val="00A40384"/>
    <w:rsid w:val="00A46615"/>
    <w:rsid w:val="00A650A0"/>
    <w:rsid w:val="00A74116"/>
    <w:rsid w:val="00A744F8"/>
    <w:rsid w:val="00A75FBA"/>
    <w:rsid w:val="00A7663C"/>
    <w:rsid w:val="00A85143"/>
    <w:rsid w:val="00A85D86"/>
    <w:rsid w:val="00A86BA9"/>
    <w:rsid w:val="00A91BEC"/>
    <w:rsid w:val="00AA0EA9"/>
    <w:rsid w:val="00AB00C5"/>
    <w:rsid w:val="00AB1323"/>
    <w:rsid w:val="00AB40B5"/>
    <w:rsid w:val="00AB4BAD"/>
    <w:rsid w:val="00AC0CF1"/>
    <w:rsid w:val="00AE0F8A"/>
    <w:rsid w:val="00AE3127"/>
    <w:rsid w:val="00AF3302"/>
    <w:rsid w:val="00B008D3"/>
    <w:rsid w:val="00B2067F"/>
    <w:rsid w:val="00B32E51"/>
    <w:rsid w:val="00B3520D"/>
    <w:rsid w:val="00B54EFF"/>
    <w:rsid w:val="00B55380"/>
    <w:rsid w:val="00B64E3D"/>
    <w:rsid w:val="00B922BE"/>
    <w:rsid w:val="00BA02DB"/>
    <w:rsid w:val="00BA1592"/>
    <w:rsid w:val="00BA39CD"/>
    <w:rsid w:val="00BA4800"/>
    <w:rsid w:val="00BA566E"/>
    <w:rsid w:val="00BB770B"/>
    <w:rsid w:val="00BC7088"/>
    <w:rsid w:val="00BD4843"/>
    <w:rsid w:val="00BF44DC"/>
    <w:rsid w:val="00C03DF2"/>
    <w:rsid w:val="00C258E8"/>
    <w:rsid w:val="00C32701"/>
    <w:rsid w:val="00C337AE"/>
    <w:rsid w:val="00C45C4A"/>
    <w:rsid w:val="00C570BC"/>
    <w:rsid w:val="00C64440"/>
    <w:rsid w:val="00C837F0"/>
    <w:rsid w:val="00C92DCD"/>
    <w:rsid w:val="00CA17F7"/>
    <w:rsid w:val="00CA5299"/>
    <w:rsid w:val="00CB7A43"/>
    <w:rsid w:val="00CC1EC2"/>
    <w:rsid w:val="00CC3744"/>
    <w:rsid w:val="00CD307A"/>
    <w:rsid w:val="00CE5D9F"/>
    <w:rsid w:val="00CF4CAC"/>
    <w:rsid w:val="00D0547D"/>
    <w:rsid w:val="00D263A0"/>
    <w:rsid w:val="00D410E1"/>
    <w:rsid w:val="00D44FDA"/>
    <w:rsid w:val="00D51E1E"/>
    <w:rsid w:val="00D74C78"/>
    <w:rsid w:val="00D85891"/>
    <w:rsid w:val="00D87C77"/>
    <w:rsid w:val="00D96B06"/>
    <w:rsid w:val="00DA06D4"/>
    <w:rsid w:val="00DB7F5A"/>
    <w:rsid w:val="00DC5B40"/>
    <w:rsid w:val="00DD1BE8"/>
    <w:rsid w:val="00DD494A"/>
    <w:rsid w:val="00DD7729"/>
    <w:rsid w:val="00DE77E6"/>
    <w:rsid w:val="00E10484"/>
    <w:rsid w:val="00E12A29"/>
    <w:rsid w:val="00E14EC1"/>
    <w:rsid w:val="00E4546A"/>
    <w:rsid w:val="00E53F93"/>
    <w:rsid w:val="00E72EA7"/>
    <w:rsid w:val="00E966AD"/>
    <w:rsid w:val="00EA4101"/>
    <w:rsid w:val="00EA5948"/>
    <w:rsid w:val="00EA6370"/>
    <w:rsid w:val="00EB26CB"/>
    <w:rsid w:val="00EE409F"/>
    <w:rsid w:val="00EF2B8B"/>
    <w:rsid w:val="00F12618"/>
    <w:rsid w:val="00F17960"/>
    <w:rsid w:val="00F23715"/>
    <w:rsid w:val="00F6687A"/>
    <w:rsid w:val="00F77D5F"/>
    <w:rsid w:val="00F83593"/>
    <w:rsid w:val="00FD103B"/>
    <w:rsid w:val="00FE19AA"/>
    <w:rsid w:val="00FF454E"/>
    <w:rsid w:val="00FF4BED"/>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C48CB1"/>
  <w15:docId w15:val="{52579481-2ADA-458F-A504-9045D15B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link w:val="TableheadChar"/>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4D6C09"/>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basedOn w:val="DefaultParagraphFont"/>
    <w:unhideWhenUsed/>
    <w:rsid w:val="00BF44DC"/>
    <w:rPr>
      <w:color w:val="0000FF" w:themeColor="hyperlink"/>
      <w:u w:val="single"/>
    </w:rPr>
  </w:style>
  <w:style w:type="character" w:customStyle="1" w:styleId="UnresolvedMention">
    <w:name w:val="Unresolved Mention"/>
    <w:basedOn w:val="DefaultParagraphFont"/>
    <w:uiPriority w:val="99"/>
    <w:semiHidden/>
    <w:unhideWhenUsed/>
    <w:rsid w:val="00BF44DC"/>
    <w:rPr>
      <w:color w:val="605E5C"/>
      <w:shd w:val="clear" w:color="auto" w:fill="E1DFDD"/>
    </w:rPr>
  </w:style>
  <w:style w:type="character" w:styleId="FollowedHyperlink">
    <w:name w:val="FollowedHyperlink"/>
    <w:basedOn w:val="DefaultParagraphFont"/>
    <w:semiHidden/>
    <w:unhideWhenUsed/>
    <w:rsid w:val="00A85D86"/>
    <w:rPr>
      <w:color w:val="800080" w:themeColor="followedHyperlink"/>
      <w:u w:val="single"/>
    </w:rPr>
  </w:style>
  <w:style w:type="table" w:styleId="TableGrid">
    <w:name w:val="Table Grid"/>
    <w:basedOn w:val="TableNormal"/>
    <w:rsid w:val="00A8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4C71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abletextChar">
    <w:name w:val="Table_text Char"/>
    <w:basedOn w:val="DefaultParagraphFont"/>
    <w:link w:val="Tabletext"/>
    <w:locked/>
    <w:rsid w:val="0038696D"/>
    <w:rPr>
      <w:rFonts w:ascii="Times New Roman" w:hAnsi="Times New Roman"/>
      <w:sz w:val="22"/>
      <w:lang w:val="es-ES_tradnl" w:eastAsia="en-US"/>
    </w:rPr>
  </w:style>
  <w:style w:type="character" w:customStyle="1" w:styleId="Heading1Char">
    <w:name w:val="Heading 1 Char"/>
    <w:basedOn w:val="DefaultParagraphFont"/>
    <w:link w:val="Heading1"/>
    <w:rsid w:val="0077746C"/>
    <w:rPr>
      <w:rFonts w:ascii="Times New Roman" w:hAnsi="Times New Roman"/>
      <w:b/>
      <w:sz w:val="24"/>
      <w:lang w:val="es-ES_tradnl" w:eastAsia="en-US"/>
    </w:rPr>
  </w:style>
  <w:style w:type="character" w:customStyle="1" w:styleId="Heading2Char">
    <w:name w:val="Heading 2 Char"/>
    <w:basedOn w:val="DefaultParagraphFont"/>
    <w:link w:val="Heading2"/>
    <w:rsid w:val="0077746C"/>
    <w:rPr>
      <w:rFonts w:ascii="Times New Roman" w:hAnsi="Times New Roman"/>
      <w:b/>
      <w:sz w:val="24"/>
      <w:lang w:val="es-ES_tradnl" w:eastAsia="en-US"/>
    </w:rPr>
  </w:style>
  <w:style w:type="character" w:customStyle="1" w:styleId="Heading3Char">
    <w:name w:val="Heading 3 Char"/>
    <w:basedOn w:val="DefaultParagraphFont"/>
    <w:link w:val="Heading3"/>
    <w:rsid w:val="0077746C"/>
    <w:rPr>
      <w:rFonts w:ascii="Times New Roman" w:hAnsi="Times New Roman"/>
      <w:b/>
      <w:sz w:val="24"/>
      <w:lang w:val="es-ES_tradnl" w:eastAsia="en-US"/>
    </w:rPr>
  </w:style>
  <w:style w:type="character" w:customStyle="1" w:styleId="Heading4Char">
    <w:name w:val="Heading 4 Char"/>
    <w:basedOn w:val="DefaultParagraphFont"/>
    <w:link w:val="Heading4"/>
    <w:rsid w:val="0077746C"/>
    <w:rPr>
      <w:rFonts w:ascii="Times New Roman" w:hAnsi="Times New Roman"/>
      <w:b/>
      <w:sz w:val="24"/>
      <w:lang w:val="es-ES_tradnl" w:eastAsia="en-US"/>
    </w:rPr>
  </w:style>
  <w:style w:type="character" w:customStyle="1" w:styleId="Heading5Char">
    <w:name w:val="Heading 5 Char"/>
    <w:basedOn w:val="DefaultParagraphFont"/>
    <w:link w:val="Heading5"/>
    <w:rsid w:val="0077746C"/>
    <w:rPr>
      <w:rFonts w:ascii="Times New Roman" w:hAnsi="Times New Roman"/>
      <w:b/>
      <w:sz w:val="24"/>
      <w:lang w:val="es-ES_tradnl" w:eastAsia="en-US"/>
    </w:rPr>
  </w:style>
  <w:style w:type="character" w:customStyle="1" w:styleId="Heading6Char">
    <w:name w:val="Heading 6 Char"/>
    <w:basedOn w:val="DefaultParagraphFont"/>
    <w:link w:val="Heading6"/>
    <w:rsid w:val="0077746C"/>
    <w:rPr>
      <w:rFonts w:ascii="Times New Roman" w:hAnsi="Times New Roman"/>
      <w:b/>
      <w:sz w:val="24"/>
      <w:lang w:val="es-ES_tradnl" w:eastAsia="en-US"/>
    </w:rPr>
  </w:style>
  <w:style w:type="character" w:customStyle="1" w:styleId="Heading7Char">
    <w:name w:val="Heading 7 Char"/>
    <w:basedOn w:val="DefaultParagraphFont"/>
    <w:link w:val="Heading7"/>
    <w:rsid w:val="0077746C"/>
    <w:rPr>
      <w:rFonts w:ascii="Times New Roman" w:hAnsi="Times New Roman"/>
      <w:b/>
      <w:sz w:val="24"/>
      <w:lang w:val="es-ES_tradnl" w:eastAsia="en-US"/>
    </w:rPr>
  </w:style>
  <w:style w:type="character" w:customStyle="1" w:styleId="Heading8Char">
    <w:name w:val="Heading 8 Char"/>
    <w:basedOn w:val="DefaultParagraphFont"/>
    <w:link w:val="Heading8"/>
    <w:rsid w:val="0077746C"/>
    <w:rPr>
      <w:rFonts w:ascii="Times New Roman" w:hAnsi="Times New Roman"/>
      <w:b/>
      <w:sz w:val="24"/>
      <w:lang w:val="es-ES_tradnl" w:eastAsia="en-US"/>
    </w:rPr>
  </w:style>
  <w:style w:type="character" w:customStyle="1" w:styleId="Heading9Char">
    <w:name w:val="Heading 9 Char"/>
    <w:basedOn w:val="DefaultParagraphFont"/>
    <w:link w:val="Heading9"/>
    <w:rsid w:val="0077746C"/>
    <w:rPr>
      <w:rFonts w:ascii="Times New Roman" w:hAnsi="Times New Roman"/>
      <w:b/>
      <w:sz w:val="24"/>
      <w:lang w:val="es-ES_tradnl" w:eastAsia="en-US"/>
    </w:rPr>
  </w:style>
  <w:style w:type="character" w:customStyle="1" w:styleId="FooterChar">
    <w:name w:val="Footer Char"/>
    <w:basedOn w:val="DefaultParagraphFont"/>
    <w:link w:val="Footer"/>
    <w:rsid w:val="0077746C"/>
    <w:rPr>
      <w:rFonts w:ascii="Times New Roman" w:hAnsi="Times New Roman"/>
      <w:caps/>
      <w:noProof/>
      <w:sz w:val="16"/>
      <w:lang w:val="es-ES_tradnl"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77746C"/>
    <w:rPr>
      <w:rFonts w:ascii="Times New Roman" w:hAnsi="Times New Roman"/>
      <w:sz w:val="24"/>
      <w:lang w:val="es-ES_tradnl" w:eastAsia="en-US"/>
    </w:rPr>
  </w:style>
  <w:style w:type="character" w:customStyle="1" w:styleId="HeaderChar">
    <w:name w:val="Header Char"/>
    <w:basedOn w:val="DefaultParagraphFont"/>
    <w:link w:val="Header"/>
    <w:rsid w:val="0077746C"/>
    <w:rPr>
      <w:rFonts w:ascii="Times New Roman" w:hAnsi="Times New Roman"/>
      <w:sz w:val="18"/>
      <w:lang w:val="es-ES_tradnl" w:eastAsia="en-US"/>
    </w:rPr>
  </w:style>
  <w:style w:type="paragraph" w:customStyle="1" w:styleId="Reasons">
    <w:name w:val="Reasons"/>
    <w:basedOn w:val="Normal"/>
    <w:qFormat/>
    <w:rsid w:val="0077746C"/>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TableheadChar">
    <w:name w:val="Table_head Char"/>
    <w:basedOn w:val="DefaultParagraphFont"/>
    <w:link w:val="Tablehead"/>
    <w:rsid w:val="00BC7088"/>
    <w:rPr>
      <w:rFonts w:ascii="Times New Roman" w:hAnsi="Times New Roman"/>
      <w:b/>
      <w:sz w:val="22"/>
      <w:lang w:val="es-ES_tradnl" w:eastAsia="en-US"/>
    </w:rPr>
  </w:style>
  <w:style w:type="table" w:customStyle="1" w:styleId="GridTable5Dark-Accent11">
    <w:name w:val="Grid Table 5 Dark - Accent 11"/>
    <w:basedOn w:val="TableNormal"/>
    <w:next w:val="GridTable5Dark-Accent1"/>
    <w:uiPriority w:val="50"/>
    <w:rsid w:val="00BC7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1002">
      <w:bodyDiv w:val="1"/>
      <w:marLeft w:val="0"/>
      <w:marRight w:val="0"/>
      <w:marTop w:val="0"/>
      <w:marBottom w:val="0"/>
      <w:divBdr>
        <w:top w:val="none" w:sz="0" w:space="0" w:color="auto"/>
        <w:left w:val="none" w:sz="0" w:space="0" w:color="auto"/>
        <w:bottom w:val="none" w:sz="0" w:space="0" w:color="auto"/>
        <w:right w:val="none" w:sz="0" w:space="0" w:color="auto"/>
      </w:divBdr>
    </w:div>
    <w:div w:id="48306558">
      <w:bodyDiv w:val="1"/>
      <w:marLeft w:val="0"/>
      <w:marRight w:val="0"/>
      <w:marTop w:val="0"/>
      <w:marBottom w:val="0"/>
      <w:divBdr>
        <w:top w:val="none" w:sz="0" w:space="0" w:color="auto"/>
        <w:left w:val="none" w:sz="0" w:space="0" w:color="auto"/>
        <w:bottom w:val="none" w:sz="0" w:space="0" w:color="auto"/>
        <w:right w:val="none" w:sz="0" w:space="0" w:color="auto"/>
      </w:divBdr>
    </w:div>
    <w:div w:id="60835104">
      <w:bodyDiv w:val="1"/>
      <w:marLeft w:val="0"/>
      <w:marRight w:val="0"/>
      <w:marTop w:val="0"/>
      <w:marBottom w:val="0"/>
      <w:divBdr>
        <w:top w:val="none" w:sz="0" w:space="0" w:color="auto"/>
        <w:left w:val="none" w:sz="0" w:space="0" w:color="auto"/>
        <w:bottom w:val="none" w:sz="0" w:space="0" w:color="auto"/>
        <w:right w:val="none" w:sz="0" w:space="0" w:color="auto"/>
      </w:divBdr>
    </w:div>
    <w:div w:id="131363808">
      <w:bodyDiv w:val="1"/>
      <w:marLeft w:val="0"/>
      <w:marRight w:val="0"/>
      <w:marTop w:val="0"/>
      <w:marBottom w:val="0"/>
      <w:divBdr>
        <w:top w:val="none" w:sz="0" w:space="0" w:color="auto"/>
        <w:left w:val="none" w:sz="0" w:space="0" w:color="auto"/>
        <w:bottom w:val="none" w:sz="0" w:space="0" w:color="auto"/>
        <w:right w:val="none" w:sz="0" w:space="0" w:color="auto"/>
      </w:divBdr>
    </w:div>
    <w:div w:id="133067652">
      <w:bodyDiv w:val="1"/>
      <w:marLeft w:val="0"/>
      <w:marRight w:val="0"/>
      <w:marTop w:val="0"/>
      <w:marBottom w:val="0"/>
      <w:divBdr>
        <w:top w:val="none" w:sz="0" w:space="0" w:color="auto"/>
        <w:left w:val="none" w:sz="0" w:space="0" w:color="auto"/>
        <w:bottom w:val="none" w:sz="0" w:space="0" w:color="auto"/>
        <w:right w:val="none" w:sz="0" w:space="0" w:color="auto"/>
      </w:divBdr>
    </w:div>
    <w:div w:id="140125059">
      <w:bodyDiv w:val="1"/>
      <w:marLeft w:val="0"/>
      <w:marRight w:val="0"/>
      <w:marTop w:val="0"/>
      <w:marBottom w:val="0"/>
      <w:divBdr>
        <w:top w:val="none" w:sz="0" w:space="0" w:color="auto"/>
        <w:left w:val="none" w:sz="0" w:space="0" w:color="auto"/>
        <w:bottom w:val="none" w:sz="0" w:space="0" w:color="auto"/>
        <w:right w:val="none" w:sz="0" w:space="0" w:color="auto"/>
      </w:divBdr>
    </w:div>
    <w:div w:id="145559976">
      <w:bodyDiv w:val="1"/>
      <w:marLeft w:val="0"/>
      <w:marRight w:val="0"/>
      <w:marTop w:val="0"/>
      <w:marBottom w:val="0"/>
      <w:divBdr>
        <w:top w:val="none" w:sz="0" w:space="0" w:color="auto"/>
        <w:left w:val="none" w:sz="0" w:space="0" w:color="auto"/>
        <w:bottom w:val="none" w:sz="0" w:space="0" w:color="auto"/>
        <w:right w:val="none" w:sz="0" w:space="0" w:color="auto"/>
      </w:divBdr>
    </w:div>
    <w:div w:id="178084017">
      <w:bodyDiv w:val="1"/>
      <w:marLeft w:val="0"/>
      <w:marRight w:val="0"/>
      <w:marTop w:val="0"/>
      <w:marBottom w:val="0"/>
      <w:divBdr>
        <w:top w:val="none" w:sz="0" w:space="0" w:color="auto"/>
        <w:left w:val="none" w:sz="0" w:space="0" w:color="auto"/>
        <w:bottom w:val="none" w:sz="0" w:space="0" w:color="auto"/>
        <w:right w:val="none" w:sz="0" w:space="0" w:color="auto"/>
      </w:divBdr>
    </w:div>
    <w:div w:id="180975418">
      <w:bodyDiv w:val="1"/>
      <w:marLeft w:val="0"/>
      <w:marRight w:val="0"/>
      <w:marTop w:val="0"/>
      <w:marBottom w:val="0"/>
      <w:divBdr>
        <w:top w:val="none" w:sz="0" w:space="0" w:color="auto"/>
        <w:left w:val="none" w:sz="0" w:space="0" w:color="auto"/>
        <w:bottom w:val="none" w:sz="0" w:space="0" w:color="auto"/>
        <w:right w:val="none" w:sz="0" w:space="0" w:color="auto"/>
      </w:divBdr>
    </w:div>
    <w:div w:id="192424332">
      <w:bodyDiv w:val="1"/>
      <w:marLeft w:val="0"/>
      <w:marRight w:val="0"/>
      <w:marTop w:val="0"/>
      <w:marBottom w:val="0"/>
      <w:divBdr>
        <w:top w:val="none" w:sz="0" w:space="0" w:color="auto"/>
        <w:left w:val="none" w:sz="0" w:space="0" w:color="auto"/>
        <w:bottom w:val="none" w:sz="0" w:space="0" w:color="auto"/>
        <w:right w:val="none" w:sz="0" w:space="0" w:color="auto"/>
      </w:divBdr>
    </w:div>
    <w:div w:id="218249631">
      <w:bodyDiv w:val="1"/>
      <w:marLeft w:val="0"/>
      <w:marRight w:val="0"/>
      <w:marTop w:val="0"/>
      <w:marBottom w:val="0"/>
      <w:divBdr>
        <w:top w:val="none" w:sz="0" w:space="0" w:color="auto"/>
        <w:left w:val="none" w:sz="0" w:space="0" w:color="auto"/>
        <w:bottom w:val="none" w:sz="0" w:space="0" w:color="auto"/>
        <w:right w:val="none" w:sz="0" w:space="0" w:color="auto"/>
      </w:divBdr>
    </w:div>
    <w:div w:id="308900680">
      <w:bodyDiv w:val="1"/>
      <w:marLeft w:val="0"/>
      <w:marRight w:val="0"/>
      <w:marTop w:val="0"/>
      <w:marBottom w:val="0"/>
      <w:divBdr>
        <w:top w:val="none" w:sz="0" w:space="0" w:color="auto"/>
        <w:left w:val="none" w:sz="0" w:space="0" w:color="auto"/>
        <w:bottom w:val="none" w:sz="0" w:space="0" w:color="auto"/>
        <w:right w:val="none" w:sz="0" w:space="0" w:color="auto"/>
      </w:divBdr>
    </w:div>
    <w:div w:id="309411635">
      <w:bodyDiv w:val="1"/>
      <w:marLeft w:val="0"/>
      <w:marRight w:val="0"/>
      <w:marTop w:val="0"/>
      <w:marBottom w:val="0"/>
      <w:divBdr>
        <w:top w:val="none" w:sz="0" w:space="0" w:color="auto"/>
        <w:left w:val="none" w:sz="0" w:space="0" w:color="auto"/>
        <w:bottom w:val="none" w:sz="0" w:space="0" w:color="auto"/>
        <w:right w:val="none" w:sz="0" w:space="0" w:color="auto"/>
      </w:divBdr>
    </w:div>
    <w:div w:id="316571612">
      <w:bodyDiv w:val="1"/>
      <w:marLeft w:val="0"/>
      <w:marRight w:val="0"/>
      <w:marTop w:val="0"/>
      <w:marBottom w:val="0"/>
      <w:divBdr>
        <w:top w:val="none" w:sz="0" w:space="0" w:color="auto"/>
        <w:left w:val="none" w:sz="0" w:space="0" w:color="auto"/>
        <w:bottom w:val="none" w:sz="0" w:space="0" w:color="auto"/>
        <w:right w:val="none" w:sz="0" w:space="0" w:color="auto"/>
      </w:divBdr>
    </w:div>
    <w:div w:id="378021720">
      <w:bodyDiv w:val="1"/>
      <w:marLeft w:val="0"/>
      <w:marRight w:val="0"/>
      <w:marTop w:val="0"/>
      <w:marBottom w:val="0"/>
      <w:divBdr>
        <w:top w:val="none" w:sz="0" w:space="0" w:color="auto"/>
        <w:left w:val="none" w:sz="0" w:space="0" w:color="auto"/>
        <w:bottom w:val="none" w:sz="0" w:space="0" w:color="auto"/>
        <w:right w:val="none" w:sz="0" w:space="0" w:color="auto"/>
      </w:divBdr>
    </w:div>
    <w:div w:id="386681894">
      <w:bodyDiv w:val="1"/>
      <w:marLeft w:val="0"/>
      <w:marRight w:val="0"/>
      <w:marTop w:val="0"/>
      <w:marBottom w:val="0"/>
      <w:divBdr>
        <w:top w:val="none" w:sz="0" w:space="0" w:color="auto"/>
        <w:left w:val="none" w:sz="0" w:space="0" w:color="auto"/>
        <w:bottom w:val="none" w:sz="0" w:space="0" w:color="auto"/>
        <w:right w:val="none" w:sz="0" w:space="0" w:color="auto"/>
      </w:divBdr>
    </w:div>
    <w:div w:id="398476049">
      <w:bodyDiv w:val="1"/>
      <w:marLeft w:val="0"/>
      <w:marRight w:val="0"/>
      <w:marTop w:val="0"/>
      <w:marBottom w:val="0"/>
      <w:divBdr>
        <w:top w:val="none" w:sz="0" w:space="0" w:color="auto"/>
        <w:left w:val="none" w:sz="0" w:space="0" w:color="auto"/>
        <w:bottom w:val="none" w:sz="0" w:space="0" w:color="auto"/>
        <w:right w:val="none" w:sz="0" w:space="0" w:color="auto"/>
      </w:divBdr>
    </w:div>
    <w:div w:id="478572654">
      <w:bodyDiv w:val="1"/>
      <w:marLeft w:val="0"/>
      <w:marRight w:val="0"/>
      <w:marTop w:val="0"/>
      <w:marBottom w:val="0"/>
      <w:divBdr>
        <w:top w:val="none" w:sz="0" w:space="0" w:color="auto"/>
        <w:left w:val="none" w:sz="0" w:space="0" w:color="auto"/>
        <w:bottom w:val="none" w:sz="0" w:space="0" w:color="auto"/>
        <w:right w:val="none" w:sz="0" w:space="0" w:color="auto"/>
      </w:divBdr>
    </w:div>
    <w:div w:id="503323849">
      <w:bodyDiv w:val="1"/>
      <w:marLeft w:val="0"/>
      <w:marRight w:val="0"/>
      <w:marTop w:val="0"/>
      <w:marBottom w:val="0"/>
      <w:divBdr>
        <w:top w:val="none" w:sz="0" w:space="0" w:color="auto"/>
        <w:left w:val="none" w:sz="0" w:space="0" w:color="auto"/>
        <w:bottom w:val="none" w:sz="0" w:space="0" w:color="auto"/>
        <w:right w:val="none" w:sz="0" w:space="0" w:color="auto"/>
      </w:divBdr>
    </w:div>
    <w:div w:id="528182696">
      <w:bodyDiv w:val="1"/>
      <w:marLeft w:val="0"/>
      <w:marRight w:val="0"/>
      <w:marTop w:val="0"/>
      <w:marBottom w:val="0"/>
      <w:divBdr>
        <w:top w:val="none" w:sz="0" w:space="0" w:color="auto"/>
        <w:left w:val="none" w:sz="0" w:space="0" w:color="auto"/>
        <w:bottom w:val="none" w:sz="0" w:space="0" w:color="auto"/>
        <w:right w:val="none" w:sz="0" w:space="0" w:color="auto"/>
      </w:divBdr>
    </w:div>
    <w:div w:id="534199519">
      <w:bodyDiv w:val="1"/>
      <w:marLeft w:val="0"/>
      <w:marRight w:val="0"/>
      <w:marTop w:val="0"/>
      <w:marBottom w:val="0"/>
      <w:divBdr>
        <w:top w:val="none" w:sz="0" w:space="0" w:color="auto"/>
        <w:left w:val="none" w:sz="0" w:space="0" w:color="auto"/>
        <w:bottom w:val="none" w:sz="0" w:space="0" w:color="auto"/>
        <w:right w:val="none" w:sz="0" w:space="0" w:color="auto"/>
      </w:divBdr>
    </w:div>
    <w:div w:id="545485279">
      <w:bodyDiv w:val="1"/>
      <w:marLeft w:val="0"/>
      <w:marRight w:val="0"/>
      <w:marTop w:val="0"/>
      <w:marBottom w:val="0"/>
      <w:divBdr>
        <w:top w:val="none" w:sz="0" w:space="0" w:color="auto"/>
        <w:left w:val="none" w:sz="0" w:space="0" w:color="auto"/>
        <w:bottom w:val="none" w:sz="0" w:space="0" w:color="auto"/>
        <w:right w:val="none" w:sz="0" w:space="0" w:color="auto"/>
      </w:divBdr>
    </w:div>
    <w:div w:id="563178373">
      <w:bodyDiv w:val="1"/>
      <w:marLeft w:val="0"/>
      <w:marRight w:val="0"/>
      <w:marTop w:val="0"/>
      <w:marBottom w:val="0"/>
      <w:divBdr>
        <w:top w:val="none" w:sz="0" w:space="0" w:color="auto"/>
        <w:left w:val="none" w:sz="0" w:space="0" w:color="auto"/>
        <w:bottom w:val="none" w:sz="0" w:space="0" w:color="auto"/>
        <w:right w:val="none" w:sz="0" w:space="0" w:color="auto"/>
      </w:divBdr>
    </w:div>
    <w:div w:id="569196968">
      <w:bodyDiv w:val="1"/>
      <w:marLeft w:val="0"/>
      <w:marRight w:val="0"/>
      <w:marTop w:val="0"/>
      <w:marBottom w:val="0"/>
      <w:divBdr>
        <w:top w:val="none" w:sz="0" w:space="0" w:color="auto"/>
        <w:left w:val="none" w:sz="0" w:space="0" w:color="auto"/>
        <w:bottom w:val="none" w:sz="0" w:space="0" w:color="auto"/>
        <w:right w:val="none" w:sz="0" w:space="0" w:color="auto"/>
      </w:divBdr>
    </w:div>
    <w:div w:id="573121869">
      <w:bodyDiv w:val="1"/>
      <w:marLeft w:val="0"/>
      <w:marRight w:val="0"/>
      <w:marTop w:val="0"/>
      <w:marBottom w:val="0"/>
      <w:divBdr>
        <w:top w:val="none" w:sz="0" w:space="0" w:color="auto"/>
        <w:left w:val="none" w:sz="0" w:space="0" w:color="auto"/>
        <w:bottom w:val="none" w:sz="0" w:space="0" w:color="auto"/>
        <w:right w:val="none" w:sz="0" w:space="0" w:color="auto"/>
      </w:divBdr>
    </w:div>
    <w:div w:id="601188533">
      <w:bodyDiv w:val="1"/>
      <w:marLeft w:val="0"/>
      <w:marRight w:val="0"/>
      <w:marTop w:val="0"/>
      <w:marBottom w:val="0"/>
      <w:divBdr>
        <w:top w:val="none" w:sz="0" w:space="0" w:color="auto"/>
        <w:left w:val="none" w:sz="0" w:space="0" w:color="auto"/>
        <w:bottom w:val="none" w:sz="0" w:space="0" w:color="auto"/>
        <w:right w:val="none" w:sz="0" w:space="0" w:color="auto"/>
      </w:divBdr>
    </w:div>
    <w:div w:id="608120767">
      <w:bodyDiv w:val="1"/>
      <w:marLeft w:val="0"/>
      <w:marRight w:val="0"/>
      <w:marTop w:val="0"/>
      <w:marBottom w:val="0"/>
      <w:divBdr>
        <w:top w:val="none" w:sz="0" w:space="0" w:color="auto"/>
        <w:left w:val="none" w:sz="0" w:space="0" w:color="auto"/>
        <w:bottom w:val="none" w:sz="0" w:space="0" w:color="auto"/>
        <w:right w:val="none" w:sz="0" w:space="0" w:color="auto"/>
      </w:divBdr>
    </w:div>
    <w:div w:id="646666093">
      <w:bodyDiv w:val="1"/>
      <w:marLeft w:val="0"/>
      <w:marRight w:val="0"/>
      <w:marTop w:val="0"/>
      <w:marBottom w:val="0"/>
      <w:divBdr>
        <w:top w:val="none" w:sz="0" w:space="0" w:color="auto"/>
        <w:left w:val="none" w:sz="0" w:space="0" w:color="auto"/>
        <w:bottom w:val="none" w:sz="0" w:space="0" w:color="auto"/>
        <w:right w:val="none" w:sz="0" w:space="0" w:color="auto"/>
      </w:divBdr>
    </w:div>
    <w:div w:id="659623339">
      <w:bodyDiv w:val="1"/>
      <w:marLeft w:val="0"/>
      <w:marRight w:val="0"/>
      <w:marTop w:val="0"/>
      <w:marBottom w:val="0"/>
      <w:divBdr>
        <w:top w:val="none" w:sz="0" w:space="0" w:color="auto"/>
        <w:left w:val="none" w:sz="0" w:space="0" w:color="auto"/>
        <w:bottom w:val="none" w:sz="0" w:space="0" w:color="auto"/>
        <w:right w:val="none" w:sz="0" w:space="0" w:color="auto"/>
      </w:divBdr>
    </w:div>
    <w:div w:id="697435545">
      <w:bodyDiv w:val="1"/>
      <w:marLeft w:val="0"/>
      <w:marRight w:val="0"/>
      <w:marTop w:val="0"/>
      <w:marBottom w:val="0"/>
      <w:divBdr>
        <w:top w:val="none" w:sz="0" w:space="0" w:color="auto"/>
        <w:left w:val="none" w:sz="0" w:space="0" w:color="auto"/>
        <w:bottom w:val="none" w:sz="0" w:space="0" w:color="auto"/>
        <w:right w:val="none" w:sz="0" w:space="0" w:color="auto"/>
      </w:divBdr>
    </w:div>
    <w:div w:id="710307262">
      <w:bodyDiv w:val="1"/>
      <w:marLeft w:val="0"/>
      <w:marRight w:val="0"/>
      <w:marTop w:val="0"/>
      <w:marBottom w:val="0"/>
      <w:divBdr>
        <w:top w:val="none" w:sz="0" w:space="0" w:color="auto"/>
        <w:left w:val="none" w:sz="0" w:space="0" w:color="auto"/>
        <w:bottom w:val="none" w:sz="0" w:space="0" w:color="auto"/>
        <w:right w:val="none" w:sz="0" w:space="0" w:color="auto"/>
      </w:divBdr>
    </w:div>
    <w:div w:id="774132563">
      <w:bodyDiv w:val="1"/>
      <w:marLeft w:val="0"/>
      <w:marRight w:val="0"/>
      <w:marTop w:val="0"/>
      <w:marBottom w:val="0"/>
      <w:divBdr>
        <w:top w:val="none" w:sz="0" w:space="0" w:color="auto"/>
        <w:left w:val="none" w:sz="0" w:space="0" w:color="auto"/>
        <w:bottom w:val="none" w:sz="0" w:space="0" w:color="auto"/>
        <w:right w:val="none" w:sz="0" w:space="0" w:color="auto"/>
      </w:divBdr>
    </w:div>
    <w:div w:id="808788361">
      <w:bodyDiv w:val="1"/>
      <w:marLeft w:val="0"/>
      <w:marRight w:val="0"/>
      <w:marTop w:val="0"/>
      <w:marBottom w:val="0"/>
      <w:divBdr>
        <w:top w:val="none" w:sz="0" w:space="0" w:color="auto"/>
        <w:left w:val="none" w:sz="0" w:space="0" w:color="auto"/>
        <w:bottom w:val="none" w:sz="0" w:space="0" w:color="auto"/>
        <w:right w:val="none" w:sz="0" w:space="0" w:color="auto"/>
      </w:divBdr>
    </w:div>
    <w:div w:id="835152980">
      <w:bodyDiv w:val="1"/>
      <w:marLeft w:val="0"/>
      <w:marRight w:val="0"/>
      <w:marTop w:val="0"/>
      <w:marBottom w:val="0"/>
      <w:divBdr>
        <w:top w:val="none" w:sz="0" w:space="0" w:color="auto"/>
        <w:left w:val="none" w:sz="0" w:space="0" w:color="auto"/>
        <w:bottom w:val="none" w:sz="0" w:space="0" w:color="auto"/>
        <w:right w:val="none" w:sz="0" w:space="0" w:color="auto"/>
      </w:divBdr>
    </w:div>
    <w:div w:id="845218169">
      <w:bodyDiv w:val="1"/>
      <w:marLeft w:val="0"/>
      <w:marRight w:val="0"/>
      <w:marTop w:val="0"/>
      <w:marBottom w:val="0"/>
      <w:divBdr>
        <w:top w:val="none" w:sz="0" w:space="0" w:color="auto"/>
        <w:left w:val="none" w:sz="0" w:space="0" w:color="auto"/>
        <w:bottom w:val="none" w:sz="0" w:space="0" w:color="auto"/>
        <w:right w:val="none" w:sz="0" w:space="0" w:color="auto"/>
      </w:divBdr>
    </w:div>
    <w:div w:id="858785778">
      <w:bodyDiv w:val="1"/>
      <w:marLeft w:val="0"/>
      <w:marRight w:val="0"/>
      <w:marTop w:val="0"/>
      <w:marBottom w:val="0"/>
      <w:divBdr>
        <w:top w:val="none" w:sz="0" w:space="0" w:color="auto"/>
        <w:left w:val="none" w:sz="0" w:space="0" w:color="auto"/>
        <w:bottom w:val="none" w:sz="0" w:space="0" w:color="auto"/>
        <w:right w:val="none" w:sz="0" w:space="0" w:color="auto"/>
      </w:divBdr>
    </w:div>
    <w:div w:id="861286765">
      <w:bodyDiv w:val="1"/>
      <w:marLeft w:val="0"/>
      <w:marRight w:val="0"/>
      <w:marTop w:val="0"/>
      <w:marBottom w:val="0"/>
      <w:divBdr>
        <w:top w:val="none" w:sz="0" w:space="0" w:color="auto"/>
        <w:left w:val="none" w:sz="0" w:space="0" w:color="auto"/>
        <w:bottom w:val="none" w:sz="0" w:space="0" w:color="auto"/>
        <w:right w:val="none" w:sz="0" w:space="0" w:color="auto"/>
      </w:divBdr>
    </w:div>
    <w:div w:id="863714029">
      <w:bodyDiv w:val="1"/>
      <w:marLeft w:val="0"/>
      <w:marRight w:val="0"/>
      <w:marTop w:val="0"/>
      <w:marBottom w:val="0"/>
      <w:divBdr>
        <w:top w:val="none" w:sz="0" w:space="0" w:color="auto"/>
        <w:left w:val="none" w:sz="0" w:space="0" w:color="auto"/>
        <w:bottom w:val="none" w:sz="0" w:space="0" w:color="auto"/>
        <w:right w:val="none" w:sz="0" w:space="0" w:color="auto"/>
      </w:divBdr>
    </w:div>
    <w:div w:id="892085357">
      <w:bodyDiv w:val="1"/>
      <w:marLeft w:val="0"/>
      <w:marRight w:val="0"/>
      <w:marTop w:val="0"/>
      <w:marBottom w:val="0"/>
      <w:divBdr>
        <w:top w:val="none" w:sz="0" w:space="0" w:color="auto"/>
        <w:left w:val="none" w:sz="0" w:space="0" w:color="auto"/>
        <w:bottom w:val="none" w:sz="0" w:space="0" w:color="auto"/>
        <w:right w:val="none" w:sz="0" w:space="0" w:color="auto"/>
      </w:divBdr>
    </w:div>
    <w:div w:id="901453157">
      <w:bodyDiv w:val="1"/>
      <w:marLeft w:val="0"/>
      <w:marRight w:val="0"/>
      <w:marTop w:val="0"/>
      <w:marBottom w:val="0"/>
      <w:divBdr>
        <w:top w:val="none" w:sz="0" w:space="0" w:color="auto"/>
        <w:left w:val="none" w:sz="0" w:space="0" w:color="auto"/>
        <w:bottom w:val="none" w:sz="0" w:space="0" w:color="auto"/>
        <w:right w:val="none" w:sz="0" w:space="0" w:color="auto"/>
      </w:divBdr>
    </w:div>
    <w:div w:id="914365650">
      <w:bodyDiv w:val="1"/>
      <w:marLeft w:val="0"/>
      <w:marRight w:val="0"/>
      <w:marTop w:val="0"/>
      <w:marBottom w:val="0"/>
      <w:divBdr>
        <w:top w:val="none" w:sz="0" w:space="0" w:color="auto"/>
        <w:left w:val="none" w:sz="0" w:space="0" w:color="auto"/>
        <w:bottom w:val="none" w:sz="0" w:space="0" w:color="auto"/>
        <w:right w:val="none" w:sz="0" w:space="0" w:color="auto"/>
      </w:divBdr>
    </w:div>
    <w:div w:id="919559598">
      <w:bodyDiv w:val="1"/>
      <w:marLeft w:val="0"/>
      <w:marRight w:val="0"/>
      <w:marTop w:val="0"/>
      <w:marBottom w:val="0"/>
      <w:divBdr>
        <w:top w:val="none" w:sz="0" w:space="0" w:color="auto"/>
        <w:left w:val="none" w:sz="0" w:space="0" w:color="auto"/>
        <w:bottom w:val="none" w:sz="0" w:space="0" w:color="auto"/>
        <w:right w:val="none" w:sz="0" w:space="0" w:color="auto"/>
      </w:divBdr>
    </w:div>
    <w:div w:id="931888135">
      <w:bodyDiv w:val="1"/>
      <w:marLeft w:val="0"/>
      <w:marRight w:val="0"/>
      <w:marTop w:val="0"/>
      <w:marBottom w:val="0"/>
      <w:divBdr>
        <w:top w:val="none" w:sz="0" w:space="0" w:color="auto"/>
        <w:left w:val="none" w:sz="0" w:space="0" w:color="auto"/>
        <w:bottom w:val="none" w:sz="0" w:space="0" w:color="auto"/>
        <w:right w:val="none" w:sz="0" w:space="0" w:color="auto"/>
      </w:divBdr>
    </w:div>
    <w:div w:id="947271179">
      <w:bodyDiv w:val="1"/>
      <w:marLeft w:val="0"/>
      <w:marRight w:val="0"/>
      <w:marTop w:val="0"/>
      <w:marBottom w:val="0"/>
      <w:divBdr>
        <w:top w:val="none" w:sz="0" w:space="0" w:color="auto"/>
        <w:left w:val="none" w:sz="0" w:space="0" w:color="auto"/>
        <w:bottom w:val="none" w:sz="0" w:space="0" w:color="auto"/>
        <w:right w:val="none" w:sz="0" w:space="0" w:color="auto"/>
      </w:divBdr>
    </w:div>
    <w:div w:id="980424430">
      <w:bodyDiv w:val="1"/>
      <w:marLeft w:val="0"/>
      <w:marRight w:val="0"/>
      <w:marTop w:val="0"/>
      <w:marBottom w:val="0"/>
      <w:divBdr>
        <w:top w:val="none" w:sz="0" w:space="0" w:color="auto"/>
        <w:left w:val="none" w:sz="0" w:space="0" w:color="auto"/>
        <w:bottom w:val="none" w:sz="0" w:space="0" w:color="auto"/>
        <w:right w:val="none" w:sz="0" w:space="0" w:color="auto"/>
      </w:divBdr>
    </w:div>
    <w:div w:id="1015379642">
      <w:bodyDiv w:val="1"/>
      <w:marLeft w:val="0"/>
      <w:marRight w:val="0"/>
      <w:marTop w:val="0"/>
      <w:marBottom w:val="0"/>
      <w:divBdr>
        <w:top w:val="none" w:sz="0" w:space="0" w:color="auto"/>
        <w:left w:val="none" w:sz="0" w:space="0" w:color="auto"/>
        <w:bottom w:val="none" w:sz="0" w:space="0" w:color="auto"/>
        <w:right w:val="none" w:sz="0" w:space="0" w:color="auto"/>
      </w:divBdr>
    </w:div>
    <w:div w:id="1057435219">
      <w:bodyDiv w:val="1"/>
      <w:marLeft w:val="0"/>
      <w:marRight w:val="0"/>
      <w:marTop w:val="0"/>
      <w:marBottom w:val="0"/>
      <w:divBdr>
        <w:top w:val="none" w:sz="0" w:space="0" w:color="auto"/>
        <w:left w:val="none" w:sz="0" w:space="0" w:color="auto"/>
        <w:bottom w:val="none" w:sz="0" w:space="0" w:color="auto"/>
        <w:right w:val="none" w:sz="0" w:space="0" w:color="auto"/>
      </w:divBdr>
    </w:div>
    <w:div w:id="1085112076">
      <w:bodyDiv w:val="1"/>
      <w:marLeft w:val="0"/>
      <w:marRight w:val="0"/>
      <w:marTop w:val="0"/>
      <w:marBottom w:val="0"/>
      <w:divBdr>
        <w:top w:val="none" w:sz="0" w:space="0" w:color="auto"/>
        <w:left w:val="none" w:sz="0" w:space="0" w:color="auto"/>
        <w:bottom w:val="none" w:sz="0" w:space="0" w:color="auto"/>
        <w:right w:val="none" w:sz="0" w:space="0" w:color="auto"/>
      </w:divBdr>
    </w:div>
    <w:div w:id="1091506942">
      <w:bodyDiv w:val="1"/>
      <w:marLeft w:val="0"/>
      <w:marRight w:val="0"/>
      <w:marTop w:val="0"/>
      <w:marBottom w:val="0"/>
      <w:divBdr>
        <w:top w:val="none" w:sz="0" w:space="0" w:color="auto"/>
        <w:left w:val="none" w:sz="0" w:space="0" w:color="auto"/>
        <w:bottom w:val="none" w:sz="0" w:space="0" w:color="auto"/>
        <w:right w:val="none" w:sz="0" w:space="0" w:color="auto"/>
      </w:divBdr>
    </w:div>
    <w:div w:id="1120951775">
      <w:bodyDiv w:val="1"/>
      <w:marLeft w:val="0"/>
      <w:marRight w:val="0"/>
      <w:marTop w:val="0"/>
      <w:marBottom w:val="0"/>
      <w:divBdr>
        <w:top w:val="none" w:sz="0" w:space="0" w:color="auto"/>
        <w:left w:val="none" w:sz="0" w:space="0" w:color="auto"/>
        <w:bottom w:val="none" w:sz="0" w:space="0" w:color="auto"/>
        <w:right w:val="none" w:sz="0" w:space="0" w:color="auto"/>
      </w:divBdr>
    </w:div>
    <w:div w:id="1122959613">
      <w:bodyDiv w:val="1"/>
      <w:marLeft w:val="0"/>
      <w:marRight w:val="0"/>
      <w:marTop w:val="0"/>
      <w:marBottom w:val="0"/>
      <w:divBdr>
        <w:top w:val="none" w:sz="0" w:space="0" w:color="auto"/>
        <w:left w:val="none" w:sz="0" w:space="0" w:color="auto"/>
        <w:bottom w:val="none" w:sz="0" w:space="0" w:color="auto"/>
        <w:right w:val="none" w:sz="0" w:space="0" w:color="auto"/>
      </w:divBdr>
    </w:div>
    <w:div w:id="1128082988">
      <w:bodyDiv w:val="1"/>
      <w:marLeft w:val="0"/>
      <w:marRight w:val="0"/>
      <w:marTop w:val="0"/>
      <w:marBottom w:val="0"/>
      <w:divBdr>
        <w:top w:val="none" w:sz="0" w:space="0" w:color="auto"/>
        <w:left w:val="none" w:sz="0" w:space="0" w:color="auto"/>
        <w:bottom w:val="none" w:sz="0" w:space="0" w:color="auto"/>
        <w:right w:val="none" w:sz="0" w:space="0" w:color="auto"/>
      </w:divBdr>
    </w:div>
    <w:div w:id="1133791663">
      <w:bodyDiv w:val="1"/>
      <w:marLeft w:val="0"/>
      <w:marRight w:val="0"/>
      <w:marTop w:val="0"/>
      <w:marBottom w:val="0"/>
      <w:divBdr>
        <w:top w:val="none" w:sz="0" w:space="0" w:color="auto"/>
        <w:left w:val="none" w:sz="0" w:space="0" w:color="auto"/>
        <w:bottom w:val="none" w:sz="0" w:space="0" w:color="auto"/>
        <w:right w:val="none" w:sz="0" w:space="0" w:color="auto"/>
      </w:divBdr>
    </w:div>
    <w:div w:id="1157039918">
      <w:bodyDiv w:val="1"/>
      <w:marLeft w:val="0"/>
      <w:marRight w:val="0"/>
      <w:marTop w:val="0"/>
      <w:marBottom w:val="0"/>
      <w:divBdr>
        <w:top w:val="none" w:sz="0" w:space="0" w:color="auto"/>
        <w:left w:val="none" w:sz="0" w:space="0" w:color="auto"/>
        <w:bottom w:val="none" w:sz="0" w:space="0" w:color="auto"/>
        <w:right w:val="none" w:sz="0" w:space="0" w:color="auto"/>
      </w:divBdr>
    </w:div>
    <w:div w:id="1169522577">
      <w:bodyDiv w:val="1"/>
      <w:marLeft w:val="0"/>
      <w:marRight w:val="0"/>
      <w:marTop w:val="0"/>
      <w:marBottom w:val="0"/>
      <w:divBdr>
        <w:top w:val="none" w:sz="0" w:space="0" w:color="auto"/>
        <w:left w:val="none" w:sz="0" w:space="0" w:color="auto"/>
        <w:bottom w:val="none" w:sz="0" w:space="0" w:color="auto"/>
        <w:right w:val="none" w:sz="0" w:space="0" w:color="auto"/>
      </w:divBdr>
    </w:div>
    <w:div w:id="1171796575">
      <w:bodyDiv w:val="1"/>
      <w:marLeft w:val="0"/>
      <w:marRight w:val="0"/>
      <w:marTop w:val="0"/>
      <w:marBottom w:val="0"/>
      <w:divBdr>
        <w:top w:val="none" w:sz="0" w:space="0" w:color="auto"/>
        <w:left w:val="none" w:sz="0" w:space="0" w:color="auto"/>
        <w:bottom w:val="none" w:sz="0" w:space="0" w:color="auto"/>
        <w:right w:val="none" w:sz="0" w:space="0" w:color="auto"/>
      </w:divBdr>
    </w:div>
    <w:div w:id="1192692877">
      <w:bodyDiv w:val="1"/>
      <w:marLeft w:val="0"/>
      <w:marRight w:val="0"/>
      <w:marTop w:val="0"/>
      <w:marBottom w:val="0"/>
      <w:divBdr>
        <w:top w:val="none" w:sz="0" w:space="0" w:color="auto"/>
        <w:left w:val="none" w:sz="0" w:space="0" w:color="auto"/>
        <w:bottom w:val="none" w:sz="0" w:space="0" w:color="auto"/>
        <w:right w:val="none" w:sz="0" w:space="0" w:color="auto"/>
      </w:divBdr>
    </w:div>
    <w:div w:id="1192840419">
      <w:bodyDiv w:val="1"/>
      <w:marLeft w:val="0"/>
      <w:marRight w:val="0"/>
      <w:marTop w:val="0"/>
      <w:marBottom w:val="0"/>
      <w:divBdr>
        <w:top w:val="none" w:sz="0" w:space="0" w:color="auto"/>
        <w:left w:val="none" w:sz="0" w:space="0" w:color="auto"/>
        <w:bottom w:val="none" w:sz="0" w:space="0" w:color="auto"/>
        <w:right w:val="none" w:sz="0" w:space="0" w:color="auto"/>
      </w:divBdr>
    </w:div>
    <w:div w:id="1255241669">
      <w:bodyDiv w:val="1"/>
      <w:marLeft w:val="0"/>
      <w:marRight w:val="0"/>
      <w:marTop w:val="0"/>
      <w:marBottom w:val="0"/>
      <w:divBdr>
        <w:top w:val="none" w:sz="0" w:space="0" w:color="auto"/>
        <w:left w:val="none" w:sz="0" w:space="0" w:color="auto"/>
        <w:bottom w:val="none" w:sz="0" w:space="0" w:color="auto"/>
        <w:right w:val="none" w:sz="0" w:space="0" w:color="auto"/>
      </w:divBdr>
    </w:div>
    <w:div w:id="1256473851">
      <w:bodyDiv w:val="1"/>
      <w:marLeft w:val="0"/>
      <w:marRight w:val="0"/>
      <w:marTop w:val="0"/>
      <w:marBottom w:val="0"/>
      <w:divBdr>
        <w:top w:val="none" w:sz="0" w:space="0" w:color="auto"/>
        <w:left w:val="none" w:sz="0" w:space="0" w:color="auto"/>
        <w:bottom w:val="none" w:sz="0" w:space="0" w:color="auto"/>
        <w:right w:val="none" w:sz="0" w:space="0" w:color="auto"/>
      </w:divBdr>
    </w:div>
    <w:div w:id="1257445555">
      <w:bodyDiv w:val="1"/>
      <w:marLeft w:val="0"/>
      <w:marRight w:val="0"/>
      <w:marTop w:val="0"/>
      <w:marBottom w:val="0"/>
      <w:divBdr>
        <w:top w:val="none" w:sz="0" w:space="0" w:color="auto"/>
        <w:left w:val="none" w:sz="0" w:space="0" w:color="auto"/>
        <w:bottom w:val="none" w:sz="0" w:space="0" w:color="auto"/>
        <w:right w:val="none" w:sz="0" w:space="0" w:color="auto"/>
      </w:divBdr>
    </w:div>
    <w:div w:id="1267077421">
      <w:bodyDiv w:val="1"/>
      <w:marLeft w:val="0"/>
      <w:marRight w:val="0"/>
      <w:marTop w:val="0"/>
      <w:marBottom w:val="0"/>
      <w:divBdr>
        <w:top w:val="none" w:sz="0" w:space="0" w:color="auto"/>
        <w:left w:val="none" w:sz="0" w:space="0" w:color="auto"/>
        <w:bottom w:val="none" w:sz="0" w:space="0" w:color="auto"/>
        <w:right w:val="none" w:sz="0" w:space="0" w:color="auto"/>
      </w:divBdr>
    </w:div>
    <w:div w:id="1282229963">
      <w:bodyDiv w:val="1"/>
      <w:marLeft w:val="0"/>
      <w:marRight w:val="0"/>
      <w:marTop w:val="0"/>
      <w:marBottom w:val="0"/>
      <w:divBdr>
        <w:top w:val="none" w:sz="0" w:space="0" w:color="auto"/>
        <w:left w:val="none" w:sz="0" w:space="0" w:color="auto"/>
        <w:bottom w:val="none" w:sz="0" w:space="0" w:color="auto"/>
        <w:right w:val="none" w:sz="0" w:space="0" w:color="auto"/>
      </w:divBdr>
    </w:div>
    <w:div w:id="1288780061">
      <w:bodyDiv w:val="1"/>
      <w:marLeft w:val="0"/>
      <w:marRight w:val="0"/>
      <w:marTop w:val="0"/>
      <w:marBottom w:val="0"/>
      <w:divBdr>
        <w:top w:val="none" w:sz="0" w:space="0" w:color="auto"/>
        <w:left w:val="none" w:sz="0" w:space="0" w:color="auto"/>
        <w:bottom w:val="none" w:sz="0" w:space="0" w:color="auto"/>
        <w:right w:val="none" w:sz="0" w:space="0" w:color="auto"/>
      </w:divBdr>
    </w:div>
    <w:div w:id="1315598239">
      <w:bodyDiv w:val="1"/>
      <w:marLeft w:val="0"/>
      <w:marRight w:val="0"/>
      <w:marTop w:val="0"/>
      <w:marBottom w:val="0"/>
      <w:divBdr>
        <w:top w:val="none" w:sz="0" w:space="0" w:color="auto"/>
        <w:left w:val="none" w:sz="0" w:space="0" w:color="auto"/>
        <w:bottom w:val="none" w:sz="0" w:space="0" w:color="auto"/>
        <w:right w:val="none" w:sz="0" w:space="0" w:color="auto"/>
      </w:divBdr>
    </w:div>
    <w:div w:id="1335962170">
      <w:bodyDiv w:val="1"/>
      <w:marLeft w:val="0"/>
      <w:marRight w:val="0"/>
      <w:marTop w:val="0"/>
      <w:marBottom w:val="0"/>
      <w:divBdr>
        <w:top w:val="none" w:sz="0" w:space="0" w:color="auto"/>
        <w:left w:val="none" w:sz="0" w:space="0" w:color="auto"/>
        <w:bottom w:val="none" w:sz="0" w:space="0" w:color="auto"/>
        <w:right w:val="none" w:sz="0" w:space="0" w:color="auto"/>
      </w:divBdr>
    </w:div>
    <w:div w:id="1355115819">
      <w:bodyDiv w:val="1"/>
      <w:marLeft w:val="0"/>
      <w:marRight w:val="0"/>
      <w:marTop w:val="0"/>
      <w:marBottom w:val="0"/>
      <w:divBdr>
        <w:top w:val="none" w:sz="0" w:space="0" w:color="auto"/>
        <w:left w:val="none" w:sz="0" w:space="0" w:color="auto"/>
        <w:bottom w:val="none" w:sz="0" w:space="0" w:color="auto"/>
        <w:right w:val="none" w:sz="0" w:space="0" w:color="auto"/>
      </w:divBdr>
    </w:div>
    <w:div w:id="1376537271">
      <w:bodyDiv w:val="1"/>
      <w:marLeft w:val="0"/>
      <w:marRight w:val="0"/>
      <w:marTop w:val="0"/>
      <w:marBottom w:val="0"/>
      <w:divBdr>
        <w:top w:val="none" w:sz="0" w:space="0" w:color="auto"/>
        <w:left w:val="none" w:sz="0" w:space="0" w:color="auto"/>
        <w:bottom w:val="none" w:sz="0" w:space="0" w:color="auto"/>
        <w:right w:val="none" w:sz="0" w:space="0" w:color="auto"/>
      </w:divBdr>
    </w:div>
    <w:div w:id="1386367669">
      <w:bodyDiv w:val="1"/>
      <w:marLeft w:val="0"/>
      <w:marRight w:val="0"/>
      <w:marTop w:val="0"/>
      <w:marBottom w:val="0"/>
      <w:divBdr>
        <w:top w:val="none" w:sz="0" w:space="0" w:color="auto"/>
        <w:left w:val="none" w:sz="0" w:space="0" w:color="auto"/>
        <w:bottom w:val="none" w:sz="0" w:space="0" w:color="auto"/>
        <w:right w:val="none" w:sz="0" w:space="0" w:color="auto"/>
      </w:divBdr>
    </w:div>
    <w:div w:id="1394542617">
      <w:bodyDiv w:val="1"/>
      <w:marLeft w:val="0"/>
      <w:marRight w:val="0"/>
      <w:marTop w:val="0"/>
      <w:marBottom w:val="0"/>
      <w:divBdr>
        <w:top w:val="none" w:sz="0" w:space="0" w:color="auto"/>
        <w:left w:val="none" w:sz="0" w:space="0" w:color="auto"/>
        <w:bottom w:val="none" w:sz="0" w:space="0" w:color="auto"/>
        <w:right w:val="none" w:sz="0" w:space="0" w:color="auto"/>
      </w:divBdr>
    </w:div>
    <w:div w:id="1402681224">
      <w:bodyDiv w:val="1"/>
      <w:marLeft w:val="0"/>
      <w:marRight w:val="0"/>
      <w:marTop w:val="0"/>
      <w:marBottom w:val="0"/>
      <w:divBdr>
        <w:top w:val="none" w:sz="0" w:space="0" w:color="auto"/>
        <w:left w:val="none" w:sz="0" w:space="0" w:color="auto"/>
        <w:bottom w:val="none" w:sz="0" w:space="0" w:color="auto"/>
        <w:right w:val="none" w:sz="0" w:space="0" w:color="auto"/>
      </w:divBdr>
    </w:div>
    <w:div w:id="1427458949">
      <w:bodyDiv w:val="1"/>
      <w:marLeft w:val="0"/>
      <w:marRight w:val="0"/>
      <w:marTop w:val="0"/>
      <w:marBottom w:val="0"/>
      <w:divBdr>
        <w:top w:val="none" w:sz="0" w:space="0" w:color="auto"/>
        <w:left w:val="none" w:sz="0" w:space="0" w:color="auto"/>
        <w:bottom w:val="none" w:sz="0" w:space="0" w:color="auto"/>
        <w:right w:val="none" w:sz="0" w:space="0" w:color="auto"/>
      </w:divBdr>
    </w:div>
    <w:div w:id="1453129787">
      <w:bodyDiv w:val="1"/>
      <w:marLeft w:val="0"/>
      <w:marRight w:val="0"/>
      <w:marTop w:val="0"/>
      <w:marBottom w:val="0"/>
      <w:divBdr>
        <w:top w:val="none" w:sz="0" w:space="0" w:color="auto"/>
        <w:left w:val="none" w:sz="0" w:space="0" w:color="auto"/>
        <w:bottom w:val="none" w:sz="0" w:space="0" w:color="auto"/>
        <w:right w:val="none" w:sz="0" w:space="0" w:color="auto"/>
      </w:divBdr>
    </w:div>
    <w:div w:id="1477448875">
      <w:bodyDiv w:val="1"/>
      <w:marLeft w:val="0"/>
      <w:marRight w:val="0"/>
      <w:marTop w:val="0"/>
      <w:marBottom w:val="0"/>
      <w:divBdr>
        <w:top w:val="none" w:sz="0" w:space="0" w:color="auto"/>
        <w:left w:val="none" w:sz="0" w:space="0" w:color="auto"/>
        <w:bottom w:val="none" w:sz="0" w:space="0" w:color="auto"/>
        <w:right w:val="none" w:sz="0" w:space="0" w:color="auto"/>
      </w:divBdr>
    </w:div>
    <w:div w:id="1486435413">
      <w:bodyDiv w:val="1"/>
      <w:marLeft w:val="0"/>
      <w:marRight w:val="0"/>
      <w:marTop w:val="0"/>
      <w:marBottom w:val="0"/>
      <w:divBdr>
        <w:top w:val="none" w:sz="0" w:space="0" w:color="auto"/>
        <w:left w:val="none" w:sz="0" w:space="0" w:color="auto"/>
        <w:bottom w:val="none" w:sz="0" w:space="0" w:color="auto"/>
        <w:right w:val="none" w:sz="0" w:space="0" w:color="auto"/>
      </w:divBdr>
    </w:div>
    <w:div w:id="1490557983">
      <w:bodyDiv w:val="1"/>
      <w:marLeft w:val="0"/>
      <w:marRight w:val="0"/>
      <w:marTop w:val="0"/>
      <w:marBottom w:val="0"/>
      <w:divBdr>
        <w:top w:val="none" w:sz="0" w:space="0" w:color="auto"/>
        <w:left w:val="none" w:sz="0" w:space="0" w:color="auto"/>
        <w:bottom w:val="none" w:sz="0" w:space="0" w:color="auto"/>
        <w:right w:val="none" w:sz="0" w:space="0" w:color="auto"/>
      </w:divBdr>
    </w:div>
    <w:div w:id="1524591133">
      <w:bodyDiv w:val="1"/>
      <w:marLeft w:val="0"/>
      <w:marRight w:val="0"/>
      <w:marTop w:val="0"/>
      <w:marBottom w:val="0"/>
      <w:divBdr>
        <w:top w:val="none" w:sz="0" w:space="0" w:color="auto"/>
        <w:left w:val="none" w:sz="0" w:space="0" w:color="auto"/>
        <w:bottom w:val="none" w:sz="0" w:space="0" w:color="auto"/>
        <w:right w:val="none" w:sz="0" w:space="0" w:color="auto"/>
      </w:divBdr>
    </w:div>
    <w:div w:id="1531913548">
      <w:bodyDiv w:val="1"/>
      <w:marLeft w:val="0"/>
      <w:marRight w:val="0"/>
      <w:marTop w:val="0"/>
      <w:marBottom w:val="0"/>
      <w:divBdr>
        <w:top w:val="none" w:sz="0" w:space="0" w:color="auto"/>
        <w:left w:val="none" w:sz="0" w:space="0" w:color="auto"/>
        <w:bottom w:val="none" w:sz="0" w:space="0" w:color="auto"/>
        <w:right w:val="none" w:sz="0" w:space="0" w:color="auto"/>
      </w:divBdr>
    </w:div>
    <w:div w:id="1571693516">
      <w:bodyDiv w:val="1"/>
      <w:marLeft w:val="0"/>
      <w:marRight w:val="0"/>
      <w:marTop w:val="0"/>
      <w:marBottom w:val="0"/>
      <w:divBdr>
        <w:top w:val="none" w:sz="0" w:space="0" w:color="auto"/>
        <w:left w:val="none" w:sz="0" w:space="0" w:color="auto"/>
        <w:bottom w:val="none" w:sz="0" w:space="0" w:color="auto"/>
        <w:right w:val="none" w:sz="0" w:space="0" w:color="auto"/>
      </w:divBdr>
    </w:div>
    <w:div w:id="1602058190">
      <w:bodyDiv w:val="1"/>
      <w:marLeft w:val="0"/>
      <w:marRight w:val="0"/>
      <w:marTop w:val="0"/>
      <w:marBottom w:val="0"/>
      <w:divBdr>
        <w:top w:val="none" w:sz="0" w:space="0" w:color="auto"/>
        <w:left w:val="none" w:sz="0" w:space="0" w:color="auto"/>
        <w:bottom w:val="none" w:sz="0" w:space="0" w:color="auto"/>
        <w:right w:val="none" w:sz="0" w:space="0" w:color="auto"/>
      </w:divBdr>
    </w:div>
    <w:div w:id="1633562451">
      <w:bodyDiv w:val="1"/>
      <w:marLeft w:val="0"/>
      <w:marRight w:val="0"/>
      <w:marTop w:val="0"/>
      <w:marBottom w:val="0"/>
      <w:divBdr>
        <w:top w:val="none" w:sz="0" w:space="0" w:color="auto"/>
        <w:left w:val="none" w:sz="0" w:space="0" w:color="auto"/>
        <w:bottom w:val="none" w:sz="0" w:space="0" w:color="auto"/>
        <w:right w:val="none" w:sz="0" w:space="0" w:color="auto"/>
      </w:divBdr>
    </w:div>
    <w:div w:id="1636174648">
      <w:bodyDiv w:val="1"/>
      <w:marLeft w:val="0"/>
      <w:marRight w:val="0"/>
      <w:marTop w:val="0"/>
      <w:marBottom w:val="0"/>
      <w:divBdr>
        <w:top w:val="none" w:sz="0" w:space="0" w:color="auto"/>
        <w:left w:val="none" w:sz="0" w:space="0" w:color="auto"/>
        <w:bottom w:val="none" w:sz="0" w:space="0" w:color="auto"/>
        <w:right w:val="none" w:sz="0" w:space="0" w:color="auto"/>
      </w:divBdr>
    </w:div>
    <w:div w:id="1644699985">
      <w:bodyDiv w:val="1"/>
      <w:marLeft w:val="0"/>
      <w:marRight w:val="0"/>
      <w:marTop w:val="0"/>
      <w:marBottom w:val="0"/>
      <w:divBdr>
        <w:top w:val="none" w:sz="0" w:space="0" w:color="auto"/>
        <w:left w:val="none" w:sz="0" w:space="0" w:color="auto"/>
        <w:bottom w:val="none" w:sz="0" w:space="0" w:color="auto"/>
        <w:right w:val="none" w:sz="0" w:space="0" w:color="auto"/>
      </w:divBdr>
    </w:div>
    <w:div w:id="1659916223">
      <w:bodyDiv w:val="1"/>
      <w:marLeft w:val="0"/>
      <w:marRight w:val="0"/>
      <w:marTop w:val="0"/>
      <w:marBottom w:val="0"/>
      <w:divBdr>
        <w:top w:val="none" w:sz="0" w:space="0" w:color="auto"/>
        <w:left w:val="none" w:sz="0" w:space="0" w:color="auto"/>
        <w:bottom w:val="none" w:sz="0" w:space="0" w:color="auto"/>
        <w:right w:val="none" w:sz="0" w:space="0" w:color="auto"/>
      </w:divBdr>
    </w:div>
    <w:div w:id="1710493300">
      <w:bodyDiv w:val="1"/>
      <w:marLeft w:val="0"/>
      <w:marRight w:val="0"/>
      <w:marTop w:val="0"/>
      <w:marBottom w:val="0"/>
      <w:divBdr>
        <w:top w:val="none" w:sz="0" w:space="0" w:color="auto"/>
        <w:left w:val="none" w:sz="0" w:space="0" w:color="auto"/>
        <w:bottom w:val="none" w:sz="0" w:space="0" w:color="auto"/>
        <w:right w:val="none" w:sz="0" w:space="0" w:color="auto"/>
      </w:divBdr>
    </w:div>
    <w:div w:id="1742481738">
      <w:bodyDiv w:val="1"/>
      <w:marLeft w:val="0"/>
      <w:marRight w:val="0"/>
      <w:marTop w:val="0"/>
      <w:marBottom w:val="0"/>
      <w:divBdr>
        <w:top w:val="none" w:sz="0" w:space="0" w:color="auto"/>
        <w:left w:val="none" w:sz="0" w:space="0" w:color="auto"/>
        <w:bottom w:val="none" w:sz="0" w:space="0" w:color="auto"/>
        <w:right w:val="none" w:sz="0" w:space="0" w:color="auto"/>
      </w:divBdr>
    </w:div>
    <w:div w:id="1760710225">
      <w:bodyDiv w:val="1"/>
      <w:marLeft w:val="0"/>
      <w:marRight w:val="0"/>
      <w:marTop w:val="0"/>
      <w:marBottom w:val="0"/>
      <w:divBdr>
        <w:top w:val="none" w:sz="0" w:space="0" w:color="auto"/>
        <w:left w:val="none" w:sz="0" w:space="0" w:color="auto"/>
        <w:bottom w:val="none" w:sz="0" w:space="0" w:color="auto"/>
        <w:right w:val="none" w:sz="0" w:space="0" w:color="auto"/>
      </w:divBdr>
    </w:div>
    <w:div w:id="1763840616">
      <w:bodyDiv w:val="1"/>
      <w:marLeft w:val="0"/>
      <w:marRight w:val="0"/>
      <w:marTop w:val="0"/>
      <w:marBottom w:val="0"/>
      <w:divBdr>
        <w:top w:val="none" w:sz="0" w:space="0" w:color="auto"/>
        <w:left w:val="none" w:sz="0" w:space="0" w:color="auto"/>
        <w:bottom w:val="none" w:sz="0" w:space="0" w:color="auto"/>
        <w:right w:val="none" w:sz="0" w:space="0" w:color="auto"/>
      </w:divBdr>
    </w:div>
    <w:div w:id="1812793182">
      <w:bodyDiv w:val="1"/>
      <w:marLeft w:val="0"/>
      <w:marRight w:val="0"/>
      <w:marTop w:val="0"/>
      <w:marBottom w:val="0"/>
      <w:divBdr>
        <w:top w:val="none" w:sz="0" w:space="0" w:color="auto"/>
        <w:left w:val="none" w:sz="0" w:space="0" w:color="auto"/>
        <w:bottom w:val="none" w:sz="0" w:space="0" w:color="auto"/>
        <w:right w:val="none" w:sz="0" w:space="0" w:color="auto"/>
      </w:divBdr>
    </w:div>
    <w:div w:id="1857888005">
      <w:bodyDiv w:val="1"/>
      <w:marLeft w:val="0"/>
      <w:marRight w:val="0"/>
      <w:marTop w:val="0"/>
      <w:marBottom w:val="0"/>
      <w:divBdr>
        <w:top w:val="none" w:sz="0" w:space="0" w:color="auto"/>
        <w:left w:val="none" w:sz="0" w:space="0" w:color="auto"/>
        <w:bottom w:val="none" w:sz="0" w:space="0" w:color="auto"/>
        <w:right w:val="none" w:sz="0" w:space="0" w:color="auto"/>
      </w:divBdr>
    </w:div>
    <w:div w:id="1864896738">
      <w:bodyDiv w:val="1"/>
      <w:marLeft w:val="0"/>
      <w:marRight w:val="0"/>
      <w:marTop w:val="0"/>
      <w:marBottom w:val="0"/>
      <w:divBdr>
        <w:top w:val="none" w:sz="0" w:space="0" w:color="auto"/>
        <w:left w:val="none" w:sz="0" w:space="0" w:color="auto"/>
        <w:bottom w:val="none" w:sz="0" w:space="0" w:color="auto"/>
        <w:right w:val="none" w:sz="0" w:space="0" w:color="auto"/>
      </w:divBdr>
    </w:div>
    <w:div w:id="1865628762">
      <w:bodyDiv w:val="1"/>
      <w:marLeft w:val="0"/>
      <w:marRight w:val="0"/>
      <w:marTop w:val="0"/>
      <w:marBottom w:val="0"/>
      <w:divBdr>
        <w:top w:val="none" w:sz="0" w:space="0" w:color="auto"/>
        <w:left w:val="none" w:sz="0" w:space="0" w:color="auto"/>
        <w:bottom w:val="none" w:sz="0" w:space="0" w:color="auto"/>
        <w:right w:val="none" w:sz="0" w:space="0" w:color="auto"/>
      </w:divBdr>
    </w:div>
    <w:div w:id="1866282406">
      <w:bodyDiv w:val="1"/>
      <w:marLeft w:val="0"/>
      <w:marRight w:val="0"/>
      <w:marTop w:val="0"/>
      <w:marBottom w:val="0"/>
      <w:divBdr>
        <w:top w:val="none" w:sz="0" w:space="0" w:color="auto"/>
        <w:left w:val="none" w:sz="0" w:space="0" w:color="auto"/>
        <w:bottom w:val="none" w:sz="0" w:space="0" w:color="auto"/>
        <w:right w:val="none" w:sz="0" w:space="0" w:color="auto"/>
      </w:divBdr>
    </w:div>
    <w:div w:id="1884949097">
      <w:bodyDiv w:val="1"/>
      <w:marLeft w:val="0"/>
      <w:marRight w:val="0"/>
      <w:marTop w:val="0"/>
      <w:marBottom w:val="0"/>
      <w:divBdr>
        <w:top w:val="none" w:sz="0" w:space="0" w:color="auto"/>
        <w:left w:val="none" w:sz="0" w:space="0" w:color="auto"/>
        <w:bottom w:val="none" w:sz="0" w:space="0" w:color="auto"/>
        <w:right w:val="none" w:sz="0" w:space="0" w:color="auto"/>
      </w:divBdr>
    </w:div>
    <w:div w:id="1908606712">
      <w:bodyDiv w:val="1"/>
      <w:marLeft w:val="0"/>
      <w:marRight w:val="0"/>
      <w:marTop w:val="0"/>
      <w:marBottom w:val="0"/>
      <w:divBdr>
        <w:top w:val="none" w:sz="0" w:space="0" w:color="auto"/>
        <w:left w:val="none" w:sz="0" w:space="0" w:color="auto"/>
        <w:bottom w:val="none" w:sz="0" w:space="0" w:color="auto"/>
        <w:right w:val="none" w:sz="0" w:space="0" w:color="auto"/>
      </w:divBdr>
    </w:div>
    <w:div w:id="1910842588">
      <w:bodyDiv w:val="1"/>
      <w:marLeft w:val="0"/>
      <w:marRight w:val="0"/>
      <w:marTop w:val="0"/>
      <w:marBottom w:val="0"/>
      <w:divBdr>
        <w:top w:val="none" w:sz="0" w:space="0" w:color="auto"/>
        <w:left w:val="none" w:sz="0" w:space="0" w:color="auto"/>
        <w:bottom w:val="none" w:sz="0" w:space="0" w:color="auto"/>
        <w:right w:val="none" w:sz="0" w:space="0" w:color="auto"/>
      </w:divBdr>
    </w:div>
    <w:div w:id="1912806429">
      <w:bodyDiv w:val="1"/>
      <w:marLeft w:val="0"/>
      <w:marRight w:val="0"/>
      <w:marTop w:val="0"/>
      <w:marBottom w:val="0"/>
      <w:divBdr>
        <w:top w:val="none" w:sz="0" w:space="0" w:color="auto"/>
        <w:left w:val="none" w:sz="0" w:space="0" w:color="auto"/>
        <w:bottom w:val="none" w:sz="0" w:space="0" w:color="auto"/>
        <w:right w:val="none" w:sz="0" w:space="0" w:color="auto"/>
      </w:divBdr>
    </w:div>
    <w:div w:id="1914269048">
      <w:bodyDiv w:val="1"/>
      <w:marLeft w:val="0"/>
      <w:marRight w:val="0"/>
      <w:marTop w:val="0"/>
      <w:marBottom w:val="0"/>
      <w:divBdr>
        <w:top w:val="none" w:sz="0" w:space="0" w:color="auto"/>
        <w:left w:val="none" w:sz="0" w:space="0" w:color="auto"/>
        <w:bottom w:val="none" w:sz="0" w:space="0" w:color="auto"/>
        <w:right w:val="none" w:sz="0" w:space="0" w:color="auto"/>
      </w:divBdr>
    </w:div>
    <w:div w:id="1935286618">
      <w:bodyDiv w:val="1"/>
      <w:marLeft w:val="0"/>
      <w:marRight w:val="0"/>
      <w:marTop w:val="0"/>
      <w:marBottom w:val="0"/>
      <w:divBdr>
        <w:top w:val="none" w:sz="0" w:space="0" w:color="auto"/>
        <w:left w:val="none" w:sz="0" w:space="0" w:color="auto"/>
        <w:bottom w:val="none" w:sz="0" w:space="0" w:color="auto"/>
        <w:right w:val="none" w:sz="0" w:space="0" w:color="auto"/>
      </w:divBdr>
    </w:div>
    <w:div w:id="1949005317">
      <w:bodyDiv w:val="1"/>
      <w:marLeft w:val="0"/>
      <w:marRight w:val="0"/>
      <w:marTop w:val="0"/>
      <w:marBottom w:val="0"/>
      <w:divBdr>
        <w:top w:val="none" w:sz="0" w:space="0" w:color="auto"/>
        <w:left w:val="none" w:sz="0" w:space="0" w:color="auto"/>
        <w:bottom w:val="none" w:sz="0" w:space="0" w:color="auto"/>
        <w:right w:val="none" w:sz="0" w:space="0" w:color="auto"/>
      </w:divBdr>
    </w:div>
    <w:div w:id="1952739307">
      <w:bodyDiv w:val="1"/>
      <w:marLeft w:val="0"/>
      <w:marRight w:val="0"/>
      <w:marTop w:val="0"/>
      <w:marBottom w:val="0"/>
      <w:divBdr>
        <w:top w:val="none" w:sz="0" w:space="0" w:color="auto"/>
        <w:left w:val="none" w:sz="0" w:space="0" w:color="auto"/>
        <w:bottom w:val="none" w:sz="0" w:space="0" w:color="auto"/>
        <w:right w:val="none" w:sz="0" w:space="0" w:color="auto"/>
      </w:divBdr>
    </w:div>
    <w:div w:id="1954432506">
      <w:bodyDiv w:val="1"/>
      <w:marLeft w:val="0"/>
      <w:marRight w:val="0"/>
      <w:marTop w:val="0"/>
      <w:marBottom w:val="0"/>
      <w:divBdr>
        <w:top w:val="none" w:sz="0" w:space="0" w:color="auto"/>
        <w:left w:val="none" w:sz="0" w:space="0" w:color="auto"/>
        <w:bottom w:val="none" w:sz="0" w:space="0" w:color="auto"/>
        <w:right w:val="none" w:sz="0" w:space="0" w:color="auto"/>
      </w:divBdr>
    </w:div>
    <w:div w:id="1967737935">
      <w:bodyDiv w:val="1"/>
      <w:marLeft w:val="0"/>
      <w:marRight w:val="0"/>
      <w:marTop w:val="0"/>
      <w:marBottom w:val="0"/>
      <w:divBdr>
        <w:top w:val="none" w:sz="0" w:space="0" w:color="auto"/>
        <w:left w:val="none" w:sz="0" w:space="0" w:color="auto"/>
        <w:bottom w:val="none" w:sz="0" w:space="0" w:color="auto"/>
        <w:right w:val="none" w:sz="0" w:space="0" w:color="auto"/>
      </w:divBdr>
    </w:div>
    <w:div w:id="1986548633">
      <w:bodyDiv w:val="1"/>
      <w:marLeft w:val="0"/>
      <w:marRight w:val="0"/>
      <w:marTop w:val="0"/>
      <w:marBottom w:val="0"/>
      <w:divBdr>
        <w:top w:val="none" w:sz="0" w:space="0" w:color="auto"/>
        <w:left w:val="none" w:sz="0" w:space="0" w:color="auto"/>
        <w:bottom w:val="none" w:sz="0" w:space="0" w:color="auto"/>
        <w:right w:val="none" w:sz="0" w:space="0" w:color="auto"/>
      </w:divBdr>
    </w:div>
    <w:div w:id="2010595696">
      <w:bodyDiv w:val="1"/>
      <w:marLeft w:val="0"/>
      <w:marRight w:val="0"/>
      <w:marTop w:val="0"/>
      <w:marBottom w:val="0"/>
      <w:divBdr>
        <w:top w:val="none" w:sz="0" w:space="0" w:color="auto"/>
        <w:left w:val="none" w:sz="0" w:space="0" w:color="auto"/>
        <w:bottom w:val="none" w:sz="0" w:space="0" w:color="auto"/>
        <w:right w:val="none" w:sz="0" w:space="0" w:color="auto"/>
      </w:divBdr>
    </w:div>
    <w:div w:id="2012677560">
      <w:bodyDiv w:val="1"/>
      <w:marLeft w:val="0"/>
      <w:marRight w:val="0"/>
      <w:marTop w:val="0"/>
      <w:marBottom w:val="0"/>
      <w:divBdr>
        <w:top w:val="none" w:sz="0" w:space="0" w:color="auto"/>
        <w:left w:val="none" w:sz="0" w:space="0" w:color="auto"/>
        <w:bottom w:val="none" w:sz="0" w:space="0" w:color="auto"/>
        <w:right w:val="none" w:sz="0" w:space="0" w:color="auto"/>
      </w:divBdr>
    </w:div>
    <w:div w:id="2015914479">
      <w:bodyDiv w:val="1"/>
      <w:marLeft w:val="0"/>
      <w:marRight w:val="0"/>
      <w:marTop w:val="0"/>
      <w:marBottom w:val="0"/>
      <w:divBdr>
        <w:top w:val="none" w:sz="0" w:space="0" w:color="auto"/>
        <w:left w:val="none" w:sz="0" w:space="0" w:color="auto"/>
        <w:bottom w:val="none" w:sz="0" w:space="0" w:color="auto"/>
        <w:right w:val="none" w:sz="0" w:space="0" w:color="auto"/>
      </w:divBdr>
    </w:div>
    <w:div w:id="2034842877">
      <w:bodyDiv w:val="1"/>
      <w:marLeft w:val="0"/>
      <w:marRight w:val="0"/>
      <w:marTop w:val="0"/>
      <w:marBottom w:val="0"/>
      <w:divBdr>
        <w:top w:val="none" w:sz="0" w:space="0" w:color="auto"/>
        <w:left w:val="none" w:sz="0" w:space="0" w:color="auto"/>
        <w:bottom w:val="none" w:sz="0" w:space="0" w:color="auto"/>
        <w:right w:val="none" w:sz="0" w:space="0" w:color="auto"/>
      </w:divBdr>
    </w:div>
    <w:div w:id="2070037609">
      <w:bodyDiv w:val="1"/>
      <w:marLeft w:val="0"/>
      <w:marRight w:val="0"/>
      <w:marTop w:val="0"/>
      <w:marBottom w:val="0"/>
      <w:divBdr>
        <w:top w:val="none" w:sz="0" w:space="0" w:color="auto"/>
        <w:left w:val="none" w:sz="0" w:space="0" w:color="auto"/>
        <w:bottom w:val="none" w:sz="0" w:space="0" w:color="auto"/>
        <w:right w:val="none" w:sz="0" w:space="0" w:color="auto"/>
      </w:divBdr>
    </w:div>
    <w:div w:id="2086871902">
      <w:bodyDiv w:val="1"/>
      <w:marLeft w:val="0"/>
      <w:marRight w:val="0"/>
      <w:marTop w:val="0"/>
      <w:marBottom w:val="0"/>
      <w:divBdr>
        <w:top w:val="none" w:sz="0" w:space="0" w:color="auto"/>
        <w:left w:val="none" w:sz="0" w:space="0" w:color="auto"/>
        <w:bottom w:val="none" w:sz="0" w:space="0" w:color="auto"/>
        <w:right w:val="none" w:sz="0" w:space="0" w:color="auto"/>
      </w:divBdr>
    </w:div>
    <w:div w:id="2096634214">
      <w:bodyDiv w:val="1"/>
      <w:marLeft w:val="0"/>
      <w:marRight w:val="0"/>
      <w:marTop w:val="0"/>
      <w:marBottom w:val="0"/>
      <w:divBdr>
        <w:top w:val="none" w:sz="0" w:space="0" w:color="auto"/>
        <w:left w:val="none" w:sz="0" w:space="0" w:color="auto"/>
        <w:bottom w:val="none" w:sz="0" w:space="0" w:color="auto"/>
        <w:right w:val="none" w:sz="0" w:space="0" w:color="auto"/>
      </w:divBdr>
    </w:div>
    <w:div w:id="2111899450">
      <w:bodyDiv w:val="1"/>
      <w:marLeft w:val="0"/>
      <w:marRight w:val="0"/>
      <w:marTop w:val="0"/>
      <w:marBottom w:val="0"/>
      <w:divBdr>
        <w:top w:val="none" w:sz="0" w:space="0" w:color="auto"/>
        <w:left w:val="none" w:sz="0" w:space="0" w:color="auto"/>
        <w:bottom w:val="none" w:sz="0" w:space="0" w:color="auto"/>
        <w:right w:val="none" w:sz="0" w:space="0" w:color="auto"/>
      </w:divBdr>
    </w:div>
    <w:div w:id="2116703922">
      <w:bodyDiv w:val="1"/>
      <w:marLeft w:val="0"/>
      <w:marRight w:val="0"/>
      <w:marTop w:val="0"/>
      <w:marBottom w:val="0"/>
      <w:divBdr>
        <w:top w:val="none" w:sz="0" w:space="0" w:color="auto"/>
        <w:left w:val="none" w:sz="0" w:space="0" w:color="auto"/>
        <w:bottom w:val="none" w:sz="0" w:space="0" w:color="auto"/>
        <w:right w:val="none" w:sz="0" w:space="0" w:color="auto"/>
      </w:divBdr>
    </w:div>
    <w:div w:id="21201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go/rcpm-wrc-23-studies" TargetMode="External"/><Relationship Id="rId21" Type="http://schemas.openxmlformats.org/officeDocument/2006/relationships/hyperlink" Target="https://www.itu.int/md/S20-CL-C-0056/es" TargetMode="External"/><Relationship Id="rId42" Type="http://schemas.openxmlformats.org/officeDocument/2006/relationships/hyperlink" Target="https://www.itu.int/en/ITU-R/terrestrial/Pages/by-categories-faq.aspx?maincategorizedby=1" TargetMode="External"/><Relationship Id="rId47" Type="http://schemas.openxmlformats.org/officeDocument/2006/relationships/hyperlink" Target="https://www.itu.int/es/mediacentre/backgrounders/Pages/itu-study-groups.aspx" TargetMode="External"/><Relationship Id="rId63" Type="http://schemas.openxmlformats.org/officeDocument/2006/relationships/hyperlink" Target="https://www.itu.int/en/myitu/News/2020/10/15/09/12/Rising-sound-broadcasting-demand-Africa-FM-stations-John-Omo" TargetMode="External"/><Relationship Id="rId68" Type="http://schemas.openxmlformats.org/officeDocument/2006/relationships/hyperlink" Target="https://www.itu.int/en/ITU-R/study-groups/rsg5/rwp5d/imt-2020/Pages/default.aspx" TargetMode="External"/><Relationship Id="rId84" Type="http://schemas.openxmlformats.org/officeDocument/2006/relationships/header" Target="header4.xml"/><Relationship Id="rId16" Type="http://schemas.openxmlformats.org/officeDocument/2006/relationships/hyperlink" Target="https://www.itu.int/md/S14-CL-INF-0004/en" TargetMode="External"/><Relationship Id="rId11" Type="http://schemas.openxmlformats.org/officeDocument/2006/relationships/hyperlink" Target="https://www.itu.int/md/S20-CL-C-0016/en" TargetMode="External"/><Relationship Id="rId32" Type="http://schemas.openxmlformats.org/officeDocument/2006/relationships/footer" Target="footer2.xml"/><Relationship Id="rId37" Type="http://schemas.openxmlformats.org/officeDocument/2006/relationships/image" Target="media/image5.png"/><Relationship Id="rId53" Type="http://schemas.openxmlformats.org/officeDocument/2006/relationships/hyperlink" Target="https://www.itu.int/en/myitu/News/2020/08/18/07/51/Uncertainties-high-speed-Internet-low-earth-orbit-LEO-satellite-broadband" TargetMode="External"/><Relationship Id="rId58" Type="http://schemas.openxmlformats.org/officeDocument/2006/relationships/hyperlink" Target="https://www.itu.int/en/myitu/News/2021/02/12/10/47/Celebrating-resilience-radio-World-Radio-Day-2021-Mario-Maniewicz" TargetMode="External"/><Relationship Id="rId74" Type="http://schemas.openxmlformats.org/officeDocument/2006/relationships/hyperlink" Target="https://www.itu.int/en/myitu/Publications/2020/09/02/14/28/Maritime-Manual-2020" TargetMode="External"/><Relationship Id="rId79" Type="http://schemas.openxmlformats.org/officeDocument/2006/relationships/hyperlink" Target="https://www.itu.int/md/R00-CA-CIR-0252/en" TargetMode="External"/><Relationship Id="rId5" Type="http://schemas.openxmlformats.org/officeDocument/2006/relationships/webSettings" Target="webSettings.xml"/><Relationship Id="rId19" Type="http://schemas.openxmlformats.org/officeDocument/2006/relationships/hyperlink" Target="https://www.itu.int/md/S21-RCLCWGLANG11-C-0002/en" TargetMode="External"/><Relationship Id="rId14" Type="http://schemas.openxmlformats.org/officeDocument/2006/relationships/image" Target="media/image2.emf"/><Relationship Id="rId22" Type="http://schemas.openxmlformats.org/officeDocument/2006/relationships/hyperlink" Target="https://www.itu.int/md/S20-DM-CIR-01011/en" TargetMode="External"/><Relationship Id="rId27" Type="http://schemas.openxmlformats.org/officeDocument/2006/relationships/hyperlink" Target="http://www.itu.int/en/ITU-R/study-groups/rcpm/Pages/wrc-23-preliminary-studies.aspx" TargetMode="External"/><Relationship Id="rId30" Type="http://schemas.openxmlformats.org/officeDocument/2006/relationships/header" Target="header1.xml"/><Relationship Id="rId35" Type="http://schemas.openxmlformats.org/officeDocument/2006/relationships/image" Target="media/image3.png"/><Relationship Id="rId43" Type="http://schemas.openxmlformats.org/officeDocument/2006/relationships/hyperlink" Target="https://www.itu.int/es/mediacentre/backgrounders/Pages/5G-fifth-generation-of-mobile-technologies.aspx" TargetMode="External"/><Relationship Id="rId48" Type="http://schemas.openxmlformats.org/officeDocument/2006/relationships/hyperlink" Target="https://www.itu.int/es/mediacentre/backgrounders/Pages/itu-r-managing-the-radio-frequency-spectrum-for-the-world.aspx" TargetMode="External"/><Relationship Id="rId56" Type="http://schemas.openxmlformats.org/officeDocument/2006/relationships/hyperlink" Target="https://news.itu.int/heres-how-the-diversity-of-radio-services-improves-lives-worldwide/" TargetMode="External"/><Relationship Id="rId64" Type="http://schemas.openxmlformats.org/officeDocument/2006/relationships/hyperlink" Target="https://news.itu.int/?s=By+Mario+Maniewicz%2c+Director" TargetMode="External"/><Relationship Id="rId69" Type="http://schemas.openxmlformats.org/officeDocument/2006/relationships/hyperlink" Target="https://www.itu.int/en/ITU-R/information/Pages/climate-change.aspx" TargetMode="External"/><Relationship Id="rId77" Type="http://schemas.openxmlformats.org/officeDocument/2006/relationships/hyperlink" Target="https://www.itu.int/en/ITU-R/conferences/rag/cg-gender/Pages/default.aspx" TargetMode="External"/><Relationship Id="rId8" Type="http://schemas.openxmlformats.org/officeDocument/2006/relationships/image" Target="media/image1.jpeg"/><Relationship Id="rId51" Type="http://schemas.openxmlformats.org/officeDocument/2006/relationships/hyperlink" Target="https://www.itu.int/en/mediacentre/backgrounders/Pages/non-GSO-satellite-systems-with-short-duration-missions.aspx" TargetMode="External"/><Relationship Id="rId72" Type="http://schemas.openxmlformats.org/officeDocument/2006/relationships/hyperlink" Target="https://www.itu.int/en/myitu/Publications/2020/06/25/16/38/Final-Acts-of-WRC-19" TargetMode="External"/><Relationship Id="rId80" Type="http://schemas.openxmlformats.org/officeDocument/2006/relationships/hyperlink" Target="https://www.itu.int/en/ITU-R/conferences/RRB/Documents/ai%204_1_compendium%20to%20be%20published%20as%20special%20topics_English.docx" TargetMode="External"/><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www.itu.int/md/S20-DM-CIR-01009/en" TargetMode="External"/><Relationship Id="rId17" Type="http://schemas.openxmlformats.org/officeDocument/2006/relationships/hyperlink" Target="https://www.itu.int/md/S14-CL-INF-0004/en" TargetMode="External"/><Relationship Id="rId25" Type="http://schemas.openxmlformats.org/officeDocument/2006/relationships/hyperlink" Target="https://www.itu.int/md/R00-CA-CIR-0251/en" TargetMode="External"/><Relationship Id="rId33" Type="http://schemas.openxmlformats.org/officeDocument/2006/relationships/header" Target="header2.xml"/><Relationship Id="rId38" Type="http://schemas.openxmlformats.org/officeDocument/2006/relationships/hyperlink" Target="https://www.itu.int/es/ITU-R/Pages/default.aspx" TargetMode="External"/><Relationship Id="rId46" Type="http://schemas.openxmlformats.org/officeDocument/2006/relationships/hyperlink" Target="https://www.itu.int/es/mediacentre/backgrounders/Pages/Radiocommunications-for-keeping-ships-and-people-safe-at-sea.aspx" TargetMode="External"/><Relationship Id="rId59" Type="http://schemas.openxmlformats.org/officeDocument/2006/relationships/hyperlink" Target="https://www.itu.int/en/myitu/News/2020/11/16/08/16/10-things-rely-on-ITU-Radio-Regulations" TargetMode="External"/><Relationship Id="rId67" Type="http://schemas.openxmlformats.org/officeDocument/2006/relationships/hyperlink" Target="https://www.itu.int/es/action/ai/emerging-radio-technologies/Pages/default.aspx" TargetMode="External"/><Relationship Id="rId20" Type="http://schemas.openxmlformats.org/officeDocument/2006/relationships/hyperlink" Target="https://www.itu.int/md/S14-CL-INF-0004/en" TargetMode="External"/><Relationship Id="rId41" Type="http://schemas.openxmlformats.org/officeDocument/2006/relationships/hyperlink" Target="https://www.itu.int/en/ITU-R/Documents/ITU-R-FAQ-DD-DSO.pdf" TargetMode="External"/><Relationship Id="rId54" Type="http://schemas.openxmlformats.org/officeDocument/2006/relationships/hyperlink" Target="https://www.itu.int/en/myitu/News/2020/11/27/17/53/World-Radiocommunication-Seminar-WRS-20-plenary-open-to-all-Mario-Maniewicz" TargetMode="External"/><Relationship Id="rId62" Type="http://schemas.openxmlformats.org/officeDocument/2006/relationships/hyperlink" Target="https://www.itu.int/en/myitu/News/2020/09/01/07/19/Reducing-digital-exclusion-Africa-Region-Roadmap-to-WRC-23-Mario-Maniewicz" TargetMode="External"/><Relationship Id="rId70" Type="http://schemas.openxmlformats.org/officeDocument/2006/relationships/hyperlink" Target="https://www.itu.int/en/ITU-R/information/Pages/emergency.aspx" TargetMode="External"/><Relationship Id="rId75" Type="http://schemas.openxmlformats.org/officeDocument/2006/relationships/hyperlink" Target="https://www.itu.int/en/myitu/Publications/2020/10/30/17/09/The-RR5-Table-of-Frequency-Allocations-software"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08-CL-C-0056/en" TargetMode="External"/><Relationship Id="rId23" Type="http://schemas.openxmlformats.org/officeDocument/2006/relationships/hyperlink" Target="https://www.itu.int/dms_pub/itu-s/md/20/sg/cir/S20-SG-CIR-0033!!PDF-E.pdf" TargetMode="External"/><Relationship Id="rId28" Type="http://schemas.openxmlformats.org/officeDocument/2006/relationships/hyperlink" Target="http://www.itu.int/go/wrc-23-regional" TargetMode="External"/><Relationship Id="rId36" Type="http://schemas.openxmlformats.org/officeDocument/2006/relationships/image" Target="media/image4.png"/><Relationship Id="rId49" Type="http://schemas.openxmlformats.org/officeDocument/2006/relationships/hyperlink" Target="https://www.itu.int/es/mediacentre/backgrounders/Pages/Earth-stations-in-motion-satellite-issues.aspx" TargetMode="External"/><Relationship Id="rId57" Type="http://schemas.openxmlformats.org/officeDocument/2006/relationships/hyperlink" Target="https://news.itu.int/heres-how-the-diversity-of-radio-services-improves-lives-worldwide/" TargetMode="External"/><Relationship Id="rId10" Type="http://schemas.openxmlformats.org/officeDocument/2006/relationships/hyperlink" Target="https://www.itu.int/es/council/2020/Pages/default.aspx" TargetMode="External"/><Relationship Id="rId31" Type="http://schemas.openxmlformats.org/officeDocument/2006/relationships/footer" Target="footer1.xml"/><Relationship Id="rId44" Type="http://schemas.openxmlformats.org/officeDocument/2006/relationships/hyperlink" Target="https://www.itu.int/es/mediacentre/backgrounders/Pages/5G-EMF-health.aspx" TargetMode="External"/><Relationship Id="rId52" Type="http://schemas.openxmlformats.org/officeDocument/2006/relationships/hyperlink" Target="https://www.itu.int/en/myitu/News/2020/07/24/18/15/Ham-radio-emergency-comms-Filling-USGS-donut-hole" TargetMode="External"/><Relationship Id="rId60" Type="http://schemas.openxmlformats.org/officeDocument/2006/relationships/hyperlink" Target="https://www.itu.int/en/myitu/News/2020/09/14/14/08/ITU-Radio-Regulations-updated-2020-Edition" TargetMode="External"/><Relationship Id="rId65" Type="http://schemas.openxmlformats.org/officeDocument/2006/relationships/hyperlink" Target="https://www.itu.int/en/myitu/Publications/2021/01/15/13/00/ITU-News-Magazine-no-6-2020" TargetMode="External"/><Relationship Id="rId73" Type="http://schemas.openxmlformats.org/officeDocument/2006/relationships/hyperlink" Target="https://www.itu.int/en/myitu/Publications/2020/09/02/14/23/Radio-Regulations-2020" TargetMode="External"/><Relationship Id="rId78" Type="http://schemas.openxmlformats.org/officeDocument/2006/relationships/hyperlink" Target="https://www.itu.int/en/mediacentre/Pages/cm08-2020-Radiocommunication-Sector-gender-equality-equity-parity.aspx" TargetMode="External"/><Relationship Id="rId81" Type="http://schemas.openxmlformats.org/officeDocument/2006/relationships/hyperlink" Target="https://www.itu.int/md/R00-CR-CIR-0389/en"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00-CA-CIR-0250/en" TargetMode="External"/><Relationship Id="rId13" Type="http://schemas.openxmlformats.org/officeDocument/2006/relationships/hyperlink" Target="https://www.itu.int/md/S20-DM-CIR-01011/en" TargetMode="External"/><Relationship Id="rId18" Type="http://schemas.openxmlformats.org/officeDocument/2006/relationships/hyperlink" Target="https://www.itu.int/md/S14-CL-INF-0004/en" TargetMode="External"/><Relationship Id="rId39" Type="http://schemas.openxmlformats.org/officeDocument/2006/relationships/hyperlink" Target="https://www.itu.int/en/ITU-R/Documents/ITU-R-FAQ-UTC.pdf" TargetMode="External"/><Relationship Id="rId34" Type="http://schemas.openxmlformats.org/officeDocument/2006/relationships/footer" Target="footer3.xml"/><Relationship Id="rId50" Type="http://schemas.openxmlformats.org/officeDocument/2006/relationships/hyperlink" Target="https://www.itu.int/es/mediacentre/backgrounders/Pages/Non-geostationary-satellite-systems.aspx" TargetMode="External"/><Relationship Id="rId55" Type="http://schemas.openxmlformats.org/officeDocument/2006/relationships/hyperlink" Target="https://www.itu.int/en/myitu/News/2020/10/13/07/22/Satellite-innovation-Space-technology-to-reach-the-unconnected" TargetMode="External"/><Relationship Id="rId76" Type="http://schemas.openxmlformats.org/officeDocument/2006/relationships/hyperlink" Target="https://www.itu.int/en/myitu/Publications/2020/09/02/14/38/List-V---List-of-Ship-Stations-and-Maritime-Mobile-Service-Identity-Assignments-2020" TargetMode="External"/><Relationship Id="rId7" Type="http://schemas.openxmlformats.org/officeDocument/2006/relationships/endnotes" Target="endnotes.xml"/><Relationship Id="rId71" Type="http://schemas.openxmlformats.org/officeDocument/2006/relationships/hyperlink" Target="https://www.itu.int/es/ITU-R/information/Pages/disabilities-divide.aspx" TargetMode="External"/><Relationship Id="rId2" Type="http://schemas.openxmlformats.org/officeDocument/2006/relationships/numbering" Target="numbering.xml"/><Relationship Id="rId29" Type="http://schemas.openxmlformats.org/officeDocument/2006/relationships/hyperlink" Target="https://www.itu.int/md/S20-CL-C-0061/en" TargetMode="External"/><Relationship Id="rId24" Type="http://schemas.openxmlformats.org/officeDocument/2006/relationships/hyperlink" Target="https://www.itu.int/md/S20-CL-C-0055/es" TargetMode="External"/><Relationship Id="rId40" Type="http://schemas.openxmlformats.org/officeDocument/2006/relationships/hyperlink" Target="https://www.itu.int/en/ITU-R/Documents/ITU-R-FAQ-IMT.pdf" TargetMode="External"/><Relationship Id="rId45" Type="http://schemas.openxmlformats.org/officeDocument/2006/relationships/hyperlink" Target="https://www.itu.int/es/mediacentre/backgrounders/Pages/High-altitude-platform-systems.aspx" TargetMode="External"/><Relationship Id="rId66" Type="http://schemas.openxmlformats.org/officeDocument/2006/relationships/hyperlink" Target="https://www.itu.int/oth/R040200003F/es" TargetMode="External"/><Relationship Id="rId87" Type="http://schemas.openxmlformats.org/officeDocument/2006/relationships/theme" Target="theme/theme1.xml"/><Relationship Id="rId61" Type="http://schemas.openxmlformats.org/officeDocument/2006/relationships/hyperlink" Target="https://www.itu.int/en/myitu/News/2020/05/23/12/02/How-ITUs-Radiocommunication-Sector-is-working-towards-the-Connect-2030-Agenda" TargetMode="External"/><Relationship Id="rId82" Type="http://schemas.openxmlformats.org/officeDocument/2006/relationships/hyperlink" Target="https://www.itu.int/md/R00-CR-CIR-045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00462-6673-49D0-B715-317A4CA9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PS_RAG21.dotm</Template>
  <TotalTime>410</TotalTime>
  <Pages>38</Pages>
  <Words>15830</Words>
  <Characters>81460</Characters>
  <Application>Microsoft Office Word</Application>
  <DocSecurity>0</DocSecurity>
  <Lines>2363</Lines>
  <Paragraphs>1277</Paragraphs>
  <ScaleCrop>false</ScaleCrop>
  <HeadingPairs>
    <vt:vector size="2" baseType="variant">
      <vt:variant>
        <vt:lpstr>Title</vt:lpstr>
      </vt:variant>
      <vt:variant>
        <vt:i4>1</vt:i4>
      </vt:variant>
    </vt:vector>
  </HeadingPairs>
  <TitlesOfParts>
    <vt:vector size="1" baseType="lpstr">
      <vt:lpstr>INFORME A LA VIGÉSIMA OCTAVA REUNIÓN DEL GRUPO ASESOR DE RADIOCOMUNICACIONES</vt:lpstr>
    </vt:vector>
  </TitlesOfParts>
  <Manager>General Secretariat - Pool</Manager>
  <Company>International Telecommunication Union (ITU)</Company>
  <LinksUpToDate>false</LinksUpToDate>
  <CharactersWithSpaces>96300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VIGÉSIMA OCTAVA REUNIÓN DEL GRUPO ASESOR DE RADIOCOMUNICACIONES</dc:title>
  <dc:subject>GRUPO ASESOR DE RADIOCOMUNICACIONES</dc:subject>
  <dc:creator>Director de la Oficina de Radiocomunicaciones</dc:creator>
  <cp:keywords>RAG03-1</cp:keywords>
  <dc:description>Documento RAG/26-S  For: _x000d_Document date: 23 de febrero de 2021_x000d_Saved by R03 at 3:15:00 PM on 3/12/2021</dc:description>
  <cp:lastModifiedBy>Callejon, Miguel</cp:lastModifiedBy>
  <cp:revision>25</cp:revision>
  <cp:lastPrinted>1993-02-18T11:12:00Z</cp:lastPrinted>
  <dcterms:created xsi:type="dcterms:W3CDTF">2021-03-11T14:50:00Z</dcterms:created>
  <dcterms:modified xsi:type="dcterms:W3CDTF">2021-03-12T14:15:00Z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RAG/26-S</vt:lpwstr>
  </property>
  <property fmtid="{D5CDD505-2E9C-101B-9397-08002B2CF9AE}" pid="3" name="Docdate">
    <vt:lpwstr>23 de febrero de 2021</vt:lpwstr>
  </property>
  <property fmtid="{D5CDD505-2E9C-101B-9397-08002B2CF9AE}" pid="4" name="Docorlang">
    <vt:lpwstr>Original: inglés</vt:lpwstr>
  </property>
  <property fmtid="{D5CDD505-2E9C-101B-9397-08002B2CF9AE}" pid="5" name="Docauthor">
    <vt:lpwstr>Director de la Oficina de Radiocomunicaciones</vt:lpwstr>
  </property>
</Properties>
</file>