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30A17FF9" w14:textId="77777777" w:rsidTr="24C821AD">
        <w:trPr>
          <w:cantSplit/>
        </w:trPr>
        <w:tc>
          <w:tcPr>
            <w:tcW w:w="6477" w:type="dxa"/>
            <w:vAlign w:val="center"/>
          </w:tcPr>
          <w:p w14:paraId="200399DB" w14:textId="1CBC4336"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45322AD1" w14:textId="77777777" w:rsidR="00EC0BE3" w:rsidRDefault="00C126C1" w:rsidP="00AF7CE7">
            <w:pPr>
              <w:shd w:val="solid" w:color="FFFFFF" w:fill="FFFFFF"/>
              <w:spacing w:before="0" w:line="240" w:lineRule="atLeast"/>
            </w:pPr>
            <w:r>
              <w:rPr>
                <w:noProof/>
              </w:rPr>
              <w:drawing>
                <wp:inline distT="0" distB="0" distL="0" distR="0" wp14:anchorId="5B0738CB" wp14:editId="76DACEF4">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844492" cy="844492"/>
                          </a:xfrm>
                          <a:prstGeom prst="rect">
                            <a:avLst/>
                          </a:prstGeom>
                        </pic:spPr>
                      </pic:pic>
                    </a:graphicData>
                  </a:graphic>
                </wp:inline>
              </w:drawing>
            </w:r>
          </w:p>
        </w:tc>
      </w:tr>
      <w:tr w:rsidR="0051782D" w:rsidRPr="0051782D" w14:paraId="3111A1B4" w14:textId="77777777" w:rsidTr="24C821AD">
        <w:trPr>
          <w:cantSplit/>
        </w:trPr>
        <w:tc>
          <w:tcPr>
            <w:tcW w:w="6487" w:type="dxa"/>
            <w:gridSpan w:val="2"/>
            <w:tcBorders>
              <w:bottom w:val="single" w:sz="12" w:space="0" w:color="auto"/>
            </w:tcBorders>
          </w:tcPr>
          <w:p w14:paraId="3EB74A73"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8AFF333" w14:textId="77777777" w:rsidR="0051782D" w:rsidRPr="0051782D" w:rsidRDefault="0051782D" w:rsidP="00B35BE4">
            <w:pPr>
              <w:shd w:val="solid" w:color="FFFFFF" w:fill="FFFFFF"/>
              <w:spacing w:before="0" w:after="48" w:line="240" w:lineRule="atLeast"/>
              <w:rPr>
                <w:sz w:val="22"/>
                <w:szCs w:val="22"/>
                <w:lang w:val="en-US"/>
              </w:rPr>
            </w:pPr>
          </w:p>
        </w:tc>
      </w:tr>
      <w:tr w:rsidR="0051782D" w14:paraId="204C65EC" w14:textId="77777777" w:rsidTr="24C821AD">
        <w:trPr>
          <w:cantSplit/>
        </w:trPr>
        <w:tc>
          <w:tcPr>
            <w:tcW w:w="6487" w:type="dxa"/>
            <w:gridSpan w:val="2"/>
            <w:tcBorders>
              <w:top w:val="single" w:sz="12" w:space="0" w:color="auto"/>
            </w:tcBorders>
          </w:tcPr>
          <w:p w14:paraId="0C753662"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7B405BA" w14:textId="77777777" w:rsidR="0051782D" w:rsidRPr="00710D66" w:rsidRDefault="0051782D" w:rsidP="00B35BE4">
            <w:pPr>
              <w:shd w:val="solid" w:color="FFFFFF" w:fill="FFFFFF"/>
              <w:spacing w:before="0" w:after="48" w:line="240" w:lineRule="atLeast"/>
              <w:rPr>
                <w:lang w:val="en-US"/>
              </w:rPr>
            </w:pPr>
          </w:p>
        </w:tc>
      </w:tr>
      <w:tr w:rsidR="0051782D" w14:paraId="7E2C64E6" w14:textId="77777777" w:rsidTr="24C821AD">
        <w:trPr>
          <w:cantSplit/>
        </w:trPr>
        <w:tc>
          <w:tcPr>
            <w:tcW w:w="6487" w:type="dxa"/>
            <w:gridSpan w:val="2"/>
            <w:vMerge w:val="restart"/>
          </w:tcPr>
          <w:p w14:paraId="2DEECECD" w14:textId="77777777" w:rsidR="0051782D" w:rsidRDefault="0051782D" w:rsidP="00B35BE4">
            <w:pPr>
              <w:shd w:val="solid" w:color="FFFFFF" w:fill="FFFFFF"/>
              <w:spacing w:after="240"/>
              <w:rPr>
                <w:sz w:val="20"/>
              </w:rPr>
            </w:pPr>
            <w:bookmarkStart w:id="0" w:name="dnum" w:colFirst="1" w:colLast="1"/>
          </w:p>
        </w:tc>
        <w:tc>
          <w:tcPr>
            <w:tcW w:w="3402" w:type="dxa"/>
          </w:tcPr>
          <w:p w14:paraId="3D804D90" w14:textId="19A9CCFB" w:rsidR="0051782D" w:rsidRPr="00337A4C" w:rsidRDefault="00337A4C" w:rsidP="00337A4C">
            <w:pPr>
              <w:shd w:val="solid" w:color="FFFFFF" w:fill="FFFFFF"/>
              <w:spacing w:before="0" w:line="240" w:lineRule="atLeast"/>
              <w:rPr>
                <w:rFonts w:ascii="Verdana" w:hAnsi="Verdana"/>
                <w:sz w:val="20"/>
              </w:rPr>
            </w:pPr>
            <w:r>
              <w:rPr>
                <w:rFonts w:ascii="Verdana" w:hAnsi="Verdana"/>
                <w:b/>
                <w:sz w:val="20"/>
              </w:rPr>
              <w:t>Document RAG/2</w:t>
            </w:r>
            <w:r w:rsidR="005B5627">
              <w:rPr>
                <w:rFonts w:ascii="Verdana" w:hAnsi="Verdana"/>
                <w:b/>
                <w:sz w:val="20"/>
              </w:rPr>
              <w:t>6</w:t>
            </w:r>
            <w:r>
              <w:rPr>
                <w:rFonts w:ascii="Verdana" w:hAnsi="Verdana"/>
                <w:b/>
                <w:sz w:val="20"/>
              </w:rPr>
              <w:t>-E</w:t>
            </w:r>
          </w:p>
        </w:tc>
      </w:tr>
      <w:tr w:rsidR="0051782D" w14:paraId="73D55147" w14:textId="77777777" w:rsidTr="24C821AD">
        <w:trPr>
          <w:cantSplit/>
        </w:trPr>
        <w:tc>
          <w:tcPr>
            <w:tcW w:w="6487" w:type="dxa"/>
            <w:gridSpan w:val="2"/>
            <w:vMerge/>
          </w:tcPr>
          <w:p w14:paraId="0827D8B9" w14:textId="77777777" w:rsidR="0051782D" w:rsidRDefault="0051782D" w:rsidP="00B35BE4">
            <w:pPr>
              <w:spacing w:before="60"/>
              <w:jc w:val="center"/>
              <w:rPr>
                <w:b/>
                <w:smallCaps/>
                <w:sz w:val="32"/>
              </w:rPr>
            </w:pPr>
            <w:bookmarkStart w:id="1" w:name="ddate" w:colFirst="1" w:colLast="1"/>
            <w:bookmarkEnd w:id="0"/>
          </w:p>
        </w:tc>
        <w:tc>
          <w:tcPr>
            <w:tcW w:w="3402" w:type="dxa"/>
          </w:tcPr>
          <w:p w14:paraId="7BB1ECC6" w14:textId="4B2D2306" w:rsidR="0051782D" w:rsidRPr="00337A4C" w:rsidRDefault="00C71E53" w:rsidP="00337A4C">
            <w:pPr>
              <w:shd w:val="solid" w:color="FFFFFF" w:fill="FFFFFF"/>
              <w:spacing w:before="0" w:line="240" w:lineRule="atLeast"/>
              <w:rPr>
                <w:rFonts w:ascii="Verdana" w:hAnsi="Verdana"/>
                <w:sz w:val="20"/>
              </w:rPr>
            </w:pPr>
            <w:r w:rsidRPr="00C71E53">
              <w:rPr>
                <w:rFonts w:ascii="Verdana" w:hAnsi="Verdana"/>
                <w:b/>
                <w:sz w:val="20"/>
              </w:rPr>
              <w:t>23</w:t>
            </w:r>
            <w:r w:rsidR="009D1659" w:rsidRPr="00C71E53">
              <w:rPr>
                <w:rFonts w:ascii="Verdana" w:hAnsi="Verdana"/>
                <w:b/>
                <w:sz w:val="20"/>
              </w:rPr>
              <w:t xml:space="preserve"> </w:t>
            </w:r>
            <w:r w:rsidR="005B5627" w:rsidRPr="00C71E53">
              <w:rPr>
                <w:rFonts w:ascii="Verdana" w:hAnsi="Verdana"/>
                <w:b/>
                <w:sz w:val="20"/>
              </w:rPr>
              <w:t>February</w:t>
            </w:r>
            <w:r w:rsidR="00337A4C">
              <w:rPr>
                <w:rFonts w:ascii="Verdana" w:hAnsi="Verdana"/>
                <w:b/>
                <w:sz w:val="20"/>
              </w:rPr>
              <w:t xml:space="preserve"> 202</w:t>
            </w:r>
            <w:r w:rsidR="005B5627">
              <w:rPr>
                <w:rFonts w:ascii="Verdana" w:hAnsi="Verdana"/>
                <w:b/>
                <w:sz w:val="20"/>
              </w:rPr>
              <w:t>1</w:t>
            </w:r>
          </w:p>
        </w:tc>
      </w:tr>
      <w:tr w:rsidR="0051782D" w14:paraId="2D5CFA13" w14:textId="77777777" w:rsidTr="24C821AD">
        <w:trPr>
          <w:cantSplit/>
        </w:trPr>
        <w:tc>
          <w:tcPr>
            <w:tcW w:w="6487" w:type="dxa"/>
            <w:gridSpan w:val="2"/>
            <w:vMerge/>
          </w:tcPr>
          <w:p w14:paraId="599BF99E" w14:textId="77777777" w:rsidR="0051782D" w:rsidRDefault="0051782D" w:rsidP="00B35BE4">
            <w:pPr>
              <w:spacing w:before="60"/>
              <w:jc w:val="center"/>
              <w:rPr>
                <w:b/>
                <w:smallCaps/>
                <w:sz w:val="32"/>
              </w:rPr>
            </w:pPr>
            <w:bookmarkStart w:id="2" w:name="dorlang" w:colFirst="1" w:colLast="1"/>
            <w:bookmarkEnd w:id="1"/>
          </w:p>
        </w:tc>
        <w:tc>
          <w:tcPr>
            <w:tcW w:w="3402" w:type="dxa"/>
          </w:tcPr>
          <w:p w14:paraId="4FC400BC" w14:textId="20A5568E" w:rsidR="0051782D" w:rsidRPr="00337A4C" w:rsidRDefault="00337A4C" w:rsidP="42174B4B">
            <w:pPr>
              <w:shd w:val="clear" w:color="auto" w:fill="FFFFFF" w:themeFill="background1"/>
              <w:spacing w:before="0" w:after="120" w:line="240" w:lineRule="atLeast"/>
              <w:rPr>
                <w:rFonts w:ascii="Verdana" w:hAnsi="Verdana"/>
                <w:sz w:val="20"/>
              </w:rPr>
            </w:pPr>
            <w:r>
              <w:rPr>
                <w:rFonts w:ascii="Verdana" w:hAnsi="Verdana"/>
                <w:b/>
                <w:sz w:val="20"/>
              </w:rPr>
              <w:t>Original: English</w:t>
            </w:r>
          </w:p>
        </w:tc>
      </w:tr>
      <w:tr w:rsidR="00093C73" w14:paraId="0A3A9CF6" w14:textId="77777777" w:rsidTr="24C821AD">
        <w:trPr>
          <w:cantSplit/>
        </w:trPr>
        <w:tc>
          <w:tcPr>
            <w:tcW w:w="9889" w:type="dxa"/>
            <w:gridSpan w:val="3"/>
          </w:tcPr>
          <w:p w14:paraId="62F27335" w14:textId="1ECC8B96" w:rsidR="00093C73" w:rsidRDefault="009D3501" w:rsidP="005B2C58">
            <w:pPr>
              <w:pStyle w:val="Source"/>
            </w:pPr>
            <w:bookmarkStart w:id="3" w:name="dsource" w:colFirst="0" w:colLast="0"/>
            <w:bookmarkEnd w:id="2"/>
            <w:r w:rsidRPr="009D3501">
              <w:t>Director, Radiocommunication Bureau</w:t>
            </w:r>
          </w:p>
        </w:tc>
      </w:tr>
      <w:tr w:rsidR="00093C73" w14:paraId="0976F3DE" w14:textId="77777777" w:rsidTr="24C821AD">
        <w:trPr>
          <w:cantSplit/>
        </w:trPr>
        <w:tc>
          <w:tcPr>
            <w:tcW w:w="9889" w:type="dxa"/>
            <w:gridSpan w:val="3"/>
          </w:tcPr>
          <w:p w14:paraId="05A441A4" w14:textId="46D4912F" w:rsidR="00093C73" w:rsidRDefault="00566C52" w:rsidP="005B2C58">
            <w:pPr>
              <w:pStyle w:val="Title1"/>
            </w:pPr>
            <w:bookmarkStart w:id="4" w:name="dtitle1" w:colFirst="0" w:colLast="0"/>
            <w:bookmarkEnd w:id="3"/>
            <w:r w:rsidRPr="00566C52">
              <w:t>report TO the twenty-</w:t>
            </w:r>
            <w:r w:rsidR="00D76488">
              <w:t>EIGHTH</w:t>
            </w:r>
            <w:r w:rsidRPr="00566C52">
              <w:t xml:space="preserve"> meeting of the radiocommunication advisory group</w:t>
            </w:r>
          </w:p>
        </w:tc>
      </w:tr>
    </w:tbl>
    <w:p w14:paraId="3FBC049A" w14:textId="77777777" w:rsidR="00713AFE" w:rsidRPr="006D01FE" w:rsidRDefault="00713AFE" w:rsidP="00713AFE">
      <w:pPr>
        <w:pStyle w:val="Heading1"/>
      </w:pPr>
      <w:bookmarkStart w:id="5" w:name="_Toc446060751"/>
      <w:bookmarkEnd w:id="4"/>
      <w:r w:rsidRPr="006D01FE">
        <w:t>1</w:t>
      </w:r>
      <w:r w:rsidRPr="006D01FE">
        <w:tab/>
        <w:t>Introduction</w:t>
      </w:r>
      <w:bookmarkEnd w:id="5"/>
    </w:p>
    <w:p w14:paraId="2B095905" w14:textId="2A1CDD65" w:rsidR="00713AFE" w:rsidRPr="00793111" w:rsidRDefault="00713AFE" w:rsidP="00713AFE">
      <w:pPr>
        <w:jc w:val="both"/>
        <w:rPr>
          <w:lang w:val="en-US"/>
        </w:rPr>
      </w:pPr>
      <w:r w:rsidRPr="00793111">
        <w:rPr>
          <w:lang w:val="en-US"/>
        </w:rPr>
        <w:t>This document provides status reports and information on some of the issues that appear on the draft agenda for the 2</w:t>
      </w:r>
      <w:r>
        <w:rPr>
          <w:lang w:val="en-US"/>
        </w:rPr>
        <w:t>7</w:t>
      </w:r>
      <w:r w:rsidRPr="00793111">
        <w:rPr>
          <w:vertAlign w:val="superscript"/>
          <w:lang w:val="en-US"/>
        </w:rPr>
        <w:t>th</w:t>
      </w:r>
      <w:r w:rsidRPr="00793111">
        <w:rPr>
          <w:lang w:val="en-US"/>
        </w:rPr>
        <w:t xml:space="preserve"> meeting of RAG (see </w:t>
      </w:r>
      <w:hyperlink r:id="rId12">
        <w:r w:rsidRPr="76DCC9D3">
          <w:rPr>
            <w:rStyle w:val="Hyperlink"/>
            <w:lang w:val="en-US"/>
          </w:rPr>
          <w:t>CA/250</w:t>
        </w:r>
      </w:hyperlink>
      <w:r w:rsidRPr="00793111">
        <w:rPr>
          <w:lang w:val="en-US"/>
        </w:rPr>
        <w:t xml:space="preserve"> of </w:t>
      </w:r>
      <w:r>
        <w:rPr>
          <w:lang w:val="en-US"/>
        </w:rPr>
        <w:t>17 December 2019</w:t>
      </w:r>
      <w:r w:rsidRPr="00793111">
        <w:rPr>
          <w:lang w:val="en-US"/>
        </w:rPr>
        <w:t>). This document is intended to assist the meeting in considering the relevant agenda items.</w:t>
      </w:r>
    </w:p>
    <w:p w14:paraId="20A8DCD3" w14:textId="77777777" w:rsidR="00713AFE" w:rsidRPr="00793111" w:rsidRDefault="00713AFE" w:rsidP="00713AFE">
      <w:pPr>
        <w:jc w:val="both"/>
        <w:rPr>
          <w:lang w:val="en-US"/>
        </w:rPr>
      </w:pPr>
      <w:r w:rsidRPr="00793111">
        <w:rPr>
          <w:lang w:val="en-US"/>
        </w:rPr>
        <w:t>Separate reports will be submitted for some of the agenda items.</w:t>
      </w:r>
    </w:p>
    <w:p w14:paraId="092C537C" w14:textId="77777777" w:rsidR="00713AFE" w:rsidRPr="006D01FE" w:rsidRDefault="00713AFE" w:rsidP="00A350BF">
      <w:pPr>
        <w:pStyle w:val="Heading1"/>
      </w:pPr>
      <w:bookmarkStart w:id="6" w:name="_Toc446060752"/>
      <w:r w:rsidRPr="006D01FE">
        <w:t>2</w:t>
      </w:r>
      <w:r w:rsidRPr="006D01FE">
        <w:tab/>
        <w:t>Council issues</w:t>
      </w:r>
      <w:bookmarkEnd w:id="6"/>
    </w:p>
    <w:p w14:paraId="0B88A6E1" w14:textId="4D1E7B77" w:rsidR="00CA3B25" w:rsidRDefault="004A1131" w:rsidP="00AA53C2">
      <w:pPr>
        <w:jc w:val="both"/>
      </w:pPr>
      <w:bookmarkStart w:id="7" w:name="_Toc446060753"/>
      <w:r>
        <w:t xml:space="preserve">Due to the COVID-19 restrictions, the ITU Council did </w:t>
      </w:r>
      <w:r w:rsidR="00057F79">
        <w:t>not hold physical meetings in 2020.  Instead, ther</w:t>
      </w:r>
      <w:r w:rsidR="00034F95">
        <w:t xml:space="preserve">e were two </w:t>
      </w:r>
      <w:r w:rsidR="00373AA9">
        <w:t>V</w:t>
      </w:r>
      <w:r w:rsidR="00034F95">
        <w:t xml:space="preserve">irtual </w:t>
      </w:r>
      <w:r w:rsidR="00373AA9">
        <w:t>C</w:t>
      </w:r>
      <w:r w:rsidR="00034F95">
        <w:t>o</w:t>
      </w:r>
      <w:r w:rsidR="000E666A">
        <w:t xml:space="preserve">nsultations </w:t>
      </w:r>
      <w:r w:rsidR="00043303">
        <w:t>of</w:t>
      </w:r>
      <w:r w:rsidR="000E666A">
        <w:t xml:space="preserve"> </w:t>
      </w:r>
      <w:r w:rsidR="00373AA9">
        <w:t>C</w:t>
      </w:r>
      <w:r w:rsidR="000E666A">
        <w:t>ouncillors</w:t>
      </w:r>
      <w:r w:rsidR="006C05A7">
        <w:t xml:space="preserve"> (VCCs) </w:t>
      </w:r>
      <w:r w:rsidR="00043303">
        <w:t xml:space="preserve">that were held on </w:t>
      </w:r>
      <w:r w:rsidR="002E138F">
        <w:t xml:space="preserve">9-12 June 2020 and </w:t>
      </w:r>
      <w:r w:rsidR="00724DF0">
        <w:t xml:space="preserve">16-20 November 2020.  Each of those </w:t>
      </w:r>
      <w:r w:rsidR="00F16E3D">
        <w:t>VCCs</w:t>
      </w:r>
      <w:r w:rsidR="00A02136">
        <w:t xml:space="preserve"> </w:t>
      </w:r>
      <w:r w:rsidR="00724DF0">
        <w:t>was follow</w:t>
      </w:r>
      <w:r w:rsidR="002D5DC4">
        <w:t>ed</w:t>
      </w:r>
      <w:r w:rsidR="00724DF0">
        <w:t xml:space="preserve"> by </w:t>
      </w:r>
      <w:r w:rsidR="00AA53C2">
        <w:t xml:space="preserve">a consultation by correspondence on outcomes of </w:t>
      </w:r>
      <w:r w:rsidR="00F16E3D">
        <w:t>the VCC</w:t>
      </w:r>
      <w:r w:rsidR="00373AA9">
        <w:t xml:space="preserve"> </w:t>
      </w:r>
      <w:r w:rsidR="00AA53C2">
        <w:t>discussions</w:t>
      </w:r>
      <w:r w:rsidR="00EE00C3">
        <w:t>.  This procedure allow</w:t>
      </w:r>
      <w:r w:rsidR="006C05A7">
        <w:t>ed</w:t>
      </w:r>
      <w:r w:rsidR="00EE00C3">
        <w:t xml:space="preserve"> the ITU Council to take decisions </w:t>
      </w:r>
      <w:r w:rsidR="00650336">
        <w:t>without meeting physically</w:t>
      </w:r>
      <w:r w:rsidR="006C05A7">
        <w:t>.</w:t>
      </w:r>
    </w:p>
    <w:p w14:paraId="048B84CE" w14:textId="7526502D" w:rsidR="00713AFE" w:rsidRPr="00144D82" w:rsidRDefault="00713AFE" w:rsidP="00AA53C2">
      <w:pPr>
        <w:jc w:val="both"/>
      </w:pPr>
      <w:r w:rsidRPr="00144D82">
        <w:t xml:space="preserve">This section covers </w:t>
      </w:r>
      <w:r w:rsidR="00B07B2F">
        <w:t>ITU Council matters</w:t>
      </w:r>
      <w:r w:rsidR="00D85CE9">
        <w:t xml:space="preserve">, </w:t>
      </w:r>
      <w:r w:rsidRPr="00144D82">
        <w:t xml:space="preserve">and </w:t>
      </w:r>
      <w:r w:rsidR="00AF0AF6">
        <w:t xml:space="preserve">includes </w:t>
      </w:r>
      <w:r w:rsidRPr="00144D82">
        <w:t xml:space="preserve">updates the issues addressed by the </w:t>
      </w:r>
      <w:r w:rsidR="00F46D0F">
        <w:t xml:space="preserve">two </w:t>
      </w:r>
      <w:r w:rsidR="00F16E3D">
        <w:t>VCCs</w:t>
      </w:r>
      <w:r w:rsidR="00B801BA">
        <w:t xml:space="preserve"> </w:t>
      </w:r>
      <w:r w:rsidR="00F46D0F">
        <w:t xml:space="preserve">held in 2020, </w:t>
      </w:r>
      <w:r w:rsidR="0078650A">
        <w:t>the</w:t>
      </w:r>
      <w:r w:rsidR="00D24B9E">
        <w:t>ir</w:t>
      </w:r>
      <w:r w:rsidR="0078650A">
        <w:t xml:space="preserve"> subsequent </w:t>
      </w:r>
      <w:r w:rsidR="00CA3B25">
        <w:t>consultations by correspondence</w:t>
      </w:r>
      <w:r w:rsidR="006C05A7">
        <w:t xml:space="preserve"> </w:t>
      </w:r>
      <w:r w:rsidR="002D5DC4">
        <w:t xml:space="preserve">on the outcomes of </w:t>
      </w:r>
      <w:r w:rsidR="00DD3B47">
        <w:t>those</w:t>
      </w:r>
      <w:r w:rsidR="006C05A7">
        <w:t xml:space="preserve"> discuss</w:t>
      </w:r>
      <w:r w:rsidR="00546535">
        <w:t>ions</w:t>
      </w:r>
      <w:r w:rsidR="00CA3B25">
        <w:t xml:space="preserve"> </w:t>
      </w:r>
      <w:r w:rsidR="00C61922">
        <w:t xml:space="preserve"> </w:t>
      </w:r>
      <w:r w:rsidR="007858EF">
        <w:t xml:space="preserve">and </w:t>
      </w:r>
      <w:r w:rsidR="00FB6215">
        <w:t xml:space="preserve">related </w:t>
      </w:r>
      <w:r w:rsidR="00546535">
        <w:t>actions</w:t>
      </w:r>
      <w:r w:rsidR="006C05A7">
        <w:t xml:space="preserve"> </w:t>
      </w:r>
      <w:r w:rsidRPr="00144D82">
        <w:t>(see:</w:t>
      </w:r>
      <w:r w:rsidR="00CC0A0A">
        <w:t xml:space="preserve"> </w:t>
      </w:r>
      <w:hyperlink r:id="rId13" w:history="1">
        <w:r w:rsidR="000E1103" w:rsidRPr="0079521F">
          <w:rPr>
            <w:rStyle w:val="Hyperlink"/>
          </w:rPr>
          <w:t>https://www.itu.int/en/council/2020/Pages/default.aspx</w:t>
        </w:r>
      </w:hyperlink>
      <w:r w:rsidR="000E1103">
        <w:t xml:space="preserve"> </w:t>
      </w:r>
      <w:r w:rsidR="004A1131">
        <w:t>)</w:t>
      </w:r>
      <w:r w:rsidR="002D1D27">
        <w:t xml:space="preserve">  </w:t>
      </w:r>
      <w:r w:rsidR="00DC3E8C">
        <w:t>Discussion of t</w:t>
      </w:r>
      <w:r w:rsidR="002D1D27">
        <w:t>he</w:t>
      </w:r>
      <w:r w:rsidR="006A53AF">
        <w:t xml:space="preserve"> Council’s</w:t>
      </w:r>
      <w:r w:rsidR="000A591F">
        <w:t xml:space="preserve"> consideration of </w:t>
      </w:r>
      <w:r w:rsidR="00143BFF">
        <w:t xml:space="preserve">the draft agenda of the </w:t>
      </w:r>
      <w:r w:rsidR="00384C99">
        <w:t>2023 World Radiocommunication Conference (WRC</w:t>
      </w:r>
      <w:r w:rsidR="00795695">
        <w:t>-</w:t>
      </w:r>
      <w:r w:rsidR="00384C99">
        <w:t>23) is</w:t>
      </w:r>
      <w:r w:rsidR="00DC3E8C">
        <w:t xml:space="preserve"> included in section 5 of this report.</w:t>
      </w:r>
      <w:r w:rsidR="00384C99">
        <w:t xml:space="preserve"> </w:t>
      </w:r>
    </w:p>
    <w:p w14:paraId="7772949F" w14:textId="77777777" w:rsidR="00713AFE" w:rsidRDefault="00713AFE" w:rsidP="00713AFE">
      <w:pPr>
        <w:pStyle w:val="Heading2"/>
      </w:pPr>
      <w:r w:rsidRPr="00840F08">
        <w:t>2.1</w:t>
      </w:r>
      <w:r w:rsidRPr="00840F08">
        <w:tab/>
        <w:t>Free on-line access to ITU-R Publications</w:t>
      </w:r>
      <w:bookmarkEnd w:id="7"/>
    </w:p>
    <w:p w14:paraId="01BC840A" w14:textId="77777777" w:rsidR="00713AFE" w:rsidRPr="007B02B8" w:rsidRDefault="00713AFE" w:rsidP="00713AFE">
      <w:pPr>
        <w:jc w:val="both"/>
      </w:pPr>
      <w:r w:rsidRPr="007B02B8">
        <w:t>ITU continues to publish flagship and various other publications in both print and digital/electronic versions. By Decision 12 (Guadalajara, 2010), PP-10 adopted a free online access policy to include, inter alia, ITU R Recommendations and Reports. This policy was expanded by Council 2012 Decision 571, revised by Council 2013 and 2014, and confirmed by PP-14 revised Decision 12, which provides free online access for the general public, on a permanent basis. Many publications were added to the free online access to disseminate information and reach out to a wider general public. These include major publications such as the Radio Regulations, Rules of Procedure, Recommendations, Basic Texts of the Union, WCIT Final Acts, Council Resolutions and Decisions, and ITU Handbooks, resulting in only Maritime Service Publications and a few other titles still for sale.</w:t>
      </w:r>
    </w:p>
    <w:p w14:paraId="382212E1" w14:textId="77777777" w:rsidR="00713AFE" w:rsidRPr="007B02B8" w:rsidRDefault="00713AFE" w:rsidP="00713AFE">
      <w:pPr>
        <w:jc w:val="both"/>
      </w:pPr>
      <w:r w:rsidRPr="007B02B8">
        <w:lastRenderedPageBreak/>
        <w:t>Furthermore, in response to requests from Member States, in particular developing countries, in January 2017 the free access policy has been extended by the BR Director to include all ITU-R Handbooks.</w:t>
      </w:r>
    </w:p>
    <w:p w14:paraId="0B255663" w14:textId="2E33639B" w:rsidR="00713AFE" w:rsidRDefault="00713AFE" w:rsidP="005761A0">
      <w:pPr>
        <w:jc w:val="both"/>
      </w:pPr>
      <w:r w:rsidRPr="007B02B8">
        <w:t>The impact of these Decisions is well reflected by the large number of downloads of these publications</w:t>
      </w:r>
      <w:r>
        <w:t>, as indicated in Section 8.1.4.</w:t>
      </w:r>
    </w:p>
    <w:p w14:paraId="326FC0B3" w14:textId="77777777" w:rsidR="00713AFE" w:rsidRPr="006D26F8" w:rsidRDefault="00713AFE" w:rsidP="00713AFE">
      <w:pPr>
        <w:pStyle w:val="Heading2"/>
        <w:rPr>
          <w:rFonts w:asciiTheme="majorBidi" w:hAnsiTheme="majorBidi" w:cstheme="majorBidi"/>
          <w:i/>
          <w:iCs/>
          <w:szCs w:val="24"/>
        </w:rPr>
      </w:pPr>
      <w:bookmarkStart w:id="8" w:name="_Toc446060754"/>
      <w:r w:rsidRPr="00B46EBC">
        <w:rPr>
          <w:rFonts w:asciiTheme="majorBidi" w:hAnsiTheme="majorBidi" w:cstheme="majorBidi"/>
          <w:szCs w:val="24"/>
        </w:rPr>
        <w:t>2.2</w:t>
      </w:r>
      <w:r w:rsidRPr="00B46EBC">
        <w:rPr>
          <w:rFonts w:asciiTheme="majorBidi" w:hAnsiTheme="majorBidi" w:cstheme="majorBidi"/>
          <w:szCs w:val="24"/>
        </w:rPr>
        <w:tab/>
        <w:t xml:space="preserve">Cost </w:t>
      </w:r>
      <w:r w:rsidRPr="00A350BF">
        <w:t>recovery</w:t>
      </w:r>
      <w:r w:rsidRPr="00B46EBC">
        <w:rPr>
          <w:rFonts w:asciiTheme="majorBidi" w:hAnsiTheme="majorBidi" w:cstheme="majorBidi"/>
          <w:szCs w:val="24"/>
        </w:rPr>
        <w:t xml:space="preserve"> for satellite network filings</w:t>
      </w:r>
      <w:bookmarkEnd w:id="8"/>
    </w:p>
    <w:p w14:paraId="1697F9BF" w14:textId="4F4A4601" w:rsidR="00BB1A62" w:rsidRDefault="59DBF4A0" w:rsidP="018E257A">
      <w:pPr>
        <w:tabs>
          <w:tab w:val="clear" w:pos="794"/>
          <w:tab w:val="clear" w:pos="1191"/>
          <w:tab w:val="clear" w:pos="1588"/>
          <w:tab w:val="clear" w:pos="1985"/>
          <w:tab w:val="left" w:pos="2835"/>
        </w:tabs>
        <w:jc w:val="both"/>
      </w:pPr>
      <w:r>
        <w:t xml:space="preserve">The Bureau </w:t>
      </w:r>
      <w:r w:rsidR="4763CE7F">
        <w:t xml:space="preserve">introduced </w:t>
      </w:r>
      <w:r>
        <w:t xml:space="preserve">to the first </w:t>
      </w:r>
      <w:r w:rsidR="005A76A6">
        <w:t xml:space="preserve">Virtual Consultation of Councillors held from 9 to 12 June 2020 </w:t>
      </w:r>
      <w:r w:rsidR="543260CB">
        <w:t xml:space="preserve">the </w:t>
      </w:r>
      <w:r w:rsidR="543260CB" w:rsidRPr="018E257A">
        <w:rPr>
          <w:i/>
          <w:iCs/>
        </w:rPr>
        <w:t>Report by the Secretary-General on Cost Recovery for the Processing of Satellite Network Filings</w:t>
      </w:r>
      <w:r w:rsidR="543260CB">
        <w:t xml:space="preserve"> (see </w:t>
      </w:r>
      <w:hyperlink r:id="rId14" w:history="1">
        <w:r w:rsidR="543260CB" w:rsidRPr="018E257A">
          <w:rPr>
            <w:rStyle w:val="Hyperlink"/>
          </w:rPr>
          <w:t>Document C20/16</w:t>
        </w:r>
      </w:hyperlink>
      <w:r w:rsidR="543260CB">
        <w:t>)</w:t>
      </w:r>
      <w:r w:rsidR="1E6DAEBA">
        <w:t xml:space="preserve">, </w:t>
      </w:r>
      <w:r>
        <w:t xml:space="preserve">which presented a status report on the implementation of cost recovery for satellite network filings pursuant to Decision 482 (modified 2019) and contained proposals for modifying that Decision that were either consequential to decisions taken by WRC-19 or required to address a specific case of satellite network filings not covered by the Decision. </w:t>
      </w:r>
    </w:p>
    <w:p w14:paraId="4B92CDB2" w14:textId="5814099F" w:rsidR="008950D7" w:rsidRDefault="59DBF4A0" w:rsidP="0087696B">
      <w:pPr>
        <w:tabs>
          <w:tab w:val="clear" w:pos="794"/>
          <w:tab w:val="clear" w:pos="1191"/>
          <w:tab w:val="clear" w:pos="1588"/>
          <w:tab w:val="clear" w:pos="1985"/>
          <w:tab w:val="left" w:pos="2835"/>
        </w:tabs>
        <w:jc w:val="both"/>
      </w:pPr>
      <w:r>
        <w:t xml:space="preserve">As the Council </w:t>
      </w:r>
      <w:r w:rsidR="0087696B">
        <w:t xml:space="preserve">was </w:t>
      </w:r>
      <w:r>
        <w:t>unable to hold its scheduled session in June 2020</w:t>
      </w:r>
      <w:r w:rsidR="0087696B">
        <w:t xml:space="preserve"> and keeping in mind the fact that this item was urgent, because ITU would be unable to recover the costs of processing the abovementioned satellite filings unless Decision 482 were modified as proposed by the Bureau, </w:t>
      </w:r>
      <w:r w:rsidR="00C8123F">
        <w:t xml:space="preserve">the </w:t>
      </w:r>
      <w:r w:rsidR="00C861A9">
        <w:t xml:space="preserve">Virtual Consultation of Councillors </w:t>
      </w:r>
      <w:r w:rsidR="00C8123F">
        <w:t>concluded that</w:t>
      </w:r>
      <w:r w:rsidR="0087696B">
        <w:t xml:space="preserve"> a consultation by correspondence of Council Member States on the approval of </w:t>
      </w:r>
      <w:r w:rsidR="00C8123F">
        <w:t xml:space="preserve">a </w:t>
      </w:r>
      <w:r w:rsidR="0087696B">
        <w:t xml:space="preserve">draft modified Decision 482 as </w:t>
      </w:r>
      <w:r w:rsidR="0058777E">
        <w:t xml:space="preserve">contained in Document C20/16 </w:t>
      </w:r>
      <w:r w:rsidR="00F217E2">
        <w:t>(</w:t>
      </w:r>
      <w:r w:rsidR="00996043">
        <w:t xml:space="preserve">amended </w:t>
      </w:r>
      <w:r w:rsidR="00F217E2">
        <w:t>with a date of entry into force set on 1</w:t>
      </w:r>
      <w:r w:rsidR="00F217E2" w:rsidRPr="00144F00">
        <w:rPr>
          <w:vertAlign w:val="superscript"/>
        </w:rPr>
        <w:t>st</w:t>
      </w:r>
      <w:r w:rsidR="00F217E2">
        <w:t xml:space="preserve"> September 2020) </w:t>
      </w:r>
      <w:r w:rsidR="0087696B">
        <w:t>should be organized.</w:t>
      </w:r>
      <w:r w:rsidR="008950D7">
        <w:t xml:space="preserve"> </w:t>
      </w:r>
    </w:p>
    <w:p w14:paraId="0DCFD059" w14:textId="2A082AC0" w:rsidR="0087696B" w:rsidRDefault="008950D7" w:rsidP="0087696B">
      <w:pPr>
        <w:tabs>
          <w:tab w:val="clear" w:pos="794"/>
          <w:tab w:val="clear" w:pos="1191"/>
          <w:tab w:val="clear" w:pos="1588"/>
          <w:tab w:val="clear" w:pos="1985"/>
          <w:tab w:val="left" w:pos="2835"/>
        </w:tabs>
        <w:jc w:val="both"/>
      </w:pPr>
      <w:r>
        <w:t xml:space="preserve">The </w:t>
      </w:r>
      <w:r w:rsidRPr="00E06C9E">
        <w:t xml:space="preserve">consultation of Council Member States was </w:t>
      </w:r>
      <w:r>
        <w:t xml:space="preserve">conducted from 26 June to 31 July 2020 (see </w:t>
      </w:r>
      <w:hyperlink r:id="rId15">
        <w:r w:rsidRPr="09ED1E03">
          <w:rPr>
            <w:rStyle w:val="Hyperlink"/>
          </w:rPr>
          <w:t>Circular DM-20/1009</w:t>
        </w:r>
      </w:hyperlink>
      <w:r>
        <w:t xml:space="preserve">). </w:t>
      </w:r>
      <w:r w:rsidR="00847BC6">
        <w:t xml:space="preserve">As a result of </w:t>
      </w:r>
      <w:r>
        <w:t xml:space="preserve">this consultation, Council Member States approved the modified Decision 482 as contained in Annex 4 of </w:t>
      </w:r>
      <w:hyperlink r:id="rId16">
        <w:r w:rsidRPr="09ED1E03">
          <w:rPr>
            <w:rStyle w:val="Hyperlink"/>
          </w:rPr>
          <w:t>Circular DM-20/1011</w:t>
        </w:r>
      </w:hyperlink>
      <w:r>
        <w:t xml:space="preserve"> of 3</w:t>
      </w:r>
      <w:r w:rsidRPr="09ED1E03">
        <w:rPr>
          <w:vertAlign w:val="superscript"/>
        </w:rPr>
        <w:t>rd </w:t>
      </w:r>
      <w:r>
        <w:t xml:space="preserve">August 2020. This modified version of Council Decision 482 </w:t>
      </w:r>
      <w:r w:rsidRPr="00E06C9E">
        <w:t>enter</w:t>
      </w:r>
      <w:r>
        <w:t>ed</w:t>
      </w:r>
      <w:r w:rsidRPr="00E06C9E">
        <w:t xml:space="preserve"> into force on 1</w:t>
      </w:r>
      <w:r w:rsidRPr="00925C10">
        <w:rPr>
          <w:vertAlign w:val="superscript"/>
        </w:rPr>
        <w:t>st</w:t>
      </w:r>
      <w:r>
        <w:rPr>
          <w:vertAlign w:val="superscript"/>
        </w:rPr>
        <w:t> </w:t>
      </w:r>
      <w:r w:rsidRPr="00E06C9E">
        <w:t>September</w:t>
      </w:r>
      <w:r>
        <w:t> </w:t>
      </w:r>
      <w:r w:rsidRPr="00E06C9E">
        <w:t>2020.</w:t>
      </w:r>
    </w:p>
    <w:p w14:paraId="71290F09" w14:textId="3FC045A1" w:rsidR="00713AFE" w:rsidRPr="007B02B8" w:rsidRDefault="008E15C2" w:rsidP="005761A0">
      <w:pPr>
        <w:tabs>
          <w:tab w:val="clear" w:pos="794"/>
          <w:tab w:val="clear" w:pos="1191"/>
          <w:tab w:val="clear" w:pos="1588"/>
          <w:tab w:val="clear" w:pos="1985"/>
          <w:tab w:val="left" w:pos="2835"/>
        </w:tabs>
        <w:jc w:val="both"/>
      </w:pPr>
      <w:r>
        <w:t>T</w:t>
      </w:r>
      <w:r w:rsidR="59DBF4A0">
        <w:t xml:space="preserve">he virtual consultation </w:t>
      </w:r>
      <w:r>
        <w:t xml:space="preserve">of councillors </w:t>
      </w:r>
      <w:r w:rsidR="003F1B46">
        <w:t xml:space="preserve">also </w:t>
      </w:r>
      <w:r w:rsidR="00E03169">
        <w:t xml:space="preserve">proposed </w:t>
      </w:r>
      <w:r w:rsidR="59DBF4A0">
        <w:t xml:space="preserve">to the next physical meeting of the Council </w:t>
      </w:r>
      <w:r w:rsidR="00E03169">
        <w:t xml:space="preserve">to formally </w:t>
      </w:r>
      <w:r w:rsidR="59DBF4A0">
        <w:t>note the report contained in Document C20/16</w:t>
      </w:r>
      <w:r w:rsidR="00E03169">
        <w:t>.</w:t>
      </w:r>
    </w:p>
    <w:p w14:paraId="69A49DAB" w14:textId="52653FAD" w:rsidR="00713AFE" w:rsidRPr="00B5535E" w:rsidRDefault="00713AFE" w:rsidP="00713AFE">
      <w:pPr>
        <w:pStyle w:val="Heading2"/>
        <w:rPr>
          <w:i/>
          <w:iCs/>
        </w:rPr>
      </w:pPr>
      <w:bookmarkStart w:id="9" w:name="_Toc446060757"/>
      <w:r w:rsidRPr="006D01FE">
        <w:t>2.</w:t>
      </w:r>
      <w:r>
        <w:t>3</w:t>
      </w:r>
      <w:r w:rsidRPr="006D01FE">
        <w:tab/>
        <w:t>Budget for 20</w:t>
      </w:r>
      <w:r>
        <w:t>20</w:t>
      </w:r>
      <w:r w:rsidRPr="006D01FE">
        <w:t>-20</w:t>
      </w:r>
      <w:r>
        <w:t>21</w:t>
      </w:r>
      <w:r w:rsidRPr="006D01FE">
        <w:t xml:space="preserve"> </w:t>
      </w:r>
      <w:r w:rsidR="008F6DB3">
        <w:t xml:space="preserve">and draft budget for 2022-2023 </w:t>
      </w:r>
      <w:r w:rsidRPr="006D01FE">
        <w:t>period</w:t>
      </w:r>
      <w:bookmarkEnd w:id="9"/>
      <w:r w:rsidR="008F6DB3">
        <w:t>s</w:t>
      </w:r>
    </w:p>
    <w:p w14:paraId="6B41A08E" w14:textId="01BCD612" w:rsidR="00713AFE" w:rsidRDefault="00713AFE" w:rsidP="005761A0">
      <w:pPr>
        <w:jc w:val="both"/>
      </w:pPr>
      <w:r w:rsidRPr="00FD777A">
        <w:t>Council 201</w:t>
      </w:r>
      <w:r>
        <w:t>9</w:t>
      </w:r>
      <w:r w:rsidRPr="00FD777A">
        <w:t xml:space="preserve"> adopted </w:t>
      </w:r>
      <w:r w:rsidR="44E64EEF">
        <w:t xml:space="preserve">through Resolution 1396 </w:t>
      </w:r>
      <w:r w:rsidRPr="00FD777A">
        <w:t>the following budget for the ITU-R in the 20</w:t>
      </w:r>
      <w:r>
        <w:t>20</w:t>
      </w:r>
      <w:r w:rsidRPr="00FD777A">
        <w:t>-20</w:t>
      </w:r>
      <w:r>
        <w:t>21</w:t>
      </w:r>
      <w:r w:rsidRPr="00FD777A">
        <w:t xml:space="preserve"> timeframe.</w:t>
      </w:r>
    </w:p>
    <w:p w14:paraId="24EF9682" w14:textId="77777777" w:rsidR="00DB5CAC" w:rsidRPr="00213ADE" w:rsidRDefault="00DB5CAC" w:rsidP="00DB5CAC">
      <w:pPr>
        <w:snapToGrid w:val="0"/>
        <w:jc w:val="both"/>
      </w:pPr>
      <w:r w:rsidRPr="003943EE">
        <w:rPr>
          <w:rFonts w:eastAsia="Calibri"/>
          <w:szCs w:val="24"/>
          <w:lang w:val="en-US"/>
        </w:rPr>
        <w:t>The draft biennial Budget of the Union for 2022-2023 was presented by the secretariat based on Decision 5 (Rev. Dubai, 2018) and associated guidelines during the Council Working Group on Financial and Human Resources (CWG-FHR) which was held on 25-26 January 2021.</w:t>
      </w:r>
    </w:p>
    <w:p w14:paraId="4FB955F4" w14:textId="77777777" w:rsidR="00713AFE" w:rsidRDefault="00713AFE" w:rsidP="00713AFE"/>
    <w:p w14:paraId="142360EA" w14:textId="7D98C92C" w:rsidR="00713AFE" w:rsidRDefault="004725C3" w:rsidP="00713AFE">
      <w:r w:rsidRPr="00774881">
        <w:rPr>
          <w:rFonts w:asciiTheme="minorBidi" w:hAnsiTheme="minorBidi"/>
          <w:bCs/>
          <w:noProof/>
          <w:color w:val="000000"/>
          <w:szCs w:val="24"/>
          <w:lang w:val="en-US"/>
        </w:rPr>
        <w:lastRenderedPageBreak/>
        <w:drawing>
          <wp:inline distT="0" distB="0" distL="0" distR="0" wp14:anchorId="015DE6F9" wp14:editId="695B1360">
            <wp:extent cx="6120765" cy="36156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615690"/>
                    </a:xfrm>
                    <a:prstGeom prst="rect">
                      <a:avLst/>
                    </a:prstGeom>
                  </pic:spPr>
                </pic:pic>
              </a:graphicData>
            </a:graphic>
          </wp:inline>
        </w:drawing>
      </w:r>
    </w:p>
    <w:p w14:paraId="019F96F7" w14:textId="20D84BDA" w:rsidR="00900EEB" w:rsidRPr="00213ADE" w:rsidRDefault="358007AC" w:rsidP="005761A0">
      <w:pPr>
        <w:snapToGrid w:val="0"/>
        <w:jc w:val="both"/>
      </w:pPr>
      <w:r w:rsidRPr="003943EE">
        <w:rPr>
          <w:rFonts w:eastAsia="Calibri"/>
          <w:szCs w:val="24"/>
          <w:lang w:val="en-US"/>
        </w:rPr>
        <w:t>The amount of the contributory unit to be paid by Member States of CHF 318,000 has been maintained resulting in zero nominal growth since 2016.  Expenses and revenue are balanced without any withdrawal from the Reserve Account.</w:t>
      </w:r>
    </w:p>
    <w:p w14:paraId="72AAE625" w14:textId="1A93B1FE" w:rsidR="00900EEB" w:rsidRPr="00213ADE" w:rsidRDefault="358007AC" w:rsidP="005761A0">
      <w:pPr>
        <w:snapToGrid w:val="0"/>
        <w:jc w:val="both"/>
        <w:rPr>
          <w:lang w:val="en-US"/>
        </w:rPr>
      </w:pPr>
      <w:r w:rsidRPr="003943EE">
        <w:rPr>
          <w:rFonts w:eastAsia="Calibri"/>
          <w:szCs w:val="24"/>
          <w:lang w:val="en-US"/>
        </w:rPr>
        <w:t>As in previous budgets, a five per cent vacancy rate has been applied which implies recruitment delays, part-time service and leave without pay. Nevertheless, the implementation of the vacancy rate will pose as a significant challenge in the management of vacant positions and the recruitment process</w:t>
      </w:r>
      <w:r w:rsidR="2A002064" w:rsidRPr="00213ADE">
        <w:t>.</w:t>
      </w:r>
      <w:r w:rsidR="00900EEB" w:rsidRPr="00213ADE">
        <w:t xml:space="preserve">  </w:t>
      </w:r>
      <w:r w:rsidR="00900EEB" w:rsidRPr="00213ADE">
        <w:rPr>
          <w:lang w:val="en-US"/>
        </w:rPr>
        <w:t xml:space="preserve">The draft budget </w:t>
      </w:r>
      <w:r w:rsidR="00887EA2" w:rsidRPr="00213ADE">
        <w:rPr>
          <w:lang w:val="en-US"/>
        </w:rPr>
        <w:t xml:space="preserve">for 2022-2023 </w:t>
      </w:r>
      <w:r w:rsidR="00900EEB" w:rsidRPr="00213ADE">
        <w:rPr>
          <w:lang w:val="en-US"/>
        </w:rPr>
        <w:t xml:space="preserve">was based on the </w:t>
      </w:r>
      <w:proofErr w:type="spellStart"/>
      <w:r w:rsidR="00900EEB" w:rsidRPr="00213ADE">
        <w:rPr>
          <w:lang w:val="en-US"/>
        </w:rPr>
        <w:t>programme</w:t>
      </w:r>
      <w:proofErr w:type="spellEnd"/>
      <w:r w:rsidR="00900EEB" w:rsidRPr="00213ADE">
        <w:rPr>
          <w:lang w:val="en-US"/>
        </w:rPr>
        <w:t xml:space="preserve"> of activities of the Union, which includes </w:t>
      </w:r>
      <w:r w:rsidR="00562087" w:rsidRPr="00213ADE">
        <w:rPr>
          <w:lang w:val="en-US"/>
        </w:rPr>
        <w:t xml:space="preserve">the </w:t>
      </w:r>
      <w:r w:rsidR="00900EEB" w:rsidRPr="00213ADE">
        <w:rPr>
          <w:lang w:val="en-US"/>
        </w:rPr>
        <w:t xml:space="preserve">holding </w:t>
      </w:r>
      <w:r w:rsidR="00562087" w:rsidRPr="00213ADE">
        <w:rPr>
          <w:lang w:val="en-US"/>
        </w:rPr>
        <w:t xml:space="preserve">of </w:t>
      </w:r>
      <w:r w:rsidR="00900EEB" w:rsidRPr="00213ADE">
        <w:rPr>
          <w:lang w:val="en-US"/>
        </w:rPr>
        <w:t>the 2023 World Radiocommunication Conference (WRC-23).</w:t>
      </w:r>
    </w:p>
    <w:p w14:paraId="47D9AFE4" w14:textId="3814C1DF" w:rsidR="00900EEB" w:rsidRPr="00213ADE" w:rsidRDefault="2A002064" w:rsidP="005761A0">
      <w:pPr>
        <w:snapToGrid w:val="0"/>
        <w:jc w:val="both"/>
        <w:outlineLvl w:val="0"/>
        <w:rPr>
          <w:lang w:val="en-US"/>
        </w:rPr>
      </w:pPr>
      <w:r w:rsidRPr="00213ADE">
        <w:rPr>
          <w:lang w:val="en-US"/>
        </w:rPr>
        <w:t xml:space="preserve">It was reported that ITU anticipates that for 2022-2023, cost recovery revenue will decrease by some CHF 5.8 million as compared to 2020-2021, mainly on account of a lower projection of sales revenue from the release of new publications planned for 2022-2023 and </w:t>
      </w:r>
      <w:r w:rsidR="6274D75E" w:rsidRPr="00213ADE">
        <w:rPr>
          <w:lang w:val="en-US"/>
        </w:rPr>
        <w:t xml:space="preserve">this will be </w:t>
      </w:r>
      <w:r w:rsidRPr="00213ADE">
        <w:rPr>
          <w:lang w:val="en-US"/>
        </w:rPr>
        <w:t xml:space="preserve">partially offset by the projected increase in cost recovery revenue from Satellite Network Filings (SNF).  </w:t>
      </w:r>
    </w:p>
    <w:p w14:paraId="7B61B013" w14:textId="334CB262" w:rsidR="00900EEB" w:rsidRPr="00213ADE" w:rsidRDefault="7FE7FD06" w:rsidP="005761A0">
      <w:pPr>
        <w:snapToGrid w:val="0"/>
        <w:jc w:val="both"/>
        <w:rPr>
          <w:lang w:val="en-US"/>
        </w:rPr>
      </w:pPr>
      <w:r w:rsidRPr="003943EE">
        <w:rPr>
          <w:rFonts w:eastAsia="Calibri"/>
          <w:szCs w:val="24"/>
          <w:lang w:val="en-US"/>
        </w:rPr>
        <w:t>BR Director clarified the issue on the budgeted sales of publications for 2022-2023. He informed the group that ITU-R has not changed its schedule of major publications. If the budgeted revenue is less in 2022-2023 than in 2020-2021, it is in relation with the release of new publications in the years following WRC (</w:t>
      </w:r>
      <w:r w:rsidR="001264B4">
        <w:rPr>
          <w:rFonts w:eastAsia="Calibri"/>
          <w:szCs w:val="24"/>
          <w:lang w:val="en-US"/>
        </w:rPr>
        <w:t>n</w:t>
      </w:r>
      <w:r w:rsidRPr="003943EE">
        <w:rPr>
          <w:rFonts w:eastAsia="Calibri"/>
          <w:szCs w:val="24"/>
          <w:lang w:val="en-US"/>
        </w:rPr>
        <w:t>ew editions of five main publications released in 2020-2021, three main publications in 2022-2023 and returning to five main publications in 2024-2025)</w:t>
      </w:r>
      <w:r w:rsidR="59D50D21" w:rsidRPr="003943EE">
        <w:rPr>
          <w:rFonts w:eastAsia="Calibri"/>
          <w:szCs w:val="24"/>
          <w:lang w:val="en-US"/>
        </w:rPr>
        <w:t>.</w:t>
      </w:r>
      <w:r w:rsidR="59D50D21" w:rsidRPr="00213ADE">
        <w:rPr>
          <w:lang w:val="en-US"/>
        </w:rPr>
        <w:t xml:space="preserve"> </w:t>
      </w:r>
      <w:r w:rsidR="63DE2149" w:rsidRPr="003943EE">
        <w:rPr>
          <w:rFonts w:eastAsia="Calibri"/>
          <w:szCs w:val="24"/>
          <w:lang w:val="en-US"/>
        </w:rPr>
        <w:t>The secretariat indicated</w:t>
      </w:r>
      <w:r w:rsidR="00900EEB" w:rsidRPr="003943EE">
        <w:rPr>
          <w:rFonts w:eastAsia="Calibri"/>
          <w:szCs w:val="24"/>
          <w:lang w:val="en-US"/>
        </w:rPr>
        <w:t xml:space="preserve"> that there will be no significant savings </w:t>
      </w:r>
      <w:r w:rsidR="63DE2149" w:rsidRPr="003943EE">
        <w:rPr>
          <w:rFonts w:eastAsia="Calibri"/>
          <w:szCs w:val="24"/>
          <w:lang w:val="en-US"/>
        </w:rPr>
        <w:t xml:space="preserve">if any, to be </w:t>
      </w:r>
      <w:r w:rsidR="00900EEB" w:rsidRPr="003943EE">
        <w:rPr>
          <w:rFonts w:eastAsia="Calibri"/>
          <w:szCs w:val="24"/>
          <w:lang w:val="en-US"/>
        </w:rPr>
        <w:t xml:space="preserve">expected from </w:t>
      </w:r>
      <w:r w:rsidR="63DE2149" w:rsidRPr="003943EE">
        <w:rPr>
          <w:rFonts w:eastAsia="Calibri"/>
          <w:szCs w:val="24"/>
          <w:lang w:val="en-US"/>
        </w:rPr>
        <w:t>this period.</w:t>
      </w:r>
      <w:r w:rsidR="00900EEB" w:rsidRPr="003943EE">
        <w:rPr>
          <w:rFonts w:eastAsia="Calibri"/>
          <w:szCs w:val="24"/>
          <w:lang w:val="en-US"/>
        </w:rPr>
        <w:t xml:space="preserve">  There </w:t>
      </w:r>
      <w:r w:rsidR="63DE2149" w:rsidRPr="003943EE">
        <w:rPr>
          <w:rFonts w:eastAsia="Calibri"/>
          <w:szCs w:val="24"/>
          <w:lang w:val="en-US"/>
        </w:rPr>
        <w:t>are</w:t>
      </w:r>
      <w:r w:rsidR="00900EEB" w:rsidRPr="003943EE">
        <w:rPr>
          <w:rFonts w:eastAsia="Calibri"/>
          <w:szCs w:val="24"/>
          <w:lang w:val="en-US"/>
        </w:rPr>
        <w:t xml:space="preserve"> still some unknown elements that may affect the 2020 result, such as differed revenue, provision for repatriation to be estimated through an actuarial study, etc. </w:t>
      </w:r>
      <w:r w:rsidR="63DE2149" w:rsidRPr="003943EE">
        <w:rPr>
          <w:rFonts w:eastAsia="Calibri"/>
          <w:szCs w:val="24"/>
          <w:lang w:val="en-US"/>
        </w:rPr>
        <w:t>In the event there are funds available, they would be prioritized to meet Decision 619 requirements for 2021, which amount to 735</w:t>
      </w:r>
      <w:r w:rsidR="004D79B6">
        <w:rPr>
          <w:rFonts w:eastAsia="Calibri"/>
          <w:szCs w:val="24"/>
          <w:lang w:val="en-US"/>
        </w:rPr>
        <w:t xml:space="preserve"> </w:t>
      </w:r>
      <w:r w:rsidR="63DE2149" w:rsidRPr="003943EE">
        <w:rPr>
          <w:rFonts w:eastAsia="Calibri"/>
          <w:szCs w:val="24"/>
          <w:lang w:val="en-US"/>
        </w:rPr>
        <w:t>K</w:t>
      </w:r>
      <w:r w:rsidR="005761A0">
        <w:rPr>
          <w:rFonts w:eastAsia="Calibri"/>
          <w:szCs w:val="24"/>
          <w:lang w:val="en-US"/>
        </w:rPr>
        <w:t xml:space="preserve"> </w:t>
      </w:r>
      <w:r w:rsidR="63DE2149" w:rsidRPr="003943EE">
        <w:rPr>
          <w:rFonts w:eastAsia="Calibri"/>
          <w:szCs w:val="24"/>
          <w:lang w:val="en-US"/>
        </w:rPr>
        <w:t>CHF.</w:t>
      </w:r>
      <w:r w:rsidR="00900EEB" w:rsidRPr="00213ADE">
        <w:rPr>
          <w:lang w:val="en-US"/>
        </w:rPr>
        <w:t xml:space="preserve"> </w:t>
      </w:r>
      <w:proofErr w:type="gramStart"/>
      <w:r w:rsidR="00900EEB" w:rsidRPr="00213ADE">
        <w:rPr>
          <w:lang w:val="en-US"/>
        </w:rPr>
        <w:t>The final result</w:t>
      </w:r>
      <w:proofErr w:type="gramEnd"/>
      <w:r w:rsidR="00900EEB" w:rsidRPr="00213ADE">
        <w:rPr>
          <w:lang w:val="en-US"/>
        </w:rPr>
        <w:t xml:space="preserve"> of the 2020 budget implementation will be presented to the 2021 Council after the official closing of accounts, which is due by March 2021. </w:t>
      </w:r>
    </w:p>
    <w:p w14:paraId="39D99D64" w14:textId="335F4601" w:rsidR="00035CBF" w:rsidRPr="0075670F" w:rsidRDefault="003C51AF" w:rsidP="00035CBF">
      <w:pPr>
        <w:pStyle w:val="Heading2"/>
        <w:rPr>
          <w:b w:val="0"/>
          <w:bCs/>
          <w:szCs w:val="24"/>
          <w:lang w:val="en-US"/>
        </w:rPr>
      </w:pPr>
      <w:r w:rsidRPr="0075670F">
        <w:rPr>
          <w:szCs w:val="24"/>
        </w:rPr>
        <w:lastRenderedPageBreak/>
        <w:t>2.4</w:t>
      </w:r>
      <w:r w:rsidRPr="0075670F">
        <w:rPr>
          <w:szCs w:val="24"/>
        </w:rPr>
        <w:tab/>
      </w:r>
      <w:r w:rsidR="0075670F">
        <w:rPr>
          <w:szCs w:val="24"/>
        </w:rPr>
        <w:t xml:space="preserve">Request of Council Working Group on Languages </w:t>
      </w:r>
      <w:r w:rsidR="00887427">
        <w:rPr>
          <w:szCs w:val="24"/>
        </w:rPr>
        <w:t xml:space="preserve">(CWG-LANG) </w:t>
      </w:r>
      <w:r w:rsidR="0075670F">
        <w:rPr>
          <w:szCs w:val="24"/>
        </w:rPr>
        <w:t xml:space="preserve">for </w:t>
      </w:r>
      <w:r w:rsidR="00035CBF" w:rsidRPr="0075670F">
        <w:rPr>
          <w:bCs/>
          <w:szCs w:val="24"/>
          <w:lang w:val="en-US"/>
        </w:rPr>
        <w:t>R</w:t>
      </w:r>
      <w:r w:rsidR="0097439B">
        <w:rPr>
          <w:bCs/>
          <w:szCs w:val="24"/>
          <w:lang w:val="en-US"/>
        </w:rPr>
        <w:t>AG r</w:t>
      </w:r>
      <w:r w:rsidR="00035CBF" w:rsidRPr="0075670F">
        <w:rPr>
          <w:bCs/>
          <w:szCs w:val="24"/>
          <w:lang w:val="en-US"/>
        </w:rPr>
        <w:t xml:space="preserve">eview </w:t>
      </w:r>
      <w:r w:rsidR="0097439B">
        <w:rPr>
          <w:bCs/>
          <w:szCs w:val="24"/>
          <w:lang w:val="en-US"/>
        </w:rPr>
        <w:t xml:space="preserve">and update </w:t>
      </w:r>
      <w:r w:rsidR="00035CBF" w:rsidRPr="0075670F">
        <w:rPr>
          <w:bCs/>
          <w:szCs w:val="24"/>
          <w:lang w:val="en-US"/>
        </w:rPr>
        <w:t xml:space="preserve">of document C14/INF/4 </w:t>
      </w:r>
    </w:p>
    <w:p w14:paraId="6C77D98C" w14:textId="4F43AFEE" w:rsidR="00035CBF" w:rsidRDefault="00035CBF" w:rsidP="00035CBF">
      <w:pPr>
        <w:rPr>
          <w:lang w:val="en-US"/>
        </w:rPr>
      </w:pPr>
      <w:r w:rsidRPr="00E1383E">
        <w:rPr>
          <w:lang w:val="en-US"/>
        </w:rPr>
        <w:t>In</w:t>
      </w:r>
      <w:r>
        <w:rPr>
          <w:lang w:val="en-US"/>
        </w:rPr>
        <w:t xml:space="preserve"> 2008, with the view</w:t>
      </w:r>
      <w:r w:rsidRPr="00E1383E">
        <w:rPr>
          <w:lang w:val="en-US"/>
        </w:rPr>
        <w:t xml:space="preserve"> </w:t>
      </w:r>
      <w:r>
        <w:rPr>
          <w:lang w:val="en-US"/>
        </w:rPr>
        <w:t>of</w:t>
      </w:r>
      <w:r w:rsidRPr="00E1383E">
        <w:rPr>
          <w:lang w:val="en-US"/>
        </w:rPr>
        <w:t xml:space="preserve"> implement</w:t>
      </w:r>
      <w:r>
        <w:rPr>
          <w:lang w:val="en-US"/>
        </w:rPr>
        <w:t>ing</w:t>
      </w:r>
      <w:r w:rsidRPr="00E1383E">
        <w:rPr>
          <w:lang w:val="en-US"/>
        </w:rPr>
        <w:t xml:space="preserve"> the use of </w:t>
      </w:r>
      <w:r>
        <w:rPr>
          <w:lang w:val="en-US"/>
        </w:rPr>
        <w:t>the six official languages</w:t>
      </w:r>
      <w:r w:rsidRPr="00E1383E">
        <w:rPr>
          <w:lang w:val="en-US"/>
        </w:rPr>
        <w:t xml:space="preserve"> on an equal footing within the available budget, </w:t>
      </w:r>
      <w:r>
        <w:rPr>
          <w:lang w:val="en-US"/>
        </w:rPr>
        <w:t xml:space="preserve">as required by Resolution 154 of the Plenipotentiary Conference, </w:t>
      </w:r>
      <w:r w:rsidRPr="00E1383E">
        <w:rPr>
          <w:lang w:val="en-US"/>
        </w:rPr>
        <w:t xml:space="preserve">the </w:t>
      </w:r>
      <w:r>
        <w:rPr>
          <w:lang w:val="en-US"/>
        </w:rPr>
        <w:t>A</w:t>
      </w:r>
      <w:r w:rsidRPr="00E1383E">
        <w:rPr>
          <w:lang w:val="en-US"/>
        </w:rPr>
        <w:t xml:space="preserve">dvisory groups of the Sectors and the General Secretariat identified in detail the documents and publications which </w:t>
      </w:r>
      <w:r>
        <w:rPr>
          <w:lang w:val="en-US"/>
        </w:rPr>
        <w:t>would</w:t>
      </w:r>
      <w:r w:rsidRPr="00E1383E">
        <w:rPr>
          <w:lang w:val="en-US"/>
        </w:rPr>
        <w:t xml:space="preserve"> be produced in the different languages, as set out in the tables in Annex 1</w:t>
      </w:r>
      <w:r>
        <w:rPr>
          <w:lang w:val="en-US"/>
        </w:rPr>
        <w:t xml:space="preserve"> of document </w:t>
      </w:r>
      <w:hyperlink r:id="rId18" w:history="1">
        <w:r w:rsidRPr="00577DC3">
          <w:rPr>
            <w:rStyle w:val="Hyperlink"/>
            <w:lang w:val="en-US"/>
          </w:rPr>
          <w:t>C08/56</w:t>
        </w:r>
      </w:hyperlink>
      <w:r w:rsidRPr="00E1383E">
        <w:rPr>
          <w:lang w:val="en-US"/>
        </w:rPr>
        <w:t xml:space="preserve">, which </w:t>
      </w:r>
      <w:r>
        <w:rPr>
          <w:lang w:val="en-US"/>
        </w:rPr>
        <w:t>were</w:t>
      </w:r>
      <w:r w:rsidRPr="00E1383E">
        <w:rPr>
          <w:lang w:val="en-US"/>
        </w:rPr>
        <w:t xml:space="preserve"> submitted to the Council</w:t>
      </w:r>
      <w:r>
        <w:rPr>
          <w:lang w:val="en-US"/>
        </w:rPr>
        <w:t xml:space="preserve"> for endorsement</w:t>
      </w:r>
      <w:r w:rsidRPr="00E1383E">
        <w:rPr>
          <w:lang w:val="en-US"/>
        </w:rPr>
        <w:t>.</w:t>
      </w:r>
    </w:p>
    <w:p w14:paraId="4CE1BE61" w14:textId="47395605" w:rsidR="00035CBF" w:rsidRDefault="00035CBF" w:rsidP="00035CBF">
      <w:pPr>
        <w:rPr>
          <w:lang w:val="en-US"/>
        </w:rPr>
      </w:pPr>
      <w:r>
        <w:rPr>
          <w:lang w:val="en-US"/>
        </w:rPr>
        <w:t xml:space="preserve">In 2014, a detailed review of these tables was conducted and resulted in the publication of document </w:t>
      </w:r>
      <w:hyperlink r:id="rId19" w:history="1">
        <w:r w:rsidRPr="00C617F9">
          <w:rPr>
            <w:rStyle w:val="Hyperlink"/>
            <w:lang w:val="en-US"/>
          </w:rPr>
          <w:t>C14/INF/4</w:t>
        </w:r>
      </w:hyperlink>
      <w:r>
        <w:rPr>
          <w:lang w:val="en-US"/>
        </w:rPr>
        <w:t>, which has guided the work of the Secretariat as refers to translation and interpretation at ITU.</w:t>
      </w:r>
    </w:p>
    <w:p w14:paraId="0B516615" w14:textId="1651AAC5" w:rsidR="00035CBF" w:rsidRDefault="00035CBF" w:rsidP="00035CBF">
      <w:pPr>
        <w:rPr>
          <w:lang w:val="en-US"/>
        </w:rPr>
      </w:pPr>
      <w:r w:rsidRPr="005F0C1B">
        <w:rPr>
          <w:lang w:val="en-US"/>
        </w:rPr>
        <w:t>In its 10</w:t>
      </w:r>
      <w:r w:rsidRPr="005F0C1B">
        <w:rPr>
          <w:vertAlign w:val="superscript"/>
          <w:lang w:val="en-US"/>
        </w:rPr>
        <w:t>th</w:t>
      </w:r>
      <w:r w:rsidRPr="005F0C1B">
        <w:rPr>
          <w:lang w:val="en-US"/>
        </w:rPr>
        <w:t xml:space="preserve"> meeting (October 2020), the Group on Study and Evaluation of the Translation Procedures</w:t>
      </w:r>
      <w:r>
        <w:rPr>
          <w:lang w:val="en-US"/>
        </w:rPr>
        <w:t xml:space="preserve">, where all sectors and the General Secretariat are represented, </w:t>
      </w:r>
      <w:r w:rsidRPr="005F0C1B">
        <w:rPr>
          <w:lang w:val="en-US"/>
        </w:rPr>
        <w:t xml:space="preserve">agreed </w:t>
      </w:r>
      <w:r>
        <w:rPr>
          <w:lang w:val="en-US"/>
        </w:rPr>
        <w:t xml:space="preserve">on the need for </w:t>
      </w:r>
      <w:r w:rsidRPr="005F0C1B">
        <w:rPr>
          <w:lang w:val="en-US"/>
        </w:rPr>
        <w:t xml:space="preserve">a review of the measures and principles for interpretation and translation (document </w:t>
      </w:r>
      <w:hyperlink r:id="rId20" w:history="1">
        <w:r w:rsidRPr="00C617F9">
          <w:rPr>
            <w:rStyle w:val="Hyperlink"/>
            <w:lang w:val="en-US"/>
          </w:rPr>
          <w:t>C14/INF/4</w:t>
        </w:r>
      </w:hyperlink>
      <w:r w:rsidRPr="005F0C1B">
        <w:rPr>
          <w:lang w:val="en-US"/>
        </w:rPr>
        <w:t>)</w:t>
      </w:r>
      <w:r>
        <w:rPr>
          <w:lang w:val="en-US"/>
        </w:rPr>
        <w:t>, in order to:</w:t>
      </w:r>
    </w:p>
    <w:p w14:paraId="4CC5FB1C" w14:textId="4F5CE7DC" w:rsidR="00035CBF" w:rsidRPr="00AE5F5A" w:rsidRDefault="00035CBF" w:rsidP="00035CBF">
      <w:pPr>
        <w:pStyle w:val="ListParagraph"/>
        <w:numPr>
          <w:ilvl w:val="0"/>
          <w:numId w:val="15"/>
        </w:numPr>
      </w:pPr>
      <w:r w:rsidRPr="00AE5F5A">
        <w:t xml:space="preserve">update the publications section of </w:t>
      </w:r>
      <w:hyperlink r:id="rId21" w:history="1">
        <w:r w:rsidRPr="00C617F9">
          <w:rPr>
            <w:rStyle w:val="Hyperlink"/>
          </w:rPr>
          <w:t>C14/INF/4</w:t>
        </w:r>
      </w:hyperlink>
      <w:r w:rsidRPr="00AE5F5A">
        <w:t xml:space="preserve">, as some of the publications had either been discontinued or replaced by others; </w:t>
      </w:r>
    </w:p>
    <w:p w14:paraId="623F45F3" w14:textId="77777777" w:rsidR="00035CBF" w:rsidRPr="00AE5F5A" w:rsidRDefault="00035CBF" w:rsidP="00035CBF">
      <w:pPr>
        <w:pStyle w:val="ListParagraph"/>
        <w:numPr>
          <w:ilvl w:val="0"/>
          <w:numId w:val="15"/>
        </w:numPr>
      </w:pPr>
      <w:r w:rsidRPr="00AE5F5A">
        <w:t xml:space="preserve">implement a common language policy for ITU Web as soon as it is available; </w:t>
      </w:r>
    </w:p>
    <w:p w14:paraId="306B60E2" w14:textId="77777777" w:rsidR="00035CBF" w:rsidRPr="00AE5F5A" w:rsidRDefault="00035CBF" w:rsidP="00035CBF">
      <w:pPr>
        <w:pStyle w:val="ListParagraph"/>
        <w:numPr>
          <w:ilvl w:val="0"/>
          <w:numId w:val="15"/>
        </w:numPr>
      </w:pPr>
      <w:r w:rsidRPr="00AE5F5A">
        <w:t xml:space="preserve">consider the possibilities made available by machine translation and remote interpreting;  </w:t>
      </w:r>
    </w:p>
    <w:p w14:paraId="22707D45" w14:textId="77777777" w:rsidR="00035CBF" w:rsidRPr="00AE5F5A" w:rsidRDefault="00035CBF" w:rsidP="00035CBF">
      <w:pPr>
        <w:pStyle w:val="ListParagraph"/>
        <w:numPr>
          <w:ilvl w:val="0"/>
          <w:numId w:val="15"/>
        </w:numPr>
      </w:pPr>
      <w:r w:rsidRPr="00AE5F5A">
        <w:t xml:space="preserve">seek some sort of correlation in translation and interpretation services, where relevant. </w:t>
      </w:r>
    </w:p>
    <w:p w14:paraId="50827843" w14:textId="36BA6E0C" w:rsidR="00035CBF" w:rsidRPr="005F0C1B" w:rsidRDefault="00035CBF" w:rsidP="00035CBF">
      <w:pPr>
        <w:rPr>
          <w:lang w:val="en-US"/>
        </w:rPr>
      </w:pPr>
      <w:r>
        <w:rPr>
          <w:lang w:val="en-US"/>
        </w:rPr>
        <w:t>To this end, the Group approved</w:t>
      </w:r>
      <w:r w:rsidRPr="005F0C1B">
        <w:rPr>
          <w:lang w:val="en-US"/>
        </w:rPr>
        <w:t xml:space="preserve"> </w:t>
      </w:r>
      <w:r>
        <w:rPr>
          <w:lang w:val="en-US"/>
        </w:rPr>
        <w:t>an</w:t>
      </w:r>
      <w:r w:rsidRPr="005F0C1B">
        <w:rPr>
          <w:lang w:val="en-US"/>
        </w:rPr>
        <w:t xml:space="preserve"> action plan with a view to submitting revised measures and principles for interpretation and translation to the 2022 meeting of the CWG-LANG</w:t>
      </w:r>
      <w:r w:rsidR="001423F0">
        <w:rPr>
          <w:lang w:val="en-US"/>
        </w:rPr>
        <w:t xml:space="preserve">.  </w:t>
      </w:r>
      <w:r w:rsidR="00F20F06">
        <w:rPr>
          <w:lang w:val="en-US"/>
        </w:rPr>
        <w:t xml:space="preserve">This action plan was </w:t>
      </w:r>
      <w:r w:rsidR="00C979FB">
        <w:rPr>
          <w:lang w:val="en-US"/>
        </w:rPr>
        <w:t>described</w:t>
      </w:r>
      <w:r w:rsidR="00F20F06">
        <w:rPr>
          <w:lang w:val="en-US"/>
        </w:rPr>
        <w:t xml:space="preserve"> </w:t>
      </w:r>
      <w:r w:rsidR="006A3FC4">
        <w:rPr>
          <w:lang w:val="en-US"/>
        </w:rPr>
        <w:t xml:space="preserve">in </w:t>
      </w:r>
      <w:r w:rsidR="00F3660B">
        <w:rPr>
          <w:lang w:val="en-US"/>
        </w:rPr>
        <w:t>§</w:t>
      </w:r>
      <w:r w:rsidR="00851E10">
        <w:rPr>
          <w:lang w:val="en-US"/>
        </w:rPr>
        <w:t>5</w:t>
      </w:r>
      <w:r w:rsidR="00F3660B">
        <w:rPr>
          <w:lang w:val="en-US"/>
        </w:rPr>
        <w:t xml:space="preserve"> of </w:t>
      </w:r>
      <w:hyperlink r:id="rId22" w:history="1">
        <w:r w:rsidR="006A0691" w:rsidRPr="006A0691">
          <w:rPr>
            <w:rStyle w:val="Hyperlink"/>
            <w:lang w:val="en-US"/>
          </w:rPr>
          <w:t>CWG-LANG/11/2</w:t>
        </w:r>
      </w:hyperlink>
      <w:r w:rsidR="00F3660B">
        <w:rPr>
          <w:lang w:val="en-US"/>
        </w:rPr>
        <w:t xml:space="preserve">, </w:t>
      </w:r>
      <w:r w:rsidR="006A3FC4">
        <w:rPr>
          <w:lang w:val="en-US"/>
        </w:rPr>
        <w:t>the Secretary General’s Report to the 11</w:t>
      </w:r>
      <w:r w:rsidR="006A3FC4" w:rsidRPr="00322763">
        <w:rPr>
          <w:vertAlign w:val="superscript"/>
          <w:lang w:val="en-US"/>
        </w:rPr>
        <w:t>th</w:t>
      </w:r>
      <w:r w:rsidR="006A3FC4">
        <w:rPr>
          <w:lang w:val="en-US"/>
        </w:rPr>
        <w:t xml:space="preserve"> </w:t>
      </w:r>
      <w:r w:rsidR="00BB0AF6">
        <w:rPr>
          <w:lang w:val="en-US"/>
        </w:rPr>
        <w:t>m</w:t>
      </w:r>
      <w:r w:rsidR="006A3FC4">
        <w:rPr>
          <w:lang w:val="en-US"/>
        </w:rPr>
        <w:t>eeting of CWG-LANG</w:t>
      </w:r>
      <w:r w:rsidR="00C814D9">
        <w:rPr>
          <w:lang w:val="en-US"/>
        </w:rPr>
        <w:t xml:space="preserve"> that</w:t>
      </w:r>
      <w:r w:rsidR="00C979FB">
        <w:rPr>
          <w:lang w:val="en-US"/>
        </w:rPr>
        <w:t xml:space="preserve"> was </w:t>
      </w:r>
      <w:r w:rsidR="006A3FC4">
        <w:rPr>
          <w:lang w:val="en-US"/>
        </w:rPr>
        <w:t>held on 5 February 2020</w:t>
      </w:r>
      <w:r w:rsidR="00323F0D">
        <w:rPr>
          <w:lang w:val="en-US"/>
        </w:rPr>
        <w:t xml:space="preserve">.  </w:t>
      </w:r>
    </w:p>
    <w:p w14:paraId="5C489E40" w14:textId="4F906494" w:rsidR="00A64F66" w:rsidRDefault="00035CBF" w:rsidP="00035CBF">
      <w:pPr>
        <w:rPr>
          <w:lang w:val="en-US"/>
        </w:rPr>
      </w:pPr>
      <w:r w:rsidRPr="00BC40A3">
        <w:rPr>
          <w:lang w:val="en-US"/>
        </w:rPr>
        <w:t xml:space="preserve">According to such action plan, </w:t>
      </w:r>
      <w:r>
        <w:rPr>
          <w:lang w:val="en-US"/>
        </w:rPr>
        <w:t xml:space="preserve">the </w:t>
      </w:r>
      <w:proofErr w:type="spellStart"/>
      <w:r>
        <w:rPr>
          <w:lang w:val="en-US"/>
        </w:rPr>
        <w:t>Bureaux</w:t>
      </w:r>
      <w:proofErr w:type="spellEnd"/>
      <w:r>
        <w:rPr>
          <w:lang w:val="en-US"/>
        </w:rPr>
        <w:t xml:space="preserve"> and the General Secretariat </w:t>
      </w:r>
      <w:r w:rsidR="00CD7FFC">
        <w:rPr>
          <w:lang w:val="en-US"/>
        </w:rPr>
        <w:t>were requested to</w:t>
      </w:r>
      <w:r>
        <w:rPr>
          <w:lang w:val="en-US"/>
        </w:rPr>
        <w:t xml:space="preserve"> </w:t>
      </w:r>
      <w:r w:rsidRPr="00695488">
        <w:rPr>
          <w:lang w:val="en-US"/>
        </w:rPr>
        <w:t>prepare a draft proposal for submission to the relevant Advisory Group</w:t>
      </w:r>
      <w:r>
        <w:rPr>
          <w:lang w:val="en-US"/>
        </w:rPr>
        <w:t xml:space="preserve">. The proposals so approved would be compiled in an Annex to the SG Report to CWG-LANG (2022 meeting), for endorsement and submission to </w:t>
      </w:r>
      <w:r w:rsidRPr="00695488">
        <w:rPr>
          <w:lang w:val="en-US"/>
        </w:rPr>
        <w:t>Council</w:t>
      </w:r>
      <w:r>
        <w:rPr>
          <w:lang w:val="en-US"/>
        </w:rPr>
        <w:t>-22.</w:t>
      </w:r>
    </w:p>
    <w:p w14:paraId="26C79253" w14:textId="247D7A6C" w:rsidR="003C51AF" w:rsidRPr="00035CBF" w:rsidRDefault="00A64F66" w:rsidP="0075670F">
      <w:pPr>
        <w:rPr>
          <w:lang w:val="en-US"/>
        </w:rPr>
      </w:pPr>
      <w:r>
        <w:rPr>
          <w:lang w:val="en-US"/>
        </w:rPr>
        <w:t xml:space="preserve">RAG-21 is invited to review and endorse the </w:t>
      </w:r>
      <w:r w:rsidR="00A012EB">
        <w:rPr>
          <w:lang w:val="en-US"/>
        </w:rPr>
        <w:t>proposed update to the BR section of</w:t>
      </w:r>
      <w:r w:rsidR="004F6C24">
        <w:rPr>
          <w:lang w:val="en-US"/>
        </w:rPr>
        <w:t xml:space="preserve"> </w:t>
      </w:r>
      <w:r w:rsidR="009B09D7">
        <w:rPr>
          <w:lang w:val="en-US"/>
        </w:rPr>
        <w:t>Annex 2 of</w:t>
      </w:r>
      <w:r w:rsidR="00A012EB">
        <w:rPr>
          <w:lang w:val="en-US"/>
        </w:rPr>
        <w:t xml:space="preserve"> </w:t>
      </w:r>
      <w:hyperlink r:id="rId23" w:history="1">
        <w:r w:rsidR="00A012EB" w:rsidRPr="00ED1C42">
          <w:rPr>
            <w:rStyle w:val="Hyperlink"/>
            <w:lang w:val="en-US"/>
          </w:rPr>
          <w:t>C14/INF/</w:t>
        </w:r>
        <w:r w:rsidRPr="00ED1C42">
          <w:rPr>
            <w:rStyle w:val="Hyperlink"/>
            <w:lang w:val="en-US"/>
          </w:rPr>
          <w:t>4</w:t>
        </w:r>
      </w:hyperlink>
      <w:r w:rsidR="00933497">
        <w:rPr>
          <w:lang w:val="en-US"/>
        </w:rPr>
        <w:t>,</w:t>
      </w:r>
      <w:r>
        <w:rPr>
          <w:lang w:val="en-US"/>
        </w:rPr>
        <w:t xml:space="preserve"> </w:t>
      </w:r>
      <w:r w:rsidR="00ED1C42">
        <w:rPr>
          <w:lang w:val="en-US"/>
        </w:rPr>
        <w:t xml:space="preserve">which is presented in </w:t>
      </w:r>
      <w:r w:rsidR="00A74458">
        <w:rPr>
          <w:lang w:val="en-US"/>
        </w:rPr>
        <w:t xml:space="preserve">the </w:t>
      </w:r>
      <w:r w:rsidR="00ED1C42">
        <w:rPr>
          <w:lang w:val="en-US"/>
        </w:rPr>
        <w:t xml:space="preserve">Annex </w:t>
      </w:r>
      <w:r w:rsidR="0075670F">
        <w:rPr>
          <w:lang w:val="en-US"/>
        </w:rPr>
        <w:t xml:space="preserve">to </w:t>
      </w:r>
      <w:r w:rsidR="00ED1C42">
        <w:rPr>
          <w:lang w:val="en-US"/>
        </w:rPr>
        <w:t>this report.</w:t>
      </w:r>
    </w:p>
    <w:p w14:paraId="3A4FDF90" w14:textId="1715EB6A" w:rsidR="00911AE4" w:rsidRDefault="00911AE4" w:rsidP="00911AE4">
      <w:pPr>
        <w:pStyle w:val="Heading2"/>
      </w:pPr>
      <w:r>
        <w:t>2.5</w:t>
      </w:r>
      <w:r>
        <w:tab/>
        <w:t>BR Director's contribution to the Experts Group on International Telecommunication Regulations (EG-ITR)</w:t>
      </w:r>
    </w:p>
    <w:p w14:paraId="582C4FE6" w14:textId="5C753242" w:rsidR="00911AE4" w:rsidRPr="00911AE4" w:rsidRDefault="00911AE4" w:rsidP="00911AE4">
      <w:pPr>
        <w:rPr>
          <w:ins w:id="10" w:author="GF" w:date="2021-03-01T08:47:00Z"/>
        </w:rPr>
      </w:pPr>
      <w:r>
        <w:t>This topic is presented in Addendum 2 to this document.</w:t>
      </w:r>
    </w:p>
    <w:p w14:paraId="741C88C5" w14:textId="49C58A1A" w:rsidR="00EB0D44" w:rsidRPr="003C51AF" w:rsidRDefault="00232B65" w:rsidP="00A350BF">
      <w:pPr>
        <w:pStyle w:val="Heading1"/>
      </w:pPr>
      <w:r w:rsidRPr="003C51AF">
        <w:t>3</w:t>
      </w:r>
      <w:r w:rsidR="00713AFE" w:rsidRPr="003C51AF">
        <w:tab/>
      </w:r>
      <w:r w:rsidRPr="003C51AF">
        <w:t>Implementation</w:t>
      </w:r>
      <w:r w:rsidR="00713AFE" w:rsidRPr="003C51AF">
        <w:t xml:space="preserve"> of WRC-19 decisions</w:t>
      </w:r>
    </w:p>
    <w:p w14:paraId="0F9F33C9" w14:textId="20B7686E" w:rsidR="00EB0D44" w:rsidRDefault="00EB0D44" w:rsidP="00A350BF">
      <w:pPr>
        <w:pStyle w:val="Heading2"/>
        <w:rPr>
          <w:b w:val="0"/>
        </w:rPr>
      </w:pPr>
      <w:r w:rsidRPr="00A350BF">
        <w:t>3.1</w:t>
      </w:r>
      <w:r w:rsidR="00EF2914">
        <w:tab/>
      </w:r>
      <w:r>
        <w:t>Financial implications of WRC-19 decisions</w:t>
      </w:r>
    </w:p>
    <w:p w14:paraId="5CACD9AE" w14:textId="77777777" w:rsidR="00713AFE" w:rsidRPr="00D264F7" w:rsidRDefault="00713AFE" w:rsidP="00713AFE">
      <w:pPr>
        <w:jc w:val="both"/>
      </w:pPr>
      <w:r w:rsidRPr="00D264F7">
        <w:t xml:space="preserve">The World Radiocommunication Conference (WRC-19) identified some areas of additional work, studies and development for the implementation of the decisions of the Conference. The estimated costs for the completion of these new tasks are in the magnitude of CHF 1,721 million. The estimated allocations are contained in </w:t>
      </w:r>
      <w:r w:rsidRPr="00290629">
        <w:rPr>
          <w:b/>
          <w:bCs/>
        </w:rPr>
        <w:t>Table</w:t>
      </w:r>
      <w:r w:rsidRPr="00290629">
        <w:t xml:space="preserve"> </w:t>
      </w:r>
      <w:r w:rsidRPr="00290629">
        <w:rPr>
          <w:b/>
          <w:bCs/>
        </w:rPr>
        <w:t>1</w:t>
      </w:r>
      <w:r w:rsidRPr="00290629">
        <w:t>.</w:t>
      </w:r>
    </w:p>
    <w:p w14:paraId="6E27CCE9" w14:textId="77777777" w:rsidR="00713AFE" w:rsidRPr="00D264F7" w:rsidRDefault="00713AFE" w:rsidP="00713AFE">
      <w:pPr>
        <w:jc w:val="both"/>
      </w:pPr>
      <w:r w:rsidRPr="00D264F7">
        <w:lastRenderedPageBreak/>
        <w:t xml:space="preserve">WRC-19 requested the Secretary-General to bring this to the attention of Council-20 session to discuss the most effective methodology for the funding of these activities as they should be concluded prior to the next World Radiocommunication Conference in 2023. </w:t>
      </w:r>
    </w:p>
    <w:p w14:paraId="5651F3E4" w14:textId="08211AEE" w:rsidR="00F53871" w:rsidRDefault="00424D3E" w:rsidP="00F53871">
      <w:pPr>
        <w:jc w:val="both"/>
      </w:pPr>
      <w:proofErr w:type="gramStart"/>
      <w:r>
        <w:t>In light of</w:t>
      </w:r>
      <w:proofErr w:type="gramEnd"/>
      <w:r>
        <w:t xml:space="preserve"> the COVID-19 pandemic, there was no physical meeting of ITU Council in 2020.  </w:t>
      </w:r>
      <w:r w:rsidR="00713AFE" w:rsidRPr="00D264F7">
        <w:t xml:space="preserve">The </w:t>
      </w:r>
      <w:r w:rsidR="002364C8">
        <w:t>first Virtual Consultation of Councillors</w:t>
      </w:r>
      <w:r w:rsidR="00150420">
        <w:t xml:space="preserve"> (VCC-1), which was held on 9-12 June 2020, </w:t>
      </w:r>
      <w:r w:rsidR="00713AFE" w:rsidRPr="00D264F7">
        <w:t xml:space="preserve">reviewed </w:t>
      </w:r>
      <w:r w:rsidR="00F97AA9">
        <w:t xml:space="preserve">the </w:t>
      </w:r>
      <w:r w:rsidR="00084569">
        <w:t>requested funding for implementing the results of the WRC-19</w:t>
      </w:r>
      <w:r w:rsidR="00F84624">
        <w:t xml:space="preserve">, which was presented to it in </w:t>
      </w:r>
      <w:r w:rsidR="00F84624" w:rsidRPr="00D264F7">
        <w:t>Document C20/56 of Council</w:t>
      </w:r>
      <w:r w:rsidR="00F84624" w:rsidRPr="00D264F7">
        <w:rPr>
          <w:b/>
          <w:bCs/>
        </w:rPr>
        <w:t xml:space="preserve"> (</w:t>
      </w:r>
      <w:hyperlink r:id="rId24" w:history="1">
        <w:r w:rsidR="00F84624" w:rsidRPr="00D264F7">
          <w:rPr>
            <w:rStyle w:val="Hyperlink"/>
          </w:rPr>
          <w:t>https://www.itu.int/md/S20-CL-C-0056/en</w:t>
        </w:r>
      </w:hyperlink>
      <w:r w:rsidR="00F84624" w:rsidRPr="00D264F7">
        <w:t>).</w:t>
      </w:r>
      <w:r w:rsidR="00F84624">
        <w:t xml:space="preserve">  </w:t>
      </w:r>
      <w:r w:rsidR="00961F3B">
        <w:t>The outcome of VCC-1 was that the coun</w:t>
      </w:r>
      <w:r w:rsidR="00F53871">
        <w:t>c</w:t>
      </w:r>
      <w:r w:rsidR="00961F3B">
        <w:t xml:space="preserve">illors </w:t>
      </w:r>
      <w:r w:rsidR="00436E8A">
        <w:t>p</w:t>
      </w:r>
      <w:r w:rsidR="00F53871">
        <w:t>ropose</w:t>
      </w:r>
      <w:r w:rsidR="00436E8A">
        <w:t>d</w:t>
      </w:r>
      <w:r w:rsidR="00F53871">
        <w:t xml:space="preserve"> to the next physical meeting of the Council to authorize the Secretary-General to take relevant measures as a matter of priority: </w:t>
      </w:r>
    </w:p>
    <w:p w14:paraId="21065735" w14:textId="15C51B3E" w:rsidR="00F53871" w:rsidRDefault="00F53871" w:rsidP="000A3EAD">
      <w:pPr>
        <w:pStyle w:val="ListParagraph"/>
        <w:numPr>
          <w:ilvl w:val="0"/>
          <w:numId w:val="11"/>
        </w:numPr>
        <w:spacing w:before="120" w:after="0"/>
        <w:ind w:left="851" w:hanging="851"/>
        <w:contextualSpacing w:val="0"/>
        <w:jc w:val="both"/>
      </w:pPr>
      <w:r>
        <w:t xml:space="preserve">to allocate funds from annual savings generated during budget implementation in 2020, or  </w:t>
      </w:r>
    </w:p>
    <w:p w14:paraId="0B4C5CE1" w14:textId="7938561B" w:rsidR="00F53871" w:rsidRDefault="00F53871" w:rsidP="000A3EAD">
      <w:pPr>
        <w:pStyle w:val="ListParagraph"/>
        <w:numPr>
          <w:ilvl w:val="0"/>
          <w:numId w:val="11"/>
        </w:numPr>
        <w:spacing w:before="120" w:after="0"/>
        <w:ind w:left="851" w:hanging="851"/>
        <w:contextualSpacing w:val="0"/>
        <w:jc w:val="both"/>
      </w:pPr>
      <w:r>
        <w:t>to call for voluntary contributions,</w:t>
      </w:r>
    </w:p>
    <w:p w14:paraId="7DAE2833" w14:textId="77777777" w:rsidR="00E7521D" w:rsidRDefault="00F53871" w:rsidP="000A3EAD">
      <w:pPr>
        <w:pStyle w:val="ListParagraph"/>
        <w:numPr>
          <w:ilvl w:val="0"/>
          <w:numId w:val="11"/>
        </w:numPr>
        <w:spacing w:before="120" w:after="0"/>
        <w:ind w:left="851" w:hanging="851"/>
        <w:contextualSpacing w:val="0"/>
        <w:jc w:val="both"/>
      </w:pPr>
      <w:r>
        <w:t>but not to withdraw from the reserve account.</w:t>
      </w:r>
      <w:r w:rsidR="00186D28">
        <w:t xml:space="preserve"> </w:t>
      </w:r>
      <w:r w:rsidR="00804B7A">
        <w:t xml:space="preserve"> </w:t>
      </w:r>
    </w:p>
    <w:p w14:paraId="66E380F0" w14:textId="57CC0F1F" w:rsidR="005009DD" w:rsidRDefault="0043141D" w:rsidP="003D009B">
      <w:pPr>
        <w:jc w:val="both"/>
      </w:pPr>
      <w:r>
        <w:t>A</w:t>
      </w:r>
      <w:r w:rsidR="0023077B">
        <w:t>fter the VCC-1</w:t>
      </w:r>
      <w:r w:rsidR="009C0662">
        <w:t xml:space="preserve"> the ITU </w:t>
      </w:r>
      <w:r w:rsidR="009B7BDD">
        <w:t>implementation forecast for 2020 indicate</w:t>
      </w:r>
      <w:r w:rsidR="009C0662">
        <w:t>d</w:t>
      </w:r>
      <w:r w:rsidR="009B7BDD">
        <w:t xml:space="preserve"> significant anticipated savings</w:t>
      </w:r>
      <w:r w:rsidR="00E449BB">
        <w:t xml:space="preserve"> </w:t>
      </w:r>
      <w:r w:rsidR="009B7BDD">
        <w:t>for the ITU-R budget in the magnitude of CHF 3 million</w:t>
      </w:r>
      <w:r w:rsidR="00BE3403">
        <w:t>.  Recognizing that</w:t>
      </w:r>
      <w:r w:rsidR="009B7BDD">
        <w:t xml:space="preserve"> the Radiocommunication Sector</w:t>
      </w:r>
      <w:r w:rsidR="00BE3403">
        <w:t xml:space="preserve"> was </w:t>
      </w:r>
      <w:r w:rsidR="009B7BDD">
        <w:t>under pressure to implement WRC-19 post conference work that include</w:t>
      </w:r>
      <w:r w:rsidR="00065455">
        <w:t>d</w:t>
      </w:r>
      <w:r w:rsidR="009B7BDD">
        <w:t xml:space="preserve"> some IT</w:t>
      </w:r>
      <w:r w:rsidR="00C02CB9">
        <w:t xml:space="preserve"> </w:t>
      </w:r>
      <w:r w:rsidR="009B7BDD">
        <w:t>developments for a total of CHF 925’000</w:t>
      </w:r>
      <w:r w:rsidR="00065455">
        <w:t xml:space="preserve"> that </w:t>
      </w:r>
      <w:r w:rsidR="3A6F383F">
        <w:t>had been supported</w:t>
      </w:r>
      <w:r w:rsidR="0062781B">
        <w:t xml:space="preserve"> by councillors </w:t>
      </w:r>
      <w:r w:rsidR="00C64E23">
        <w:t xml:space="preserve">during VCC-1.   Therefore, the BR </w:t>
      </w:r>
      <w:proofErr w:type="gramStart"/>
      <w:r w:rsidR="00C64E23">
        <w:t>requested</w:t>
      </w:r>
      <w:proofErr w:type="gramEnd"/>
      <w:r w:rsidR="00C64E23">
        <w:t xml:space="preserve"> and the Secretary General approved</w:t>
      </w:r>
      <w:r w:rsidR="003D009B">
        <w:t>,</w:t>
      </w:r>
      <w:r w:rsidR="00440770">
        <w:t xml:space="preserve"> </w:t>
      </w:r>
      <w:r w:rsidR="003D009B">
        <w:t>consistent with</w:t>
      </w:r>
      <w:r w:rsidR="00440770">
        <w:t xml:space="preserve"> his budgetary authority, </w:t>
      </w:r>
      <w:r w:rsidR="003D009B">
        <w:t xml:space="preserve">the use of a limited portion of the 2020 ITU-R budget </w:t>
      </w:r>
      <w:r w:rsidR="00127FB8">
        <w:t xml:space="preserve">for </w:t>
      </w:r>
      <w:r w:rsidR="00A37F03">
        <w:t xml:space="preserve">implementing the </w:t>
      </w:r>
      <w:r w:rsidR="00AE289E">
        <w:t xml:space="preserve">IT developments needed to implement the </w:t>
      </w:r>
      <w:r w:rsidR="005009DD">
        <w:t>decisions of the WRC-19.</w:t>
      </w:r>
    </w:p>
    <w:p w14:paraId="07ED0BA5" w14:textId="180925F0" w:rsidR="00713AFE" w:rsidRPr="00D264F7" w:rsidRDefault="005009DD" w:rsidP="00713AFE">
      <w:pPr>
        <w:jc w:val="both"/>
      </w:pPr>
      <w:r>
        <w:t>The funding for the re</w:t>
      </w:r>
      <w:r w:rsidR="00C157EF">
        <w:t>maining CHF 7</w:t>
      </w:r>
      <w:r w:rsidR="005719DB">
        <w:t>96</w:t>
      </w:r>
      <w:r w:rsidR="00C157EF">
        <w:t>’000</w:t>
      </w:r>
      <w:r w:rsidR="005719DB">
        <w:t xml:space="preserve"> that WRC-19 estimated would be required for</w:t>
      </w:r>
      <w:r w:rsidR="00B2448A">
        <w:t xml:space="preserve"> the preparatory work for specific WRC-23 Agenda Items has not been secured.   </w:t>
      </w:r>
      <w:proofErr w:type="gramStart"/>
      <w:r w:rsidR="00B2448A">
        <w:t>In light of</w:t>
      </w:r>
      <w:proofErr w:type="gramEnd"/>
      <w:r w:rsidR="00B2448A">
        <w:t xml:space="preserve"> the virtualization of ITU-R Study Group and Working Party meetings, the</w:t>
      </w:r>
      <w:r w:rsidR="00893374">
        <w:t xml:space="preserve">se estimates </w:t>
      </w:r>
      <w:r w:rsidR="748C4C46">
        <w:t>need to</w:t>
      </w:r>
      <w:r w:rsidR="00893374">
        <w:t xml:space="preserve"> be reviewed and revised at an appropriate time when </w:t>
      </w:r>
      <w:r w:rsidR="00C2253A">
        <w:t xml:space="preserve">it is possible to project the </w:t>
      </w:r>
      <w:r w:rsidR="008A3E86">
        <w:t>return to physical meetings of ITU-R Study Groups and their Working Parties.</w:t>
      </w:r>
      <w:r w:rsidR="0085043A">
        <w:t xml:space="preserve">   Table 1 presents a </w:t>
      </w:r>
      <w:r w:rsidR="00B50D22">
        <w:t xml:space="preserve">report on the status of funding for the implementation of </w:t>
      </w:r>
      <w:r w:rsidR="0085043A">
        <w:t xml:space="preserve">WRC-19 </w:t>
      </w:r>
      <w:r w:rsidR="00287EB9">
        <w:t>decisions</w:t>
      </w:r>
      <w:r w:rsidR="003D009B">
        <w:t>.</w:t>
      </w:r>
      <w:r w:rsidR="00C64E23">
        <w:t xml:space="preserve"> </w:t>
      </w:r>
      <w:r w:rsidR="00065455">
        <w:t xml:space="preserve"> </w:t>
      </w:r>
      <w:r w:rsidR="00713AFE" w:rsidRPr="00D264F7">
        <w:t xml:space="preserve"> </w:t>
      </w:r>
    </w:p>
    <w:p w14:paraId="2BE47C4E" w14:textId="77777777" w:rsidR="00713AFE" w:rsidRDefault="00713AFE" w:rsidP="00713AFE">
      <w:pPr>
        <w:tabs>
          <w:tab w:val="clear" w:pos="794"/>
          <w:tab w:val="clear" w:pos="1191"/>
          <w:tab w:val="clear" w:pos="1588"/>
          <w:tab w:val="clear" w:pos="1985"/>
        </w:tabs>
        <w:overflowPunct/>
        <w:autoSpaceDE/>
        <w:autoSpaceDN/>
        <w:adjustRightInd/>
        <w:spacing w:before="0"/>
        <w:textAlignment w:val="auto"/>
      </w:pPr>
      <w:r>
        <w:br w:type="page"/>
      </w:r>
    </w:p>
    <w:p w14:paraId="77817B1F" w14:textId="77777777" w:rsidR="00713AFE" w:rsidRPr="003507FB" w:rsidRDefault="00713AFE" w:rsidP="00713AFE">
      <w:pPr>
        <w:pStyle w:val="Tabletitle"/>
        <w:rPr>
          <w:color w:val="000000" w:themeColor="text1"/>
          <w:lang w:val="en-US"/>
        </w:rPr>
      </w:pPr>
      <w:r w:rsidRPr="003507FB">
        <w:rPr>
          <w:b w:val="0"/>
          <w:color w:val="000000" w:themeColor="text1"/>
        </w:rPr>
        <w:lastRenderedPageBreak/>
        <w:t>Table 1</w:t>
      </w:r>
    </w:p>
    <w:p w14:paraId="3D5D5CB5" w14:textId="77777777" w:rsidR="00713AFE" w:rsidRPr="003507FB" w:rsidRDefault="00713AFE" w:rsidP="00713AFE">
      <w:pPr>
        <w:pStyle w:val="Tabletitle"/>
        <w:rPr>
          <w:color w:val="000000" w:themeColor="text1"/>
          <w:sz w:val="24"/>
        </w:rPr>
      </w:pPr>
      <w:r w:rsidRPr="003507FB">
        <w:rPr>
          <w:color w:val="000000" w:themeColor="text1"/>
          <w:lang w:val="en-US"/>
        </w:rPr>
        <w:t xml:space="preserve">Summary of the Estimated costs </w:t>
      </w:r>
    </w:p>
    <w:p w14:paraId="41BA5CC0" w14:textId="77777777" w:rsidR="00713AFE" w:rsidRPr="003507FB" w:rsidRDefault="00713AFE" w:rsidP="00713AFE">
      <w:pPr>
        <w:rPr>
          <w:color w:val="000000" w:themeColor="text1"/>
        </w:rPr>
      </w:pPr>
      <w:r w:rsidRPr="003507FB">
        <w:rPr>
          <w:color w:val="000000" w:themeColor="text1"/>
        </w:rPr>
        <w:t> </w:t>
      </w:r>
    </w:p>
    <w:tbl>
      <w:tblPr>
        <w:tblW w:w="0" w:type="auto"/>
        <w:jc w:val="center"/>
        <w:tblCellMar>
          <w:left w:w="0" w:type="dxa"/>
          <w:right w:w="0" w:type="dxa"/>
        </w:tblCellMar>
        <w:tblLook w:val="04A0" w:firstRow="1" w:lastRow="0" w:firstColumn="1" w:lastColumn="0" w:noHBand="0" w:noVBand="1"/>
      </w:tblPr>
      <w:tblGrid>
        <w:gridCol w:w="1404"/>
        <w:gridCol w:w="3494"/>
        <w:gridCol w:w="2584"/>
        <w:gridCol w:w="1106"/>
        <w:gridCol w:w="1041"/>
      </w:tblGrid>
      <w:tr w:rsidR="00713AFE" w14:paraId="793E2266" w14:textId="2FB4A5AA" w:rsidTr="00517F99">
        <w:trPr>
          <w:jc w:val="center"/>
        </w:trPr>
        <w:tc>
          <w:tcPr>
            <w:tcW w:w="1404" w:type="dxa"/>
            <w:tcBorders>
              <w:bottom w:val="single" w:sz="4" w:space="0" w:color="auto"/>
              <w:right w:val="single" w:sz="4" w:space="0" w:color="auto"/>
            </w:tcBorders>
          </w:tcPr>
          <w:p w14:paraId="7EE7C325" w14:textId="77777777" w:rsidR="007522AE" w:rsidRPr="003507FB" w:rsidRDefault="007522AE" w:rsidP="00821CFB">
            <w:pPr>
              <w:pStyle w:val="Tabletext"/>
              <w:jc w:val="center"/>
              <w:rPr>
                <w:b/>
                <w:color w:val="000000" w:themeColor="text1"/>
                <w:lang w:val="en-US"/>
              </w:rPr>
            </w:pPr>
          </w:p>
        </w:tc>
        <w:tc>
          <w:tcPr>
            <w:tcW w:w="349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5851927" w14:textId="77777777" w:rsidR="00713AFE" w:rsidRPr="003507FB" w:rsidRDefault="00713AFE" w:rsidP="00821CFB">
            <w:pPr>
              <w:pStyle w:val="Tabletext"/>
              <w:jc w:val="center"/>
              <w:rPr>
                <w:color w:val="000000" w:themeColor="text1"/>
              </w:rPr>
            </w:pPr>
            <w:r w:rsidRPr="003507FB">
              <w:rPr>
                <w:b/>
                <w:color w:val="000000" w:themeColor="text1"/>
                <w:lang w:val="en-US"/>
              </w:rPr>
              <w:t>Related WRC-19 Decision(s)</w:t>
            </w:r>
          </w:p>
        </w:tc>
        <w:tc>
          <w:tcPr>
            <w:tcW w:w="25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22BA1E" w14:textId="77777777" w:rsidR="00713AFE" w:rsidRPr="003507FB" w:rsidRDefault="00713AFE" w:rsidP="00821CFB">
            <w:pPr>
              <w:pStyle w:val="Tabletext"/>
              <w:jc w:val="center"/>
              <w:rPr>
                <w:color w:val="000000" w:themeColor="text1"/>
              </w:rPr>
            </w:pPr>
            <w:r w:rsidRPr="003507FB">
              <w:rPr>
                <w:b/>
                <w:color w:val="000000" w:themeColor="text1"/>
                <w:lang w:val="en-US"/>
              </w:rPr>
              <w:t>Required Support.</w:t>
            </w:r>
          </w:p>
        </w:tc>
        <w:tc>
          <w:tcPr>
            <w:tcW w:w="11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4AFFA5" w14:textId="77777777" w:rsidR="00713AFE" w:rsidRPr="003507FB" w:rsidRDefault="00713AFE" w:rsidP="00821CFB">
            <w:pPr>
              <w:pStyle w:val="Tabletext"/>
              <w:jc w:val="center"/>
              <w:rPr>
                <w:color w:val="000000" w:themeColor="text1"/>
              </w:rPr>
            </w:pPr>
            <w:r w:rsidRPr="003507FB">
              <w:rPr>
                <w:b/>
                <w:color w:val="000000" w:themeColor="text1"/>
                <w:lang w:val="en-US"/>
              </w:rPr>
              <w:t>Amount CHF</w:t>
            </w:r>
          </w:p>
        </w:tc>
        <w:tc>
          <w:tcPr>
            <w:tcW w:w="1041" w:type="dxa"/>
            <w:tcBorders>
              <w:top w:val="single" w:sz="8" w:space="0" w:color="auto"/>
              <w:left w:val="nil"/>
              <w:bottom w:val="single" w:sz="8" w:space="0" w:color="auto"/>
              <w:right w:val="single" w:sz="8" w:space="0" w:color="auto"/>
            </w:tcBorders>
          </w:tcPr>
          <w:p w14:paraId="6EED7428" w14:textId="6E426849" w:rsidR="007522AE" w:rsidRPr="003507FB" w:rsidRDefault="00717566" w:rsidP="00821CFB">
            <w:pPr>
              <w:pStyle w:val="Tabletext"/>
              <w:jc w:val="center"/>
              <w:rPr>
                <w:b/>
                <w:color w:val="000000" w:themeColor="text1"/>
                <w:lang w:val="en-US"/>
              </w:rPr>
            </w:pPr>
            <w:r w:rsidRPr="003507FB">
              <w:rPr>
                <w:b/>
                <w:color w:val="000000" w:themeColor="text1"/>
                <w:lang w:val="en-US"/>
              </w:rPr>
              <w:t>Totals</w:t>
            </w:r>
          </w:p>
          <w:p w14:paraId="1C483765" w14:textId="43B412CF" w:rsidR="00717566" w:rsidRPr="003507FB" w:rsidRDefault="00717566" w:rsidP="00821CFB">
            <w:pPr>
              <w:pStyle w:val="Tabletext"/>
              <w:jc w:val="center"/>
              <w:rPr>
                <w:b/>
                <w:color w:val="000000" w:themeColor="text1"/>
                <w:lang w:val="en-US"/>
              </w:rPr>
            </w:pPr>
            <w:r w:rsidRPr="003507FB">
              <w:rPr>
                <w:b/>
                <w:color w:val="000000" w:themeColor="text1"/>
                <w:lang w:val="en-US"/>
              </w:rPr>
              <w:t>CHF</w:t>
            </w:r>
          </w:p>
        </w:tc>
      </w:tr>
      <w:tr w:rsidR="00713AFE" w14:paraId="72D17F64" w14:textId="4234D27E" w:rsidTr="00517F99">
        <w:trPr>
          <w:jc w:val="center"/>
        </w:trPr>
        <w:tc>
          <w:tcPr>
            <w:tcW w:w="1404" w:type="dxa"/>
            <w:vMerge w:val="restart"/>
            <w:tcBorders>
              <w:top w:val="single" w:sz="4" w:space="0" w:color="auto"/>
              <w:left w:val="single" w:sz="4" w:space="0" w:color="auto"/>
              <w:bottom w:val="single" w:sz="4" w:space="0" w:color="auto"/>
              <w:right w:val="single" w:sz="4" w:space="0" w:color="auto"/>
            </w:tcBorders>
            <w:shd w:val="clear" w:color="auto" w:fill="auto"/>
          </w:tcPr>
          <w:p w14:paraId="13211761" w14:textId="77777777" w:rsidR="00250676" w:rsidRPr="003507FB" w:rsidRDefault="00287EB9" w:rsidP="00821CFB">
            <w:pPr>
              <w:pStyle w:val="Tabletext"/>
              <w:rPr>
                <w:color w:val="000000" w:themeColor="text1"/>
                <w:lang w:val="en-US"/>
              </w:rPr>
            </w:pPr>
            <w:r w:rsidRPr="003507FB">
              <w:rPr>
                <w:color w:val="000000" w:themeColor="text1"/>
                <w:lang w:val="en-US"/>
              </w:rPr>
              <w:t>Funded by</w:t>
            </w:r>
          </w:p>
          <w:p w14:paraId="262809FA" w14:textId="77777777" w:rsidR="00250676" w:rsidRPr="003507FB" w:rsidRDefault="6027B985" w:rsidP="00821CFB">
            <w:pPr>
              <w:pStyle w:val="Tabletext"/>
              <w:rPr>
                <w:color w:val="000000" w:themeColor="text1"/>
                <w:lang w:val="en-US"/>
              </w:rPr>
            </w:pPr>
            <w:r w:rsidRPr="003507FB">
              <w:rPr>
                <w:color w:val="000000" w:themeColor="text1"/>
                <w:lang w:val="en-US"/>
              </w:rPr>
              <w:t>the use of</w:t>
            </w:r>
          </w:p>
          <w:p w14:paraId="2C80AF8B" w14:textId="77777777" w:rsidR="00250676" w:rsidRPr="003507FB" w:rsidRDefault="6027B985" w:rsidP="00821CFB">
            <w:pPr>
              <w:pStyle w:val="Tabletext"/>
              <w:rPr>
                <w:color w:val="000000" w:themeColor="text1"/>
                <w:lang w:val="en-US"/>
              </w:rPr>
            </w:pPr>
            <w:r w:rsidRPr="003507FB">
              <w:rPr>
                <w:color w:val="000000" w:themeColor="text1"/>
                <w:lang w:val="en-US"/>
              </w:rPr>
              <w:t>2020</w:t>
            </w:r>
          </w:p>
          <w:p w14:paraId="065193DC" w14:textId="2D1F8010" w:rsidR="00250676" w:rsidRPr="003507FB" w:rsidRDefault="00A770A7" w:rsidP="00821CFB">
            <w:pPr>
              <w:pStyle w:val="Tabletext"/>
              <w:rPr>
                <w:color w:val="000000" w:themeColor="text1"/>
                <w:lang w:val="en-US"/>
              </w:rPr>
            </w:pPr>
            <w:r w:rsidRPr="003507FB">
              <w:rPr>
                <w:color w:val="000000" w:themeColor="text1"/>
                <w:lang w:val="en-US"/>
              </w:rPr>
              <w:t>ITU-BR</w:t>
            </w:r>
          </w:p>
          <w:p w14:paraId="1E7E8093" w14:textId="64114A05" w:rsidR="00287EB9" w:rsidRPr="003507FB" w:rsidRDefault="00A770A7" w:rsidP="00821CFB">
            <w:pPr>
              <w:pStyle w:val="Tabletext"/>
              <w:rPr>
                <w:color w:val="000000" w:themeColor="text1"/>
                <w:lang w:val="en-US"/>
              </w:rPr>
            </w:pPr>
            <w:r w:rsidRPr="003507FB">
              <w:rPr>
                <w:color w:val="000000" w:themeColor="text1"/>
                <w:lang w:val="en-US"/>
              </w:rPr>
              <w:t xml:space="preserve">budget </w:t>
            </w:r>
          </w:p>
        </w:tc>
        <w:tc>
          <w:tcPr>
            <w:tcW w:w="349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5FBA8B81" w14:textId="77777777" w:rsidR="00713AFE" w:rsidRPr="003507FB" w:rsidRDefault="00713AFE" w:rsidP="00821CFB">
            <w:pPr>
              <w:pStyle w:val="Tabletext"/>
              <w:rPr>
                <w:color w:val="000000" w:themeColor="text1"/>
              </w:rPr>
            </w:pPr>
            <w:r w:rsidRPr="003507FB">
              <w:rPr>
                <w:color w:val="000000" w:themeColor="text1"/>
                <w:lang w:val="en-US"/>
              </w:rPr>
              <w:t>Resolution 35 (WRC-19)</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86B5CC" w14:textId="77777777" w:rsidR="00713AFE" w:rsidRPr="003507FB" w:rsidRDefault="00713AFE" w:rsidP="00821CFB">
            <w:pPr>
              <w:pStyle w:val="Tabletext"/>
              <w:rPr>
                <w:color w:val="000000" w:themeColor="text1"/>
              </w:rPr>
            </w:pPr>
            <w:r w:rsidRPr="003507FB">
              <w:rPr>
                <w:color w:val="000000" w:themeColor="text1"/>
                <w:lang w:val="en-US"/>
              </w:rPr>
              <w:t>Software development costs, with the assistance of external resources (new database to follow the non-GSO deployment and software to update the MIFR accordingly)</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F91618" w14:textId="77777777" w:rsidR="00713AFE" w:rsidRPr="003507FB" w:rsidRDefault="00713AFE" w:rsidP="00821CFB">
            <w:pPr>
              <w:pStyle w:val="Tabletext"/>
              <w:jc w:val="right"/>
              <w:rPr>
                <w:color w:val="000000" w:themeColor="text1"/>
              </w:rPr>
            </w:pPr>
            <w:r w:rsidRPr="003507FB">
              <w:rPr>
                <w:color w:val="000000" w:themeColor="text1"/>
                <w:lang w:val="en-US"/>
              </w:rPr>
              <w:t>340 000</w:t>
            </w:r>
          </w:p>
        </w:tc>
        <w:tc>
          <w:tcPr>
            <w:tcW w:w="1041" w:type="dxa"/>
            <w:tcBorders>
              <w:top w:val="nil"/>
              <w:left w:val="nil"/>
              <w:bottom w:val="single" w:sz="8" w:space="0" w:color="auto"/>
              <w:right w:val="single" w:sz="8" w:space="0" w:color="auto"/>
            </w:tcBorders>
            <w:shd w:val="clear" w:color="auto" w:fill="auto"/>
          </w:tcPr>
          <w:p w14:paraId="11CE9FBB" w14:textId="77777777" w:rsidR="00717566" w:rsidRPr="003507FB" w:rsidRDefault="00717566" w:rsidP="00821CFB">
            <w:pPr>
              <w:pStyle w:val="Tabletext"/>
              <w:jc w:val="right"/>
              <w:rPr>
                <w:color w:val="000000" w:themeColor="text1"/>
                <w:lang w:val="en-US"/>
              </w:rPr>
            </w:pPr>
          </w:p>
        </w:tc>
      </w:tr>
      <w:tr w:rsidR="00713AFE" w14:paraId="03614F82" w14:textId="2CABC15D" w:rsidTr="00517F99">
        <w:trPr>
          <w:jc w:val="center"/>
        </w:trPr>
        <w:tc>
          <w:tcPr>
            <w:tcW w:w="1404" w:type="dxa"/>
            <w:vMerge/>
            <w:tcBorders>
              <w:left w:val="single" w:sz="4" w:space="0" w:color="auto"/>
              <w:bottom w:val="single" w:sz="4" w:space="0" w:color="auto"/>
              <w:right w:val="single" w:sz="4" w:space="0" w:color="auto"/>
            </w:tcBorders>
          </w:tcPr>
          <w:p w14:paraId="62A3C9F5" w14:textId="77777777" w:rsidR="00717566" w:rsidRPr="003507FB" w:rsidRDefault="00717566" w:rsidP="00821CFB">
            <w:pPr>
              <w:pStyle w:val="Tabletext"/>
              <w:rPr>
                <w:color w:val="000000" w:themeColor="text1"/>
                <w:lang w:val="en-US"/>
              </w:rPr>
            </w:pPr>
          </w:p>
        </w:tc>
        <w:tc>
          <w:tcPr>
            <w:tcW w:w="349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6A111603" w14:textId="77777777" w:rsidR="00713AFE" w:rsidRPr="003507FB" w:rsidRDefault="00713AFE" w:rsidP="00821CFB">
            <w:pPr>
              <w:pStyle w:val="Tabletext"/>
              <w:rPr>
                <w:color w:val="000000" w:themeColor="text1"/>
              </w:rPr>
            </w:pPr>
            <w:r w:rsidRPr="003507FB">
              <w:rPr>
                <w:color w:val="000000" w:themeColor="text1"/>
                <w:lang w:val="en-US"/>
              </w:rPr>
              <w:t xml:space="preserve">Resolution 169 (WRC-19) </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866681" w14:textId="77777777" w:rsidR="00713AFE" w:rsidRPr="003507FB" w:rsidRDefault="00713AFE" w:rsidP="00821CFB">
            <w:pPr>
              <w:pStyle w:val="Tabletext"/>
              <w:rPr>
                <w:color w:val="000000" w:themeColor="text1"/>
              </w:rPr>
            </w:pPr>
            <w:r w:rsidRPr="003507FB">
              <w:rPr>
                <w:color w:val="000000" w:themeColor="text1"/>
                <w:lang w:val="en-US"/>
              </w:rPr>
              <w:t>Software development costs</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172E8B" w14:textId="77777777" w:rsidR="00713AFE" w:rsidRPr="003507FB" w:rsidRDefault="00713AFE" w:rsidP="00821CFB">
            <w:pPr>
              <w:pStyle w:val="Tabletext"/>
              <w:jc w:val="right"/>
              <w:rPr>
                <w:color w:val="000000" w:themeColor="text1"/>
              </w:rPr>
            </w:pPr>
            <w:r w:rsidRPr="003507FB">
              <w:rPr>
                <w:color w:val="000000" w:themeColor="text1"/>
                <w:lang w:val="en-US"/>
              </w:rPr>
              <w:t>85 000</w:t>
            </w:r>
          </w:p>
        </w:tc>
        <w:tc>
          <w:tcPr>
            <w:tcW w:w="1041" w:type="dxa"/>
            <w:tcBorders>
              <w:top w:val="nil"/>
              <w:left w:val="nil"/>
              <w:bottom w:val="single" w:sz="8" w:space="0" w:color="auto"/>
              <w:right w:val="single" w:sz="8" w:space="0" w:color="auto"/>
            </w:tcBorders>
            <w:shd w:val="clear" w:color="auto" w:fill="auto"/>
          </w:tcPr>
          <w:p w14:paraId="13D4DBC1" w14:textId="77777777" w:rsidR="00717566" w:rsidRPr="003507FB" w:rsidRDefault="00717566" w:rsidP="00821CFB">
            <w:pPr>
              <w:pStyle w:val="Tabletext"/>
              <w:jc w:val="right"/>
              <w:rPr>
                <w:color w:val="000000" w:themeColor="text1"/>
                <w:lang w:val="en-US"/>
              </w:rPr>
            </w:pPr>
          </w:p>
        </w:tc>
      </w:tr>
      <w:tr w:rsidR="00713AFE" w14:paraId="254BF254" w14:textId="583214D6" w:rsidTr="00517F99">
        <w:trPr>
          <w:jc w:val="center"/>
        </w:trPr>
        <w:tc>
          <w:tcPr>
            <w:tcW w:w="1404" w:type="dxa"/>
            <w:vMerge/>
            <w:tcBorders>
              <w:left w:val="single" w:sz="4" w:space="0" w:color="auto"/>
              <w:bottom w:val="single" w:sz="4" w:space="0" w:color="auto"/>
              <w:right w:val="single" w:sz="4" w:space="0" w:color="auto"/>
            </w:tcBorders>
          </w:tcPr>
          <w:p w14:paraId="2760E811" w14:textId="77777777" w:rsidR="00717566" w:rsidRPr="003507FB" w:rsidRDefault="00717566" w:rsidP="00821CFB">
            <w:pPr>
              <w:pStyle w:val="Tabletext"/>
              <w:rPr>
                <w:color w:val="000000" w:themeColor="text1"/>
                <w:lang w:val="en-US"/>
              </w:rPr>
            </w:pPr>
          </w:p>
        </w:tc>
        <w:tc>
          <w:tcPr>
            <w:tcW w:w="349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4733ECDE" w14:textId="77777777" w:rsidR="00713AFE" w:rsidRPr="003507FB" w:rsidRDefault="00713AFE" w:rsidP="00821CFB">
            <w:pPr>
              <w:pStyle w:val="Tabletext"/>
              <w:rPr>
                <w:color w:val="000000" w:themeColor="text1"/>
              </w:rPr>
            </w:pPr>
            <w:r w:rsidRPr="003507FB">
              <w:rPr>
                <w:color w:val="000000" w:themeColor="text1"/>
                <w:lang w:val="en-US"/>
              </w:rPr>
              <w:t xml:space="preserve">Modifications to RR Nos. 9.36, 9.53A, Appendices 30, 30A and 30B </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12D4CB" w14:textId="77777777" w:rsidR="00713AFE" w:rsidRPr="003507FB" w:rsidRDefault="00713AFE" w:rsidP="00821CFB">
            <w:pPr>
              <w:pStyle w:val="Tabletext"/>
              <w:rPr>
                <w:color w:val="000000" w:themeColor="text1"/>
              </w:rPr>
            </w:pPr>
            <w:r w:rsidRPr="003507FB">
              <w:rPr>
                <w:color w:val="000000" w:themeColor="text1"/>
                <w:lang w:val="en-US"/>
              </w:rPr>
              <w:t>Software development costs</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7A48EA" w14:textId="77777777" w:rsidR="00713AFE" w:rsidRPr="003507FB" w:rsidRDefault="00713AFE" w:rsidP="00821CFB">
            <w:pPr>
              <w:pStyle w:val="Tabletext"/>
              <w:jc w:val="right"/>
              <w:rPr>
                <w:color w:val="000000" w:themeColor="text1"/>
              </w:rPr>
            </w:pPr>
            <w:r w:rsidRPr="003507FB">
              <w:rPr>
                <w:color w:val="000000" w:themeColor="text1"/>
                <w:lang w:val="en-US"/>
              </w:rPr>
              <w:t>200 000</w:t>
            </w:r>
          </w:p>
        </w:tc>
        <w:tc>
          <w:tcPr>
            <w:tcW w:w="1041" w:type="dxa"/>
            <w:tcBorders>
              <w:top w:val="nil"/>
              <w:left w:val="nil"/>
              <w:bottom w:val="single" w:sz="8" w:space="0" w:color="auto"/>
              <w:right w:val="single" w:sz="8" w:space="0" w:color="auto"/>
            </w:tcBorders>
            <w:shd w:val="clear" w:color="auto" w:fill="auto"/>
          </w:tcPr>
          <w:p w14:paraId="507BD553" w14:textId="77777777" w:rsidR="00717566" w:rsidRPr="003507FB" w:rsidRDefault="00717566" w:rsidP="00821CFB">
            <w:pPr>
              <w:pStyle w:val="Tabletext"/>
              <w:jc w:val="right"/>
              <w:rPr>
                <w:color w:val="000000" w:themeColor="text1"/>
                <w:lang w:val="en-US"/>
              </w:rPr>
            </w:pPr>
          </w:p>
        </w:tc>
      </w:tr>
      <w:tr w:rsidR="00713AFE" w14:paraId="6DCD3671" w14:textId="08C60A73" w:rsidTr="00517F99">
        <w:trPr>
          <w:jc w:val="center"/>
        </w:trPr>
        <w:tc>
          <w:tcPr>
            <w:tcW w:w="1404" w:type="dxa"/>
            <w:vMerge/>
            <w:tcBorders>
              <w:left w:val="single" w:sz="4" w:space="0" w:color="auto"/>
              <w:bottom w:val="single" w:sz="4" w:space="0" w:color="auto"/>
              <w:right w:val="single" w:sz="4" w:space="0" w:color="auto"/>
            </w:tcBorders>
          </w:tcPr>
          <w:p w14:paraId="0A76535C" w14:textId="77777777" w:rsidR="00717566" w:rsidRPr="003507FB" w:rsidRDefault="00717566" w:rsidP="00821CFB">
            <w:pPr>
              <w:pStyle w:val="Tabletext"/>
              <w:rPr>
                <w:color w:val="000000" w:themeColor="text1"/>
                <w:lang w:val="en-US"/>
              </w:rPr>
            </w:pPr>
          </w:p>
        </w:tc>
        <w:tc>
          <w:tcPr>
            <w:tcW w:w="349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02FB7A77" w14:textId="77777777" w:rsidR="00713AFE" w:rsidRPr="003507FB" w:rsidRDefault="00713AFE" w:rsidP="00821CFB">
            <w:pPr>
              <w:pStyle w:val="Tabletext"/>
              <w:rPr>
                <w:color w:val="000000" w:themeColor="text1"/>
              </w:rPr>
            </w:pPr>
            <w:r w:rsidRPr="003507FB">
              <w:rPr>
                <w:color w:val="000000" w:themeColor="text1"/>
                <w:lang w:val="en-US"/>
              </w:rPr>
              <w:t>Various RR provisions and Resolutions related to WRC-19 Agenda item 1.6 (non-GSO FSS)</w:t>
            </w:r>
          </w:p>
          <w:p w14:paraId="0495C91A" w14:textId="77777777" w:rsidR="00713AFE" w:rsidRPr="003507FB" w:rsidRDefault="00713AFE" w:rsidP="00821CFB">
            <w:pPr>
              <w:pStyle w:val="Tabletext"/>
              <w:rPr>
                <w:color w:val="000000" w:themeColor="text1"/>
              </w:rPr>
            </w:pPr>
            <w:r w:rsidRPr="003507FB">
              <w:rPr>
                <w:color w:val="000000" w:themeColor="text1"/>
                <w:lang w:val="en-US"/>
              </w:rPr>
              <w:t>RR Nos. 5.550C, 5.550E, 22.5L, 22.5M and Resolutions 769 (WRC-19) and 770 (WRC-19)</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50A1D3" w14:textId="77777777" w:rsidR="00713AFE" w:rsidRPr="003507FB" w:rsidRDefault="00713AFE" w:rsidP="00821CFB">
            <w:pPr>
              <w:pStyle w:val="Tabletext"/>
              <w:rPr>
                <w:color w:val="000000" w:themeColor="text1"/>
              </w:rPr>
            </w:pPr>
            <w:r w:rsidRPr="003507FB">
              <w:rPr>
                <w:color w:val="000000" w:themeColor="text1"/>
                <w:lang w:val="en-US"/>
              </w:rPr>
              <w:t>Software development costs (implementation of the new methodology, taking benefit of any potential reuse of existing developments)</w:t>
            </w:r>
          </w:p>
          <w:p w14:paraId="0D5CC8AE" w14:textId="77777777" w:rsidR="00713AFE" w:rsidRPr="003507FB" w:rsidRDefault="00713AFE" w:rsidP="00821CFB">
            <w:pPr>
              <w:pStyle w:val="Tabletext"/>
              <w:rPr>
                <w:color w:val="000000" w:themeColor="text1"/>
              </w:rPr>
            </w:pPr>
            <w:r w:rsidRPr="003507FB">
              <w:rPr>
                <w:color w:val="000000" w:themeColor="text1"/>
                <w:lang w:val="en-US"/>
              </w:rPr>
              <w:t> </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8B65CD" w14:textId="77777777" w:rsidR="00713AFE" w:rsidRPr="003507FB" w:rsidRDefault="00713AFE" w:rsidP="00821CFB">
            <w:pPr>
              <w:pStyle w:val="Tabletext"/>
              <w:jc w:val="right"/>
              <w:rPr>
                <w:color w:val="000000" w:themeColor="text1"/>
              </w:rPr>
            </w:pPr>
            <w:r w:rsidRPr="003507FB">
              <w:rPr>
                <w:color w:val="000000" w:themeColor="text1"/>
                <w:lang w:val="en-US"/>
              </w:rPr>
              <w:t>150 000</w:t>
            </w:r>
          </w:p>
        </w:tc>
        <w:tc>
          <w:tcPr>
            <w:tcW w:w="1041" w:type="dxa"/>
            <w:tcBorders>
              <w:top w:val="nil"/>
              <w:left w:val="nil"/>
              <w:bottom w:val="single" w:sz="8" w:space="0" w:color="auto"/>
              <w:right w:val="single" w:sz="8" w:space="0" w:color="auto"/>
            </w:tcBorders>
            <w:shd w:val="clear" w:color="auto" w:fill="auto"/>
          </w:tcPr>
          <w:p w14:paraId="7AE714A3" w14:textId="77777777" w:rsidR="00717566" w:rsidRPr="003507FB" w:rsidRDefault="00717566" w:rsidP="00821CFB">
            <w:pPr>
              <w:pStyle w:val="Tabletext"/>
              <w:jc w:val="right"/>
              <w:rPr>
                <w:color w:val="000000" w:themeColor="text1"/>
                <w:lang w:val="en-US"/>
              </w:rPr>
            </w:pPr>
          </w:p>
        </w:tc>
      </w:tr>
      <w:tr w:rsidR="00713AFE" w14:paraId="600A09A9" w14:textId="34D2BC3C" w:rsidTr="00517F99">
        <w:trPr>
          <w:jc w:val="center"/>
        </w:trPr>
        <w:tc>
          <w:tcPr>
            <w:tcW w:w="1404" w:type="dxa"/>
            <w:vMerge/>
            <w:tcBorders>
              <w:left w:val="single" w:sz="4" w:space="0" w:color="auto"/>
              <w:bottom w:val="single" w:sz="4" w:space="0" w:color="auto"/>
              <w:right w:val="single" w:sz="4" w:space="0" w:color="auto"/>
            </w:tcBorders>
          </w:tcPr>
          <w:p w14:paraId="1D8B8496" w14:textId="77777777" w:rsidR="00717566" w:rsidRPr="003507FB" w:rsidRDefault="00717566" w:rsidP="00821CFB">
            <w:pPr>
              <w:pStyle w:val="Tabletext"/>
              <w:rPr>
                <w:color w:val="000000" w:themeColor="text1"/>
                <w:lang w:val="en-US"/>
              </w:rPr>
            </w:pPr>
          </w:p>
        </w:tc>
        <w:tc>
          <w:tcPr>
            <w:tcW w:w="349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74AE73ED" w14:textId="77777777" w:rsidR="00713AFE" w:rsidRPr="003507FB" w:rsidRDefault="00713AFE" w:rsidP="00821CFB">
            <w:pPr>
              <w:pStyle w:val="Tabletext"/>
              <w:rPr>
                <w:color w:val="000000" w:themeColor="text1"/>
              </w:rPr>
            </w:pPr>
            <w:r w:rsidRPr="003507FB">
              <w:rPr>
                <w:color w:val="000000" w:themeColor="text1"/>
                <w:lang w:val="en-US"/>
              </w:rPr>
              <w:t>Various Resolutions related to WRC-19 Agenda item 1.14 (HAPS)</w:t>
            </w:r>
          </w:p>
          <w:p w14:paraId="63A23412" w14:textId="77777777" w:rsidR="00713AFE" w:rsidRPr="003507FB" w:rsidRDefault="00713AFE" w:rsidP="00821CFB">
            <w:pPr>
              <w:pStyle w:val="Tabletext"/>
              <w:rPr>
                <w:color w:val="000000" w:themeColor="text1"/>
              </w:rPr>
            </w:pPr>
            <w:r w:rsidRPr="003507FB">
              <w:rPr>
                <w:color w:val="000000" w:themeColor="text1"/>
                <w:lang w:val="en-US"/>
              </w:rPr>
              <w:t> </w:t>
            </w:r>
          </w:p>
          <w:p w14:paraId="60B482CF" w14:textId="77777777" w:rsidR="00713AFE" w:rsidRPr="003507FB" w:rsidRDefault="00713AFE" w:rsidP="00821CFB">
            <w:pPr>
              <w:pStyle w:val="Tabletext"/>
              <w:rPr>
                <w:color w:val="000000" w:themeColor="text1"/>
              </w:rPr>
            </w:pPr>
            <w:r w:rsidRPr="003507FB">
              <w:rPr>
                <w:color w:val="000000" w:themeColor="text1"/>
                <w:lang w:val="en-US"/>
              </w:rPr>
              <w:t>Resolution 122 (Rev.WRC-19) and (WRC-19 Resolutions 165, 166, 167,168)</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0B2B1A" w14:textId="48E00504" w:rsidR="00713AFE" w:rsidRPr="003507FB" w:rsidRDefault="00713AFE" w:rsidP="00821CFB">
            <w:pPr>
              <w:pStyle w:val="Tabletext"/>
              <w:rPr>
                <w:color w:val="000000" w:themeColor="text1"/>
              </w:rPr>
            </w:pPr>
            <w:r w:rsidRPr="003507FB">
              <w:rPr>
                <w:color w:val="000000" w:themeColor="text1"/>
                <w:lang w:val="en-US"/>
              </w:rPr>
              <w:t>Software development costs, including the development of calculation modules for more than 30 technical conditions, changes in the Master Register database and filing structure according to modified RR Appendix 4</w:t>
            </w:r>
            <w:r w:rsidR="008C4174" w:rsidRPr="003507FB">
              <w:rPr>
                <w:color w:val="000000" w:themeColor="text1"/>
                <w:lang w:val="en-US"/>
              </w:rPr>
              <w:t>,</w:t>
            </w:r>
            <w:r w:rsidRPr="003507FB">
              <w:rPr>
                <w:color w:val="000000" w:themeColor="text1"/>
                <w:lang w:val="en-US"/>
              </w:rPr>
              <w:t xml:space="preserve"> and design of dedicated notification user interface.</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812723" w14:textId="77777777" w:rsidR="00713AFE" w:rsidRPr="003507FB" w:rsidRDefault="00713AFE" w:rsidP="00821CFB">
            <w:pPr>
              <w:pStyle w:val="Tabletext"/>
              <w:jc w:val="right"/>
              <w:rPr>
                <w:color w:val="000000" w:themeColor="text1"/>
              </w:rPr>
            </w:pPr>
            <w:r w:rsidRPr="003507FB">
              <w:rPr>
                <w:color w:val="000000" w:themeColor="text1"/>
                <w:lang w:val="en-US"/>
              </w:rPr>
              <w:t>150 000</w:t>
            </w:r>
          </w:p>
          <w:p w14:paraId="08C74761" w14:textId="77777777" w:rsidR="00713AFE" w:rsidRPr="003507FB" w:rsidRDefault="00713AFE" w:rsidP="00821CFB">
            <w:pPr>
              <w:pStyle w:val="Tabletext"/>
              <w:jc w:val="right"/>
              <w:rPr>
                <w:color w:val="000000" w:themeColor="text1"/>
              </w:rPr>
            </w:pPr>
            <w:r w:rsidRPr="003507FB">
              <w:rPr>
                <w:color w:val="000000" w:themeColor="text1"/>
                <w:lang w:val="en-US"/>
              </w:rPr>
              <w:t> </w:t>
            </w:r>
          </w:p>
        </w:tc>
        <w:tc>
          <w:tcPr>
            <w:tcW w:w="1041" w:type="dxa"/>
            <w:tcBorders>
              <w:top w:val="nil"/>
              <w:left w:val="nil"/>
              <w:bottom w:val="single" w:sz="8" w:space="0" w:color="auto"/>
              <w:right w:val="single" w:sz="8" w:space="0" w:color="auto"/>
            </w:tcBorders>
            <w:shd w:val="clear" w:color="auto" w:fill="auto"/>
          </w:tcPr>
          <w:p w14:paraId="6A5322BC" w14:textId="77777777" w:rsidR="00717566" w:rsidRPr="003507FB" w:rsidRDefault="00717566" w:rsidP="00821CFB">
            <w:pPr>
              <w:pStyle w:val="Tabletext"/>
              <w:jc w:val="right"/>
              <w:rPr>
                <w:color w:val="000000" w:themeColor="text1"/>
                <w:lang w:val="en-US"/>
              </w:rPr>
            </w:pPr>
          </w:p>
        </w:tc>
      </w:tr>
      <w:tr w:rsidR="00250676" w:rsidRPr="00174F58" w14:paraId="515970C9" w14:textId="355D8103" w:rsidTr="00C60D93">
        <w:trPr>
          <w:jc w:val="center"/>
        </w:trPr>
        <w:tc>
          <w:tcPr>
            <w:tcW w:w="1404" w:type="dxa"/>
            <w:tcBorders>
              <w:left w:val="single" w:sz="4" w:space="0" w:color="auto"/>
              <w:bottom w:val="single" w:sz="4" w:space="0" w:color="auto"/>
              <w:right w:val="single" w:sz="4" w:space="0" w:color="auto"/>
            </w:tcBorders>
            <w:shd w:val="clear" w:color="auto" w:fill="auto"/>
          </w:tcPr>
          <w:p w14:paraId="55B7C0B6" w14:textId="77777777" w:rsidR="00717566" w:rsidRPr="003507FB" w:rsidRDefault="00717566" w:rsidP="00821CFB">
            <w:pPr>
              <w:pStyle w:val="Tabletext"/>
              <w:rPr>
                <w:b/>
                <w:color w:val="000000" w:themeColor="text1"/>
                <w:lang w:val="en-US"/>
              </w:rPr>
            </w:pPr>
          </w:p>
        </w:tc>
        <w:tc>
          <w:tcPr>
            <w:tcW w:w="349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0568EAD3" w14:textId="2A956B2B" w:rsidR="00717566" w:rsidRPr="003507FB" w:rsidRDefault="00717566" w:rsidP="00821CFB">
            <w:pPr>
              <w:pStyle w:val="Tabletext"/>
              <w:rPr>
                <w:b/>
                <w:color w:val="000000" w:themeColor="text1"/>
                <w:lang w:val="en-US"/>
              </w:rPr>
            </w:pPr>
            <w:r w:rsidRPr="003507FB">
              <w:rPr>
                <w:b/>
                <w:color w:val="000000" w:themeColor="text1"/>
                <w:lang w:val="en-US"/>
              </w:rPr>
              <w:t>Subtotal</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0558ED" w14:textId="77777777" w:rsidR="00717566" w:rsidRPr="003507FB" w:rsidRDefault="00717566" w:rsidP="00821CFB">
            <w:pPr>
              <w:pStyle w:val="Tabletext"/>
              <w:rPr>
                <w:b/>
                <w:color w:val="000000" w:themeColor="text1"/>
                <w:lang w:val="en-US"/>
              </w:rPr>
            </w:pP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313F62" w14:textId="60CCDA5B" w:rsidR="00717566" w:rsidRPr="003507FB" w:rsidRDefault="00717566" w:rsidP="00821CFB">
            <w:pPr>
              <w:pStyle w:val="Tabletext"/>
              <w:jc w:val="right"/>
              <w:rPr>
                <w:b/>
                <w:color w:val="000000" w:themeColor="text1"/>
                <w:lang w:val="en-US"/>
              </w:rPr>
            </w:pPr>
          </w:p>
        </w:tc>
        <w:tc>
          <w:tcPr>
            <w:tcW w:w="1041" w:type="dxa"/>
            <w:tcBorders>
              <w:top w:val="nil"/>
              <w:left w:val="nil"/>
              <w:bottom w:val="single" w:sz="8" w:space="0" w:color="auto"/>
              <w:right w:val="single" w:sz="8" w:space="0" w:color="auto"/>
            </w:tcBorders>
            <w:shd w:val="clear" w:color="auto" w:fill="auto"/>
          </w:tcPr>
          <w:p w14:paraId="5F2B0F1A" w14:textId="63568DF4" w:rsidR="00717566" w:rsidRPr="003507FB" w:rsidRDefault="00717566" w:rsidP="00821CFB">
            <w:pPr>
              <w:pStyle w:val="Tabletext"/>
              <w:jc w:val="right"/>
              <w:rPr>
                <w:b/>
                <w:color w:val="000000" w:themeColor="text1"/>
                <w:lang w:val="en-US"/>
              </w:rPr>
            </w:pPr>
            <w:r w:rsidRPr="003507FB">
              <w:rPr>
                <w:b/>
                <w:color w:val="000000" w:themeColor="text1"/>
                <w:lang w:val="en-US"/>
              </w:rPr>
              <w:t>925 000</w:t>
            </w:r>
          </w:p>
        </w:tc>
      </w:tr>
      <w:tr w:rsidR="00174F58" w14:paraId="37A7526B" w14:textId="0538D4AA" w:rsidTr="00C60D93">
        <w:trPr>
          <w:jc w:val="center"/>
        </w:trPr>
        <w:tc>
          <w:tcPr>
            <w:tcW w:w="1404" w:type="dxa"/>
            <w:vMerge w:val="restart"/>
            <w:tcBorders>
              <w:top w:val="single" w:sz="4" w:space="0" w:color="auto"/>
              <w:left w:val="single" w:sz="4" w:space="0" w:color="auto"/>
              <w:bottom w:val="single" w:sz="4" w:space="0" w:color="auto"/>
              <w:right w:val="single" w:sz="4" w:space="0" w:color="auto"/>
            </w:tcBorders>
            <w:shd w:val="clear" w:color="auto" w:fill="auto"/>
          </w:tcPr>
          <w:p w14:paraId="795E0005" w14:textId="500BC415" w:rsidR="00174F58" w:rsidRPr="003507FB" w:rsidRDefault="00A770A7" w:rsidP="0056300D">
            <w:pPr>
              <w:pStyle w:val="Tabletext"/>
              <w:rPr>
                <w:color w:val="000000" w:themeColor="text1"/>
                <w:lang w:val="en-US"/>
              </w:rPr>
            </w:pPr>
            <w:r w:rsidRPr="003507FB">
              <w:rPr>
                <w:color w:val="000000" w:themeColor="text1"/>
                <w:lang w:val="en-US"/>
              </w:rPr>
              <w:t>Yet to be funded, if necessary</w:t>
            </w:r>
          </w:p>
        </w:tc>
        <w:tc>
          <w:tcPr>
            <w:tcW w:w="349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2633B5FB" w14:textId="7575E8D0" w:rsidR="00174F58" w:rsidRPr="003507FB" w:rsidRDefault="00174F58" w:rsidP="0056300D">
            <w:pPr>
              <w:pStyle w:val="Tabletext"/>
              <w:rPr>
                <w:color w:val="000000" w:themeColor="text1"/>
                <w:lang w:val="en-US"/>
              </w:rPr>
            </w:pPr>
            <w:r w:rsidRPr="003507FB">
              <w:rPr>
                <w:color w:val="000000" w:themeColor="text1"/>
                <w:lang w:val="en-US"/>
              </w:rPr>
              <w:t xml:space="preserve">Resolution 245 (WRC-19) </w:t>
            </w:r>
            <w:r w:rsidR="00517F99" w:rsidRPr="003507FB">
              <w:rPr>
                <w:color w:val="000000" w:themeColor="text1"/>
                <w:lang w:val="en-US"/>
              </w:rPr>
              <w:t xml:space="preserve">– </w:t>
            </w:r>
            <w:r w:rsidRPr="003507FB">
              <w:rPr>
                <w:color w:val="000000" w:themeColor="text1"/>
                <w:lang w:val="en-US"/>
              </w:rPr>
              <w:t xml:space="preserve">studies </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D922E5" w14:textId="77777777" w:rsidR="00174F58" w:rsidRPr="003507FB" w:rsidRDefault="00174F58" w:rsidP="0056300D">
            <w:pPr>
              <w:pStyle w:val="Tabletext"/>
              <w:rPr>
                <w:color w:val="000000" w:themeColor="text1"/>
                <w:lang w:val="en-US"/>
              </w:rPr>
            </w:pPr>
            <w:r w:rsidRPr="003507FB">
              <w:rPr>
                <w:color w:val="000000" w:themeColor="text1"/>
                <w:lang w:val="en-US"/>
              </w:rPr>
              <w:t xml:space="preserve">Organizational and meeting support </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1C7453" w14:textId="77777777" w:rsidR="00174F58" w:rsidRPr="003507FB" w:rsidRDefault="00174F58" w:rsidP="0056300D">
            <w:pPr>
              <w:pStyle w:val="Tabletext"/>
              <w:jc w:val="right"/>
              <w:rPr>
                <w:color w:val="000000" w:themeColor="text1"/>
                <w:lang w:val="en-US"/>
              </w:rPr>
            </w:pPr>
            <w:r w:rsidRPr="003507FB">
              <w:rPr>
                <w:color w:val="000000" w:themeColor="text1"/>
                <w:lang w:val="en-US"/>
              </w:rPr>
              <w:t>456 000</w:t>
            </w:r>
          </w:p>
        </w:tc>
        <w:tc>
          <w:tcPr>
            <w:tcW w:w="1041" w:type="dxa"/>
            <w:tcBorders>
              <w:top w:val="nil"/>
              <w:left w:val="nil"/>
              <w:bottom w:val="single" w:sz="8" w:space="0" w:color="auto"/>
              <w:right w:val="single" w:sz="8" w:space="0" w:color="auto"/>
            </w:tcBorders>
            <w:shd w:val="clear" w:color="auto" w:fill="auto"/>
          </w:tcPr>
          <w:p w14:paraId="70431DE6" w14:textId="77777777" w:rsidR="00174F58" w:rsidRPr="003507FB" w:rsidRDefault="00174F58" w:rsidP="0056300D">
            <w:pPr>
              <w:pStyle w:val="Tabletext"/>
              <w:jc w:val="right"/>
              <w:rPr>
                <w:color w:val="000000" w:themeColor="text1"/>
                <w:lang w:val="en-US"/>
              </w:rPr>
            </w:pPr>
          </w:p>
        </w:tc>
      </w:tr>
      <w:tr w:rsidR="00DF77C4" w14:paraId="05C72396" w14:textId="177F3D76" w:rsidTr="00C60D93">
        <w:trPr>
          <w:jc w:val="center"/>
        </w:trPr>
        <w:tc>
          <w:tcPr>
            <w:tcW w:w="1404" w:type="dxa"/>
            <w:vMerge/>
            <w:tcBorders>
              <w:top w:val="single" w:sz="4" w:space="0" w:color="auto"/>
              <w:left w:val="single" w:sz="4" w:space="0" w:color="auto"/>
              <w:bottom w:val="single" w:sz="4" w:space="0" w:color="auto"/>
              <w:right w:val="single" w:sz="4" w:space="0" w:color="auto"/>
            </w:tcBorders>
            <w:shd w:val="clear" w:color="auto" w:fill="auto"/>
          </w:tcPr>
          <w:p w14:paraId="2911AA8A" w14:textId="77777777" w:rsidR="00174F58" w:rsidRPr="003507FB" w:rsidRDefault="00174F58" w:rsidP="0056300D">
            <w:pPr>
              <w:pStyle w:val="Tabletext"/>
              <w:rPr>
                <w:color w:val="000000" w:themeColor="text1"/>
                <w:lang w:val="en-US"/>
              </w:rPr>
            </w:pPr>
          </w:p>
        </w:tc>
        <w:tc>
          <w:tcPr>
            <w:tcW w:w="349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25C8378B" w14:textId="77777777" w:rsidR="00174F58" w:rsidRPr="003507FB" w:rsidRDefault="00174F58" w:rsidP="0056300D">
            <w:pPr>
              <w:pStyle w:val="Tabletext"/>
              <w:rPr>
                <w:color w:val="000000" w:themeColor="text1"/>
                <w:lang w:val="en-US"/>
              </w:rPr>
            </w:pPr>
            <w:r w:rsidRPr="003507FB">
              <w:rPr>
                <w:color w:val="000000" w:themeColor="text1"/>
                <w:lang w:val="en-US"/>
              </w:rPr>
              <w:t>Resolution 235 (WRC-15) – studies related to agenda item 1.5 for WRC</w:t>
            </w:r>
            <w:r w:rsidRPr="003507FB">
              <w:rPr>
                <w:color w:val="000000" w:themeColor="text1"/>
                <w:lang w:val="en-US"/>
              </w:rPr>
              <w:noBreakHyphen/>
              <w:t>23</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786F2" w14:textId="77777777" w:rsidR="00174F58" w:rsidRPr="003507FB" w:rsidRDefault="00174F58" w:rsidP="0056300D">
            <w:pPr>
              <w:pStyle w:val="Tabletext"/>
              <w:rPr>
                <w:color w:val="000000" w:themeColor="text1"/>
                <w:lang w:val="en-US"/>
              </w:rPr>
            </w:pPr>
            <w:r w:rsidRPr="003507FB">
              <w:rPr>
                <w:color w:val="000000" w:themeColor="text1"/>
                <w:lang w:val="en-US"/>
              </w:rPr>
              <w:t>Organizational and meeting support</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D0B546" w14:textId="77777777" w:rsidR="00174F58" w:rsidRPr="003507FB" w:rsidRDefault="00174F58" w:rsidP="0056300D">
            <w:pPr>
              <w:pStyle w:val="Tabletext"/>
              <w:jc w:val="right"/>
              <w:rPr>
                <w:color w:val="000000" w:themeColor="text1"/>
                <w:lang w:val="en-US"/>
              </w:rPr>
            </w:pPr>
            <w:r w:rsidRPr="003507FB">
              <w:rPr>
                <w:color w:val="000000" w:themeColor="text1"/>
                <w:lang w:val="en-US"/>
              </w:rPr>
              <w:t>340 000</w:t>
            </w:r>
          </w:p>
        </w:tc>
        <w:tc>
          <w:tcPr>
            <w:tcW w:w="1041" w:type="dxa"/>
            <w:tcBorders>
              <w:top w:val="nil"/>
              <w:left w:val="nil"/>
              <w:bottom w:val="single" w:sz="8" w:space="0" w:color="auto"/>
              <w:right w:val="single" w:sz="8" w:space="0" w:color="auto"/>
            </w:tcBorders>
            <w:shd w:val="clear" w:color="auto" w:fill="auto"/>
          </w:tcPr>
          <w:p w14:paraId="0765977C" w14:textId="77777777" w:rsidR="00174F58" w:rsidRPr="003507FB" w:rsidRDefault="00174F58" w:rsidP="0056300D">
            <w:pPr>
              <w:pStyle w:val="Tabletext"/>
              <w:jc w:val="right"/>
              <w:rPr>
                <w:color w:val="000000" w:themeColor="text1"/>
                <w:lang w:val="en-US"/>
              </w:rPr>
            </w:pPr>
          </w:p>
        </w:tc>
      </w:tr>
      <w:tr w:rsidR="00DF77C4" w:rsidRPr="00174F58" w14:paraId="14CDB6B3" w14:textId="5FD8752A" w:rsidTr="00C60D93">
        <w:trPr>
          <w:jc w:val="center"/>
        </w:trPr>
        <w:tc>
          <w:tcPr>
            <w:tcW w:w="1404" w:type="dxa"/>
            <w:vMerge/>
            <w:tcBorders>
              <w:top w:val="single" w:sz="4" w:space="0" w:color="auto"/>
              <w:left w:val="single" w:sz="4" w:space="0" w:color="auto"/>
              <w:bottom w:val="single" w:sz="4" w:space="0" w:color="auto"/>
              <w:right w:val="single" w:sz="4" w:space="0" w:color="auto"/>
            </w:tcBorders>
            <w:shd w:val="clear" w:color="auto" w:fill="auto"/>
          </w:tcPr>
          <w:p w14:paraId="58F03B82" w14:textId="77777777" w:rsidR="00174F58" w:rsidRPr="003507FB" w:rsidRDefault="00174F58" w:rsidP="0056300D">
            <w:pPr>
              <w:pStyle w:val="Tabletext"/>
              <w:rPr>
                <w:b/>
                <w:color w:val="000000" w:themeColor="text1"/>
                <w:lang w:val="en-US"/>
              </w:rPr>
            </w:pPr>
          </w:p>
        </w:tc>
        <w:tc>
          <w:tcPr>
            <w:tcW w:w="3494" w:type="dxa"/>
            <w:tcBorders>
              <w:top w:val="nil"/>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1327BDB3" w14:textId="329418E3" w:rsidR="00174F58" w:rsidRPr="003507FB" w:rsidRDefault="00174F58" w:rsidP="0056300D">
            <w:pPr>
              <w:pStyle w:val="Tabletext"/>
              <w:rPr>
                <w:b/>
                <w:color w:val="000000" w:themeColor="text1"/>
                <w:lang w:val="en-US"/>
              </w:rPr>
            </w:pPr>
            <w:r w:rsidRPr="003507FB">
              <w:rPr>
                <w:b/>
                <w:color w:val="000000" w:themeColor="text1"/>
                <w:lang w:val="en-US"/>
              </w:rPr>
              <w:t>Subtotal</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6A53CD6" w14:textId="77777777" w:rsidR="00174F58" w:rsidRPr="003507FB" w:rsidRDefault="00174F58" w:rsidP="0056300D">
            <w:pPr>
              <w:pStyle w:val="Tabletext"/>
              <w:rPr>
                <w:b/>
                <w:color w:val="000000" w:themeColor="text1"/>
                <w:lang w:val="en-US"/>
              </w:rPr>
            </w:pP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1BE284" w14:textId="77777777" w:rsidR="00174F58" w:rsidRPr="003507FB" w:rsidRDefault="00174F58" w:rsidP="0056300D">
            <w:pPr>
              <w:pStyle w:val="Tabletext"/>
              <w:jc w:val="right"/>
              <w:rPr>
                <w:b/>
                <w:color w:val="000000" w:themeColor="text1"/>
                <w:lang w:val="en-US"/>
              </w:rPr>
            </w:pPr>
          </w:p>
        </w:tc>
        <w:tc>
          <w:tcPr>
            <w:tcW w:w="1041" w:type="dxa"/>
            <w:tcBorders>
              <w:top w:val="nil"/>
              <w:left w:val="nil"/>
              <w:bottom w:val="single" w:sz="8" w:space="0" w:color="auto"/>
              <w:right w:val="single" w:sz="8" w:space="0" w:color="auto"/>
            </w:tcBorders>
            <w:shd w:val="clear" w:color="auto" w:fill="auto"/>
          </w:tcPr>
          <w:p w14:paraId="0E13C352" w14:textId="35F3C197" w:rsidR="00174F58" w:rsidRPr="003507FB" w:rsidRDefault="00174F58" w:rsidP="0056300D">
            <w:pPr>
              <w:pStyle w:val="Tabletext"/>
              <w:jc w:val="right"/>
              <w:rPr>
                <w:b/>
                <w:color w:val="000000" w:themeColor="text1"/>
                <w:lang w:val="en-US"/>
              </w:rPr>
            </w:pPr>
            <w:r w:rsidRPr="003507FB">
              <w:rPr>
                <w:b/>
                <w:color w:val="000000" w:themeColor="text1"/>
                <w:lang w:val="en-US"/>
              </w:rPr>
              <w:t>796 000</w:t>
            </w:r>
          </w:p>
        </w:tc>
      </w:tr>
      <w:tr w:rsidR="00713AFE" w14:paraId="3857FB91" w14:textId="0DCE636C" w:rsidTr="00517F99">
        <w:trPr>
          <w:jc w:val="center"/>
        </w:trPr>
        <w:tc>
          <w:tcPr>
            <w:tcW w:w="1404" w:type="dxa"/>
            <w:tcBorders>
              <w:top w:val="single" w:sz="4" w:space="0" w:color="auto"/>
              <w:right w:val="single" w:sz="4" w:space="0" w:color="auto"/>
            </w:tcBorders>
          </w:tcPr>
          <w:p w14:paraId="4EB3AF40" w14:textId="77777777" w:rsidR="007522AE" w:rsidRPr="003507FB" w:rsidRDefault="007522AE" w:rsidP="00821CFB">
            <w:pPr>
              <w:pStyle w:val="Tabletext"/>
              <w:rPr>
                <w:b/>
                <w:color w:val="000000" w:themeColor="text1"/>
                <w:lang w:val="en-US"/>
              </w:rPr>
            </w:pPr>
          </w:p>
        </w:tc>
        <w:tc>
          <w:tcPr>
            <w:tcW w:w="3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185C9" w14:textId="77777777" w:rsidR="00713AFE" w:rsidRPr="003507FB" w:rsidRDefault="00713AFE" w:rsidP="00821CFB">
            <w:pPr>
              <w:pStyle w:val="Tabletext"/>
              <w:rPr>
                <w:color w:val="000000" w:themeColor="text1"/>
              </w:rPr>
            </w:pPr>
            <w:r w:rsidRPr="003507FB">
              <w:rPr>
                <w:b/>
                <w:color w:val="000000" w:themeColor="text1"/>
                <w:lang w:val="en-US"/>
              </w:rPr>
              <w:t>Total</w:t>
            </w:r>
          </w:p>
        </w:tc>
        <w:tc>
          <w:tcPr>
            <w:tcW w:w="258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D1677B7" w14:textId="77777777" w:rsidR="00713AFE" w:rsidRPr="003507FB" w:rsidRDefault="00713AFE" w:rsidP="00821CFB">
            <w:pPr>
              <w:pStyle w:val="Tabletext"/>
              <w:jc w:val="right"/>
              <w:rPr>
                <w:color w:val="000000" w:themeColor="text1"/>
              </w:rPr>
            </w:pPr>
            <w:r w:rsidRPr="003507FB">
              <w:rPr>
                <w:b/>
                <w:color w:val="000000" w:themeColor="text1"/>
                <w:lang w:val="en-US"/>
              </w:rPr>
              <w:t> </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51FB7F85" w14:textId="53502425" w:rsidR="00713AFE" w:rsidRPr="003507FB" w:rsidRDefault="00713AFE" w:rsidP="00821CFB">
            <w:pPr>
              <w:pStyle w:val="Tabletext"/>
              <w:jc w:val="right"/>
              <w:rPr>
                <w:color w:val="000000" w:themeColor="text1"/>
              </w:rPr>
            </w:pPr>
          </w:p>
        </w:tc>
        <w:tc>
          <w:tcPr>
            <w:tcW w:w="1041" w:type="dxa"/>
            <w:tcBorders>
              <w:top w:val="nil"/>
              <w:left w:val="nil"/>
              <w:bottom w:val="single" w:sz="8" w:space="0" w:color="auto"/>
              <w:right w:val="single" w:sz="8" w:space="0" w:color="auto"/>
            </w:tcBorders>
          </w:tcPr>
          <w:p w14:paraId="46DB1204" w14:textId="1640E2C3" w:rsidR="00174F58" w:rsidRPr="003507FB" w:rsidRDefault="00174F58" w:rsidP="00821CFB">
            <w:pPr>
              <w:pStyle w:val="Tabletext"/>
              <w:jc w:val="right"/>
              <w:rPr>
                <w:b/>
                <w:color w:val="000000" w:themeColor="text1"/>
                <w:lang w:val="en-US"/>
              </w:rPr>
            </w:pPr>
            <w:r w:rsidRPr="003507FB">
              <w:rPr>
                <w:b/>
                <w:color w:val="000000" w:themeColor="text1"/>
                <w:lang w:val="en-US"/>
              </w:rPr>
              <w:t>1 721 000</w:t>
            </w:r>
          </w:p>
        </w:tc>
      </w:tr>
    </w:tbl>
    <w:p w14:paraId="225AB2E2" w14:textId="77777777" w:rsidR="00713AFE" w:rsidRDefault="00713AFE" w:rsidP="00713AFE"/>
    <w:p w14:paraId="0C8D4D57" w14:textId="77777777" w:rsidR="00713AFE" w:rsidRDefault="00713AFE" w:rsidP="00713AFE">
      <w:pPr>
        <w:tabs>
          <w:tab w:val="clear" w:pos="794"/>
          <w:tab w:val="clear" w:pos="1191"/>
          <w:tab w:val="clear" w:pos="1588"/>
          <w:tab w:val="clear" w:pos="1985"/>
        </w:tabs>
        <w:overflowPunct/>
        <w:autoSpaceDE/>
        <w:autoSpaceDN/>
        <w:adjustRightInd/>
        <w:spacing w:before="0"/>
        <w:textAlignment w:val="auto"/>
      </w:pPr>
      <w:r>
        <w:br w:type="page"/>
      </w:r>
    </w:p>
    <w:p w14:paraId="23DCAFCA" w14:textId="3ABD3B1F" w:rsidR="00713AFE" w:rsidRDefault="00713AFE" w:rsidP="00713AFE">
      <w:pPr>
        <w:pStyle w:val="Heading3"/>
      </w:pPr>
      <w:bookmarkStart w:id="11" w:name="_Toc446060764"/>
      <w:r w:rsidRPr="00EA2AD3">
        <w:lastRenderedPageBreak/>
        <w:t>3.2</w:t>
      </w:r>
      <w:r>
        <w:tab/>
      </w:r>
      <w:r w:rsidRPr="006A2D77">
        <w:t xml:space="preserve">Software development to implement </w:t>
      </w:r>
      <w:r>
        <w:t>WRC-19 decisions</w:t>
      </w:r>
      <w:bookmarkEnd w:id="11"/>
    </w:p>
    <w:p w14:paraId="6450A02A" w14:textId="5E44D0E4" w:rsidR="00713AFE" w:rsidRDefault="00713AFE" w:rsidP="00713AFE">
      <w:pPr>
        <w:tabs>
          <w:tab w:val="left" w:pos="7655"/>
        </w:tabs>
        <w:spacing w:after="120"/>
        <w:jc w:val="both"/>
      </w:pPr>
      <w:r>
        <w:t xml:space="preserve">The BR is </w:t>
      </w:r>
      <w:r w:rsidR="2341E7B8">
        <w:t xml:space="preserve">finalizing </w:t>
      </w:r>
      <w:r>
        <w:t xml:space="preserve">software design and development to implement WRC-19 decisions. </w:t>
      </w:r>
    </w:p>
    <w:p w14:paraId="041D458D" w14:textId="29885FFD" w:rsidR="00713AFE" w:rsidRDefault="00713AFE" w:rsidP="00713AFE">
      <w:pPr>
        <w:tabs>
          <w:tab w:val="left" w:pos="7655"/>
        </w:tabs>
        <w:spacing w:after="120"/>
        <w:jc w:val="both"/>
      </w:pPr>
      <w:r>
        <w:t xml:space="preserve">The following presents a summary of the main tasks </w:t>
      </w:r>
      <w:r w:rsidR="364AD7F4">
        <w:t xml:space="preserve">finalized since the last report or remaining to be </w:t>
      </w:r>
      <w:r w:rsidR="21E64533">
        <w:t>finalized.</w:t>
      </w:r>
    </w:p>
    <w:p w14:paraId="7201E0FA" w14:textId="63F080E4" w:rsidR="00713AFE" w:rsidRPr="00120979" w:rsidRDefault="00713AFE" w:rsidP="00673349">
      <w:pPr>
        <w:pStyle w:val="Heading3"/>
        <w:rPr>
          <w:rFonts w:eastAsia="Verdana"/>
        </w:rPr>
      </w:pPr>
      <w:r w:rsidRPr="00EA2AD3">
        <w:rPr>
          <w:rFonts w:eastAsia="Verdana"/>
        </w:rPr>
        <w:t>3.2.1</w:t>
      </w:r>
      <w:r w:rsidR="00E04FC3">
        <w:rPr>
          <w:rFonts w:eastAsia="Verdana"/>
        </w:rPr>
        <w:tab/>
      </w:r>
      <w:r>
        <w:rPr>
          <w:rFonts w:eastAsia="Verdana"/>
        </w:rPr>
        <w:t xml:space="preserve"> </w:t>
      </w:r>
      <w:r w:rsidRPr="00673349">
        <w:rPr>
          <w:rFonts w:eastAsia="Verdana"/>
        </w:rPr>
        <w:t>Implementation</w:t>
      </w:r>
      <w:r w:rsidRPr="00120979">
        <w:rPr>
          <w:rFonts w:eastAsia="Verdana"/>
        </w:rPr>
        <w:t xml:space="preserve"> of WRC-19 decisions relating to terrestrial services</w:t>
      </w:r>
      <w:r>
        <w:rPr>
          <w:rFonts w:eastAsia="Verdana"/>
        </w:rPr>
        <w:t>:</w:t>
      </w:r>
    </w:p>
    <w:p w14:paraId="4D20BDD9" w14:textId="6FE1716F" w:rsidR="00713AFE" w:rsidRPr="005761A0" w:rsidRDefault="00BC66BD" w:rsidP="000A3EAD">
      <w:pPr>
        <w:pStyle w:val="ListParagraph"/>
        <w:numPr>
          <w:ilvl w:val="0"/>
          <w:numId w:val="11"/>
        </w:numPr>
        <w:spacing w:before="120" w:after="0"/>
        <w:ind w:left="851" w:hanging="851"/>
        <w:contextualSpacing w:val="0"/>
        <w:jc w:val="both"/>
      </w:pPr>
      <w:r w:rsidRPr="005761A0">
        <w:t>Completion of the</w:t>
      </w:r>
      <w:r w:rsidR="00713AFE" w:rsidRPr="52976F2E">
        <w:rPr>
          <w:rFonts w:eastAsia="Verdana"/>
        </w:rPr>
        <w:t xml:space="preserve"> update of the software used for processing and publication of terrestrial notices, both for internal (</w:t>
      </w:r>
      <w:proofErr w:type="spellStart"/>
      <w:r w:rsidR="00713AFE" w:rsidRPr="005761A0">
        <w:t>TerRaSys</w:t>
      </w:r>
      <w:proofErr w:type="spellEnd"/>
      <w:r w:rsidR="00713AFE" w:rsidRPr="52976F2E">
        <w:rPr>
          <w:rFonts w:eastAsia="Verdana"/>
        </w:rPr>
        <w:t>) and external (BR IFIC (Terrestrial)) utilization, as a result of WRC-19 decisions and related Rules of Procedure. These include changes in the terrestrial databases, validation</w:t>
      </w:r>
      <w:r w:rsidR="00055E29">
        <w:rPr>
          <w:rFonts w:eastAsia="Verdana"/>
        </w:rPr>
        <w:t>,</w:t>
      </w:r>
      <w:r w:rsidR="00713AFE" w:rsidRPr="52976F2E">
        <w:rPr>
          <w:rFonts w:eastAsia="Verdana"/>
        </w:rPr>
        <w:t xml:space="preserve"> and examination software, and reference tables</w:t>
      </w:r>
      <w:r w:rsidR="56CC8EBA" w:rsidRPr="005761A0">
        <w:t xml:space="preserve"> for the frequency bands shared with space services, subject to RR No. </w:t>
      </w:r>
      <w:r w:rsidR="56CC8EBA" w:rsidRPr="00A350BF">
        <w:t>9.21</w:t>
      </w:r>
      <w:r w:rsidR="56CC8EBA" w:rsidRPr="005761A0">
        <w:t>, identified for IMT, etc.). All necessary changes were implemented and are now fully in production</w:t>
      </w:r>
      <w:r w:rsidR="00713AFE" w:rsidRPr="52976F2E">
        <w:rPr>
          <w:rFonts w:eastAsia="Verdana"/>
          <w:lang w:eastAsia="es-CR"/>
        </w:rPr>
        <w:t>.</w:t>
      </w:r>
    </w:p>
    <w:p w14:paraId="7C1FFE60" w14:textId="39A0FE7F" w:rsidR="00713AFE" w:rsidRPr="005761A0" w:rsidRDefault="00713AFE" w:rsidP="000A3EAD">
      <w:pPr>
        <w:pStyle w:val="ListParagraph"/>
        <w:numPr>
          <w:ilvl w:val="0"/>
          <w:numId w:val="11"/>
        </w:numPr>
        <w:spacing w:before="120" w:after="0"/>
        <w:ind w:left="851" w:hanging="851"/>
        <w:contextualSpacing w:val="0"/>
        <w:jc w:val="both"/>
      </w:pPr>
      <w:r w:rsidRPr="005761A0">
        <w:t xml:space="preserve">Development of </w:t>
      </w:r>
      <w:r w:rsidRPr="52976F2E">
        <w:rPr>
          <w:rFonts w:eastAsia="Verdana"/>
        </w:rPr>
        <w:t>the software modules for processing HAPS notifications (validation, examination</w:t>
      </w:r>
      <w:r w:rsidR="00055E29">
        <w:rPr>
          <w:rFonts w:eastAsia="Verdana"/>
        </w:rPr>
        <w:t>,</w:t>
      </w:r>
      <w:r w:rsidRPr="52976F2E">
        <w:rPr>
          <w:rFonts w:eastAsia="Verdana"/>
        </w:rPr>
        <w:t xml:space="preserve"> and publication tools)</w:t>
      </w:r>
      <w:r w:rsidRPr="005761A0">
        <w:t xml:space="preserve">. This task also comprises the development of calculation modules for checking technical conditions specified </w:t>
      </w:r>
      <w:r w:rsidRPr="52976F2E">
        <w:rPr>
          <w:rFonts w:eastAsia="Verdana"/>
        </w:rPr>
        <w:t>Resolutions 122 (Rev. WRC-19), 145 (Rev. WRC-19), 165 (WRC-19), 166 (WRC-19), 167 (WRC-19)</w:t>
      </w:r>
      <w:r w:rsidR="0074150D">
        <w:rPr>
          <w:rFonts w:eastAsia="Verdana"/>
        </w:rPr>
        <w:t>,</w:t>
      </w:r>
      <w:r w:rsidRPr="52976F2E">
        <w:rPr>
          <w:rFonts w:eastAsia="Verdana"/>
        </w:rPr>
        <w:t xml:space="preserve"> and 168 (WRC-19), </w:t>
      </w:r>
      <w:r w:rsidR="4446C133" w:rsidRPr="005761A0">
        <w:t>as well as the corresponding</w:t>
      </w:r>
      <w:r w:rsidR="4446C133" w:rsidRPr="52976F2E">
        <w:rPr>
          <w:rFonts w:eastAsia="Verdana"/>
        </w:rPr>
        <w:t xml:space="preserve"> </w:t>
      </w:r>
      <w:r w:rsidRPr="005761A0">
        <w:t>changes in the database and filing structure.</w:t>
      </w:r>
    </w:p>
    <w:p w14:paraId="726EB331" w14:textId="77777777" w:rsidR="00713AFE" w:rsidRPr="00A350BF" w:rsidRDefault="00713AFE" w:rsidP="000A3EAD">
      <w:pPr>
        <w:pStyle w:val="ListParagraph"/>
        <w:numPr>
          <w:ilvl w:val="0"/>
          <w:numId w:val="11"/>
        </w:numPr>
        <w:spacing w:before="120" w:after="0"/>
        <w:ind w:left="851" w:hanging="851"/>
        <w:contextualSpacing w:val="0"/>
        <w:jc w:val="both"/>
      </w:pPr>
      <w:r w:rsidRPr="005761A0">
        <w:t xml:space="preserve">Development of </w:t>
      </w:r>
      <w:r w:rsidRPr="00AC6EE7">
        <w:rPr>
          <w:rFonts w:eastAsia="Verdana"/>
          <w:bCs/>
          <w:szCs w:val="24"/>
        </w:rPr>
        <w:t xml:space="preserve">the examination software for identification of affected administrations using digital elevation models (DEM) for </w:t>
      </w:r>
      <w:r w:rsidRPr="00AC6EE7">
        <w:rPr>
          <w:rFonts w:eastAsia="Verdana"/>
          <w:szCs w:val="24"/>
        </w:rPr>
        <w:t>several</w:t>
      </w:r>
      <w:r w:rsidRPr="00AC6EE7">
        <w:rPr>
          <w:rFonts w:eastAsia="Verdana"/>
          <w:bCs/>
          <w:szCs w:val="24"/>
        </w:rPr>
        <w:t xml:space="preserve"> frequency bands and services.</w:t>
      </w:r>
    </w:p>
    <w:p w14:paraId="1BDD44A2" w14:textId="3699BBA7" w:rsidR="00713AFE" w:rsidRPr="00DF46A8" w:rsidRDefault="00713AFE" w:rsidP="00A350BF">
      <w:pPr>
        <w:pStyle w:val="Heading3"/>
        <w:rPr>
          <w:rFonts w:eastAsia="Verdana"/>
        </w:rPr>
      </w:pPr>
      <w:r w:rsidRPr="00EA2AD3">
        <w:rPr>
          <w:rFonts w:eastAsia="Verdana"/>
        </w:rPr>
        <w:t>3.2.2</w:t>
      </w:r>
      <w:r w:rsidR="00E04FC3">
        <w:rPr>
          <w:rFonts w:eastAsia="Verdana"/>
        </w:rPr>
        <w:tab/>
      </w:r>
      <w:r>
        <w:rPr>
          <w:rFonts w:eastAsia="Verdana"/>
        </w:rPr>
        <w:t xml:space="preserve"> </w:t>
      </w:r>
      <w:r w:rsidRPr="00DF46A8">
        <w:rPr>
          <w:rFonts w:eastAsia="Verdana"/>
        </w:rPr>
        <w:t>Implementation of WRC-19 decisions relating to space services:</w:t>
      </w:r>
    </w:p>
    <w:p w14:paraId="129EA8A3" w14:textId="4DB8D81D" w:rsidR="00713AFE" w:rsidRPr="00DF46A8" w:rsidRDefault="00713AFE" w:rsidP="000A3EAD">
      <w:pPr>
        <w:pStyle w:val="ListParagraph"/>
        <w:numPr>
          <w:ilvl w:val="0"/>
          <w:numId w:val="11"/>
        </w:numPr>
        <w:spacing w:before="120" w:after="0"/>
        <w:ind w:left="851" w:hanging="851"/>
        <w:contextualSpacing w:val="0"/>
        <w:jc w:val="both"/>
        <w:rPr>
          <w:bCs/>
        </w:rPr>
      </w:pPr>
      <w:r w:rsidRPr="00DF46A8">
        <w:rPr>
          <w:bCs/>
        </w:rPr>
        <w:t>Review and update of the software used for processing and publication of satellite network submissions, both for internal and external (BR IFIC (Space)) use. These include changes in the database, validation</w:t>
      </w:r>
      <w:r w:rsidR="00B84760">
        <w:rPr>
          <w:bCs/>
        </w:rPr>
        <w:t>,</w:t>
      </w:r>
      <w:r w:rsidRPr="00DF46A8">
        <w:rPr>
          <w:bCs/>
        </w:rPr>
        <w:t xml:space="preserve"> and examination software modules, reference tables, resulting from WRC-19 decisions</w:t>
      </w:r>
      <w:r w:rsidR="00906163">
        <w:rPr>
          <w:bCs/>
        </w:rPr>
        <w:t>,</w:t>
      </w:r>
      <w:r w:rsidRPr="00DF46A8">
        <w:rPr>
          <w:bCs/>
        </w:rPr>
        <w:t xml:space="preserve"> and related Rules of Procedure. </w:t>
      </w:r>
    </w:p>
    <w:p w14:paraId="6BB82804" w14:textId="17E04C0F" w:rsidR="00713AFE" w:rsidRPr="00DF46A8" w:rsidRDefault="00713AFE" w:rsidP="000A3EAD">
      <w:pPr>
        <w:pStyle w:val="ListParagraph"/>
        <w:numPr>
          <w:ilvl w:val="0"/>
          <w:numId w:val="11"/>
        </w:numPr>
        <w:spacing w:before="120" w:after="0"/>
        <w:ind w:left="851" w:hanging="851"/>
        <w:contextualSpacing w:val="0"/>
        <w:jc w:val="both"/>
      </w:pPr>
      <w:proofErr w:type="gramStart"/>
      <w:r w:rsidRPr="00DF46A8">
        <w:rPr>
          <w:bCs/>
        </w:rPr>
        <w:t>Due to the fact that</w:t>
      </w:r>
      <w:proofErr w:type="gramEnd"/>
      <w:r w:rsidRPr="00DF46A8">
        <w:rPr>
          <w:bCs/>
        </w:rPr>
        <w:t xml:space="preserve"> certain changes adopted by WRC-19 entered into force immediately, an intermediate release of space services software (version </w:t>
      </w:r>
      <w:r w:rsidR="1B174078">
        <w:t>9</w:t>
      </w:r>
      <w:r>
        <w:t xml:space="preserve">) </w:t>
      </w:r>
      <w:r w:rsidR="7AB6B398">
        <w:t>was released on IFIC 292</w:t>
      </w:r>
      <w:r w:rsidR="28D32A58">
        <w:t>6</w:t>
      </w:r>
      <w:r w:rsidR="7AB6B398">
        <w:t xml:space="preserve"> (</w:t>
      </w:r>
      <w:r w:rsidR="7128447B">
        <w:t xml:space="preserve">4 </w:t>
      </w:r>
      <w:r w:rsidR="7AB6B398">
        <w:t>August 2020)</w:t>
      </w:r>
      <w:r>
        <w:t>.</w:t>
      </w:r>
      <w:r w:rsidRPr="00DF46A8">
        <w:rPr>
          <w:bCs/>
        </w:rPr>
        <w:t xml:space="preserve"> The full set of changes related to WRC-19 shall be available in </w:t>
      </w:r>
      <w:r w:rsidR="741776B7">
        <w:t>the first qu</w:t>
      </w:r>
      <w:r w:rsidR="1EC4A297">
        <w:t>a</w:t>
      </w:r>
      <w:r w:rsidR="741776B7">
        <w:t xml:space="preserve">rter of </w:t>
      </w:r>
      <w:r w:rsidRPr="00DF46A8">
        <w:rPr>
          <w:bCs/>
        </w:rPr>
        <w:t xml:space="preserve">2021 </w:t>
      </w:r>
      <w:r w:rsidR="741776B7">
        <w:t>as</w:t>
      </w:r>
      <w:r w:rsidRPr="00DF46A8">
        <w:rPr>
          <w:bCs/>
        </w:rPr>
        <w:t xml:space="preserve"> version 9</w:t>
      </w:r>
      <w:r w:rsidR="7A0B5FC1">
        <w:t>.1</w:t>
      </w:r>
      <w:r w:rsidRPr="00DF46A8">
        <w:rPr>
          <w:bCs/>
        </w:rPr>
        <w:t xml:space="preserve"> of BR </w:t>
      </w:r>
      <w:r w:rsidR="301104ED">
        <w:t>Space Software</w:t>
      </w:r>
      <w:r w:rsidRPr="00DF46A8">
        <w:rPr>
          <w:bCs/>
        </w:rPr>
        <w:t xml:space="preserve">. </w:t>
      </w:r>
    </w:p>
    <w:p w14:paraId="12E40124" w14:textId="77777777" w:rsidR="00713AFE" w:rsidRPr="00DF46A8" w:rsidRDefault="00713AFE" w:rsidP="000A3EAD">
      <w:pPr>
        <w:pStyle w:val="ListParagraph"/>
        <w:numPr>
          <w:ilvl w:val="0"/>
          <w:numId w:val="11"/>
        </w:numPr>
        <w:spacing w:before="120" w:after="0"/>
        <w:ind w:left="851" w:hanging="851"/>
        <w:contextualSpacing w:val="0"/>
        <w:jc w:val="both"/>
        <w:rPr>
          <w:bCs/>
        </w:rPr>
      </w:pPr>
      <w:r w:rsidRPr="00DF46A8">
        <w:rPr>
          <w:bCs/>
        </w:rPr>
        <w:t xml:space="preserve">A partial list of changes </w:t>
      </w:r>
      <w:r w:rsidRPr="00DF46A8">
        <w:t xml:space="preserve">to space service software </w:t>
      </w:r>
      <w:r w:rsidRPr="00DF46A8">
        <w:rPr>
          <w:bCs/>
        </w:rPr>
        <w:t xml:space="preserve">includes: </w:t>
      </w:r>
    </w:p>
    <w:p w14:paraId="438B5FB7" w14:textId="12D28E2E" w:rsidR="00713AFE" w:rsidRPr="00DF46A8" w:rsidRDefault="00713AFE" w:rsidP="000A3EAD">
      <w:pPr>
        <w:pStyle w:val="ListParagraph"/>
        <w:numPr>
          <w:ilvl w:val="0"/>
          <w:numId w:val="2"/>
        </w:numPr>
        <w:tabs>
          <w:tab w:val="left" w:pos="7655"/>
        </w:tabs>
        <w:spacing w:before="120" w:after="0"/>
        <w:ind w:left="1418" w:hanging="567"/>
        <w:contextualSpacing w:val="0"/>
        <w:rPr>
          <w:rFonts w:eastAsia="Times New Roman" w:cs="Times New Roman"/>
        </w:rPr>
      </w:pPr>
      <w:r>
        <w:t xml:space="preserve">Changes to </w:t>
      </w:r>
      <w:proofErr w:type="spellStart"/>
      <w:r w:rsidR="2D5D41FE">
        <w:t>SpaceCap</w:t>
      </w:r>
      <w:proofErr w:type="spellEnd"/>
      <w:r w:rsidR="2D5D41FE">
        <w:t xml:space="preserve"> to improve the usability of NGSO capture screens and fully align them with </w:t>
      </w:r>
      <w:r w:rsidR="2B92D6CF">
        <w:t>W</w:t>
      </w:r>
      <w:r w:rsidR="2D5D41FE">
        <w:t>RC</w:t>
      </w:r>
      <w:r w:rsidR="59AF850F">
        <w:t xml:space="preserve">-19 </w:t>
      </w:r>
      <w:r w:rsidR="45426EF9">
        <w:t>changes to A</w:t>
      </w:r>
      <w:r w:rsidR="54422FBE">
        <w:t xml:space="preserve">ppendix </w:t>
      </w:r>
      <w:r w:rsidR="45426EF9">
        <w:t>4</w:t>
      </w:r>
      <w:r>
        <w:t>;</w:t>
      </w:r>
    </w:p>
    <w:p w14:paraId="1FF932B5" w14:textId="096E7CC6" w:rsidR="7E9C4EC1" w:rsidRDefault="7E9C4EC1" w:rsidP="000A3EAD">
      <w:pPr>
        <w:pStyle w:val="ListParagraph"/>
        <w:numPr>
          <w:ilvl w:val="0"/>
          <w:numId w:val="2"/>
        </w:numPr>
        <w:tabs>
          <w:tab w:val="left" w:pos="7655"/>
        </w:tabs>
        <w:spacing w:before="120" w:after="0"/>
        <w:ind w:left="1418" w:hanging="567"/>
        <w:contextualSpacing w:val="0"/>
        <w:rPr>
          <w:rFonts w:eastAsia="Times New Roman" w:cs="Times New Roman"/>
        </w:rPr>
      </w:pPr>
      <w:r>
        <w:t>Implementation of the coordination agreements (list of satellite networks) for first notifications and</w:t>
      </w:r>
      <w:r w:rsidR="073C18FF">
        <w:t xml:space="preserve"> resubmissions</w:t>
      </w:r>
      <w:r w:rsidR="64345ACD">
        <w:t xml:space="preserve"> of notifications</w:t>
      </w:r>
      <w:r w:rsidR="073C18FF">
        <w:t xml:space="preserve"> (in </w:t>
      </w:r>
      <w:proofErr w:type="spellStart"/>
      <w:r w:rsidR="073C18FF">
        <w:t>SpaceCap</w:t>
      </w:r>
      <w:proofErr w:type="spellEnd"/>
      <w:r w:rsidR="073C18FF">
        <w:t xml:space="preserve">, e-Submission, </w:t>
      </w:r>
      <w:proofErr w:type="spellStart"/>
      <w:r w:rsidR="073C18FF">
        <w:t>SpacePub</w:t>
      </w:r>
      <w:proofErr w:type="spellEnd"/>
      <w:r w:rsidR="073C18FF">
        <w:t xml:space="preserve">, and in </w:t>
      </w:r>
      <w:r w:rsidR="3264ED08">
        <w:t xml:space="preserve">BR </w:t>
      </w:r>
      <w:r w:rsidR="073C18FF">
        <w:t>internal processing);</w:t>
      </w:r>
      <w:r>
        <w:t xml:space="preserve"> </w:t>
      </w:r>
    </w:p>
    <w:p w14:paraId="44B0B4A8" w14:textId="499150DC" w:rsidR="4EBB05A6" w:rsidRDefault="4EBB05A6" w:rsidP="000A3EAD">
      <w:pPr>
        <w:pStyle w:val="ListParagraph"/>
        <w:numPr>
          <w:ilvl w:val="0"/>
          <w:numId w:val="2"/>
        </w:numPr>
        <w:tabs>
          <w:tab w:val="left" w:pos="7655"/>
        </w:tabs>
        <w:spacing w:before="120" w:after="0"/>
        <w:ind w:left="1418" w:hanging="567"/>
        <w:contextualSpacing w:val="0"/>
        <w:rPr>
          <w:rFonts w:eastAsia="Times New Roman" w:cs="Times New Roman"/>
          <w:szCs w:val="24"/>
        </w:rPr>
      </w:pPr>
      <w:r>
        <w:t xml:space="preserve">The first phase of the implementation of Resolution 35 (WRC-19) was released in production in January 2021 as part of the </w:t>
      </w:r>
      <w:r w:rsidR="63A3CA89">
        <w:t>regular updates to the e-Submission web application</w:t>
      </w:r>
      <w:r w:rsidR="4ADC0A98">
        <w:t xml:space="preserve"> (as described </w:t>
      </w:r>
      <w:r w:rsidR="00B466EC">
        <w:t xml:space="preserve">in </w:t>
      </w:r>
      <w:r w:rsidR="4ADC0A98">
        <w:t>section 7.3.2)</w:t>
      </w:r>
      <w:r w:rsidR="63A3CA89">
        <w:t>;</w:t>
      </w:r>
    </w:p>
    <w:p w14:paraId="6C65034F" w14:textId="7C4F0C33" w:rsidR="7D062277" w:rsidRDefault="1BB610A8" w:rsidP="000A3EAD">
      <w:pPr>
        <w:pStyle w:val="ListParagraph"/>
        <w:numPr>
          <w:ilvl w:val="0"/>
          <w:numId w:val="2"/>
        </w:numPr>
        <w:tabs>
          <w:tab w:val="left" w:pos="7655"/>
        </w:tabs>
        <w:spacing w:before="120" w:after="0"/>
        <w:ind w:left="1418" w:hanging="567"/>
        <w:contextualSpacing w:val="0"/>
        <w:rPr>
          <w:rFonts w:eastAsia="Times New Roman" w:cs="Times New Roman"/>
          <w:szCs w:val="24"/>
        </w:rPr>
      </w:pPr>
      <w:r w:rsidRPr="7FF951F4">
        <w:rPr>
          <w:rFonts w:eastAsia="SimSun" w:cs="Arial"/>
          <w:szCs w:val="24"/>
        </w:rPr>
        <w:t xml:space="preserve">Examination software for </w:t>
      </w:r>
      <w:r w:rsidR="7D062277" w:rsidRPr="7FF951F4">
        <w:rPr>
          <w:rFonts w:eastAsia="SimSun" w:cs="Arial"/>
          <w:szCs w:val="24"/>
        </w:rPr>
        <w:t xml:space="preserve">Frequency Overlap with respect to other Space </w:t>
      </w:r>
      <w:r w:rsidR="00DA5084" w:rsidRPr="7FF951F4">
        <w:rPr>
          <w:rFonts w:eastAsia="SimSun" w:cs="Arial"/>
          <w:szCs w:val="24"/>
        </w:rPr>
        <w:t>Services</w:t>
      </w:r>
      <w:r w:rsidR="7D062277" w:rsidRPr="7FF951F4">
        <w:rPr>
          <w:rFonts w:eastAsia="SimSun" w:cs="Arial"/>
          <w:szCs w:val="24"/>
        </w:rPr>
        <w:t xml:space="preserve"> (FOS)</w:t>
      </w:r>
      <w:r w:rsidR="43668DED" w:rsidRPr="7FF951F4">
        <w:rPr>
          <w:rFonts w:eastAsia="SimSun" w:cs="Arial"/>
          <w:szCs w:val="24"/>
        </w:rPr>
        <w:t xml:space="preserve"> </w:t>
      </w:r>
      <w:r w:rsidR="1E29A8E7" w:rsidRPr="7FF951F4">
        <w:rPr>
          <w:rFonts w:eastAsia="SimSun" w:cs="Arial"/>
          <w:szCs w:val="24"/>
        </w:rPr>
        <w:t>(</w:t>
      </w:r>
      <w:r w:rsidR="7D062277" w:rsidRPr="7FF951F4">
        <w:rPr>
          <w:rFonts w:eastAsia="SimSun" w:cs="Arial"/>
          <w:szCs w:val="24"/>
        </w:rPr>
        <w:t>as described in section 7</w:t>
      </w:r>
      <w:r w:rsidR="53C4239F" w:rsidRPr="7FF951F4">
        <w:rPr>
          <w:rFonts w:eastAsia="SimSun" w:cs="Arial"/>
          <w:szCs w:val="24"/>
        </w:rPr>
        <w:t>.3.</w:t>
      </w:r>
      <w:r w:rsidR="02F4C2D0" w:rsidRPr="7FF951F4">
        <w:rPr>
          <w:rFonts w:eastAsia="SimSun" w:cs="Arial"/>
          <w:szCs w:val="24"/>
        </w:rPr>
        <w:t>3</w:t>
      </w:r>
      <w:r w:rsidR="501FC49E" w:rsidRPr="7FF951F4">
        <w:rPr>
          <w:rFonts w:eastAsia="SimSun" w:cs="Arial"/>
          <w:szCs w:val="24"/>
        </w:rPr>
        <w:t>)</w:t>
      </w:r>
      <w:r w:rsidR="38839540" w:rsidRPr="7FF951F4">
        <w:rPr>
          <w:rFonts w:eastAsia="SimSun" w:cs="Arial"/>
          <w:szCs w:val="24"/>
        </w:rPr>
        <w:t>;</w:t>
      </w:r>
    </w:p>
    <w:p w14:paraId="55C61A70" w14:textId="2EB2B7FA" w:rsidR="00713AFE" w:rsidRDefault="2E7231E2" w:rsidP="00DA5084">
      <w:pPr>
        <w:pStyle w:val="Heading3"/>
        <w:rPr>
          <w:szCs w:val="24"/>
        </w:rPr>
      </w:pPr>
      <w:r w:rsidRPr="00EA2AD3">
        <w:rPr>
          <w:szCs w:val="24"/>
        </w:rPr>
        <w:lastRenderedPageBreak/>
        <w:t>3.2.</w:t>
      </w:r>
      <w:r w:rsidR="00EA2AD3" w:rsidRPr="00EA2AD3">
        <w:rPr>
          <w:szCs w:val="24"/>
        </w:rPr>
        <w:t>3</w:t>
      </w:r>
      <w:r w:rsidR="00E04FC3">
        <w:rPr>
          <w:szCs w:val="24"/>
        </w:rPr>
        <w:tab/>
      </w:r>
      <w:r w:rsidRPr="52976F2E">
        <w:rPr>
          <w:szCs w:val="24"/>
        </w:rPr>
        <w:t xml:space="preserve">Other actions to implement WRC-19 decisions </w:t>
      </w:r>
    </w:p>
    <w:p w14:paraId="0685A09B" w14:textId="065C9E03" w:rsidR="00713AFE" w:rsidRDefault="2E7231E2" w:rsidP="00A350BF">
      <w:pPr>
        <w:jc w:val="both"/>
      </w:pPr>
      <w:r>
        <w:t xml:space="preserve">As instructed by the Conference, the Bureau compiled all decisions of WRC-19 </w:t>
      </w:r>
      <w:r w:rsidR="01DD73A5">
        <w:t>that</w:t>
      </w:r>
      <w:r>
        <w:t xml:space="preserve"> do not appear in the Final Acts but were reflected in the minutes of WRC-19 plenary sessions and published them in Circular Letter </w:t>
      </w:r>
      <w:r w:rsidRPr="3BC82A87">
        <w:rPr>
          <w:b/>
        </w:rPr>
        <w:t>CR/456</w:t>
      </w:r>
      <w:r>
        <w:t xml:space="preserve"> (28.02.2020).  </w:t>
      </w:r>
    </w:p>
    <w:p w14:paraId="546B97CF" w14:textId="7F93EF7E" w:rsidR="00713AFE" w:rsidRDefault="2E7231E2" w:rsidP="00A350BF">
      <w:pPr>
        <w:jc w:val="both"/>
        <w:rPr>
          <w:szCs w:val="24"/>
        </w:rPr>
      </w:pPr>
      <w:r w:rsidRPr="52976F2E">
        <w:rPr>
          <w:szCs w:val="24"/>
        </w:rPr>
        <w:t xml:space="preserve">The Bureau developed drafts for new or modified Rules of Procedure in order to reflect the WRC‑19 decisions. These drafts were considered by the RRB together with comments received from administrations and the corresponding Rules of Procedure were approved by the </w:t>
      </w:r>
      <w:r w:rsidR="11EFE82C" w:rsidRPr="52976F2E">
        <w:rPr>
          <w:szCs w:val="24"/>
        </w:rPr>
        <w:t>Board</w:t>
      </w:r>
      <w:r w:rsidRPr="52976F2E">
        <w:rPr>
          <w:szCs w:val="24"/>
        </w:rPr>
        <w:t xml:space="preserve"> at its 84</w:t>
      </w:r>
      <w:r w:rsidRPr="52976F2E">
        <w:rPr>
          <w:szCs w:val="24"/>
          <w:vertAlign w:val="superscript"/>
        </w:rPr>
        <w:t>th</w:t>
      </w:r>
      <w:r w:rsidRPr="52976F2E">
        <w:rPr>
          <w:szCs w:val="24"/>
        </w:rPr>
        <w:t xml:space="preserve"> and 85</w:t>
      </w:r>
      <w:r w:rsidR="4E5B9984" w:rsidRPr="52976F2E">
        <w:rPr>
          <w:szCs w:val="24"/>
          <w:vertAlign w:val="superscript"/>
        </w:rPr>
        <w:t>th</w:t>
      </w:r>
      <w:r w:rsidR="4E5B9984" w:rsidRPr="52976F2E">
        <w:rPr>
          <w:szCs w:val="24"/>
        </w:rPr>
        <w:t xml:space="preserve"> meetings</w:t>
      </w:r>
      <w:r w:rsidRPr="52976F2E">
        <w:rPr>
          <w:szCs w:val="24"/>
        </w:rPr>
        <w:t>.</w:t>
      </w:r>
    </w:p>
    <w:p w14:paraId="469DBB8E" w14:textId="5964F861" w:rsidR="00713AFE" w:rsidRDefault="2E7231E2" w:rsidP="00A350BF">
      <w:pPr>
        <w:jc w:val="both"/>
      </w:pPr>
      <w:r w:rsidRPr="52976F2E">
        <w:rPr>
          <w:szCs w:val="24"/>
        </w:rPr>
        <w:t>the Bureau made changes reflecting the WRC-19 decisions in the relevant documentation, including validation and examination rules, guidelines for administrations on the submission of frequency assignments and allotments</w:t>
      </w:r>
      <w:r w:rsidR="002F3722">
        <w:rPr>
          <w:szCs w:val="24"/>
        </w:rPr>
        <w:t>,</w:t>
      </w:r>
      <w:r w:rsidRPr="52976F2E">
        <w:rPr>
          <w:szCs w:val="24"/>
        </w:rPr>
        <w:t xml:space="preserve"> and the Preface to the terrestrial BR IFIC. </w:t>
      </w:r>
    </w:p>
    <w:p w14:paraId="2FFD47A9" w14:textId="63E61AC2" w:rsidR="00713AFE" w:rsidRDefault="004E2144" w:rsidP="00A350BF">
      <w:pPr>
        <w:jc w:val="both"/>
        <w:rPr>
          <w:szCs w:val="24"/>
        </w:rPr>
      </w:pPr>
      <w:r>
        <w:rPr>
          <w:szCs w:val="24"/>
        </w:rPr>
        <w:t>T</w:t>
      </w:r>
      <w:r w:rsidR="2E7231E2" w:rsidRPr="52976F2E">
        <w:rPr>
          <w:szCs w:val="24"/>
        </w:rPr>
        <w:t>o inform the administrations of the Conference decisions and their impact, the Bureau issued Circular Letters</w:t>
      </w:r>
      <w:r w:rsidR="5DA6A935" w:rsidRPr="52976F2E">
        <w:rPr>
          <w:szCs w:val="24"/>
        </w:rPr>
        <w:t xml:space="preserve"> </w:t>
      </w:r>
      <w:r w:rsidR="20CC2F33" w:rsidRPr="52976F2E">
        <w:rPr>
          <w:b/>
          <w:bCs/>
          <w:szCs w:val="24"/>
        </w:rPr>
        <w:t>CR/455, CR/461, CR/46</w:t>
      </w:r>
      <w:r w:rsidR="75B46C5F" w:rsidRPr="52976F2E">
        <w:rPr>
          <w:b/>
          <w:bCs/>
          <w:szCs w:val="24"/>
        </w:rPr>
        <w:t>4,</w:t>
      </w:r>
      <w:r w:rsidR="20CC2F33" w:rsidRPr="52976F2E">
        <w:rPr>
          <w:b/>
          <w:bCs/>
          <w:szCs w:val="24"/>
        </w:rPr>
        <w:t xml:space="preserve"> </w:t>
      </w:r>
      <w:r w:rsidR="2E7231E2" w:rsidRPr="52976F2E">
        <w:rPr>
          <w:b/>
          <w:bCs/>
          <w:szCs w:val="24"/>
        </w:rPr>
        <w:t>CR/467</w:t>
      </w:r>
      <w:r>
        <w:rPr>
          <w:b/>
          <w:bCs/>
          <w:szCs w:val="24"/>
        </w:rPr>
        <w:t>,</w:t>
      </w:r>
      <w:r w:rsidR="2E7231E2" w:rsidRPr="52976F2E">
        <w:rPr>
          <w:b/>
          <w:bCs/>
          <w:szCs w:val="24"/>
        </w:rPr>
        <w:t xml:space="preserve"> </w:t>
      </w:r>
      <w:r w:rsidR="37ED96E7" w:rsidRPr="00DA5084">
        <w:rPr>
          <w:szCs w:val="24"/>
        </w:rPr>
        <w:t xml:space="preserve">and </w:t>
      </w:r>
      <w:r w:rsidR="2E7231E2" w:rsidRPr="00EA2AD3">
        <w:rPr>
          <w:b/>
          <w:szCs w:val="24"/>
        </w:rPr>
        <w:t>CR/472</w:t>
      </w:r>
      <w:r w:rsidR="2E7231E2" w:rsidRPr="00DA5084">
        <w:rPr>
          <w:szCs w:val="24"/>
        </w:rPr>
        <w:t xml:space="preserve"> </w:t>
      </w:r>
      <w:r w:rsidR="2E7231E2" w:rsidRPr="52976F2E">
        <w:rPr>
          <w:szCs w:val="24"/>
        </w:rPr>
        <w:t xml:space="preserve">(09.12.2020) consolidating the </w:t>
      </w:r>
      <w:r w:rsidR="16E62BE9" w:rsidRPr="52976F2E">
        <w:rPr>
          <w:szCs w:val="24"/>
        </w:rPr>
        <w:t xml:space="preserve">most relevant </w:t>
      </w:r>
      <w:r w:rsidR="2E7231E2" w:rsidRPr="52976F2E">
        <w:rPr>
          <w:szCs w:val="24"/>
        </w:rPr>
        <w:t>Conference decisions.</w:t>
      </w:r>
    </w:p>
    <w:p w14:paraId="143422FF" w14:textId="38A381DA" w:rsidR="00713AFE" w:rsidRDefault="2E7231E2" w:rsidP="00A350BF">
      <w:pPr>
        <w:jc w:val="both"/>
        <w:rPr>
          <w:szCs w:val="24"/>
        </w:rPr>
      </w:pPr>
      <w:r w:rsidRPr="52976F2E">
        <w:rPr>
          <w:szCs w:val="24"/>
        </w:rPr>
        <w:t xml:space="preserve">The Bureau also started the review of findings of the frequency assignments recorded in the Master Register in the frequency bands for which the allocation situation was changed as a result of the WRC-19 decisions entered into force on 1 January 2021. </w:t>
      </w:r>
    </w:p>
    <w:p w14:paraId="60904DC0" w14:textId="5B281525" w:rsidR="00713AFE" w:rsidRDefault="00713AFE" w:rsidP="00713AFE">
      <w:pPr>
        <w:pStyle w:val="Heading1"/>
      </w:pPr>
      <w:bookmarkStart w:id="12" w:name="_Toc446060766"/>
      <w:r>
        <w:t>4</w:t>
      </w:r>
      <w:r>
        <w:tab/>
        <w:t>Study Groups activities</w:t>
      </w:r>
      <w:bookmarkEnd w:id="12"/>
    </w:p>
    <w:p w14:paraId="1B03A3AE" w14:textId="77777777" w:rsidR="00713AFE" w:rsidRPr="00FD777A" w:rsidRDefault="00713AFE" w:rsidP="00713AFE">
      <w:pPr>
        <w:rPr>
          <w:rFonts w:eastAsia="SimSun"/>
        </w:rPr>
      </w:pPr>
      <w:r w:rsidRPr="00EF27CA">
        <w:rPr>
          <w:rFonts w:eastAsia="SimSun"/>
        </w:rPr>
        <w:t>This topic is presented in A</w:t>
      </w:r>
      <w:r>
        <w:rPr>
          <w:rFonts w:eastAsia="SimSun"/>
        </w:rPr>
        <w:t>ddendum 1</w:t>
      </w:r>
      <w:r w:rsidRPr="00EF27CA">
        <w:rPr>
          <w:rFonts w:eastAsia="SimSun"/>
        </w:rPr>
        <w:t xml:space="preserve"> to this document.</w:t>
      </w:r>
    </w:p>
    <w:p w14:paraId="75AB1762" w14:textId="5830B123" w:rsidR="00713AFE" w:rsidRPr="0035197E" w:rsidRDefault="00713AFE" w:rsidP="00713AFE">
      <w:pPr>
        <w:pStyle w:val="Heading1"/>
        <w:rPr>
          <w:rFonts w:asciiTheme="majorBidi" w:hAnsiTheme="majorBidi" w:cstheme="majorBidi"/>
          <w:szCs w:val="24"/>
        </w:rPr>
      </w:pPr>
      <w:bookmarkStart w:id="13" w:name="_Toc446060767"/>
      <w:r>
        <w:rPr>
          <w:rFonts w:asciiTheme="majorBidi" w:hAnsiTheme="majorBidi" w:cstheme="majorBidi"/>
          <w:szCs w:val="24"/>
          <w:lang w:val="en-US"/>
        </w:rPr>
        <w:t>5</w:t>
      </w:r>
      <w:r>
        <w:rPr>
          <w:rFonts w:asciiTheme="majorBidi" w:hAnsiTheme="majorBidi" w:cstheme="majorBidi"/>
          <w:szCs w:val="24"/>
          <w:lang w:val="en-US"/>
        </w:rPr>
        <w:tab/>
        <w:t xml:space="preserve">WRC-23 </w:t>
      </w:r>
      <w:r w:rsidR="00E11F3A">
        <w:rPr>
          <w:rFonts w:asciiTheme="majorBidi" w:hAnsiTheme="majorBidi" w:cstheme="majorBidi"/>
          <w:szCs w:val="24"/>
          <w:lang w:val="en-US"/>
        </w:rPr>
        <w:t>agenda, dates</w:t>
      </w:r>
      <w:r w:rsidR="00CC6E0E">
        <w:rPr>
          <w:rFonts w:asciiTheme="majorBidi" w:hAnsiTheme="majorBidi" w:cstheme="majorBidi"/>
          <w:szCs w:val="24"/>
          <w:lang w:val="en-US"/>
        </w:rPr>
        <w:t xml:space="preserve"> and </w:t>
      </w:r>
      <w:r w:rsidR="008F304E">
        <w:rPr>
          <w:rFonts w:asciiTheme="majorBidi" w:hAnsiTheme="majorBidi" w:cstheme="majorBidi"/>
          <w:szCs w:val="24"/>
          <w:lang w:val="en-US"/>
        </w:rPr>
        <w:t>v</w:t>
      </w:r>
      <w:r w:rsidR="00E11F3A">
        <w:rPr>
          <w:rFonts w:asciiTheme="majorBidi" w:hAnsiTheme="majorBidi" w:cstheme="majorBidi"/>
          <w:szCs w:val="24"/>
          <w:lang w:val="en-US"/>
        </w:rPr>
        <w:t>enue</w:t>
      </w:r>
      <w:r w:rsidR="00CC6E0E">
        <w:rPr>
          <w:rFonts w:asciiTheme="majorBidi" w:hAnsiTheme="majorBidi" w:cstheme="majorBidi"/>
          <w:szCs w:val="24"/>
          <w:lang w:val="en-US"/>
        </w:rPr>
        <w:t>,</w:t>
      </w:r>
      <w:r w:rsidR="00E11F3A">
        <w:rPr>
          <w:rFonts w:asciiTheme="majorBidi" w:hAnsiTheme="majorBidi" w:cstheme="majorBidi"/>
          <w:szCs w:val="24"/>
          <w:lang w:val="en-US"/>
        </w:rPr>
        <w:t xml:space="preserve"> and</w:t>
      </w:r>
      <w:r w:rsidR="00CC6E0E">
        <w:rPr>
          <w:rFonts w:asciiTheme="majorBidi" w:hAnsiTheme="majorBidi" w:cstheme="majorBidi"/>
          <w:szCs w:val="24"/>
          <w:lang w:val="en-US"/>
        </w:rPr>
        <w:t xml:space="preserve"> related</w:t>
      </w:r>
      <w:r w:rsidR="00E11F3A">
        <w:rPr>
          <w:rFonts w:asciiTheme="majorBidi" w:hAnsiTheme="majorBidi" w:cstheme="majorBidi"/>
          <w:szCs w:val="24"/>
          <w:lang w:val="en-US"/>
        </w:rPr>
        <w:t xml:space="preserve"> </w:t>
      </w:r>
      <w:bookmarkEnd w:id="13"/>
      <w:r w:rsidR="0035197E">
        <w:rPr>
          <w:rFonts w:asciiTheme="majorBidi" w:hAnsiTheme="majorBidi" w:cstheme="majorBidi"/>
          <w:szCs w:val="24"/>
          <w:lang w:val="en-US"/>
        </w:rPr>
        <w:t>preparations</w:t>
      </w:r>
    </w:p>
    <w:p w14:paraId="242AC28B" w14:textId="3641007B" w:rsidR="008A3BF0" w:rsidRDefault="008A3BF0" w:rsidP="00F80D5F">
      <w:pPr>
        <w:spacing w:after="120"/>
        <w:jc w:val="both"/>
        <w:rPr>
          <w:rFonts w:eastAsia="Arial Unicode MS"/>
        </w:rPr>
      </w:pPr>
      <w:bookmarkStart w:id="14" w:name="_Toc446060768"/>
      <w:r w:rsidRPr="00AF58E8">
        <w:t xml:space="preserve">The WRC-23 Agenda, as contained in Resolution </w:t>
      </w:r>
      <w:r w:rsidRPr="00F80D5F">
        <w:rPr>
          <w:b/>
          <w:bCs/>
        </w:rPr>
        <w:t>811 (WRC-19)</w:t>
      </w:r>
      <w:r w:rsidRPr="00AF58E8">
        <w:t xml:space="preserve">, </w:t>
      </w:r>
      <w:r>
        <w:t>was</w:t>
      </w:r>
      <w:r w:rsidRPr="00AF58E8">
        <w:t xml:space="preserve"> considered at the 2020 </w:t>
      </w:r>
      <w:r>
        <w:t xml:space="preserve">Virtual Consultation of </w:t>
      </w:r>
      <w:r w:rsidR="00C90F4A">
        <w:t>C</w:t>
      </w:r>
      <w:r>
        <w:t xml:space="preserve">ouncillors </w:t>
      </w:r>
      <w:r w:rsidR="00C90F4A">
        <w:t xml:space="preserve">(VCC) </w:t>
      </w:r>
      <w:r w:rsidRPr="00AF58E8">
        <w:t xml:space="preserve">of the Council, which </w:t>
      </w:r>
      <w:r>
        <w:t>was</w:t>
      </w:r>
      <w:r w:rsidRPr="00AF58E8">
        <w:t xml:space="preserve"> invited to adopt a new Resolution containing that Agenda. </w:t>
      </w:r>
      <w:r>
        <w:t>T</w:t>
      </w:r>
      <w:r>
        <w:rPr>
          <w:rFonts w:eastAsia="Arial Unicode MS"/>
          <w:szCs w:val="24"/>
        </w:rPr>
        <w:t xml:space="preserve">he </w:t>
      </w:r>
      <w:r w:rsidR="008422F8">
        <w:rPr>
          <w:rFonts w:eastAsia="Arial Unicode MS"/>
          <w:szCs w:val="24"/>
        </w:rPr>
        <w:t>f</w:t>
      </w:r>
      <w:r>
        <w:rPr>
          <w:rFonts w:eastAsia="Arial Unicode MS"/>
          <w:szCs w:val="24"/>
        </w:rPr>
        <w:t>irst</w:t>
      </w:r>
      <w:r w:rsidR="008422F8">
        <w:rPr>
          <w:rFonts w:eastAsia="Arial Unicode MS"/>
          <w:szCs w:val="24"/>
        </w:rPr>
        <w:t xml:space="preserve"> </w:t>
      </w:r>
      <w:r w:rsidR="007317E4">
        <w:rPr>
          <w:rFonts w:eastAsia="Arial Unicode MS"/>
          <w:szCs w:val="24"/>
        </w:rPr>
        <w:t>VCC</w:t>
      </w:r>
      <w:r>
        <w:rPr>
          <w:rFonts w:eastAsia="Arial Unicode MS"/>
          <w:szCs w:val="24"/>
        </w:rPr>
        <w:t xml:space="preserve">, held from </w:t>
      </w:r>
      <w:r w:rsidRPr="00CF6924">
        <w:rPr>
          <w:rFonts w:eastAsia="Arial Unicode MS"/>
          <w:szCs w:val="24"/>
        </w:rPr>
        <w:t>9-12 June 2020</w:t>
      </w:r>
      <w:r>
        <w:rPr>
          <w:rFonts w:eastAsia="Arial Unicode MS"/>
          <w:szCs w:val="24"/>
        </w:rPr>
        <w:t xml:space="preserve">, adopted Council Resolution 1399 containing the Agenda for the World Radiocommunication Conference (WRC-23), which was subsequently approved by correspondence on 3 August 2020 (see </w:t>
      </w:r>
      <w:r>
        <w:rPr>
          <w:rFonts w:eastAsia="Arial Unicode MS"/>
        </w:rPr>
        <w:t>Circular Letter</w:t>
      </w:r>
      <w:r w:rsidR="005F1BB1">
        <w:rPr>
          <w:rFonts w:eastAsia="Arial Unicode MS"/>
        </w:rPr>
        <w:t>s</w:t>
      </w:r>
      <w:r>
        <w:rPr>
          <w:rFonts w:eastAsia="Arial Unicode MS"/>
        </w:rPr>
        <w:t xml:space="preserve"> </w:t>
      </w:r>
      <w:hyperlink r:id="rId25" w:history="1">
        <w:r w:rsidRPr="001802BC">
          <w:rPr>
            <w:rStyle w:val="Hyperlink"/>
            <w:rFonts w:eastAsia="Arial Unicode MS"/>
          </w:rPr>
          <w:t>DM-20/1011</w:t>
        </w:r>
      </w:hyperlink>
      <w:r w:rsidR="00DA5580">
        <w:rPr>
          <w:rFonts w:eastAsia="Arial Unicode MS"/>
        </w:rPr>
        <w:t xml:space="preserve"> and </w:t>
      </w:r>
      <w:hyperlink r:id="rId26" w:history="1">
        <w:r w:rsidR="005F1BB1" w:rsidRPr="005F1BB1">
          <w:rPr>
            <w:rStyle w:val="Hyperlink"/>
            <w:rFonts w:eastAsia="Arial Unicode MS"/>
          </w:rPr>
          <w:t>CL-20/33</w:t>
        </w:r>
      </w:hyperlink>
      <w:r>
        <w:rPr>
          <w:rFonts w:eastAsia="Arial Unicode MS"/>
        </w:rPr>
        <w:t>).</w:t>
      </w:r>
    </w:p>
    <w:p w14:paraId="6B6086F9" w14:textId="5ACD5453" w:rsidR="008D45B9" w:rsidRPr="008317C1" w:rsidRDefault="007F346C" w:rsidP="008317C1">
      <w:pPr>
        <w:pStyle w:val="paragraph"/>
        <w:spacing w:before="0" w:beforeAutospacing="0" w:after="120" w:afterAutospacing="0"/>
        <w:jc w:val="both"/>
        <w:textAlignment w:val="baseline"/>
        <w:rPr>
          <w:rFonts w:ascii="Segoe UI" w:hAnsi="Segoe UI" w:cs="Segoe UI"/>
          <w:sz w:val="18"/>
          <w:szCs w:val="18"/>
        </w:rPr>
      </w:pPr>
      <w:r w:rsidRPr="003A4FBB">
        <w:t>The </w:t>
      </w:r>
      <w:r w:rsidR="008422F8">
        <w:t>VCC</w:t>
      </w:r>
      <w:r w:rsidRPr="003A4FBB">
        <w:t xml:space="preserve"> was also informed that on 31 December 2019, the ITU received an expression of interest by the Administration of the United Arab Emirates to host the WRC-23 in the UAE (see </w:t>
      </w:r>
      <w:hyperlink r:id="rId27" w:tgtFrame="_blank" w:history="1">
        <w:r w:rsidRPr="00E274D2">
          <w:rPr>
            <w:rStyle w:val="Hyperlink"/>
            <w:rFonts w:eastAsia="Arial Unicode MS"/>
            <w:szCs w:val="20"/>
            <w:lang w:eastAsia="en-US"/>
          </w:rPr>
          <w:t>Document CL20/55</w:t>
        </w:r>
      </w:hyperlink>
      <w:r w:rsidRPr="003A4FBB">
        <w:t xml:space="preserve">). In view of the UAE’s expression of interest to host the WRC‐23, the BR has been in communication with the Administration of UAE on the ITU requirements for hosting RA-23 and WRC-23. A future meeting of </w:t>
      </w:r>
      <w:r w:rsidR="008422F8">
        <w:t xml:space="preserve">the </w:t>
      </w:r>
      <w:r w:rsidRPr="003A4FBB">
        <w:t>Council will be requested</w:t>
      </w:r>
      <w:r w:rsidRPr="00F80EEC">
        <w:rPr>
          <w:rStyle w:val="normaltextrun"/>
          <w:color w:val="498205"/>
        </w:rPr>
        <w:t xml:space="preserve"> </w:t>
      </w:r>
      <w:r w:rsidRPr="00F80EEC">
        <w:rPr>
          <w:rStyle w:val="normaltextrun"/>
        </w:rPr>
        <w:t>to adopt a modification of Resolution 1399 so that it includes the exact date and precise location of the WRC</w:t>
      </w:r>
      <w:r w:rsidR="00317F32" w:rsidRPr="00F80EEC">
        <w:rPr>
          <w:rStyle w:val="normaltextrun"/>
        </w:rPr>
        <w:noBreakHyphen/>
      </w:r>
      <w:r w:rsidRPr="00F80EEC">
        <w:rPr>
          <w:rStyle w:val="normaltextrun"/>
        </w:rPr>
        <w:t>23.</w:t>
      </w:r>
      <w:r w:rsidRPr="00F80EEC">
        <w:rPr>
          <w:rStyle w:val="eop"/>
        </w:rPr>
        <w:t> </w:t>
      </w:r>
      <w:r w:rsidRPr="00F80EEC">
        <w:rPr>
          <w:rStyle w:val="normaltextrun"/>
        </w:rPr>
        <w:t>In line with the relevant provisions of Nos</w:t>
      </w:r>
      <w:r w:rsidR="00023312" w:rsidRPr="00F80EEC">
        <w:rPr>
          <w:rStyle w:val="normaltextrun"/>
        </w:rPr>
        <w:t>.</w:t>
      </w:r>
      <w:r w:rsidRPr="00F80EEC">
        <w:rPr>
          <w:rStyle w:val="normaltextrun"/>
        </w:rPr>
        <w:t xml:space="preserve"> 47 and 118 of the Convention, that modified resolution of the Council on this matter will be subject to the concurrence of </w:t>
      </w:r>
      <w:proofErr w:type="gramStart"/>
      <w:r w:rsidRPr="00F80EEC">
        <w:rPr>
          <w:rStyle w:val="normaltextrun"/>
        </w:rPr>
        <w:t>the majority of</w:t>
      </w:r>
      <w:proofErr w:type="gramEnd"/>
      <w:r w:rsidRPr="00F80EEC">
        <w:rPr>
          <w:rStyle w:val="normaltextrun"/>
        </w:rPr>
        <w:t> the Member States of ITU.</w:t>
      </w:r>
    </w:p>
    <w:p w14:paraId="48F71AE9" w14:textId="7194F9B2" w:rsidR="00FD37D4" w:rsidRDefault="00FD37D4" w:rsidP="00E274D2">
      <w:pPr>
        <w:jc w:val="both"/>
        <w:rPr>
          <w:szCs w:val="24"/>
          <w:lang w:val="en-US"/>
        </w:rPr>
      </w:pPr>
      <w:r w:rsidRPr="648A396A">
        <w:rPr>
          <w:szCs w:val="24"/>
          <w:lang w:val="en-US"/>
        </w:rPr>
        <w:t>Further to the adoption of Council Resolution 1399, the CPM-23 Steering Committee met virtually (e-meeting) on 3 September 2020 to review the preparation of the draft CPM Report to WRC‑23. The other</w:t>
      </w:r>
      <w:r w:rsidRPr="648A396A" w:rsidDel="008422F8">
        <w:rPr>
          <w:szCs w:val="24"/>
          <w:lang w:val="en-US"/>
        </w:rPr>
        <w:t xml:space="preserve"> </w:t>
      </w:r>
      <w:r w:rsidR="008422F8">
        <w:rPr>
          <w:szCs w:val="24"/>
          <w:lang w:val="en-US"/>
        </w:rPr>
        <w:t>m</w:t>
      </w:r>
      <w:r w:rsidR="008422F8" w:rsidRPr="648A396A">
        <w:rPr>
          <w:szCs w:val="24"/>
          <w:lang w:val="en-US"/>
        </w:rPr>
        <w:t xml:space="preserve">embers </w:t>
      </w:r>
      <w:r w:rsidRPr="648A396A">
        <w:rPr>
          <w:szCs w:val="24"/>
          <w:lang w:val="en-US"/>
        </w:rPr>
        <w:t>of the CPM-23 Management Team (i.e.</w:t>
      </w:r>
      <w:r w:rsidR="00023312">
        <w:rPr>
          <w:szCs w:val="24"/>
          <w:lang w:val="en-US"/>
        </w:rPr>
        <w:t>,</w:t>
      </w:r>
      <w:r w:rsidRPr="648A396A">
        <w:rPr>
          <w:szCs w:val="24"/>
          <w:lang w:val="en-US"/>
        </w:rPr>
        <w:t xml:space="preserve"> the Chairmen of the ITU‑R Study Groups and of the ITU‑R responsible groups) were also invited to attend this e-meeting. Taking into account the possibility of holding RA-23 and WRC‐23 in the last quarter of 2023, the deadlines stipulated in Resolution ITU‑R 2-8, and the availability of the CICG, the Second Session of CPM-23 (CPM23-2) </w:t>
      </w:r>
      <w:r w:rsidRPr="648A396A">
        <w:rPr>
          <w:szCs w:val="24"/>
          <w:lang w:val="en-US"/>
        </w:rPr>
        <w:lastRenderedPageBreak/>
        <w:t>was agreed to be planned during the second quarter of 2023</w:t>
      </w:r>
      <w:r>
        <w:rPr>
          <w:rStyle w:val="FootnoteReference"/>
          <w:szCs w:val="24"/>
          <w:lang w:val="en-US"/>
        </w:rPr>
        <w:footnoteReference w:customMarkFollows="1" w:id="2"/>
        <w:t>*</w:t>
      </w:r>
      <w:hyperlink r:id="rId28" w:anchor="_ftn1" w:history="1">
        <w:r w:rsidRPr="648A396A">
          <w:rPr>
            <w:rStyle w:val="Hyperlink"/>
            <w:sz w:val="18"/>
            <w:szCs w:val="18"/>
            <w:lang w:val="en-US"/>
          </w:rPr>
          <w:t>*</w:t>
        </w:r>
      </w:hyperlink>
      <w:r w:rsidRPr="648A396A">
        <w:rPr>
          <w:szCs w:val="24"/>
          <w:lang w:val="en-US"/>
        </w:rPr>
        <w:t>. It was further decided that the final draft CPM texts from the responsible groups shall be received by the respective CPM-23 Chapter Rapporteurs, with a copy to CPM-23 Chairman and to the Bureau by 21 August 2022</w:t>
      </w:r>
      <w:r>
        <w:rPr>
          <w:rStyle w:val="FootnoteReference"/>
          <w:szCs w:val="24"/>
          <w:lang w:val="en-US"/>
        </w:rPr>
        <w:footnoteReference w:customMarkFollows="1" w:id="3"/>
        <w:t>**</w:t>
      </w:r>
      <w:r w:rsidRPr="648A396A">
        <w:rPr>
          <w:szCs w:val="24"/>
          <w:lang w:val="en-US"/>
        </w:rPr>
        <w:t>, at the latest, taking into account the planned dates of the responsible groups’ meetings. The meeting of the CPM</w:t>
      </w:r>
      <w:r w:rsidR="00FA5E3A">
        <w:rPr>
          <w:szCs w:val="24"/>
          <w:lang w:val="en-US"/>
        </w:rPr>
        <w:noBreakHyphen/>
      </w:r>
      <w:r w:rsidRPr="648A396A">
        <w:rPr>
          <w:szCs w:val="24"/>
          <w:lang w:val="en-US"/>
        </w:rPr>
        <w:t>23 Management Team has been planned to be held on 2 and 3 November 2022</w:t>
      </w:r>
      <w:r w:rsidRPr="003159E9">
        <w:rPr>
          <w:position w:val="6"/>
          <w:sz w:val="18"/>
          <w:szCs w:val="24"/>
          <w:lang w:val="en-US"/>
        </w:rPr>
        <w:t>**</w:t>
      </w:r>
      <w:r w:rsidRPr="648A396A">
        <w:rPr>
          <w:szCs w:val="24"/>
          <w:lang w:val="en-US"/>
        </w:rPr>
        <w:t xml:space="preserve"> to consolidate the draft CPM texts from the responsible groups into the draft CPM Report. The information above and useful references and </w:t>
      </w:r>
      <w:r w:rsidRPr="648A396A">
        <w:rPr>
          <w:szCs w:val="24"/>
        </w:rPr>
        <w:t xml:space="preserve">guidelines for the preparation of the draft CPM Report </w:t>
      </w:r>
      <w:r w:rsidRPr="648A396A">
        <w:rPr>
          <w:szCs w:val="24"/>
          <w:lang w:val="en-US"/>
        </w:rPr>
        <w:t xml:space="preserve">were published on 17 September 2020 in Addendum 1 to </w:t>
      </w:r>
      <w:hyperlink r:id="rId29" w:history="1">
        <w:r w:rsidRPr="648A396A">
          <w:rPr>
            <w:rStyle w:val="Hyperlink"/>
            <w:szCs w:val="24"/>
            <w:lang w:val="en-US"/>
          </w:rPr>
          <w:t>Administrative Circular CA/251</w:t>
        </w:r>
      </w:hyperlink>
      <w:r w:rsidRPr="648A396A">
        <w:rPr>
          <w:szCs w:val="24"/>
          <w:lang w:val="en-US"/>
        </w:rPr>
        <w:t xml:space="preserve">. </w:t>
      </w:r>
    </w:p>
    <w:p w14:paraId="4AD03848" w14:textId="57D25B69" w:rsidR="00FD37D4" w:rsidRDefault="00FD37D4" w:rsidP="00FD37D4">
      <w:pPr>
        <w:jc w:val="both"/>
        <w:rPr>
          <w:szCs w:val="24"/>
        </w:rPr>
      </w:pPr>
      <w:r w:rsidRPr="648A396A">
        <w:rPr>
          <w:szCs w:val="24"/>
        </w:rPr>
        <w:t>Based on the information received from the Study Groups,</w:t>
      </w:r>
      <w:r w:rsidRPr="648A396A">
        <w:rPr>
          <w:b/>
          <w:bCs/>
          <w:szCs w:val="24"/>
        </w:rPr>
        <w:t xml:space="preserve"> </w:t>
      </w:r>
      <w:r w:rsidRPr="648A396A">
        <w:rPr>
          <w:szCs w:val="24"/>
        </w:rPr>
        <w:t xml:space="preserve">the CPM-23 Steering Committee e‑meeting updated the list of the </w:t>
      </w:r>
      <w:r w:rsidR="00C51B1E">
        <w:rPr>
          <w:szCs w:val="24"/>
        </w:rPr>
        <w:t xml:space="preserve">contributing </w:t>
      </w:r>
      <w:r w:rsidRPr="648A396A">
        <w:rPr>
          <w:szCs w:val="24"/>
        </w:rPr>
        <w:t xml:space="preserve">ITU-R working parties in the allocation of ITU‑R preparatory work for WRC‑23. A subsequent update was made after the September to November 2020 blocks of ITU-R e-meetings, in consultation with the CPM-23 Management Team members. It was also agreed to postpone to 23 July 2021 the date by which service/application characteristics and parameters are to be sent by the contributing groups to the responsible groups (see </w:t>
      </w:r>
      <w:hyperlink r:id="rId30" w:history="1">
        <w:r w:rsidRPr="648A396A">
          <w:rPr>
            <w:rStyle w:val="Hyperlink"/>
            <w:szCs w:val="24"/>
          </w:rPr>
          <w:t>CA/251</w:t>
        </w:r>
      </w:hyperlink>
      <w:r w:rsidRPr="648A396A">
        <w:rPr>
          <w:szCs w:val="24"/>
        </w:rPr>
        <w:t xml:space="preserve">, Annex 4), in order to move the SG 4 block of meetings from May/June to July 2021, thus resolving an overlap of some of the planned meetings. This updated information was published on </w:t>
      </w:r>
      <w:r w:rsidRPr="00F80EEC">
        <w:rPr>
          <w:szCs w:val="24"/>
        </w:rPr>
        <w:t>11</w:t>
      </w:r>
      <w:r w:rsidRPr="648A396A">
        <w:rPr>
          <w:szCs w:val="24"/>
        </w:rPr>
        <w:t xml:space="preserve"> February 2021 in Corrigendum 1 to Addendum 1 of CA/251.</w:t>
      </w:r>
    </w:p>
    <w:p w14:paraId="310C019E" w14:textId="77777777" w:rsidR="00FD37D4" w:rsidRDefault="00FD37D4" w:rsidP="003159E9">
      <w:pPr>
        <w:jc w:val="both"/>
        <w:rPr>
          <w:szCs w:val="24"/>
        </w:rPr>
      </w:pPr>
      <w:r w:rsidRPr="648A396A">
        <w:rPr>
          <w:szCs w:val="24"/>
        </w:rPr>
        <w:t xml:space="preserve">Taking into account PP Resolution 80 (Rev. Marrakesh, 2002) and Resolution </w:t>
      </w:r>
      <w:r w:rsidRPr="648A396A">
        <w:rPr>
          <w:b/>
          <w:bCs/>
          <w:szCs w:val="24"/>
        </w:rPr>
        <w:t>72 (Rev.WRC-19)</w:t>
      </w:r>
      <w:r w:rsidRPr="648A396A">
        <w:rPr>
          <w:szCs w:val="24"/>
        </w:rPr>
        <w:t>, the preparations for WRC‑23 continued also at the regional level, with the BR’s active participation in the e-meetings of the regional groups, including APT, ASMG, ATU, CEPT, CITEL and RCC, wherever possible.</w:t>
      </w:r>
    </w:p>
    <w:p w14:paraId="34A6CD9C" w14:textId="77777777" w:rsidR="00FD37D4" w:rsidRDefault="00FD37D4" w:rsidP="003159E9">
      <w:pPr>
        <w:jc w:val="both"/>
        <w:rPr>
          <w:szCs w:val="24"/>
        </w:rPr>
      </w:pPr>
      <w:r w:rsidRPr="648A396A">
        <w:rPr>
          <w:szCs w:val="24"/>
        </w:rPr>
        <w:t>The Bureau is planning to organize three ITU Inter-regional Workshops on WRC-23 Preparation. The first one has been planned in Geneva on 30 November – 1 December 2021</w:t>
      </w:r>
      <w:r>
        <w:rPr>
          <w:rStyle w:val="FootnoteReference"/>
          <w:szCs w:val="24"/>
        </w:rPr>
        <w:footnoteReference w:customMarkFollows="1" w:id="4"/>
        <w:t>***</w:t>
      </w:r>
      <w:r w:rsidRPr="648A396A">
        <w:rPr>
          <w:szCs w:val="24"/>
        </w:rPr>
        <w:t xml:space="preserve">, in order to review the progress made halfway through the preparatory cycle on the ITU‑R studies related to the </w:t>
      </w:r>
      <w:r w:rsidRPr="00E55F17">
        <w:t>WRC</w:t>
      </w:r>
      <w:r>
        <w:noBreakHyphen/>
      </w:r>
      <w:r w:rsidRPr="00E55F17">
        <w:t>23</w:t>
      </w:r>
      <w:r w:rsidRPr="648A396A">
        <w:rPr>
          <w:szCs w:val="24"/>
        </w:rPr>
        <w:t xml:space="preserve"> agenda items and to provide opportunities for exchanging information and have a better understanding of the preliminary draft common proposals, positions and/or views on the WRC-23 topics from the concerned entities such as the main regional groups, international organizations and other stakeholders. </w:t>
      </w:r>
    </w:p>
    <w:p w14:paraId="7E2AB0E3" w14:textId="56494411" w:rsidR="00FD37D4" w:rsidRDefault="00FD37D4" w:rsidP="003159E9">
      <w:pPr>
        <w:jc w:val="both"/>
        <w:rPr>
          <w:szCs w:val="24"/>
        </w:rPr>
      </w:pPr>
      <w:r w:rsidRPr="648A396A">
        <w:rPr>
          <w:szCs w:val="24"/>
        </w:rPr>
        <w:t xml:space="preserve">Detailed information regarding the ITU‑R preparatory studies for the WRC-23 agenda items and issues can be found on the regularly updated ITU webpage: </w:t>
      </w:r>
      <w:hyperlink r:id="rId31" w:history="1">
        <w:r w:rsidRPr="648A396A">
          <w:rPr>
            <w:rStyle w:val="Hyperlink"/>
            <w:szCs w:val="24"/>
          </w:rPr>
          <w:t>www.itu.int/go/rcpm-wrc-23-studies</w:t>
        </w:r>
      </w:hyperlink>
      <w:r w:rsidRPr="648A396A">
        <w:rPr>
          <w:szCs w:val="24"/>
        </w:rPr>
        <w:t xml:space="preserve">, which includes also a link to the </w:t>
      </w:r>
      <w:hyperlink r:id="rId32" w:history="1">
        <w:r w:rsidRPr="648A396A">
          <w:rPr>
            <w:rStyle w:val="Hyperlink"/>
            <w:szCs w:val="24"/>
          </w:rPr>
          <w:t>studies on WRC-27 preliminary agenda items</w:t>
        </w:r>
      </w:hyperlink>
      <w:r w:rsidRPr="648A396A">
        <w:rPr>
          <w:szCs w:val="24"/>
        </w:rPr>
        <w:t>. Further information on the ITU Inter-regional Workshops on WRC-2</w:t>
      </w:r>
      <w:r w:rsidR="00E8224F">
        <w:rPr>
          <w:szCs w:val="24"/>
        </w:rPr>
        <w:t>3</w:t>
      </w:r>
      <w:r w:rsidRPr="648A396A">
        <w:rPr>
          <w:szCs w:val="24"/>
        </w:rPr>
        <w:t xml:space="preserve"> Preparation will be provided on the </w:t>
      </w:r>
      <w:r w:rsidR="00BD2BE2">
        <w:rPr>
          <w:szCs w:val="24"/>
        </w:rPr>
        <w:t xml:space="preserve">dedicated </w:t>
      </w:r>
      <w:r w:rsidRPr="648A396A">
        <w:rPr>
          <w:szCs w:val="24"/>
        </w:rPr>
        <w:t xml:space="preserve">webpage. Information on the regional groups’ preparation for WRC-23 can be found at: </w:t>
      </w:r>
      <w:hyperlink r:id="rId33" w:history="1">
        <w:r w:rsidRPr="648A396A">
          <w:rPr>
            <w:rStyle w:val="Hyperlink"/>
            <w:szCs w:val="24"/>
          </w:rPr>
          <w:t>www.itu.int/go/wrc-23-regional</w:t>
        </w:r>
      </w:hyperlink>
      <w:r w:rsidRPr="648A396A">
        <w:rPr>
          <w:szCs w:val="24"/>
        </w:rPr>
        <w:t>.</w:t>
      </w:r>
    </w:p>
    <w:p w14:paraId="00E60622" w14:textId="77777777" w:rsidR="00713AFE" w:rsidRPr="00290629" w:rsidRDefault="00713AFE" w:rsidP="00713AFE">
      <w:pPr>
        <w:pStyle w:val="Heading1"/>
        <w:rPr>
          <w:szCs w:val="24"/>
          <w:lang w:val="en-US"/>
        </w:rPr>
      </w:pPr>
      <w:r>
        <w:rPr>
          <w:szCs w:val="24"/>
          <w:lang w:val="en-US"/>
        </w:rPr>
        <w:t>6</w:t>
      </w:r>
      <w:r>
        <w:rPr>
          <w:szCs w:val="24"/>
          <w:lang w:val="en-US"/>
        </w:rPr>
        <w:tab/>
      </w:r>
      <w:r w:rsidRPr="00FD777A">
        <w:rPr>
          <w:szCs w:val="24"/>
          <w:lang w:val="en-US"/>
        </w:rPr>
        <w:t>Operational planning</w:t>
      </w:r>
      <w:bookmarkEnd w:id="14"/>
    </w:p>
    <w:p w14:paraId="1385FAA8" w14:textId="2C36CB62" w:rsidR="00713AFE" w:rsidRDefault="008C2631" w:rsidP="00713AFE">
      <w:pPr>
        <w:jc w:val="both"/>
      </w:pPr>
      <w:r>
        <w:t>T</w:t>
      </w:r>
      <w:r w:rsidR="00713AFE">
        <w:t>he ITU</w:t>
      </w:r>
      <w:r w:rsidR="73323AF8">
        <w:t>-</w:t>
      </w:r>
      <w:r w:rsidR="00713AFE">
        <w:t xml:space="preserve">R Operational Plan has been structured in accordance with the results-based management concept of Union to ensure complete linkage with the budget and other financial tools of the Union. </w:t>
      </w:r>
    </w:p>
    <w:p w14:paraId="15EDAA45" w14:textId="53F34AFF" w:rsidR="00713AFE" w:rsidRDefault="00713AFE" w:rsidP="00713AFE">
      <w:pPr>
        <w:jc w:val="both"/>
        <w:rPr>
          <w:sz w:val="22"/>
          <w:lang w:eastAsia="zh-CN"/>
        </w:rPr>
      </w:pPr>
      <w:r>
        <w:lastRenderedPageBreak/>
        <w:t>The draft ITU</w:t>
      </w:r>
      <w:r>
        <w:noBreakHyphen/>
        <w:t>R Operational Plan for the period 202</w:t>
      </w:r>
      <w:r w:rsidR="008C2631">
        <w:t>2</w:t>
      </w:r>
      <w:r>
        <w:t>-202</w:t>
      </w:r>
      <w:r w:rsidR="008C2631">
        <w:t>5</w:t>
      </w:r>
      <w:r>
        <w:t xml:space="preserve"> is presented in Document </w:t>
      </w:r>
      <w:r w:rsidR="008C2631">
        <w:t>27</w:t>
      </w:r>
      <w:r>
        <w:t>, for review and comments by RAG.</w:t>
      </w:r>
    </w:p>
    <w:p w14:paraId="59A9D0A0" w14:textId="77777777" w:rsidR="00713AFE" w:rsidRPr="00290629" w:rsidRDefault="00713AFE" w:rsidP="00713AFE">
      <w:pPr>
        <w:pStyle w:val="Heading1"/>
        <w:rPr>
          <w:szCs w:val="24"/>
          <w:lang w:val="en-US"/>
        </w:rPr>
      </w:pPr>
      <w:bookmarkStart w:id="15" w:name="_Toc446060769"/>
      <w:r>
        <w:rPr>
          <w:szCs w:val="24"/>
          <w:lang w:val="en-US"/>
        </w:rPr>
        <w:t>7</w:t>
      </w:r>
      <w:r>
        <w:rPr>
          <w:szCs w:val="24"/>
          <w:lang w:val="en-US"/>
        </w:rPr>
        <w:tab/>
      </w:r>
      <w:r w:rsidRPr="00FD777A">
        <w:rPr>
          <w:szCs w:val="24"/>
          <w:lang w:val="en-US"/>
        </w:rPr>
        <w:t>BR information system</w:t>
      </w:r>
      <w:bookmarkEnd w:id="15"/>
    </w:p>
    <w:p w14:paraId="62B56B1E" w14:textId="39F1797E" w:rsidR="00713AFE" w:rsidRPr="00AF58E8" w:rsidRDefault="00713AFE" w:rsidP="00713AFE">
      <w:pPr>
        <w:pStyle w:val="Heading2"/>
      </w:pPr>
      <w:r w:rsidRPr="00AF58E8">
        <w:t>7.1</w:t>
      </w:r>
      <w:r w:rsidRPr="00AF58E8">
        <w:tab/>
        <w:t>Terrestrial software and tools</w:t>
      </w:r>
    </w:p>
    <w:p w14:paraId="64DB5016" w14:textId="77777777" w:rsidR="00713AFE" w:rsidRPr="00993834" w:rsidRDefault="00713AFE" w:rsidP="00713AFE">
      <w:pPr>
        <w:pStyle w:val="Heading3"/>
        <w:rPr>
          <w:rFonts w:eastAsia="Verdana"/>
        </w:rPr>
      </w:pPr>
      <w:r w:rsidRPr="00993834">
        <w:rPr>
          <w:rFonts w:eastAsia="Verdana"/>
        </w:rPr>
        <w:t>7.1.1</w:t>
      </w:r>
      <w:r w:rsidRPr="00993834">
        <w:rPr>
          <w:rFonts w:eastAsia="Verdana"/>
        </w:rPr>
        <w:tab/>
        <w:t>Changes in the examinations under No. 9.19 of the Radio Regulations</w:t>
      </w:r>
    </w:p>
    <w:p w14:paraId="4C9C554D" w14:textId="4D36AEED" w:rsidR="00713AFE" w:rsidRPr="00AF58E8" w:rsidRDefault="00713AFE" w:rsidP="52976F2E">
      <w:pPr>
        <w:jc w:val="both"/>
        <w:rPr>
          <w:szCs w:val="24"/>
        </w:rPr>
      </w:pPr>
      <w:r>
        <w:t xml:space="preserve">The Bureau completed of development of the software modules and associated tools for processing of terrestrial notices under RR No. </w:t>
      </w:r>
      <w:r w:rsidRPr="52976F2E">
        <w:rPr>
          <w:b/>
          <w:bCs/>
        </w:rPr>
        <w:t>9.19</w:t>
      </w:r>
      <w:r>
        <w:t>, following</w:t>
      </w:r>
      <w:r w:rsidRPr="00931B39">
        <w:rPr>
          <w:szCs w:val="24"/>
        </w:rPr>
        <w:t xml:space="preserve"> </w:t>
      </w:r>
      <w:r w:rsidR="007B2997">
        <w:rPr>
          <w:szCs w:val="24"/>
        </w:rPr>
        <w:t xml:space="preserve">a </w:t>
      </w:r>
      <w:r w:rsidR="69BF1339" w:rsidRPr="52976F2E">
        <w:rPr>
          <w:szCs w:val="24"/>
        </w:rPr>
        <w:t>new corresponding Rule of Procedure (</w:t>
      </w:r>
      <w:proofErr w:type="spellStart"/>
      <w:r w:rsidR="69BF1339" w:rsidRPr="52976F2E">
        <w:rPr>
          <w:szCs w:val="24"/>
        </w:rPr>
        <w:t>RoP</w:t>
      </w:r>
      <w:proofErr w:type="spellEnd"/>
      <w:r w:rsidR="69BF1339" w:rsidRPr="52976F2E">
        <w:rPr>
          <w:szCs w:val="24"/>
        </w:rPr>
        <w:t xml:space="preserve">) and </w:t>
      </w:r>
      <w:r w:rsidRPr="00931B39">
        <w:rPr>
          <w:szCs w:val="24"/>
        </w:rPr>
        <w:t>the modified approach for the identification of affected administrations under this provision</w:t>
      </w:r>
      <w:r w:rsidR="1141FFAF" w:rsidRPr="00870D9C">
        <w:rPr>
          <w:szCs w:val="24"/>
        </w:rPr>
        <w:t xml:space="preserve"> </w:t>
      </w:r>
      <w:r w:rsidR="42B840BD" w:rsidRPr="52976F2E">
        <w:rPr>
          <w:szCs w:val="24"/>
        </w:rPr>
        <w:t>for terrestrial stations</w:t>
      </w:r>
      <w:r w:rsidR="1141FFAF" w:rsidRPr="52976F2E">
        <w:rPr>
          <w:szCs w:val="24"/>
        </w:rPr>
        <w:t xml:space="preserve"> versus </w:t>
      </w:r>
      <w:r w:rsidR="491ED721" w:rsidRPr="52976F2E">
        <w:rPr>
          <w:szCs w:val="24"/>
        </w:rPr>
        <w:t>planned and n</w:t>
      </w:r>
      <w:r w:rsidR="1141FFAF" w:rsidRPr="52976F2E">
        <w:rPr>
          <w:szCs w:val="24"/>
        </w:rPr>
        <w:t>on-</w:t>
      </w:r>
      <w:r w:rsidR="263815E1" w:rsidRPr="52976F2E">
        <w:rPr>
          <w:szCs w:val="24"/>
        </w:rPr>
        <w:t>p</w:t>
      </w:r>
      <w:r w:rsidR="1141FFAF" w:rsidRPr="52976F2E">
        <w:rPr>
          <w:szCs w:val="24"/>
        </w:rPr>
        <w:t>lanned BSS networks</w:t>
      </w:r>
      <w:r w:rsidRPr="00931B39">
        <w:rPr>
          <w:szCs w:val="24"/>
        </w:rPr>
        <w:t>.</w:t>
      </w:r>
    </w:p>
    <w:p w14:paraId="0AB96FF4" w14:textId="52CC33C2" w:rsidR="18C8C4C5" w:rsidRDefault="18C8C4C5" w:rsidP="003159E9">
      <w:pPr>
        <w:pStyle w:val="Heading3"/>
        <w:rPr>
          <w:szCs w:val="24"/>
        </w:rPr>
      </w:pPr>
      <w:r w:rsidRPr="52976F2E">
        <w:rPr>
          <w:szCs w:val="24"/>
        </w:rPr>
        <w:t>7.1.2</w:t>
      </w:r>
      <w:r>
        <w:tab/>
      </w:r>
      <w:r w:rsidRPr="52976F2E">
        <w:rPr>
          <w:szCs w:val="24"/>
        </w:rPr>
        <w:t>Implementation of the regulatory examination under No. 5.441B of the Radio Regulations</w:t>
      </w:r>
    </w:p>
    <w:p w14:paraId="50E5CF37" w14:textId="438A6FF0" w:rsidR="18C8C4C5" w:rsidRDefault="18C8C4C5" w:rsidP="003159E9">
      <w:pPr>
        <w:jc w:val="both"/>
        <w:rPr>
          <w:szCs w:val="24"/>
        </w:rPr>
      </w:pPr>
      <w:r w:rsidRPr="52976F2E">
        <w:rPr>
          <w:szCs w:val="24"/>
        </w:rPr>
        <w:t xml:space="preserve">The Bureau completed the development and testing of the software modules and associated tools for the regulatory examination of terrestrial notices under RR No. </w:t>
      </w:r>
      <w:r w:rsidRPr="52976F2E">
        <w:rPr>
          <w:b/>
          <w:bCs/>
          <w:szCs w:val="24"/>
        </w:rPr>
        <w:t>5.441B</w:t>
      </w:r>
      <w:r w:rsidRPr="52976F2E">
        <w:rPr>
          <w:szCs w:val="24"/>
        </w:rPr>
        <w:t xml:space="preserve">, following the adopted corresponding </w:t>
      </w:r>
      <w:proofErr w:type="spellStart"/>
      <w:r w:rsidRPr="52976F2E">
        <w:rPr>
          <w:szCs w:val="24"/>
        </w:rPr>
        <w:t>RoP</w:t>
      </w:r>
      <w:proofErr w:type="spellEnd"/>
      <w:r w:rsidRPr="52976F2E">
        <w:rPr>
          <w:szCs w:val="24"/>
        </w:rPr>
        <w:t xml:space="preserve"> for the identification of affected administrations under this provision. </w:t>
      </w:r>
      <w:proofErr w:type="gramStart"/>
      <w:r w:rsidRPr="52976F2E">
        <w:rPr>
          <w:szCs w:val="24"/>
        </w:rPr>
        <w:t>In particular, this</w:t>
      </w:r>
      <w:proofErr w:type="gramEnd"/>
      <w:r w:rsidRPr="52976F2E">
        <w:rPr>
          <w:szCs w:val="24"/>
        </w:rPr>
        <w:t xml:space="preserve"> included the development and automation of the application of ITU-R Recommendation P.528. The corresponding modules are now fully in production.</w:t>
      </w:r>
    </w:p>
    <w:p w14:paraId="248147BC" w14:textId="7621EFA3" w:rsidR="00713AFE" w:rsidRPr="00AF58E8" w:rsidRDefault="00713AFE" w:rsidP="00713AFE">
      <w:pPr>
        <w:pStyle w:val="Heading3"/>
      </w:pPr>
      <w:r>
        <w:t>7.1.</w:t>
      </w:r>
      <w:r w:rsidR="0A7B7F6C">
        <w:t>3</w:t>
      </w:r>
      <w:r>
        <w:tab/>
        <w:t>Processing of coordination requests under RR No. 9.21</w:t>
      </w:r>
    </w:p>
    <w:p w14:paraId="0EA9CC32" w14:textId="7643407A" w:rsidR="00713AFE" w:rsidRPr="00AF58E8" w:rsidRDefault="00713AFE" w:rsidP="52976F2E">
      <w:pPr>
        <w:jc w:val="both"/>
      </w:pPr>
      <w:r>
        <w:t xml:space="preserve">The development of the software modules and associated tools for the processing of coordination requests under RR No. </w:t>
      </w:r>
      <w:r w:rsidRPr="52976F2E">
        <w:rPr>
          <w:b/>
          <w:bCs/>
        </w:rPr>
        <w:t>9.21</w:t>
      </w:r>
      <w:r>
        <w:t xml:space="preserve"> continued during </w:t>
      </w:r>
      <w:r w:rsidR="2ED7E01E">
        <w:t>2020</w:t>
      </w:r>
      <w:r>
        <w:t xml:space="preserve">. The algorithms and software modules used for technical examinations under No. </w:t>
      </w:r>
      <w:r w:rsidRPr="52976F2E">
        <w:rPr>
          <w:b/>
          <w:bCs/>
        </w:rPr>
        <w:t>9.21</w:t>
      </w:r>
      <w:r>
        <w:t xml:space="preserve"> have been</w:t>
      </w:r>
      <w:r w:rsidR="6FEA35CA">
        <w:t xml:space="preserve"> reviewed in accordance with the corresponding </w:t>
      </w:r>
      <w:proofErr w:type="spellStart"/>
      <w:r w:rsidR="6FEA35CA">
        <w:t>RoPs</w:t>
      </w:r>
      <w:proofErr w:type="spellEnd"/>
      <w:r w:rsidR="6FEA35CA">
        <w:t xml:space="preserve">: existing algorithms were revised, and new algorithms were introduced, </w:t>
      </w:r>
      <w:proofErr w:type="gramStart"/>
      <w:r w:rsidR="6FEA35CA">
        <w:t>in particular regarding</w:t>
      </w:r>
      <w:proofErr w:type="gramEnd"/>
      <w:r w:rsidR="6FEA35CA">
        <w:t xml:space="preserve"> </w:t>
      </w:r>
      <w:proofErr w:type="spellStart"/>
      <w:r w:rsidR="6FEA35CA">
        <w:t>RoP</w:t>
      </w:r>
      <w:proofErr w:type="spellEnd"/>
      <w:r w:rsidR="6FEA35CA">
        <w:t xml:space="preserve"> B6. The testing of these algorithms is undergoing</w:t>
      </w:r>
      <w:r>
        <w:t>. The completion of the software for</w:t>
      </w:r>
      <w:r w:rsidDel="007B2997">
        <w:t xml:space="preserve"> </w:t>
      </w:r>
      <w:r>
        <w:t xml:space="preserve">checking the corresponding assignments (subject to </w:t>
      </w:r>
      <w:r w:rsidRPr="52976F2E">
        <w:rPr>
          <w:b/>
          <w:bCs/>
        </w:rPr>
        <w:t>9.21</w:t>
      </w:r>
      <w:r>
        <w:t xml:space="preserve">) notified </w:t>
      </w:r>
      <w:r w:rsidRPr="52976F2E">
        <w:rPr>
          <w:color w:val="000000" w:themeColor="text1"/>
        </w:rPr>
        <w:t xml:space="preserve">under RR Article </w:t>
      </w:r>
      <w:r w:rsidRPr="52976F2E">
        <w:rPr>
          <w:b/>
          <w:bCs/>
          <w:color w:val="000000" w:themeColor="text1"/>
        </w:rPr>
        <w:t>11</w:t>
      </w:r>
      <w:r w:rsidRPr="52976F2E">
        <w:rPr>
          <w:color w:val="000000" w:themeColor="text1"/>
        </w:rPr>
        <w:t xml:space="preserve"> </w:t>
      </w:r>
      <w:r>
        <w:t xml:space="preserve">to the Master Register </w:t>
      </w:r>
      <w:r w:rsidR="7FA82437">
        <w:t xml:space="preserve">and its integration into </w:t>
      </w:r>
      <w:proofErr w:type="spellStart"/>
      <w:r w:rsidR="7FA82437">
        <w:t>TerRaSys</w:t>
      </w:r>
      <w:proofErr w:type="spellEnd"/>
      <w:r w:rsidR="7FA82437">
        <w:t xml:space="preserve"> </w:t>
      </w:r>
      <w:r>
        <w:t xml:space="preserve">is scheduled for the </w:t>
      </w:r>
      <w:r w:rsidR="06D535FC">
        <w:t>fourth</w:t>
      </w:r>
      <w:r>
        <w:t xml:space="preserve"> quarter of </w:t>
      </w:r>
      <w:r w:rsidR="7EE66936">
        <w:t>2021</w:t>
      </w:r>
      <w:r>
        <w:t>.</w:t>
      </w:r>
    </w:p>
    <w:p w14:paraId="34859AEC" w14:textId="77777777" w:rsidR="00713AFE" w:rsidRPr="00843A68" w:rsidRDefault="00713AFE" w:rsidP="00713AFE">
      <w:pPr>
        <w:pStyle w:val="Heading3"/>
        <w:rPr>
          <w:lang w:val="en-US"/>
        </w:rPr>
      </w:pPr>
      <w:r w:rsidRPr="00843A68">
        <w:rPr>
          <w:lang w:val="en-US"/>
        </w:rPr>
        <w:t>7.1.4</w:t>
      </w:r>
      <w:r w:rsidRPr="00843A68">
        <w:rPr>
          <w:lang w:val="en-US"/>
        </w:rPr>
        <w:tab/>
        <w:t xml:space="preserve">Migration </w:t>
      </w:r>
      <w:r w:rsidRPr="00843A68">
        <w:t>from Ingres to SQL Server</w:t>
      </w:r>
    </w:p>
    <w:p w14:paraId="04951D97" w14:textId="6AFE6BA5" w:rsidR="00713AFE" w:rsidRPr="00AF58E8" w:rsidRDefault="00713AFE">
      <w:pPr>
        <w:pStyle w:val="NormalWeb"/>
        <w:jc w:val="both"/>
        <w:rPr>
          <w:rFonts w:ascii="Times New Roman" w:eastAsia="Times New Roman" w:hAnsi="Times New Roman"/>
          <w:color w:val="000000"/>
          <w:sz w:val="24"/>
          <w:szCs w:val="24"/>
          <w:lang w:val="en-GB"/>
        </w:rPr>
      </w:pPr>
      <w:bookmarkStart w:id="16" w:name="_Hlk32579791"/>
      <w:r w:rsidRPr="52976F2E">
        <w:rPr>
          <w:rFonts w:ascii="Times New Roman" w:eastAsia="Times New Roman" w:hAnsi="Times New Roman"/>
          <w:color w:val="000000" w:themeColor="text1"/>
          <w:sz w:val="24"/>
          <w:szCs w:val="24"/>
          <w:lang w:val="en-GB"/>
        </w:rPr>
        <w:t xml:space="preserve">The work on the migration of the </w:t>
      </w:r>
      <w:proofErr w:type="spellStart"/>
      <w:r w:rsidRPr="52976F2E">
        <w:rPr>
          <w:rFonts w:ascii="Times New Roman" w:eastAsia="Times New Roman" w:hAnsi="Times New Roman"/>
          <w:color w:val="000000" w:themeColor="text1"/>
          <w:sz w:val="24"/>
          <w:szCs w:val="24"/>
          <w:lang w:val="en-GB"/>
        </w:rPr>
        <w:t>TerRaSys</w:t>
      </w:r>
      <w:proofErr w:type="spellEnd"/>
      <w:r w:rsidRPr="52976F2E">
        <w:rPr>
          <w:rFonts w:ascii="Times New Roman" w:eastAsia="Times New Roman" w:hAnsi="Times New Roman"/>
          <w:color w:val="000000" w:themeColor="text1"/>
          <w:sz w:val="24"/>
          <w:szCs w:val="24"/>
          <w:lang w:val="en-GB"/>
        </w:rPr>
        <w:t xml:space="preserve"> database from Ingres to SQL Server </w:t>
      </w:r>
      <w:r w:rsidR="72A79BC5" w:rsidRPr="52976F2E">
        <w:rPr>
          <w:rFonts w:ascii="Times New Roman" w:eastAsia="Times New Roman" w:hAnsi="Times New Roman"/>
          <w:color w:val="000000" w:themeColor="text1"/>
          <w:sz w:val="24"/>
          <w:szCs w:val="24"/>
          <w:lang w:val="en-GB"/>
        </w:rPr>
        <w:t>continued during 2020</w:t>
      </w:r>
      <w:r w:rsidRPr="52976F2E">
        <w:rPr>
          <w:rFonts w:ascii="Times New Roman" w:eastAsia="Times New Roman" w:hAnsi="Times New Roman"/>
          <w:color w:val="000000" w:themeColor="text1"/>
          <w:sz w:val="24"/>
          <w:szCs w:val="24"/>
          <w:lang w:val="en-GB"/>
        </w:rPr>
        <w:t>, including:</w:t>
      </w:r>
    </w:p>
    <w:p w14:paraId="679CD2C4" w14:textId="79A4B37A" w:rsidR="00713AFE" w:rsidRPr="00AF58E8" w:rsidRDefault="6EEF8D1E" w:rsidP="000A3EAD">
      <w:pPr>
        <w:pStyle w:val="ListParagraph"/>
        <w:numPr>
          <w:ilvl w:val="0"/>
          <w:numId w:val="11"/>
        </w:numPr>
        <w:spacing w:before="120" w:after="0"/>
        <w:ind w:left="851" w:hanging="851"/>
        <w:contextualSpacing w:val="0"/>
        <w:jc w:val="both"/>
        <w:rPr>
          <w:rFonts w:eastAsia="Times New Roman"/>
          <w:color w:val="000000"/>
          <w:szCs w:val="24"/>
          <w:lang w:val="en-GB"/>
        </w:rPr>
      </w:pPr>
      <w:r w:rsidRPr="00993834">
        <w:t>Final r</w:t>
      </w:r>
      <w:proofErr w:type="spellStart"/>
      <w:r w:rsidR="00713AFE" w:rsidRPr="52976F2E">
        <w:rPr>
          <w:rFonts w:eastAsia="Times New Roman"/>
          <w:color w:val="000000" w:themeColor="text1"/>
          <w:szCs w:val="24"/>
          <w:lang w:val="en-GB"/>
        </w:rPr>
        <w:t>eview</w:t>
      </w:r>
      <w:proofErr w:type="spellEnd"/>
      <w:r w:rsidR="00713AFE" w:rsidRPr="52976F2E">
        <w:rPr>
          <w:rFonts w:eastAsia="Times New Roman"/>
          <w:color w:val="000000" w:themeColor="text1"/>
          <w:szCs w:val="24"/>
          <w:lang w:val="en-GB"/>
        </w:rPr>
        <w:t xml:space="preserve"> and </w:t>
      </w:r>
      <w:r w:rsidR="7CFF5576" w:rsidRPr="52976F2E">
        <w:rPr>
          <w:rFonts w:eastAsia="Times New Roman"/>
          <w:color w:val="000000" w:themeColor="text1"/>
          <w:szCs w:val="24"/>
          <w:lang w:val="en-GB"/>
        </w:rPr>
        <w:t>stabilization of</w:t>
      </w:r>
      <w:r w:rsidR="00713AFE" w:rsidRPr="52976F2E">
        <w:rPr>
          <w:rFonts w:eastAsia="Times New Roman"/>
          <w:color w:val="000000" w:themeColor="text1"/>
          <w:szCs w:val="24"/>
          <w:lang w:val="en-GB"/>
        </w:rPr>
        <w:t xml:space="preserve"> the database structures, schemas</w:t>
      </w:r>
      <w:r w:rsidR="007B2997">
        <w:rPr>
          <w:rFonts w:eastAsia="Times New Roman"/>
          <w:color w:val="000000" w:themeColor="text1"/>
          <w:szCs w:val="24"/>
          <w:lang w:val="en-GB"/>
        </w:rPr>
        <w:t>,</w:t>
      </w:r>
      <w:r w:rsidR="00713AFE" w:rsidRPr="52976F2E">
        <w:rPr>
          <w:rFonts w:eastAsia="Times New Roman"/>
          <w:color w:val="000000" w:themeColor="text1"/>
          <w:szCs w:val="24"/>
          <w:lang w:val="en-GB"/>
        </w:rPr>
        <w:t xml:space="preserve"> and procedures (including archiving) to adapt them and take advantage of the modern technology offered by the new DBMS;</w:t>
      </w:r>
    </w:p>
    <w:p w14:paraId="064E89CA" w14:textId="54AA3EBC" w:rsidR="00713AFE" w:rsidRPr="00AF58E8" w:rsidRDefault="00713AFE" w:rsidP="000A3EAD">
      <w:pPr>
        <w:pStyle w:val="ListParagraph"/>
        <w:numPr>
          <w:ilvl w:val="0"/>
          <w:numId w:val="11"/>
        </w:numPr>
        <w:spacing w:before="120" w:after="0"/>
        <w:ind w:left="851" w:hanging="851"/>
        <w:contextualSpacing w:val="0"/>
        <w:jc w:val="both"/>
        <w:rPr>
          <w:rFonts w:eastAsia="Times New Roman"/>
          <w:color w:val="000000"/>
          <w:szCs w:val="24"/>
          <w:lang w:val="en-GB"/>
        </w:rPr>
      </w:pPr>
      <w:r w:rsidRPr="00993834">
        <w:t>Review and redesign of the data types used for some</w:t>
      </w:r>
      <w:r w:rsidRPr="52976F2E">
        <w:rPr>
          <w:rFonts w:eastAsia="Times New Roman"/>
          <w:color w:val="000000" w:themeColor="text1"/>
          <w:szCs w:val="24"/>
          <w:lang w:val="en-GB"/>
        </w:rPr>
        <w:t xml:space="preserve"> fields </w:t>
      </w:r>
      <w:r w:rsidR="101AC16E" w:rsidRPr="52976F2E">
        <w:rPr>
          <w:rFonts w:eastAsia="Times New Roman"/>
          <w:color w:val="000000" w:themeColor="text1"/>
          <w:szCs w:val="24"/>
          <w:lang w:val="en-GB"/>
        </w:rPr>
        <w:t>and the introduction of new geographic data types provided by the new DBMS, which offer efficient techniques for performing fast complex geographic queries</w:t>
      </w:r>
      <w:r w:rsidRPr="52976F2E">
        <w:rPr>
          <w:rFonts w:eastAsia="Times New Roman"/>
          <w:color w:val="000000" w:themeColor="text1"/>
          <w:szCs w:val="24"/>
          <w:lang w:val="en-GB"/>
        </w:rPr>
        <w:t>;</w:t>
      </w:r>
    </w:p>
    <w:p w14:paraId="0E08C308" w14:textId="7EA685D8" w:rsidR="00713AFE" w:rsidRPr="00AF58E8" w:rsidRDefault="36160DC9" w:rsidP="000A3EAD">
      <w:pPr>
        <w:pStyle w:val="ListParagraph"/>
        <w:numPr>
          <w:ilvl w:val="0"/>
          <w:numId w:val="11"/>
        </w:numPr>
        <w:spacing w:before="120" w:after="0"/>
        <w:ind w:left="851" w:hanging="851"/>
        <w:contextualSpacing w:val="0"/>
        <w:jc w:val="both"/>
        <w:rPr>
          <w:rFonts w:eastAsia="Times New Roman"/>
          <w:color w:val="000000"/>
          <w:szCs w:val="24"/>
          <w:lang w:val="en-GB"/>
        </w:rPr>
      </w:pPr>
      <w:r w:rsidRPr="00993834">
        <w:t xml:space="preserve"> Continued</w:t>
      </w:r>
      <w:r w:rsidR="00713AFE" w:rsidRPr="52976F2E">
        <w:rPr>
          <w:rFonts w:eastAsia="Times New Roman"/>
          <w:color w:val="000000" w:themeColor="text1"/>
          <w:szCs w:val="24"/>
          <w:lang w:val="en-GB"/>
        </w:rPr>
        <w:t xml:space="preserve"> redesign of various </w:t>
      </w:r>
      <w:proofErr w:type="spellStart"/>
      <w:r w:rsidR="2F134D1E" w:rsidRPr="52976F2E">
        <w:rPr>
          <w:rFonts w:eastAsia="Times New Roman"/>
          <w:color w:val="000000" w:themeColor="text1"/>
          <w:szCs w:val="24"/>
          <w:lang w:val="en-GB"/>
        </w:rPr>
        <w:t>TerRaSys</w:t>
      </w:r>
      <w:proofErr w:type="spellEnd"/>
      <w:r w:rsidR="2F134D1E" w:rsidRPr="52976F2E">
        <w:rPr>
          <w:rFonts w:eastAsia="Times New Roman"/>
          <w:color w:val="000000" w:themeColor="text1"/>
          <w:szCs w:val="24"/>
          <w:lang w:val="en-GB"/>
        </w:rPr>
        <w:t xml:space="preserve"> </w:t>
      </w:r>
      <w:r w:rsidR="00713AFE" w:rsidRPr="52976F2E">
        <w:rPr>
          <w:rFonts w:eastAsia="Times New Roman"/>
          <w:color w:val="000000" w:themeColor="text1"/>
          <w:szCs w:val="24"/>
          <w:lang w:val="en-GB"/>
        </w:rPr>
        <w:t>software components and applications used to access the database, with the view of</w:t>
      </w:r>
      <w:r w:rsidR="0C3D1A2D" w:rsidRPr="52976F2E">
        <w:rPr>
          <w:rFonts w:eastAsia="Times New Roman"/>
          <w:color w:val="000000" w:themeColor="text1"/>
          <w:szCs w:val="24"/>
          <w:lang w:val="en-GB"/>
        </w:rPr>
        <w:t xml:space="preserve"> taking advantage of the modern technology offered by the new DBMS and </w:t>
      </w:r>
      <w:r w:rsidR="00713AFE" w:rsidRPr="52976F2E">
        <w:rPr>
          <w:rFonts w:eastAsia="Times New Roman"/>
          <w:color w:val="000000" w:themeColor="text1"/>
          <w:szCs w:val="24"/>
          <w:lang w:val="en-GB"/>
        </w:rPr>
        <w:t>using web applications and modern software development technologies;</w:t>
      </w:r>
    </w:p>
    <w:p w14:paraId="424E4003" w14:textId="76475B7A" w:rsidR="00713AFE" w:rsidRDefault="2F8215C8" w:rsidP="00D4660A">
      <w:pPr>
        <w:pStyle w:val="NormalWeb"/>
        <w:jc w:val="both"/>
        <w:rPr>
          <w:color w:val="000000" w:themeColor="text1"/>
          <w:szCs w:val="24"/>
        </w:rPr>
      </w:pPr>
      <w:r w:rsidRPr="52976F2E">
        <w:rPr>
          <w:rFonts w:ascii="Times New Roman" w:eastAsia="Times New Roman" w:hAnsi="Times New Roman"/>
          <w:color w:val="000000" w:themeColor="text1"/>
          <w:sz w:val="24"/>
          <w:szCs w:val="24"/>
          <w:lang w:val="en-GB"/>
        </w:rPr>
        <w:t xml:space="preserve">The new database system and software modules for the processing and front-end validation of the electronic terrestrial notifications were finalized and are currently under Beta testing. Work on the migration of the software modules for examination and publication is undergoing. </w:t>
      </w:r>
    </w:p>
    <w:p w14:paraId="012EC9AD" w14:textId="5569AEC5" w:rsidR="00713AFE" w:rsidRDefault="00713AFE">
      <w:pPr>
        <w:pStyle w:val="NormalWeb"/>
        <w:jc w:val="both"/>
        <w:rPr>
          <w:rFonts w:ascii="Times New Roman" w:eastAsia="Times New Roman" w:hAnsi="Times New Roman"/>
          <w:color w:val="000000"/>
          <w:sz w:val="24"/>
          <w:szCs w:val="24"/>
          <w:lang w:val="en-GB"/>
        </w:rPr>
      </w:pPr>
      <w:r w:rsidRPr="52976F2E">
        <w:rPr>
          <w:rFonts w:ascii="Times New Roman" w:eastAsia="Times New Roman" w:hAnsi="Times New Roman"/>
          <w:color w:val="000000" w:themeColor="text1"/>
          <w:sz w:val="24"/>
          <w:szCs w:val="24"/>
          <w:lang w:val="en-GB"/>
        </w:rPr>
        <w:lastRenderedPageBreak/>
        <w:t>It is expected that the full migration and restructuring of the existing system will be completed by the end of 2021</w:t>
      </w:r>
      <w:r w:rsidR="46A40E84" w:rsidRPr="52976F2E">
        <w:rPr>
          <w:rFonts w:ascii="Times New Roman" w:eastAsia="Times New Roman" w:hAnsi="Times New Roman"/>
          <w:color w:val="000000" w:themeColor="text1"/>
          <w:sz w:val="24"/>
          <w:szCs w:val="24"/>
          <w:lang w:val="en-GB"/>
        </w:rPr>
        <w:t xml:space="preserve"> - beginning of 2022</w:t>
      </w:r>
      <w:r w:rsidRPr="52976F2E">
        <w:rPr>
          <w:rFonts w:ascii="Times New Roman" w:eastAsia="Times New Roman" w:hAnsi="Times New Roman"/>
          <w:color w:val="000000" w:themeColor="text1"/>
          <w:sz w:val="24"/>
          <w:szCs w:val="24"/>
          <w:lang w:val="en-GB"/>
        </w:rPr>
        <w:t>.</w:t>
      </w:r>
    </w:p>
    <w:p w14:paraId="7AFB9510" w14:textId="77777777" w:rsidR="00713AFE" w:rsidRPr="00AF58E8" w:rsidRDefault="00713AFE" w:rsidP="00713AFE">
      <w:pPr>
        <w:pStyle w:val="NormalWeb"/>
        <w:jc w:val="both"/>
        <w:rPr>
          <w:rFonts w:ascii="Times New Roman" w:eastAsia="Times New Roman" w:hAnsi="Times New Roman"/>
          <w:color w:val="000000"/>
          <w:sz w:val="24"/>
          <w:szCs w:val="24"/>
          <w:lang w:val="en-GB"/>
        </w:rPr>
      </w:pPr>
      <w:r w:rsidRPr="00AF58E8">
        <w:rPr>
          <w:rFonts w:ascii="Times New Roman" w:eastAsia="Times New Roman" w:hAnsi="Times New Roman"/>
          <w:color w:val="000000"/>
          <w:sz w:val="24"/>
          <w:szCs w:val="24"/>
          <w:lang w:val="en-GB"/>
        </w:rPr>
        <w:t>Copies of the existing terrestrial database on the new DBMS platform are now available and are being used by various BR applications through the web to display, validate and process terrestrial frequency notifications.</w:t>
      </w:r>
    </w:p>
    <w:bookmarkEnd w:id="16"/>
    <w:p w14:paraId="17ACCF94" w14:textId="7FCE9ACE" w:rsidR="00713AFE" w:rsidRPr="00600216" w:rsidRDefault="00713AFE" w:rsidP="00713AFE">
      <w:pPr>
        <w:pStyle w:val="Heading2"/>
      </w:pPr>
      <w:r>
        <w:t>7.2</w:t>
      </w:r>
      <w:r>
        <w:tab/>
      </w:r>
      <w:r w:rsidRPr="00F75A4C">
        <w:t xml:space="preserve">Progress </w:t>
      </w:r>
      <w:r w:rsidRPr="00600216">
        <w:t>in fulfilling the BR Space Information Systems roadmap (RAG-19, 2012)</w:t>
      </w:r>
    </w:p>
    <w:p w14:paraId="5BA42207" w14:textId="63DEDCA9" w:rsidR="00713AFE" w:rsidRDefault="00713AFE" w:rsidP="00713AFE">
      <w:pPr>
        <w:jc w:val="both"/>
      </w:pPr>
      <w:r w:rsidRPr="00600216">
        <w:t>RAG-19 (2012) advised</w:t>
      </w:r>
      <w:r>
        <w:t xml:space="preserve"> the Director to implement recommended actions within the proposed </w:t>
      </w:r>
      <w:r w:rsidR="2F9DEC51">
        <w:t>timeframe</w:t>
      </w:r>
      <w:r>
        <w:t>, as described in the agreed roadmap, comprising: Phase 1 (Implementation of WRC 12 decisions); Phase 2 (Rewrite some existing software); and Phase 3 (Set up a project team to implement a common framework, security system</w:t>
      </w:r>
      <w:r w:rsidR="00804E59">
        <w:t>,</w:t>
      </w:r>
      <w:r>
        <w:t xml:space="preserve"> and centralized space database). RAG encouraged Member States and Sector Members to submit their comments on Phase 3. </w:t>
      </w:r>
    </w:p>
    <w:p w14:paraId="42BA4866" w14:textId="35D3409A" w:rsidR="00713AFE" w:rsidRDefault="00713AFE" w:rsidP="00713AFE">
      <w:pPr>
        <w:jc w:val="both"/>
      </w:pPr>
      <w:r>
        <w:t>In 20</w:t>
      </w:r>
      <w:r w:rsidR="4542BB99">
        <w:t>20</w:t>
      </w:r>
      <w:r>
        <w:t>, the BR continued to maintain existing legacy software, while at the same time working on implementing new versions of key software applications. This parallel effort is both a necessity due to operational exigencies as well as the reason why certain modernization projects are still underway.</w:t>
      </w:r>
    </w:p>
    <w:p w14:paraId="7F78536F" w14:textId="7F1F88D5" w:rsidR="00713AFE" w:rsidRDefault="00713AFE" w:rsidP="00713AFE">
      <w:pPr>
        <w:pStyle w:val="Heading3"/>
      </w:pPr>
      <w:r>
        <w:t>7.2.1</w:t>
      </w:r>
      <w:r>
        <w:tab/>
      </w:r>
      <w:r w:rsidR="79332375">
        <w:t>Progress</w:t>
      </w:r>
      <w:r w:rsidR="79332375" w:rsidDel="006519E9">
        <w:t xml:space="preserve"> </w:t>
      </w:r>
      <w:r w:rsidR="00FE0D71">
        <w:t>towa</w:t>
      </w:r>
      <w:r w:rsidR="006519E9">
        <w:t>r</w:t>
      </w:r>
      <w:r w:rsidR="00FE0D71">
        <w:t>d achieving the</w:t>
      </w:r>
      <w:r w:rsidR="79332375">
        <w:t xml:space="preserve"> objectives of </w:t>
      </w:r>
      <w:r>
        <w:t>Phase 2</w:t>
      </w:r>
      <w:r w:rsidR="184C338C">
        <w:t xml:space="preserve"> of the roadmap</w:t>
      </w:r>
    </w:p>
    <w:p w14:paraId="3CC45130" w14:textId="50FD097D" w:rsidR="00713AFE" w:rsidRDefault="00713AFE" w:rsidP="00713AFE">
      <w:pPr>
        <w:pStyle w:val="Heading4"/>
      </w:pPr>
      <w:r>
        <w:t>7.2.1.</w:t>
      </w:r>
      <w:r w:rsidR="00DE555A">
        <w:t>1</w:t>
      </w:r>
      <w:r w:rsidR="2A31BC92">
        <w:t xml:space="preserve"> </w:t>
      </w:r>
      <w:r>
        <w:tab/>
        <w:t>Rewrite legacy software for technical examination</w:t>
      </w:r>
    </w:p>
    <w:p w14:paraId="526B7EB8" w14:textId="33ADCCFC" w:rsidR="00713AFE" w:rsidRPr="00E5336C" w:rsidRDefault="00713AFE" w:rsidP="000A3EAD">
      <w:pPr>
        <w:pStyle w:val="ListParagraph"/>
        <w:numPr>
          <w:ilvl w:val="0"/>
          <w:numId w:val="11"/>
        </w:numPr>
        <w:spacing w:before="120" w:after="0"/>
        <w:ind w:left="851" w:hanging="851"/>
        <w:contextualSpacing w:val="0"/>
        <w:jc w:val="both"/>
      </w:pPr>
      <w:r>
        <w:t xml:space="preserve">Rewrite PFD for protection of terrestrial services calculation: </w:t>
      </w:r>
      <w:r w:rsidR="3AA72FDE">
        <w:t>The new-generation PFD software was released on the BR IFIC 2923 (15 June 2020)</w:t>
      </w:r>
    </w:p>
    <w:p w14:paraId="0FA2FA38" w14:textId="18B90F2A" w:rsidR="00713AFE" w:rsidRPr="00E5336C" w:rsidRDefault="00713AFE" w:rsidP="000A3EAD">
      <w:pPr>
        <w:pStyle w:val="ListParagraph"/>
        <w:numPr>
          <w:ilvl w:val="0"/>
          <w:numId w:val="11"/>
        </w:numPr>
        <w:spacing w:before="120" w:after="0"/>
        <w:ind w:left="851" w:hanging="851"/>
        <w:contextualSpacing w:val="0"/>
        <w:jc w:val="both"/>
      </w:pPr>
      <w:r>
        <w:t xml:space="preserve">Rewrite PFD for protection of space services: </w:t>
      </w:r>
      <w:r w:rsidR="68152F8F">
        <w:t>Ongoing</w:t>
      </w:r>
      <w:r>
        <w:t>.</w:t>
      </w:r>
    </w:p>
    <w:p w14:paraId="7A65FE6C" w14:textId="5B823C5E" w:rsidR="00713AFE" w:rsidRPr="00E5336C" w:rsidRDefault="00713AFE" w:rsidP="000A3EAD">
      <w:pPr>
        <w:pStyle w:val="ListParagraph"/>
        <w:numPr>
          <w:ilvl w:val="0"/>
          <w:numId w:val="11"/>
        </w:numPr>
        <w:spacing w:before="120" w:after="0"/>
        <w:ind w:left="851" w:hanging="851"/>
        <w:contextualSpacing w:val="0"/>
        <w:jc w:val="both"/>
      </w:pPr>
      <w:r>
        <w:t>Migrate technical examination software written in Fortran from Compaq Visual Fortran compiler to Intel Fortran compiler</w:t>
      </w:r>
      <w:r w:rsidR="30ABC31C">
        <w:t>: Ongoing</w:t>
      </w:r>
      <w:r w:rsidR="4FCC01A2">
        <w:t>.</w:t>
      </w:r>
    </w:p>
    <w:p w14:paraId="35DE76E6" w14:textId="04559C27" w:rsidR="00713AFE" w:rsidRDefault="30ABC31C" w:rsidP="000A3EAD">
      <w:pPr>
        <w:pStyle w:val="ListParagraph"/>
        <w:numPr>
          <w:ilvl w:val="0"/>
          <w:numId w:val="11"/>
        </w:numPr>
        <w:spacing w:before="120" w:after="0"/>
        <w:ind w:left="851" w:hanging="851"/>
        <w:contextualSpacing w:val="0"/>
        <w:jc w:val="both"/>
      </w:pPr>
      <w:r>
        <w:t xml:space="preserve">Migration of </w:t>
      </w:r>
      <w:r w:rsidR="00713AFE">
        <w:t>GIMS Fortran components: Not yet started</w:t>
      </w:r>
      <w:r w:rsidR="746C3B33">
        <w:t>.</w:t>
      </w:r>
    </w:p>
    <w:p w14:paraId="328428F3" w14:textId="451FFD93" w:rsidR="00713AFE" w:rsidRDefault="00713AFE" w:rsidP="000A3EAD">
      <w:pPr>
        <w:pStyle w:val="ListParagraph"/>
        <w:numPr>
          <w:ilvl w:val="0"/>
          <w:numId w:val="11"/>
        </w:numPr>
        <w:spacing w:before="120" w:after="0"/>
        <w:ind w:left="851" w:hanging="851"/>
        <w:contextualSpacing w:val="0"/>
        <w:jc w:val="both"/>
      </w:pPr>
      <w:proofErr w:type="spellStart"/>
      <w:r>
        <w:t>Mspace</w:t>
      </w:r>
      <w:proofErr w:type="spellEnd"/>
      <w:r>
        <w:t xml:space="preserve"> – Migration of Visual Basic 6 components to .NET: Ongoing</w:t>
      </w:r>
      <w:r w:rsidR="757ED13A">
        <w:t>.</w:t>
      </w:r>
    </w:p>
    <w:p w14:paraId="1323D27D" w14:textId="73510B5A" w:rsidR="00713AFE" w:rsidRDefault="00713AFE" w:rsidP="00713AFE">
      <w:pPr>
        <w:pStyle w:val="Heading4"/>
      </w:pPr>
      <w:r>
        <w:t>7.2.1.</w:t>
      </w:r>
      <w:r w:rsidR="00DE555A">
        <w:t>2</w:t>
      </w:r>
      <w:r w:rsidR="5B934078">
        <w:t xml:space="preserve"> </w:t>
      </w:r>
      <w:r>
        <w:tab/>
        <w:t>Design and develop the BR Space Information System (BR SIS)</w:t>
      </w:r>
    </w:p>
    <w:p w14:paraId="48651F22" w14:textId="264D7B3B" w:rsidR="00713AFE" w:rsidRPr="00E5336C" w:rsidRDefault="00713AFE" w:rsidP="000A3EAD">
      <w:pPr>
        <w:pStyle w:val="ListParagraph"/>
        <w:numPr>
          <w:ilvl w:val="0"/>
          <w:numId w:val="11"/>
        </w:numPr>
        <w:spacing w:before="120" w:after="0"/>
        <w:ind w:left="851" w:hanging="851"/>
        <w:contextualSpacing w:val="0"/>
        <w:jc w:val="both"/>
      </w:pPr>
      <w:r>
        <w:t xml:space="preserve">Rewrite </w:t>
      </w:r>
      <w:proofErr w:type="spellStart"/>
      <w:r>
        <w:t>SpaceCap</w:t>
      </w:r>
      <w:proofErr w:type="spellEnd"/>
      <w:r>
        <w:t xml:space="preserve"> written in Visual Basic 6: Ongoing. In 20</w:t>
      </w:r>
      <w:r w:rsidR="6AC9E690">
        <w:t>21</w:t>
      </w:r>
      <w:r>
        <w:t xml:space="preserve">, the </w:t>
      </w:r>
      <w:r w:rsidR="318A63DD">
        <w:t xml:space="preserve">first modules of </w:t>
      </w:r>
      <w:proofErr w:type="spellStart"/>
      <w:r w:rsidR="318A63DD">
        <w:t>SpaceCap</w:t>
      </w:r>
      <w:proofErr w:type="spellEnd"/>
      <w:r w:rsidR="318A63DD">
        <w:t xml:space="preserve"> implemented </w:t>
      </w:r>
      <w:r w:rsidR="7157205D">
        <w:t>in BRSIS will b</w:t>
      </w:r>
      <w:r w:rsidR="318A63DD">
        <w:t xml:space="preserve">e made available, as of BR </w:t>
      </w:r>
      <w:r w:rsidR="67025469">
        <w:t xml:space="preserve">Space Software </w:t>
      </w:r>
      <w:r w:rsidR="318A63DD">
        <w:t xml:space="preserve">version 9.1. </w:t>
      </w:r>
    </w:p>
    <w:p w14:paraId="6A68496B" w14:textId="6ADC7087" w:rsidR="00713AFE" w:rsidRDefault="00713AFE" w:rsidP="000A3EAD">
      <w:pPr>
        <w:pStyle w:val="ListParagraph"/>
        <w:numPr>
          <w:ilvl w:val="0"/>
          <w:numId w:val="11"/>
        </w:numPr>
        <w:spacing w:before="120" w:after="0"/>
        <w:ind w:left="851" w:hanging="851"/>
        <w:contextualSpacing w:val="0"/>
        <w:jc w:val="both"/>
      </w:pPr>
      <w:r>
        <w:t xml:space="preserve">Migrate SRS MDB to more modern technology: </w:t>
      </w:r>
      <w:r w:rsidR="30328F80">
        <w:t xml:space="preserve">Although the choice of technology to replace MDB files is clear, the reliance of </w:t>
      </w:r>
      <w:r w:rsidR="1F68F40E">
        <w:t xml:space="preserve">BR </w:t>
      </w:r>
      <w:r w:rsidR="30328F80">
        <w:t>internal space services process</w:t>
      </w:r>
      <w:r w:rsidR="006615EE">
        <w:t>ing</w:t>
      </w:r>
      <w:r w:rsidR="30328F80">
        <w:t xml:space="preserve"> on MDB files is such that migratio</w:t>
      </w:r>
      <w:r w:rsidR="51D317B3">
        <w:t xml:space="preserve">n to </w:t>
      </w:r>
      <w:r>
        <w:t xml:space="preserve">SQLite databases </w:t>
      </w:r>
      <w:r w:rsidR="71879FF1">
        <w:t>cannot be delivered before WRC-23</w:t>
      </w:r>
      <w:r>
        <w:t xml:space="preserve">. </w:t>
      </w:r>
      <w:r w:rsidR="7DC86BDA">
        <w:t>Even when the BR Space Software applications move to SQLite, b</w:t>
      </w:r>
      <w:r>
        <w:t>ackward compatibility with the MDB format, as well as conversion tools, will be retained for the foreseeable future.</w:t>
      </w:r>
    </w:p>
    <w:p w14:paraId="3DD5878E" w14:textId="25D5E69A" w:rsidR="00713AFE" w:rsidRDefault="00713AFE" w:rsidP="000A3EAD">
      <w:pPr>
        <w:pStyle w:val="ListParagraph"/>
        <w:numPr>
          <w:ilvl w:val="0"/>
          <w:numId w:val="11"/>
        </w:numPr>
        <w:spacing w:before="120" w:after="0"/>
        <w:ind w:left="851" w:hanging="851"/>
        <w:contextualSpacing w:val="0"/>
        <w:jc w:val="both"/>
      </w:pPr>
      <w:r>
        <w:t>Migrate SNS database on Ingres to SQL Server: The migration of Ingres-environment</w:t>
      </w:r>
      <w:r w:rsidR="00564D93">
        <w:t>-</w:t>
      </w:r>
      <w:r>
        <w:t>specific internal processing applications continued in 20</w:t>
      </w:r>
      <w:r w:rsidR="2FC3C6D6">
        <w:t>20</w:t>
      </w:r>
      <w:r>
        <w:t xml:space="preserve">. The remaining internal processing applications </w:t>
      </w:r>
      <w:r w:rsidR="36AD69D3">
        <w:t>must</w:t>
      </w:r>
      <w:r>
        <w:t xml:space="preserve"> be rewritten or adapted in 202</w:t>
      </w:r>
      <w:r w:rsidR="1A928FBC">
        <w:t>1</w:t>
      </w:r>
      <w:r w:rsidR="106B1544">
        <w:t>, to be in production in the first quarter of 2022 at the latest</w:t>
      </w:r>
      <w:r>
        <w:t xml:space="preserve">. </w:t>
      </w:r>
    </w:p>
    <w:p w14:paraId="43BE2BD3" w14:textId="48321E87" w:rsidR="00713AFE" w:rsidRDefault="00713AFE" w:rsidP="000A3EAD">
      <w:pPr>
        <w:pStyle w:val="ListParagraph"/>
        <w:numPr>
          <w:ilvl w:val="0"/>
          <w:numId w:val="11"/>
        </w:numPr>
        <w:spacing w:before="120" w:after="0"/>
        <w:ind w:left="851" w:hanging="851"/>
        <w:contextualSpacing w:val="0"/>
        <w:jc w:val="both"/>
      </w:pPr>
      <w:r>
        <w:t xml:space="preserve">Review </w:t>
      </w:r>
      <w:proofErr w:type="spellStart"/>
      <w:r>
        <w:t>SNTrack</w:t>
      </w:r>
      <w:proofErr w:type="spellEnd"/>
      <w:r>
        <w:t xml:space="preserve">: </w:t>
      </w:r>
      <w:r w:rsidR="7E5F027E">
        <w:t xml:space="preserve">Parts of </w:t>
      </w:r>
      <w:proofErr w:type="spellStart"/>
      <w:r>
        <w:t>SNTrack</w:t>
      </w:r>
      <w:proofErr w:type="spellEnd"/>
      <w:r>
        <w:t xml:space="preserve"> will be replaced by a Space Management Information System in 202</w:t>
      </w:r>
      <w:r w:rsidR="10DFA0F7">
        <w:t>1</w:t>
      </w:r>
      <w:r>
        <w:t xml:space="preserve"> to complete the back</w:t>
      </w:r>
      <w:r w:rsidR="32188518">
        <w:t>-</w:t>
      </w:r>
      <w:r>
        <w:t>office functionality of the e-Submissions system.</w:t>
      </w:r>
    </w:p>
    <w:p w14:paraId="053F6EF6" w14:textId="3C804ED4" w:rsidR="1813BBC1" w:rsidRPr="00D4660A" w:rsidRDefault="0A6C8AC8" w:rsidP="000A3EAD">
      <w:pPr>
        <w:pStyle w:val="ListParagraph"/>
        <w:numPr>
          <w:ilvl w:val="0"/>
          <w:numId w:val="11"/>
        </w:numPr>
        <w:spacing w:before="120" w:after="0"/>
        <w:ind w:left="851" w:hanging="851"/>
        <w:contextualSpacing w:val="0"/>
        <w:jc w:val="both"/>
        <w:rPr>
          <w:rFonts w:eastAsia="Times New Roman" w:cs="Times New Roman"/>
          <w:szCs w:val="24"/>
        </w:rPr>
      </w:pPr>
      <w:r w:rsidRPr="00E5336C">
        <w:lastRenderedPageBreak/>
        <w:t>Review SNS Online (and merge with SNL Online): Ongoing. Development of the web application "ITU Space Explorer" to replace the data mining system previously contained in the SNS Online and SNL Online is part of the project to implement Resolution 908 and to satisfy Resolution 186 (Rev. PP-18 Dubai) Resolves 4. After the concept design and the prototype approvals in 2020, phase 1 is progressing in 2021 and should be available to external users in 2022.</w:t>
      </w:r>
    </w:p>
    <w:p w14:paraId="71A4244D" w14:textId="7BE0A95D" w:rsidR="00713AFE" w:rsidRPr="00E5336C" w:rsidRDefault="00713AFE" w:rsidP="00713AFE">
      <w:pPr>
        <w:pStyle w:val="Heading3"/>
        <w:rPr>
          <w:lang w:val="en-US"/>
        </w:rPr>
      </w:pPr>
      <w:r w:rsidRPr="00E5336C">
        <w:rPr>
          <w:lang w:val="en-US"/>
        </w:rPr>
        <w:t>7.2.2</w:t>
      </w:r>
      <w:r w:rsidRPr="00E5336C">
        <w:rPr>
          <w:lang w:val="en-US"/>
        </w:rPr>
        <w:tab/>
      </w:r>
      <w:r w:rsidR="1284F16F" w:rsidRPr="00E5336C">
        <w:rPr>
          <w:lang w:val="en-US"/>
        </w:rPr>
        <w:t>Progress</w:t>
      </w:r>
      <w:r w:rsidR="1284F16F" w:rsidRPr="00E5336C" w:rsidDel="001108D3">
        <w:rPr>
          <w:lang w:val="en-US"/>
        </w:rPr>
        <w:t xml:space="preserve"> </w:t>
      </w:r>
      <w:r w:rsidR="001108D3" w:rsidRPr="00E5336C">
        <w:rPr>
          <w:lang w:val="en-US"/>
        </w:rPr>
        <w:t>toward achieving the</w:t>
      </w:r>
      <w:r w:rsidR="1284F16F" w:rsidRPr="00E5336C">
        <w:rPr>
          <w:lang w:val="en-US"/>
        </w:rPr>
        <w:t xml:space="preserve"> objectives of </w:t>
      </w:r>
      <w:r w:rsidRPr="00E5336C">
        <w:rPr>
          <w:lang w:val="en-US"/>
        </w:rPr>
        <w:t>Phase 3</w:t>
      </w:r>
      <w:r w:rsidR="7ED0E3BD" w:rsidRPr="00E5336C">
        <w:rPr>
          <w:lang w:val="en-US"/>
        </w:rPr>
        <w:t xml:space="preserve"> of the roadmap</w:t>
      </w:r>
    </w:p>
    <w:p w14:paraId="41119855" w14:textId="77777777" w:rsidR="00713AFE" w:rsidRDefault="00713AFE" w:rsidP="00713AFE">
      <w:pPr>
        <w:jc w:val="both"/>
      </w:pPr>
      <w:r>
        <w:t>The work done during the previous phases, as well as the design and technology choices made thereafter, provide a foundation for successful completion of Phase 3, which will be as follows:</w:t>
      </w:r>
    </w:p>
    <w:p w14:paraId="5B0DC02E" w14:textId="0D8F9F61" w:rsidR="00713AFE" w:rsidRPr="005B6462" w:rsidRDefault="00713AFE" w:rsidP="000A3EAD">
      <w:pPr>
        <w:pStyle w:val="ListParagraph"/>
        <w:numPr>
          <w:ilvl w:val="0"/>
          <w:numId w:val="11"/>
        </w:numPr>
        <w:spacing w:before="120" w:after="0"/>
        <w:ind w:left="851" w:hanging="851"/>
        <w:contextualSpacing w:val="0"/>
        <w:jc w:val="both"/>
      </w:pPr>
      <w:r>
        <w:t>The Space databases shall be migrated to the SQL Server platform by the end of 202</w:t>
      </w:r>
      <w:r w:rsidR="79AFC68C">
        <w:t>1</w:t>
      </w:r>
      <w:r w:rsidR="4F2BDAF5">
        <w:t>/early 2022</w:t>
      </w:r>
      <w:r>
        <w:t>.</w:t>
      </w:r>
    </w:p>
    <w:p w14:paraId="3992939B" w14:textId="25382465" w:rsidR="00713AFE" w:rsidRDefault="00713AFE" w:rsidP="000A3EAD">
      <w:pPr>
        <w:pStyle w:val="ListParagraph"/>
        <w:numPr>
          <w:ilvl w:val="0"/>
          <w:numId w:val="11"/>
        </w:numPr>
        <w:spacing w:before="120" w:after="0"/>
        <w:ind w:left="851" w:hanging="851"/>
        <w:contextualSpacing w:val="0"/>
        <w:jc w:val="both"/>
      </w:pPr>
      <w:r>
        <w:t xml:space="preserve">A schema redesign, preserving equivalence of data, but with the objective to eliminate certain redundancies, will be </w:t>
      </w:r>
      <w:r w:rsidR="0C3485F9">
        <w:t>delivered in phases, starting from a between-</w:t>
      </w:r>
      <w:r w:rsidR="58763288">
        <w:t>WRC</w:t>
      </w:r>
      <w:r w:rsidR="0C3485F9">
        <w:t xml:space="preserve"> release of BR Space Software </w:t>
      </w:r>
      <w:r w:rsidR="2A99E4F7">
        <w:t xml:space="preserve">(version 9.2) </w:t>
      </w:r>
      <w:r w:rsidR="0C3485F9">
        <w:t>ten</w:t>
      </w:r>
      <w:r w:rsidR="3FC6851A">
        <w:t>tatively scheduled for the end of 2021</w:t>
      </w:r>
      <w:r w:rsidR="740DDF0D">
        <w:t>/early 2022.</w:t>
      </w:r>
    </w:p>
    <w:p w14:paraId="4735748E" w14:textId="6B99C035" w:rsidR="00713AFE" w:rsidRDefault="00713AFE" w:rsidP="000A3EAD">
      <w:pPr>
        <w:pStyle w:val="ListParagraph"/>
        <w:numPr>
          <w:ilvl w:val="0"/>
          <w:numId w:val="11"/>
        </w:numPr>
        <w:spacing w:before="120" w:after="0"/>
        <w:ind w:left="851" w:hanging="851"/>
        <w:contextualSpacing w:val="0"/>
        <w:jc w:val="both"/>
      </w:pPr>
      <w:r>
        <w:t>Activities on centralizing and streamlining risk, recovery</w:t>
      </w:r>
      <w:r w:rsidR="0099152F">
        <w:t>,</w:t>
      </w:r>
      <w:r>
        <w:t xml:space="preserve"> and security management: Ongoing.</w:t>
      </w:r>
    </w:p>
    <w:p w14:paraId="68C53DDB" w14:textId="3415CE58" w:rsidR="00713AFE" w:rsidRDefault="00713AFE" w:rsidP="00713AFE">
      <w:pPr>
        <w:pStyle w:val="Heading2"/>
      </w:pPr>
      <w:r>
        <w:t>7.3</w:t>
      </w:r>
      <w:r>
        <w:tab/>
      </w:r>
      <w:r w:rsidRPr="00C0143F">
        <w:t>Software developments related to space services</w:t>
      </w:r>
    </w:p>
    <w:p w14:paraId="60DC491D" w14:textId="4BF747AE" w:rsidR="00713AFE" w:rsidRDefault="00713AFE" w:rsidP="00CC25F0">
      <w:pPr>
        <w:pStyle w:val="Heading3"/>
      </w:pPr>
      <w:r w:rsidRPr="00EB1220">
        <w:t>7.3.1</w:t>
      </w:r>
      <w:r>
        <w:tab/>
      </w:r>
      <w:r w:rsidRPr="00EB1220">
        <w:t>Implementation of Resolution 907 (Rev. WRC-15): Use of modern electronic means of</w:t>
      </w:r>
      <w:r w:rsidRPr="00336234">
        <w:t xml:space="preserve"> communication for satellite network</w:t>
      </w:r>
      <w:r w:rsidR="00B80256">
        <w:t>-</w:t>
      </w:r>
      <w:r w:rsidRPr="00336234">
        <w:t>related administrative correspondence</w:t>
      </w:r>
    </w:p>
    <w:p w14:paraId="2D9307FC" w14:textId="72485EE8" w:rsidR="55FD07A9" w:rsidRDefault="55FD07A9" w:rsidP="00CC25F0">
      <w:pPr>
        <w:jc w:val="both"/>
        <w:rPr>
          <w:szCs w:val="24"/>
        </w:rPr>
      </w:pPr>
      <w:r w:rsidRPr="299653DA">
        <w:rPr>
          <w:szCs w:val="24"/>
          <w:lang w:val="en-US"/>
        </w:rPr>
        <w:t xml:space="preserve">During 2020, work </w:t>
      </w:r>
      <w:proofErr w:type="gramStart"/>
      <w:r w:rsidRPr="299653DA">
        <w:rPr>
          <w:szCs w:val="24"/>
          <w:lang w:val="en-US"/>
        </w:rPr>
        <w:t>continued on</w:t>
      </w:r>
      <w:proofErr w:type="gramEnd"/>
      <w:r w:rsidRPr="299653DA">
        <w:rPr>
          <w:szCs w:val="24"/>
          <w:lang w:val="en-US"/>
        </w:rPr>
        <w:t xml:space="preserve"> implementing Resolution 907 (Rev. WRC-15), to deliver a secure online system “e-Communications” to modernize and enhance the current correspondence system between Administrations and ITU as well as amongst Administrations, with the </w:t>
      </w:r>
      <w:r w:rsidR="46112DCE" w:rsidRPr="299653DA">
        <w:rPr>
          <w:szCs w:val="24"/>
          <w:lang w:val="en-US"/>
        </w:rPr>
        <w:t xml:space="preserve">addition </w:t>
      </w:r>
      <w:r w:rsidRPr="299653DA">
        <w:rPr>
          <w:szCs w:val="24"/>
          <w:lang w:val="en-US"/>
        </w:rPr>
        <w:t xml:space="preserve">of the following features: </w:t>
      </w:r>
    </w:p>
    <w:p w14:paraId="6735E1D3" w14:textId="676972F6" w:rsidR="15D375C6" w:rsidRPr="00E5336C" w:rsidRDefault="15D375C6" w:rsidP="000A3EAD">
      <w:pPr>
        <w:pStyle w:val="ListParagraph"/>
        <w:numPr>
          <w:ilvl w:val="0"/>
          <w:numId w:val="11"/>
        </w:numPr>
        <w:spacing w:before="120" w:after="0"/>
        <w:ind w:left="851" w:hanging="851"/>
        <w:contextualSpacing w:val="0"/>
        <w:jc w:val="both"/>
      </w:pPr>
      <w:r w:rsidRPr="00E5336C">
        <w:t>I</w:t>
      </w:r>
      <w:r w:rsidR="55FD07A9" w:rsidRPr="00E5336C">
        <w:t>ndicat</w:t>
      </w:r>
      <w:r w:rsidR="756DB58A" w:rsidRPr="00E5336C">
        <w:t>ion</w:t>
      </w:r>
      <w:r w:rsidR="55FD07A9" w:rsidRPr="00E5336C">
        <w:t xml:space="preserve"> of Read/Unread status to each incoming correspondence.</w:t>
      </w:r>
    </w:p>
    <w:p w14:paraId="022AA8B6" w14:textId="0F18E200" w:rsidR="192FC6B3" w:rsidRPr="00E5336C" w:rsidRDefault="192FC6B3" w:rsidP="000A3EAD">
      <w:pPr>
        <w:pStyle w:val="ListParagraph"/>
        <w:numPr>
          <w:ilvl w:val="0"/>
          <w:numId w:val="11"/>
        </w:numPr>
        <w:spacing w:before="120" w:after="0"/>
        <w:ind w:left="851" w:hanging="851"/>
        <w:contextualSpacing w:val="0"/>
        <w:jc w:val="both"/>
      </w:pPr>
      <w:r w:rsidRPr="00E5336C">
        <w:t>I</w:t>
      </w:r>
      <w:r w:rsidR="55FD07A9" w:rsidRPr="00E5336C">
        <w:t>ndicat</w:t>
      </w:r>
      <w:r w:rsidR="7BA4CCF3" w:rsidRPr="00E5336C">
        <w:t>ion</w:t>
      </w:r>
      <w:r w:rsidR="55FD07A9" w:rsidRPr="00E5336C">
        <w:t xml:space="preserve"> of Handled status</w:t>
      </w:r>
      <w:r w:rsidR="00B13615" w:rsidRPr="00E5336C">
        <w:t>,</w:t>
      </w:r>
      <w:r w:rsidR="55FD07A9" w:rsidRPr="00E5336C">
        <w:t xml:space="preserve"> which means that the correspondence has been handled by a user in a receiving Administration.</w:t>
      </w:r>
    </w:p>
    <w:p w14:paraId="703BFE3B" w14:textId="09597BBC" w:rsidR="55FD07A9" w:rsidRPr="00E5336C" w:rsidRDefault="55FD07A9" w:rsidP="000A3EAD">
      <w:pPr>
        <w:pStyle w:val="ListParagraph"/>
        <w:numPr>
          <w:ilvl w:val="0"/>
          <w:numId w:val="11"/>
        </w:numPr>
        <w:spacing w:before="120" w:after="0"/>
        <w:ind w:left="851" w:hanging="851"/>
        <w:contextualSpacing w:val="0"/>
        <w:jc w:val="both"/>
      </w:pPr>
      <w:r w:rsidRPr="00E5336C">
        <w:t xml:space="preserve">Export </w:t>
      </w:r>
      <w:r w:rsidR="2FFB487B" w:rsidRPr="00E5336C">
        <w:t xml:space="preserve">of </w:t>
      </w:r>
      <w:r w:rsidRPr="00E5336C">
        <w:t>correspondence</w:t>
      </w:r>
      <w:r w:rsidR="5F639A8A" w:rsidRPr="00E5336C">
        <w:t>s</w:t>
      </w:r>
      <w:r w:rsidRPr="00E5336C">
        <w:t xml:space="preserve"> </w:t>
      </w:r>
      <w:r w:rsidR="5F639A8A" w:rsidRPr="00E5336C">
        <w:t>as</w:t>
      </w:r>
      <w:r w:rsidRPr="00E5336C">
        <w:t xml:space="preserve"> PDF file</w:t>
      </w:r>
      <w:r w:rsidR="5F7DAEEF" w:rsidRPr="00E5336C">
        <w:t>s</w:t>
      </w:r>
      <w:r w:rsidRPr="00E5336C">
        <w:t xml:space="preserve"> and </w:t>
      </w:r>
      <w:r w:rsidR="68DCEDB8" w:rsidRPr="00E5336C">
        <w:t xml:space="preserve">send as </w:t>
      </w:r>
      <w:r w:rsidRPr="00E5336C">
        <w:t>email</w:t>
      </w:r>
      <w:r w:rsidR="625AFECB" w:rsidRPr="00E5336C">
        <w:t xml:space="preserve"> attachments</w:t>
      </w:r>
      <w:r w:rsidRPr="00E5336C">
        <w:t xml:space="preserve"> to allow users to share correspondence</w:t>
      </w:r>
      <w:r w:rsidR="0FC15E05" w:rsidRPr="00E5336C">
        <w:t>s</w:t>
      </w:r>
      <w:r w:rsidRPr="00E5336C">
        <w:t xml:space="preserve"> efficiently.</w:t>
      </w:r>
    </w:p>
    <w:p w14:paraId="3C706091" w14:textId="077875E8" w:rsidR="55FD07A9" w:rsidRDefault="55FD07A9" w:rsidP="000A3EAD">
      <w:pPr>
        <w:pStyle w:val="ListParagraph"/>
        <w:numPr>
          <w:ilvl w:val="0"/>
          <w:numId w:val="11"/>
        </w:numPr>
        <w:spacing w:before="120" w:after="0"/>
        <w:ind w:left="851" w:hanging="851"/>
        <w:contextualSpacing w:val="0"/>
        <w:jc w:val="both"/>
        <w:rPr>
          <w:szCs w:val="24"/>
        </w:rPr>
      </w:pPr>
      <w:r w:rsidRPr="00E5336C">
        <w:t>Improvement of sorting and querying functions on a list of correspondence</w:t>
      </w:r>
      <w:r w:rsidRPr="4655CE1E">
        <w:rPr>
          <w:rFonts w:eastAsia="Times New Roman" w:cs="Times New Roman"/>
          <w:szCs w:val="24"/>
        </w:rPr>
        <w:t xml:space="preserve"> </w:t>
      </w:r>
    </w:p>
    <w:p w14:paraId="3738C5DD" w14:textId="3630D679" w:rsidR="55FD07A9" w:rsidRDefault="55FD07A9" w:rsidP="00D13BD6">
      <w:pPr>
        <w:jc w:val="both"/>
        <w:rPr>
          <w:szCs w:val="24"/>
          <w:lang w:val="en-US"/>
        </w:rPr>
      </w:pPr>
      <w:r w:rsidRPr="299653DA">
        <w:rPr>
          <w:szCs w:val="24"/>
          <w:lang w:val="en-US"/>
        </w:rPr>
        <w:t xml:space="preserve">The Bureau also updated e-Communications system </w:t>
      </w:r>
      <w:r w:rsidR="482F6051" w:rsidRPr="299653DA">
        <w:rPr>
          <w:szCs w:val="24"/>
          <w:lang w:val="en-US"/>
        </w:rPr>
        <w:t>i</w:t>
      </w:r>
      <w:r w:rsidRPr="299653DA">
        <w:rPr>
          <w:szCs w:val="24"/>
          <w:lang w:val="en-US"/>
        </w:rPr>
        <w:t xml:space="preserve">n February 2021 to improve the </w:t>
      </w:r>
      <w:r w:rsidR="062678FD" w:rsidRPr="299653DA">
        <w:rPr>
          <w:szCs w:val="24"/>
          <w:lang w:val="en-US"/>
        </w:rPr>
        <w:t xml:space="preserve">process for </w:t>
      </w:r>
      <w:r w:rsidRPr="299653DA">
        <w:rPr>
          <w:szCs w:val="24"/>
          <w:lang w:val="en-US"/>
        </w:rPr>
        <w:t>comment</w:t>
      </w:r>
      <w:r w:rsidR="6DEE88E2" w:rsidRPr="299653DA">
        <w:rPr>
          <w:szCs w:val="24"/>
          <w:lang w:val="en-US"/>
        </w:rPr>
        <w:t>s</w:t>
      </w:r>
      <w:r w:rsidRPr="299653DA">
        <w:rPr>
          <w:szCs w:val="24"/>
          <w:lang w:val="en-US"/>
        </w:rPr>
        <w:t xml:space="preserve"> sent from </w:t>
      </w:r>
      <w:r w:rsidR="3986467F" w:rsidRPr="299653DA">
        <w:rPr>
          <w:szCs w:val="24"/>
          <w:lang w:val="en-US"/>
        </w:rPr>
        <w:t>a</w:t>
      </w:r>
      <w:r w:rsidRPr="299653DA">
        <w:rPr>
          <w:szCs w:val="24"/>
          <w:lang w:val="en-US"/>
        </w:rPr>
        <w:t xml:space="preserve">ffected Administrations to notifying Administrations </w:t>
      </w:r>
      <w:r w:rsidR="24DDDFC3" w:rsidRPr="299653DA">
        <w:rPr>
          <w:szCs w:val="24"/>
          <w:lang w:val="en-US"/>
        </w:rPr>
        <w:t>i</w:t>
      </w:r>
      <w:r w:rsidRPr="299653DA">
        <w:rPr>
          <w:szCs w:val="24"/>
          <w:lang w:val="en-US"/>
        </w:rPr>
        <w:t xml:space="preserve">n </w:t>
      </w:r>
      <w:r w:rsidR="01DAB193" w:rsidRPr="299653DA">
        <w:rPr>
          <w:szCs w:val="24"/>
          <w:lang w:val="en-US"/>
        </w:rPr>
        <w:t xml:space="preserve">the </w:t>
      </w:r>
      <w:r w:rsidR="7B2E58E9" w:rsidRPr="299653DA">
        <w:rPr>
          <w:szCs w:val="24"/>
          <w:lang w:val="en-US"/>
        </w:rPr>
        <w:t xml:space="preserve">space services </w:t>
      </w:r>
      <w:r w:rsidRPr="299653DA">
        <w:rPr>
          <w:szCs w:val="24"/>
          <w:lang w:val="en-US"/>
        </w:rPr>
        <w:t>Planned band</w:t>
      </w:r>
      <w:r w:rsidR="1955BADC" w:rsidRPr="299653DA">
        <w:rPr>
          <w:szCs w:val="24"/>
          <w:lang w:val="en-US"/>
        </w:rPr>
        <w:t>s</w:t>
      </w:r>
      <w:r w:rsidRPr="299653DA">
        <w:rPr>
          <w:szCs w:val="24"/>
          <w:lang w:val="en-US"/>
        </w:rPr>
        <w:t xml:space="preserve"> and to introduce </w:t>
      </w:r>
      <w:r w:rsidR="6B4E09AE" w:rsidRPr="299653DA">
        <w:rPr>
          <w:szCs w:val="24"/>
          <w:lang w:val="en-US"/>
        </w:rPr>
        <w:t xml:space="preserve">a </w:t>
      </w:r>
      <w:r w:rsidRPr="299653DA">
        <w:rPr>
          <w:szCs w:val="24"/>
          <w:lang w:val="en-US"/>
        </w:rPr>
        <w:t>more user</w:t>
      </w:r>
      <w:r w:rsidR="285C1B7D" w:rsidRPr="299653DA">
        <w:rPr>
          <w:szCs w:val="24"/>
          <w:lang w:val="en-US"/>
        </w:rPr>
        <w:t>-</w:t>
      </w:r>
      <w:r w:rsidRPr="299653DA">
        <w:rPr>
          <w:szCs w:val="24"/>
          <w:lang w:val="en-US"/>
        </w:rPr>
        <w:t>friendly layout.</w:t>
      </w:r>
      <w:r w:rsidR="79BD20C0" w:rsidRPr="299653DA">
        <w:rPr>
          <w:szCs w:val="24"/>
          <w:lang w:val="en-US"/>
        </w:rPr>
        <w:t xml:space="preserve"> </w:t>
      </w:r>
      <w:r w:rsidRPr="299653DA">
        <w:rPr>
          <w:szCs w:val="24"/>
          <w:lang w:val="en-US"/>
        </w:rPr>
        <w:t xml:space="preserve">The Bureau is </w:t>
      </w:r>
      <w:r w:rsidR="4C35D789" w:rsidRPr="299653DA">
        <w:rPr>
          <w:szCs w:val="24"/>
          <w:lang w:val="en-US"/>
        </w:rPr>
        <w:t xml:space="preserve">also </w:t>
      </w:r>
      <w:r w:rsidR="242EB8F2" w:rsidRPr="299653DA">
        <w:rPr>
          <w:szCs w:val="24"/>
          <w:lang w:val="en-US"/>
        </w:rPr>
        <w:t xml:space="preserve">continuously </w:t>
      </w:r>
      <w:r w:rsidRPr="299653DA">
        <w:rPr>
          <w:szCs w:val="24"/>
          <w:lang w:val="en-US"/>
        </w:rPr>
        <w:t>improving the performance o</w:t>
      </w:r>
      <w:r w:rsidR="3C0D31E7" w:rsidRPr="299653DA">
        <w:rPr>
          <w:szCs w:val="24"/>
          <w:lang w:val="en-US"/>
        </w:rPr>
        <w:t>f</w:t>
      </w:r>
      <w:r w:rsidRPr="299653DA">
        <w:rPr>
          <w:szCs w:val="24"/>
          <w:lang w:val="en-US"/>
        </w:rPr>
        <w:t xml:space="preserve"> the system.</w:t>
      </w:r>
    </w:p>
    <w:p w14:paraId="46666516" w14:textId="468D7BD7" w:rsidR="55FD07A9" w:rsidRDefault="55FD07A9" w:rsidP="00D13BD6">
      <w:pPr>
        <w:jc w:val="both"/>
        <w:rPr>
          <w:szCs w:val="24"/>
          <w:lang w:val="en-US"/>
        </w:rPr>
      </w:pPr>
      <w:r w:rsidRPr="4655CE1E">
        <w:rPr>
          <w:szCs w:val="24"/>
          <w:lang w:val="en-US"/>
        </w:rPr>
        <w:t>This online system has been facilitating communications related to space services between Administrations and the Bureau, as well as between Administrations, despite the limitations caused by the COVID-19 outbreak and remote working environments implemented by most Administrations.</w:t>
      </w:r>
    </w:p>
    <w:p w14:paraId="52E13610" w14:textId="6E1A859F" w:rsidR="195CEB3A" w:rsidRPr="00D13BD6" w:rsidRDefault="680C24A0" w:rsidP="00D13BD6">
      <w:pPr>
        <w:pStyle w:val="Heading3"/>
        <w:rPr>
          <w:b w:val="0"/>
        </w:rPr>
      </w:pPr>
      <w:r w:rsidRPr="7FF951F4">
        <w:rPr>
          <w:lang w:val="en-US"/>
        </w:rPr>
        <w:lastRenderedPageBreak/>
        <w:t xml:space="preserve">7.3.2 </w:t>
      </w:r>
      <w:r w:rsidR="00D13BD6">
        <w:rPr>
          <w:lang w:val="en-US"/>
        </w:rPr>
        <w:tab/>
      </w:r>
      <w:r w:rsidR="03B75A68">
        <w:t xml:space="preserve">Implementation of </w:t>
      </w:r>
      <w:r w:rsidR="195CEB3A" w:rsidRPr="00D13BD6">
        <w:rPr>
          <w:lang w:val="en-US"/>
        </w:rPr>
        <w:t>Resolution 908 (Rev.WRC-15): Electronic submission of satellite network filings</w:t>
      </w:r>
    </w:p>
    <w:p w14:paraId="6618C45B" w14:textId="3F9A5B3F" w:rsidR="61106352" w:rsidRDefault="61106352" w:rsidP="00D13BD6">
      <w:pPr>
        <w:jc w:val="both"/>
        <w:rPr>
          <w:szCs w:val="24"/>
        </w:rPr>
      </w:pPr>
      <w:r w:rsidRPr="299653DA">
        <w:rPr>
          <w:szCs w:val="24"/>
          <w:lang w:val="en-US"/>
        </w:rPr>
        <w:t>In 20</w:t>
      </w:r>
      <w:r w:rsidR="2EB478C7" w:rsidRPr="299653DA">
        <w:rPr>
          <w:szCs w:val="24"/>
          <w:lang w:val="en-US"/>
        </w:rPr>
        <w:t>20, the following fun</w:t>
      </w:r>
      <w:r w:rsidR="1277C82A" w:rsidRPr="299653DA">
        <w:rPr>
          <w:szCs w:val="24"/>
          <w:lang w:val="en-US"/>
        </w:rPr>
        <w:t>ctionalities</w:t>
      </w:r>
      <w:r w:rsidR="2EB478C7" w:rsidRPr="299653DA">
        <w:rPr>
          <w:szCs w:val="24"/>
          <w:lang w:val="en-US"/>
        </w:rPr>
        <w:t xml:space="preserve"> were implemented on the e-Submission system:</w:t>
      </w:r>
      <w:r w:rsidR="2EB478C7" w:rsidRPr="299653DA">
        <w:rPr>
          <w:rFonts w:ascii="Calibri" w:eastAsia="Calibri" w:hAnsi="Calibri" w:cs="Calibri"/>
          <w:sz w:val="22"/>
          <w:szCs w:val="22"/>
          <w:lang w:val="en-US"/>
        </w:rPr>
        <w:t xml:space="preserve"> </w:t>
      </w:r>
    </w:p>
    <w:p w14:paraId="3F3F7C55" w14:textId="2792DD63" w:rsidR="2EB478C7" w:rsidRPr="00E5336C" w:rsidRDefault="2EB478C7" w:rsidP="000A3EAD">
      <w:pPr>
        <w:pStyle w:val="ListParagraph"/>
        <w:numPr>
          <w:ilvl w:val="0"/>
          <w:numId w:val="11"/>
        </w:numPr>
        <w:spacing w:before="120" w:after="0"/>
        <w:ind w:left="851" w:hanging="851"/>
        <w:contextualSpacing w:val="0"/>
        <w:jc w:val="both"/>
      </w:pPr>
      <w:r w:rsidRPr="00E5336C">
        <w:t>Publication of API comments as received</w:t>
      </w:r>
    </w:p>
    <w:p w14:paraId="683D1EAB" w14:textId="11A143D7" w:rsidR="2EB478C7" w:rsidRPr="00E5336C" w:rsidRDefault="2EB478C7" w:rsidP="000A3EAD">
      <w:pPr>
        <w:pStyle w:val="ListParagraph"/>
        <w:numPr>
          <w:ilvl w:val="0"/>
          <w:numId w:val="11"/>
        </w:numPr>
        <w:spacing w:before="120" w:after="0"/>
        <w:ind w:left="851" w:hanging="851"/>
        <w:contextualSpacing w:val="0"/>
        <w:jc w:val="both"/>
      </w:pPr>
      <w:r w:rsidRPr="00E5336C">
        <w:t>Support of SNS version 9</w:t>
      </w:r>
    </w:p>
    <w:p w14:paraId="2F801DF7" w14:textId="38C0B09E" w:rsidR="2EB478C7" w:rsidRPr="00E5336C" w:rsidRDefault="2EB478C7" w:rsidP="000A3EAD">
      <w:pPr>
        <w:pStyle w:val="ListParagraph"/>
        <w:numPr>
          <w:ilvl w:val="0"/>
          <w:numId w:val="11"/>
        </w:numPr>
        <w:spacing w:before="120" w:after="0"/>
        <w:ind w:left="851" w:hanging="851"/>
        <w:contextualSpacing w:val="0"/>
        <w:jc w:val="both"/>
      </w:pPr>
      <w:r w:rsidRPr="00E5336C">
        <w:t xml:space="preserve">Exporting the list of </w:t>
      </w:r>
      <w:proofErr w:type="gramStart"/>
      <w:r w:rsidRPr="00E5336C">
        <w:t>As-Received</w:t>
      </w:r>
      <w:proofErr w:type="gramEnd"/>
      <w:r w:rsidRPr="00E5336C">
        <w:t xml:space="preserve"> </w:t>
      </w:r>
      <w:r w:rsidR="6B11F105" w:rsidRPr="00E5336C">
        <w:t>as a</w:t>
      </w:r>
      <w:r w:rsidRPr="00E5336C">
        <w:t xml:space="preserve"> csv file</w:t>
      </w:r>
    </w:p>
    <w:p w14:paraId="133139FD" w14:textId="34DA7363" w:rsidR="17157E47" w:rsidRPr="00E5336C" w:rsidRDefault="17157E47" w:rsidP="000A3EAD">
      <w:pPr>
        <w:pStyle w:val="ListParagraph"/>
        <w:numPr>
          <w:ilvl w:val="0"/>
          <w:numId w:val="11"/>
        </w:numPr>
        <w:spacing w:before="120" w:after="0"/>
        <w:ind w:left="851" w:hanging="851"/>
        <w:contextualSpacing w:val="0"/>
        <w:jc w:val="both"/>
      </w:pPr>
      <w:r w:rsidRPr="00E5336C">
        <w:t xml:space="preserve">Upload of </w:t>
      </w:r>
      <w:r w:rsidR="2EB478C7" w:rsidRPr="00E5336C">
        <w:t xml:space="preserve">the additional data items required under the Appendix 4 </w:t>
      </w:r>
      <w:r w:rsidR="04C9783C" w:rsidRPr="00E5336C">
        <w:t xml:space="preserve">(rev. </w:t>
      </w:r>
      <w:r w:rsidR="2EB478C7" w:rsidRPr="00E5336C">
        <w:t>WRC-19</w:t>
      </w:r>
      <w:r w:rsidR="76B2758A" w:rsidRPr="00E5336C">
        <w:t>)</w:t>
      </w:r>
    </w:p>
    <w:p w14:paraId="1DB87425" w14:textId="0DFD025B" w:rsidR="2EB478C7" w:rsidRPr="00E5336C" w:rsidRDefault="2EB478C7" w:rsidP="000A3EAD">
      <w:pPr>
        <w:pStyle w:val="ListParagraph"/>
        <w:numPr>
          <w:ilvl w:val="0"/>
          <w:numId w:val="11"/>
        </w:numPr>
        <w:spacing w:before="120" w:after="0"/>
        <w:ind w:left="851" w:hanging="851"/>
        <w:contextualSpacing w:val="0"/>
        <w:jc w:val="both"/>
      </w:pPr>
      <w:r w:rsidRPr="00E5336C">
        <w:t>Publication of Resubmission of notifications as received</w:t>
      </w:r>
    </w:p>
    <w:p w14:paraId="20BAE0F5" w14:textId="17795E48" w:rsidR="2EB478C7" w:rsidRPr="00D13BD6" w:rsidRDefault="2EB478C7" w:rsidP="000A3EAD">
      <w:pPr>
        <w:pStyle w:val="ListParagraph"/>
        <w:numPr>
          <w:ilvl w:val="0"/>
          <w:numId w:val="11"/>
        </w:numPr>
        <w:spacing w:before="120" w:after="0"/>
        <w:ind w:left="851" w:hanging="851"/>
        <w:contextualSpacing w:val="0"/>
        <w:jc w:val="both"/>
        <w:rPr>
          <w:szCs w:val="24"/>
        </w:rPr>
      </w:pPr>
      <w:r w:rsidRPr="00E5336C">
        <w:t xml:space="preserve">Other improvements </w:t>
      </w:r>
      <w:r w:rsidR="136C4DDE" w:rsidRPr="00E5336C">
        <w:t xml:space="preserve">in user-friendliness of the </w:t>
      </w:r>
      <w:r w:rsidRPr="00E5336C">
        <w:t>layout</w:t>
      </w:r>
      <w:r w:rsidRPr="4655CE1E">
        <w:rPr>
          <w:rFonts w:eastAsia="Times New Roman" w:cs="Times New Roman"/>
          <w:szCs w:val="24"/>
        </w:rPr>
        <w:t xml:space="preserve"> </w:t>
      </w:r>
    </w:p>
    <w:p w14:paraId="0C20EE8E" w14:textId="2BF93008" w:rsidR="00713AFE" w:rsidRDefault="2EB478C7" w:rsidP="00713AFE">
      <w:pPr>
        <w:jc w:val="both"/>
      </w:pPr>
      <w:r>
        <w:t xml:space="preserve">The Bureau also updated e-Submission </w:t>
      </w:r>
      <w:r w:rsidR="41E7F262">
        <w:t>i</w:t>
      </w:r>
      <w:r>
        <w:t>n January 2021 to introduce a new type of submission under Resolution 35 (WRC-19)</w:t>
      </w:r>
      <w:r w:rsidRPr="34D3B18A">
        <w:rPr>
          <w:lang w:val="en-US"/>
        </w:rPr>
        <w:t>.</w:t>
      </w:r>
      <w:r w:rsidR="6E72BB04" w:rsidRPr="34D3B18A">
        <w:rPr>
          <w:lang w:val="en-US"/>
        </w:rPr>
        <w:t xml:space="preserve"> </w:t>
      </w:r>
      <w:r w:rsidRPr="34D3B18A">
        <w:rPr>
          <w:rFonts w:eastAsiaTheme="minorEastAsia" w:cstheme="minorBidi"/>
          <w:lang w:val="en-US"/>
        </w:rPr>
        <w:t xml:space="preserve">The improvements in internal processes and processing software are being implemented concurrently with the above externally visible functionality. </w:t>
      </w:r>
    </w:p>
    <w:p w14:paraId="7DEDBC64" w14:textId="24358389" w:rsidR="00713AFE" w:rsidRDefault="00713AFE" w:rsidP="00713AFE">
      <w:pPr>
        <w:jc w:val="both"/>
      </w:pPr>
      <w:r>
        <w:t>To assist in the development and testing, the Administration of Japan has made a financial contribution and has also made available a space regulatory/technical expert in Geneva. The Radiocommunication Bureau renews its thanks to the Administration of Japan for the specific assistance in the development of this project.</w:t>
      </w:r>
    </w:p>
    <w:p w14:paraId="34BA9EB3" w14:textId="6DC112A1" w:rsidR="00713AFE" w:rsidRPr="00D13BD6" w:rsidRDefault="00713AFE" w:rsidP="00D13BD6">
      <w:pPr>
        <w:pStyle w:val="Heading3"/>
      </w:pPr>
      <w:r>
        <w:t>7.3.</w:t>
      </w:r>
      <w:r w:rsidR="719EE9A9">
        <w:t>3</w:t>
      </w:r>
      <w:r>
        <w:tab/>
      </w:r>
      <w:r w:rsidR="20DFDE84" w:rsidRPr="00D13BD6">
        <w:t xml:space="preserve"> Implementation of the new FOS examination software</w:t>
      </w:r>
    </w:p>
    <w:p w14:paraId="02E5F3C1" w14:textId="1236ED2F" w:rsidR="00713AFE" w:rsidRPr="00931B39" w:rsidRDefault="24890EED" w:rsidP="00D13BD6">
      <w:pPr>
        <w:jc w:val="both"/>
      </w:pPr>
      <w:r w:rsidRPr="34D3B18A">
        <w:rPr>
          <w:lang w:val="en-US"/>
        </w:rPr>
        <w:t xml:space="preserve">The development of the new </w:t>
      </w:r>
      <w:r w:rsidR="49B89FC1" w:rsidRPr="34D3B18A">
        <w:rPr>
          <w:lang w:val="en-US"/>
        </w:rPr>
        <w:t>Frequency Overlap with respect to other Space Services (</w:t>
      </w:r>
      <w:r w:rsidRPr="34D3B18A">
        <w:rPr>
          <w:lang w:val="en-US"/>
        </w:rPr>
        <w:t>FOS</w:t>
      </w:r>
      <w:r w:rsidR="2D97A1D4" w:rsidRPr="34D3B18A">
        <w:rPr>
          <w:lang w:val="en-US"/>
        </w:rPr>
        <w:t>)</w:t>
      </w:r>
      <w:r w:rsidRPr="34D3B18A">
        <w:rPr>
          <w:lang w:val="en-US"/>
        </w:rPr>
        <w:t xml:space="preserve"> examination software was finished </w:t>
      </w:r>
      <w:r w:rsidR="3035B9C4" w:rsidRPr="34D3B18A">
        <w:rPr>
          <w:lang w:val="en-US"/>
        </w:rPr>
        <w:t>i</w:t>
      </w:r>
      <w:r w:rsidRPr="34D3B18A">
        <w:rPr>
          <w:lang w:val="en-US"/>
        </w:rPr>
        <w:t>n January 2021 and the new function has been introduced into G</w:t>
      </w:r>
      <w:r w:rsidR="0D8B2679" w:rsidRPr="34D3B18A">
        <w:rPr>
          <w:lang w:val="en-US"/>
        </w:rPr>
        <w:t>IBC</w:t>
      </w:r>
      <w:r w:rsidR="6BD91EED" w:rsidRPr="34D3B18A">
        <w:rPr>
          <w:lang w:val="en-US"/>
        </w:rPr>
        <w:t>, allowing for</w:t>
      </w:r>
      <w:r w:rsidRPr="34D3B18A">
        <w:rPr>
          <w:lang w:val="en-US"/>
        </w:rPr>
        <w:t xml:space="preserve"> identification of affected administrations for coordination of satellite networks under the following provisions:</w:t>
      </w:r>
    </w:p>
    <w:p w14:paraId="4A4C7687" w14:textId="65E567C8" w:rsidR="24890EED" w:rsidRDefault="24890EED" w:rsidP="000A3EAD">
      <w:pPr>
        <w:pStyle w:val="ListParagraph"/>
        <w:numPr>
          <w:ilvl w:val="0"/>
          <w:numId w:val="11"/>
        </w:numPr>
        <w:spacing w:before="120" w:after="0"/>
        <w:ind w:left="851" w:hanging="851"/>
        <w:contextualSpacing w:val="0"/>
        <w:jc w:val="both"/>
        <w:rPr>
          <w:rFonts w:ascii="Calibri" w:eastAsia="Calibri" w:hAnsi="Calibri" w:cs="Calibri"/>
          <w:sz w:val="22"/>
        </w:rPr>
      </w:pPr>
      <w:r w:rsidRPr="00D13BD6">
        <w:rPr>
          <w:rFonts w:eastAsia="Times New Roman" w:cs="Times New Roman"/>
          <w:szCs w:val="24"/>
          <w:lang w:eastAsia="en-US"/>
        </w:rPr>
        <w:t xml:space="preserve">Under Radio </w:t>
      </w:r>
      <w:r w:rsidRPr="00E5336C">
        <w:t>Regulations</w:t>
      </w:r>
      <w:r w:rsidRPr="00D13BD6">
        <w:rPr>
          <w:rFonts w:eastAsia="Times New Roman" w:cs="Times New Roman"/>
          <w:szCs w:val="24"/>
          <w:lang w:eastAsia="en-US"/>
        </w:rPr>
        <w:t xml:space="preserve"> (RR) No. 9.11A for satellite systems for which the requirement to coordinate is included in a footnote to the Table of Frequency Allocations as follows:</w:t>
      </w:r>
      <w:r w:rsidRPr="7FF951F4">
        <w:rPr>
          <w:rFonts w:ascii="Calibri" w:eastAsia="Calibri" w:hAnsi="Calibri" w:cs="Calibri"/>
          <w:sz w:val="22"/>
        </w:rPr>
        <w:t xml:space="preserve"> </w:t>
      </w:r>
      <w:r>
        <w:tab/>
      </w:r>
      <w:r w:rsidRPr="7FF951F4">
        <w:rPr>
          <w:rFonts w:ascii="Calibri" w:eastAsia="Calibri" w:hAnsi="Calibri" w:cs="Calibri"/>
          <w:sz w:val="22"/>
        </w:rPr>
        <w:t xml:space="preserve"> </w:t>
      </w:r>
    </w:p>
    <w:p w14:paraId="7DE335A1" w14:textId="1F15380D" w:rsidR="24890EED" w:rsidRDefault="24890EED" w:rsidP="000A3EAD">
      <w:pPr>
        <w:pStyle w:val="ListParagraph"/>
        <w:numPr>
          <w:ilvl w:val="1"/>
          <w:numId w:val="1"/>
        </w:numPr>
        <w:ind w:hanging="589"/>
        <w:rPr>
          <w:szCs w:val="24"/>
        </w:rPr>
      </w:pPr>
      <w:r w:rsidRPr="00D13BD6">
        <w:rPr>
          <w:szCs w:val="24"/>
          <w:lang w:eastAsia="en-US"/>
        </w:rPr>
        <w:t xml:space="preserve">RR No. 9.12: Non-GSO </w:t>
      </w:r>
      <w:r w:rsidR="38709FEA" w:rsidRPr="00D13BD6">
        <w:rPr>
          <w:szCs w:val="24"/>
          <w:lang w:eastAsia="en-US"/>
        </w:rPr>
        <w:t xml:space="preserve">with respect to </w:t>
      </w:r>
      <w:r w:rsidRPr="00D13BD6">
        <w:rPr>
          <w:szCs w:val="24"/>
          <w:lang w:eastAsia="en-US"/>
        </w:rPr>
        <w:t xml:space="preserve">Non-GSO. Frequency bands for which a footnote refers to RR Nos. 9.11A or 9.12. </w:t>
      </w:r>
      <w:r>
        <w:tab/>
      </w:r>
      <w:r>
        <w:tab/>
      </w:r>
    </w:p>
    <w:p w14:paraId="3B0A47D0" w14:textId="1C94D778" w:rsidR="24890EED" w:rsidRDefault="24890EED" w:rsidP="000A3EAD">
      <w:pPr>
        <w:pStyle w:val="ListParagraph"/>
        <w:numPr>
          <w:ilvl w:val="1"/>
          <w:numId w:val="1"/>
        </w:numPr>
        <w:ind w:hanging="589"/>
        <w:rPr>
          <w:szCs w:val="24"/>
        </w:rPr>
      </w:pPr>
      <w:r w:rsidRPr="00D13BD6">
        <w:rPr>
          <w:szCs w:val="24"/>
          <w:lang w:eastAsia="en-US"/>
        </w:rPr>
        <w:t xml:space="preserve">RR No. 9.12A: Non-GSO </w:t>
      </w:r>
      <w:r w:rsidR="0D58DD17" w:rsidRPr="00D13BD6">
        <w:rPr>
          <w:szCs w:val="24"/>
          <w:lang w:eastAsia="en-US"/>
        </w:rPr>
        <w:t xml:space="preserve">with respect to </w:t>
      </w:r>
      <w:r w:rsidRPr="00D13BD6">
        <w:rPr>
          <w:szCs w:val="24"/>
          <w:lang w:eastAsia="en-US"/>
        </w:rPr>
        <w:t xml:space="preserve">GSO. Frequency bands for which a footnote refers to RR Nos. 9.11A or 9.12A. </w:t>
      </w:r>
      <w:r>
        <w:tab/>
      </w:r>
      <w:r>
        <w:tab/>
      </w:r>
    </w:p>
    <w:p w14:paraId="07AFC41F" w14:textId="5EE0A131" w:rsidR="24890EED" w:rsidRDefault="24890EED" w:rsidP="000A3EAD">
      <w:pPr>
        <w:pStyle w:val="ListParagraph"/>
        <w:numPr>
          <w:ilvl w:val="1"/>
          <w:numId w:val="1"/>
        </w:numPr>
        <w:ind w:hanging="589"/>
        <w:rPr>
          <w:rFonts w:ascii="Calibri" w:eastAsia="Calibri" w:hAnsi="Calibri" w:cs="Calibri"/>
          <w:sz w:val="22"/>
        </w:rPr>
      </w:pPr>
      <w:r w:rsidRPr="00D13BD6">
        <w:rPr>
          <w:szCs w:val="24"/>
          <w:lang w:eastAsia="en-US"/>
        </w:rPr>
        <w:t xml:space="preserve">RR No. 9.13: GSO </w:t>
      </w:r>
      <w:r w:rsidR="7AE6E75A" w:rsidRPr="00D13BD6">
        <w:rPr>
          <w:szCs w:val="24"/>
          <w:lang w:eastAsia="en-US"/>
        </w:rPr>
        <w:t xml:space="preserve">with respect to </w:t>
      </w:r>
      <w:r w:rsidRPr="00D13BD6">
        <w:rPr>
          <w:szCs w:val="24"/>
          <w:lang w:eastAsia="en-US"/>
        </w:rPr>
        <w:t>Non-GSO. Frequency bands for which a footnote refers to RR Nos. 9.11A or 9.13.</w:t>
      </w:r>
      <w:r w:rsidRPr="7FF951F4">
        <w:rPr>
          <w:rFonts w:ascii="Segoe UI" w:eastAsia="Segoe UI" w:hAnsi="Segoe UI" w:cs="Segoe UI"/>
          <w:sz w:val="21"/>
          <w:szCs w:val="21"/>
        </w:rPr>
        <w:t xml:space="preserve"> </w:t>
      </w:r>
      <w:r>
        <w:tab/>
      </w:r>
    </w:p>
    <w:p w14:paraId="6884A677" w14:textId="7B7B1DE5" w:rsidR="24890EED" w:rsidRDefault="24890EED" w:rsidP="000A3EAD">
      <w:pPr>
        <w:pStyle w:val="ListParagraph"/>
        <w:numPr>
          <w:ilvl w:val="0"/>
          <w:numId w:val="11"/>
        </w:numPr>
        <w:spacing w:before="120" w:after="0"/>
        <w:ind w:left="851" w:hanging="851"/>
        <w:contextualSpacing w:val="0"/>
        <w:jc w:val="both"/>
        <w:rPr>
          <w:szCs w:val="24"/>
        </w:rPr>
      </w:pPr>
      <w:r w:rsidRPr="00D13BD6">
        <w:rPr>
          <w:szCs w:val="24"/>
          <w:lang w:eastAsia="en-US"/>
        </w:rPr>
        <w:t xml:space="preserve">Under RR No. 9.21 for any station of a service for which the requirement to seek the agreement of other administrations is included in a footnote to the Table of Frequency Allocations referring to this provision: </w:t>
      </w:r>
      <w:r>
        <w:tab/>
      </w:r>
      <w:r w:rsidRPr="00D13BD6">
        <w:rPr>
          <w:szCs w:val="24"/>
          <w:lang w:eastAsia="en-US"/>
        </w:rPr>
        <w:t xml:space="preserve"> </w:t>
      </w:r>
    </w:p>
    <w:p w14:paraId="0C9ACBBE" w14:textId="310D619A" w:rsidR="24890EED" w:rsidRDefault="24890EED" w:rsidP="000A3EAD">
      <w:pPr>
        <w:pStyle w:val="ListParagraph"/>
        <w:numPr>
          <w:ilvl w:val="1"/>
          <w:numId w:val="1"/>
        </w:numPr>
        <w:ind w:hanging="589"/>
      </w:pPr>
      <w:r w:rsidRPr="3BC82A87">
        <w:rPr>
          <w:lang w:eastAsia="en-US"/>
        </w:rPr>
        <w:t xml:space="preserve">RR No. 9.21A: Non-GSO </w:t>
      </w:r>
      <w:r w:rsidR="01B9BAB8" w:rsidRPr="3BC82A87">
        <w:rPr>
          <w:lang w:eastAsia="en-US"/>
        </w:rPr>
        <w:t>with respect to</w:t>
      </w:r>
      <w:r w:rsidRPr="3BC82A87">
        <w:rPr>
          <w:lang w:eastAsia="en-US"/>
        </w:rPr>
        <w:t xml:space="preserve"> GSO </w:t>
      </w:r>
      <w:r w:rsidR="664565AB" w:rsidRPr="3BC82A87">
        <w:rPr>
          <w:lang w:eastAsia="en-US"/>
        </w:rPr>
        <w:t>b</w:t>
      </w:r>
      <w:r w:rsidRPr="3BC82A87">
        <w:rPr>
          <w:lang w:eastAsia="en-US"/>
        </w:rPr>
        <w:t xml:space="preserve">andwidths overlap </w:t>
      </w:r>
      <w:r>
        <w:tab/>
      </w:r>
      <w:r>
        <w:tab/>
      </w:r>
    </w:p>
    <w:p w14:paraId="331E9724" w14:textId="5DC3F290" w:rsidR="24890EED" w:rsidRDefault="24890EED" w:rsidP="000A3EAD">
      <w:pPr>
        <w:pStyle w:val="ListParagraph"/>
        <w:numPr>
          <w:ilvl w:val="1"/>
          <w:numId w:val="1"/>
        </w:numPr>
        <w:ind w:hanging="589"/>
      </w:pPr>
      <w:r w:rsidRPr="3BC82A87">
        <w:rPr>
          <w:lang w:eastAsia="en-US"/>
        </w:rPr>
        <w:t xml:space="preserve">RR No. 9.21B: GSO/Non-GSO </w:t>
      </w:r>
      <w:r w:rsidR="5647CAA0" w:rsidRPr="3BC82A87">
        <w:rPr>
          <w:lang w:eastAsia="en-US"/>
        </w:rPr>
        <w:t xml:space="preserve">with respect to </w:t>
      </w:r>
      <w:r w:rsidRPr="3BC82A87">
        <w:rPr>
          <w:lang w:eastAsia="en-US"/>
        </w:rPr>
        <w:t xml:space="preserve">Non-GSO </w:t>
      </w:r>
      <w:r w:rsidR="4DA5619E" w:rsidRPr="3BC82A87">
        <w:rPr>
          <w:lang w:eastAsia="en-US"/>
        </w:rPr>
        <w:t>b</w:t>
      </w:r>
      <w:r w:rsidRPr="3BC82A87">
        <w:rPr>
          <w:lang w:eastAsia="en-US"/>
        </w:rPr>
        <w:t>andwidths overlap</w:t>
      </w:r>
    </w:p>
    <w:p w14:paraId="1FB1477B" w14:textId="74334948" w:rsidR="54B9E5EC" w:rsidRDefault="54B9E5EC" w:rsidP="006B3E51">
      <w:pPr>
        <w:pStyle w:val="ListParagraph"/>
        <w:jc w:val="both"/>
        <w:rPr>
          <w:szCs w:val="24"/>
        </w:rPr>
      </w:pPr>
    </w:p>
    <w:p w14:paraId="1EF71257" w14:textId="4399C309" w:rsidR="00713AFE" w:rsidRPr="006E13E6" w:rsidRDefault="00713AFE" w:rsidP="00713AFE">
      <w:pPr>
        <w:pStyle w:val="Heading2"/>
      </w:pPr>
      <w:r w:rsidRPr="006E13E6">
        <w:lastRenderedPageBreak/>
        <w:t>7.4</w:t>
      </w:r>
      <w:r w:rsidRPr="006E13E6">
        <w:tab/>
      </w:r>
      <w:r w:rsidRPr="00772F51">
        <w:t>Other BR</w:t>
      </w:r>
      <w:r w:rsidRPr="00793E06">
        <w:rPr>
          <w:lang w:val="en-US"/>
        </w:rPr>
        <w:t xml:space="preserve"> </w:t>
      </w:r>
      <w:r w:rsidRPr="006E13E6">
        <w:rPr>
          <w:lang w:val="en-US"/>
        </w:rPr>
        <w:t>software and tools</w:t>
      </w:r>
    </w:p>
    <w:p w14:paraId="07875D1D" w14:textId="77777777" w:rsidR="00713AFE" w:rsidRPr="006E13E6" w:rsidRDefault="00713AFE" w:rsidP="00713AFE">
      <w:pPr>
        <w:pStyle w:val="Heading3"/>
      </w:pPr>
      <w:r w:rsidRPr="00793E06">
        <w:rPr>
          <w:lang w:val="en-US"/>
        </w:rPr>
        <w:t>7.4.1</w:t>
      </w:r>
      <w:r w:rsidRPr="006E13E6">
        <w:tab/>
        <w:t>Radio Regulations tools</w:t>
      </w:r>
    </w:p>
    <w:p w14:paraId="6F0BDC47" w14:textId="77777777" w:rsidR="00713AFE" w:rsidRPr="006E13E6" w:rsidRDefault="00713AFE" w:rsidP="00713AFE">
      <w:pPr>
        <w:jc w:val="both"/>
      </w:pPr>
      <w:r w:rsidRPr="006E13E6">
        <w:t>The Bureau continues to update and maintain software tools to facilitate the use and analysis of the Radio Regulations</w:t>
      </w:r>
      <w:r>
        <w:t xml:space="preserve"> (RR)</w:t>
      </w:r>
      <w:r w:rsidRPr="006E13E6">
        <w:t>:</w:t>
      </w:r>
    </w:p>
    <w:p w14:paraId="53E721DE" w14:textId="77777777" w:rsidR="00E5336C" w:rsidRPr="006E13E6" w:rsidRDefault="00E5336C" w:rsidP="00713AFE">
      <w:pPr>
        <w:jc w:val="both"/>
      </w:pPr>
    </w:p>
    <w:p w14:paraId="3857C8FA" w14:textId="09C4D2BC" w:rsidR="00713AFE" w:rsidRDefault="3ECFDF39" w:rsidP="000A3EAD">
      <w:pPr>
        <w:pStyle w:val="ListParagraph"/>
        <w:numPr>
          <w:ilvl w:val="0"/>
          <w:numId w:val="3"/>
        </w:numPr>
        <w:ind w:hanging="720"/>
        <w:jc w:val="both"/>
        <w:rPr>
          <w:rFonts w:eastAsia="Times New Roman" w:cs="Times New Roman"/>
          <w:szCs w:val="24"/>
        </w:rPr>
      </w:pPr>
      <w:r w:rsidRPr="490E6E5F">
        <w:rPr>
          <w:rFonts w:eastAsia="Times New Roman" w:cs="Times New Roman"/>
          <w:szCs w:val="24"/>
        </w:rPr>
        <w:t xml:space="preserve"> The Radio Regulation Navigation Tool, which was released during Q</w:t>
      </w:r>
      <w:r w:rsidR="5F7CDB59" w:rsidRPr="490E6E5F">
        <w:rPr>
          <w:rFonts w:eastAsia="Times New Roman" w:cs="Times New Roman"/>
          <w:szCs w:val="24"/>
        </w:rPr>
        <w:t>2</w:t>
      </w:r>
      <w:r w:rsidRPr="490E6E5F">
        <w:rPr>
          <w:rFonts w:eastAsia="Times New Roman" w:cs="Times New Roman"/>
          <w:szCs w:val="24"/>
        </w:rPr>
        <w:t xml:space="preserve">-2017, is based on the active version of the RR and </w:t>
      </w:r>
      <w:r w:rsidR="4693C36F" w:rsidRPr="490E6E5F">
        <w:rPr>
          <w:rFonts w:eastAsia="Times New Roman" w:cs="Times New Roman"/>
          <w:szCs w:val="24"/>
        </w:rPr>
        <w:t xml:space="preserve">ITU-R </w:t>
      </w:r>
      <w:r w:rsidRPr="490E6E5F">
        <w:rPr>
          <w:rFonts w:eastAsia="Times New Roman" w:cs="Times New Roman"/>
          <w:szCs w:val="24"/>
        </w:rPr>
        <w:t>Recommendations. An updated version is under preparation to incorporate WRC-19 outcomes and to align with the most recent corpus of texts (RR 2020, ITU-</w:t>
      </w:r>
      <w:r w:rsidR="6417D858" w:rsidRPr="490E6E5F">
        <w:rPr>
          <w:rFonts w:eastAsia="Times New Roman" w:cs="Times New Roman"/>
          <w:szCs w:val="24"/>
        </w:rPr>
        <w:t xml:space="preserve">R </w:t>
      </w:r>
      <w:r w:rsidRPr="490E6E5F">
        <w:rPr>
          <w:rFonts w:eastAsia="Times New Roman" w:cs="Times New Roman"/>
          <w:szCs w:val="24"/>
        </w:rPr>
        <w:t xml:space="preserve">Recommendations, Rules of Procedure, etc.). This is expected to be released during the second quarter </w:t>
      </w:r>
      <w:r w:rsidR="00FA0D66">
        <w:rPr>
          <w:rFonts w:eastAsia="Times New Roman" w:cs="Times New Roman"/>
          <w:szCs w:val="24"/>
        </w:rPr>
        <w:t xml:space="preserve">of </w:t>
      </w:r>
      <w:r w:rsidRPr="490E6E5F">
        <w:rPr>
          <w:rFonts w:eastAsia="Times New Roman" w:cs="Times New Roman"/>
          <w:szCs w:val="24"/>
        </w:rPr>
        <w:t xml:space="preserve">2021. Yearly free updates will be released to incorporate the latest versions of the </w:t>
      </w:r>
      <w:proofErr w:type="spellStart"/>
      <w:r w:rsidRPr="490E6E5F">
        <w:rPr>
          <w:rFonts w:eastAsia="Times New Roman" w:cs="Times New Roman"/>
          <w:szCs w:val="24"/>
        </w:rPr>
        <w:t>RoP</w:t>
      </w:r>
      <w:proofErr w:type="spellEnd"/>
      <w:r w:rsidRPr="490E6E5F">
        <w:rPr>
          <w:rFonts w:eastAsia="Times New Roman" w:cs="Times New Roman"/>
          <w:szCs w:val="24"/>
        </w:rPr>
        <w:t xml:space="preserve"> when available.</w:t>
      </w:r>
    </w:p>
    <w:p w14:paraId="72AC95B4" w14:textId="77777777" w:rsidR="00E5336C" w:rsidRDefault="00E5336C" w:rsidP="00E5336C">
      <w:pPr>
        <w:pStyle w:val="ListParagraph"/>
        <w:jc w:val="both"/>
        <w:rPr>
          <w:rFonts w:eastAsia="Times New Roman" w:cs="Times New Roman"/>
          <w:szCs w:val="24"/>
        </w:rPr>
      </w:pPr>
    </w:p>
    <w:p w14:paraId="25AB0D1A" w14:textId="19ADD375" w:rsidR="00713AFE" w:rsidRDefault="0FF3A977" w:rsidP="000A3EAD">
      <w:pPr>
        <w:pStyle w:val="ListParagraph"/>
        <w:numPr>
          <w:ilvl w:val="0"/>
          <w:numId w:val="3"/>
        </w:numPr>
        <w:ind w:hanging="720"/>
        <w:jc w:val="both"/>
        <w:rPr>
          <w:rFonts w:eastAsia="Times New Roman" w:cs="Times New Roman"/>
          <w:szCs w:val="24"/>
        </w:rPr>
      </w:pPr>
      <w:r w:rsidRPr="78F454DF">
        <w:rPr>
          <w:rFonts w:eastAsia="Times New Roman" w:cs="Times New Roman"/>
          <w:szCs w:val="24"/>
        </w:rPr>
        <w:t xml:space="preserve"> The software tool to conduct detailed search and analysis of the Table of Frequency Allocations in Article 5 of the Radio Regulations, enables filtering and reformatting by frequency range, service, category of service, footnote, country, etc. The tool has been updated based on the outcomes of the WRC-19 and the RR 2020 Edition to introduce the changes into the frequency allocations, country footnotes</w:t>
      </w:r>
      <w:r w:rsidR="00F35935">
        <w:rPr>
          <w:rFonts w:eastAsia="Times New Roman" w:cs="Times New Roman"/>
          <w:szCs w:val="24"/>
        </w:rPr>
        <w:t>,</w:t>
      </w:r>
      <w:r w:rsidRPr="78F454DF">
        <w:rPr>
          <w:rFonts w:eastAsia="Times New Roman" w:cs="Times New Roman"/>
          <w:szCs w:val="24"/>
        </w:rPr>
        <w:t xml:space="preserve"> and related references to associated Resolutions and Recommendations. The updated package now also includes links to the relevant ITU-R Recommendations referenced in RR5, as well as the relevant Rules of Procedure. The package is now also equipped with a utility to extract the National Table of Frequency Allocations for a specific country as it results from combining the various provisions of RR5. The tool was demonstrated during WRS-20 and is now available for purchase at the ITU sales website. All software and data updates will be provided regularly and freely to the subscribers, until the WRC-23.</w:t>
      </w:r>
    </w:p>
    <w:p w14:paraId="35390033" w14:textId="77777777" w:rsidR="00713AFE" w:rsidRPr="00DC20DE" w:rsidRDefault="00713AFE" w:rsidP="00713AFE">
      <w:pPr>
        <w:pStyle w:val="Heading3"/>
      </w:pPr>
      <w:r w:rsidRPr="00DC20DE">
        <w:rPr>
          <w:lang w:val="en-US"/>
        </w:rPr>
        <w:t>7.4.2</w:t>
      </w:r>
      <w:r w:rsidRPr="00DC20DE">
        <w:rPr>
          <w:lang w:val="en-US"/>
        </w:rPr>
        <w:tab/>
      </w:r>
      <w:r w:rsidRPr="00DC20DE">
        <w:t xml:space="preserve">Further enhancement of web tools </w:t>
      </w:r>
    </w:p>
    <w:p w14:paraId="5F6DB50B" w14:textId="7CA4CC3D" w:rsidR="00713AFE" w:rsidRDefault="28B2D7AB" w:rsidP="52976F2E">
      <w:pPr>
        <w:jc w:val="both"/>
        <w:rPr>
          <w:szCs w:val="24"/>
        </w:rPr>
      </w:pPr>
      <w:r w:rsidRPr="52976F2E">
        <w:rPr>
          <w:szCs w:val="24"/>
        </w:rPr>
        <w:t xml:space="preserve">The online tools </w:t>
      </w:r>
      <w:proofErr w:type="spellStart"/>
      <w:r w:rsidRPr="52976F2E">
        <w:rPr>
          <w:szCs w:val="24"/>
        </w:rPr>
        <w:t>eBroadcasting</w:t>
      </w:r>
      <w:proofErr w:type="spellEnd"/>
      <w:r w:rsidRPr="52976F2E">
        <w:rPr>
          <w:szCs w:val="24"/>
        </w:rPr>
        <w:t xml:space="preserve"> (former eBCD2.0) and </w:t>
      </w:r>
      <w:proofErr w:type="spellStart"/>
      <w:r w:rsidRPr="52976F2E">
        <w:rPr>
          <w:szCs w:val="24"/>
        </w:rPr>
        <w:t>eMIFR</w:t>
      </w:r>
      <w:proofErr w:type="spellEnd"/>
      <w:r w:rsidR="144E44EA" w:rsidRPr="52976F2E">
        <w:rPr>
          <w:szCs w:val="24"/>
        </w:rPr>
        <w:t xml:space="preserve"> </w:t>
      </w:r>
      <w:r w:rsidRPr="52976F2E">
        <w:rPr>
          <w:szCs w:val="24"/>
        </w:rPr>
        <w:t>were integrated in</w:t>
      </w:r>
      <w:r w:rsidR="009F3AC9">
        <w:rPr>
          <w:szCs w:val="24"/>
        </w:rPr>
        <w:t>to</w:t>
      </w:r>
      <w:r w:rsidRPr="52976F2E">
        <w:rPr>
          <w:szCs w:val="24"/>
        </w:rPr>
        <w:t xml:space="preserve"> </w:t>
      </w:r>
      <w:r w:rsidR="009F3AC9">
        <w:rPr>
          <w:szCs w:val="24"/>
        </w:rPr>
        <w:t xml:space="preserve">the </w:t>
      </w:r>
      <w:proofErr w:type="spellStart"/>
      <w:r w:rsidRPr="52976F2E">
        <w:rPr>
          <w:szCs w:val="24"/>
        </w:rPr>
        <w:t>eTerrestrial</w:t>
      </w:r>
      <w:proofErr w:type="spellEnd"/>
      <w:r w:rsidRPr="52976F2E">
        <w:rPr>
          <w:szCs w:val="24"/>
        </w:rPr>
        <w:t xml:space="preserve"> portal, implemented with </w:t>
      </w:r>
      <w:r w:rsidR="009F3AC9">
        <w:rPr>
          <w:szCs w:val="24"/>
        </w:rPr>
        <w:t xml:space="preserve">the </w:t>
      </w:r>
      <w:r w:rsidRPr="52976F2E">
        <w:rPr>
          <w:szCs w:val="24"/>
        </w:rPr>
        <w:t xml:space="preserve">latest web technologies, and put in production in December 2020.  The tools to support the GE84 optimization process were also developed and deployed at the same time. The Online Validation (rebranded </w:t>
      </w:r>
      <w:r w:rsidR="6757BCDC" w:rsidRPr="52976F2E">
        <w:rPr>
          <w:szCs w:val="24"/>
        </w:rPr>
        <w:t xml:space="preserve">to </w:t>
      </w:r>
      <w:proofErr w:type="spellStart"/>
      <w:r w:rsidRPr="52976F2E">
        <w:rPr>
          <w:szCs w:val="24"/>
        </w:rPr>
        <w:t>eValidation</w:t>
      </w:r>
      <w:proofErr w:type="spellEnd"/>
      <w:r w:rsidRPr="52976F2E">
        <w:rPr>
          <w:szCs w:val="24"/>
        </w:rPr>
        <w:t xml:space="preserve">) will be integrated in the first semester of 2021. Maps are implemented using the open source </w:t>
      </w:r>
      <w:proofErr w:type="spellStart"/>
      <w:r w:rsidRPr="52976F2E">
        <w:rPr>
          <w:szCs w:val="24"/>
        </w:rPr>
        <w:t>OpenLayers</w:t>
      </w:r>
      <w:proofErr w:type="spellEnd"/>
      <w:r w:rsidRPr="52976F2E">
        <w:rPr>
          <w:szCs w:val="24"/>
        </w:rPr>
        <w:t xml:space="preserve"> library, chosen by the BR Task Force (see 7.4.4)</w:t>
      </w:r>
    </w:p>
    <w:p w14:paraId="618915DA" w14:textId="77777777" w:rsidR="00713AFE" w:rsidRPr="00193860" w:rsidRDefault="00713AFE" w:rsidP="00713AFE">
      <w:pPr>
        <w:pStyle w:val="Heading3"/>
        <w:rPr>
          <w:lang w:val="en-US"/>
        </w:rPr>
      </w:pPr>
      <w:r w:rsidRPr="52976F2E">
        <w:rPr>
          <w:lang w:val="en-US"/>
        </w:rPr>
        <w:t>7.4.3</w:t>
      </w:r>
      <w:r>
        <w:tab/>
      </w:r>
      <w:r w:rsidRPr="52976F2E">
        <w:rPr>
          <w:lang w:val="en-US"/>
        </w:rPr>
        <w:t xml:space="preserve">Compatibility analysis software for FM sound broadcasting – GE84 optimization </w:t>
      </w:r>
    </w:p>
    <w:p w14:paraId="51958209" w14:textId="5A8DEB04" w:rsidR="00713AFE" w:rsidRPr="006B3E51" w:rsidRDefault="4470FB9C" w:rsidP="006B3E51">
      <w:pPr>
        <w:jc w:val="both"/>
      </w:pPr>
      <w:r>
        <w:t xml:space="preserve">The BR deployed in 2020 an online tool for the GE84 Plan (FM broadcasting) optimization in Africa in the band 87.5-108 MHz: the GE84 Optimization tool. This tool performs compatibility calculations based on the GE84 Agreement and evaluates the incompatibilities for all the frequencies in the GE84 band. The aim is to identify possible new channels based on </w:t>
      </w:r>
      <w:r w:rsidR="559B269E">
        <w:t>the</w:t>
      </w:r>
      <w:r>
        <w:t xml:space="preserve"> calculations </w:t>
      </w:r>
      <w:r w:rsidR="243236DF">
        <w:t xml:space="preserve">of </w:t>
      </w:r>
      <w:r>
        <w:t xml:space="preserve">interference received and generated with respect to the GE84 Plan entries and any other frequency requirements which may be submitted to the analysis. This tool will serve as the basis for optimizing the FM band in Africa. It has been made available to all administrations party to the GE84 Agreement. </w:t>
      </w:r>
    </w:p>
    <w:p w14:paraId="6FAA68C3" w14:textId="77777777" w:rsidR="00713AFE" w:rsidRPr="004D5B10" w:rsidRDefault="00713AFE" w:rsidP="00713AFE">
      <w:pPr>
        <w:pStyle w:val="Heading3"/>
        <w:rPr>
          <w:lang w:val="en-US"/>
        </w:rPr>
      </w:pPr>
      <w:r w:rsidRPr="004D5B10">
        <w:t>7.4.4</w:t>
      </w:r>
      <w:r w:rsidRPr="004D5B10">
        <w:tab/>
      </w:r>
      <w:r w:rsidRPr="004D5B10">
        <w:rPr>
          <w:lang w:val="en-US" w:eastAsia="zh-CN"/>
        </w:rPr>
        <w:t xml:space="preserve">BR </w:t>
      </w:r>
      <w:r w:rsidRPr="004D5B10">
        <w:rPr>
          <w:shd w:val="clear" w:color="auto" w:fill="FFFFFF"/>
        </w:rPr>
        <w:t>Geographic Information Systems</w:t>
      </w:r>
    </w:p>
    <w:p w14:paraId="1942DB60" w14:textId="19027967" w:rsidR="008C51AF" w:rsidRPr="00E5336C" w:rsidRDefault="5C85EF24" w:rsidP="008C51AF">
      <w:pPr>
        <w:jc w:val="both"/>
      </w:pPr>
      <w:r w:rsidRPr="52976F2E">
        <w:rPr>
          <w:szCs w:val="24"/>
        </w:rPr>
        <w:t xml:space="preserve">The BR GIS Task Force, comprised of staff from all BR departments, has been established to harmonize GIS activities in the BR. An initial activity of the Task Force was to implement the BR </w:t>
      </w:r>
      <w:r w:rsidRPr="52976F2E">
        <w:rPr>
          <w:szCs w:val="24"/>
        </w:rPr>
        <w:lastRenderedPageBreak/>
        <w:t xml:space="preserve">GIS Platform using </w:t>
      </w:r>
      <w:proofErr w:type="spellStart"/>
      <w:r w:rsidRPr="52976F2E">
        <w:rPr>
          <w:szCs w:val="24"/>
        </w:rPr>
        <w:t>GeoServer</w:t>
      </w:r>
      <w:proofErr w:type="spellEnd"/>
      <w:r w:rsidRPr="52976F2E">
        <w:rPr>
          <w:szCs w:val="24"/>
        </w:rPr>
        <w:t xml:space="preserve">. Its current activity is to transfer all relevant radio-meteorological data (geospatial data catalogue) and other relevant datasets currently in the IDWM to the server. This data will be made available to users via Open Geospatial Consortium (OGC) compliant web services. The BR is implementing GIS functionalities in its web tools using the open source </w:t>
      </w:r>
      <w:proofErr w:type="spellStart"/>
      <w:r w:rsidRPr="52976F2E">
        <w:rPr>
          <w:szCs w:val="24"/>
        </w:rPr>
        <w:t>OpenLayers</w:t>
      </w:r>
      <w:proofErr w:type="spellEnd"/>
      <w:r w:rsidRPr="52976F2E">
        <w:rPr>
          <w:szCs w:val="24"/>
        </w:rPr>
        <w:t xml:space="preserve"> library. The ITU is a member of the UN Geospatial Network, a coalition of entities within the UN system that is tasked to strengthen the coordination and coherence of geospatial information management within the United Nations system. The BR participates in the Steering Committee of this </w:t>
      </w:r>
      <w:r w:rsidR="00A51B6F">
        <w:rPr>
          <w:szCs w:val="24"/>
        </w:rPr>
        <w:t>n</w:t>
      </w:r>
      <w:r w:rsidR="00A51B6F" w:rsidRPr="52976F2E">
        <w:rPr>
          <w:szCs w:val="24"/>
        </w:rPr>
        <w:t>etwork</w:t>
      </w:r>
      <w:r w:rsidRPr="52976F2E">
        <w:rPr>
          <w:szCs w:val="24"/>
        </w:rPr>
        <w:t xml:space="preserve">, co-chairs the Innovation &amp; </w:t>
      </w:r>
      <w:r w:rsidR="002573FD">
        <w:rPr>
          <w:szCs w:val="24"/>
        </w:rPr>
        <w:t>T</w:t>
      </w:r>
      <w:r w:rsidR="002573FD" w:rsidRPr="52976F2E">
        <w:rPr>
          <w:szCs w:val="24"/>
        </w:rPr>
        <w:t>echnology</w:t>
      </w:r>
      <w:r w:rsidRPr="52976F2E">
        <w:rPr>
          <w:szCs w:val="24"/>
        </w:rPr>
        <w:t xml:space="preserve"> Task Force of this </w:t>
      </w:r>
      <w:r w:rsidR="00A51B6F">
        <w:rPr>
          <w:szCs w:val="24"/>
        </w:rPr>
        <w:t>n</w:t>
      </w:r>
      <w:r w:rsidR="00A51B6F" w:rsidRPr="52976F2E">
        <w:rPr>
          <w:szCs w:val="24"/>
        </w:rPr>
        <w:t>etwork</w:t>
      </w:r>
      <w:r w:rsidRPr="52976F2E">
        <w:rPr>
          <w:szCs w:val="24"/>
        </w:rPr>
        <w:t xml:space="preserve"> and leads the ITU Inter-Sectorial Task Force on Geospatial Information Management. </w:t>
      </w:r>
    </w:p>
    <w:p w14:paraId="26B2F8FA" w14:textId="6E9A8760" w:rsidR="00DE555A" w:rsidRDefault="00DE555A" w:rsidP="00DE555A">
      <w:pPr>
        <w:pStyle w:val="Heading4"/>
      </w:pPr>
      <w:r>
        <w:t>7.5</w:t>
      </w:r>
      <w:r w:rsidR="00E04FC3">
        <w:tab/>
      </w:r>
      <w:r>
        <w:t>Business Continuity and Disaster Recovery (both Space and Terrestrial Services)</w:t>
      </w:r>
    </w:p>
    <w:p w14:paraId="4C73F24F" w14:textId="59732818" w:rsidR="3652E00A" w:rsidRPr="006B3E51" w:rsidRDefault="60CA65F7" w:rsidP="3652E00A">
      <w:pPr>
        <w:jc w:val="both"/>
      </w:pPr>
      <w:r>
        <w:t>W</w:t>
      </w:r>
      <w:r w:rsidR="00DE555A">
        <w:t xml:space="preserve">ork on further </w:t>
      </w:r>
      <w:r w:rsidR="00DE555A" w:rsidRPr="00F75A4C">
        <w:t>strengthening the ITU Risk Management Framework</w:t>
      </w:r>
      <w:r w:rsidR="00DE555A">
        <w:t xml:space="preserve"> </w:t>
      </w:r>
      <w:r w:rsidR="7998DF39">
        <w:t>continued</w:t>
      </w:r>
      <w:r w:rsidR="00DE555A">
        <w:t xml:space="preserve"> in 20</w:t>
      </w:r>
      <w:r w:rsidR="34708540">
        <w:t>20</w:t>
      </w:r>
      <w:r w:rsidR="10851105">
        <w:t xml:space="preserve"> and </w:t>
      </w:r>
      <w:r w:rsidR="5D2481EC">
        <w:t xml:space="preserve">the </w:t>
      </w:r>
      <w:r w:rsidR="10851105">
        <w:t>first quarter of 2021</w:t>
      </w:r>
      <w:r w:rsidR="00DE555A">
        <w:t xml:space="preserve">, with the </w:t>
      </w:r>
      <w:r w:rsidR="0C9F08CF">
        <w:t xml:space="preserve">BR's full participation in </w:t>
      </w:r>
      <w:r w:rsidR="00DE555A">
        <w:t>the Inter-Sectoral Task Force Working Group on Risk Management</w:t>
      </w:r>
      <w:r w:rsidR="00A267A1">
        <w:t>.</w:t>
      </w:r>
      <w:r w:rsidR="0D49FB73">
        <w:t xml:space="preserve"> </w:t>
      </w:r>
      <w:r w:rsidR="00A267A1">
        <w:t>T</w:t>
      </w:r>
      <w:r w:rsidR="0D49FB73">
        <w:t xml:space="preserve">o meet the schedule presented to the 1st VCC in document </w:t>
      </w:r>
      <w:hyperlink r:id="rId34" w:history="1">
        <w:r w:rsidR="0D49FB73" w:rsidRPr="6CDD9285">
          <w:rPr>
            <w:rStyle w:val="Hyperlink"/>
          </w:rPr>
          <w:t>61</w:t>
        </w:r>
      </w:hyperlink>
      <w:r w:rsidR="007C4F59">
        <w:rPr>
          <w:rStyle w:val="Hyperlink"/>
        </w:rPr>
        <w:t>,</w:t>
      </w:r>
      <w:r w:rsidR="75EEDC32">
        <w:t xml:space="preserve"> BR management attended workshops and conducted brainstorming sessions in order to </w:t>
      </w:r>
      <w:r w:rsidR="65DE0DCF">
        <w:t>add</w:t>
      </w:r>
      <w:r w:rsidR="75EEDC32">
        <w:t xml:space="preserve"> </w:t>
      </w:r>
      <w:r w:rsidR="78C9F70D">
        <w:t>to</w:t>
      </w:r>
      <w:r w:rsidR="75EEDC32">
        <w:t xml:space="preserve"> the ITU risk register </w:t>
      </w:r>
      <w:r w:rsidR="0B53DEEF">
        <w:t xml:space="preserve">entries </w:t>
      </w:r>
      <w:r w:rsidR="75EEDC32">
        <w:t>from the ITU-R</w:t>
      </w:r>
      <w:r w:rsidR="000D39D7">
        <w:t>’s</w:t>
      </w:r>
      <w:r w:rsidR="75EEDC32">
        <w:t xml:space="preserve"> and BR</w:t>
      </w:r>
      <w:r w:rsidR="006D79CF">
        <w:t>’s</w:t>
      </w:r>
      <w:r w:rsidR="75EEDC32">
        <w:t xml:space="preserve"> </w:t>
      </w:r>
      <w:r w:rsidR="1B62B3F4">
        <w:t>unique perspective and context.</w:t>
      </w:r>
      <w:r w:rsidR="75A74F0B">
        <w:t xml:space="preserve"> </w:t>
      </w:r>
    </w:p>
    <w:p w14:paraId="28891177" w14:textId="7CDC0B87" w:rsidR="00713AFE" w:rsidRPr="00726304" w:rsidRDefault="00713AFE" w:rsidP="00713AFE">
      <w:pPr>
        <w:pStyle w:val="Heading1"/>
        <w:rPr>
          <w:i/>
          <w:iCs/>
        </w:rPr>
      </w:pPr>
      <w:bookmarkStart w:id="17" w:name="_Toc446060776"/>
      <w:r w:rsidRPr="00F724B2">
        <w:t>8</w:t>
      </w:r>
      <w:r w:rsidRPr="00F724B2">
        <w:tab/>
      </w:r>
      <w:bookmarkEnd w:id="17"/>
      <w:r>
        <w:t>Outreach</w:t>
      </w:r>
    </w:p>
    <w:p w14:paraId="2D6FBB07" w14:textId="59C9D9CA" w:rsidR="00713AFE" w:rsidRPr="00CA7306" w:rsidRDefault="00713AFE" w:rsidP="00713AFE">
      <w:pPr>
        <w:jc w:val="both"/>
      </w:pPr>
      <w:r w:rsidRPr="00CA7306">
        <w:t xml:space="preserve">Outreach activities include </w:t>
      </w:r>
      <w:r>
        <w:t>dissemination of</w:t>
      </w:r>
      <w:r w:rsidRPr="00CA7306">
        <w:t xml:space="preserve"> information and assistance to membership, the publication of ITU-R outputs</w:t>
      </w:r>
      <w:r>
        <w:t>,</w:t>
      </w:r>
      <w:r w:rsidRPr="00CA7306">
        <w:t xml:space="preserve"> the organization of, and the participation in, seminars and workshops, a</w:t>
      </w:r>
      <w:r>
        <w:t>s well as</w:t>
      </w:r>
      <w:r w:rsidRPr="00CA7306">
        <w:t xml:space="preserve"> the development and maintenance of communication and promotion tools. The purpose of these activities is to ensure that the outputs produced by the ITU-R Sector (regulations, recommendations, reports</w:t>
      </w:r>
      <w:r w:rsidR="00193F54">
        <w:t>,</w:t>
      </w:r>
      <w:r w:rsidRPr="00CA7306">
        <w:t xml:space="preserve"> and handbooks) are disseminated worldwide </w:t>
      </w:r>
      <w:r>
        <w:t>so</w:t>
      </w:r>
      <w:r w:rsidRPr="00CA7306">
        <w:t xml:space="preserve"> that they </w:t>
      </w:r>
      <w:r>
        <w:t xml:space="preserve">may </w:t>
      </w:r>
      <w:r w:rsidRPr="00CA7306">
        <w:t xml:space="preserve">form the basis for the formulation of </w:t>
      </w:r>
      <w:r>
        <w:t xml:space="preserve">national and regional policies and decisions </w:t>
      </w:r>
      <w:r w:rsidRPr="00CA7306">
        <w:t xml:space="preserve">for the use of </w:t>
      </w:r>
      <w:r>
        <w:t xml:space="preserve">the </w:t>
      </w:r>
      <w:r w:rsidRPr="00CA7306">
        <w:t>radio</w:t>
      </w:r>
      <w:r>
        <w:t xml:space="preserve"> spectrum</w:t>
      </w:r>
      <w:r w:rsidRPr="00CA7306">
        <w:t>. To carry out these activities, the BR relies on close cooperation with the other Bureaux and Sectors, the ITU regional and area offices</w:t>
      </w:r>
      <w:r w:rsidR="00193F54">
        <w:t>,</w:t>
      </w:r>
      <w:r w:rsidRPr="00CA7306">
        <w:t xml:space="preserve"> and the relevant international organisations and national authorities.</w:t>
      </w:r>
    </w:p>
    <w:p w14:paraId="3266C93F" w14:textId="20B34364" w:rsidR="00713AFE" w:rsidRDefault="00713AFE" w:rsidP="00713AFE">
      <w:pPr>
        <w:pStyle w:val="Heading2"/>
      </w:pPr>
      <w:bookmarkStart w:id="18" w:name="_Toc418163376"/>
      <w:bookmarkStart w:id="19" w:name="_Toc418232294"/>
      <w:bookmarkStart w:id="20" w:name="_Toc424047595"/>
      <w:bookmarkStart w:id="21" w:name="_Toc446060777"/>
      <w:r w:rsidRPr="006C5A1D">
        <w:t>8.1</w:t>
      </w:r>
      <w:r w:rsidRPr="006C5A1D">
        <w:tab/>
        <w:t>Publications</w:t>
      </w:r>
      <w:bookmarkEnd w:id="18"/>
      <w:bookmarkEnd w:id="19"/>
      <w:bookmarkEnd w:id="20"/>
      <w:bookmarkEnd w:id="21"/>
    </w:p>
    <w:p w14:paraId="2C43373A" w14:textId="77777777" w:rsidR="00713AFE" w:rsidRPr="00C809A1" w:rsidRDefault="00713AFE" w:rsidP="00713AFE">
      <w:pPr>
        <w:pStyle w:val="Heading3"/>
        <w:rPr>
          <w:highlight w:val="yellow"/>
        </w:rPr>
      </w:pPr>
      <w:bookmarkStart w:id="22" w:name="_Toc424047596"/>
      <w:bookmarkStart w:id="23" w:name="_Toc446060778"/>
      <w:r>
        <w:t>8</w:t>
      </w:r>
      <w:r w:rsidRPr="003D2EA6">
        <w:t>.1</w:t>
      </w:r>
      <w:r>
        <w:t>.1</w:t>
      </w:r>
      <w:r w:rsidRPr="003D2EA6">
        <w:tab/>
        <w:t>Regulatory publications</w:t>
      </w:r>
      <w:bookmarkEnd w:id="22"/>
      <w:bookmarkEnd w:id="23"/>
    </w:p>
    <w:p w14:paraId="29AA6E89" w14:textId="1D55A947" w:rsidR="00713AFE" w:rsidRPr="007B69B3" w:rsidRDefault="00713AFE" w:rsidP="00713AFE">
      <w:pPr>
        <w:rPr>
          <w:bCs/>
          <w:i/>
          <w:iCs/>
        </w:rPr>
      </w:pPr>
      <w:r w:rsidRPr="007B69B3">
        <w:rPr>
          <w:bCs/>
          <w:i/>
          <w:iCs/>
        </w:rPr>
        <w:t xml:space="preserve">Radio Regulations and Rules of </w:t>
      </w:r>
      <w:r w:rsidR="00B4722D">
        <w:rPr>
          <w:bCs/>
          <w:i/>
          <w:iCs/>
        </w:rPr>
        <w:t>P</w:t>
      </w:r>
      <w:r w:rsidRPr="007B69B3">
        <w:rPr>
          <w:bCs/>
          <w:i/>
          <w:iCs/>
        </w:rPr>
        <w:t>rocedure</w:t>
      </w:r>
    </w:p>
    <w:p w14:paraId="1F46E94B" w14:textId="330DF1FC" w:rsidR="00842CF9" w:rsidRPr="00A86356" w:rsidRDefault="5A88D479" w:rsidP="00842CF9">
      <w:pPr>
        <w:jc w:val="both"/>
      </w:pPr>
      <w:r>
        <w:t xml:space="preserve">The 2020 edition of the Radio Regulations was published in September 2020. </w:t>
      </w:r>
      <w:r w:rsidR="00250A0F">
        <w:t>Following the 2015 World Radiocommunication Conference, a 2017 edition of the Rules of Procedure has been published. Seven</w:t>
      </w:r>
      <w:r w:rsidR="00713AFE">
        <w:t xml:space="preserve"> updates were published since then (November 2017, July 2018, March 2019, July 2019</w:t>
      </w:r>
      <w:r w:rsidR="00D73112">
        <w:t>,</w:t>
      </w:r>
      <w:r w:rsidR="00713AFE">
        <w:t xml:space="preserve"> October 2019</w:t>
      </w:r>
      <w:r w:rsidR="00D73112">
        <w:t>,</w:t>
      </w:r>
      <w:r w:rsidR="0080645B">
        <w:t xml:space="preserve"> July 2020</w:t>
      </w:r>
      <w:r w:rsidR="007547CA">
        <w:t>,</w:t>
      </w:r>
      <w:r w:rsidR="0080645B">
        <w:t xml:space="preserve"> and November 2020</w:t>
      </w:r>
      <w:r w:rsidR="00713AFE">
        <w:t>).</w:t>
      </w:r>
      <w:r w:rsidR="00842CF9">
        <w:t xml:space="preserve"> The next </w:t>
      </w:r>
      <w:r w:rsidR="00842CF9" w:rsidRPr="52976F2E">
        <w:rPr>
          <w:rFonts w:cs="Segoe UI"/>
          <w:color w:val="000000" w:themeColor="text1"/>
        </w:rPr>
        <w:t xml:space="preserve">edition of the Rules of Procedure is </w:t>
      </w:r>
      <w:r w:rsidR="00B2588A">
        <w:rPr>
          <w:rFonts w:cs="Segoe UI"/>
          <w:color w:val="000000" w:themeColor="text1"/>
        </w:rPr>
        <w:t>scheduled for publication</w:t>
      </w:r>
      <w:r w:rsidR="00842CF9" w:rsidRPr="52976F2E">
        <w:rPr>
          <w:rFonts w:cs="Segoe UI"/>
          <w:color w:val="000000" w:themeColor="text1"/>
        </w:rPr>
        <w:t xml:space="preserve"> in </w:t>
      </w:r>
      <w:r w:rsidR="00F514A8">
        <w:rPr>
          <w:rFonts w:cs="Segoe UI"/>
          <w:color w:val="000000" w:themeColor="text1"/>
        </w:rPr>
        <w:t>the 2</w:t>
      </w:r>
      <w:r w:rsidR="00F514A8" w:rsidRPr="00F514A8">
        <w:rPr>
          <w:rFonts w:cs="Segoe UI"/>
          <w:color w:val="000000" w:themeColor="text1"/>
          <w:vertAlign w:val="superscript"/>
        </w:rPr>
        <w:t>nd</w:t>
      </w:r>
      <w:r w:rsidR="00F514A8">
        <w:rPr>
          <w:rFonts w:cs="Segoe UI"/>
          <w:color w:val="000000" w:themeColor="text1"/>
        </w:rPr>
        <w:t xml:space="preserve"> quarter of </w:t>
      </w:r>
      <w:r w:rsidR="00842CF9" w:rsidRPr="52976F2E">
        <w:rPr>
          <w:rFonts w:cs="Segoe UI"/>
          <w:color w:val="000000" w:themeColor="text1"/>
        </w:rPr>
        <w:t>2021.</w:t>
      </w:r>
    </w:p>
    <w:p w14:paraId="019AA7EF" w14:textId="4DFF9873" w:rsidR="00713AFE" w:rsidRPr="00A86356" w:rsidRDefault="00713AFE" w:rsidP="00713AFE">
      <w:pPr>
        <w:jc w:val="both"/>
      </w:pPr>
      <w:r w:rsidRPr="00A86356">
        <w:rPr>
          <w:bCs/>
        </w:rPr>
        <w:t xml:space="preserve">BR also published 11 HFBC schedules every year </w:t>
      </w:r>
      <w:r w:rsidR="0049384C">
        <w:rPr>
          <w:bCs/>
        </w:rPr>
        <w:t>in accordance with</w:t>
      </w:r>
      <w:r w:rsidRPr="00A86356">
        <w:rPr>
          <w:bCs/>
        </w:rPr>
        <w:t xml:space="preserve"> RR Article </w:t>
      </w:r>
      <w:r w:rsidRPr="00A86356">
        <w:rPr>
          <w:b/>
        </w:rPr>
        <w:t>12</w:t>
      </w:r>
      <w:r w:rsidRPr="00A86356">
        <w:rPr>
          <w:bCs/>
        </w:rPr>
        <w:t>.</w:t>
      </w:r>
    </w:p>
    <w:p w14:paraId="3605E5CC" w14:textId="77777777" w:rsidR="00713AFE" w:rsidRPr="006C5A1D" w:rsidRDefault="00713AFE" w:rsidP="00713AFE">
      <w:pPr>
        <w:pStyle w:val="Heading3"/>
      </w:pPr>
      <w:bookmarkStart w:id="24" w:name="_Toc424047597"/>
      <w:bookmarkStart w:id="25" w:name="_Toc446060779"/>
      <w:r w:rsidRPr="006C5A1D">
        <w:t>8.1.2</w:t>
      </w:r>
      <w:r w:rsidRPr="006C5A1D">
        <w:tab/>
        <w:t>Service publications</w:t>
      </w:r>
      <w:bookmarkEnd w:id="24"/>
      <w:bookmarkEnd w:id="25"/>
    </w:p>
    <w:p w14:paraId="1B4D8A68" w14:textId="2935784A" w:rsidR="00713AFE" w:rsidRPr="00021D1E" w:rsidRDefault="00713AFE" w:rsidP="00713AFE">
      <w:pPr>
        <w:pStyle w:val="Heading4"/>
        <w:rPr>
          <w:i/>
          <w:iCs/>
        </w:rPr>
      </w:pPr>
      <w:r w:rsidRPr="006C5A1D">
        <w:t>8.1.2.1</w:t>
      </w:r>
      <w:r w:rsidR="00E04FC3">
        <w:tab/>
      </w:r>
      <w:r w:rsidRPr="006C5A1D">
        <w:t>Background and general observations</w:t>
      </w:r>
    </w:p>
    <w:p w14:paraId="08C377EC" w14:textId="77777777" w:rsidR="00713AFE" w:rsidRPr="006C5A1D" w:rsidRDefault="00713AFE" w:rsidP="00713AFE">
      <w:pPr>
        <w:pStyle w:val="Heading4"/>
        <w:tabs>
          <w:tab w:val="clear" w:pos="1021"/>
          <w:tab w:val="left" w:pos="0"/>
        </w:tabs>
        <w:ind w:left="0" w:firstLine="0"/>
        <w:rPr>
          <w:b w:val="0"/>
          <w:bCs/>
        </w:rPr>
      </w:pPr>
      <w:r w:rsidRPr="006C5A1D">
        <w:rPr>
          <w:b w:val="0"/>
          <w:bCs/>
        </w:rPr>
        <w:t>The Bureau prepares and issues the following service publications, as specified in Article 20 of the Radio Regulations.</w:t>
      </w:r>
    </w:p>
    <w:p w14:paraId="511C2A26" w14:textId="0B7985C9" w:rsidR="00713AFE" w:rsidRPr="00E5336C" w:rsidRDefault="16A9241D" w:rsidP="000A3EAD">
      <w:pPr>
        <w:pStyle w:val="ListParagraph"/>
        <w:numPr>
          <w:ilvl w:val="0"/>
          <w:numId w:val="11"/>
        </w:numPr>
        <w:spacing w:before="120" w:after="0"/>
        <w:ind w:left="851" w:hanging="851"/>
        <w:contextualSpacing w:val="0"/>
        <w:jc w:val="both"/>
        <w:rPr>
          <w:szCs w:val="24"/>
          <w:lang w:eastAsia="en-US"/>
        </w:rPr>
      </w:pPr>
      <w:r w:rsidRPr="00E5336C">
        <w:rPr>
          <w:szCs w:val="24"/>
          <w:lang w:eastAsia="en-US"/>
        </w:rPr>
        <w:t>BR IFIC − International Frequency Information Circular</w:t>
      </w:r>
    </w:p>
    <w:p w14:paraId="1A2D6538" w14:textId="77777777" w:rsidR="00713AFE" w:rsidRPr="00E5336C" w:rsidRDefault="00713AFE" w:rsidP="000A3EAD">
      <w:pPr>
        <w:pStyle w:val="ListParagraph"/>
        <w:numPr>
          <w:ilvl w:val="0"/>
          <w:numId w:val="11"/>
        </w:numPr>
        <w:spacing w:before="120" w:after="0"/>
        <w:ind w:left="851" w:hanging="851"/>
        <w:contextualSpacing w:val="0"/>
        <w:jc w:val="both"/>
        <w:rPr>
          <w:szCs w:val="24"/>
          <w:lang w:eastAsia="en-US"/>
        </w:rPr>
      </w:pPr>
      <w:r w:rsidRPr="00E5336C">
        <w:rPr>
          <w:szCs w:val="24"/>
          <w:lang w:eastAsia="en-US"/>
        </w:rPr>
        <w:lastRenderedPageBreak/>
        <w:t>List IV − List of Coast Stations and Special Service Stations</w:t>
      </w:r>
    </w:p>
    <w:p w14:paraId="5A90D628" w14:textId="77777777" w:rsidR="00713AFE" w:rsidRPr="00E5336C" w:rsidRDefault="00713AFE" w:rsidP="000A3EAD">
      <w:pPr>
        <w:pStyle w:val="ListParagraph"/>
        <w:numPr>
          <w:ilvl w:val="0"/>
          <w:numId w:val="11"/>
        </w:numPr>
        <w:spacing w:before="120" w:after="0"/>
        <w:ind w:left="851" w:hanging="851"/>
        <w:contextualSpacing w:val="0"/>
        <w:jc w:val="both"/>
        <w:rPr>
          <w:szCs w:val="24"/>
          <w:lang w:eastAsia="en-US"/>
        </w:rPr>
      </w:pPr>
      <w:r w:rsidRPr="00E5336C">
        <w:rPr>
          <w:szCs w:val="24"/>
          <w:lang w:eastAsia="en-US"/>
        </w:rPr>
        <w:t>List V − List of Ship Stations and Maritime Mobile Service Identity Assignments</w:t>
      </w:r>
    </w:p>
    <w:p w14:paraId="01749AF2" w14:textId="77777777" w:rsidR="00713AFE" w:rsidRPr="00E5336C" w:rsidRDefault="00713AFE" w:rsidP="000A3EAD">
      <w:pPr>
        <w:pStyle w:val="ListParagraph"/>
        <w:numPr>
          <w:ilvl w:val="0"/>
          <w:numId w:val="11"/>
        </w:numPr>
        <w:spacing w:before="120" w:after="0"/>
        <w:ind w:left="851" w:hanging="851"/>
        <w:contextualSpacing w:val="0"/>
        <w:jc w:val="both"/>
        <w:rPr>
          <w:szCs w:val="24"/>
          <w:lang w:eastAsia="en-US"/>
        </w:rPr>
      </w:pPr>
      <w:r w:rsidRPr="00E5336C">
        <w:rPr>
          <w:szCs w:val="24"/>
          <w:lang w:eastAsia="en-US"/>
        </w:rPr>
        <w:t>List VIII − List of International Monitoring Stations</w:t>
      </w:r>
    </w:p>
    <w:p w14:paraId="7168E44B" w14:textId="77777777" w:rsidR="00713AFE" w:rsidRPr="006C5A1D" w:rsidRDefault="00713AFE" w:rsidP="000A3EAD">
      <w:pPr>
        <w:pStyle w:val="ListParagraph"/>
        <w:numPr>
          <w:ilvl w:val="0"/>
          <w:numId w:val="11"/>
        </w:numPr>
        <w:spacing w:before="120" w:after="0"/>
        <w:ind w:left="851" w:hanging="851"/>
        <w:contextualSpacing w:val="0"/>
        <w:jc w:val="both"/>
        <w:rPr>
          <w:b/>
        </w:rPr>
      </w:pPr>
      <w:r w:rsidRPr="00E5336C">
        <w:rPr>
          <w:szCs w:val="24"/>
          <w:lang w:eastAsia="en-US"/>
        </w:rPr>
        <w:t>Manual for Use by the Maritime Mobile and Maritime Mobile-Satellite Services</w:t>
      </w:r>
    </w:p>
    <w:p w14:paraId="600AFBCB" w14:textId="5AFA2ACE" w:rsidR="00713AFE" w:rsidRPr="00B95E80" w:rsidRDefault="00713AFE" w:rsidP="00713AFE">
      <w:pPr>
        <w:pStyle w:val="Heading4"/>
        <w:rPr>
          <w:i/>
          <w:iCs/>
        </w:rPr>
      </w:pPr>
      <w:r w:rsidRPr="006C5A1D">
        <w:t>8.1.2.2</w:t>
      </w:r>
      <w:r w:rsidR="00E04FC3">
        <w:tab/>
      </w:r>
      <w:r w:rsidRPr="006C5A1D">
        <w:t>List of Coast Stations and Special Service Stations (List IV)</w:t>
      </w:r>
    </w:p>
    <w:p w14:paraId="206A8B5E" w14:textId="77777777" w:rsidR="00713AFE" w:rsidRPr="006C5A1D" w:rsidRDefault="00713AFE" w:rsidP="00713AFE">
      <w:pPr>
        <w:pStyle w:val="Heading4"/>
        <w:tabs>
          <w:tab w:val="clear" w:pos="1021"/>
        </w:tabs>
        <w:ind w:left="0" w:firstLine="0"/>
        <w:jc w:val="both"/>
        <w:rPr>
          <w:b w:val="0"/>
          <w:bCs/>
          <w:lang w:val="en-US"/>
        </w:rPr>
      </w:pPr>
      <w:r w:rsidRPr="006C5A1D">
        <w:rPr>
          <w:b w:val="0"/>
          <w:bCs/>
          <w:lang w:val="en-US"/>
        </w:rPr>
        <w:t xml:space="preserve">This List </w:t>
      </w:r>
      <w:r w:rsidRPr="006C5A1D">
        <w:rPr>
          <w:b w:val="0"/>
          <w:bCs/>
        </w:rPr>
        <w:t xml:space="preserve">contains information notified to the ITU </w:t>
      </w:r>
      <w:r w:rsidRPr="006C5A1D">
        <w:rPr>
          <w:b w:val="0"/>
          <w:bCs/>
          <w:lang w:val="en-US"/>
        </w:rPr>
        <w:t xml:space="preserve">(i.e. Call Sign, MMSI, geographical coordinates, transmitting and receiving frequencies, etc.) of coast stations that provide watch-keeping using digital selective calling techniques, public correspondence service, medical advice, navigational and meteorological warnings, notices to navigators and radio time signals, etc. </w:t>
      </w:r>
    </w:p>
    <w:p w14:paraId="327148DA" w14:textId="7CA0D3D7" w:rsidR="00713AFE" w:rsidRPr="006C5A1D" w:rsidRDefault="00713AFE" w:rsidP="52976F2E">
      <w:pPr>
        <w:pStyle w:val="Heading4"/>
        <w:tabs>
          <w:tab w:val="clear" w:pos="1021"/>
        </w:tabs>
        <w:ind w:left="0" w:firstLine="0"/>
        <w:jc w:val="both"/>
        <w:rPr>
          <w:b w:val="0"/>
        </w:rPr>
      </w:pPr>
      <w:r w:rsidRPr="52976F2E">
        <w:rPr>
          <w:b w:val="0"/>
        </w:rPr>
        <w:t>The List of Coast Stations and Special Service Stations (List IV) is published every two years, in CD</w:t>
      </w:r>
      <w:r w:rsidRPr="006C5A1D">
        <w:rPr>
          <w:b w:val="0"/>
          <w:bCs/>
          <w:lang w:val="en-US"/>
        </w:rPr>
        <w:noBreakHyphen/>
      </w:r>
      <w:r w:rsidRPr="52976F2E">
        <w:rPr>
          <w:b w:val="0"/>
        </w:rPr>
        <w:t xml:space="preserve">ROM format. One edition of List IV was published in </w:t>
      </w:r>
      <w:r w:rsidR="38C781E4" w:rsidRPr="52976F2E">
        <w:rPr>
          <w:b w:val="0"/>
        </w:rPr>
        <w:t>June 2020</w:t>
      </w:r>
      <w:r w:rsidRPr="52976F2E">
        <w:rPr>
          <w:b w:val="0"/>
        </w:rPr>
        <w:t xml:space="preserve">. </w:t>
      </w:r>
    </w:p>
    <w:p w14:paraId="3F049369" w14:textId="77777777" w:rsidR="00713AFE" w:rsidRPr="006C5A1D" w:rsidRDefault="00713AFE" w:rsidP="00713AFE">
      <w:pPr>
        <w:jc w:val="both"/>
      </w:pPr>
      <w:r w:rsidRPr="006C5A1D">
        <w:rPr>
          <w:bCs/>
        </w:rPr>
        <w:t xml:space="preserve">Information pertaining to this list is made available via the online information system ITU Maritime mobile Access and Retrieval System (MARS). </w:t>
      </w:r>
      <w:r w:rsidRPr="006C5A1D">
        <w:rPr>
          <w:bCs/>
          <w:lang w:val="en-US"/>
        </w:rPr>
        <w:t xml:space="preserve">A compilation of all changes notified to the ITU is provided on the web every </w:t>
      </w:r>
      <w:r w:rsidRPr="006C5A1D">
        <w:rPr>
          <w:bCs/>
        </w:rPr>
        <w:t>six months.</w:t>
      </w:r>
    </w:p>
    <w:p w14:paraId="2D97F02C" w14:textId="6BF990B4" w:rsidR="00713AFE" w:rsidRPr="00B95E80" w:rsidRDefault="00713AFE" w:rsidP="00713AFE">
      <w:pPr>
        <w:pStyle w:val="Heading4"/>
        <w:jc w:val="both"/>
        <w:rPr>
          <w:i/>
          <w:iCs/>
        </w:rPr>
      </w:pPr>
      <w:r w:rsidRPr="006C5A1D">
        <w:t>8.1.2.3</w:t>
      </w:r>
      <w:r w:rsidR="00E04FC3">
        <w:tab/>
      </w:r>
      <w:r w:rsidRPr="006C5A1D">
        <w:t>List of Ship Stations and Maritime Mobile Service Identity Assignments (List V)</w:t>
      </w:r>
    </w:p>
    <w:p w14:paraId="38E59756" w14:textId="1DF84830" w:rsidR="00713AFE" w:rsidRPr="006C5A1D" w:rsidRDefault="00713AFE" w:rsidP="00713AFE">
      <w:pPr>
        <w:jc w:val="both"/>
        <w:rPr>
          <w:lang w:val="en-US"/>
        </w:rPr>
      </w:pPr>
      <w:r w:rsidRPr="006C5A1D">
        <w:rPr>
          <w:lang w:val="en-US"/>
        </w:rPr>
        <w:t>This List contains information notified to the ITU on Ship, Coast and Search and Rescue (SAR) Aircrafts Stations, Accounting Authority Identification Codes (AAICs)</w:t>
      </w:r>
      <w:r w:rsidR="00787FE4">
        <w:rPr>
          <w:lang w:val="en-US"/>
        </w:rPr>
        <w:t>,</w:t>
      </w:r>
      <w:r w:rsidRPr="006C5A1D">
        <w:rPr>
          <w:lang w:val="en-US"/>
        </w:rPr>
        <w:t xml:space="preserve"> and contact information of notifying administrations.</w:t>
      </w:r>
    </w:p>
    <w:p w14:paraId="5AEB7F6E" w14:textId="77777777" w:rsidR="00713AFE" w:rsidRPr="006C5A1D" w:rsidRDefault="00713AFE" w:rsidP="00713AFE">
      <w:pPr>
        <w:jc w:val="both"/>
        <w:rPr>
          <w:lang w:val="en-US"/>
        </w:rPr>
      </w:pPr>
      <w:r w:rsidRPr="006C5A1D">
        <w:rPr>
          <w:lang w:val="en-US"/>
        </w:rPr>
        <w:t>The List of Ship Stations and Maritime Mobile Service Identity Assignments (List V) is published every year, in CD</w:t>
      </w:r>
      <w:r>
        <w:rPr>
          <w:lang w:val="en-US"/>
        </w:rPr>
        <w:noBreakHyphen/>
      </w:r>
      <w:r w:rsidRPr="006C5A1D">
        <w:rPr>
          <w:lang w:val="en-US"/>
        </w:rPr>
        <w:t xml:space="preserve">ROM format. </w:t>
      </w:r>
      <w:r w:rsidRPr="006C5A1D">
        <w:t>One</w:t>
      </w:r>
      <w:r w:rsidRPr="006C5A1D">
        <w:rPr>
          <w:lang w:val="en-US"/>
        </w:rPr>
        <w:t xml:space="preserve"> edition of List V </w:t>
      </w:r>
      <w:r>
        <w:rPr>
          <w:lang w:val="en-US"/>
        </w:rPr>
        <w:t>was</w:t>
      </w:r>
      <w:r w:rsidRPr="006C5A1D">
        <w:rPr>
          <w:lang w:val="en-US"/>
        </w:rPr>
        <w:t xml:space="preserve"> published in April 2019.</w:t>
      </w:r>
      <w:r w:rsidRPr="006C5A1D">
        <w:rPr>
          <w:rFonts w:asciiTheme="majorBidi" w:eastAsiaTheme="minorEastAsia" w:hAnsiTheme="majorBidi" w:cstheme="majorBidi"/>
          <w:szCs w:val="24"/>
          <w:lang w:val="en-US" w:eastAsia="zh-CN"/>
        </w:rPr>
        <w:t xml:space="preserve"> </w:t>
      </w:r>
    </w:p>
    <w:p w14:paraId="178479DA" w14:textId="77777777" w:rsidR="00713AFE" w:rsidRPr="006C5A1D" w:rsidRDefault="00713AFE" w:rsidP="00713AFE">
      <w:pPr>
        <w:jc w:val="both"/>
      </w:pPr>
      <w:r w:rsidRPr="006C5A1D">
        <w:rPr>
          <w:lang w:val="en-US"/>
        </w:rPr>
        <w:t>Information pertaining to this List is also made available via the online information system MARS. A compilation of all changes notified to the ITU is provided on the web every three months</w:t>
      </w:r>
      <w:r w:rsidRPr="006C5A1D">
        <w:rPr>
          <w:szCs w:val="24"/>
        </w:rPr>
        <w:t>.</w:t>
      </w:r>
    </w:p>
    <w:p w14:paraId="50436055" w14:textId="5E8A3165" w:rsidR="00713AFE" w:rsidRPr="00B95E80" w:rsidRDefault="00713AFE" w:rsidP="00713AFE">
      <w:pPr>
        <w:pStyle w:val="Heading4"/>
        <w:rPr>
          <w:i/>
          <w:iCs/>
        </w:rPr>
      </w:pPr>
      <w:r w:rsidRPr="00494E5F">
        <w:t>8.1.2.4</w:t>
      </w:r>
      <w:r w:rsidR="00E04FC3">
        <w:tab/>
      </w:r>
      <w:r w:rsidRPr="00494E5F">
        <w:t xml:space="preserve">List of International Monitoring </w:t>
      </w:r>
      <w:r w:rsidR="00787FE4">
        <w:t>S</w:t>
      </w:r>
      <w:r w:rsidRPr="00494E5F">
        <w:t>tations (List VIII)</w:t>
      </w:r>
    </w:p>
    <w:p w14:paraId="43D3894D" w14:textId="05988110" w:rsidR="00713AFE" w:rsidRPr="00494E5F" w:rsidRDefault="00713AFE" w:rsidP="00713AFE">
      <w:pPr>
        <w:pStyle w:val="Heading4"/>
        <w:tabs>
          <w:tab w:val="clear" w:pos="1021"/>
        </w:tabs>
        <w:ind w:left="0" w:firstLine="0"/>
        <w:jc w:val="both"/>
        <w:rPr>
          <w:b w:val="0"/>
          <w:bCs/>
        </w:rPr>
      </w:pPr>
      <w:r w:rsidRPr="00494E5F">
        <w:rPr>
          <w:b w:val="0"/>
          <w:bCs/>
          <w:lang w:val="en-US"/>
        </w:rPr>
        <w:t xml:space="preserve">The List of International Monitoring </w:t>
      </w:r>
      <w:r w:rsidR="003A3F61">
        <w:rPr>
          <w:b w:val="0"/>
          <w:bCs/>
          <w:lang w:val="en-US"/>
        </w:rPr>
        <w:t>S</w:t>
      </w:r>
      <w:r w:rsidRPr="00494E5F">
        <w:rPr>
          <w:b w:val="0"/>
          <w:bCs/>
          <w:lang w:val="en-US"/>
        </w:rPr>
        <w:t xml:space="preserve">tations (List VIII) contains the addresses and other relevant information of centralizing offices, </w:t>
      </w:r>
      <w:r>
        <w:rPr>
          <w:b w:val="0"/>
          <w:bCs/>
          <w:lang w:val="en-US"/>
        </w:rPr>
        <w:t xml:space="preserve">including the detailed information related to monitoring stations measuring terrestrial and space </w:t>
      </w:r>
      <w:r w:rsidRPr="00494E5F">
        <w:rPr>
          <w:b w:val="0"/>
          <w:bCs/>
          <w:lang w:val="en-US"/>
        </w:rPr>
        <w:t xml:space="preserve">emissions. A direct download facility is available, free of charge, </w:t>
      </w:r>
      <w:r w:rsidR="00616B1E">
        <w:rPr>
          <w:b w:val="0"/>
          <w:bCs/>
          <w:lang w:val="en-US"/>
        </w:rPr>
        <w:t>with</w:t>
      </w:r>
      <w:r w:rsidRPr="00494E5F">
        <w:rPr>
          <w:b w:val="0"/>
          <w:bCs/>
          <w:lang w:val="en-US"/>
        </w:rPr>
        <w:t xml:space="preserve"> TIES </w:t>
      </w:r>
      <w:r w:rsidR="00616B1E">
        <w:rPr>
          <w:b w:val="0"/>
          <w:bCs/>
          <w:lang w:val="en-US"/>
        </w:rPr>
        <w:t>access</w:t>
      </w:r>
      <w:r w:rsidRPr="00494E5F">
        <w:rPr>
          <w:b w:val="0"/>
          <w:bCs/>
        </w:rPr>
        <w:t>.</w:t>
      </w:r>
    </w:p>
    <w:p w14:paraId="25472272" w14:textId="77777777" w:rsidR="00713AFE" w:rsidRPr="00494E5F" w:rsidRDefault="00713AFE" w:rsidP="00713AFE">
      <w:pPr>
        <w:jc w:val="both"/>
      </w:pPr>
      <w:r w:rsidRPr="00494E5F">
        <w:rPr>
          <w:lang w:val="en-US"/>
        </w:rPr>
        <w:t xml:space="preserve">One edition of this List </w:t>
      </w:r>
      <w:r>
        <w:rPr>
          <w:lang w:val="en-US"/>
        </w:rPr>
        <w:t>was</w:t>
      </w:r>
      <w:r w:rsidRPr="00494E5F">
        <w:rPr>
          <w:lang w:val="en-US"/>
        </w:rPr>
        <w:t xml:space="preserve"> published in December 2019</w:t>
      </w:r>
    </w:p>
    <w:p w14:paraId="3501303A" w14:textId="566534FB" w:rsidR="00713AFE" w:rsidRPr="00494E5F" w:rsidRDefault="00713AFE" w:rsidP="00713AFE">
      <w:pPr>
        <w:pStyle w:val="Heading4"/>
      </w:pPr>
      <w:r w:rsidRPr="00494E5F">
        <w:t>8.1.2.5</w:t>
      </w:r>
      <w:r w:rsidR="00E04FC3">
        <w:tab/>
      </w:r>
      <w:r w:rsidRPr="00494E5F">
        <w:t>List of service publications issued</w:t>
      </w:r>
    </w:p>
    <w:p w14:paraId="09A3FF7C" w14:textId="46FD01C5" w:rsidR="00713AFE" w:rsidRPr="00494E5F" w:rsidRDefault="00713AFE" w:rsidP="00713AFE">
      <w:r>
        <w:t xml:space="preserve">Table 8.1.2.5-1 below summarizes the different publications for the period </w:t>
      </w:r>
      <w:r w:rsidR="1454337D">
        <w:t>2017-2020</w:t>
      </w:r>
      <w:r>
        <w:t>:</w:t>
      </w:r>
    </w:p>
    <w:p w14:paraId="738CE66D" w14:textId="77777777" w:rsidR="00713AFE" w:rsidRPr="00494E5F" w:rsidRDefault="00713AFE" w:rsidP="00731B09">
      <w:pPr>
        <w:pStyle w:val="TableNo"/>
        <w:keepLines/>
        <w:rPr>
          <w:szCs w:val="24"/>
        </w:rPr>
      </w:pPr>
      <w:r w:rsidRPr="00494E5F">
        <w:rPr>
          <w:szCs w:val="24"/>
        </w:rPr>
        <w:lastRenderedPageBreak/>
        <w:t>Table 8.1.2.5-1</w:t>
      </w:r>
    </w:p>
    <w:p w14:paraId="7F70CE24" w14:textId="32A0B9EE" w:rsidR="00713AFE" w:rsidRPr="00494E5F" w:rsidRDefault="00713AFE" w:rsidP="00713AFE">
      <w:pPr>
        <w:pStyle w:val="Tabletitle"/>
        <w:rPr>
          <w:rFonts w:ascii="Times New Roman" w:hAnsi="Times New Roman"/>
          <w:sz w:val="24"/>
          <w:szCs w:val="24"/>
        </w:rPr>
      </w:pPr>
      <w:r w:rsidRPr="52976F2E">
        <w:rPr>
          <w:rFonts w:ascii="Times New Roman" w:hAnsi="Times New Roman"/>
          <w:sz w:val="24"/>
          <w:szCs w:val="24"/>
        </w:rPr>
        <w:t xml:space="preserve">Summary information regarding the service publications issued in the period </w:t>
      </w:r>
      <w:r w:rsidR="05A1CE5C" w:rsidRPr="52976F2E">
        <w:rPr>
          <w:rFonts w:ascii="Times New Roman" w:hAnsi="Times New Roman"/>
          <w:sz w:val="24"/>
          <w:szCs w:val="24"/>
        </w:rPr>
        <w:t>2017 – 2020</w:t>
      </w:r>
    </w:p>
    <w:p w14:paraId="0055514B" w14:textId="19D25094" w:rsidR="00713AFE" w:rsidRPr="00033938" w:rsidRDefault="00713AFE" w:rsidP="00731B09">
      <w:pPr>
        <w:keepNext/>
        <w:keepLines/>
        <w:spacing w:after="120"/>
      </w:pPr>
    </w:p>
    <w:tbl>
      <w:tblPr>
        <w:tblStyle w:val="TableGrid"/>
        <w:tblW w:w="0" w:type="auto"/>
        <w:tblLayout w:type="fixed"/>
        <w:tblLook w:val="04A0" w:firstRow="1" w:lastRow="0" w:firstColumn="1" w:lastColumn="0" w:noHBand="0" w:noVBand="1"/>
      </w:tblPr>
      <w:tblGrid>
        <w:gridCol w:w="4170"/>
        <w:gridCol w:w="1440"/>
        <w:gridCol w:w="1290"/>
        <w:gridCol w:w="1320"/>
        <w:gridCol w:w="1335"/>
      </w:tblGrid>
      <w:tr w:rsidR="52976F2E" w14:paraId="46686835" w14:textId="77777777" w:rsidTr="001B7F7F">
        <w:tc>
          <w:tcPr>
            <w:tcW w:w="4170" w:type="dxa"/>
          </w:tcPr>
          <w:p w14:paraId="07F5984F" w14:textId="5CDB0562" w:rsidR="52976F2E" w:rsidRDefault="52976F2E" w:rsidP="00731B09">
            <w:pPr>
              <w:keepNext/>
              <w:keepLines/>
              <w:jc w:val="center"/>
              <w:rPr>
                <w:sz w:val="20"/>
              </w:rPr>
            </w:pPr>
          </w:p>
        </w:tc>
        <w:tc>
          <w:tcPr>
            <w:tcW w:w="1440" w:type="dxa"/>
          </w:tcPr>
          <w:p w14:paraId="02CF78D8" w14:textId="7C4138CD" w:rsidR="52976F2E" w:rsidRDefault="52976F2E" w:rsidP="00731B09">
            <w:pPr>
              <w:keepNext/>
              <w:keepLines/>
              <w:jc w:val="center"/>
              <w:rPr>
                <w:sz w:val="20"/>
              </w:rPr>
            </w:pPr>
            <w:r w:rsidRPr="52976F2E">
              <w:rPr>
                <w:sz w:val="20"/>
              </w:rPr>
              <w:t>2017</w:t>
            </w:r>
          </w:p>
        </w:tc>
        <w:tc>
          <w:tcPr>
            <w:tcW w:w="1290" w:type="dxa"/>
          </w:tcPr>
          <w:p w14:paraId="5A8D037D" w14:textId="6238BD6B" w:rsidR="52976F2E" w:rsidRDefault="52976F2E" w:rsidP="00731B09">
            <w:pPr>
              <w:keepNext/>
              <w:keepLines/>
              <w:jc w:val="center"/>
              <w:rPr>
                <w:sz w:val="20"/>
              </w:rPr>
            </w:pPr>
            <w:r w:rsidRPr="52976F2E">
              <w:rPr>
                <w:sz w:val="20"/>
              </w:rPr>
              <w:t>2018</w:t>
            </w:r>
          </w:p>
        </w:tc>
        <w:tc>
          <w:tcPr>
            <w:tcW w:w="1320" w:type="dxa"/>
          </w:tcPr>
          <w:p w14:paraId="56AE1473" w14:textId="3C1F4B97" w:rsidR="52976F2E" w:rsidRDefault="52976F2E" w:rsidP="00731B09">
            <w:pPr>
              <w:keepNext/>
              <w:keepLines/>
              <w:jc w:val="center"/>
              <w:rPr>
                <w:sz w:val="20"/>
              </w:rPr>
            </w:pPr>
            <w:r w:rsidRPr="52976F2E">
              <w:rPr>
                <w:sz w:val="20"/>
              </w:rPr>
              <w:t>2019</w:t>
            </w:r>
          </w:p>
        </w:tc>
        <w:tc>
          <w:tcPr>
            <w:tcW w:w="1335" w:type="dxa"/>
          </w:tcPr>
          <w:p w14:paraId="1D12C202" w14:textId="2947C5ED" w:rsidR="52976F2E" w:rsidRDefault="52976F2E" w:rsidP="00731B09">
            <w:pPr>
              <w:keepNext/>
              <w:keepLines/>
              <w:jc w:val="center"/>
              <w:rPr>
                <w:sz w:val="20"/>
              </w:rPr>
            </w:pPr>
            <w:r w:rsidRPr="52976F2E">
              <w:rPr>
                <w:sz w:val="20"/>
              </w:rPr>
              <w:t>2020</w:t>
            </w:r>
          </w:p>
        </w:tc>
      </w:tr>
      <w:tr w:rsidR="52976F2E" w14:paraId="1F3D7C88" w14:textId="77777777" w:rsidTr="001B7F7F">
        <w:tc>
          <w:tcPr>
            <w:tcW w:w="4170" w:type="dxa"/>
          </w:tcPr>
          <w:p w14:paraId="0C5FA0D0" w14:textId="66849EB8" w:rsidR="52976F2E" w:rsidRDefault="52976F2E" w:rsidP="00731B09">
            <w:pPr>
              <w:keepNext/>
              <w:keepLines/>
              <w:jc w:val="center"/>
              <w:rPr>
                <w:sz w:val="20"/>
              </w:rPr>
            </w:pPr>
            <w:r w:rsidRPr="52976F2E">
              <w:rPr>
                <w:sz w:val="20"/>
              </w:rPr>
              <w:t>BR IFIC (International Frequency Information Circular)</w:t>
            </w:r>
          </w:p>
        </w:tc>
        <w:tc>
          <w:tcPr>
            <w:tcW w:w="1440" w:type="dxa"/>
          </w:tcPr>
          <w:p w14:paraId="3F7F2BDE" w14:textId="519C9EFD" w:rsidR="52976F2E" w:rsidRDefault="52976F2E" w:rsidP="00731B09">
            <w:pPr>
              <w:keepNext/>
              <w:keepLines/>
              <w:jc w:val="center"/>
              <w:rPr>
                <w:sz w:val="20"/>
              </w:rPr>
            </w:pPr>
            <w:r w:rsidRPr="52976F2E">
              <w:rPr>
                <w:sz w:val="20"/>
              </w:rPr>
              <w:t>25</w:t>
            </w:r>
          </w:p>
        </w:tc>
        <w:tc>
          <w:tcPr>
            <w:tcW w:w="1290" w:type="dxa"/>
          </w:tcPr>
          <w:p w14:paraId="71111362" w14:textId="1904DB71" w:rsidR="52976F2E" w:rsidRDefault="52976F2E" w:rsidP="00731B09">
            <w:pPr>
              <w:keepNext/>
              <w:keepLines/>
              <w:jc w:val="center"/>
              <w:rPr>
                <w:sz w:val="20"/>
              </w:rPr>
            </w:pPr>
            <w:r w:rsidRPr="52976F2E">
              <w:rPr>
                <w:sz w:val="20"/>
              </w:rPr>
              <w:t>25</w:t>
            </w:r>
          </w:p>
        </w:tc>
        <w:tc>
          <w:tcPr>
            <w:tcW w:w="1320" w:type="dxa"/>
          </w:tcPr>
          <w:p w14:paraId="32DF69F8" w14:textId="06C67B58" w:rsidR="52976F2E" w:rsidRDefault="52976F2E" w:rsidP="00731B09">
            <w:pPr>
              <w:keepNext/>
              <w:keepLines/>
              <w:jc w:val="center"/>
              <w:rPr>
                <w:sz w:val="20"/>
              </w:rPr>
            </w:pPr>
            <w:r w:rsidRPr="52976F2E">
              <w:rPr>
                <w:sz w:val="20"/>
              </w:rPr>
              <w:t>25</w:t>
            </w:r>
          </w:p>
        </w:tc>
        <w:tc>
          <w:tcPr>
            <w:tcW w:w="1335" w:type="dxa"/>
          </w:tcPr>
          <w:p w14:paraId="0DF7AB2A" w14:textId="3BABCD60" w:rsidR="52976F2E" w:rsidRDefault="52976F2E" w:rsidP="00731B09">
            <w:pPr>
              <w:keepNext/>
              <w:keepLines/>
              <w:jc w:val="center"/>
              <w:rPr>
                <w:sz w:val="20"/>
              </w:rPr>
            </w:pPr>
            <w:r w:rsidRPr="52976F2E">
              <w:rPr>
                <w:sz w:val="20"/>
              </w:rPr>
              <w:t>26</w:t>
            </w:r>
          </w:p>
        </w:tc>
      </w:tr>
      <w:tr w:rsidR="52976F2E" w14:paraId="19BB9982" w14:textId="77777777" w:rsidTr="001B7F7F">
        <w:tc>
          <w:tcPr>
            <w:tcW w:w="4170" w:type="dxa"/>
          </w:tcPr>
          <w:p w14:paraId="03D9A144" w14:textId="3DB45E2A" w:rsidR="52976F2E" w:rsidRDefault="52976F2E" w:rsidP="00731B09">
            <w:pPr>
              <w:keepNext/>
              <w:keepLines/>
              <w:jc w:val="center"/>
              <w:rPr>
                <w:sz w:val="20"/>
              </w:rPr>
            </w:pPr>
            <w:r w:rsidRPr="52976F2E">
              <w:rPr>
                <w:sz w:val="20"/>
              </w:rPr>
              <w:t>List IV (List of Coast Stations and Special Service Stations)</w:t>
            </w:r>
          </w:p>
        </w:tc>
        <w:tc>
          <w:tcPr>
            <w:tcW w:w="1440" w:type="dxa"/>
          </w:tcPr>
          <w:p w14:paraId="4B005BB8" w14:textId="20B91BA3" w:rsidR="52976F2E" w:rsidRDefault="52976F2E" w:rsidP="00731B09">
            <w:pPr>
              <w:keepNext/>
              <w:keepLines/>
              <w:jc w:val="center"/>
              <w:rPr>
                <w:sz w:val="20"/>
              </w:rPr>
            </w:pPr>
            <w:r w:rsidRPr="52976F2E">
              <w:rPr>
                <w:sz w:val="20"/>
              </w:rPr>
              <w:t>Edition of 2017</w:t>
            </w:r>
            <w:r>
              <w:br/>
            </w:r>
            <w:r w:rsidRPr="52976F2E">
              <w:rPr>
                <w:sz w:val="20"/>
              </w:rPr>
              <w:t xml:space="preserve"> (November)</w:t>
            </w:r>
          </w:p>
        </w:tc>
        <w:tc>
          <w:tcPr>
            <w:tcW w:w="1290" w:type="dxa"/>
          </w:tcPr>
          <w:p w14:paraId="221F2ADB" w14:textId="1821FFED" w:rsidR="52976F2E" w:rsidRDefault="52976F2E" w:rsidP="00731B09">
            <w:pPr>
              <w:keepNext/>
              <w:keepLines/>
              <w:jc w:val="center"/>
              <w:rPr>
                <w:sz w:val="20"/>
              </w:rPr>
            </w:pPr>
            <w:r w:rsidRPr="52976F2E">
              <w:rPr>
                <w:sz w:val="20"/>
              </w:rPr>
              <w:t xml:space="preserve"> </w:t>
            </w:r>
          </w:p>
        </w:tc>
        <w:tc>
          <w:tcPr>
            <w:tcW w:w="1320" w:type="dxa"/>
          </w:tcPr>
          <w:p w14:paraId="6C87D771" w14:textId="7275F5D5" w:rsidR="52976F2E" w:rsidRDefault="52976F2E" w:rsidP="00731B09">
            <w:pPr>
              <w:keepNext/>
              <w:keepLines/>
              <w:jc w:val="center"/>
              <w:rPr>
                <w:sz w:val="20"/>
              </w:rPr>
            </w:pPr>
            <w:r w:rsidRPr="52976F2E">
              <w:rPr>
                <w:sz w:val="20"/>
              </w:rPr>
              <w:t>Edition of 2019</w:t>
            </w:r>
            <w:r>
              <w:br/>
            </w:r>
            <w:r w:rsidRPr="52976F2E">
              <w:rPr>
                <w:sz w:val="20"/>
              </w:rPr>
              <w:t xml:space="preserve"> (December)</w:t>
            </w:r>
          </w:p>
        </w:tc>
        <w:tc>
          <w:tcPr>
            <w:tcW w:w="1335" w:type="dxa"/>
          </w:tcPr>
          <w:p w14:paraId="61F0A1CA" w14:textId="4BBFB003" w:rsidR="52976F2E" w:rsidRDefault="52976F2E" w:rsidP="00731B09">
            <w:pPr>
              <w:keepNext/>
              <w:keepLines/>
              <w:jc w:val="center"/>
              <w:rPr>
                <w:sz w:val="20"/>
              </w:rPr>
            </w:pPr>
            <w:r w:rsidRPr="52976F2E">
              <w:rPr>
                <w:sz w:val="20"/>
              </w:rPr>
              <w:t xml:space="preserve"> </w:t>
            </w:r>
          </w:p>
        </w:tc>
      </w:tr>
      <w:tr w:rsidR="52976F2E" w14:paraId="63BB1BCA" w14:textId="77777777" w:rsidTr="001B7F7F">
        <w:tc>
          <w:tcPr>
            <w:tcW w:w="4170" w:type="dxa"/>
          </w:tcPr>
          <w:p w14:paraId="553F876A" w14:textId="7396E30D" w:rsidR="52976F2E" w:rsidRDefault="52976F2E" w:rsidP="00731B09">
            <w:pPr>
              <w:keepNext/>
              <w:keepLines/>
              <w:jc w:val="center"/>
              <w:rPr>
                <w:sz w:val="20"/>
              </w:rPr>
            </w:pPr>
            <w:r w:rsidRPr="52976F2E">
              <w:rPr>
                <w:sz w:val="20"/>
              </w:rPr>
              <w:t>List V (List of Ship Stations and Maritime Mobile Service Identity Assignments)</w:t>
            </w:r>
          </w:p>
        </w:tc>
        <w:tc>
          <w:tcPr>
            <w:tcW w:w="1440" w:type="dxa"/>
          </w:tcPr>
          <w:p w14:paraId="1D8BE99D" w14:textId="6353FCD6" w:rsidR="52976F2E" w:rsidRDefault="52976F2E" w:rsidP="00731B09">
            <w:pPr>
              <w:keepNext/>
              <w:keepLines/>
              <w:jc w:val="center"/>
              <w:rPr>
                <w:sz w:val="20"/>
              </w:rPr>
            </w:pPr>
            <w:r w:rsidRPr="52976F2E">
              <w:rPr>
                <w:sz w:val="20"/>
              </w:rPr>
              <w:t>Edition of 2017</w:t>
            </w:r>
            <w:r>
              <w:br/>
            </w:r>
            <w:r w:rsidRPr="52976F2E">
              <w:rPr>
                <w:sz w:val="20"/>
              </w:rPr>
              <w:t xml:space="preserve"> (April)</w:t>
            </w:r>
          </w:p>
        </w:tc>
        <w:tc>
          <w:tcPr>
            <w:tcW w:w="1290" w:type="dxa"/>
          </w:tcPr>
          <w:p w14:paraId="673FE618" w14:textId="40F69D4B" w:rsidR="52976F2E" w:rsidRDefault="52976F2E" w:rsidP="00731B09">
            <w:pPr>
              <w:keepNext/>
              <w:keepLines/>
              <w:jc w:val="center"/>
              <w:rPr>
                <w:sz w:val="20"/>
              </w:rPr>
            </w:pPr>
            <w:r w:rsidRPr="52976F2E">
              <w:rPr>
                <w:sz w:val="20"/>
              </w:rPr>
              <w:t>Edition of 2018</w:t>
            </w:r>
            <w:r>
              <w:br/>
            </w:r>
            <w:r w:rsidRPr="52976F2E">
              <w:rPr>
                <w:sz w:val="20"/>
              </w:rPr>
              <w:t xml:space="preserve"> (April)</w:t>
            </w:r>
          </w:p>
        </w:tc>
        <w:tc>
          <w:tcPr>
            <w:tcW w:w="1320" w:type="dxa"/>
          </w:tcPr>
          <w:p w14:paraId="37D8DC8A" w14:textId="1B106D7F" w:rsidR="52976F2E" w:rsidRDefault="52976F2E" w:rsidP="00731B09">
            <w:pPr>
              <w:keepNext/>
              <w:keepLines/>
              <w:jc w:val="center"/>
              <w:rPr>
                <w:sz w:val="20"/>
              </w:rPr>
            </w:pPr>
            <w:r w:rsidRPr="52976F2E">
              <w:rPr>
                <w:sz w:val="20"/>
              </w:rPr>
              <w:t>Edition of 2019</w:t>
            </w:r>
            <w:r>
              <w:br/>
            </w:r>
            <w:r w:rsidRPr="52976F2E">
              <w:rPr>
                <w:sz w:val="20"/>
              </w:rPr>
              <w:t xml:space="preserve"> (April)</w:t>
            </w:r>
          </w:p>
        </w:tc>
        <w:tc>
          <w:tcPr>
            <w:tcW w:w="1335" w:type="dxa"/>
          </w:tcPr>
          <w:p w14:paraId="25BA6AF1" w14:textId="6813DA6D" w:rsidR="52976F2E" w:rsidRDefault="52976F2E" w:rsidP="00731B09">
            <w:pPr>
              <w:keepNext/>
              <w:keepLines/>
              <w:jc w:val="center"/>
              <w:rPr>
                <w:sz w:val="20"/>
              </w:rPr>
            </w:pPr>
            <w:r w:rsidRPr="52976F2E">
              <w:rPr>
                <w:sz w:val="20"/>
              </w:rPr>
              <w:t>Edition of 2020</w:t>
            </w:r>
            <w:r>
              <w:br/>
            </w:r>
            <w:r w:rsidRPr="52976F2E">
              <w:rPr>
                <w:sz w:val="20"/>
              </w:rPr>
              <w:t xml:space="preserve"> (June)</w:t>
            </w:r>
          </w:p>
        </w:tc>
      </w:tr>
      <w:tr w:rsidR="52976F2E" w14:paraId="06A154FA" w14:textId="77777777" w:rsidTr="001B7F7F">
        <w:tc>
          <w:tcPr>
            <w:tcW w:w="4170" w:type="dxa"/>
          </w:tcPr>
          <w:p w14:paraId="4B4C70D4" w14:textId="294147F5" w:rsidR="52976F2E" w:rsidRDefault="52976F2E" w:rsidP="00731B09">
            <w:pPr>
              <w:keepNext/>
              <w:keepLines/>
              <w:jc w:val="center"/>
              <w:rPr>
                <w:sz w:val="20"/>
              </w:rPr>
            </w:pPr>
            <w:r w:rsidRPr="52976F2E">
              <w:rPr>
                <w:sz w:val="20"/>
              </w:rPr>
              <w:t>List VIII (List of International Monitoring Stations)</w:t>
            </w:r>
          </w:p>
        </w:tc>
        <w:tc>
          <w:tcPr>
            <w:tcW w:w="1440" w:type="dxa"/>
          </w:tcPr>
          <w:p w14:paraId="24C10D2C" w14:textId="159E1FBC" w:rsidR="52976F2E" w:rsidRDefault="52976F2E" w:rsidP="00731B09">
            <w:pPr>
              <w:keepNext/>
              <w:keepLines/>
              <w:jc w:val="center"/>
              <w:rPr>
                <w:sz w:val="20"/>
              </w:rPr>
            </w:pPr>
            <w:r w:rsidRPr="52976F2E">
              <w:rPr>
                <w:sz w:val="20"/>
              </w:rPr>
              <w:t xml:space="preserve"> </w:t>
            </w:r>
          </w:p>
        </w:tc>
        <w:tc>
          <w:tcPr>
            <w:tcW w:w="1290" w:type="dxa"/>
          </w:tcPr>
          <w:p w14:paraId="1ACB4CC8" w14:textId="32894159" w:rsidR="52976F2E" w:rsidRDefault="52976F2E" w:rsidP="00731B09">
            <w:pPr>
              <w:keepNext/>
              <w:keepLines/>
              <w:jc w:val="center"/>
              <w:rPr>
                <w:sz w:val="20"/>
              </w:rPr>
            </w:pPr>
            <w:r w:rsidRPr="52976F2E">
              <w:rPr>
                <w:sz w:val="20"/>
              </w:rPr>
              <w:t xml:space="preserve"> </w:t>
            </w:r>
          </w:p>
        </w:tc>
        <w:tc>
          <w:tcPr>
            <w:tcW w:w="1320" w:type="dxa"/>
          </w:tcPr>
          <w:p w14:paraId="4A9A73F8" w14:textId="487756A1" w:rsidR="52976F2E" w:rsidRDefault="52976F2E" w:rsidP="00731B09">
            <w:pPr>
              <w:keepNext/>
              <w:keepLines/>
              <w:jc w:val="center"/>
              <w:rPr>
                <w:sz w:val="20"/>
              </w:rPr>
            </w:pPr>
            <w:r w:rsidRPr="52976F2E">
              <w:rPr>
                <w:sz w:val="20"/>
              </w:rPr>
              <w:t>Edition of 2019</w:t>
            </w:r>
            <w:r>
              <w:br/>
            </w:r>
            <w:r w:rsidRPr="52976F2E">
              <w:rPr>
                <w:sz w:val="20"/>
              </w:rPr>
              <w:t xml:space="preserve"> (December)</w:t>
            </w:r>
          </w:p>
        </w:tc>
        <w:tc>
          <w:tcPr>
            <w:tcW w:w="1335" w:type="dxa"/>
          </w:tcPr>
          <w:p w14:paraId="17DF2F71" w14:textId="68FEC8DB" w:rsidR="52976F2E" w:rsidRDefault="52976F2E" w:rsidP="00731B09">
            <w:pPr>
              <w:keepNext/>
              <w:keepLines/>
              <w:jc w:val="center"/>
              <w:rPr>
                <w:sz w:val="20"/>
              </w:rPr>
            </w:pPr>
            <w:r w:rsidRPr="52976F2E">
              <w:rPr>
                <w:sz w:val="20"/>
              </w:rPr>
              <w:t xml:space="preserve"> </w:t>
            </w:r>
          </w:p>
        </w:tc>
      </w:tr>
      <w:tr w:rsidR="52976F2E" w14:paraId="16F74EE8" w14:textId="77777777" w:rsidTr="001B7F7F">
        <w:tc>
          <w:tcPr>
            <w:tcW w:w="4170" w:type="dxa"/>
          </w:tcPr>
          <w:p w14:paraId="76589C18" w14:textId="44536BDD" w:rsidR="52976F2E" w:rsidRDefault="52976F2E" w:rsidP="00731B09">
            <w:pPr>
              <w:keepNext/>
              <w:keepLines/>
              <w:jc w:val="center"/>
              <w:rPr>
                <w:sz w:val="20"/>
              </w:rPr>
            </w:pPr>
            <w:r w:rsidRPr="52976F2E">
              <w:rPr>
                <w:sz w:val="20"/>
              </w:rPr>
              <w:t>Maritime Manual</w:t>
            </w:r>
          </w:p>
        </w:tc>
        <w:tc>
          <w:tcPr>
            <w:tcW w:w="1440" w:type="dxa"/>
          </w:tcPr>
          <w:p w14:paraId="27E28280" w14:textId="674AC888" w:rsidR="52976F2E" w:rsidRDefault="52976F2E" w:rsidP="00731B09">
            <w:pPr>
              <w:keepNext/>
              <w:keepLines/>
              <w:jc w:val="center"/>
              <w:rPr>
                <w:sz w:val="20"/>
              </w:rPr>
            </w:pPr>
            <w:r w:rsidRPr="52976F2E">
              <w:rPr>
                <w:sz w:val="20"/>
              </w:rPr>
              <w:t xml:space="preserve"> </w:t>
            </w:r>
          </w:p>
        </w:tc>
        <w:tc>
          <w:tcPr>
            <w:tcW w:w="1290" w:type="dxa"/>
          </w:tcPr>
          <w:p w14:paraId="424C254D" w14:textId="4A2C15F9" w:rsidR="52976F2E" w:rsidRDefault="52976F2E" w:rsidP="00731B09">
            <w:pPr>
              <w:keepNext/>
              <w:keepLines/>
              <w:jc w:val="center"/>
              <w:rPr>
                <w:sz w:val="20"/>
              </w:rPr>
            </w:pPr>
            <w:r w:rsidRPr="52976F2E">
              <w:rPr>
                <w:sz w:val="20"/>
              </w:rPr>
              <w:t xml:space="preserve"> </w:t>
            </w:r>
          </w:p>
        </w:tc>
        <w:tc>
          <w:tcPr>
            <w:tcW w:w="1320" w:type="dxa"/>
          </w:tcPr>
          <w:p w14:paraId="11BED55F" w14:textId="45C3E44D" w:rsidR="52976F2E" w:rsidRDefault="52976F2E" w:rsidP="00731B09">
            <w:pPr>
              <w:keepNext/>
              <w:keepLines/>
              <w:jc w:val="center"/>
              <w:rPr>
                <w:sz w:val="20"/>
              </w:rPr>
            </w:pPr>
            <w:r w:rsidRPr="52976F2E">
              <w:rPr>
                <w:sz w:val="20"/>
              </w:rPr>
              <w:t xml:space="preserve"> </w:t>
            </w:r>
          </w:p>
        </w:tc>
        <w:tc>
          <w:tcPr>
            <w:tcW w:w="1335" w:type="dxa"/>
          </w:tcPr>
          <w:p w14:paraId="6D0F7023" w14:textId="28B4057B" w:rsidR="52976F2E" w:rsidRPr="001B7F7F" w:rsidRDefault="52976F2E" w:rsidP="00731B09">
            <w:pPr>
              <w:keepNext/>
              <w:keepLines/>
              <w:jc w:val="center"/>
              <w:rPr>
                <w:sz w:val="20"/>
              </w:rPr>
            </w:pPr>
            <w:r w:rsidRPr="001B7F7F">
              <w:rPr>
                <w:sz w:val="20"/>
              </w:rPr>
              <w:t>Edition of 2020 (November)</w:t>
            </w:r>
          </w:p>
        </w:tc>
      </w:tr>
    </w:tbl>
    <w:p w14:paraId="3737B715" w14:textId="78630805" w:rsidR="00713AFE" w:rsidRPr="00033938" w:rsidRDefault="00713AFE" w:rsidP="52976F2E">
      <w:pPr>
        <w:spacing w:after="120"/>
        <w:rPr>
          <w:szCs w:val="24"/>
        </w:rPr>
      </w:pPr>
    </w:p>
    <w:p w14:paraId="4E3C5F31" w14:textId="3F8EB206" w:rsidR="00713AFE" w:rsidRPr="00033938" w:rsidRDefault="00713AFE" w:rsidP="00713AFE">
      <w:pPr>
        <w:pStyle w:val="Heading3"/>
        <w:spacing w:before="120" w:after="120"/>
      </w:pPr>
      <w:bookmarkStart w:id="26" w:name="_Toc418163378"/>
      <w:bookmarkStart w:id="27" w:name="_Toc418232296"/>
      <w:bookmarkStart w:id="28" w:name="_Toc424047598"/>
      <w:bookmarkStart w:id="29" w:name="_Toc446060780"/>
      <w:r>
        <w:t>8.1.3</w:t>
      </w:r>
      <w:r>
        <w:tab/>
        <w:t>Study Group</w:t>
      </w:r>
      <w:r w:rsidR="00F93ABC">
        <w:t>s</w:t>
      </w:r>
      <w:r>
        <w:t xml:space="preserve"> publications</w:t>
      </w:r>
      <w:bookmarkEnd w:id="26"/>
      <w:bookmarkEnd w:id="27"/>
      <w:bookmarkEnd w:id="28"/>
      <w:bookmarkEnd w:id="29"/>
    </w:p>
    <w:p w14:paraId="7D1CC56C" w14:textId="260198F8" w:rsidR="00713AFE" w:rsidRDefault="00713AFE" w:rsidP="00713AFE">
      <w:pPr>
        <w:jc w:val="both"/>
        <w:rPr>
          <w:szCs w:val="24"/>
        </w:rPr>
      </w:pPr>
      <w:bookmarkStart w:id="30" w:name="_Toc424047599"/>
      <w:bookmarkStart w:id="31" w:name="_Toc446060781"/>
      <w:r>
        <w:rPr>
          <w:szCs w:val="24"/>
        </w:rPr>
        <w:t>Since RAG-</w:t>
      </w:r>
      <w:r w:rsidR="00B96FB3">
        <w:rPr>
          <w:szCs w:val="24"/>
        </w:rPr>
        <w:t>20</w:t>
      </w:r>
      <w:r>
        <w:rPr>
          <w:szCs w:val="24"/>
        </w:rPr>
        <w:t xml:space="preserve">, </w:t>
      </w:r>
      <w:r w:rsidRPr="00033938">
        <w:rPr>
          <w:szCs w:val="24"/>
        </w:rPr>
        <w:t>the ITU</w:t>
      </w:r>
      <w:r w:rsidRPr="00033938">
        <w:rPr>
          <w:szCs w:val="24"/>
        </w:rPr>
        <w:noBreakHyphen/>
        <w:t>R Study Group</w:t>
      </w:r>
      <w:r w:rsidR="00F93ABC">
        <w:rPr>
          <w:szCs w:val="24"/>
        </w:rPr>
        <w:t>s</w:t>
      </w:r>
      <w:r>
        <w:rPr>
          <w:szCs w:val="24"/>
        </w:rPr>
        <w:t xml:space="preserve"> publications</w:t>
      </w:r>
      <w:r w:rsidR="00EC68CB">
        <w:rPr>
          <w:szCs w:val="24"/>
        </w:rPr>
        <w:t xml:space="preserve"> </w:t>
      </w:r>
      <w:r>
        <w:rPr>
          <w:szCs w:val="24"/>
        </w:rPr>
        <w:t xml:space="preserve">continued to be developed in accordance with Resolution </w:t>
      </w:r>
      <w:r w:rsidRPr="00193860">
        <w:rPr>
          <w:szCs w:val="24"/>
        </w:rPr>
        <w:t>ITU-R 1</w:t>
      </w:r>
      <w:r>
        <w:rPr>
          <w:szCs w:val="24"/>
        </w:rPr>
        <w:t>-</w:t>
      </w:r>
      <w:r w:rsidR="00F1413C">
        <w:rPr>
          <w:szCs w:val="24"/>
        </w:rPr>
        <w:t>8</w:t>
      </w:r>
      <w:r>
        <w:rPr>
          <w:szCs w:val="24"/>
        </w:rPr>
        <w:t>.</w:t>
      </w:r>
    </w:p>
    <w:p w14:paraId="36E844F4" w14:textId="13434C5C" w:rsidR="00286F9F" w:rsidRDefault="00286F9F" w:rsidP="00713AFE">
      <w:pPr>
        <w:jc w:val="both"/>
        <w:rPr>
          <w:szCs w:val="24"/>
        </w:rPr>
      </w:pPr>
      <w:r w:rsidRPr="00BD24A3">
        <w:rPr>
          <w:szCs w:val="24"/>
        </w:rPr>
        <w:t xml:space="preserve">The full list of ITU-R Questions, </w:t>
      </w:r>
      <w:r>
        <w:rPr>
          <w:szCs w:val="24"/>
        </w:rPr>
        <w:t xml:space="preserve">ITU-R </w:t>
      </w:r>
      <w:r w:rsidRPr="00BD24A3">
        <w:rPr>
          <w:szCs w:val="24"/>
        </w:rPr>
        <w:t xml:space="preserve">Recommendations and </w:t>
      </w:r>
      <w:r>
        <w:rPr>
          <w:szCs w:val="24"/>
        </w:rPr>
        <w:t xml:space="preserve">ITU-R </w:t>
      </w:r>
      <w:r w:rsidRPr="00BD24A3">
        <w:rPr>
          <w:szCs w:val="24"/>
        </w:rPr>
        <w:t xml:space="preserve">Reports </w:t>
      </w:r>
      <w:r>
        <w:rPr>
          <w:szCs w:val="24"/>
        </w:rPr>
        <w:t>approved since RAG</w:t>
      </w:r>
      <w:r>
        <w:rPr>
          <w:szCs w:val="24"/>
        </w:rPr>
        <w:noBreakHyphen/>
        <w:t xml:space="preserve">20 </w:t>
      </w:r>
      <w:r w:rsidRPr="00BD24A3">
        <w:rPr>
          <w:szCs w:val="24"/>
        </w:rPr>
        <w:t xml:space="preserve">can be found in </w:t>
      </w:r>
      <w:r>
        <w:rPr>
          <w:szCs w:val="24"/>
        </w:rPr>
        <w:t>Addendum 1 to</w:t>
      </w:r>
      <w:r w:rsidRPr="00BD24A3">
        <w:rPr>
          <w:szCs w:val="24"/>
        </w:rPr>
        <w:t xml:space="preserve"> Doc. RAG</w:t>
      </w:r>
      <w:r>
        <w:rPr>
          <w:szCs w:val="24"/>
        </w:rPr>
        <w:t>/</w:t>
      </w:r>
      <w:r w:rsidRPr="00BD24A3">
        <w:rPr>
          <w:szCs w:val="24"/>
        </w:rPr>
        <w:t>26.</w:t>
      </w:r>
    </w:p>
    <w:p w14:paraId="53CEAC48" w14:textId="523DF46A" w:rsidR="00713AFE" w:rsidRDefault="006D3225">
      <w:pPr>
        <w:pStyle w:val="Heading4"/>
      </w:pPr>
      <w:r>
        <w:t>•</w:t>
      </w:r>
      <w:r>
        <w:tab/>
      </w:r>
      <w:r w:rsidR="00713AFE">
        <w:t>ITU-R Questions</w:t>
      </w:r>
    </w:p>
    <w:p w14:paraId="3AB41D4C" w14:textId="6EB01A04" w:rsidR="00713AFE" w:rsidRDefault="00CE19CF" w:rsidP="00713AFE">
      <w:pPr>
        <w:jc w:val="both"/>
        <w:rPr>
          <w:szCs w:val="24"/>
        </w:rPr>
      </w:pPr>
      <w:r>
        <w:rPr>
          <w:szCs w:val="24"/>
        </w:rPr>
        <w:t>Since RAG-20</w:t>
      </w:r>
      <w:r w:rsidR="00713AFE">
        <w:rPr>
          <w:szCs w:val="24"/>
        </w:rPr>
        <w:t xml:space="preserve">, </w:t>
      </w:r>
      <w:r w:rsidR="00E84BD1">
        <w:rPr>
          <w:szCs w:val="24"/>
        </w:rPr>
        <w:t>one revised</w:t>
      </w:r>
      <w:r w:rsidR="00713AFE">
        <w:rPr>
          <w:szCs w:val="24"/>
        </w:rPr>
        <w:t xml:space="preserve"> </w:t>
      </w:r>
      <w:r w:rsidR="00713AFE" w:rsidRPr="00C909FB">
        <w:rPr>
          <w:szCs w:val="24"/>
        </w:rPr>
        <w:t>ITU-R Question w</w:t>
      </w:r>
      <w:r w:rsidR="00E84BD1">
        <w:rPr>
          <w:szCs w:val="24"/>
        </w:rPr>
        <w:t>as</w:t>
      </w:r>
      <w:r w:rsidR="00713AFE" w:rsidRPr="00C909FB">
        <w:rPr>
          <w:szCs w:val="24"/>
        </w:rPr>
        <w:t xml:space="preserve"> approved</w:t>
      </w:r>
      <w:r w:rsidR="00F8761F" w:rsidRPr="00F8761F">
        <w:rPr>
          <w:szCs w:val="24"/>
        </w:rPr>
        <w:t xml:space="preserve"> </w:t>
      </w:r>
      <w:r w:rsidR="00F8761F">
        <w:rPr>
          <w:szCs w:val="24"/>
        </w:rPr>
        <w:t>in accordance with the</w:t>
      </w:r>
      <w:r w:rsidR="00F8761F" w:rsidRPr="00D95C96">
        <w:rPr>
          <w:szCs w:val="24"/>
        </w:rPr>
        <w:t xml:space="preserve"> procedures established in Resolution ITU-R 1-8</w:t>
      </w:r>
      <w:r w:rsidR="00F8761F">
        <w:rPr>
          <w:szCs w:val="24"/>
        </w:rPr>
        <w:t xml:space="preserve"> and published. </w:t>
      </w:r>
      <w:r w:rsidR="00713AFE" w:rsidRPr="00D95C96">
        <w:rPr>
          <w:szCs w:val="24"/>
        </w:rPr>
        <w:t>Also</w:t>
      </w:r>
      <w:r w:rsidR="00713AFE">
        <w:rPr>
          <w:szCs w:val="24"/>
        </w:rPr>
        <w:t>,</w:t>
      </w:r>
      <w:r w:rsidR="00713AFE" w:rsidRPr="00D95C96">
        <w:rPr>
          <w:szCs w:val="24"/>
        </w:rPr>
        <w:t xml:space="preserve"> </w:t>
      </w:r>
      <w:r w:rsidR="00F5427D">
        <w:rPr>
          <w:szCs w:val="24"/>
        </w:rPr>
        <w:t>five</w:t>
      </w:r>
      <w:r w:rsidR="00F5427D" w:rsidRPr="00D95C96">
        <w:rPr>
          <w:szCs w:val="24"/>
        </w:rPr>
        <w:t xml:space="preserve"> </w:t>
      </w:r>
      <w:r w:rsidR="00713AFE" w:rsidRPr="00D95C96">
        <w:rPr>
          <w:szCs w:val="24"/>
        </w:rPr>
        <w:t>ITU-R Question</w:t>
      </w:r>
      <w:r w:rsidR="00F5427D">
        <w:rPr>
          <w:szCs w:val="24"/>
        </w:rPr>
        <w:t>s</w:t>
      </w:r>
      <w:r w:rsidR="00713AFE" w:rsidRPr="00D95C96">
        <w:rPr>
          <w:szCs w:val="24"/>
        </w:rPr>
        <w:t xml:space="preserve"> </w:t>
      </w:r>
      <w:r w:rsidR="00713AFE">
        <w:rPr>
          <w:szCs w:val="24"/>
        </w:rPr>
        <w:t>w</w:t>
      </w:r>
      <w:r w:rsidR="00F5427D">
        <w:rPr>
          <w:szCs w:val="24"/>
        </w:rPr>
        <w:t>ere</w:t>
      </w:r>
      <w:r w:rsidR="00713AFE" w:rsidRPr="00D95C96">
        <w:rPr>
          <w:szCs w:val="24"/>
        </w:rPr>
        <w:t xml:space="preserve"> suppressed during this period.</w:t>
      </w:r>
    </w:p>
    <w:p w14:paraId="6ABED12B" w14:textId="5DFE7A90" w:rsidR="00713AFE" w:rsidRPr="00C027A8" w:rsidRDefault="006D3225" w:rsidP="00713AFE">
      <w:pPr>
        <w:pStyle w:val="Heading4"/>
      </w:pPr>
      <w:r>
        <w:t>•</w:t>
      </w:r>
      <w:r>
        <w:tab/>
      </w:r>
      <w:r w:rsidR="00713AFE">
        <w:t>ITU-R Recommendations</w:t>
      </w:r>
    </w:p>
    <w:p w14:paraId="70DCF072" w14:textId="19956424" w:rsidR="00713AFE" w:rsidRPr="00C909FB" w:rsidRDefault="00713AFE" w:rsidP="00713AFE">
      <w:pPr>
        <w:tabs>
          <w:tab w:val="clear" w:pos="794"/>
        </w:tabs>
        <w:spacing w:before="80" w:after="240"/>
        <w:jc w:val="both"/>
      </w:pPr>
      <w:r w:rsidRPr="00C909FB">
        <w:t xml:space="preserve">Since </w:t>
      </w:r>
      <w:r w:rsidR="00A0451B">
        <w:t>RAG-20</w:t>
      </w:r>
      <w:r w:rsidRPr="00C909FB">
        <w:t xml:space="preserve">, </w:t>
      </w:r>
      <w:r w:rsidR="00B23001">
        <w:t>four</w:t>
      </w:r>
      <w:r w:rsidR="00A0451B">
        <w:t xml:space="preserve"> new ITU-R Recommendations and </w:t>
      </w:r>
      <w:r w:rsidR="00C371A6">
        <w:t>11</w:t>
      </w:r>
      <w:r w:rsidR="00A0451B" w:rsidRPr="00C909FB">
        <w:t xml:space="preserve"> </w:t>
      </w:r>
      <w:r w:rsidRPr="00C909FB">
        <w:t xml:space="preserve">revised ITU-R Recommendations </w:t>
      </w:r>
      <w:r>
        <w:t>were approved in accordance with the procedures established in Reso</w:t>
      </w:r>
      <w:r w:rsidRPr="00C909FB">
        <w:t>lution ITU-R 1-8</w:t>
      </w:r>
      <w:r>
        <w:t xml:space="preserve"> and published</w:t>
      </w:r>
      <w:r w:rsidR="00C371A6">
        <w:t xml:space="preserve"> </w:t>
      </w:r>
      <w:r w:rsidR="00C371A6" w:rsidRPr="00C027A8">
        <w:t xml:space="preserve">on the ITU website in English. </w:t>
      </w:r>
      <w:r w:rsidR="00C371A6" w:rsidRPr="00D53D9C">
        <w:t xml:space="preserve">Publication in 6 languages for few of these </w:t>
      </w:r>
      <w:r w:rsidR="003B679A">
        <w:t xml:space="preserve">ITU-R </w:t>
      </w:r>
      <w:r w:rsidR="00C371A6" w:rsidRPr="00D53D9C">
        <w:t>Recommendations is in progress</w:t>
      </w:r>
      <w:r>
        <w:t>.</w:t>
      </w:r>
    </w:p>
    <w:p w14:paraId="7CECA6B4" w14:textId="16301E6E" w:rsidR="00713AFE" w:rsidRDefault="007C5E48" w:rsidP="00713AFE">
      <w:pPr>
        <w:pStyle w:val="Heading4"/>
      </w:pPr>
      <w:r>
        <w:t>•</w:t>
      </w:r>
      <w:r>
        <w:tab/>
      </w:r>
      <w:r w:rsidR="00713AFE">
        <w:t>ITU-R Reports</w:t>
      </w:r>
    </w:p>
    <w:p w14:paraId="0AC548F5" w14:textId="3BEE801D" w:rsidR="00713AFE" w:rsidRPr="00C909FB" w:rsidRDefault="00863692" w:rsidP="00713AFE">
      <w:pPr>
        <w:jc w:val="both"/>
        <w:rPr>
          <w:rFonts w:eastAsia="SimSun"/>
        </w:rPr>
      </w:pPr>
      <w:r>
        <w:rPr>
          <w:szCs w:val="24"/>
        </w:rPr>
        <w:t>Since</w:t>
      </w:r>
      <w:r w:rsidR="00713AFE" w:rsidRPr="00C909FB">
        <w:rPr>
          <w:szCs w:val="24"/>
        </w:rPr>
        <w:t xml:space="preserve"> RAG-</w:t>
      </w:r>
      <w:r>
        <w:rPr>
          <w:szCs w:val="24"/>
        </w:rPr>
        <w:t>20</w:t>
      </w:r>
      <w:r w:rsidR="00713AFE">
        <w:rPr>
          <w:szCs w:val="24"/>
        </w:rPr>
        <w:t xml:space="preserve">, </w:t>
      </w:r>
      <w:r>
        <w:t>two</w:t>
      </w:r>
      <w:r w:rsidRPr="00C027A8">
        <w:t xml:space="preserve"> </w:t>
      </w:r>
      <w:r w:rsidR="00713AFE" w:rsidRPr="00C027A8">
        <w:t xml:space="preserve">new </w:t>
      </w:r>
      <w:r>
        <w:t>and 12</w:t>
      </w:r>
      <w:r w:rsidRPr="00C027A8">
        <w:t xml:space="preserve"> </w:t>
      </w:r>
      <w:r w:rsidR="00713AFE" w:rsidRPr="00C027A8">
        <w:t>revised</w:t>
      </w:r>
      <w:r w:rsidR="00713AFE">
        <w:t xml:space="preserve"> </w:t>
      </w:r>
      <w:r w:rsidR="00713AFE" w:rsidRPr="00C027A8">
        <w:t>ITU-R Re</w:t>
      </w:r>
      <w:r w:rsidR="00713AFE">
        <w:t>ports</w:t>
      </w:r>
      <w:r w:rsidR="00713AFE" w:rsidRPr="00C027A8">
        <w:t xml:space="preserve"> were published on the ITU website in English.</w:t>
      </w:r>
    </w:p>
    <w:p w14:paraId="03DA9962" w14:textId="0394CED4" w:rsidR="00713AFE" w:rsidRDefault="007C5E48" w:rsidP="00713AFE">
      <w:pPr>
        <w:pStyle w:val="Heading4"/>
      </w:pPr>
      <w:r>
        <w:t>•</w:t>
      </w:r>
      <w:r>
        <w:tab/>
      </w:r>
      <w:r w:rsidR="00713AFE">
        <w:t>ITU-R Handbooks</w:t>
      </w:r>
    </w:p>
    <w:p w14:paraId="620290B2" w14:textId="7ECF41E6" w:rsidR="00B0377A" w:rsidRDefault="00050FE1" w:rsidP="00485454">
      <w:pPr>
        <w:jc w:val="both"/>
        <w:rPr>
          <w:szCs w:val="24"/>
        </w:rPr>
      </w:pPr>
      <w:r w:rsidRPr="00050FE1">
        <w:rPr>
          <w:szCs w:val="24"/>
        </w:rPr>
        <w:t>Si</w:t>
      </w:r>
      <w:r w:rsidRPr="001B7F7F">
        <w:rPr>
          <w:szCs w:val="24"/>
        </w:rPr>
        <w:t>nce RAG-20</w:t>
      </w:r>
      <w:r>
        <w:rPr>
          <w:szCs w:val="24"/>
        </w:rPr>
        <w:t xml:space="preserve">, </w:t>
      </w:r>
      <w:r w:rsidR="0022466F" w:rsidRPr="0022466F">
        <w:rPr>
          <w:szCs w:val="24"/>
        </w:rPr>
        <w:t>Volume 5: Deployment of Broadband Wireless Access Systems</w:t>
      </w:r>
      <w:r w:rsidR="0022466F">
        <w:rPr>
          <w:szCs w:val="24"/>
        </w:rPr>
        <w:t xml:space="preserve"> </w:t>
      </w:r>
      <w:r>
        <w:rPr>
          <w:szCs w:val="24"/>
        </w:rPr>
        <w:t xml:space="preserve">of the </w:t>
      </w:r>
      <w:r w:rsidR="00A17526">
        <w:rPr>
          <w:szCs w:val="24"/>
        </w:rPr>
        <w:t>Land Mobile</w:t>
      </w:r>
      <w:r w:rsidR="0022466F">
        <w:rPr>
          <w:szCs w:val="24"/>
        </w:rPr>
        <w:t xml:space="preserve"> </w:t>
      </w:r>
      <w:r w:rsidR="0022466F" w:rsidRPr="0022466F">
        <w:rPr>
          <w:szCs w:val="24"/>
        </w:rPr>
        <w:t xml:space="preserve">(including Wireless Access) </w:t>
      </w:r>
      <w:r w:rsidR="00A17526">
        <w:rPr>
          <w:szCs w:val="24"/>
        </w:rPr>
        <w:t>Handbook</w:t>
      </w:r>
      <w:r w:rsidR="0022466F">
        <w:rPr>
          <w:szCs w:val="24"/>
        </w:rPr>
        <w:t xml:space="preserve"> was approved by WP 5A and it is published on the ITU website.</w:t>
      </w:r>
    </w:p>
    <w:p w14:paraId="17E3EB11" w14:textId="182D04DC" w:rsidR="00713AFE" w:rsidRPr="00B23001" w:rsidRDefault="00713AFE" w:rsidP="00713AFE">
      <w:pPr>
        <w:pStyle w:val="Heading3"/>
      </w:pPr>
      <w:r w:rsidRPr="00B23001">
        <w:lastRenderedPageBreak/>
        <w:t>8.1.4</w:t>
      </w:r>
      <w:r w:rsidRPr="00B23001">
        <w:tab/>
        <w:t>ITU-R Publications downloads</w:t>
      </w:r>
      <w:bookmarkEnd w:id="30"/>
      <w:bookmarkEnd w:id="31"/>
    </w:p>
    <w:p w14:paraId="1DBDA566" w14:textId="51F271D8" w:rsidR="00713AFE" w:rsidRPr="000E3695" w:rsidRDefault="00713AFE" w:rsidP="00713AFE">
      <w:pPr>
        <w:pStyle w:val="Heading4"/>
      </w:pPr>
      <w:bookmarkStart w:id="32" w:name="_Toc424047600"/>
      <w:bookmarkStart w:id="33" w:name="_Toc446060782"/>
      <w:r w:rsidRPr="000E3695">
        <w:t>8.1.4.1</w:t>
      </w:r>
      <w:r w:rsidR="00E04FC3">
        <w:tab/>
      </w:r>
      <w:r w:rsidRPr="000E3695">
        <w:t xml:space="preserve">Radio Regulations and the Rules of Procedure </w:t>
      </w:r>
    </w:p>
    <w:p w14:paraId="191AD167" w14:textId="19314F98" w:rsidR="00491536" w:rsidRDefault="00713AFE" w:rsidP="008505B2">
      <w:pPr>
        <w:jc w:val="both"/>
      </w:pPr>
      <w:r w:rsidRPr="000E3695">
        <w:t>Concerning these regulatory documents, Table 8.1.4.1-1 shows the number of deliveries for the</w:t>
      </w:r>
      <w:r>
        <w:t xml:space="preserve"> </w:t>
      </w:r>
      <w:r w:rsidRPr="000E3695">
        <w:t>RR</w:t>
      </w:r>
      <w:r>
        <w:noBreakHyphen/>
      </w:r>
      <w:r w:rsidRPr="000E3695">
        <w:t xml:space="preserve">2016 </w:t>
      </w:r>
      <w:r w:rsidR="003B5634">
        <w:t xml:space="preserve">and </w:t>
      </w:r>
      <w:r w:rsidR="002B1CC3">
        <w:t>RR-2020 editions</w:t>
      </w:r>
      <w:r w:rsidRPr="000E3695">
        <w:t xml:space="preserve">. </w:t>
      </w:r>
    </w:p>
    <w:p w14:paraId="0FCDF262" w14:textId="77777777" w:rsidR="00713AFE" w:rsidRPr="000E3695" w:rsidRDefault="00713AFE" w:rsidP="00491536">
      <w:pPr>
        <w:pStyle w:val="TableNo"/>
      </w:pPr>
      <w:r w:rsidRPr="000E3695">
        <w:t>Table 8.1.4.1-1</w:t>
      </w:r>
    </w:p>
    <w:p w14:paraId="6AD84415" w14:textId="77777777" w:rsidR="00491536" w:rsidRDefault="00491536" w:rsidP="00491536">
      <w:pPr>
        <w:pStyle w:val="TabletitleBR"/>
      </w:pPr>
      <w:r>
        <w:t>Number of deliveries of the Radio Regulations</w:t>
      </w:r>
    </w:p>
    <w:tbl>
      <w:tblPr>
        <w:tblW w:w="8070" w:type="dxa"/>
        <w:jc w:val="center"/>
        <w:tblCellMar>
          <w:left w:w="0" w:type="dxa"/>
          <w:right w:w="0" w:type="dxa"/>
        </w:tblCellMar>
        <w:tblLook w:val="04A0" w:firstRow="1" w:lastRow="0" w:firstColumn="1" w:lastColumn="0" w:noHBand="0" w:noVBand="1"/>
      </w:tblPr>
      <w:tblGrid>
        <w:gridCol w:w="2478"/>
        <w:gridCol w:w="1491"/>
        <w:gridCol w:w="1550"/>
        <w:gridCol w:w="2551"/>
      </w:tblGrid>
      <w:tr w:rsidR="00491536" w14:paraId="2E774428" w14:textId="77777777" w:rsidTr="32AC1E01">
        <w:trPr>
          <w:trHeight w:val="525"/>
          <w:jc w:val="center"/>
        </w:trPr>
        <w:tc>
          <w:tcPr>
            <w:tcW w:w="2478" w:type="dxa"/>
            <w:tcBorders>
              <w:top w:val="single" w:sz="8" w:space="0" w:color="FFFFFF" w:themeColor="background1"/>
              <w:left w:val="single" w:sz="8" w:space="0" w:color="FFFFFF" w:themeColor="background1"/>
              <w:bottom w:val="single" w:sz="8" w:space="0" w:color="FFFFFF" w:themeColor="background1"/>
              <w:right w:val="nil"/>
            </w:tcBorders>
            <w:shd w:val="clear" w:color="auto" w:fill="4472C4"/>
            <w:tcMar>
              <w:top w:w="0" w:type="dxa"/>
              <w:left w:w="108" w:type="dxa"/>
              <w:bottom w:w="0" w:type="dxa"/>
              <w:right w:w="108" w:type="dxa"/>
            </w:tcMar>
            <w:vAlign w:val="center"/>
            <w:hideMark/>
          </w:tcPr>
          <w:p w14:paraId="05B8D976" w14:textId="77777777" w:rsidR="00491536" w:rsidRDefault="00491536">
            <w:pPr>
              <w:spacing w:after="120"/>
              <w:jc w:val="center"/>
              <w:rPr>
                <w:rFonts w:ascii="Times" w:hAnsi="Times" w:cs="Times"/>
                <w:b/>
                <w:bCs/>
                <w:color w:val="FFFFFF"/>
                <w:sz w:val="20"/>
                <w:lang w:val="en-US"/>
              </w:rPr>
            </w:pPr>
            <w:r>
              <w:rPr>
                <w:b/>
                <w:bCs/>
                <w:color w:val="FFFFFF"/>
                <w:sz w:val="20"/>
                <w:lang w:val="en-US"/>
              </w:rPr>
              <w:t>RR-16</w:t>
            </w:r>
          </w:p>
        </w:tc>
        <w:tc>
          <w:tcPr>
            <w:tcW w:w="1491" w:type="dxa"/>
            <w:tcBorders>
              <w:top w:val="single" w:sz="8" w:space="0" w:color="FFFFFF" w:themeColor="background1"/>
              <w:left w:val="nil"/>
              <w:bottom w:val="single" w:sz="8" w:space="0" w:color="FFFFFF" w:themeColor="background1"/>
              <w:right w:val="nil"/>
            </w:tcBorders>
            <w:shd w:val="clear" w:color="auto" w:fill="4472C4"/>
            <w:tcMar>
              <w:top w:w="0" w:type="dxa"/>
              <w:left w:w="108" w:type="dxa"/>
              <w:bottom w:w="0" w:type="dxa"/>
              <w:right w:w="108" w:type="dxa"/>
            </w:tcMar>
            <w:vAlign w:val="center"/>
            <w:hideMark/>
          </w:tcPr>
          <w:p w14:paraId="1F7B32D9" w14:textId="77777777" w:rsidR="00491536" w:rsidRDefault="00491536">
            <w:pPr>
              <w:spacing w:after="120"/>
              <w:jc w:val="center"/>
              <w:rPr>
                <w:b/>
                <w:bCs/>
                <w:color w:val="FFFFFF"/>
                <w:sz w:val="20"/>
                <w:lang w:val="en-US"/>
              </w:rPr>
            </w:pPr>
            <w:r>
              <w:rPr>
                <w:b/>
                <w:bCs/>
                <w:color w:val="FFFFFF"/>
                <w:sz w:val="20"/>
                <w:lang w:val="en-US"/>
              </w:rPr>
              <w:t>2018</w:t>
            </w:r>
          </w:p>
        </w:tc>
        <w:tc>
          <w:tcPr>
            <w:tcW w:w="1550" w:type="dxa"/>
            <w:tcBorders>
              <w:top w:val="single" w:sz="8" w:space="0" w:color="FFFFFF" w:themeColor="background1"/>
              <w:left w:val="nil"/>
              <w:bottom w:val="single" w:sz="8" w:space="0" w:color="FFFFFF" w:themeColor="background1"/>
              <w:right w:val="nil"/>
            </w:tcBorders>
            <w:shd w:val="clear" w:color="auto" w:fill="4472C4"/>
            <w:tcMar>
              <w:top w:w="0" w:type="dxa"/>
              <w:left w:w="108" w:type="dxa"/>
              <w:bottom w:w="0" w:type="dxa"/>
              <w:right w:w="108" w:type="dxa"/>
            </w:tcMar>
            <w:vAlign w:val="center"/>
            <w:hideMark/>
          </w:tcPr>
          <w:p w14:paraId="545A8466" w14:textId="77777777" w:rsidR="00491536" w:rsidRDefault="00491536">
            <w:pPr>
              <w:spacing w:after="120"/>
              <w:jc w:val="center"/>
              <w:rPr>
                <w:rFonts w:ascii="Calibri" w:hAnsi="Calibri" w:cs="Calibri"/>
                <w:b/>
                <w:bCs/>
                <w:color w:val="FFFFFF"/>
                <w:sz w:val="20"/>
                <w:lang w:val="en-US"/>
              </w:rPr>
            </w:pPr>
            <w:r>
              <w:rPr>
                <w:b/>
                <w:bCs/>
                <w:color w:val="FFFFFF"/>
                <w:sz w:val="20"/>
                <w:lang w:val="en-US"/>
              </w:rPr>
              <w:t>2019</w:t>
            </w:r>
          </w:p>
        </w:tc>
        <w:tc>
          <w:tcPr>
            <w:tcW w:w="2551" w:type="dxa"/>
            <w:tcBorders>
              <w:top w:val="single" w:sz="8" w:space="0" w:color="FFFFFF" w:themeColor="background1"/>
              <w:left w:val="nil"/>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vAlign w:val="center"/>
            <w:hideMark/>
          </w:tcPr>
          <w:p w14:paraId="2F962787" w14:textId="67998FC8" w:rsidR="00491536" w:rsidRDefault="00491536">
            <w:pPr>
              <w:spacing w:after="120"/>
              <w:jc w:val="center"/>
              <w:rPr>
                <w:b/>
                <w:bCs/>
                <w:color w:val="FFFFFF"/>
                <w:sz w:val="20"/>
                <w:lang w:val="en-US"/>
              </w:rPr>
            </w:pPr>
            <w:r>
              <w:rPr>
                <w:b/>
                <w:bCs/>
                <w:color w:val="FFFFFF"/>
                <w:sz w:val="20"/>
                <w:lang w:val="en-US"/>
              </w:rPr>
              <w:t xml:space="preserve">2020* </w:t>
            </w:r>
            <w:r w:rsidR="008B4FEA">
              <w:rPr>
                <w:b/>
                <w:bCs/>
                <w:color w:val="FFFFFF"/>
                <w:sz w:val="20"/>
                <w:lang w:val="en-US"/>
              </w:rPr>
              <w:br/>
            </w:r>
            <w:r>
              <w:rPr>
                <w:b/>
                <w:bCs/>
                <w:color w:val="FFFFFF"/>
                <w:sz w:val="20"/>
                <w:lang w:val="en-US"/>
              </w:rPr>
              <w:t>(2016 ed and 2020 ed)</w:t>
            </w:r>
          </w:p>
        </w:tc>
      </w:tr>
      <w:tr w:rsidR="00491536" w14:paraId="610FD6C4" w14:textId="77777777" w:rsidTr="32AC1E01">
        <w:trPr>
          <w:trHeight w:val="315"/>
          <w:jc w:val="center"/>
        </w:trPr>
        <w:tc>
          <w:tcPr>
            <w:tcW w:w="2478"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307E6B67" w14:textId="77777777" w:rsidR="00491536" w:rsidRDefault="00491536">
            <w:pPr>
              <w:spacing w:after="120"/>
              <w:jc w:val="center"/>
              <w:rPr>
                <w:b/>
                <w:bCs/>
                <w:color w:val="FFFFFF"/>
                <w:sz w:val="20"/>
                <w:lang w:val="en-US"/>
              </w:rPr>
            </w:pPr>
            <w:r>
              <w:rPr>
                <w:b/>
                <w:bCs/>
                <w:color w:val="FFFFFF"/>
                <w:sz w:val="20"/>
                <w:lang w:val="en-US"/>
              </w:rPr>
              <w:t>Hard copies sold</w:t>
            </w:r>
          </w:p>
        </w:tc>
        <w:tc>
          <w:tcPr>
            <w:tcW w:w="1491"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7CEB2315" w14:textId="5748298E" w:rsidR="00491536" w:rsidRDefault="09E1C1B9" w:rsidP="3443D3EE">
            <w:pPr>
              <w:spacing w:after="120" w:line="259" w:lineRule="auto"/>
              <w:jc w:val="center"/>
              <w:rPr>
                <w:color w:val="000000" w:themeColor="text1"/>
                <w:szCs w:val="24"/>
                <w:lang w:val="en-US"/>
              </w:rPr>
            </w:pPr>
            <w:r w:rsidRPr="3443D3EE">
              <w:rPr>
                <w:color w:val="000000" w:themeColor="text1"/>
                <w:sz w:val="20"/>
                <w:lang w:val="en-US"/>
              </w:rPr>
              <w:t>257</w:t>
            </w:r>
          </w:p>
        </w:tc>
        <w:tc>
          <w:tcPr>
            <w:tcW w:w="1550"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63ADE692" w14:textId="45C5928F" w:rsidR="00491536" w:rsidRDefault="3E2616CD" w:rsidP="3443D3EE">
            <w:pPr>
              <w:spacing w:after="120" w:line="259" w:lineRule="auto"/>
              <w:jc w:val="center"/>
              <w:rPr>
                <w:color w:val="000000" w:themeColor="text1"/>
                <w:szCs w:val="24"/>
                <w:lang w:val="en-US"/>
              </w:rPr>
            </w:pPr>
            <w:r w:rsidRPr="3443D3EE">
              <w:rPr>
                <w:color w:val="000000" w:themeColor="text1"/>
                <w:sz w:val="20"/>
                <w:lang w:val="en-US"/>
              </w:rPr>
              <w:t>182</w:t>
            </w:r>
          </w:p>
        </w:tc>
        <w:tc>
          <w:tcPr>
            <w:tcW w:w="2551"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21735851" w14:textId="24ED7EBE" w:rsidR="00491536" w:rsidRDefault="00491536" w:rsidP="32AC1E01">
            <w:pPr>
              <w:spacing w:after="120"/>
              <w:jc w:val="center"/>
              <w:rPr>
                <w:color w:val="000000"/>
                <w:sz w:val="20"/>
                <w:lang w:val="en-US"/>
              </w:rPr>
            </w:pPr>
            <w:r w:rsidRPr="32AC1E01">
              <w:rPr>
                <w:color w:val="000000" w:themeColor="text1"/>
                <w:sz w:val="20"/>
                <w:lang w:val="en-US"/>
              </w:rPr>
              <w:t xml:space="preserve">2016 ed:  59  </w:t>
            </w:r>
            <w:r w:rsidR="00784C02">
              <w:rPr>
                <w:color w:val="000000" w:themeColor="text1"/>
                <w:sz w:val="20"/>
                <w:lang w:val="en-US"/>
              </w:rPr>
              <w:t xml:space="preserve"> </w:t>
            </w:r>
            <w:r>
              <w:rPr>
                <w:color w:val="000000" w:themeColor="text1"/>
                <w:sz w:val="20"/>
                <w:lang w:val="en-US"/>
              </w:rPr>
              <w:br/>
            </w:r>
            <w:r w:rsidRPr="32AC1E01">
              <w:rPr>
                <w:color w:val="000000" w:themeColor="text1"/>
                <w:sz w:val="20"/>
                <w:lang w:val="en-US"/>
              </w:rPr>
              <w:t>2020 ed: 1</w:t>
            </w:r>
            <w:r w:rsidR="5D675E91" w:rsidRPr="32AC1E01">
              <w:rPr>
                <w:color w:val="000000" w:themeColor="text1"/>
                <w:sz w:val="20"/>
                <w:lang w:val="en-US"/>
              </w:rPr>
              <w:t xml:space="preserve"> </w:t>
            </w:r>
            <w:r w:rsidRPr="32AC1E01">
              <w:rPr>
                <w:color w:val="000000" w:themeColor="text1"/>
                <w:sz w:val="20"/>
                <w:lang w:val="en-US"/>
              </w:rPr>
              <w:t>170</w:t>
            </w:r>
          </w:p>
        </w:tc>
      </w:tr>
      <w:tr w:rsidR="00491536" w14:paraId="4EE39609" w14:textId="77777777" w:rsidTr="32AC1E01">
        <w:trPr>
          <w:trHeight w:val="315"/>
          <w:jc w:val="center"/>
        </w:trPr>
        <w:tc>
          <w:tcPr>
            <w:tcW w:w="2478"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37AF1803" w14:textId="77777777" w:rsidR="00491536" w:rsidRDefault="00491536">
            <w:pPr>
              <w:spacing w:after="120"/>
              <w:jc w:val="center"/>
              <w:rPr>
                <w:b/>
                <w:bCs/>
                <w:color w:val="FFFFFF"/>
                <w:sz w:val="20"/>
                <w:lang w:val="en-US"/>
              </w:rPr>
            </w:pPr>
            <w:r>
              <w:rPr>
                <w:b/>
                <w:bCs/>
                <w:color w:val="FFFFFF"/>
                <w:sz w:val="20"/>
                <w:lang w:val="en-US"/>
              </w:rPr>
              <w:t>DVD’s sold</w:t>
            </w:r>
          </w:p>
        </w:tc>
        <w:tc>
          <w:tcPr>
            <w:tcW w:w="1491" w:type="dxa"/>
            <w:tcBorders>
              <w:top w:val="nil"/>
              <w:left w:val="nil"/>
              <w:bottom w:val="single" w:sz="8" w:space="0" w:color="FFFFFF" w:themeColor="background1"/>
              <w:right w:val="single" w:sz="8" w:space="0" w:color="FFFFFF" w:themeColor="background1"/>
            </w:tcBorders>
            <w:shd w:val="clear" w:color="auto" w:fill="D9E2F3"/>
            <w:tcMar>
              <w:top w:w="0" w:type="dxa"/>
              <w:left w:w="108" w:type="dxa"/>
              <w:bottom w:w="0" w:type="dxa"/>
              <w:right w:w="108" w:type="dxa"/>
            </w:tcMar>
          </w:tcPr>
          <w:p w14:paraId="5338F9C4" w14:textId="6A34D6D6" w:rsidR="00491536" w:rsidRDefault="31142728" w:rsidP="3443D3EE">
            <w:pPr>
              <w:spacing w:after="120" w:line="259" w:lineRule="auto"/>
              <w:jc w:val="center"/>
              <w:rPr>
                <w:color w:val="000000" w:themeColor="text1"/>
                <w:szCs w:val="24"/>
                <w:lang w:val="en-US"/>
              </w:rPr>
            </w:pPr>
            <w:r w:rsidRPr="3443D3EE">
              <w:rPr>
                <w:color w:val="000000" w:themeColor="text1"/>
                <w:sz w:val="20"/>
                <w:lang w:val="en-US"/>
              </w:rPr>
              <w:t>1</w:t>
            </w:r>
            <w:r w:rsidR="00820D71">
              <w:rPr>
                <w:color w:val="000000" w:themeColor="text1"/>
                <w:sz w:val="20"/>
                <w:lang w:val="en-US"/>
              </w:rPr>
              <w:t xml:space="preserve"> </w:t>
            </w:r>
            <w:r w:rsidRPr="3443D3EE">
              <w:rPr>
                <w:color w:val="000000" w:themeColor="text1"/>
                <w:sz w:val="20"/>
                <w:lang w:val="en-US"/>
              </w:rPr>
              <w:t>264</w:t>
            </w:r>
          </w:p>
        </w:tc>
        <w:tc>
          <w:tcPr>
            <w:tcW w:w="1550" w:type="dxa"/>
            <w:tcBorders>
              <w:top w:val="nil"/>
              <w:left w:val="nil"/>
              <w:bottom w:val="single" w:sz="8" w:space="0" w:color="FFFFFF" w:themeColor="background1"/>
              <w:right w:val="single" w:sz="8" w:space="0" w:color="FFFFFF" w:themeColor="background1"/>
            </w:tcBorders>
            <w:shd w:val="clear" w:color="auto" w:fill="D9E2F3"/>
            <w:tcMar>
              <w:top w:w="0" w:type="dxa"/>
              <w:left w:w="108" w:type="dxa"/>
              <w:bottom w:w="0" w:type="dxa"/>
              <w:right w:w="108" w:type="dxa"/>
            </w:tcMar>
            <w:hideMark/>
          </w:tcPr>
          <w:p w14:paraId="4BD2A367" w14:textId="4B4B34A2" w:rsidR="00491536" w:rsidRDefault="448CAD31" w:rsidP="3443D3EE">
            <w:pPr>
              <w:spacing w:line="259" w:lineRule="auto"/>
              <w:jc w:val="center"/>
              <w:rPr>
                <w:color w:val="000000" w:themeColor="text1"/>
                <w:szCs w:val="24"/>
                <w:lang w:val="en-US"/>
              </w:rPr>
            </w:pPr>
            <w:r w:rsidRPr="3443D3EE">
              <w:rPr>
                <w:color w:val="000000" w:themeColor="text1"/>
                <w:sz w:val="20"/>
                <w:lang w:val="en-US"/>
              </w:rPr>
              <w:t>1</w:t>
            </w:r>
            <w:r w:rsidR="00820D71">
              <w:rPr>
                <w:color w:val="000000" w:themeColor="text1"/>
                <w:sz w:val="20"/>
                <w:lang w:val="en-US"/>
              </w:rPr>
              <w:t xml:space="preserve"> </w:t>
            </w:r>
            <w:r w:rsidRPr="3443D3EE">
              <w:rPr>
                <w:color w:val="000000" w:themeColor="text1"/>
                <w:sz w:val="20"/>
                <w:lang w:val="en-US"/>
              </w:rPr>
              <w:t>063</w:t>
            </w:r>
          </w:p>
        </w:tc>
        <w:tc>
          <w:tcPr>
            <w:tcW w:w="2551" w:type="dxa"/>
            <w:tcBorders>
              <w:top w:val="nil"/>
              <w:left w:val="nil"/>
              <w:bottom w:val="single" w:sz="8" w:space="0" w:color="FFFFFF" w:themeColor="background1"/>
              <w:right w:val="single" w:sz="8" w:space="0" w:color="FFFFFF" w:themeColor="background1"/>
            </w:tcBorders>
            <w:shd w:val="clear" w:color="auto" w:fill="D9E2F3"/>
            <w:tcMar>
              <w:top w:w="0" w:type="dxa"/>
              <w:left w:w="108" w:type="dxa"/>
              <w:bottom w:w="0" w:type="dxa"/>
              <w:right w:w="108" w:type="dxa"/>
            </w:tcMar>
            <w:hideMark/>
          </w:tcPr>
          <w:p w14:paraId="6AD38008" w14:textId="49556B3B" w:rsidR="00491536" w:rsidRDefault="00491536" w:rsidP="32AC1E01">
            <w:pPr>
              <w:spacing w:after="120"/>
              <w:jc w:val="center"/>
              <w:rPr>
                <w:rFonts w:ascii="Calibri" w:eastAsiaTheme="minorEastAsia" w:hAnsi="Calibri" w:cs="Calibri"/>
                <w:color w:val="000000"/>
                <w:sz w:val="20"/>
                <w:lang w:val="en-US"/>
              </w:rPr>
            </w:pPr>
            <w:r w:rsidRPr="32AC1E01">
              <w:rPr>
                <w:color w:val="000000" w:themeColor="text1"/>
                <w:sz w:val="20"/>
                <w:lang w:val="en-US"/>
              </w:rPr>
              <w:t xml:space="preserve">2016 ed: 482  </w:t>
            </w:r>
            <w:r>
              <w:rPr>
                <w:color w:val="000000" w:themeColor="text1"/>
                <w:sz w:val="20"/>
                <w:lang w:val="en-US"/>
              </w:rPr>
              <w:br/>
            </w:r>
            <w:r w:rsidRPr="32AC1E01">
              <w:rPr>
                <w:color w:val="000000" w:themeColor="text1"/>
                <w:sz w:val="20"/>
                <w:lang w:val="en-US"/>
              </w:rPr>
              <w:t>2020 ed: 5</w:t>
            </w:r>
            <w:r w:rsidR="353FB135" w:rsidRPr="32AC1E01">
              <w:rPr>
                <w:color w:val="000000" w:themeColor="text1"/>
                <w:sz w:val="20"/>
                <w:lang w:val="en-US"/>
              </w:rPr>
              <w:t xml:space="preserve"> </w:t>
            </w:r>
            <w:r w:rsidRPr="32AC1E01">
              <w:rPr>
                <w:color w:val="000000" w:themeColor="text1"/>
                <w:sz w:val="20"/>
                <w:lang w:val="en-US"/>
              </w:rPr>
              <w:t>061</w:t>
            </w:r>
          </w:p>
        </w:tc>
      </w:tr>
      <w:tr w:rsidR="00491536" w14:paraId="425FA578" w14:textId="77777777" w:rsidTr="32AC1E01">
        <w:trPr>
          <w:trHeight w:val="315"/>
          <w:jc w:val="center"/>
        </w:trPr>
        <w:tc>
          <w:tcPr>
            <w:tcW w:w="2478"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0BFFBD1A" w14:textId="77777777" w:rsidR="00491536" w:rsidRDefault="00491536">
            <w:pPr>
              <w:spacing w:after="120"/>
              <w:jc w:val="center"/>
              <w:rPr>
                <w:b/>
                <w:bCs/>
                <w:color w:val="FFFFFF"/>
                <w:sz w:val="20"/>
                <w:lang w:val="en-US"/>
              </w:rPr>
            </w:pPr>
            <w:r>
              <w:rPr>
                <w:b/>
                <w:bCs/>
                <w:color w:val="FFFFFF"/>
                <w:sz w:val="20"/>
                <w:lang w:val="en-US"/>
              </w:rPr>
              <w:t>Free downloads</w:t>
            </w:r>
          </w:p>
        </w:tc>
        <w:tc>
          <w:tcPr>
            <w:tcW w:w="1491"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6D063C26" w14:textId="77777777" w:rsidR="00491536" w:rsidRDefault="00491536">
            <w:pPr>
              <w:spacing w:after="120"/>
              <w:jc w:val="center"/>
              <w:rPr>
                <w:color w:val="000000"/>
                <w:sz w:val="20"/>
                <w:lang w:val="en-US"/>
              </w:rPr>
            </w:pPr>
            <w:r>
              <w:rPr>
                <w:color w:val="000000"/>
                <w:sz w:val="20"/>
                <w:lang w:val="en-US"/>
              </w:rPr>
              <w:t>5 342*</w:t>
            </w:r>
          </w:p>
        </w:tc>
        <w:tc>
          <w:tcPr>
            <w:tcW w:w="1550"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233E765E" w14:textId="77777777" w:rsidR="00491536" w:rsidRDefault="00491536">
            <w:pPr>
              <w:spacing w:after="120"/>
              <w:jc w:val="center"/>
              <w:rPr>
                <w:color w:val="000000"/>
                <w:sz w:val="20"/>
                <w:lang w:val="en-US"/>
              </w:rPr>
            </w:pPr>
            <w:r>
              <w:rPr>
                <w:color w:val="000000"/>
                <w:sz w:val="20"/>
                <w:lang w:val="en-US"/>
              </w:rPr>
              <w:t>18 400**</w:t>
            </w:r>
          </w:p>
        </w:tc>
        <w:tc>
          <w:tcPr>
            <w:tcW w:w="2551"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tcPr>
          <w:p w14:paraId="2E4FB1AA" w14:textId="2B75D014" w:rsidR="00491536" w:rsidRDefault="0D1A3D2D" w:rsidP="32AC1E01">
            <w:pPr>
              <w:spacing w:after="120"/>
              <w:jc w:val="center"/>
              <w:rPr>
                <w:color w:val="000000"/>
                <w:sz w:val="20"/>
                <w:lang w:val="en-US"/>
              </w:rPr>
            </w:pPr>
            <w:r w:rsidRPr="32AC1E01">
              <w:rPr>
                <w:color w:val="000000" w:themeColor="text1"/>
                <w:sz w:val="20"/>
                <w:lang w:val="en-US"/>
              </w:rPr>
              <w:t xml:space="preserve">2016 ed: </w:t>
            </w:r>
            <w:r w:rsidR="190D2835" w:rsidRPr="32AC1E01">
              <w:rPr>
                <w:color w:val="000000" w:themeColor="text1"/>
                <w:sz w:val="20"/>
                <w:lang w:val="en-US"/>
              </w:rPr>
              <w:t>1</w:t>
            </w:r>
            <w:r w:rsidR="10B9C847" w:rsidRPr="32AC1E01">
              <w:rPr>
                <w:color w:val="000000" w:themeColor="text1"/>
                <w:sz w:val="20"/>
                <w:lang w:val="en-US"/>
              </w:rPr>
              <w:t xml:space="preserve">0 818 </w:t>
            </w:r>
            <w:r w:rsidR="008C3DF7">
              <w:br/>
            </w:r>
            <w:r w:rsidR="6F048FF1" w:rsidRPr="32AC1E01">
              <w:rPr>
                <w:color w:val="000000" w:themeColor="text1"/>
                <w:sz w:val="20"/>
                <w:lang w:val="en-US"/>
              </w:rPr>
              <w:t>2020 ed:</w:t>
            </w:r>
            <w:r w:rsidR="10B9C847" w:rsidRPr="32AC1E01">
              <w:rPr>
                <w:color w:val="000000" w:themeColor="text1"/>
                <w:sz w:val="20"/>
                <w:lang w:val="en-US"/>
              </w:rPr>
              <w:t xml:space="preserve"> 2</w:t>
            </w:r>
            <w:r w:rsidR="2D3A8A82" w:rsidRPr="32AC1E01">
              <w:rPr>
                <w:color w:val="000000" w:themeColor="text1"/>
                <w:sz w:val="20"/>
                <w:lang w:val="en-US"/>
              </w:rPr>
              <w:t xml:space="preserve"> </w:t>
            </w:r>
            <w:r w:rsidR="10B9C847" w:rsidRPr="32AC1E01">
              <w:rPr>
                <w:color w:val="000000" w:themeColor="text1"/>
                <w:sz w:val="20"/>
                <w:lang w:val="en-US"/>
              </w:rPr>
              <w:t>318</w:t>
            </w:r>
          </w:p>
        </w:tc>
      </w:tr>
      <w:tr w:rsidR="00491536" w14:paraId="307AA998" w14:textId="77777777" w:rsidTr="32AC1E01">
        <w:trPr>
          <w:trHeight w:val="315"/>
          <w:jc w:val="center"/>
        </w:trPr>
        <w:tc>
          <w:tcPr>
            <w:tcW w:w="8070" w:type="dxa"/>
            <w:gridSpan w:val="4"/>
            <w:tcBorders>
              <w:top w:val="nil"/>
              <w:left w:val="single" w:sz="8" w:space="0" w:color="FFFFFF" w:themeColor="background1"/>
              <w:bottom w:val="single" w:sz="8" w:space="0" w:color="FFFFFF" w:themeColor="background1"/>
              <w:right w:val="single" w:sz="8" w:space="0" w:color="FFFFFF" w:themeColor="background1"/>
            </w:tcBorders>
            <w:shd w:val="clear" w:color="auto" w:fill="auto"/>
            <w:tcMar>
              <w:top w:w="0" w:type="dxa"/>
              <w:left w:w="108" w:type="dxa"/>
              <w:bottom w:w="0" w:type="dxa"/>
              <w:right w:w="108" w:type="dxa"/>
            </w:tcMar>
          </w:tcPr>
          <w:p w14:paraId="6A5BB6D8" w14:textId="77777777" w:rsidR="00491536" w:rsidRDefault="00491536" w:rsidP="006B474E">
            <w:pPr>
              <w:spacing w:before="0"/>
              <w:rPr>
                <w:sz w:val="16"/>
                <w:szCs w:val="16"/>
                <w:lang w:val="en-US"/>
              </w:rPr>
            </w:pPr>
            <w:r>
              <w:rPr>
                <w:color w:val="000000"/>
                <w:sz w:val="16"/>
                <w:szCs w:val="16"/>
                <w:lang w:val="en-US"/>
              </w:rPr>
              <w:t>*Cumulative value from December 2016 to September 2018.</w:t>
            </w:r>
          </w:p>
          <w:p w14:paraId="5B827CE5" w14:textId="77777777" w:rsidR="00491536" w:rsidRDefault="00491536" w:rsidP="006B474E">
            <w:pPr>
              <w:spacing w:before="0"/>
              <w:rPr>
                <w:b/>
                <w:bCs/>
                <w:color w:val="FFFFFF"/>
                <w:sz w:val="16"/>
                <w:szCs w:val="16"/>
                <w:lang w:val="en-US"/>
              </w:rPr>
            </w:pPr>
            <w:r>
              <w:rPr>
                <w:color w:val="000000"/>
                <w:sz w:val="16"/>
                <w:szCs w:val="16"/>
                <w:lang w:val="en-US"/>
              </w:rPr>
              <w:t>**Cumulative value from 1 January to 1 December 2019.</w:t>
            </w:r>
          </w:p>
          <w:p w14:paraId="37FE43C5" w14:textId="77777777" w:rsidR="00491536" w:rsidRDefault="00491536" w:rsidP="006B474E">
            <w:pPr>
              <w:spacing w:before="0"/>
              <w:rPr>
                <w:b/>
                <w:bCs/>
                <w:color w:val="FFFFFF"/>
                <w:sz w:val="16"/>
                <w:szCs w:val="16"/>
                <w:lang w:val="en-US"/>
              </w:rPr>
            </w:pPr>
          </w:p>
        </w:tc>
      </w:tr>
    </w:tbl>
    <w:p w14:paraId="2AD2791C" w14:textId="77777777" w:rsidR="00491536" w:rsidRDefault="00491536" w:rsidP="00491536"/>
    <w:p w14:paraId="4945DC9D" w14:textId="2DA39F12" w:rsidR="00713AFE" w:rsidRPr="00E14FBD" w:rsidRDefault="00713AFE" w:rsidP="00713AFE">
      <w:pPr>
        <w:pStyle w:val="Heading4"/>
        <w:rPr>
          <w:lang w:val="en-US"/>
        </w:rPr>
      </w:pPr>
      <w:r w:rsidRPr="00E14FBD">
        <w:rPr>
          <w:lang w:val="en-US"/>
        </w:rPr>
        <w:t>8.1.4.2</w:t>
      </w:r>
      <w:r w:rsidR="00E04FC3">
        <w:rPr>
          <w:lang w:val="en-US"/>
        </w:rPr>
        <w:tab/>
      </w:r>
      <w:r w:rsidRPr="00E14FBD">
        <w:rPr>
          <w:lang w:val="en-US"/>
        </w:rPr>
        <w:t>ITU-R Recommendations</w:t>
      </w:r>
    </w:p>
    <w:p w14:paraId="60671079" w14:textId="04F9CDB0" w:rsidR="00713AFE" w:rsidRPr="000E3695" w:rsidRDefault="00713AFE" w:rsidP="00713AFE">
      <w:pPr>
        <w:jc w:val="both"/>
      </w:pPr>
      <w:r>
        <w:t xml:space="preserve">As a result of the free online access policy, ITU-R Recommendations are accessed and downloaded worldwide. In a </w:t>
      </w:r>
      <w:r w:rsidR="1215F70D">
        <w:t>45</w:t>
      </w:r>
      <w:r>
        <w:t>-month period (January 201</w:t>
      </w:r>
      <w:r w:rsidR="0C1917CF">
        <w:t>7</w:t>
      </w:r>
      <w:r>
        <w:t xml:space="preserve"> to </w:t>
      </w:r>
      <w:r w:rsidR="21CDF8C4">
        <w:t>December</w:t>
      </w:r>
      <w:r>
        <w:t xml:space="preserve"> 20</w:t>
      </w:r>
      <w:r w:rsidR="1FD7C7D5">
        <w:t>20</w:t>
      </w:r>
      <w:r>
        <w:t>), more than f</w:t>
      </w:r>
      <w:r w:rsidR="382D7ABD">
        <w:t>ive</w:t>
      </w:r>
      <w:r>
        <w:t xml:space="preserve"> million downloads of ITU-R Recommendations from ITU web site were recorded. Table 8.1.4.21 summarizes their distribution by year and series. </w:t>
      </w:r>
      <w:proofErr w:type="gramStart"/>
      <w:r>
        <w:t>At this time</w:t>
      </w:r>
      <w:proofErr w:type="gramEnd"/>
      <w:r>
        <w:t>, there are 1 182 ITU-R Recommendations in force.</w:t>
      </w:r>
    </w:p>
    <w:p w14:paraId="29F9F959" w14:textId="77777777" w:rsidR="00A86453" w:rsidRDefault="00A86453" w:rsidP="00015BC1">
      <w:pPr>
        <w:jc w:val="both"/>
      </w:pPr>
    </w:p>
    <w:p w14:paraId="4AD8DE04" w14:textId="77777777" w:rsidR="00A86453" w:rsidRDefault="00A86453" w:rsidP="00015BC1">
      <w:pPr>
        <w:jc w:val="both"/>
      </w:pPr>
    </w:p>
    <w:p w14:paraId="4A59E99F" w14:textId="77777777" w:rsidR="00AC4DC1" w:rsidRDefault="00AC4DC1">
      <w:pPr>
        <w:tabs>
          <w:tab w:val="clear" w:pos="794"/>
          <w:tab w:val="clear" w:pos="1191"/>
          <w:tab w:val="clear" w:pos="1588"/>
          <w:tab w:val="clear" w:pos="1985"/>
        </w:tabs>
        <w:overflowPunct/>
        <w:autoSpaceDE/>
        <w:autoSpaceDN/>
        <w:adjustRightInd/>
        <w:spacing w:before="0"/>
        <w:textAlignment w:val="auto"/>
        <w:rPr>
          <w:highlight w:val="cyan"/>
        </w:rPr>
      </w:pPr>
      <w:r>
        <w:rPr>
          <w:highlight w:val="cyan"/>
        </w:rPr>
        <w:br w:type="page"/>
      </w:r>
    </w:p>
    <w:p w14:paraId="1E1BB157" w14:textId="77777777" w:rsidR="00713AFE" w:rsidRDefault="00713AFE" w:rsidP="00713AFE">
      <w:pPr>
        <w:rPr>
          <w:highlight w:val="cyan"/>
        </w:rPr>
        <w:sectPr w:rsidR="00713AFE" w:rsidSect="00821CFB">
          <w:headerReference w:type="even" r:id="rId35"/>
          <w:headerReference w:type="default" r:id="rId36"/>
          <w:footerReference w:type="even" r:id="rId37"/>
          <w:pgSz w:w="11907" w:h="16834"/>
          <w:pgMar w:top="1418" w:right="1134" w:bottom="2127" w:left="1134" w:header="720" w:footer="720" w:gutter="0"/>
          <w:paperSrc w:first="15" w:other="15"/>
          <w:cols w:space="720"/>
          <w:titlePg/>
          <w:docGrid w:linePitch="326"/>
        </w:sectPr>
      </w:pPr>
    </w:p>
    <w:p w14:paraId="276F2129" w14:textId="77777777" w:rsidR="00713AFE" w:rsidRPr="00B207C8" w:rsidRDefault="00713AFE" w:rsidP="00713AFE">
      <w:pPr>
        <w:pStyle w:val="TableNo"/>
        <w:spacing w:before="480"/>
      </w:pPr>
      <w:r w:rsidRPr="00B207C8">
        <w:lastRenderedPageBreak/>
        <w:t>Table 8.1.4.2-1</w:t>
      </w:r>
    </w:p>
    <w:p w14:paraId="6D57F177" w14:textId="77777777" w:rsidR="00713AFE" w:rsidRDefault="00713AFE" w:rsidP="00713AFE">
      <w:pPr>
        <w:pStyle w:val="TabletitleBR"/>
      </w:pPr>
      <w:r w:rsidRPr="00B207C8">
        <w:t>Distribution of ITU-R Recommendations (downloads)</w:t>
      </w:r>
    </w:p>
    <w:tbl>
      <w:tblPr>
        <w:tblStyle w:val="GridTable5Dark-Accent1"/>
        <w:tblW w:w="9629" w:type="dxa"/>
        <w:jc w:val="center"/>
        <w:tblLook w:val="04A0" w:firstRow="1" w:lastRow="0" w:firstColumn="1" w:lastColumn="0" w:noHBand="0" w:noVBand="1"/>
      </w:tblPr>
      <w:tblGrid>
        <w:gridCol w:w="9629"/>
      </w:tblGrid>
      <w:tr w:rsidR="00713AFE" w:rsidRPr="00787F82" w14:paraId="00148CEE" w14:textId="77777777" w:rsidTr="32AC1E01">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629" w:type="dxa"/>
            <w:shd w:val="clear" w:color="auto" w:fill="auto"/>
            <w:noWrap/>
          </w:tcPr>
          <w:tbl>
            <w:tblPr>
              <w:tblStyle w:val="GridTable5Dark-Accent1"/>
              <w:tblW w:w="0" w:type="auto"/>
              <w:tblInd w:w="90" w:type="dxa"/>
              <w:tblLook w:val="04A0" w:firstRow="1" w:lastRow="0" w:firstColumn="1" w:lastColumn="0" w:noHBand="0" w:noVBand="1"/>
            </w:tblPr>
            <w:tblGrid>
              <w:gridCol w:w="1275"/>
              <w:gridCol w:w="1245"/>
              <w:gridCol w:w="1245"/>
              <w:gridCol w:w="1290"/>
              <w:gridCol w:w="1320"/>
              <w:gridCol w:w="1245"/>
              <w:gridCol w:w="1170"/>
            </w:tblGrid>
            <w:tr w:rsidR="47C799D0" w14:paraId="2C748C53" w14:textId="77777777" w:rsidTr="47C799D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tcBorders>
                </w:tcPr>
                <w:p w14:paraId="145262CF" w14:textId="5CEDB875" w:rsidR="47C799D0" w:rsidRDefault="47C799D0" w:rsidP="47C799D0">
                  <w:pPr>
                    <w:jc w:val="center"/>
                  </w:pPr>
                  <w:r w:rsidRPr="47C799D0">
                    <w:rPr>
                      <w:sz w:val="20"/>
                    </w:rPr>
                    <w:t>SERIES</w:t>
                  </w:r>
                </w:p>
              </w:tc>
              <w:tc>
                <w:tcPr>
                  <w:tcW w:w="1245" w:type="dxa"/>
                  <w:tcBorders>
                    <w:top w:val="single" w:sz="8" w:space="0" w:color="FFFFFF" w:themeColor="background1"/>
                    <w:bottom w:val="single" w:sz="8" w:space="0" w:color="FFFFFF" w:themeColor="background1"/>
                  </w:tcBorders>
                </w:tcPr>
                <w:p w14:paraId="36DB1592" w14:textId="76E72823" w:rsidR="47C799D0" w:rsidRDefault="47C799D0" w:rsidP="47C799D0">
                  <w:pPr>
                    <w:jc w:val="center"/>
                    <w:cnfStyle w:val="100000000000" w:firstRow="1" w:lastRow="0" w:firstColumn="0" w:lastColumn="0" w:oddVBand="0" w:evenVBand="0" w:oddHBand="0" w:evenHBand="0" w:firstRowFirstColumn="0" w:firstRowLastColumn="0" w:lastRowFirstColumn="0" w:lastRowLastColumn="0"/>
                  </w:pPr>
                  <w:r w:rsidRPr="47C799D0">
                    <w:rPr>
                      <w:b w:val="0"/>
                      <w:bCs w:val="0"/>
                      <w:sz w:val="20"/>
                    </w:rPr>
                    <w:t>2017</w:t>
                  </w:r>
                </w:p>
              </w:tc>
              <w:tc>
                <w:tcPr>
                  <w:tcW w:w="1245" w:type="dxa"/>
                  <w:tcBorders>
                    <w:top w:val="single" w:sz="8" w:space="0" w:color="FFFFFF" w:themeColor="background1"/>
                    <w:bottom w:val="single" w:sz="8" w:space="0" w:color="FFFFFF" w:themeColor="background1"/>
                  </w:tcBorders>
                </w:tcPr>
                <w:p w14:paraId="3FE2550D" w14:textId="7BA9BAD3" w:rsidR="47C799D0" w:rsidRDefault="47C799D0" w:rsidP="47C799D0">
                  <w:pPr>
                    <w:jc w:val="center"/>
                    <w:cnfStyle w:val="100000000000" w:firstRow="1" w:lastRow="0" w:firstColumn="0" w:lastColumn="0" w:oddVBand="0" w:evenVBand="0" w:oddHBand="0" w:evenHBand="0" w:firstRowFirstColumn="0" w:firstRowLastColumn="0" w:lastRowFirstColumn="0" w:lastRowLastColumn="0"/>
                  </w:pPr>
                  <w:r w:rsidRPr="47C799D0">
                    <w:rPr>
                      <w:b w:val="0"/>
                      <w:bCs w:val="0"/>
                      <w:sz w:val="20"/>
                    </w:rPr>
                    <w:t>2018*</w:t>
                  </w:r>
                </w:p>
              </w:tc>
              <w:tc>
                <w:tcPr>
                  <w:tcW w:w="1290" w:type="dxa"/>
                  <w:tcBorders>
                    <w:top w:val="single" w:sz="8" w:space="0" w:color="FFFFFF" w:themeColor="background1"/>
                    <w:bottom w:val="single" w:sz="8" w:space="0" w:color="FFFFFF" w:themeColor="background1"/>
                  </w:tcBorders>
                </w:tcPr>
                <w:p w14:paraId="28927742" w14:textId="01EFE920" w:rsidR="47C799D0" w:rsidRDefault="47C799D0" w:rsidP="47C799D0">
                  <w:pPr>
                    <w:jc w:val="center"/>
                    <w:cnfStyle w:val="100000000000" w:firstRow="1" w:lastRow="0" w:firstColumn="0" w:lastColumn="0" w:oddVBand="0" w:evenVBand="0" w:oddHBand="0" w:evenHBand="0" w:firstRowFirstColumn="0" w:firstRowLastColumn="0" w:lastRowFirstColumn="0" w:lastRowLastColumn="0"/>
                  </w:pPr>
                  <w:r w:rsidRPr="47C799D0">
                    <w:rPr>
                      <w:b w:val="0"/>
                      <w:bCs w:val="0"/>
                      <w:sz w:val="20"/>
                    </w:rPr>
                    <w:t>2019</w:t>
                  </w:r>
                </w:p>
              </w:tc>
              <w:tc>
                <w:tcPr>
                  <w:tcW w:w="1320" w:type="dxa"/>
                  <w:tcBorders>
                    <w:top w:val="single" w:sz="8" w:space="0" w:color="FFFFFF" w:themeColor="background1"/>
                    <w:bottom w:val="single" w:sz="8" w:space="0" w:color="FFFFFF" w:themeColor="background1"/>
                  </w:tcBorders>
                </w:tcPr>
                <w:p w14:paraId="3206944A" w14:textId="143BEE93" w:rsidR="47C799D0" w:rsidRDefault="47C799D0" w:rsidP="47C799D0">
                  <w:pPr>
                    <w:jc w:val="center"/>
                    <w:cnfStyle w:val="100000000000" w:firstRow="1" w:lastRow="0" w:firstColumn="0" w:lastColumn="0" w:oddVBand="0" w:evenVBand="0" w:oddHBand="0" w:evenHBand="0" w:firstRowFirstColumn="0" w:firstRowLastColumn="0" w:lastRowFirstColumn="0" w:lastRowLastColumn="0"/>
                  </w:pPr>
                  <w:r w:rsidRPr="47C799D0">
                    <w:rPr>
                      <w:b w:val="0"/>
                      <w:bCs w:val="0"/>
                      <w:sz w:val="20"/>
                    </w:rPr>
                    <w:t>2020</w:t>
                  </w:r>
                </w:p>
              </w:tc>
              <w:tc>
                <w:tcPr>
                  <w:tcW w:w="1245" w:type="dxa"/>
                  <w:tcBorders>
                    <w:top w:val="single" w:sz="8" w:space="0" w:color="FFFFFF" w:themeColor="background1"/>
                    <w:bottom w:val="single" w:sz="8" w:space="0" w:color="FFFFFF" w:themeColor="background1"/>
                  </w:tcBorders>
                </w:tcPr>
                <w:p w14:paraId="475D787C" w14:textId="6A8D15E0" w:rsidR="47C799D0" w:rsidRDefault="47C799D0" w:rsidP="47C799D0">
                  <w:pPr>
                    <w:jc w:val="center"/>
                    <w:cnfStyle w:val="100000000000" w:firstRow="1" w:lastRow="0" w:firstColumn="0" w:lastColumn="0" w:oddVBand="0" w:evenVBand="0" w:oddHBand="0" w:evenHBand="0" w:firstRowFirstColumn="0" w:firstRowLastColumn="0" w:lastRowFirstColumn="0" w:lastRowLastColumn="0"/>
                  </w:pPr>
                  <w:r w:rsidRPr="47C799D0">
                    <w:rPr>
                      <w:b w:val="0"/>
                      <w:bCs w:val="0"/>
                      <w:sz w:val="20"/>
                    </w:rPr>
                    <w:t>TOTAL</w:t>
                  </w:r>
                </w:p>
              </w:tc>
              <w:tc>
                <w:tcPr>
                  <w:tcW w:w="1170" w:type="dxa"/>
                  <w:tcBorders>
                    <w:top w:val="single" w:sz="8" w:space="0" w:color="FFFFFF" w:themeColor="background1"/>
                    <w:bottom w:val="single" w:sz="8" w:space="0" w:color="FFFFFF" w:themeColor="background1"/>
                    <w:right w:val="single" w:sz="8" w:space="0" w:color="FFFFFF" w:themeColor="background1"/>
                  </w:tcBorders>
                </w:tcPr>
                <w:p w14:paraId="0349A078" w14:textId="08091EDF" w:rsidR="47C799D0" w:rsidRDefault="47C799D0" w:rsidP="47C799D0">
                  <w:pPr>
                    <w:jc w:val="center"/>
                    <w:cnfStyle w:val="100000000000" w:firstRow="1" w:lastRow="0" w:firstColumn="0" w:lastColumn="0" w:oddVBand="0" w:evenVBand="0" w:oddHBand="0" w:evenHBand="0" w:firstRowFirstColumn="0" w:firstRowLastColumn="0" w:lastRowFirstColumn="0" w:lastRowLastColumn="0"/>
                  </w:pPr>
                  <w:r w:rsidRPr="47C799D0">
                    <w:rPr>
                      <w:b w:val="0"/>
                      <w:bCs w:val="0"/>
                      <w:sz w:val="20"/>
                    </w:rPr>
                    <w:t>%</w:t>
                  </w:r>
                </w:p>
              </w:tc>
            </w:tr>
            <w:tr w:rsidR="47C799D0" w14:paraId="6B7DC071" w14:textId="77777777" w:rsidTr="47C799D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B88837D" w14:textId="29D1F761" w:rsidR="47C799D0" w:rsidRDefault="47C799D0" w:rsidP="47C799D0">
                  <w:pPr>
                    <w:jc w:val="center"/>
                  </w:pPr>
                  <w:r w:rsidRPr="47C799D0">
                    <w:rPr>
                      <w:sz w:val="20"/>
                    </w:rPr>
                    <w:t>P</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D48AD35" w14:textId="4E1E0EF7"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316 019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5FEBD22" w14:textId="68CE79CE"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280 201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3DEF256" w14:textId="1B9D948B"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290 677</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80C4646" w14:textId="48585712"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351 395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16DD38C" w14:textId="40628905"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1 238 292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82A61AC" w14:textId="3467F434"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21.83%</w:t>
                  </w:r>
                </w:p>
              </w:tc>
            </w:tr>
            <w:tr w:rsidR="47C799D0" w14:paraId="492ADC1C" w14:textId="77777777" w:rsidTr="47C799D0">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EDF084D" w14:textId="4A28D9E3" w:rsidR="47C799D0" w:rsidRDefault="47C799D0" w:rsidP="47C799D0">
                  <w:pPr>
                    <w:jc w:val="center"/>
                  </w:pPr>
                  <w:r w:rsidRPr="47C799D0">
                    <w:rPr>
                      <w:sz w:val="20"/>
                    </w:rPr>
                    <w:t>BT</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07A3822" w14:textId="3B8F94BD"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269 185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361CBE3" w14:textId="2C4DB22F"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254 048</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8794FA2" w14:textId="2A97A740"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167 909</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6B41999" w14:textId="1CDB611A"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201 022</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EEC719A" w14:textId="432CBC17"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892 164</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964E194" w14:textId="1AFC1727"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15.73%</w:t>
                  </w:r>
                </w:p>
              </w:tc>
            </w:tr>
            <w:tr w:rsidR="47C799D0" w14:paraId="1DB63D80" w14:textId="77777777" w:rsidTr="47C799D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3C7520C" w14:textId="3778B1D0" w:rsidR="47C799D0" w:rsidRDefault="47C799D0" w:rsidP="47C799D0">
                  <w:pPr>
                    <w:jc w:val="center"/>
                  </w:pPr>
                  <w:r w:rsidRPr="47C799D0">
                    <w:rPr>
                      <w:sz w:val="20"/>
                    </w:rPr>
                    <w:t>M</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43C50C7" w14:textId="63078E6C"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208 528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75B21B8" w14:textId="5BE36DFE"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182 366</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ABA45DD" w14:textId="78645F6F"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236 681</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19D85DF" w14:textId="2EE6FB10"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329 236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F50D861" w14:textId="705504E3"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956 811</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9A5F928" w14:textId="486B7CB7"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16.87%</w:t>
                  </w:r>
                </w:p>
              </w:tc>
            </w:tr>
            <w:tr w:rsidR="47C799D0" w14:paraId="02E3A5AD" w14:textId="77777777" w:rsidTr="47C799D0">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23F70DC" w14:textId="2AA5B31C" w:rsidR="47C799D0" w:rsidRDefault="47C799D0" w:rsidP="47C799D0">
                  <w:pPr>
                    <w:jc w:val="center"/>
                  </w:pPr>
                  <w:r w:rsidRPr="47C799D0">
                    <w:rPr>
                      <w:sz w:val="20"/>
                    </w:rPr>
                    <w:t>SM</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8E43C34" w14:textId="2D698BE1"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147 502</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102CBAE" w14:textId="11E76B06"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136 164</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6484964" w14:textId="3BEBDCF6"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130 949</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A7ACC1" w14:textId="2777BF50"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154 205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C049D1F" w14:textId="606324C5"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568 820</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48A56C6" w14:textId="3BCC278C"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10.03%</w:t>
                  </w:r>
                </w:p>
              </w:tc>
            </w:tr>
            <w:tr w:rsidR="47C799D0" w14:paraId="06A8C334" w14:textId="77777777" w:rsidTr="47C799D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2C34318" w14:textId="14549B3A" w:rsidR="47C799D0" w:rsidRDefault="47C799D0" w:rsidP="47C799D0">
                  <w:pPr>
                    <w:jc w:val="center"/>
                  </w:pPr>
                  <w:r w:rsidRPr="47C799D0">
                    <w:rPr>
                      <w:sz w:val="20"/>
                    </w:rPr>
                    <w:t>BS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C399AE4" w14:textId="750ADC4F"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152 305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5B2FE5F" w14:textId="758B2B21"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135 637</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B8B079" w14:textId="39E02F75"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106 231</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A3BEAF6" w14:textId="653A4E60"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129 114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63DF5AF" w14:textId="23013E88"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523 287</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2946D7D" w14:textId="4359F995"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9.23%</w:t>
                  </w:r>
                </w:p>
              </w:tc>
            </w:tr>
            <w:tr w:rsidR="47C799D0" w14:paraId="6F1A88D6" w14:textId="77777777" w:rsidTr="47C799D0">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FE18673" w14:textId="58545A8A" w:rsidR="47C799D0" w:rsidRDefault="47C799D0" w:rsidP="47C799D0">
                  <w:pPr>
                    <w:jc w:val="center"/>
                  </w:pPr>
                  <w:r w:rsidRPr="47C799D0">
                    <w:rPr>
                      <w:sz w:val="20"/>
                    </w:rPr>
                    <w:t>F</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6424C41" w14:textId="11033A36"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131 647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A5E3FEE" w14:textId="0D9ED560"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107 795</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D6A4832" w14:textId="3841502D"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107 027</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6E0B7D8" w14:textId="7CD3F0FD"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135 623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A1D6B37" w14:textId="66363DD7"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482 092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54C989E" w14:textId="1567A84B"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8.50%</w:t>
                  </w:r>
                </w:p>
              </w:tc>
            </w:tr>
            <w:tr w:rsidR="47C799D0" w14:paraId="10851FF3" w14:textId="77777777" w:rsidTr="47C799D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71E6420" w14:textId="17842185" w:rsidR="47C799D0" w:rsidRDefault="47C799D0" w:rsidP="47C799D0">
                  <w:pPr>
                    <w:jc w:val="center"/>
                  </w:pPr>
                  <w:r w:rsidRPr="47C799D0">
                    <w:rPr>
                      <w:sz w:val="20"/>
                    </w:rPr>
                    <w:t>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271647A" w14:textId="21D3715E"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103 445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1DF5886" w14:textId="61842AE6"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90 408</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D6F06AC" w14:textId="429349DC"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75 665</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8021D91" w14:textId="19D06065"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101 589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1CC92C2" w14:textId="0D27AC98"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371 107</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9FC342B" w14:textId="1CDD557E"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6.54%</w:t>
                  </w:r>
                </w:p>
              </w:tc>
            </w:tr>
            <w:tr w:rsidR="47C799D0" w14:paraId="4C18DC67" w14:textId="77777777" w:rsidTr="47C799D0">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B329112" w14:textId="213F9387" w:rsidR="47C799D0" w:rsidRDefault="47C799D0" w:rsidP="47C799D0">
                  <w:pPr>
                    <w:jc w:val="center"/>
                  </w:pPr>
                  <w:r w:rsidRPr="47C799D0">
                    <w:rPr>
                      <w:sz w:val="20"/>
                    </w:rPr>
                    <w:t>BO</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9947B8D" w14:textId="16C712EC"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32 071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A845BD8" w14:textId="0E986080"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34 735</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C573701" w14:textId="0E1EC9A9"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14 614</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A5FA7D4" w14:textId="5511366D"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24 649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D460214" w14:textId="5366979E"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106 069</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725BE75" w14:textId="24622DE7"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1.87%</w:t>
                  </w:r>
                </w:p>
              </w:tc>
            </w:tr>
            <w:tr w:rsidR="47C799D0" w14:paraId="4246303E" w14:textId="77777777" w:rsidTr="47C799D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8622A01" w14:textId="62FBD478" w:rsidR="47C799D0" w:rsidRDefault="47C799D0" w:rsidP="47C799D0">
                  <w:pPr>
                    <w:jc w:val="center"/>
                  </w:pPr>
                  <w:r w:rsidRPr="47C799D0">
                    <w:rPr>
                      <w:sz w:val="20"/>
                    </w:rPr>
                    <w:t>SA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3F7E2BC" w14:textId="7E29937D"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25 168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8BC4D93" w14:textId="71BA6592"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25 301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1BEDA4C" w14:textId="2D30A0EA"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22 836</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44A3F0D" w14:textId="3931F99B"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39 557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7002414" w14:textId="17621CF7"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112 862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9A8C2DF" w14:textId="3FC6BEB8"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1.99%</w:t>
                  </w:r>
                </w:p>
              </w:tc>
            </w:tr>
            <w:tr w:rsidR="47C799D0" w14:paraId="2A0E7D49" w14:textId="77777777" w:rsidTr="47C799D0">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6827334" w14:textId="4A5875C1" w:rsidR="47C799D0" w:rsidRDefault="47C799D0" w:rsidP="47C799D0">
                  <w:pPr>
                    <w:jc w:val="center"/>
                  </w:pPr>
                  <w:r w:rsidRPr="47C799D0">
                    <w:rPr>
                      <w:sz w:val="20"/>
                    </w:rPr>
                    <w:t>RS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A659919" w14:textId="7423488D"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28 578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3C5C101" w14:textId="1ABC9CB8"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21 263</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A33CD3" w14:textId="4468ECD0"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13 571</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F9CBCEA" w14:textId="75845407"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22 707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C1292A0" w14:textId="62CA4C96"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86 119</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B6B2D1D" w14:textId="1D9726C8"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1.52%</w:t>
                  </w:r>
                </w:p>
              </w:tc>
            </w:tr>
            <w:tr w:rsidR="47C799D0" w14:paraId="084F8BC0" w14:textId="77777777" w:rsidTr="47C799D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4065BB2" w14:textId="65B29B8A" w:rsidR="47C799D0" w:rsidRDefault="47C799D0" w:rsidP="47C799D0">
                  <w:pPr>
                    <w:jc w:val="center"/>
                  </w:pPr>
                  <w:r w:rsidRPr="47C799D0">
                    <w:rPr>
                      <w:sz w:val="20"/>
                    </w:rPr>
                    <w:t>V</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8E6142D" w14:textId="3066E916"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18 827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A92E270" w14:textId="6F391F70"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19 778</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D5E26F6" w14:textId="4A95DA41"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29 689</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E64A537" w14:textId="31E27D89"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36 926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991ABB7" w14:textId="433F443C"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105 220</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A00D9B5" w14:textId="4D73A4A9"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1.86%</w:t>
                  </w:r>
                </w:p>
              </w:tc>
            </w:tr>
            <w:tr w:rsidR="47C799D0" w14:paraId="5994B8F7" w14:textId="77777777" w:rsidTr="47C799D0">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07C0278" w14:textId="47F73748" w:rsidR="47C799D0" w:rsidRDefault="47C799D0" w:rsidP="47C799D0">
                  <w:pPr>
                    <w:jc w:val="center"/>
                  </w:pPr>
                  <w:r w:rsidRPr="47C799D0">
                    <w:rPr>
                      <w:sz w:val="20"/>
                    </w:rPr>
                    <w:t>TF</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9DC99FA" w14:textId="00948FF7"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18 354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1CEABD0" w14:textId="254B0CAB"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17 323</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1642FB0" w14:textId="4F9803D0"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13 294</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D4FF1D3" w14:textId="5CCE64BA"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19 945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CA6EA3" w14:textId="650A1616"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68 916</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19C1B12" w14:textId="66D49FB6"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1.22%</w:t>
                  </w:r>
                </w:p>
              </w:tc>
            </w:tr>
            <w:tr w:rsidR="47C799D0" w14:paraId="52141207" w14:textId="77777777" w:rsidTr="47C799D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B3376B" w14:textId="5C68055D" w:rsidR="47C799D0" w:rsidRDefault="47C799D0" w:rsidP="47C799D0">
                  <w:pPr>
                    <w:jc w:val="center"/>
                  </w:pPr>
                  <w:r w:rsidRPr="47C799D0">
                    <w:rPr>
                      <w:sz w:val="20"/>
                    </w:rPr>
                    <w:t>SF</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497DE51" w14:textId="4AE6AC90"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15 181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305C8C1" w14:textId="2F6C5E2C"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15 584</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F8BC0CC" w14:textId="1C8FC5F8"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13 168</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2A0901A" w14:textId="073DBB44"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15 739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D3794D9" w14:textId="23427A22"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59 672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8DFA8EF" w14:textId="6B5E2389"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1.05%</w:t>
                  </w:r>
                </w:p>
              </w:tc>
            </w:tr>
            <w:tr w:rsidR="47C799D0" w14:paraId="6E56D2CB" w14:textId="77777777" w:rsidTr="47C799D0">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84F2A15" w14:textId="5D5E2236" w:rsidR="47C799D0" w:rsidRDefault="47C799D0" w:rsidP="47C799D0">
                  <w:pPr>
                    <w:jc w:val="center"/>
                  </w:pPr>
                  <w:r w:rsidRPr="47C799D0">
                    <w:rPr>
                      <w:sz w:val="20"/>
                    </w:rPr>
                    <w:t>BR</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B47F757" w14:textId="4F774FFF"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16 844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55BF571" w14:textId="5F36BD47"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15 014</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7A889CB" w14:textId="62F3002A"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8 210</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177C050" w14:textId="28A284C7"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13 405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2A9E652" w14:textId="61149A89"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53 473</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EC23D03" w14:textId="75F95010"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0.94%</w:t>
                  </w:r>
                </w:p>
              </w:tc>
            </w:tr>
            <w:tr w:rsidR="47C799D0" w14:paraId="20D44D39" w14:textId="77777777" w:rsidTr="47C799D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873B5E0" w14:textId="69AEF5AB" w:rsidR="47C799D0" w:rsidRDefault="47C799D0" w:rsidP="47C799D0">
                  <w:pPr>
                    <w:jc w:val="center"/>
                  </w:pPr>
                  <w:r w:rsidRPr="47C799D0">
                    <w:rPr>
                      <w:sz w:val="20"/>
                    </w:rPr>
                    <w:t>RA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CD2CC5D" w14:textId="7E4F9C9F"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9 589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C2E3E19" w14:textId="5940E9ED"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9 100</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F478EAA" w14:textId="24AF84E8"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6 916</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D8C2059" w14:textId="596DB413"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9 900</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32D7166" w14:textId="53DD774D"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35 505</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A559E75" w14:textId="6D03A7BA" w:rsidR="47C799D0" w:rsidRDefault="47C799D0" w:rsidP="47C799D0">
                  <w:pPr>
                    <w:jc w:val="center"/>
                    <w:cnfStyle w:val="000000100000" w:firstRow="0" w:lastRow="0" w:firstColumn="0" w:lastColumn="0" w:oddVBand="0" w:evenVBand="0" w:oddHBand="1" w:evenHBand="0" w:firstRowFirstColumn="0" w:firstRowLastColumn="0" w:lastRowFirstColumn="0" w:lastRowLastColumn="0"/>
                  </w:pPr>
                  <w:r w:rsidRPr="47C799D0">
                    <w:rPr>
                      <w:color w:val="000000" w:themeColor="text1"/>
                      <w:szCs w:val="24"/>
                    </w:rPr>
                    <w:t>0.63%</w:t>
                  </w:r>
                </w:p>
              </w:tc>
            </w:tr>
            <w:tr w:rsidR="47C799D0" w14:paraId="2DA191C6" w14:textId="77777777" w:rsidTr="47C799D0">
              <w:trPr>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3FF5B42" w14:textId="61D929D2" w:rsidR="47C799D0" w:rsidRDefault="47C799D0" w:rsidP="47C799D0">
                  <w:pPr>
                    <w:jc w:val="center"/>
                  </w:pPr>
                  <w:r w:rsidRPr="47C799D0">
                    <w:rPr>
                      <w:sz w:val="20"/>
                    </w:rPr>
                    <w:t>SNG</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74FDAB4" w14:textId="1DF0F3EB"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3 221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BE2679F" w14:textId="7DEE6FC8"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3 049</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E1AC6D2" w14:textId="0A55D076"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2 064</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1B54044" w14:textId="53BE5E73"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2 711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5F7CC44" w14:textId="5FEA0966"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11 045</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FE78542" w14:textId="4D95F713" w:rsidR="47C799D0" w:rsidRDefault="47C799D0" w:rsidP="47C799D0">
                  <w:pPr>
                    <w:jc w:val="center"/>
                    <w:cnfStyle w:val="000000000000" w:firstRow="0" w:lastRow="0" w:firstColumn="0" w:lastColumn="0" w:oddVBand="0" w:evenVBand="0" w:oddHBand="0" w:evenHBand="0" w:firstRowFirstColumn="0" w:firstRowLastColumn="0" w:lastRowFirstColumn="0" w:lastRowLastColumn="0"/>
                  </w:pPr>
                  <w:r w:rsidRPr="47C799D0">
                    <w:rPr>
                      <w:color w:val="000000" w:themeColor="text1"/>
                      <w:szCs w:val="24"/>
                    </w:rPr>
                    <w:t>0.19%</w:t>
                  </w:r>
                </w:p>
              </w:tc>
            </w:tr>
            <w:tr w:rsidR="47C799D0" w14:paraId="3D8292CA" w14:textId="77777777" w:rsidTr="47C799D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4702FAE" w14:textId="7D8DDC93" w:rsidR="211901C5" w:rsidRDefault="211901C5" w:rsidP="47C799D0">
                  <w:pPr>
                    <w:jc w:val="center"/>
                    <w:rPr>
                      <w:sz w:val="20"/>
                    </w:rPr>
                  </w:pPr>
                  <w:r w:rsidRPr="47C799D0">
                    <w:rPr>
                      <w:sz w:val="20"/>
                    </w:rPr>
                    <w:t>TOTAL</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F80EA71" w14:textId="78557AFC" w:rsidR="211901C5" w:rsidRDefault="211901C5" w:rsidP="47C799D0">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47C799D0">
                    <w:rPr>
                      <w:b/>
                      <w:bCs/>
                      <w:color w:val="000000" w:themeColor="text1"/>
                      <w:szCs w:val="24"/>
                    </w:rPr>
                    <w:t>1 496 464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7D79109" w14:textId="185D9E98" w:rsidR="211901C5" w:rsidRDefault="211901C5" w:rsidP="47C799D0">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47C799D0">
                    <w:rPr>
                      <w:b/>
                      <w:bCs/>
                      <w:color w:val="000000" w:themeColor="text1"/>
                      <w:szCs w:val="24"/>
                    </w:rPr>
                    <w:t>1 347 766</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8082AF2" w14:textId="552759D9" w:rsidR="211901C5" w:rsidRDefault="211901C5" w:rsidP="47C799D0">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47C799D0">
                    <w:rPr>
                      <w:b/>
                      <w:bCs/>
                      <w:color w:val="000000" w:themeColor="text1"/>
                      <w:szCs w:val="24"/>
                    </w:rPr>
                    <w:t>1 239 501</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AF6B361" w14:textId="09848207" w:rsidR="211901C5" w:rsidRDefault="211901C5" w:rsidP="47C799D0">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47C799D0">
                    <w:rPr>
                      <w:b/>
                      <w:bCs/>
                      <w:color w:val="000000" w:themeColor="text1"/>
                      <w:szCs w:val="24"/>
                    </w:rPr>
                    <w:t>1 587 723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F709929" w14:textId="6D14EBE7" w:rsidR="211901C5" w:rsidRDefault="211901C5" w:rsidP="47C799D0">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47C799D0">
                    <w:rPr>
                      <w:b/>
                      <w:bCs/>
                      <w:color w:val="000000" w:themeColor="text1"/>
                      <w:szCs w:val="24"/>
                    </w:rPr>
                    <w:t>5 671 454</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55B9D1D" w14:textId="26E17F28" w:rsidR="211901C5" w:rsidRDefault="211901C5" w:rsidP="47C799D0">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47C799D0">
                    <w:rPr>
                      <w:color w:val="000000" w:themeColor="text1"/>
                      <w:szCs w:val="24"/>
                    </w:rPr>
                    <w:t>100.00%</w:t>
                  </w:r>
                </w:p>
              </w:tc>
            </w:tr>
          </w:tbl>
          <w:p w14:paraId="1212F71E" w14:textId="3C688B52" w:rsidR="00713AFE" w:rsidRPr="00787F82" w:rsidRDefault="00713AFE" w:rsidP="47C799D0">
            <w:pPr>
              <w:spacing w:before="0"/>
              <w:rPr>
                <w:b w:val="0"/>
                <w:bCs w:val="0"/>
                <w:color w:val="auto"/>
                <w:sz w:val="16"/>
                <w:szCs w:val="16"/>
                <w:lang w:val="en-US"/>
              </w:rPr>
            </w:pPr>
          </w:p>
          <w:p w14:paraId="4CB354CD" w14:textId="4B171CB0" w:rsidR="00713AFE" w:rsidRPr="00787F82" w:rsidRDefault="00713AFE" w:rsidP="47C799D0">
            <w:pPr>
              <w:spacing w:before="0"/>
              <w:rPr>
                <w:b w:val="0"/>
                <w:color w:val="auto"/>
                <w:sz w:val="16"/>
                <w:szCs w:val="16"/>
                <w:lang w:val="en-US"/>
              </w:rPr>
            </w:pPr>
            <w:r w:rsidRPr="32AC1E01">
              <w:rPr>
                <w:b w:val="0"/>
                <w:color w:val="auto"/>
                <w:sz w:val="16"/>
                <w:szCs w:val="16"/>
                <w:lang w:val="en-US"/>
              </w:rPr>
              <w:t>*Up to Sept 2018</w:t>
            </w:r>
          </w:p>
          <w:p w14:paraId="1811DB3E" w14:textId="08233811" w:rsidR="00713AFE" w:rsidRPr="00787F82" w:rsidRDefault="00713AFE" w:rsidP="47C799D0">
            <w:pPr>
              <w:spacing w:before="0"/>
              <w:rPr>
                <w:b w:val="0"/>
                <w:color w:val="auto"/>
                <w:sz w:val="16"/>
                <w:szCs w:val="16"/>
                <w:lang w:val="en-US"/>
              </w:rPr>
            </w:pPr>
          </w:p>
        </w:tc>
      </w:tr>
      <w:tr w:rsidR="47C799D0" w14:paraId="7037D9BC" w14:textId="77777777" w:rsidTr="32AC1E0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629" w:type="dxa"/>
            <w:shd w:val="clear" w:color="auto" w:fill="auto"/>
            <w:noWrap/>
          </w:tcPr>
          <w:p w14:paraId="21912FDC" w14:textId="10213D83" w:rsidR="47C799D0" w:rsidRDefault="47C799D0" w:rsidP="47C799D0">
            <w:pPr>
              <w:rPr>
                <w:sz w:val="20"/>
              </w:rPr>
            </w:pPr>
          </w:p>
        </w:tc>
      </w:tr>
    </w:tbl>
    <w:p w14:paraId="2F6F2ACD" w14:textId="77777777" w:rsidR="00713AFE" w:rsidRDefault="00713AFE" w:rsidP="00713AFE">
      <w:pPr>
        <w:pStyle w:val="Heading4"/>
      </w:pPr>
    </w:p>
    <w:p w14:paraId="56C9D7FC" w14:textId="7F135A02" w:rsidR="00713AFE" w:rsidRPr="00B207C8" w:rsidRDefault="00713AFE" w:rsidP="00713AFE">
      <w:pPr>
        <w:pStyle w:val="Heading4"/>
      </w:pPr>
      <w:r w:rsidRPr="00B207C8">
        <w:t>8.1.4.3</w:t>
      </w:r>
      <w:r w:rsidR="001874FE">
        <w:tab/>
      </w:r>
      <w:r w:rsidRPr="00B207C8">
        <w:t>ITU-R Reports</w:t>
      </w:r>
    </w:p>
    <w:p w14:paraId="186FBA09" w14:textId="170F049B" w:rsidR="00713AFE" w:rsidRPr="00B207C8" w:rsidRDefault="00713AFE" w:rsidP="00713AFE">
      <w:pPr>
        <w:jc w:val="both"/>
      </w:pPr>
      <w:r w:rsidRPr="00B207C8">
        <w:t xml:space="preserve">As ITU-R Recommendations, ITU-R Reports have been promulgated worldwide touching most of the audiences and contributing to good technical practices in certain aspects of radiocommunications. In a </w:t>
      </w:r>
      <w:r>
        <w:t>4</w:t>
      </w:r>
      <w:r w:rsidR="61292AAB">
        <w:t>5</w:t>
      </w:r>
      <w:r w:rsidRPr="00B207C8">
        <w:t>-month period (</w:t>
      </w:r>
      <w:r>
        <w:t xml:space="preserve">1 </w:t>
      </w:r>
      <w:r w:rsidRPr="00B207C8">
        <w:t>January 201</w:t>
      </w:r>
      <w:r w:rsidR="5105B885">
        <w:t>7</w:t>
      </w:r>
      <w:r w:rsidRPr="00B207C8">
        <w:t xml:space="preserve"> to </w:t>
      </w:r>
      <w:r>
        <w:t>1 December</w:t>
      </w:r>
      <w:r w:rsidRPr="00B207C8">
        <w:t xml:space="preserve"> 20</w:t>
      </w:r>
      <w:r w:rsidR="2D1C3D6B" w:rsidRPr="00B207C8">
        <w:t>20</w:t>
      </w:r>
      <w:r w:rsidRPr="00B207C8">
        <w:t>), more than</w:t>
      </w:r>
      <w:r>
        <w:br/>
        <w:t>1 0</w:t>
      </w:r>
      <w:r w:rsidRPr="00B207C8">
        <w:t>00</w:t>
      </w:r>
      <w:r>
        <w:t xml:space="preserve"> </w:t>
      </w:r>
      <w:r w:rsidRPr="00B207C8">
        <w:t>000 downloads of ITU</w:t>
      </w:r>
      <w:r>
        <w:noBreakHyphen/>
      </w:r>
      <w:r w:rsidRPr="00B207C8">
        <w:t>R Reports from ITU web site were recorded. Table 8.1.4.3-1 summarizes their distribution by year and series. Currently, there are 593 ITU-R Reports in force.</w:t>
      </w:r>
    </w:p>
    <w:p w14:paraId="1140BCCB" w14:textId="3EB6C680" w:rsidR="00713AFE" w:rsidRPr="00AB37EB" w:rsidRDefault="00713AFE" w:rsidP="00AC4DC1">
      <w:pPr>
        <w:pStyle w:val="TableNo"/>
        <w:keepLines/>
        <w:spacing w:before="480"/>
      </w:pPr>
      <w:r w:rsidRPr="00AB37EB">
        <w:lastRenderedPageBreak/>
        <w:t>Table 8.1.4.3-1</w:t>
      </w:r>
    </w:p>
    <w:p w14:paraId="7B978332" w14:textId="77777777" w:rsidR="00713AFE" w:rsidRDefault="00713AFE" w:rsidP="00713AFE">
      <w:pPr>
        <w:pStyle w:val="TabletitleBR"/>
      </w:pPr>
      <w:r w:rsidRPr="00AB37EB">
        <w:t>Distribution of ITU-R Reports (downloads)</w:t>
      </w:r>
    </w:p>
    <w:tbl>
      <w:tblPr>
        <w:tblStyle w:val="GridTable5Dark-Accent1"/>
        <w:tblW w:w="9399" w:type="dxa"/>
        <w:jc w:val="center"/>
        <w:tblLook w:val="04A0" w:firstRow="1" w:lastRow="0" w:firstColumn="1" w:lastColumn="0" w:noHBand="0" w:noVBand="1"/>
      </w:tblPr>
      <w:tblGrid>
        <w:gridCol w:w="1273"/>
        <w:gridCol w:w="1557"/>
        <w:gridCol w:w="1416"/>
        <w:gridCol w:w="1415"/>
        <w:gridCol w:w="1084"/>
        <w:gridCol w:w="1327"/>
        <w:gridCol w:w="1327"/>
      </w:tblGrid>
      <w:tr w:rsidR="00713AFE" w:rsidRPr="00F53FDC" w14:paraId="5FFAF487" w14:textId="141F8D2F" w:rsidTr="32AC1E01">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7E9111FE" w14:textId="77777777" w:rsidR="00713AFE" w:rsidRPr="00F53FDC" w:rsidRDefault="00713AFE" w:rsidP="00AC4DC1">
            <w:pPr>
              <w:keepNext/>
              <w:keepLines/>
              <w:spacing w:after="120"/>
              <w:jc w:val="center"/>
              <w:rPr>
                <w:sz w:val="20"/>
              </w:rPr>
            </w:pPr>
            <w:r w:rsidRPr="00F53FDC">
              <w:rPr>
                <w:sz w:val="20"/>
              </w:rPr>
              <w:t>SERIES</w:t>
            </w:r>
          </w:p>
        </w:tc>
        <w:tc>
          <w:tcPr>
            <w:tcW w:w="1557" w:type="dxa"/>
            <w:noWrap/>
            <w:hideMark/>
          </w:tcPr>
          <w:p w14:paraId="1E6C2ECB" w14:textId="24AE5124" w:rsidR="00713AFE" w:rsidRPr="00F53FDC" w:rsidRDefault="00713AFE" w:rsidP="018DC1DF">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0"/>
              </w:rPr>
            </w:pPr>
            <w:r w:rsidRPr="018DC1DF">
              <w:rPr>
                <w:sz w:val="20"/>
              </w:rPr>
              <w:t>201</w:t>
            </w:r>
            <w:r w:rsidR="5FFBC805" w:rsidRPr="018DC1DF">
              <w:rPr>
                <w:sz w:val="20"/>
              </w:rPr>
              <w:t>7</w:t>
            </w:r>
          </w:p>
        </w:tc>
        <w:tc>
          <w:tcPr>
            <w:tcW w:w="1416" w:type="dxa"/>
            <w:noWrap/>
            <w:hideMark/>
          </w:tcPr>
          <w:p w14:paraId="374BDC6A" w14:textId="627C4E1D" w:rsidR="00713AFE" w:rsidRPr="00F53FDC" w:rsidRDefault="00713AFE" w:rsidP="32AC1E01">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0"/>
              </w:rPr>
            </w:pPr>
            <w:r w:rsidRPr="32AC1E01">
              <w:rPr>
                <w:sz w:val="20"/>
              </w:rPr>
              <w:t>201</w:t>
            </w:r>
            <w:r w:rsidR="5E5F7887" w:rsidRPr="32AC1E01">
              <w:rPr>
                <w:sz w:val="20"/>
              </w:rPr>
              <w:t>8*</w:t>
            </w:r>
          </w:p>
        </w:tc>
        <w:tc>
          <w:tcPr>
            <w:tcW w:w="1415" w:type="dxa"/>
            <w:noWrap/>
            <w:hideMark/>
          </w:tcPr>
          <w:p w14:paraId="7453B0F6" w14:textId="7BAEC96E" w:rsidR="00713AFE" w:rsidRPr="00F53FDC" w:rsidRDefault="00713AFE" w:rsidP="32AC1E01">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0"/>
              </w:rPr>
            </w:pPr>
            <w:r w:rsidRPr="32AC1E01">
              <w:rPr>
                <w:sz w:val="20"/>
              </w:rPr>
              <w:t>201</w:t>
            </w:r>
            <w:r w:rsidR="3547C309" w:rsidRPr="32AC1E01">
              <w:rPr>
                <w:sz w:val="20"/>
              </w:rPr>
              <w:t>9</w:t>
            </w:r>
          </w:p>
        </w:tc>
        <w:tc>
          <w:tcPr>
            <w:tcW w:w="1084" w:type="dxa"/>
          </w:tcPr>
          <w:p w14:paraId="49B8C122" w14:textId="6FCFCCC4" w:rsidR="00713AFE" w:rsidRPr="00F53FDC" w:rsidRDefault="00713AFE" w:rsidP="32AC1E01">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0"/>
              </w:rPr>
            </w:pPr>
            <w:r w:rsidRPr="32AC1E01">
              <w:rPr>
                <w:sz w:val="20"/>
              </w:rPr>
              <w:t>20</w:t>
            </w:r>
            <w:r w:rsidR="0903DEE6" w:rsidRPr="32AC1E01">
              <w:rPr>
                <w:sz w:val="20"/>
              </w:rPr>
              <w:t>20</w:t>
            </w:r>
          </w:p>
        </w:tc>
        <w:tc>
          <w:tcPr>
            <w:tcW w:w="1327" w:type="dxa"/>
            <w:noWrap/>
            <w:hideMark/>
          </w:tcPr>
          <w:p w14:paraId="4FD60141" w14:textId="77777777" w:rsidR="00713AFE" w:rsidRPr="00F53FDC" w:rsidRDefault="00713AFE" w:rsidP="00AC4DC1">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0"/>
              </w:rPr>
            </w:pPr>
            <w:r w:rsidRPr="00F53FDC">
              <w:rPr>
                <w:sz w:val="20"/>
              </w:rPr>
              <w:t>TOTAL</w:t>
            </w:r>
          </w:p>
        </w:tc>
        <w:tc>
          <w:tcPr>
            <w:tcW w:w="1327" w:type="dxa"/>
          </w:tcPr>
          <w:p w14:paraId="10F43202" w14:textId="4C4BAAF6" w:rsidR="10351F3F" w:rsidRPr="32AC1E01" w:rsidRDefault="10351F3F" w:rsidP="32AC1E01">
            <w:pPr>
              <w:jc w:val="center"/>
              <w:cnfStyle w:val="100000000000" w:firstRow="1" w:lastRow="0" w:firstColumn="0" w:lastColumn="0" w:oddVBand="0" w:evenVBand="0" w:oddHBand="0" w:evenHBand="0" w:firstRowFirstColumn="0" w:firstRowLastColumn="0" w:lastRowFirstColumn="0" w:lastRowLastColumn="0"/>
              <w:rPr>
                <w:sz w:val="20"/>
              </w:rPr>
            </w:pPr>
            <w:r w:rsidRPr="32AC1E01">
              <w:rPr>
                <w:sz w:val="20"/>
              </w:rPr>
              <w:t>%</w:t>
            </w:r>
          </w:p>
        </w:tc>
      </w:tr>
      <w:tr w:rsidR="00713AFE" w:rsidRPr="00F53FDC" w14:paraId="4405B3D8" w14:textId="6ED39422" w:rsidTr="32AC1E0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3983B7AF" w14:textId="77777777" w:rsidR="00713AFE" w:rsidRPr="00F53FDC" w:rsidRDefault="00713AFE" w:rsidP="00AC4DC1">
            <w:pPr>
              <w:keepNext/>
              <w:keepLines/>
              <w:jc w:val="center"/>
              <w:rPr>
                <w:sz w:val="20"/>
              </w:rPr>
            </w:pPr>
            <w:r w:rsidRPr="00F53FDC">
              <w:rPr>
                <w:sz w:val="20"/>
              </w:rPr>
              <w:t>M</w:t>
            </w:r>
          </w:p>
        </w:tc>
        <w:tc>
          <w:tcPr>
            <w:tcW w:w="1557" w:type="dxa"/>
            <w:noWrap/>
          </w:tcPr>
          <w:p w14:paraId="0D2A89D9" w14:textId="25006B75" w:rsidR="00713AFE" w:rsidRPr="00F53FDC" w:rsidRDefault="6978B656" w:rsidP="018DC1DF">
            <w:pPr>
              <w:keepNext/>
              <w:keepLines/>
              <w:jc w:val="center"/>
              <w:cnfStyle w:val="000000100000" w:firstRow="0" w:lastRow="0" w:firstColumn="0" w:lastColumn="0" w:oddVBand="0" w:evenVBand="0" w:oddHBand="1" w:evenHBand="0" w:firstRowFirstColumn="0" w:firstRowLastColumn="0" w:lastRowFirstColumn="0" w:lastRowLastColumn="0"/>
            </w:pPr>
            <w:r>
              <w:t>76 531</w:t>
            </w:r>
          </w:p>
        </w:tc>
        <w:tc>
          <w:tcPr>
            <w:tcW w:w="1416" w:type="dxa"/>
            <w:noWrap/>
          </w:tcPr>
          <w:p w14:paraId="33F6F212" w14:textId="70036076" w:rsidR="00713AFE" w:rsidRPr="00F53FDC" w:rsidRDefault="6578B2D5" w:rsidP="32AC1E01">
            <w:pPr>
              <w:keepNext/>
              <w:keepLines/>
              <w:jc w:val="center"/>
              <w:cnfStyle w:val="000000100000" w:firstRow="0" w:lastRow="0" w:firstColumn="0" w:lastColumn="0" w:oddVBand="0" w:evenVBand="0" w:oddHBand="1" w:evenHBand="0" w:firstRowFirstColumn="0" w:firstRowLastColumn="0" w:lastRowFirstColumn="0" w:lastRowLastColumn="0"/>
            </w:pPr>
            <w:r>
              <w:t>63 114</w:t>
            </w:r>
          </w:p>
        </w:tc>
        <w:tc>
          <w:tcPr>
            <w:tcW w:w="1415" w:type="dxa"/>
            <w:noWrap/>
          </w:tcPr>
          <w:p w14:paraId="23B164C6" w14:textId="05FB5281" w:rsidR="00713AFE" w:rsidRPr="00F53FDC" w:rsidRDefault="37C58B78" w:rsidP="32AC1E01">
            <w:pPr>
              <w:keepNext/>
              <w:keepLines/>
              <w:jc w:val="center"/>
              <w:cnfStyle w:val="000000100000" w:firstRow="0" w:lastRow="0" w:firstColumn="0" w:lastColumn="0" w:oddVBand="0" w:evenVBand="0" w:oddHBand="1" w:evenHBand="0" w:firstRowFirstColumn="0" w:firstRowLastColumn="0" w:lastRowFirstColumn="0" w:lastRowLastColumn="0"/>
            </w:pPr>
            <w:r>
              <w:t>90 065</w:t>
            </w:r>
          </w:p>
        </w:tc>
        <w:tc>
          <w:tcPr>
            <w:tcW w:w="1084" w:type="dxa"/>
          </w:tcPr>
          <w:p w14:paraId="6773B74D" w14:textId="794BE211" w:rsidR="00713AFE" w:rsidRPr="00F53FDC" w:rsidRDefault="3D99B6A0" w:rsidP="32AC1E01">
            <w:pPr>
              <w:spacing w:line="259" w:lineRule="auto"/>
              <w:jc w:val="center"/>
              <w:cnfStyle w:val="000000100000" w:firstRow="0" w:lastRow="0" w:firstColumn="0" w:lastColumn="0" w:oddVBand="0" w:evenVBand="0" w:oddHBand="1" w:evenHBand="0" w:firstRowFirstColumn="0" w:firstRowLastColumn="0" w:lastRowFirstColumn="0" w:lastRowLastColumn="0"/>
            </w:pPr>
            <w:r>
              <w:t>112 052</w:t>
            </w:r>
          </w:p>
        </w:tc>
        <w:tc>
          <w:tcPr>
            <w:tcW w:w="1327" w:type="dxa"/>
            <w:noWrap/>
          </w:tcPr>
          <w:p w14:paraId="5D4BE7BA" w14:textId="641770EE" w:rsidR="00713AFE" w:rsidRPr="00F53FDC" w:rsidRDefault="4B261F4B" w:rsidP="00AC4DC1">
            <w:pPr>
              <w:keepNext/>
              <w:keepLines/>
              <w:jc w:val="center"/>
              <w:cnfStyle w:val="000000100000" w:firstRow="0" w:lastRow="0" w:firstColumn="0" w:lastColumn="0" w:oddVBand="0" w:evenVBand="0" w:oddHBand="1" w:evenHBand="0" w:firstRowFirstColumn="0" w:firstRowLastColumn="0" w:lastRowFirstColumn="0" w:lastRowLastColumn="0"/>
            </w:pPr>
            <w:r>
              <w:t>341 762</w:t>
            </w:r>
            <w:r w:rsidR="3C0FA253">
              <w:t xml:space="preserve"> </w:t>
            </w:r>
          </w:p>
        </w:tc>
        <w:tc>
          <w:tcPr>
            <w:tcW w:w="1327" w:type="dxa"/>
          </w:tcPr>
          <w:p w14:paraId="08EC810B" w14:textId="177CEEE5" w:rsidR="1A02EE09" w:rsidRDefault="1A02EE09" w:rsidP="32AC1E01">
            <w:pPr>
              <w:jc w:val="center"/>
              <w:cnfStyle w:val="000000100000" w:firstRow="0" w:lastRow="0" w:firstColumn="0" w:lastColumn="0" w:oddVBand="0" w:evenVBand="0" w:oddHBand="1" w:evenHBand="0" w:firstRowFirstColumn="0" w:firstRowLastColumn="0" w:lastRowFirstColumn="0" w:lastRowLastColumn="0"/>
            </w:pPr>
            <w:r>
              <w:t>30.24</w:t>
            </w:r>
          </w:p>
        </w:tc>
      </w:tr>
      <w:tr w:rsidR="00713AFE" w:rsidRPr="00F53FDC" w14:paraId="1840372E" w14:textId="101362A8" w:rsidTr="32AC1E01">
        <w:trPr>
          <w:trHeight w:val="33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29D1472D" w14:textId="77777777" w:rsidR="00713AFE" w:rsidRPr="00F53FDC" w:rsidRDefault="00713AFE" w:rsidP="00AC4DC1">
            <w:pPr>
              <w:keepNext/>
              <w:keepLines/>
              <w:jc w:val="center"/>
              <w:rPr>
                <w:sz w:val="20"/>
              </w:rPr>
            </w:pPr>
            <w:r w:rsidRPr="00F53FDC">
              <w:rPr>
                <w:sz w:val="20"/>
              </w:rPr>
              <w:t>BT</w:t>
            </w:r>
          </w:p>
        </w:tc>
        <w:tc>
          <w:tcPr>
            <w:tcW w:w="1557" w:type="dxa"/>
            <w:noWrap/>
          </w:tcPr>
          <w:p w14:paraId="5CA45DCA" w14:textId="4C712522" w:rsidR="00713AFE" w:rsidRPr="00F53FDC" w:rsidRDefault="1D08F184" w:rsidP="32AC1E01">
            <w:pPr>
              <w:keepNext/>
              <w:keepLines/>
              <w:jc w:val="center"/>
              <w:cnfStyle w:val="000000000000" w:firstRow="0" w:lastRow="0" w:firstColumn="0" w:lastColumn="0" w:oddVBand="0" w:evenVBand="0" w:oddHBand="0" w:evenHBand="0" w:firstRowFirstColumn="0" w:firstRowLastColumn="0" w:lastRowFirstColumn="0" w:lastRowLastColumn="0"/>
            </w:pPr>
            <w:r>
              <w:t>53 616</w:t>
            </w:r>
          </w:p>
        </w:tc>
        <w:tc>
          <w:tcPr>
            <w:tcW w:w="1416" w:type="dxa"/>
            <w:noWrap/>
          </w:tcPr>
          <w:p w14:paraId="28AF036C" w14:textId="79AD7976" w:rsidR="00713AFE" w:rsidRPr="00F53FDC" w:rsidRDefault="14B88B13" w:rsidP="32AC1E01">
            <w:pPr>
              <w:keepNext/>
              <w:keepLines/>
              <w:jc w:val="center"/>
              <w:cnfStyle w:val="000000000000" w:firstRow="0" w:lastRow="0" w:firstColumn="0" w:lastColumn="0" w:oddVBand="0" w:evenVBand="0" w:oddHBand="0" w:evenHBand="0" w:firstRowFirstColumn="0" w:firstRowLastColumn="0" w:lastRowFirstColumn="0" w:lastRowLastColumn="0"/>
            </w:pPr>
            <w:r>
              <w:t>45 439</w:t>
            </w:r>
          </w:p>
        </w:tc>
        <w:tc>
          <w:tcPr>
            <w:tcW w:w="1415" w:type="dxa"/>
            <w:noWrap/>
          </w:tcPr>
          <w:p w14:paraId="5D23156F" w14:textId="73DDB6C3" w:rsidR="00713AFE" w:rsidRPr="00F53FDC" w:rsidRDefault="0FF40F07" w:rsidP="32AC1E01">
            <w:pPr>
              <w:keepNext/>
              <w:keepLines/>
              <w:jc w:val="center"/>
              <w:cnfStyle w:val="000000000000" w:firstRow="0" w:lastRow="0" w:firstColumn="0" w:lastColumn="0" w:oddVBand="0" w:evenVBand="0" w:oddHBand="0" w:evenHBand="0" w:firstRowFirstColumn="0" w:firstRowLastColumn="0" w:lastRowFirstColumn="0" w:lastRowLastColumn="0"/>
            </w:pPr>
            <w:r>
              <w:t>54 621</w:t>
            </w:r>
          </w:p>
        </w:tc>
        <w:tc>
          <w:tcPr>
            <w:tcW w:w="1084" w:type="dxa"/>
          </w:tcPr>
          <w:p w14:paraId="25FA1CF1" w14:textId="6498FDA0" w:rsidR="00713AFE" w:rsidRPr="00F53FDC" w:rsidRDefault="6DA19C3F" w:rsidP="00AC4DC1">
            <w:pPr>
              <w:keepNext/>
              <w:keepLines/>
              <w:jc w:val="center"/>
              <w:cnfStyle w:val="000000000000" w:firstRow="0" w:lastRow="0" w:firstColumn="0" w:lastColumn="0" w:oddVBand="0" w:evenVBand="0" w:oddHBand="0" w:evenHBand="0" w:firstRowFirstColumn="0" w:firstRowLastColumn="0" w:lastRowFirstColumn="0" w:lastRowLastColumn="0"/>
            </w:pPr>
            <w:r>
              <w:t>63 401</w:t>
            </w:r>
          </w:p>
        </w:tc>
        <w:tc>
          <w:tcPr>
            <w:tcW w:w="1327" w:type="dxa"/>
            <w:noWrap/>
          </w:tcPr>
          <w:p w14:paraId="07350652" w14:textId="7FE32FDD" w:rsidR="00713AFE" w:rsidRPr="00F53FDC" w:rsidRDefault="7BFB79E7" w:rsidP="00AC4DC1">
            <w:pPr>
              <w:keepNext/>
              <w:keepLines/>
              <w:jc w:val="center"/>
              <w:cnfStyle w:val="000000000000" w:firstRow="0" w:lastRow="0" w:firstColumn="0" w:lastColumn="0" w:oddVBand="0" w:evenVBand="0" w:oddHBand="0" w:evenHBand="0" w:firstRowFirstColumn="0" w:firstRowLastColumn="0" w:lastRowFirstColumn="0" w:lastRowLastColumn="0"/>
            </w:pPr>
            <w:r>
              <w:t>217 077</w:t>
            </w:r>
          </w:p>
        </w:tc>
        <w:tc>
          <w:tcPr>
            <w:tcW w:w="1327" w:type="dxa"/>
          </w:tcPr>
          <w:p w14:paraId="1BDAE759" w14:textId="1A5EF76A" w:rsidR="32363702" w:rsidRDefault="32363702" w:rsidP="32AC1E01">
            <w:pPr>
              <w:jc w:val="center"/>
              <w:cnfStyle w:val="000000000000" w:firstRow="0" w:lastRow="0" w:firstColumn="0" w:lastColumn="0" w:oddVBand="0" w:evenVBand="0" w:oddHBand="0" w:evenHBand="0" w:firstRowFirstColumn="0" w:firstRowLastColumn="0" w:lastRowFirstColumn="0" w:lastRowLastColumn="0"/>
            </w:pPr>
            <w:r>
              <w:t>19.21</w:t>
            </w:r>
          </w:p>
        </w:tc>
      </w:tr>
      <w:tr w:rsidR="00713AFE" w:rsidRPr="00F53FDC" w14:paraId="494A1CC2" w14:textId="3EAF37EC" w:rsidTr="32AC1E0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7291ACCF" w14:textId="77777777" w:rsidR="00713AFE" w:rsidRPr="00F53FDC" w:rsidRDefault="00713AFE" w:rsidP="00AC4DC1">
            <w:pPr>
              <w:keepNext/>
              <w:keepLines/>
              <w:jc w:val="center"/>
              <w:rPr>
                <w:sz w:val="20"/>
              </w:rPr>
            </w:pPr>
            <w:r w:rsidRPr="00F53FDC">
              <w:rPr>
                <w:sz w:val="20"/>
              </w:rPr>
              <w:t>SM</w:t>
            </w:r>
          </w:p>
        </w:tc>
        <w:tc>
          <w:tcPr>
            <w:tcW w:w="1557" w:type="dxa"/>
            <w:noWrap/>
          </w:tcPr>
          <w:p w14:paraId="599F7DE1" w14:textId="1A70F4B8" w:rsidR="00713AFE" w:rsidRPr="00F53FDC" w:rsidRDefault="68EF89D9" w:rsidP="32AC1E01">
            <w:pPr>
              <w:keepNext/>
              <w:keepLines/>
              <w:jc w:val="center"/>
              <w:cnfStyle w:val="000000100000" w:firstRow="0" w:lastRow="0" w:firstColumn="0" w:lastColumn="0" w:oddVBand="0" w:evenVBand="0" w:oddHBand="1" w:evenHBand="0" w:firstRowFirstColumn="0" w:firstRowLastColumn="0" w:lastRowFirstColumn="0" w:lastRowLastColumn="0"/>
            </w:pPr>
            <w:r>
              <w:t>44 340</w:t>
            </w:r>
          </w:p>
        </w:tc>
        <w:tc>
          <w:tcPr>
            <w:tcW w:w="1416" w:type="dxa"/>
            <w:noWrap/>
          </w:tcPr>
          <w:p w14:paraId="56AD042B" w14:textId="7D890600" w:rsidR="00713AFE" w:rsidRPr="00F53FDC" w:rsidRDefault="00713AFE" w:rsidP="32AC1E01">
            <w:pPr>
              <w:keepNext/>
              <w:keepLines/>
              <w:jc w:val="center"/>
              <w:cnfStyle w:val="000000100000" w:firstRow="0" w:lastRow="0" w:firstColumn="0" w:lastColumn="0" w:oddVBand="0" w:evenVBand="0" w:oddHBand="1" w:evenHBand="0" w:firstRowFirstColumn="0" w:firstRowLastColumn="0" w:lastRowFirstColumn="0" w:lastRowLastColumn="0"/>
            </w:pPr>
            <w:r>
              <w:t>4</w:t>
            </w:r>
            <w:r w:rsidR="0D69BC34">
              <w:t>0 327</w:t>
            </w:r>
          </w:p>
        </w:tc>
        <w:tc>
          <w:tcPr>
            <w:tcW w:w="1415" w:type="dxa"/>
            <w:noWrap/>
          </w:tcPr>
          <w:p w14:paraId="4685C0E2" w14:textId="65341231" w:rsidR="00713AFE" w:rsidRPr="00F53FDC" w:rsidRDefault="5B25CA1E" w:rsidP="32AC1E01">
            <w:pPr>
              <w:keepNext/>
              <w:keepLines/>
              <w:jc w:val="center"/>
              <w:cnfStyle w:val="000000100000" w:firstRow="0" w:lastRow="0" w:firstColumn="0" w:lastColumn="0" w:oddVBand="0" w:evenVBand="0" w:oddHBand="1" w:evenHBand="0" w:firstRowFirstColumn="0" w:firstRowLastColumn="0" w:lastRowFirstColumn="0" w:lastRowLastColumn="0"/>
            </w:pPr>
            <w:r>
              <w:t>74 915</w:t>
            </w:r>
          </w:p>
        </w:tc>
        <w:tc>
          <w:tcPr>
            <w:tcW w:w="1084" w:type="dxa"/>
          </w:tcPr>
          <w:p w14:paraId="14458116" w14:textId="5AC44B29" w:rsidR="00713AFE" w:rsidRPr="00F53FDC" w:rsidRDefault="76F40A66" w:rsidP="00AC4DC1">
            <w:pPr>
              <w:keepNext/>
              <w:keepLines/>
              <w:jc w:val="center"/>
              <w:cnfStyle w:val="000000100000" w:firstRow="0" w:lastRow="0" w:firstColumn="0" w:lastColumn="0" w:oddVBand="0" w:evenVBand="0" w:oddHBand="1" w:evenHBand="0" w:firstRowFirstColumn="0" w:firstRowLastColumn="0" w:lastRowFirstColumn="0" w:lastRowLastColumn="0"/>
            </w:pPr>
            <w:r>
              <w:t>108 430</w:t>
            </w:r>
          </w:p>
        </w:tc>
        <w:tc>
          <w:tcPr>
            <w:tcW w:w="1327" w:type="dxa"/>
            <w:noWrap/>
          </w:tcPr>
          <w:p w14:paraId="4975DA72" w14:textId="63454FDA" w:rsidR="00713AFE" w:rsidRPr="00F53FDC" w:rsidRDefault="2252450D" w:rsidP="00AC4DC1">
            <w:pPr>
              <w:keepNext/>
              <w:keepLines/>
              <w:jc w:val="center"/>
              <w:cnfStyle w:val="000000100000" w:firstRow="0" w:lastRow="0" w:firstColumn="0" w:lastColumn="0" w:oddVBand="0" w:evenVBand="0" w:oddHBand="1" w:evenHBand="0" w:firstRowFirstColumn="0" w:firstRowLastColumn="0" w:lastRowFirstColumn="0" w:lastRowLastColumn="0"/>
            </w:pPr>
            <w:r>
              <w:t>268 012</w:t>
            </w:r>
          </w:p>
        </w:tc>
        <w:tc>
          <w:tcPr>
            <w:tcW w:w="1327" w:type="dxa"/>
          </w:tcPr>
          <w:p w14:paraId="68FE9CD0" w14:textId="7EA7F7C4" w:rsidR="4A697FFB" w:rsidRDefault="4A697FFB" w:rsidP="32AC1E01">
            <w:pPr>
              <w:jc w:val="center"/>
              <w:cnfStyle w:val="000000100000" w:firstRow="0" w:lastRow="0" w:firstColumn="0" w:lastColumn="0" w:oddVBand="0" w:evenVBand="0" w:oddHBand="1" w:evenHBand="0" w:firstRowFirstColumn="0" w:firstRowLastColumn="0" w:lastRowFirstColumn="0" w:lastRowLastColumn="0"/>
            </w:pPr>
            <w:r>
              <w:t>23.72</w:t>
            </w:r>
          </w:p>
        </w:tc>
      </w:tr>
      <w:tr w:rsidR="00713AFE" w:rsidRPr="00F53FDC" w14:paraId="2F1B6F5A" w14:textId="4E3E35F8" w:rsidTr="32AC1E01">
        <w:trPr>
          <w:trHeight w:val="33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3B3E140C" w14:textId="77777777" w:rsidR="00713AFE" w:rsidRPr="00F53FDC" w:rsidRDefault="00713AFE" w:rsidP="00AC4DC1">
            <w:pPr>
              <w:keepNext/>
              <w:keepLines/>
              <w:jc w:val="center"/>
              <w:rPr>
                <w:sz w:val="20"/>
              </w:rPr>
            </w:pPr>
            <w:r w:rsidRPr="00F53FDC">
              <w:rPr>
                <w:sz w:val="20"/>
              </w:rPr>
              <w:t>BS</w:t>
            </w:r>
          </w:p>
        </w:tc>
        <w:tc>
          <w:tcPr>
            <w:tcW w:w="1557" w:type="dxa"/>
            <w:noWrap/>
          </w:tcPr>
          <w:p w14:paraId="5793D478" w14:textId="309BFDE6" w:rsidR="00713AFE" w:rsidRPr="00F53FDC" w:rsidRDefault="00713AFE" w:rsidP="00AC4DC1">
            <w:pPr>
              <w:keepNext/>
              <w:keepLines/>
              <w:jc w:val="center"/>
              <w:cnfStyle w:val="000000000000" w:firstRow="0" w:lastRow="0" w:firstColumn="0" w:lastColumn="0" w:oddVBand="0" w:evenVBand="0" w:oddHBand="0" w:evenHBand="0" w:firstRowFirstColumn="0" w:firstRowLastColumn="0" w:lastRowFirstColumn="0" w:lastRowLastColumn="0"/>
            </w:pPr>
            <w:r>
              <w:t>2</w:t>
            </w:r>
            <w:r w:rsidR="7067707A">
              <w:t>4 015</w:t>
            </w:r>
          </w:p>
        </w:tc>
        <w:tc>
          <w:tcPr>
            <w:tcW w:w="1416" w:type="dxa"/>
            <w:noWrap/>
          </w:tcPr>
          <w:p w14:paraId="5D4ADDB4" w14:textId="5A9C7DAD" w:rsidR="00713AFE" w:rsidRPr="00F53FDC" w:rsidRDefault="210C3A75" w:rsidP="32AC1E01">
            <w:pPr>
              <w:keepNext/>
              <w:keepLines/>
              <w:jc w:val="center"/>
              <w:cnfStyle w:val="000000000000" w:firstRow="0" w:lastRow="0" w:firstColumn="0" w:lastColumn="0" w:oddVBand="0" w:evenVBand="0" w:oddHBand="0" w:evenHBand="0" w:firstRowFirstColumn="0" w:firstRowLastColumn="0" w:lastRowFirstColumn="0" w:lastRowLastColumn="0"/>
            </w:pPr>
            <w:r>
              <w:t>15 503</w:t>
            </w:r>
          </w:p>
        </w:tc>
        <w:tc>
          <w:tcPr>
            <w:tcW w:w="1415" w:type="dxa"/>
            <w:noWrap/>
          </w:tcPr>
          <w:p w14:paraId="1C2821A1" w14:textId="2A876F97" w:rsidR="00713AFE" w:rsidRPr="00F53FDC" w:rsidRDefault="64783845" w:rsidP="32AC1E01">
            <w:pPr>
              <w:keepNext/>
              <w:keepLines/>
              <w:jc w:val="center"/>
              <w:cnfStyle w:val="000000000000" w:firstRow="0" w:lastRow="0" w:firstColumn="0" w:lastColumn="0" w:oddVBand="0" w:evenVBand="0" w:oddHBand="0" w:evenHBand="0" w:firstRowFirstColumn="0" w:firstRowLastColumn="0" w:lastRowFirstColumn="0" w:lastRowLastColumn="0"/>
            </w:pPr>
            <w:r>
              <w:t>23 054</w:t>
            </w:r>
          </w:p>
        </w:tc>
        <w:tc>
          <w:tcPr>
            <w:tcW w:w="1084" w:type="dxa"/>
          </w:tcPr>
          <w:p w14:paraId="4A9ECBCB" w14:textId="6056CE9A" w:rsidR="00713AFE" w:rsidRPr="00F53FDC" w:rsidRDefault="73FD7DE7" w:rsidP="00AC4DC1">
            <w:pPr>
              <w:keepNext/>
              <w:keepLines/>
              <w:jc w:val="center"/>
              <w:cnfStyle w:val="000000000000" w:firstRow="0" w:lastRow="0" w:firstColumn="0" w:lastColumn="0" w:oddVBand="0" w:evenVBand="0" w:oddHBand="0" w:evenHBand="0" w:firstRowFirstColumn="0" w:firstRowLastColumn="0" w:lastRowFirstColumn="0" w:lastRowLastColumn="0"/>
            </w:pPr>
            <w:r>
              <w:t>32 983</w:t>
            </w:r>
          </w:p>
        </w:tc>
        <w:tc>
          <w:tcPr>
            <w:tcW w:w="1327" w:type="dxa"/>
            <w:noWrap/>
          </w:tcPr>
          <w:p w14:paraId="48FD0E53" w14:textId="1D3611B3" w:rsidR="00713AFE" w:rsidRPr="00F53FDC" w:rsidRDefault="56D0D012" w:rsidP="00AC4DC1">
            <w:pPr>
              <w:keepNext/>
              <w:keepLines/>
              <w:jc w:val="center"/>
              <w:cnfStyle w:val="000000000000" w:firstRow="0" w:lastRow="0" w:firstColumn="0" w:lastColumn="0" w:oddVBand="0" w:evenVBand="0" w:oddHBand="0" w:evenHBand="0" w:firstRowFirstColumn="0" w:firstRowLastColumn="0" w:lastRowFirstColumn="0" w:lastRowLastColumn="0"/>
            </w:pPr>
            <w:r>
              <w:t>95 555</w:t>
            </w:r>
          </w:p>
        </w:tc>
        <w:tc>
          <w:tcPr>
            <w:tcW w:w="1327" w:type="dxa"/>
          </w:tcPr>
          <w:p w14:paraId="7DD9726C" w14:textId="06ADB243" w:rsidR="07D11819" w:rsidRDefault="07D11819" w:rsidP="32AC1E01">
            <w:pPr>
              <w:jc w:val="center"/>
              <w:cnfStyle w:val="000000000000" w:firstRow="0" w:lastRow="0" w:firstColumn="0" w:lastColumn="0" w:oddVBand="0" w:evenVBand="0" w:oddHBand="0" w:evenHBand="0" w:firstRowFirstColumn="0" w:firstRowLastColumn="0" w:lastRowFirstColumn="0" w:lastRowLastColumn="0"/>
            </w:pPr>
            <w:r>
              <w:t>8.46</w:t>
            </w:r>
          </w:p>
        </w:tc>
      </w:tr>
      <w:tr w:rsidR="00713AFE" w:rsidRPr="00F53FDC" w14:paraId="75A838AE" w14:textId="0B557D1B" w:rsidTr="32AC1E0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4A8BAA6F" w14:textId="77777777" w:rsidR="00713AFE" w:rsidRPr="00F53FDC" w:rsidRDefault="00713AFE" w:rsidP="00AC4DC1">
            <w:pPr>
              <w:keepNext/>
              <w:keepLines/>
              <w:jc w:val="center"/>
              <w:rPr>
                <w:sz w:val="20"/>
              </w:rPr>
            </w:pPr>
            <w:r w:rsidRPr="00F53FDC">
              <w:rPr>
                <w:sz w:val="20"/>
              </w:rPr>
              <w:t>BO</w:t>
            </w:r>
          </w:p>
        </w:tc>
        <w:tc>
          <w:tcPr>
            <w:tcW w:w="1557" w:type="dxa"/>
            <w:noWrap/>
          </w:tcPr>
          <w:p w14:paraId="6B163CE3" w14:textId="57FF1DDC" w:rsidR="00713AFE" w:rsidRPr="00F53FDC" w:rsidRDefault="00713AFE" w:rsidP="32AC1E01">
            <w:pPr>
              <w:keepNext/>
              <w:keepLines/>
              <w:jc w:val="center"/>
              <w:cnfStyle w:val="000000100000" w:firstRow="0" w:lastRow="0" w:firstColumn="0" w:lastColumn="0" w:oddVBand="0" w:evenVBand="0" w:oddHBand="1" w:evenHBand="0" w:firstRowFirstColumn="0" w:firstRowLastColumn="0" w:lastRowFirstColumn="0" w:lastRowLastColumn="0"/>
            </w:pPr>
            <w:r>
              <w:t>1</w:t>
            </w:r>
            <w:r w:rsidR="42B38FC7">
              <w:t>2</w:t>
            </w:r>
            <w:r>
              <w:t xml:space="preserve"> </w:t>
            </w:r>
            <w:r w:rsidR="54DEEEAF">
              <w:t>572</w:t>
            </w:r>
          </w:p>
        </w:tc>
        <w:tc>
          <w:tcPr>
            <w:tcW w:w="1416" w:type="dxa"/>
            <w:noWrap/>
          </w:tcPr>
          <w:p w14:paraId="4F2AC521" w14:textId="7B329095" w:rsidR="00713AFE" w:rsidRPr="00F53FDC" w:rsidRDefault="2185FFFE" w:rsidP="32AC1E01">
            <w:pPr>
              <w:keepNext/>
              <w:keepLines/>
              <w:jc w:val="center"/>
              <w:cnfStyle w:val="000000100000" w:firstRow="0" w:lastRow="0" w:firstColumn="0" w:lastColumn="0" w:oddVBand="0" w:evenVBand="0" w:oddHBand="1" w:evenHBand="0" w:firstRowFirstColumn="0" w:firstRowLastColumn="0" w:lastRowFirstColumn="0" w:lastRowLastColumn="0"/>
            </w:pPr>
            <w:r>
              <w:t>9 315</w:t>
            </w:r>
          </w:p>
        </w:tc>
        <w:tc>
          <w:tcPr>
            <w:tcW w:w="1415" w:type="dxa"/>
            <w:noWrap/>
          </w:tcPr>
          <w:p w14:paraId="36D955C9" w14:textId="2CDDEDD3" w:rsidR="00713AFE" w:rsidRPr="00F53FDC" w:rsidRDefault="00713AFE" w:rsidP="00AC4DC1">
            <w:pPr>
              <w:keepNext/>
              <w:keepLines/>
              <w:jc w:val="center"/>
              <w:cnfStyle w:val="000000100000" w:firstRow="0" w:lastRow="0" w:firstColumn="0" w:lastColumn="0" w:oddVBand="0" w:evenVBand="0" w:oddHBand="1" w:evenHBand="0" w:firstRowFirstColumn="0" w:firstRowLastColumn="0" w:lastRowFirstColumn="0" w:lastRowLastColumn="0"/>
            </w:pPr>
            <w:r w:rsidRPr="00F53FDC">
              <w:t>9</w:t>
            </w:r>
            <w:r>
              <w:t xml:space="preserve"> </w:t>
            </w:r>
            <w:r w:rsidR="04D735B1">
              <w:t>690</w:t>
            </w:r>
          </w:p>
        </w:tc>
        <w:tc>
          <w:tcPr>
            <w:tcW w:w="1084" w:type="dxa"/>
          </w:tcPr>
          <w:p w14:paraId="4ABCCED8" w14:textId="793470A8" w:rsidR="00713AFE" w:rsidRPr="00F53FDC" w:rsidRDefault="19A6229C" w:rsidP="00AC4DC1">
            <w:pPr>
              <w:keepNext/>
              <w:keepLines/>
              <w:jc w:val="center"/>
              <w:cnfStyle w:val="000000100000" w:firstRow="0" w:lastRow="0" w:firstColumn="0" w:lastColumn="0" w:oddVBand="0" w:evenVBand="0" w:oddHBand="1" w:evenHBand="0" w:firstRowFirstColumn="0" w:firstRowLastColumn="0" w:lastRowFirstColumn="0" w:lastRowLastColumn="0"/>
            </w:pPr>
            <w:r>
              <w:t>16 794</w:t>
            </w:r>
          </w:p>
        </w:tc>
        <w:tc>
          <w:tcPr>
            <w:tcW w:w="1327" w:type="dxa"/>
            <w:noWrap/>
          </w:tcPr>
          <w:p w14:paraId="4858119B" w14:textId="5BBDEBCA" w:rsidR="00713AFE" w:rsidRPr="00F53FDC" w:rsidRDefault="79C7ADA9" w:rsidP="00AC4DC1">
            <w:pPr>
              <w:keepNext/>
              <w:keepLines/>
              <w:jc w:val="center"/>
              <w:cnfStyle w:val="000000100000" w:firstRow="0" w:lastRow="0" w:firstColumn="0" w:lastColumn="0" w:oddVBand="0" w:evenVBand="0" w:oddHBand="1" w:evenHBand="0" w:firstRowFirstColumn="0" w:firstRowLastColumn="0" w:lastRowFirstColumn="0" w:lastRowLastColumn="0"/>
            </w:pPr>
            <w:r>
              <w:t>48 371</w:t>
            </w:r>
          </w:p>
        </w:tc>
        <w:tc>
          <w:tcPr>
            <w:tcW w:w="1327" w:type="dxa"/>
          </w:tcPr>
          <w:p w14:paraId="2107FFDA" w14:textId="2785187E" w:rsidR="7976985C" w:rsidRDefault="7976985C" w:rsidP="32AC1E01">
            <w:pPr>
              <w:jc w:val="center"/>
              <w:cnfStyle w:val="000000100000" w:firstRow="0" w:lastRow="0" w:firstColumn="0" w:lastColumn="0" w:oddVBand="0" w:evenVBand="0" w:oddHBand="1" w:evenHBand="0" w:firstRowFirstColumn="0" w:firstRowLastColumn="0" w:lastRowFirstColumn="0" w:lastRowLastColumn="0"/>
            </w:pPr>
            <w:r>
              <w:t>4.28</w:t>
            </w:r>
          </w:p>
        </w:tc>
      </w:tr>
      <w:tr w:rsidR="00713AFE" w:rsidRPr="00F53FDC" w14:paraId="3C532E1F" w14:textId="4DBC2AC5" w:rsidTr="32AC1E01">
        <w:trPr>
          <w:trHeight w:val="33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51934F17" w14:textId="77777777" w:rsidR="00713AFE" w:rsidRPr="00F53FDC" w:rsidRDefault="00713AFE" w:rsidP="00AC4DC1">
            <w:pPr>
              <w:keepNext/>
              <w:keepLines/>
              <w:jc w:val="center"/>
              <w:rPr>
                <w:sz w:val="20"/>
              </w:rPr>
            </w:pPr>
            <w:r w:rsidRPr="00F53FDC">
              <w:rPr>
                <w:sz w:val="20"/>
              </w:rPr>
              <w:t>P</w:t>
            </w:r>
          </w:p>
        </w:tc>
        <w:tc>
          <w:tcPr>
            <w:tcW w:w="1557" w:type="dxa"/>
            <w:noWrap/>
          </w:tcPr>
          <w:p w14:paraId="1B4E0424" w14:textId="3E0768A3" w:rsidR="00713AFE" w:rsidRPr="00F53FDC" w:rsidRDefault="00713AFE" w:rsidP="00AC4DC1">
            <w:pPr>
              <w:keepNext/>
              <w:keepLines/>
              <w:jc w:val="center"/>
              <w:cnfStyle w:val="000000000000" w:firstRow="0" w:lastRow="0" w:firstColumn="0" w:lastColumn="0" w:oddVBand="0" w:evenVBand="0" w:oddHBand="0" w:evenHBand="0" w:firstRowFirstColumn="0" w:firstRowLastColumn="0" w:lastRowFirstColumn="0" w:lastRowLastColumn="0"/>
            </w:pPr>
            <w:r>
              <w:t>1</w:t>
            </w:r>
            <w:r w:rsidR="45FE13DD">
              <w:t>0 541</w:t>
            </w:r>
          </w:p>
        </w:tc>
        <w:tc>
          <w:tcPr>
            <w:tcW w:w="1416" w:type="dxa"/>
            <w:noWrap/>
          </w:tcPr>
          <w:p w14:paraId="1B01AA4E" w14:textId="17B4B17E" w:rsidR="00713AFE" w:rsidRPr="00F53FDC" w:rsidRDefault="38E0D71B" w:rsidP="32AC1E01">
            <w:pPr>
              <w:keepNext/>
              <w:keepLines/>
              <w:jc w:val="center"/>
              <w:cnfStyle w:val="000000000000" w:firstRow="0" w:lastRow="0" w:firstColumn="0" w:lastColumn="0" w:oddVBand="0" w:evenVBand="0" w:oddHBand="0" w:evenHBand="0" w:firstRowFirstColumn="0" w:firstRowLastColumn="0" w:lastRowFirstColumn="0" w:lastRowLastColumn="0"/>
            </w:pPr>
            <w:r>
              <w:t>7 520</w:t>
            </w:r>
          </w:p>
        </w:tc>
        <w:tc>
          <w:tcPr>
            <w:tcW w:w="1415" w:type="dxa"/>
            <w:noWrap/>
          </w:tcPr>
          <w:p w14:paraId="29EF21EB" w14:textId="36EA8222" w:rsidR="00713AFE" w:rsidRPr="00F53FDC" w:rsidRDefault="60C45320" w:rsidP="32AC1E01">
            <w:pPr>
              <w:spacing w:line="259" w:lineRule="auto"/>
              <w:jc w:val="center"/>
              <w:cnfStyle w:val="000000000000" w:firstRow="0" w:lastRow="0" w:firstColumn="0" w:lastColumn="0" w:oddVBand="0" w:evenVBand="0" w:oddHBand="0" w:evenHBand="0" w:firstRowFirstColumn="0" w:firstRowLastColumn="0" w:lastRowFirstColumn="0" w:lastRowLastColumn="0"/>
            </w:pPr>
            <w:r>
              <w:t>13 322</w:t>
            </w:r>
          </w:p>
        </w:tc>
        <w:tc>
          <w:tcPr>
            <w:tcW w:w="1084" w:type="dxa"/>
          </w:tcPr>
          <w:p w14:paraId="55F4F4F5" w14:textId="29C8EB66" w:rsidR="00713AFE" w:rsidRPr="00F53FDC" w:rsidRDefault="32879206" w:rsidP="00AC4DC1">
            <w:pPr>
              <w:keepNext/>
              <w:keepLines/>
              <w:jc w:val="center"/>
              <w:cnfStyle w:val="000000000000" w:firstRow="0" w:lastRow="0" w:firstColumn="0" w:lastColumn="0" w:oddVBand="0" w:evenVBand="0" w:oddHBand="0" w:evenHBand="0" w:firstRowFirstColumn="0" w:firstRowLastColumn="0" w:lastRowFirstColumn="0" w:lastRowLastColumn="0"/>
            </w:pPr>
            <w:r>
              <w:t>17 742</w:t>
            </w:r>
          </w:p>
        </w:tc>
        <w:tc>
          <w:tcPr>
            <w:tcW w:w="1327" w:type="dxa"/>
            <w:noWrap/>
          </w:tcPr>
          <w:p w14:paraId="31664AE0" w14:textId="726251E5" w:rsidR="00713AFE" w:rsidRPr="00F53FDC" w:rsidRDefault="2EFF53A1" w:rsidP="00AC4DC1">
            <w:pPr>
              <w:keepNext/>
              <w:keepLines/>
              <w:jc w:val="center"/>
              <w:cnfStyle w:val="000000000000" w:firstRow="0" w:lastRow="0" w:firstColumn="0" w:lastColumn="0" w:oddVBand="0" w:evenVBand="0" w:oddHBand="0" w:evenHBand="0" w:firstRowFirstColumn="0" w:firstRowLastColumn="0" w:lastRowFirstColumn="0" w:lastRowLastColumn="0"/>
            </w:pPr>
            <w:r>
              <w:t>49 125</w:t>
            </w:r>
          </w:p>
        </w:tc>
        <w:tc>
          <w:tcPr>
            <w:tcW w:w="1327" w:type="dxa"/>
          </w:tcPr>
          <w:p w14:paraId="0052CC14" w14:textId="5D4FB915" w:rsidR="70C04B20" w:rsidRDefault="70C04B20" w:rsidP="32AC1E01">
            <w:pPr>
              <w:jc w:val="center"/>
              <w:cnfStyle w:val="000000000000" w:firstRow="0" w:lastRow="0" w:firstColumn="0" w:lastColumn="0" w:oddVBand="0" w:evenVBand="0" w:oddHBand="0" w:evenHBand="0" w:firstRowFirstColumn="0" w:firstRowLastColumn="0" w:lastRowFirstColumn="0" w:lastRowLastColumn="0"/>
            </w:pPr>
            <w:r>
              <w:t>4.35</w:t>
            </w:r>
          </w:p>
        </w:tc>
      </w:tr>
      <w:tr w:rsidR="00713AFE" w:rsidRPr="00F53FDC" w14:paraId="3DB028FB" w14:textId="2A33CF46" w:rsidTr="32AC1E0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5E1D1E52" w14:textId="77777777" w:rsidR="00713AFE" w:rsidRPr="00F53FDC" w:rsidRDefault="00713AFE" w:rsidP="00AC4DC1">
            <w:pPr>
              <w:keepNext/>
              <w:keepLines/>
              <w:jc w:val="center"/>
              <w:rPr>
                <w:sz w:val="20"/>
              </w:rPr>
            </w:pPr>
            <w:r w:rsidRPr="00F53FDC">
              <w:rPr>
                <w:sz w:val="20"/>
              </w:rPr>
              <w:t>S</w:t>
            </w:r>
          </w:p>
        </w:tc>
        <w:tc>
          <w:tcPr>
            <w:tcW w:w="1557" w:type="dxa"/>
            <w:noWrap/>
          </w:tcPr>
          <w:p w14:paraId="1E211F6F" w14:textId="0584D861" w:rsidR="00713AFE" w:rsidRPr="00F53FDC" w:rsidRDefault="00713AFE" w:rsidP="00AC4DC1">
            <w:pPr>
              <w:keepNext/>
              <w:keepLines/>
              <w:jc w:val="center"/>
              <w:cnfStyle w:val="000000100000" w:firstRow="0" w:lastRow="0" w:firstColumn="0" w:lastColumn="0" w:oddVBand="0" w:evenVBand="0" w:oddHBand="1" w:evenHBand="0" w:firstRowFirstColumn="0" w:firstRowLastColumn="0" w:lastRowFirstColumn="0" w:lastRowLastColumn="0"/>
            </w:pPr>
            <w:r>
              <w:t>1</w:t>
            </w:r>
            <w:r w:rsidR="054580A2">
              <w:t>0</w:t>
            </w:r>
            <w:r>
              <w:t xml:space="preserve"> </w:t>
            </w:r>
            <w:r w:rsidR="36C464F0">
              <w:t>142</w:t>
            </w:r>
          </w:p>
        </w:tc>
        <w:tc>
          <w:tcPr>
            <w:tcW w:w="1416" w:type="dxa"/>
            <w:noWrap/>
          </w:tcPr>
          <w:p w14:paraId="77BFB186" w14:textId="230AA9ED" w:rsidR="00713AFE" w:rsidRPr="00F53FDC" w:rsidRDefault="634F9B53" w:rsidP="32AC1E01">
            <w:pPr>
              <w:keepNext/>
              <w:keepLines/>
              <w:jc w:val="center"/>
              <w:cnfStyle w:val="000000100000" w:firstRow="0" w:lastRow="0" w:firstColumn="0" w:lastColumn="0" w:oddVBand="0" w:evenVBand="0" w:oddHBand="1" w:evenHBand="0" w:firstRowFirstColumn="0" w:firstRowLastColumn="0" w:lastRowFirstColumn="0" w:lastRowLastColumn="0"/>
            </w:pPr>
            <w:r>
              <w:t>7 282</w:t>
            </w:r>
          </w:p>
        </w:tc>
        <w:tc>
          <w:tcPr>
            <w:tcW w:w="1415" w:type="dxa"/>
            <w:noWrap/>
          </w:tcPr>
          <w:p w14:paraId="100A5778" w14:textId="096DB2CB" w:rsidR="00713AFE" w:rsidRPr="00F53FDC" w:rsidRDefault="200BBFE5" w:rsidP="32AC1E01">
            <w:pPr>
              <w:keepNext/>
              <w:keepLines/>
              <w:jc w:val="center"/>
              <w:cnfStyle w:val="000000100000" w:firstRow="0" w:lastRow="0" w:firstColumn="0" w:lastColumn="0" w:oddVBand="0" w:evenVBand="0" w:oddHBand="1" w:evenHBand="0" w:firstRowFirstColumn="0" w:firstRowLastColumn="0" w:lastRowFirstColumn="0" w:lastRowLastColumn="0"/>
            </w:pPr>
            <w:r>
              <w:t>8 339</w:t>
            </w:r>
          </w:p>
        </w:tc>
        <w:tc>
          <w:tcPr>
            <w:tcW w:w="1084" w:type="dxa"/>
          </w:tcPr>
          <w:p w14:paraId="77CA5EBF" w14:textId="6B64A30E" w:rsidR="00713AFE" w:rsidRPr="00F53FDC" w:rsidRDefault="1709C4F7" w:rsidP="00AC4DC1">
            <w:pPr>
              <w:keepNext/>
              <w:keepLines/>
              <w:jc w:val="center"/>
              <w:cnfStyle w:val="000000100000" w:firstRow="0" w:lastRow="0" w:firstColumn="0" w:lastColumn="0" w:oddVBand="0" w:evenVBand="0" w:oddHBand="1" w:evenHBand="0" w:firstRowFirstColumn="0" w:firstRowLastColumn="0" w:lastRowFirstColumn="0" w:lastRowLastColumn="0"/>
            </w:pPr>
            <w:r>
              <w:t>9 524</w:t>
            </w:r>
          </w:p>
        </w:tc>
        <w:tc>
          <w:tcPr>
            <w:tcW w:w="1327" w:type="dxa"/>
            <w:noWrap/>
          </w:tcPr>
          <w:p w14:paraId="29A1C285" w14:textId="0AB98A3D" w:rsidR="00713AFE" w:rsidRPr="00F53FDC" w:rsidRDefault="5914B8A7" w:rsidP="00AC4DC1">
            <w:pPr>
              <w:keepNext/>
              <w:keepLines/>
              <w:jc w:val="center"/>
              <w:cnfStyle w:val="000000100000" w:firstRow="0" w:lastRow="0" w:firstColumn="0" w:lastColumn="0" w:oddVBand="0" w:evenVBand="0" w:oddHBand="1" w:evenHBand="0" w:firstRowFirstColumn="0" w:firstRowLastColumn="0" w:lastRowFirstColumn="0" w:lastRowLastColumn="0"/>
            </w:pPr>
            <w:r>
              <w:t>35 287</w:t>
            </w:r>
          </w:p>
        </w:tc>
        <w:tc>
          <w:tcPr>
            <w:tcW w:w="1327" w:type="dxa"/>
          </w:tcPr>
          <w:p w14:paraId="5E9E5245" w14:textId="1DDAB9AF" w:rsidR="5FA63C75" w:rsidRDefault="5FA63C75" w:rsidP="32AC1E01">
            <w:pPr>
              <w:jc w:val="center"/>
              <w:cnfStyle w:val="000000100000" w:firstRow="0" w:lastRow="0" w:firstColumn="0" w:lastColumn="0" w:oddVBand="0" w:evenVBand="0" w:oddHBand="1" w:evenHBand="0" w:firstRowFirstColumn="0" w:firstRowLastColumn="0" w:lastRowFirstColumn="0" w:lastRowLastColumn="0"/>
            </w:pPr>
            <w:r>
              <w:t>3.12</w:t>
            </w:r>
          </w:p>
        </w:tc>
      </w:tr>
      <w:tr w:rsidR="00713AFE" w:rsidRPr="00F53FDC" w14:paraId="453CFC87" w14:textId="1D295C6C" w:rsidTr="32AC1E01">
        <w:trPr>
          <w:trHeight w:val="33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2A20F5A9" w14:textId="77777777" w:rsidR="00713AFE" w:rsidRPr="00F53FDC" w:rsidRDefault="00713AFE" w:rsidP="00AC4DC1">
            <w:pPr>
              <w:keepNext/>
              <w:keepLines/>
              <w:jc w:val="center"/>
              <w:rPr>
                <w:sz w:val="20"/>
              </w:rPr>
            </w:pPr>
            <w:r w:rsidRPr="00F53FDC">
              <w:rPr>
                <w:sz w:val="20"/>
              </w:rPr>
              <w:t>F</w:t>
            </w:r>
          </w:p>
        </w:tc>
        <w:tc>
          <w:tcPr>
            <w:tcW w:w="1557" w:type="dxa"/>
            <w:noWrap/>
          </w:tcPr>
          <w:p w14:paraId="4D7D0B04" w14:textId="272A4456" w:rsidR="00713AFE" w:rsidRPr="00F53FDC" w:rsidRDefault="5B3AD057" w:rsidP="32AC1E01">
            <w:pPr>
              <w:keepNext/>
              <w:keepLines/>
              <w:jc w:val="center"/>
              <w:cnfStyle w:val="000000000000" w:firstRow="0" w:lastRow="0" w:firstColumn="0" w:lastColumn="0" w:oddVBand="0" w:evenVBand="0" w:oddHBand="0" w:evenHBand="0" w:firstRowFirstColumn="0" w:firstRowLastColumn="0" w:lastRowFirstColumn="0" w:lastRowLastColumn="0"/>
            </w:pPr>
            <w:r>
              <w:t>6 152</w:t>
            </w:r>
          </w:p>
        </w:tc>
        <w:tc>
          <w:tcPr>
            <w:tcW w:w="1416" w:type="dxa"/>
            <w:noWrap/>
          </w:tcPr>
          <w:p w14:paraId="511C8240" w14:textId="3B94F9F3" w:rsidR="00713AFE" w:rsidRPr="00F53FDC" w:rsidRDefault="182894F8" w:rsidP="32AC1E01">
            <w:pPr>
              <w:keepNext/>
              <w:keepLines/>
              <w:jc w:val="center"/>
              <w:cnfStyle w:val="000000000000" w:firstRow="0" w:lastRow="0" w:firstColumn="0" w:lastColumn="0" w:oddVBand="0" w:evenVBand="0" w:oddHBand="0" w:evenHBand="0" w:firstRowFirstColumn="0" w:firstRowLastColumn="0" w:lastRowFirstColumn="0" w:lastRowLastColumn="0"/>
            </w:pPr>
            <w:r>
              <w:t xml:space="preserve">5 177 </w:t>
            </w:r>
          </w:p>
        </w:tc>
        <w:tc>
          <w:tcPr>
            <w:tcW w:w="1415" w:type="dxa"/>
            <w:noWrap/>
          </w:tcPr>
          <w:p w14:paraId="4DBDBD5F" w14:textId="3D8184A2" w:rsidR="00713AFE" w:rsidRPr="00F53FDC" w:rsidRDefault="0E9304E7" w:rsidP="32AC1E01">
            <w:pPr>
              <w:keepNext/>
              <w:keepLines/>
              <w:jc w:val="center"/>
              <w:cnfStyle w:val="000000000000" w:firstRow="0" w:lastRow="0" w:firstColumn="0" w:lastColumn="0" w:oddVBand="0" w:evenVBand="0" w:oddHBand="0" w:evenHBand="0" w:firstRowFirstColumn="0" w:firstRowLastColumn="0" w:lastRowFirstColumn="0" w:lastRowLastColumn="0"/>
            </w:pPr>
            <w:r>
              <w:t>9 475</w:t>
            </w:r>
          </w:p>
        </w:tc>
        <w:tc>
          <w:tcPr>
            <w:tcW w:w="1084" w:type="dxa"/>
          </w:tcPr>
          <w:p w14:paraId="0316C37A" w14:textId="7D316945" w:rsidR="00713AFE" w:rsidRPr="00F53FDC" w:rsidRDefault="20BADF71" w:rsidP="00AC4DC1">
            <w:pPr>
              <w:keepNext/>
              <w:keepLines/>
              <w:jc w:val="center"/>
              <w:cnfStyle w:val="000000000000" w:firstRow="0" w:lastRow="0" w:firstColumn="0" w:lastColumn="0" w:oddVBand="0" w:evenVBand="0" w:oddHBand="0" w:evenHBand="0" w:firstRowFirstColumn="0" w:firstRowLastColumn="0" w:lastRowFirstColumn="0" w:lastRowLastColumn="0"/>
            </w:pPr>
            <w:r>
              <w:t>10 981</w:t>
            </w:r>
          </w:p>
        </w:tc>
        <w:tc>
          <w:tcPr>
            <w:tcW w:w="1327" w:type="dxa"/>
            <w:noWrap/>
          </w:tcPr>
          <w:p w14:paraId="1B55CA42" w14:textId="56F66413" w:rsidR="00713AFE" w:rsidRPr="00F53FDC" w:rsidRDefault="49D53182" w:rsidP="00AC4DC1">
            <w:pPr>
              <w:keepNext/>
              <w:keepLines/>
              <w:jc w:val="center"/>
              <w:cnfStyle w:val="000000000000" w:firstRow="0" w:lastRow="0" w:firstColumn="0" w:lastColumn="0" w:oddVBand="0" w:evenVBand="0" w:oddHBand="0" w:evenHBand="0" w:firstRowFirstColumn="0" w:firstRowLastColumn="0" w:lastRowFirstColumn="0" w:lastRowLastColumn="0"/>
            </w:pPr>
            <w:r>
              <w:t>31 785</w:t>
            </w:r>
          </w:p>
        </w:tc>
        <w:tc>
          <w:tcPr>
            <w:tcW w:w="1327" w:type="dxa"/>
          </w:tcPr>
          <w:p w14:paraId="7F8D0266" w14:textId="3F31CFE8" w:rsidR="77D9856E" w:rsidRDefault="77D9856E" w:rsidP="32AC1E01">
            <w:pPr>
              <w:jc w:val="center"/>
              <w:cnfStyle w:val="000000000000" w:firstRow="0" w:lastRow="0" w:firstColumn="0" w:lastColumn="0" w:oddVBand="0" w:evenVBand="0" w:oddHBand="0" w:evenHBand="0" w:firstRowFirstColumn="0" w:firstRowLastColumn="0" w:lastRowFirstColumn="0" w:lastRowLastColumn="0"/>
            </w:pPr>
            <w:r>
              <w:t>2.81</w:t>
            </w:r>
          </w:p>
        </w:tc>
      </w:tr>
      <w:tr w:rsidR="00713AFE" w:rsidRPr="00F53FDC" w14:paraId="465650EE" w14:textId="7A41BEE9" w:rsidTr="32AC1E0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4FB09A83" w14:textId="77777777" w:rsidR="00713AFE" w:rsidRPr="00F53FDC" w:rsidRDefault="00713AFE" w:rsidP="00AC4DC1">
            <w:pPr>
              <w:keepNext/>
              <w:keepLines/>
              <w:jc w:val="center"/>
              <w:rPr>
                <w:sz w:val="20"/>
              </w:rPr>
            </w:pPr>
            <w:r w:rsidRPr="00F53FDC">
              <w:rPr>
                <w:sz w:val="20"/>
              </w:rPr>
              <w:t>RS</w:t>
            </w:r>
          </w:p>
        </w:tc>
        <w:tc>
          <w:tcPr>
            <w:tcW w:w="1557" w:type="dxa"/>
            <w:noWrap/>
          </w:tcPr>
          <w:p w14:paraId="45247AC4" w14:textId="031EB20D" w:rsidR="00713AFE" w:rsidRPr="00F53FDC" w:rsidRDefault="5F5F80E3" w:rsidP="018DC1DF">
            <w:pPr>
              <w:keepNext/>
              <w:keepLines/>
              <w:jc w:val="center"/>
              <w:cnfStyle w:val="000000100000" w:firstRow="0" w:lastRow="0" w:firstColumn="0" w:lastColumn="0" w:oddVBand="0" w:evenVBand="0" w:oddHBand="1" w:evenHBand="0" w:firstRowFirstColumn="0" w:firstRowLastColumn="0" w:lastRowFirstColumn="0" w:lastRowLastColumn="0"/>
            </w:pPr>
            <w:r>
              <w:t>3 764</w:t>
            </w:r>
          </w:p>
        </w:tc>
        <w:tc>
          <w:tcPr>
            <w:tcW w:w="1416" w:type="dxa"/>
            <w:noWrap/>
          </w:tcPr>
          <w:p w14:paraId="23868F9D" w14:textId="30925F0D" w:rsidR="00713AFE" w:rsidRPr="00F53FDC" w:rsidRDefault="1EE322F3" w:rsidP="32AC1E01">
            <w:pPr>
              <w:keepNext/>
              <w:keepLines/>
              <w:jc w:val="center"/>
              <w:cnfStyle w:val="000000100000" w:firstRow="0" w:lastRow="0" w:firstColumn="0" w:lastColumn="0" w:oddVBand="0" w:evenVBand="0" w:oddHBand="1" w:evenHBand="0" w:firstRowFirstColumn="0" w:firstRowLastColumn="0" w:lastRowFirstColumn="0" w:lastRowLastColumn="0"/>
            </w:pPr>
            <w:r>
              <w:t>2 966</w:t>
            </w:r>
          </w:p>
        </w:tc>
        <w:tc>
          <w:tcPr>
            <w:tcW w:w="1415" w:type="dxa"/>
            <w:noWrap/>
          </w:tcPr>
          <w:p w14:paraId="7C404EC7" w14:textId="164C75C3" w:rsidR="00713AFE" w:rsidRPr="00F53FDC" w:rsidRDefault="00713AFE" w:rsidP="32AC1E01">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rPr>
            </w:pPr>
            <w:r w:rsidRPr="00F53FDC">
              <w:t>2</w:t>
            </w:r>
            <w:r>
              <w:t xml:space="preserve"> </w:t>
            </w:r>
            <w:r w:rsidR="70D14F42">
              <w:t>730</w:t>
            </w:r>
          </w:p>
        </w:tc>
        <w:tc>
          <w:tcPr>
            <w:tcW w:w="1084" w:type="dxa"/>
          </w:tcPr>
          <w:p w14:paraId="4A1B12D7" w14:textId="70C6C7FE" w:rsidR="00713AFE" w:rsidRPr="00F53FDC" w:rsidRDefault="7476FB4D" w:rsidP="00AC4DC1">
            <w:pPr>
              <w:keepNext/>
              <w:keepLines/>
              <w:jc w:val="center"/>
              <w:cnfStyle w:val="000000100000" w:firstRow="0" w:lastRow="0" w:firstColumn="0" w:lastColumn="0" w:oddVBand="0" w:evenVBand="0" w:oddHBand="1" w:evenHBand="0" w:firstRowFirstColumn="0" w:firstRowLastColumn="0" w:lastRowFirstColumn="0" w:lastRowLastColumn="0"/>
            </w:pPr>
            <w:r>
              <w:t>4 322</w:t>
            </w:r>
          </w:p>
        </w:tc>
        <w:tc>
          <w:tcPr>
            <w:tcW w:w="1327" w:type="dxa"/>
            <w:noWrap/>
          </w:tcPr>
          <w:p w14:paraId="0BAEA756" w14:textId="2863F213" w:rsidR="00713AFE" w:rsidRPr="00F53FDC" w:rsidRDefault="4D8E7E42" w:rsidP="00AC4DC1">
            <w:pPr>
              <w:keepNext/>
              <w:keepLines/>
              <w:jc w:val="center"/>
              <w:cnfStyle w:val="000000100000" w:firstRow="0" w:lastRow="0" w:firstColumn="0" w:lastColumn="0" w:oddVBand="0" w:evenVBand="0" w:oddHBand="1" w:evenHBand="0" w:firstRowFirstColumn="0" w:firstRowLastColumn="0" w:lastRowFirstColumn="0" w:lastRowLastColumn="0"/>
            </w:pPr>
            <w:r>
              <w:t>13 782</w:t>
            </w:r>
          </w:p>
        </w:tc>
        <w:tc>
          <w:tcPr>
            <w:tcW w:w="1327" w:type="dxa"/>
          </w:tcPr>
          <w:p w14:paraId="1CE99D06" w14:textId="5072DA63" w:rsidR="20C830C0" w:rsidRDefault="20C830C0" w:rsidP="32AC1E01">
            <w:pPr>
              <w:jc w:val="center"/>
              <w:cnfStyle w:val="000000100000" w:firstRow="0" w:lastRow="0" w:firstColumn="0" w:lastColumn="0" w:oddVBand="0" w:evenVBand="0" w:oddHBand="1" w:evenHBand="0" w:firstRowFirstColumn="0" w:firstRowLastColumn="0" w:lastRowFirstColumn="0" w:lastRowLastColumn="0"/>
            </w:pPr>
            <w:r>
              <w:t>1.22</w:t>
            </w:r>
          </w:p>
        </w:tc>
      </w:tr>
      <w:tr w:rsidR="00713AFE" w:rsidRPr="00F53FDC" w14:paraId="1871451B" w14:textId="4F9A1FEE" w:rsidTr="32AC1E01">
        <w:trPr>
          <w:trHeight w:val="33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786B8742" w14:textId="77777777" w:rsidR="00713AFE" w:rsidRPr="00F53FDC" w:rsidRDefault="00713AFE" w:rsidP="00AC4DC1">
            <w:pPr>
              <w:keepNext/>
              <w:keepLines/>
              <w:jc w:val="center"/>
              <w:rPr>
                <w:sz w:val="20"/>
              </w:rPr>
            </w:pPr>
            <w:r w:rsidRPr="00F53FDC">
              <w:rPr>
                <w:sz w:val="20"/>
              </w:rPr>
              <w:t>RA</w:t>
            </w:r>
          </w:p>
        </w:tc>
        <w:tc>
          <w:tcPr>
            <w:tcW w:w="1557" w:type="dxa"/>
            <w:noWrap/>
          </w:tcPr>
          <w:p w14:paraId="5030F626" w14:textId="1613CE17" w:rsidR="00713AFE" w:rsidRPr="00F53FDC" w:rsidRDefault="23E6538F" w:rsidP="018DC1DF">
            <w:pPr>
              <w:keepNext/>
              <w:keepLines/>
              <w:jc w:val="center"/>
              <w:cnfStyle w:val="000000000000" w:firstRow="0" w:lastRow="0" w:firstColumn="0" w:lastColumn="0" w:oddVBand="0" w:evenVBand="0" w:oddHBand="0" w:evenHBand="0" w:firstRowFirstColumn="0" w:firstRowLastColumn="0" w:lastRowFirstColumn="0" w:lastRowLastColumn="0"/>
            </w:pPr>
            <w:r>
              <w:t>3 292</w:t>
            </w:r>
          </w:p>
        </w:tc>
        <w:tc>
          <w:tcPr>
            <w:tcW w:w="1416" w:type="dxa"/>
            <w:noWrap/>
          </w:tcPr>
          <w:p w14:paraId="015FDD5C" w14:textId="5354CBB7" w:rsidR="00713AFE" w:rsidRPr="00F53FDC" w:rsidRDefault="777052D4" w:rsidP="32AC1E01">
            <w:pPr>
              <w:keepNext/>
              <w:keepLines/>
              <w:jc w:val="center"/>
              <w:cnfStyle w:val="000000000000" w:firstRow="0" w:lastRow="0" w:firstColumn="0" w:lastColumn="0" w:oddVBand="0" w:evenVBand="0" w:oddHBand="0" w:evenHBand="0" w:firstRowFirstColumn="0" w:firstRowLastColumn="0" w:lastRowFirstColumn="0" w:lastRowLastColumn="0"/>
            </w:pPr>
            <w:r>
              <w:t>2 502</w:t>
            </w:r>
          </w:p>
        </w:tc>
        <w:tc>
          <w:tcPr>
            <w:tcW w:w="1415" w:type="dxa"/>
            <w:noWrap/>
          </w:tcPr>
          <w:p w14:paraId="55BBC5D2" w14:textId="7E3060D5" w:rsidR="00713AFE" w:rsidRPr="00F53FDC" w:rsidRDefault="00713AFE" w:rsidP="32AC1E01">
            <w:pPr>
              <w:keepNext/>
              <w:keepLines/>
              <w:jc w:val="center"/>
              <w:cnfStyle w:val="000000000000" w:firstRow="0" w:lastRow="0" w:firstColumn="0" w:lastColumn="0" w:oddVBand="0" w:evenVBand="0" w:oddHBand="0" w:evenHBand="0" w:firstRowFirstColumn="0" w:firstRowLastColumn="0" w:lastRowFirstColumn="0" w:lastRowLastColumn="0"/>
            </w:pPr>
            <w:r w:rsidRPr="00F53FDC">
              <w:t>2</w:t>
            </w:r>
            <w:r>
              <w:t xml:space="preserve"> </w:t>
            </w:r>
            <w:r w:rsidR="47254B4B">
              <w:t>736</w:t>
            </w:r>
          </w:p>
        </w:tc>
        <w:tc>
          <w:tcPr>
            <w:tcW w:w="1084" w:type="dxa"/>
          </w:tcPr>
          <w:p w14:paraId="1FA0FA5C" w14:textId="0B748D70" w:rsidR="00713AFE" w:rsidRPr="00F53FDC" w:rsidRDefault="7A101CB4" w:rsidP="00AC4DC1">
            <w:pPr>
              <w:keepNext/>
              <w:keepLines/>
              <w:jc w:val="center"/>
              <w:cnfStyle w:val="000000000000" w:firstRow="0" w:lastRow="0" w:firstColumn="0" w:lastColumn="0" w:oddVBand="0" w:evenVBand="0" w:oddHBand="0" w:evenHBand="0" w:firstRowFirstColumn="0" w:firstRowLastColumn="0" w:lastRowFirstColumn="0" w:lastRowLastColumn="0"/>
            </w:pPr>
            <w:r>
              <w:t>3 774</w:t>
            </w:r>
          </w:p>
        </w:tc>
        <w:tc>
          <w:tcPr>
            <w:tcW w:w="1327" w:type="dxa"/>
            <w:noWrap/>
          </w:tcPr>
          <w:p w14:paraId="7DB15E08" w14:textId="58AAB623" w:rsidR="00713AFE" w:rsidRPr="00F53FDC" w:rsidRDefault="1E48DB45" w:rsidP="00AC4DC1">
            <w:pPr>
              <w:keepNext/>
              <w:keepLines/>
              <w:jc w:val="center"/>
              <w:cnfStyle w:val="000000000000" w:firstRow="0" w:lastRow="0" w:firstColumn="0" w:lastColumn="0" w:oddVBand="0" w:evenVBand="0" w:oddHBand="0" w:evenHBand="0" w:firstRowFirstColumn="0" w:firstRowLastColumn="0" w:lastRowFirstColumn="0" w:lastRowLastColumn="0"/>
            </w:pPr>
            <w:r>
              <w:t>12 304</w:t>
            </w:r>
          </w:p>
        </w:tc>
        <w:tc>
          <w:tcPr>
            <w:tcW w:w="1327" w:type="dxa"/>
          </w:tcPr>
          <w:p w14:paraId="4A8BFD42" w14:textId="57002DD0" w:rsidR="38FB79B9" w:rsidRDefault="38FB79B9" w:rsidP="32AC1E01">
            <w:pPr>
              <w:jc w:val="center"/>
              <w:cnfStyle w:val="000000000000" w:firstRow="0" w:lastRow="0" w:firstColumn="0" w:lastColumn="0" w:oddVBand="0" w:evenVBand="0" w:oddHBand="0" w:evenHBand="0" w:firstRowFirstColumn="0" w:firstRowLastColumn="0" w:lastRowFirstColumn="0" w:lastRowLastColumn="0"/>
            </w:pPr>
            <w:r>
              <w:t>1.09</w:t>
            </w:r>
          </w:p>
        </w:tc>
      </w:tr>
      <w:tr w:rsidR="00713AFE" w:rsidRPr="00F53FDC" w14:paraId="1662C63D" w14:textId="3E61ECC3" w:rsidTr="32AC1E0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4C74DB60" w14:textId="77777777" w:rsidR="00713AFE" w:rsidRPr="00F53FDC" w:rsidRDefault="00713AFE" w:rsidP="00AC4DC1">
            <w:pPr>
              <w:keepNext/>
              <w:keepLines/>
              <w:jc w:val="center"/>
              <w:rPr>
                <w:sz w:val="20"/>
              </w:rPr>
            </w:pPr>
            <w:r w:rsidRPr="00F53FDC">
              <w:rPr>
                <w:sz w:val="20"/>
              </w:rPr>
              <w:t>SA</w:t>
            </w:r>
          </w:p>
        </w:tc>
        <w:tc>
          <w:tcPr>
            <w:tcW w:w="1557" w:type="dxa"/>
            <w:noWrap/>
          </w:tcPr>
          <w:p w14:paraId="3A10BF0D" w14:textId="2CDD2E6D" w:rsidR="00713AFE" w:rsidRPr="00F53FDC" w:rsidRDefault="5520AB15" w:rsidP="47AE5903">
            <w:pPr>
              <w:keepNext/>
              <w:keepLines/>
              <w:jc w:val="center"/>
              <w:cnfStyle w:val="000000100000" w:firstRow="0" w:lastRow="0" w:firstColumn="0" w:lastColumn="0" w:oddVBand="0" w:evenVBand="0" w:oddHBand="1" w:evenHBand="0" w:firstRowFirstColumn="0" w:firstRowLastColumn="0" w:lastRowFirstColumn="0" w:lastRowLastColumn="0"/>
            </w:pPr>
            <w:r>
              <w:t>3 106</w:t>
            </w:r>
          </w:p>
        </w:tc>
        <w:tc>
          <w:tcPr>
            <w:tcW w:w="1416" w:type="dxa"/>
            <w:noWrap/>
          </w:tcPr>
          <w:p w14:paraId="2F7E3302" w14:textId="43C56482" w:rsidR="00713AFE" w:rsidRPr="00F53FDC" w:rsidRDefault="14DE10E2" w:rsidP="32AC1E01">
            <w:pPr>
              <w:keepNext/>
              <w:keepLines/>
              <w:jc w:val="center"/>
              <w:cnfStyle w:val="000000100000" w:firstRow="0" w:lastRow="0" w:firstColumn="0" w:lastColumn="0" w:oddVBand="0" w:evenVBand="0" w:oddHBand="1" w:evenHBand="0" w:firstRowFirstColumn="0" w:firstRowLastColumn="0" w:lastRowFirstColumn="0" w:lastRowLastColumn="0"/>
            </w:pPr>
            <w:r>
              <w:t>2</w:t>
            </w:r>
            <w:r w:rsidR="00713AFE">
              <w:t xml:space="preserve"> </w:t>
            </w:r>
            <w:r w:rsidR="157B8251">
              <w:t>860</w:t>
            </w:r>
          </w:p>
        </w:tc>
        <w:tc>
          <w:tcPr>
            <w:tcW w:w="1415" w:type="dxa"/>
            <w:noWrap/>
          </w:tcPr>
          <w:p w14:paraId="1777B30A" w14:textId="3384C21E" w:rsidR="00713AFE" w:rsidRPr="00F53FDC" w:rsidRDefault="4016C5B9" w:rsidP="32AC1E01">
            <w:pPr>
              <w:keepNext/>
              <w:keepLines/>
              <w:jc w:val="center"/>
              <w:cnfStyle w:val="000000100000" w:firstRow="0" w:lastRow="0" w:firstColumn="0" w:lastColumn="0" w:oddVBand="0" w:evenVBand="0" w:oddHBand="1" w:evenHBand="0" w:firstRowFirstColumn="0" w:firstRowLastColumn="0" w:lastRowFirstColumn="0" w:lastRowLastColumn="0"/>
            </w:pPr>
            <w:r>
              <w:t>4 438</w:t>
            </w:r>
          </w:p>
        </w:tc>
        <w:tc>
          <w:tcPr>
            <w:tcW w:w="1084" w:type="dxa"/>
          </w:tcPr>
          <w:p w14:paraId="661C3BE8" w14:textId="0D679EAB" w:rsidR="00713AFE" w:rsidRPr="00F53FDC" w:rsidRDefault="41E1EA3E" w:rsidP="00AC4DC1">
            <w:pPr>
              <w:keepNext/>
              <w:keepLines/>
              <w:jc w:val="center"/>
              <w:cnfStyle w:val="000000100000" w:firstRow="0" w:lastRow="0" w:firstColumn="0" w:lastColumn="0" w:oddVBand="0" w:evenVBand="0" w:oddHBand="1" w:evenHBand="0" w:firstRowFirstColumn="0" w:firstRowLastColumn="0" w:lastRowFirstColumn="0" w:lastRowLastColumn="0"/>
            </w:pPr>
            <w:r>
              <w:t>5 422</w:t>
            </w:r>
          </w:p>
        </w:tc>
        <w:tc>
          <w:tcPr>
            <w:tcW w:w="1327" w:type="dxa"/>
            <w:noWrap/>
          </w:tcPr>
          <w:p w14:paraId="643312BD" w14:textId="5579E300" w:rsidR="00713AFE" w:rsidRPr="00F53FDC" w:rsidRDefault="774536F5" w:rsidP="00AC4DC1">
            <w:pPr>
              <w:keepNext/>
              <w:keepLines/>
              <w:jc w:val="center"/>
              <w:cnfStyle w:val="000000100000" w:firstRow="0" w:lastRow="0" w:firstColumn="0" w:lastColumn="0" w:oddVBand="0" w:evenVBand="0" w:oddHBand="1" w:evenHBand="0" w:firstRowFirstColumn="0" w:firstRowLastColumn="0" w:lastRowFirstColumn="0" w:lastRowLastColumn="0"/>
            </w:pPr>
            <w:r>
              <w:t>15 826</w:t>
            </w:r>
          </w:p>
        </w:tc>
        <w:tc>
          <w:tcPr>
            <w:tcW w:w="1327" w:type="dxa"/>
          </w:tcPr>
          <w:p w14:paraId="2E6022AD" w14:textId="0316A920" w:rsidR="4C775578" w:rsidRDefault="4C775578" w:rsidP="32AC1E01">
            <w:pPr>
              <w:jc w:val="center"/>
              <w:cnfStyle w:val="000000100000" w:firstRow="0" w:lastRow="0" w:firstColumn="0" w:lastColumn="0" w:oddVBand="0" w:evenVBand="0" w:oddHBand="1" w:evenHBand="0" w:firstRowFirstColumn="0" w:firstRowLastColumn="0" w:lastRowFirstColumn="0" w:lastRowLastColumn="0"/>
            </w:pPr>
            <w:r>
              <w:t>1.40</w:t>
            </w:r>
          </w:p>
        </w:tc>
      </w:tr>
      <w:tr w:rsidR="00713AFE" w:rsidRPr="00F53FDC" w14:paraId="79367FC1" w14:textId="5418D18D" w:rsidTr="32AC1E01">
        <w:trPr>
          <w:trHeight w:val="33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665BC303" w14:textId="77777777" w:rsidR="00713AFE" w:rsidRPr="00F53FDC" w:rsidRDefault="00713AFE" w:rsidP="00AC4DC1">
            <w:pPr>
              <w:keepNext/>
              <w:keepLines/>
              <w:jc w:val="center"/>
              <w:rPr>
                <w:sz w:val="20"/>
              </w:rPr>
            </w:pPr>
            <w:r w:rsidRPr="00F53FDC">
              <w:rPr>
                <w:sz w:val="20"/>
              </w:rPr>
              <w:t>SF</w:t>
            </w:r>
          </w:p>
        </w:tc>
        <w:tc>
          <w:tcPr>
            <w:tcW w:w="1557" w:type="dxa"/>
            <w:noWrap/>
          </w:tcPr>
          <w:p w14:paraId="69553469" w14:textId="7611748C" w:rsidR="00713AFE" w:rsidRPr="00F53FDC" w:rsidRDefault="1346AB46" w:rsidP="47AE5903">
            <w:pPr>
              <w:keepNext/>
              <w:keepLines/>
              <w:jc w:val="center"/>
              <w:cnfStyle w:val="000000000000" w:firstRow="0" w:lastRow="0" w:firstColumn="0" w:lastColumn="0" w:oddVBand="0" w:evenVBand="0" w:oddHBand="0" w:evenHBand="0" w:firstRowFirstColumn="0" w:firstRowLastColumn="0" w:lastRowFirstColumn="0" w:lastRowLastColumn="0"/>
            </w:pPr>
            <w:r>
              <w:t>303</w:t>
            </w:r>
          </w:p>
        </w:tc>
        <w:tc>
          <w:tcPr>
            <w:tcW w:w="1416" w:type="dxa"/>
            <w:noWrap/>
          </w:tcPr>
          <w:p w14:paraId="04C896AF" w14:textId="0FF1C4A8" w:rsidR="00713AFE" w:rsidRPr="00F53FDC" w:rsidRDefault="41E4B546" w:rsidP="32AC1E01">
            <w:pPr>
              <w:keepNext/>
              <w:keepLines/>
              <w:jc w:val="center"/>
              <w:cnfStyle w:val="000000000000" w:firstRow="0" w:lastRow="0" w:firstColumn="0" w:lastColumn="0" w:oddVBand="0" w:evenVBand="0" w:oddHBand="0" w:evenHBand="0" w:firstRowFirstColumn="0" w:firstRowLastColumn="0" w:lastRowFirstColumn="0" w:lastRowLastColumn="0"/>
            </w:pPr>
            <w:r>
              <w:t>266</w:t>
            </w:r>
          </w:p>
        </w:tc>
        <w:tc>
          <w:tcPr>
            <w:tcW w:w="1415" w:type="dxa"/>
            <w:noWrap/>
          </w:tcPr>
          <w:p w14:paraId="1E4978B0" w14:textId="457CFE72" w:rsidR="00713AFE" w:rsidRPr="00F53FDC" w:rsidRDefault="64930958" w:rsidP="32AC1E01">
            <w:pPr>
              <w:keepNext/>
              <w:keepLines/>
              <w:jc w:val="center"/>
              <w:cnfStyle w:val="000000000000" w:firstRow="0" w:lastRow="0" w:firstColumn="0" w:lastColumn="0" w:oddVBand="0" w:evenVBand="0" w:oddHBand="0" w:evenHBand="0" w:firstRowFirstColumn="0" w:firstRowLastColumn="0" w:lastRowFirstColumn="0" w:lastRowLastColumn="0"/>
            </w:pPr>
            <w:r>
              <w:t>81</w:t>
            </w:r>
          </w:p>
        </w:tc>
        <w:tc>
          <w:tcPr>
            <w:tcW w:w="1084" w:type="dxa"/>
          </w:tcPr>
          <w:p w14:paraId="03A7CBDC" w14:textId="2FE600D1" w:rsidR="00713AFE" w:rsidRPr="00F53FDC" w:rsidRDefault="4F9A36C6" w:rsidP="00AC4DC1">
            <w:pPr>
              <w:keepNext/>
              <w:keepLines/>
              <w:jc w:val="center"/>
              <w:cnfStyle w:val="000000000000" w:firstRow="0" w:lastRow="0" w:firstColumn="0" w:lastColumn="0" w:oddVBand="0" w:evenVBand="0" w:oddHBand="0" w:evenHBand="0" w:firstRowFirstColumn="0" w:firstRowLastColumn="0" w:lastRowFirstColumn="0" w:lastRowLastColumn="0"/>
            </w:pPr>
            <w:r>
              <w:t>330</w:t>
            </w:r>
          </w:p>
        </w:tc>
        <w:tc>
          <w:tcPr>
            <w:tcW w:w="1327" w:type="dxa"/>
            <w:noWrap/>
          </w:tcPr>
          <w:p w14:paraId="57447B2E" w14:textId="19A82FED" w:rsidR="00713AFE" w:rsidRPr="00F53FDC" w:rsidRDefault="76E68AA2" w:rsidP="00AC4DC1">
            <w:pPr>
              <w:keepNext/>
              <w:keepLines/>
              <w:jc w:val="center"/>
              <w:cnfStyle w:val="000000000000" w:firstRow="0" w:lastRow="0" w:firstColumn="0" w:lastColumn="0" w:oddVBand="0" w:evenVBand="0" w:oddHBand="0" w:evenHBand="0" w:firstRowFirstColumn="0" w:firstRowLastColumn="0" w:lastRowFirstColumn="0" w:lastRowLastColumn="0"/>
            </w:pPr>
            <w:r>
              <w:t>980</w:t>
            </w:r>
          </w:p>
        </w:tc>
        <w:tc>
          <w:tcPr>
            <w:tcW w:w="1327" w:type="dxa"/>
          </w:tcPr>
          <w:p w14:paraId="33537EC4" w14:textId="75D7A8A7" w:rsidR="1B987068" w:rsidRDefault="1B987068" w:rsidP="32AC1E01">
            <w:pPr>
              <w:jc w:val="center"/>
              <w:cnfStyle w:val="000000000000" w:firstRow="0" w:lastRow="0" w:firstColumn="0" w:lastColumn="0" w:oddVBand="0" w:evenVBand="0" w:oddHBand="0" w:evenHBand="0" w:firstRowFirstColumn="0" w:firstRowLastColumn="0" w:lastRowFirstColumn="0" w:lastRowLastColumn="0"/>
            </w:pPr>
            <w:r>
              <w:t>0.09</w:t>
            </w:r>
          </w:p>
        </w:tc>
      </w:tr>
      <w:tr w:rsidR="00713AFE" w:rsidRPr="00F53FDC" w14:paraId="7AFD1431" w14:textId="0AA58682" w:rsidTr="32AC1E01">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3AD00C78" w14:textId="77777777" w:rsidR="00713AFE" w:rsidRPr="00F53FDC" w:rsidRDefault="00713AFE" w:rsidP="00AC4DC1">
            <w:pPr>
              <w:keepNext/>
              <w:keepLines/>
              <w:jc w:val="center"/>
              <w:rPr>
                <w:sz w:val="20"/>
              </w:rPr>
            </w:pPr>
            <w:r w:rsidRPr="00F53FDC">
              <w:rPr>
                <w:sz w:val="20"/>
              </w:rPr>
              <w:t>BR</w:t>
            </w:r>
          </w:p>
        </w:tc>
        <w:tc>
          <w:tcPr>
            <w:tcW w:w="1557" w:type="dxa"/>
            <w:noWrap/>
          </w:tcPr>
          <w:p w14:paraId="5A7B2D16" w14:textId="4BD234BE" w:rsidR="00713AFE" w:rsidRPr="00F53FDC" w:rsidRDefault="00713AFE" w:rsidP="47AE5903">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rPr>
            </w:pPr>
            <w:r>
              <w:t>6</w:t>
            </w:r>
            <w:r w:rsidR="69A0FE9B">
              <w:t>5</w:t>
            </w:r>
          </w:p>
        </w:tc>
        <w:tc>
          <w:tcPr>
            <w:tcW w:w="1416" w:type="dxa"/>
            <w:noWrap/>
          </w:tcPr>
          <w:p w14:paraId="427D887F" w14:textId="00B93802" w:rsidR="00713AFE" w:rsidRPr="00F53FDC" w:rsidRDefault="418608F3" w:rsidP="32AC1E01">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rPr>
            </w:pPr>
            <w:r>
              <w:t>3</w:t>
            </w:r>
            <w:r w:rsidR="00713AFE">
              <w:t>5</w:t>
            </w:r>
          </w:p>
        </w:tc>
        <w:tc>
          <w:tcPr>
            <w:tcW w:w="1415" w:type="dxa"/>
            <w:noWrap/>
          </w:tcPr>
          <w:p w14:paraId="64EA525E" w14:textId="66AB1175" w:rsidR="00713AFE" w:rsidRPr="00F53FDC" w:rsidRDefault="785C60A9" w:rsidP="32AC1E01">
            <w:pPr>
              <w:keepNext/>
              <w:keepLines/>
              <w:jc w:val="center"/>
              <w:cnfStyle w:val="000000100000" w:firstRow="0" w:lastRow="0" w:firstColumn="0" w:lastColumn="0" w:oddVBand="0" w:evenVBand="0" w:oddHBand="1" w:evenHBand="0" w:firstRowFirstColumn="0" w:firstRowLastColumn="0" w:lastRowFirstColumn="0" w:lastRowLastColumn="0"/>
            </w:pPr>
            <w:r>
              <w:t>43</w:t>
            </w:r>
          </w:p>
        </w:tc>
        <w:tc>
          <w:tcPr>
            <w:tcW w:w="1084" w:type="dxa"/>
          </w:tcPr>
          <w:p w14:paraId="0C66BF03" w14:textId="4EC22653" w:rsidR="00713AFE" w:rsidRPr="00F53FDC" w:rsidRDefault="30692F40" w:rsidP="00AC4DC1">
            <w:pPr>
              <w:keepNext/>
              <w:keepLines/>
              <w:jc w:val="center"/>
              <w:cnfStyle w:val="000000100000" w:firstRow="0" w:lastRow="0" w:firstColumn="0" w:lastColumn="0" w:oddVBand="0" w:evenVBand="0" w:oddHBand="1" w:evenHBand="0" w:firstRowFirstColumn="0" w:firstRowLastColumn="0" w:lastRowFirstColumn="0" w:lastRowLastColumn="0"/>
            </w:pPr>
            <w:r>
              <w:t>64</w:t>
            </w:r>
          </w:p>
        </w:tc>
        <w:tc>
          <w:tcPr>
            <w:tcW w:w="1327" w:type="dxa"/>
            <w:noWrap/>
          </w:tcPr>
          <w:p w14:paraId="5CBA87EA" w14:textId="023FFB10" w:rsidR="00713AFE" w:rsidRPr="00F53FDC" w:rsidRDefault="2C1E309A" w:rsidP="00AC4DC1">
            <w:pPr>
              <w:keepNext/>
              <w:keepLines/>
              <w:jc w:val="center"/>
              <w:cnfStyle w:val="000000100000" w:firstRow="0" w:lastRow="0" w:firstColumn="0" w:lastColumn="0" w:oddVBand="0" w:evenVBand="0" w:oddHBand="1" w:evenHBand="0" w:firstRowFirstColumn="0" w:firstRowLastColumn="0" w:lastRowFirstColumn="0" w:lastRowLastColumn="0"/>
            </w:pPr>
            <w:r>
              <w:t>207</w:t>
            </w:r>
          </w:p>
        </w:tc>
        <w:tc>
          <w:tcPr>
            <w:tcW w:w="1327" w:type="dxa"/>
          </w:tcPr>
          <w:p w14:paraId="6569FD0B" w14:textId="3C1F4CD2" w:rsidR="749680AB" w:rsidRDefault="749680AB" w:rsidP="32AC1E01">
            <w:pPr>
              <w:jc w:val="center"/>
              <w:cnfStyle w:val="000000100000" w:firstRow="0" w:lastRow="0" w:firstColumn="0" w:lastColumn="0" w:oddVBand="0" w:evenVBand="0" w:oddHBand="1" w:evenHBand="0" w:firstRowFirstColumn="0" w:firstRowLastColumn="0" w:lastRowFirstColumn="0" w:lastRowLastColumn="0"/>
            </w:pPr>
            <w:r>
              <w:t>0.02</w:t>
            </w:r>
          </w:p>
        </w:tc>
      </w:tr>
      <w:tr w:rsidR="00713AFE" w:rsidRPr="00F53FDC" w14:paraId="364123F9" w14:textId="16292006" w:rsidTr="32AC1E01">
        <w:trPr>
          <w:trHeight w:val="33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59FC8320" w14:textId="77777777" w:rsidR="00713AFE" w:rsidRPr="00F53FDC" w:rsidRDefault="00713AFE" w:rsidP="00AC4DC1">
            <w:pPr>
              <w:keepNext/>
              <w:keepLines/>
              <w:jc w:val="center"/>
              <w:rPr>
                <w:sz w:val="20"/>
              </w:rPr>
            </w:pPr>
            <w:r w:rsidRPr="00F53FDC">
              <w:rPr>
                <w:sz w:val="20"/>
              </w:rPr>
              <w:t>TOTAL</w:t>
            </w:r>
          </w:p>
        </w:tc>
        <w:tc>
          <w:tcPr>
            <w:tcW w:w="1557" w:type="dxa"/>
            <w:noWrap/>
          </w:tcPr>
          <w:p w14:paraId="473F4F0C" w14:textId="7974FB0E" w:rsidR="00713AFE" w:rsidRPr="00F53FDC" w:rsidRDefault="734B25C1" w:rsidP="47AE5903">
            <w:pPr>
              <w:keepNext/>
              <w:keepLines/>
              <w:jc w:val="center"/>
              <w:cnfStyle w:val="000000000000" w:firstRow="0" w:lastRow="0" w:firstColumn="0" w:lastColumn="0" w:oddVBand="0" w:evenVBand="0" w:oddHBand="0" w:evenHBand="0" w:firstRowFirstColumn="0" w:firstRowLastColumn="0" w:lastRowFirstColumn="0" w:lastRowLastColumn="0"/>
              <w:rPr>
                <w:b/>
              </w:rPr>
            </w:pPr>
            <w:r w:rsidRPr="47AE5903">
              <w:rPr>
                <w:b/>
                <w:bCs/>
              </w:rPr>
              <w:t>248 439</w:t>
            </w:r>
          </w:p>
        </w:tc>
        <w:tc>
          <w:tcPr>
            <w:tcW w:w="1416" w:type="dxa"/>
            <w:noWrap/>
          </w:tcPr>
          <w:p w14:paraId="62C852D4" w14:textId="267F2116" w:rsidR="00713AFE" w:rsidRPr="00F53FDC" w:rsidRDefault="00713AFE" w:rsidP="32AC1E01">
            <w:pPr>
              <w:keepNext/>
              <w:keepLines/>
              <w:jc w:val="center"/>
              <w:cnfStyle w:val="000000000000" w:firstRow="0" w:lastRow="0" w:firstColumn="0" w:lastColumn="0" w:oddVBand="0" w:evenVBand="0" w:oddHBand="0" w:evenHBand="0" w:firstRowFirstColumn="0" w:firstRowLastColumn="0" w:lastRowFirstColumn="0" w:lastRowLastColumn="0"/>
              <w:rPr>
                <w:b/>
              </w:rPr>
            </w:pPr>
            <w:r w:rsidRPr="32AC1E01">
              <w:rPr>
                <w:b/>
                <w:bCs/>
              </w:rPr>
              <w:t>2</w:t>
            </w:r>
            <w:r w:rsidR="3663C802" w:rsidRPr="32AC1E01">
              <w:rPr>
                <w:b/>
                <w:bCs/>
              </w:rPr>
              <w:t>02 306</w:t>
            </w:r>
          </w:p>
        </w:tc>
        <w:tc>
          <w:tcPr>
            <w:tcW w:w="1415" w:type="dxa"/>
            <w:noWrap/>
          </w:tcPr>
          <w:p w14:paraId="3A1E7631" w14:textId="453BF391" w:rsidR="00713AFE" w:rsidRPr="00F53FDC" w:rsidRDefault="00713AFE" w:rsidP="32AC1E01">
            <w:pPr>
              <w:keepNext/>
              <w:keepLines/>
              <w:jc w:val="center"/>
              <w:cnfStyle w:val="000000000000" w:firstRow="0" w:lastRow="0" w:firstColumn="0" w:lastColumn="0" w:oddVBand="0" w:evenVBand="0" w:oddHBand="0" w:evenHBand="0" w:firstRowFirstColumn="0" w:firstRowLastColumn="0" w:lastRowFirstColumn="0" w:lastRowLastColumn="0"/>
              <w:rPr>
                <w:b/>
              </w:rPr>
            </w:pPr>
            <w:r w:rsidRPr="32AC1E01">
              <w:rPr>
                <w:b/>
                <w:bCs/>
              </w:rPr>
              <w:t>2</w:t>
            </w:r>
            <w:r w:rsidR="57EB625F" w:rsidRPr="32AC1E01">
              <w:rPr>
                <w:b/>
                <w:bCs/>
              </w:rPr>
              <w:t>93</w:t>
            </w:r>
            <w:r w:rsidRPr="32AC1E01">
              <w:rPr>
                <w:b/>
                <w:bCs/>
              </w:rPr>
              <w:t xml:space="preserve"> </w:t>
            </w:r>
            <w:r w:rsidR="55538233" w:rsidRPr="32AC1E01">
              <w:rPr>
                <w:b/>
                <w:bCs/>
              </w:rPr>
              <w:t>509</w:t>
            </w:r>
          </w:p>
        </w:tc>
        <w:tc>
          <w:tcPr>
            <w:tcW w:w="1084" w:type="dxa"/>
          </w:tcPr>
          <w:p w14:paraId="3DA91436" w14:textId="56EC6E76" w:rsidR="00713AFE" w:rsidRPr="00F53FDC" w:rsidRDefault="3E2E0519" w:rsidP="32AC1E01">
            <w:pPr>
              <w:keepNext/>
              <w:keepLines/>
              <w:jc w:val="center"/>
              <w:cnfStyle w:val="000000000000" w:firstRow="0" w:lastRow="0" w:firstColumn="0" w:lastColumn="0" w:oddVBand="0" w:evenVBand="0" w:oddHBand="0" w:evenHBand="0" w:firstRowFirstColumn="0" w:firstRowLastColumn="0" w:lastRowFirstColumn="0" w:lastRowLastColumn="0"/>
              <w:rPr>
                <w:b/>
              </w:rPr>
            </w:pPr>
            <w:r w:rsidRPr="32AC1E01">
              <w:rPr>
                <w:b/>
                <w:bCs/>
              </w:rPr>
              <w:t>385 819</w:t>
            </w:r>
          </w:p>
        </w:tc>
        <w:tc>
          <w:tcPr>
            <w:tcW w:w="1327" w:type="dxa"/>
            <w:noWrap/>
          </w:tcPr>
          <w:p w14:paraId="1A79305D" w14:textId="3F0555C3" w:rsidR="00713AFE" w:rsidRPr="00F53FDC" w:rsidRDefault="00713AFE" w:rsidP="32AC1E01">
            <w:pPr>
              <w:keepNext/>
              <w:keepLines/>
              <w:jc w:val="center"/>
              <w:cnfStyle w:val="000000000000" w:firstRow="0" w:lastRow="0" w:firstColumn="0" w:lastColumn="0" w:oddVBand="0" w:evenVBand="0" w:oddHBand="0" w:evenHBand="0" w:firstRowFirstColumn="0" w:firstRowLastColumn="0" w:lastRowFirstColumn="0" w:lastRowLastColumn="0"/>
              <w:rPr>
                <w:b/>
              </w:rPr>
            </w:pPr>
            <w:r w:rsidRPr="32AC1E01">
              <w:rPr>
                <w:b/>
                <w:bCs/>
              </w:rPr>
              <w:t>1 </w:t>
            </w:r>
            <w:r w:rsidR="5EBDF665" w:rsidRPr="32AC1E01">
              <w:rPr>
                <w:b/>
                <w:bCs/>
              </w:rPr>
              <w:t>130 073</w:t>
            </w:r>
          </w:p>
        </w:tc>
        <w:tc>
          <w:tcPr>
            <w:tcW w:w="1327" w:type="dxa"/>
          </w:tcPr>
          <w:p w14:paraId="2444833B" w14:textId="45265AAA" w:rsidR="54E80F72" w:rsidRDefault="54E80F72" w:rsidP="32AC1E01">
            <w:pPr>
              <w:jc w:val="center"/>
              <w:cnfStyle w:val="000000000000" w:firstRow="0" w:lastRow="0" w:firstColumn="0" w:lastColumn="0" w:oddVBand="0" w:evenVBand="0" w:oddHBand="0" w:evenHBand="0" w:firstRowFirstColumn="0" w:firstRowLastColumn="0" w:lastRowFirstColumn="0" w:lastRowLastColumn="0"/>
            </w:pPr>
            <w:r>
              <w:t>100%</w:t>
            </w:r>
          </w:p>
        </w:tc>
      </w:tr>
      <w:tr w:rsidR="00713AFE" w:rsidRPr="00F53FDC" w14:paraId="2031D121" w14:textId="77448FCE" w:rsidTr="32AC1E0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8072" w:type="dxa"/>
            <w:gridSpan w:val="6"/>
            <w:shd w:val="clear" w:color="auto" w:fill="auto"/>
            <w:noWrap/>
          </w:tcPr>
          <w:p w14:paraId="7C0DC62B" w14:textId="77777777" w:rsidR="00713AFE" w:rsidRPr="006D1EF6" w:rsidRDefault="00713AFE" w:rsidP="00AC4DC1">
            <w:pPr>
              <w:keepNext/>
              <w:keepLines/>
              <w:spacing w:before="0"/>
              <w:rPr>
                <w:sz w:val="16"/>
                <w:lang w:val="en-US"/>
              </w:rPr>
            </w:pPr>
            <w:r w:rsidRPr="32AC1E01">
              <w:rPr>
                <w:sz w:val="16"/>
                <w:szCs w:val="16"/>
                <w:lang w:val="en-US"/>
              </w:rPr>
              <w:t>*Up to Sept 2018</w:t>
            </w:r>
          </w:p>
          <w:p w14:paraId="38D7F610" w14:textId="2804C32C" w:rsidR="00713AFE" w:rsidRPr="00F53FDC" w:rsidRDefault="3DF343C9" w:rsidP="32AC1E01">
            <w:pPr>
              <w:keepNext/>
              <w:keepLines/>
              <w:spacing w:before="0"/>
              <w:rPr>
                <w:b w:val="0"/>
                <w:bCs w:val="0"/>
                <w:color w:val="auto"/>
                <w:sz w:val="16"/>
                <w:szCs w:val="16"/>
                <w:lang w:val="en-US"/>
              </w:rPr>
            </w:pPr>
            <w:r w:rsidRPr="32AC1E01">
              <w:rPr>
                <w:b w:val="0"/>
                <w:bCs w:val="0"/>
                <w:color w:val="auto"/>
                <w:sz w:val="16"/>
                <w:szCs w:val="16"/>
                <w:lang w:val="en-US"/>
              </w:rPr>
              <w:t>*Up to Sept 2018</w:t>
            </w:r>
            <w:r w:rsidRPr="32AC1E01">
              <w:rPr>
                <w:sz w:val="16"/>
                <w:szCs w:val="16"/>
                <w:lang w:val="en-US"/>
              </w:rPr>
              <w:t xml:space="preserve"> </w:t>
            </w:r>
          </w:p>
          <w:p w14:paraId="37786119" w14:textId="7CA4608C" w:rsidR="00713AFE" w:rsidRPr="00F53FDC" w:rsidRDefault="00713AFE" w:rsidP="00AC4DC1">
            <w:pPr>
              <w:keepNext/>
              <w:keepLines/>
              <w:spacing w:before="0"/>
            </w:pPr>
            <w:r w:rsidRPr="32AC1E01">
              <w:rPr>
                <w:sz w:val="16"/>
                <w:szCs w:val="16"/>
                <w:lang w:val="en-US"/>
              </w:rPr>
              <w:t>**The new software required to process the weblogs is under procurement process.</w:t>
            </w:r>
          </w:p>
        </w:tc>
        <w:tc>
          <w:tcPr>
            <w:tcW w:w="1327" w:type="dxa"/>
            <w:shd w:val="clear" w:color="auto" w:fill="auto"/>
          </w:tcPr>
          <w:p w14:paraId="344BE99B" w14:textId="33AE6182" w:rsidR="32AC1E01" w:rsidRDefault="32AC1E01" w:rsidP="32AC1E01">
            <w:pPr>
              <w:cnfStyle w:val="000000100000" w:firstRow="0" w:lastRow="0" w:firstColumn="0" w:lastColumn="0" w:oddVBand="0" w:evenVBand="0" w:oddHBand="1" w:evenHBand="0" w:firstRowFirstColumn="0" w:firstRowLastColumn="0" w:lastRowFirstColumn="0" w:lastRowLastColumn="0"/>
              <w:rPr>
                <w:sz w:val="16"/>
                <w:szCs w:val="16"/>
                <w:lang w:val="en-US"/>
              </w:rPr>
            </w:pPr>
          </w:p>
        </w:tc>
      </w:tr>
    </w:tbl>
    <w:p w14:paraId="323098AF" w14:textId="77777777" w:rsidR="00713AFE" w:rsidRDefault="00713AFE" w:rsidP="00713AFE">
      <w:pPr>
        <w:pStyle w:val="Heading4"/>
      </w:pPr>
    </w:p>
    <w:p w14:paraId="0D5E462C" w14:textId="77777777" w:rsidR="00713AFE" w:rsidRPr="00AB37EB" w:rsidRDefault="00713AFE" w:rsidP="00713AFE">
      <w:pPr>
        <w:pStyle w:val="Heading4"/>
      </w:pPr>
      <w:r w:rsidRPr="00AB37EB">
        <w:t>8.1.4.4</w:t>
      </w:r>
      <w:r w:rsidRPr="00AB37EB">
        <w:tab/>
        <w:t>Handbooks on Spectrum management</w:t>
      </w:r>
    </w:p>
    <w:p w14:paraId="74B6BC3B" w14:textId="6930244B" w:rsidR="00713AFE" w:rsidRPr="00AB37EB" w:rsidRDefault="00713AFE" w:rsidP="00713AFE">
      <w:r w:rsidRPr="00AB37EB">
        <w:t>Following the BR director’s decision in 2017, all ITU-R Handbooks are now free to download at the ITU website. More than 1</w:t>
      </w:r>
      <w:r w:rsidR="53E6288B" w:rsidRPr="00AB37EB">
        <w:t>00</w:t>
      </w:r>
      <w:r>
        <w:t xml:space="preserve"> </w:t>
      </w:r>
      <w:r w:rsidRPr="00AB37EB">
        <w:t>000 downloads were registered</w:t>
      </w:r>
      <w:r w:rsidR="005C1B7A">
        <w:t xml:space="preserve"> as of the end of 20</w:t>
      </w:r>
      <w:r w:rsidR="2FD345FB">
        <w:t>20</w:t>
      </w:r>
      <w:r w:rsidRPr="00AB37EB">
        <w:t>.</w:t>
      </w:r>
      <w:r w:rsidR="002A3351" w:rsidRPr="002A3351">
        <w:t xml:space="preserve"> </w:t>
      </w:r>
      <w:r w:rsidR="002A3351">
        <w:t>Table 8.1.4.4</w:t>
      </w:r>
      <w:r w:rsidR="005C1B7A">
        <w:noBreakHyphen/>
      </w:r>
      <w:r w:rsidR="002A3351">
        <w:t xml:space="preserve">1 provides </w:t>
      </w:r>
      <w:r w:rsidR="007E55A5">
        <w:t>the d</w:t>
      </w:r>
      <w:r w:rsidR="002A3351">
        <w:t>istribution of ITU-R Handbooks on spectrum management and monitoring</w:t>
      </w:r>
      <w:r w:rsidR="007C1F69">
        <w:t xml:space="preserve"> and other handbooks sold</w:t>
      </w:r>
      <w:r w:rsidRPr="00AB37EB">
        <w:t>.</w:t>
      </w:r>
    </w:p>
    <w:p w14:paraId="1B315446" w14:textId="77777777" w:rsidR="00713AFE" w:rsidRPr="00AB37EB" w:rsidRDefault="00713AFE" w:rsidP="00713AFE">
      <w:r w:rsidRPr="00AB37EB">
        <w:t xml:space="preserve">At this time, a total of 42 ITU-R Handbooks are published including the Spectrum Management Series. It should be noted that of these 42 published Handbooks, 38 are in force, 1 is merged and 3 are suppressed but still available </w:t>
      </w:r>
      <w:r w:rsidR="004A0601">
        <w:t>on</w:t>
      </w:r>
      <w:r w:rsidR="004A0601" w:rsidRPr="00AB37EB">
        <w:t xml:space="preserve"> </w:t>
      </w:r>
      <w:r w:rsidRPr="00AB37EB">
        <w:t>the ITU website, for reference purposes.</w:t>
      </w:r>
    </w:p>
    <w:p w14:paraId="04821757" w14:textId="77777777" w:rsidR="00AC4DC1" w:rsidRDefault="00AC4DC1">
      <w:pPr>
        <w:tabs>
          <w:tab w:val="clear" w:pos="794"/>
          <w:tab w:val="clear" w:pos="1191"/>
          <w:tab w:val="clear" w:pos="1588"/>
          <w:tab w:val="clear" w:pos="1985"/>
        </w:tabs>
        <w:overflowPunct/>
        <w:autoSpaceDE/>
        <w:autoSpaceDN/>
        <w:adjustRightInd/>
        <w:spacing w:before="0"/>
        <w:textAlignment w:val="auto"/>
      </w:pPr>
      <w:r>
        <w:br w:type="page"/>
      </w:r>
    </w:p>
    <w:p w14:paraId="7D6F968C" w14:textId="00F5C7B2" w:rsidR="00713AFE" w:rsidRDefault="00713AFE" w:rsidP="00713AFE">
      <w:pPr>
        <w:sectPr w:rsidR="00713AFE" w:rsidSect="00821CFB">
          <w:headerReference w:type="even" r:id="rId38"/>
          <w:headerReference w:type="default" r:id="rId39"/>
          <w:footerReference w:type="even" r:id="rId40"/>
          <w:pgSz w:w="11907" w:h="16834"/>
          <w:pgMar w:top="1418" w:right="1134" w:bottom="2127" w:left="1134" w:header="720" w:footer="720" w:gutter="0"/>
          <w:paperSrc w:first="15" w:other="15"/>
          <w:cols w:space="720"/>
          <w:docGrid w:linePitch="326"/>
        </w:sectPr>
      </w:pPr>
    </w:p>
    <w:p w14:paraId="636330B5" w14:textId="4C21278F" w:rsidR="00713AFE" w:rsidRPr="00DB72F7" w:rsidRDefault="00713AFE" w:rsidP="00713AFE">
      <w:pPr>
        <w:pStyle w:val="TableNo"/>
        <w:spacing w:before="480"/>
      </w:pPr>
      <w:r w:rsidRPr="00DB72F7">
        <w:lastRenderedPageBreak/>
        <w:t>Table 8.1.4.4-1</w:t>
      </w:r>
    </w:p>
    <w:p w14:paraId="6F507D85" w14:textId="06170062" w:rsidR="00713AFE" w:rsidRPr="00DB72F7" w:rsidRDefault="00713AFE" w:rsidP="00713AFE">
      <w:pPr>
        <w:pStyle w:val="TabletitleBR"/>
      </w:pPr>
      <w:r w:rsidRPr="00DB72F7">
        <w:t>Distribution of ITU-R Handbooks on spectrum management and monitoring</w:t>
      </w:r>
    </w:p>
    <w:tbl>
      <w:tblPr>
        <w:tblW w:w="9345" w:type="dxa"/>
        <w:jc w:val="center"/>
        <w:tblCellMar>
          <w:left w:w="0" w:type="dxa"/>
          <w:right w:w="0" w:type="dxa"/>
        </w:tblCellMar>
        <w:tblLook w:val="04A0" w:firstRow="1" w:lastRow="0" w:firstColumn="1" w:lastColumn="0" w:noHBand="0" w:noVBand="1"/>
      </w:tblPr>
      <w:tblGrid>
        <w:gridCol w:w="4422"/>
        <w:gridCol w:w="1641"/>
        <w:gridCol w:w="1641"/>
        <w:gridCol w:w="1641"/>
      </w:tblGrid>
      <w:tr w:rsidR="00BA4E15" w14:paraId="7E3425AB" w14:textId="77777777" w:rsidTr="000B4EB2">
        <w:trPr>
          <w:trHeight w:val="481"/>
          <w:jc w:val="center"/>
        </w:trPr>
        <w:tc>
          <w:tcPr>
            <w:tcW w:w="4422"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vAlign w:val="center"/>
            <w:hideMark/>
          </w:tcPr>
          <w:p w14:paraId="7DEC5B7D" w14:textId="77777777" w:rsidR="00BA4E15" w:rsidRDefault="00BA4E15" w:rsidP="005143EB">
            <w:pPr>
              <w:spacing w:after="120"/>
              <w:jc w:val="center"/>
              <w:rPr>
                <w:b/>
                <w:bCs/>
                <w:color w:val="FFFFFF"/>
                <w:sz w:val="20"/>
                <w:lang w:val="en-US"/>
              </w:rPr>
            </w:pPr>
            <w:r>
              <w:rPr>
                <w:b/>
                <w:bCs/>
                <w:color w:val="FFFFFF"/>
                <w:sz w:val="20"/>
                <w:lang w:val="en-US"/>
              </w:rPr>
              <w:t>Handbook</w:t>
            </w:r>
          </w:p>
        </w:tc>
        <w:tc>
          <w:tcPr>
            <w:tcW w:w="164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6F7EB422" w14:textId="77777777" w:rsidR="00BA4E15" w:rsidRDefault="00BA4E15" w:rsidP="005143EB">
            <w:pPr>
              <w:spacing w:after="120"/>
              <w:jc w:val="center"/>
              <w:rPr>
                <w:b/>
                <w:bCs/>
                <w:color w:val="FFFFFF"/>
                <w:sz w:val="20"/>
                <w:lang w:val="en-US"/>
              </w:rPr>
            </w:pPr>
            <w:r>
              <w:rPr>
                <w:b/>
                <w:bCs/>
                <w:color w:val="FFFFFF"/>
                <w:sz w:val="20"/>
                <w:lang w:val="en-US"/>
              </w:rPr>
              <w:t>2018</w:t>
            </w:r>
          </w:p>
        </w:tc>
        <w:tc>
          <w:tcPr>
            <w:tcW w:w="164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6AD16194" w14:textId="77777777" w:rsidR="00BA4E15" w:rsidRDefault="00BA4E15" w:rsidP="005143EB">
            <w:pPr>
              <w:spacing w:after="120"/>
              <w:jc w:val="center"/>
              <w:rPr>
                <w:b/>
                <w:bCs/>
                <w:color w:val="FFFFFF"/>
                <w:sz w:val="20"/>
                <w:lang w:val="en-US"/>
              </w:rPr>
            </w:pPr>
            <w:r>
              <w:rPr>
                <w:b/>
                <w:bCs/>
                <w:color w:val="FFFFFF"/>
                <w:sz w:val="20"/>
                <w:lang w:val="en-US"/>
              </w:rPr>
              <w:t>2019</w:t>
            </w:r>
          </w:p>
        </w:tc>
        <w:tc>
          <w:tcPr>
            <w:tcW w:w="1641"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vAlign w:val="center"/>
            <w:hideMark/>
          </w:tcPr>
          <w:p w14:paraId="7D9953E3" w14:textId="77777777" w:rsidR="00BA4E15" w:rsidRDefault="00BA4E15" w:rsidP="005143EB">
            <w:pPr>
              <w:spacing w:after="120"/>
              <w:jc w:val="center"/>
              <w:rPr>
                <w:b/>
                <w:bCs/>
                <w:color w:val="FFFFFF"/>
                <w:sz w:val="20"/>
                <w:lang w:val="en-US"/>
              </w:rPr>
            </w:pPr>
            <w:r>
              <w:rPr>
                <w:b/>
                <w:bCs/>
                <w:color w:val="FFFFFF"/>
                <w:sz w:val="20"/>
                <w:lang w:val="en-US"/>
              </w:rPr>
              <w:t>2020</w:t>
            </w:r>
          </w:p>
        </w:tc>
      </w:tr>
      <w:tr w:rsidR="00BA4E15" w14:paraId="06EC3573" w14:textId="77777777" w:rsidTr="00A81259">
        <w:trPr>
          <w:trHeight w:val="510"/>
          <w:jc w:val="center"/>
        </w:trPr>
        <w:tc>
          <w:tcPr>
            <w:tcW w:w="4422"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31961B37" w14:textId="7E621C4E" w:rsidR="00BA4E15" w:rsidRDefault="00BA4E15" w:rsidP="005143EB">
            <w:pPr>
              <w:spacing w:after="120"/>
              <w:rPr>
                <w:b/>
                <w:bCs/>
                <w:color w:val="FFFFFF"/>
                <w:sz w:val="20"/>
                <w:lang w:val="en-US"/>
              </w:rPr>
            </w:pPr>
            <w:r>
              <w:rPr>
                <w:b/>
                <w:bCs/>
                <w:color w:val="FFFFFF"/>
                <w:sz w:val="20"/>
                <w:lang w:val="en-US"/>
              </w:rPr>
              <w:t>Spectrum Management Series (</w:t>
            </w:r>
            <w:r w:rsidR="0093581B">
              <w:rPr>
                <w:b/>
                <w:bCs/>
                <w:color w:val="FFFFFF"/>
                <w:sz w:val="20"/>
                <w:lang w:val="en-US"/>
              </w:rPr>
              <w:t>hard copies</w:t>
            </w:r>
            <w:r w:rsidR="00DF65E3">
              <w:rPr>
                <w:b/>
                <w:bCs/>
                <w:color w:val="FFFFFF"/>
                <w:sz w:val="20"/>
                <w:lang w:val="en-US"/>
              </w:rPr>
              <w:t xml:space="preserve"> </w:t>
            </w:r>
            <w:r>
              <w:rPr>
                <w:b/>
                <w:bCs/>
                <w:color w:val="FFFFFF"/>
                <w:sz w:val="20"/>
                <w:lang w:val="en-US"/>
              </w:rPr>
              <w:t>sold)</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669EDDD3" w14:textId="77777777" w:rsidR="00BA4E15" w:rsidRDefault="00BA4E15" w:rsidP="005143EB">
            <w:pPr>
              <w:spacing w:after="120"/>
              <w:jc w:val="center"/>
              <w:rPr>
                <w:sz w:val="20"/>
                <w:lang w:val="en-US"/>
              </w:rPr>
            </w:pPr>
            <w:r>
              <w:rPr>
                <w:color w:val="000000"/>
                <w:sz w:val="20"/>
                <w:lang w:val="en-US"/>
              </w:rPr>
              <w:t>9</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7B0E77A" w14:textId="77777777" w:rsidR="00BA4E15" w:rsidRDefault="00BA4E15" w:rsidP="005143EB">
            <w:pPr>
              <w:spacing w:after="120"/>
              <w:jc w:val="center"/>
              <w:rPr>
                <w:sz w:val="20"/>
                <w:lang w:val="en-US"/>
              </w:rPr>
            </w:pPr>
            <w:r>
              <w:rPr>
                <w:color w:val="000000"/>
                <w:sz w:val="20"/>
                <w:lang w:val="en-US"/>
              </w:rPr>
              <w:t>9</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8AD2EE0" w14:textId="77777777" w:rsidR="00BA4E15" w:rsidRDefault="00BA4E15" w:rsidP="005143EB">
            <w:pPr>
              <w:spacing w:after="120"/>
              <w:jc w:val="center"/>
              <w:rPr>
                <w:sz w:val="20"/>
                <w:lang w:val="en-US"/>
              </w:rPr>
            </w:pPr>
            <w:r>
              <w:rPr>
                <w:color w:val="000000"/>
                <w:sz w:val="20"/>
                <w:lang w:val="en-US"/>
              </w:rPr>
              <w:t>3</w:t>
            </w:r>
          </w:p>
        </w:tc>
      </w:tr>
      <w:tr w:rsidR="00BA4E15" w14:paraId="38D3FF0E" w14:textId="77777777" w:rsidTr="00A81259">
        <w:trPr>
          <w:trHeight w:val="441"/>
          <w:jc w:val="center"/>
        </w:trPr>
        <w:tc>
          <w:tcPr>
            <w:tcW w:w="4422"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954A053" w14:textId="1352F496" w:rsidR="00BA4E15" w:rsidRDefault="00BA4E15" w:rsidP="005143EB">
            <w:pPr>
              <w:spacing w:after="120"/>
              <w:rPr>
                <w:b/>
                <w:bCs/>
                <w:color w:val="FFFFFF"/>
                <w:sz w:val="20"/>
                <w:lang w:val="en-US"/>
              </w:rPr>
            </w:pPr>
            <w:r>
              <w:rPr>
                <w:b/>
                <w:bCs/>
                <w:color w:val="FFFFFF"/>
                <w:sz w:val="20"/>
                <w:lang w:val="en-US"/>
              </w:rPr>
              <w:t>Other Handbooks (</w:t>
            </w:r>
            <w:r w:rsidR="0093581B">
              <w:rPr>
                <w:b/>
                <w:bCs/>
                <w:color w:val="FFFFFF"/>
                <w:sz w:val="20"/>
                <w:lang w:val="en-US"/>
              </w:rPr>
              <w:t>hard copies</w:t>
            </w:r>
            <w:r w:rsidR="00DF65E3">
              <w:rPr>
                <w:b/>
                <w:bCs/>
                <w:color w:val="FFFFFF"/>
                <w:sz w:val="20"/>
                <w:lang w:val="en-US"/>
              </w:rPr>
              <w:t xml:space="preserve"> </w:t>
            </w:r>
            <w:r>
              <w:rPr>
                <w:b/>
                <w:bCs/>
                <w:color w:val="FFFFFF"/>
                <w:sz w:val="20"/>
                <w:lang w:val="en-US"/>
              </w:rPr>
              <w:t>sold)</w:t>
            </w:r>
          </w:p>
        </w:tc>
        <w:tc>
          <w:tcPr>
            <w:tcW w:w="164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E974127" w14:textId="77777777" w:rsidR="00BA4E15" w:rsidRDefault="00BA4E15" w:rsidP="005143EB">
            <w:pPr>
              <w:spacing w:after="120"/>
              <w:jc w:val="center"/>
              <w:rPr>
                <w:sz w:val="20"/>
                <w:lang w:val="en-US"/>
              </w:rPr>
            </w:pPr>
            <w:r>
              <w:rPr>
                <w:color w:val="000000"/>
                <w:sz w:val="20"/>
                <w:lang w:val="en-US"/>
              </w:rPr>
              <w:t>21</w:t>
            </w:r>
          </w:p>
        </w:tc>
        <w:tc>
          <w:tcPr>
            <w:tcW w:w="164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6BAB6D6D" w14:textId="77777777" w:rsidR="00BA4E15" w:rsidRDefault="00BA4E15" w:rsidP="005143EB">
            <w:pPr>
              <w:spacing w:after="120"/>
              <w:jc w:val="center"/>
              <w:rPr>
                <w:sz w:val="20"/>
                <w:lang w:val="en-US"/>
              </w:rPr>
            </w:pPr>
            <w:r>
              <w:rPr>
                <w:color w:val="000000"/>
                <w:sz w:val="20"/>
                <w:lang w:val="en-US"/>
              </w:rPr>
              <w:t>20</w:t>
            </w:r>
          </w:p>
        </w:tc>
        <w:tc>
          <w:tcPr>
            <w:tcW w:w="164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2A91DCE5" w14:textId="77777777" w:rsidR="00BA4E15" w:rsidRDefault="00BA4E15" w:rsidP="005143EB">
            <w:pPr>
              <w:spacing w:after="120"/>
              <w:jc w:val="center"/>
              <w:rPr>
                <w:sz w:val="20"/>
                <w:lang w:val="en-US"/>
              </w:rPr>
            </w:pPr>
            <w:r>
              <w:rPr>
                <w:color w:val="000000"/>
                <w:sz w:val="20"/>
                <w:lang w:val="en-US"/>
              </w:rPr>
              <w:t>4</w:t>
            </w:r>
          </w:p>
        </w:tc>
      </w:tr>
      <w:tr w:rsidR="00BA4E15" w14:paraId="6210F305" w14:textId="77777777" w:rsidTr="000B4EB2">
        <w:trPr>
          <w:trHeight w:val="248"/>
          <w:jc w:val="center"/>
        </w:trPr>
        <w:tc>
          <w:tcPr>
            <w:tcW w:w="4422"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877969B" w14:textId="77777777" w:rsidR="00BA4E15" w:rsidRDefault="00BA4E15" w:rsidP="005143EB">
            <w:pPr>
              <w:spacing w:after="120"/>
              <w:rPr>
                <w:b/>
                <w:bCs/>
                <w:color w:val="FFFFFF"/>
                <w:sz w:val="20"/>
                <w:lang w:val="en-US"/>
              </w:rPr>
            </w:pPr>
            <w:r>
              <w:rPr>
                <w:b/>
                <w:bCs/>
                <w:color w:val="FFFFFF"/>
                <w:sz w:val="20"/>
                <w:lang w:val="en-US"/>
              </w:rPr>
              <w:t>GRAND TOTAL</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6ED961AB" w14:textId="77777777" w:rsidR="00BA4E15" w:rsidRDefault="00BA4E15" w:rsidP="005143EB">
            <w:pPr>
              <w:spacing w:after="120"/>
              <w:jc w:val="center"/>
              <w:rPr>
                <w:b/>
                <w:bCs/>
                <w:sz w:val="20"/>
                <w:lang w:val="en-US"/>
              </w:rPr>
            </w:pPr>
            <w:r>
              <w:rPr>
                <w:b/>
                <w:bCs/>
                <w:color w:val="000000"/>
                <w:sz w:val="20"/>
                <w:lang w:val="en-US"/>
              </w:rPr>
              <w:t>30</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2484C127" w14:textId="77777777" w:rsidR="00BA4E15" w:rsidRDefault="00BA4E15" w:rsidP="005143EB">
            <w:pPr>
              <w:spacing w:after="120"/>
              <w:jc w:val="center"/>
              <w:rPr>
                <w:b/>
                <w:bCs/>
                <w:sz w:val="20"/>
                <w:lang w:val="en-US"/>
              </w:rPr>
            </w:pPr>
            <w:r>
              <w:rPr>
                <w:b/>
                <w:bCs/>
                <w:color w:val="000000"/>
                <w:sz w:val="20"/>
                <w:lang w:val="en-US"/>
              </w:rPr>
              <w:t>29</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3F2BB87" w14:textId="707DE3B9" w:rsidR="00BA4E15" w:rsidRDefault="00BA4E15" w:rsidP="005143EB">
            <w:pPr>
              <w:spacing w:after="120"/>
              <w:jc w:val="center"/>
              <w:rPr>
                <w:b/>
                <w:bCs/>
                <w:sz w:val="20"/>
                <w:lang w:val="en-US"/>
              </w:rPr>
            </w:pPr>
            <w:r>
              <w:rPr>
                <w:b/>
                <w:bCs/>
                <w:color w:val="000000"/>
                <w:sz w:val="20"/>
                <w:lang w:val="en-US"/>
              </w:rPr>
              <w:t>7</w:t>
            </w:r>
          </w:p>
        </w:tc>
      </w:tr>
    </w:tbl>
    <w:p w14:paraId="66FE4443" w14:textId="52D315A4" w:rsidR="00713AFE" w:rsidRPr="00B95E80" w:rsidRDefault="00713AFE" w:rsidP="00713AFE">
      <w:pPr>
        <w:pStyle w:val="Heading2"/>
        <w:rPr>
          <w:i/>
          <w:iCs/>
        </w:rPr>
      </w:pPr>
      <w:bookmarkStart w:id="38" w:name="_Toc424047601"/>
      <w:bookmarkStart w:id="39" w:name="_Toc446060783"/>
      <w:bookmarkEnd w:id="32"/>
      <w:bookmarkEnd w:id="33"/>
      <w:r>
        <w:t>8.2</w:t>
      </w:r>
      <w:r w:rsidRPr="00B33918">
        <w:tab/>
        <w:t>Seminars</w:t>
      </w:r>
      <w:r>
        <w:t xml:space="preserve">, </w:t>
      </w:r>
      <w:r w:rsidRPr="00B33918">
        <w:t>workshops</w:t>
      </w:r>
      <w:bookmarkEnd w:id="38"/>
      <w:bookmarkEnd w:id="39"/>
      <w:r>
        <w:t xml:space="preserve"> and other events</w:t>
      </w:r>
    </w:p>
    <w:p w14:paraId="0CE490E9" w14:textId="74646191" w:rsidR="0088150F" w:rsidRDefault="0088150F" w:rsidP="0088150F">
      <w:pPr>
        <w:spacing w:line="257" w:lineRule="auto"/>
        <w:jc w:val="both"/>
        <w:rPr>
          <w:szCs w:val="24"/>
        </w:rPr>
      </w:pPr>
      <w:r w:rsidRPr="24A4069D">
        <w:rPr>
          <w:szCs w:val="24"/>
        </w:rPr>
        <w:t>During 2020 a new WRS/RRS intra WRCs cycle has started: WRS/RRS 2020-2023. Those Seminars aim at disseminating worldwide the updates contained in the Radio Regulations Ed. 2020 (with the decisions taken by WRC-19) along with its associated Rules of Procedure</w:t>
      </w:r>
      <w:r w:rsidR="00F83FA5">
        <w:rPr>
          <w:szCs w:val="24"/>
        </w:rPr>
        <w:t xml:space="preserve"> (</w:t>
      </w:r>
      <w:proofErr w:type="spellStart"/>
      <w:r w:rsidRPr="24A4069D">
        <w:rPr>
          <w:szCs w:val="24"/>
        </w:rPr>
        <w:t>RoP</w:t>
      </w:r>
      <w:proofErr w:type="spellEnd"/>
      <w:r w:rsidR="00F83FA5">
        <w:rPr>
          <w:szCs w:val="24"/>
        </w:rPr>
        <w:t>)</w:t>
      </w:r>
      <w:r w:rsidRPr="24A4069D">
        <w:rPr>
          <w:szCs w:val="24"/>
        </w:rPr>
        <w:t>. Based on the prior WRS/RRS experiences, this WRS/RRS 20</w:t>
      </w:r>
      <w:r w:rsidR="005D5BC6">
        <w:rPr>
          <w:szCs w:val="24"/>
        </w:rPr>
        <w:t>20</w:t>
      </w:r>
      <w:r w:rsidRPr="24A4069D">
        <w:rPr>
          <w:szCs w:val="24"/>
        </w:rPr>
        <w:t xml:space="preserve">-2023 cycle plans to conduct two biennial World Radiocommunication Seminars </w:t>
      </w:r>
      <w:r w:rsidR="00C87BDA">
        <w:rPr>
          <w:szCs w:val="24"/>
        </w:rPr>
        <w:t>(</w:t>
      </w:r>
      <w:r w:rsidRPr="24A4069D">
        <w:rPr>
          <w:szCs w:val="24"/>
        </w:rPr>
        <w:t>WRS</w:t>
      </w:r>
      <w:r w:rsidR="00C87BDA">
        <w:rPr>
          <w:szCs w:val="24"/>
        </w:rPr>
        <w:t>)</w:t>
      </w:r>
      <w:r w:rsidRPr="24A4069D">
        <w:rPr>
          <w:szCs w:val="24"/>
        </w:rPr>
        <w:t xml:space="preserve">, complemented by eleven Regional Radiocommunication Seminars </w:t>
      </w:r>
      <w:r w:rsidR="00C87BDA">
        <w:rPr>
          <w:szCs w:val="24"/>
        </w:rPr>
        <w:t>(</w:t>
      </w:r>
      <w:r w:rsidRPr="24A4069D">
        <w:rPr>
          <w:szCs w:val="24"/>
        </w:rPr>
        <w:t>RRS</w:t>
      </w:r>
      <w:r w:rsidR="00C87BDA">
        <w:rPr>
          <w:szCs w:val="24"/>
        </w:rPr>
        <w:t>)</w:t>
      </w:r>
      <w:r w:rsidRPr="24A4069D">
        <w:rPr>
          <w:szCs w:val="24"/>
        </w:rPr>
        <w:t xml:space="preserve"> (each one aimed to a different subregion), as follows:</w:t>
      </w:r>
    </w:p>
    <w:p w14:paraId="3798013A" w14:textId="77777777" w:rsidR="0088150F" w:rsidRDefault="0088150F" w:rsidP="0044374D">
      <w:pPr>
        <w:pStyle w:val="TableNoBR"/>
        <w:spacing w:before="240"/>
      </w:pPr>
      <w:r w:rsidRPr="24A4069D">
        <w:t>TABLE 8.2.2-1</w:t>
      </w:r>
    </w:p>
    <w:tbl>
      <w:tblPr>
        <w:tblStyle w:val="TableGrid"/>
        <w:tblW w:w="0" w:type="auto"/>
        <w:tblLayout w:type="fixed"/>
        <w:tblLook w:val="04A0" w:firstRow="1" w:lastRow="0" w:firstColumn="1" w:lastColumn="0" w:noHBand="0" w:noVBand="1"/>
      </w:tblPr>
      <w:tblGrid>
        <w:gridCol w:w="2805"/>
        <w:gridCol w:w="2025"/>
        <w:gridCol w:w="1245"/>
        <w:gridCol w:w="1170"/>
        <w:gridCol w:w="1290"/>
        <w:gridCol w:w="810"/>
      </w:tblGrid>
      <w:tr w:rsidR="0088150F" w14:paraId="17026637" w14:textId="77777777" w:rsidTr="008E3015">
        <w:trPr>
          <w:trHeight w:val="375"/>
        </w:trPr>
        <w:tc>
          <w:tcPr>
            <w:tcW w:w="2805" w:type="dxa"/>
            <w:tcBorders>
              <w:top w:val="single" w:sz="8" w:space="0" w:color="auto"/>
              <w:left w:val="single" w:sz="8" w:space="0" w:color="auto"/>
              <w:bottom w:val="single" w:sz="8" w:space="0" w:color="auto"/>
              <w:right w:val="single" w:sz="8" w:space="0" w:color="auto"/>
            </w:tcBorders>
          </w:tcPr>
          <w:p w14:paraId="5D73EBF4" w14:textId="77777777" w:rsidR="0088150F" w:rsidRDefault="0088150F" w:rsidP="008E3015"/>
        </w:tc>
        <w:tc>
          <w:tcPr>
            <w:tcW w:w="2025" w:type="dxa"/>
            <w:tcBorders>
              <w:top w:val="single" w:sz="8" w:space="0" w:color="auto"/>
              <w:left w:val="single" w:sz="8" w:space="0" w:color="auto"/>
              <w:bottom w:val="single" w:sz="8" w:space="0" w:color="auto"/>
              <w:right w:val="single" w:sz="8" w:space="0" w:color="auto"/>
            </w:tcBorders>
          </w:tcPr>
          <w:p w14:paraId="432FE055" w14:textId="77777777" w:rsidR="0088150F" w:rsidRDefault="0088150F" w:rsidP="008E3015">
            <w:pPr>
              <w:jc w:val="center"/>
              <w:rPr>
                <w:b/>
                <w:bCs/>
                <w:szCs w:val="24"/>
              </w:rPr>
            </w:pPr>
            <w:r w:rsidRPr="24A4069D">
              <w:rPr>
                <w:b/>
                <w:bCs/>
                <w:szCs w:val="24"/>
              </w:rPr>
              <w:t>Language</w:t>
            </w:r>
          </w:p>
        </w:tc>
        <w:tc>
          <w:tcPr>
            <w:tcW w:w="1245" w:type="dxa"/>
            <w:tcBorders>
              <w:top w:val="single" w:sz="8" w:space="0" w:color="auto"/>
              <w:left w:val="single" w:sz="8" w:space="0" w:color="auto"/>
              <w:bottom w:val="single" w:sz="8" w:space="0" w:color="auto"/>
              <w:right w:val="single" w:sz="8" w:space="0" w:color="auto"/>
            </w:tcBorders>
          </w:tcPr>
          <w:p w14:paraId="1EBDFDEA" w14:textId="77777777" w:rsidR="0088150F" w:rsidRDefault="0088150F" w:rsidP="008E3015">
            <w:pPr>
              <w:jc w:val="center"/>
              <w:rPr>
                <w:b/>
                <w:bCs/>
                <w:szCs w:val="24"/>
              </w:rPr>
            </w:pPr>
            <w:r w:rsidRPr="24A4069D">
              <w:rPr>
                <w:b/>
                <w:bCs/>
                <w:szCs w:val="24"/>
              </w:rPr>
              <w:t>2020</w:t>
            </w:r>
          </w:p>
        </w:tc>
        <w:tc>
          <w:tcPr>
            <w:tcW w:w="1170" w:type="dxa"/>
            <w:tcBorders>
              <w:top w:val="single" w:sz="8" w:space="0" w:color="auto"/>
              <w:left w:val="single" w:sz="8" w:space="0" w:color="auto"/>
              <w:bottom w:val="single" w:sz="8" w:space="0" w:color="auto"/>
              <w:right w:val="single" w:sz="8" w:space="0" w:color="auto"/>
            </w:tcBorders>
          </w:tcPr>
          <w:p w14:paraId="79C2B619" w14:textId="77777777" w:rsidR="0088150F" w:rsidRDefault="0088150F" w:rsidP="008E3015">
            <w:pPr>
              <w:jc w:val="center"/>
              <w:rPr>
                <w:b/>
                <w:bCs/>
                <w:szCs w:val="24"/>
              </w:rPr>
            </w:pPr>
            <w:r w:rsidRPr="24A4069D">
              <w:rPr>
                <w:b/>
                <w:bCs/>
                <w:szCs w:val="24"/>
              </w:rPr>
              <w:t>2021</w:t>
            </w:r>
          </w:p>
        </w:tc>
        <w:tc>
          <w:tcPr>
            <w:tcW w:w="1290" w:type="dxa"/>
            <w:tcBorders>
              <w:top w:val="single" w:sz="8" w:space="0" w:color="auto"/>
              <w:left w:val="single" w:sz="8" w:space="0" w:color="auto"/>
              <w:bottom w:val="single" w:sz="8" w:space="0" w:color="auto"/>
              <w:right w:val="single" w:sz="8" w:space="0" w:color="auto"/>
            </w:tcBorders>
          </w:tcPr>
          <w:p w14:paraId="3DD0D0D9" w14:textId="77777777" w:rsidR="0088150F" w:rsidRDefault="0088150F" w:rsidP="008E3015">
            <w:pPr>
              <w:jc w:val="center"/>
              <w:rPr>
                <w:b/>
                <w:bCs/>
                <w:szCs w:val="24"/>
              </w:rPr>
            </w:pPr>
            <w:r w:rsidRPr="24A4069D">
              <w:rPr>
                <w:b/>
                <w:bCs/>
                <w:szCs w:val="24"/>
              </w:rPr>
              <w:t>2022</w:t>
            </w:r>
          </w:p>
        </w:tc>
        <w:tc>
          <w:tcPr>
            <w:tcW w:w="810" w:type="dxa"/>
            <w:tcBorders>
              <w:top w:val="single" w:sz="8" w:space="0" w:color="auto"/>
              <w:left w:val="single" w:sz="8" w:space="0" w:color="auto"/>
              <w:bottom w:val="single" w:sz="8" w:space="0" w:color="auto"/>
              <w:right w:val="single" w:sz="8" w:space="0" w:color="auto"/>
            </w:tcBorders>
          </w:tcPr>
          <w:p w14:paraId="0EE8E0BD" w14:textId="77777777" w:rsidR="0088150F" w:rsidRDefault="0088150F" w:rsidP="008E3015">
            <w:pPr>
              <w:jc w:val="center"/>
              <w:rPr>
                <w:b/>
                <w:bCs/>
                <w:szCs w:val="24"/>
              </w:rPr>
            </w:pPr>
            <w:r w:rsidRPr="24A4069D">
              <w:rPr>
                <w:b/>
                <w:bCs/>
                <w:szCs w:val="24"/>
              </w:rPr>
              <w:t>2023</w:t>
            </w:r>
          </w:p>
        </w:tc>
      </w:tr>
      <w:tr w:rsidR="0088150F" w14:paraId="63C9C24B" w14:textId="77777777" w:rsidTr="008E3015">
        <w:trPr>
          <w:trHeight w:val="300"/>
        </w:trPr>
        <w:tc>
          <w:tcPr>
            <w:tcW w:w="2805" w:type="dxa"/>
            <w:tcBorders>
              <w:top w:val="single" w:sz="8" w:space="0" w:color="auto"/>
              <w:left w:val="single" w:sz="8" w:space="0" w:color="auto"/>
              <w:bottom w:val="single" w:sz="8" w:space="0" w:color="auto"/>
              <w:right w:val="single" w:sz="8" w:space="0" w:color="auto"/>
            </w:tcBorders>
          </w:tcPr>
          <w:p w14:paraId="5217FE42" w14:textId="77777777" w:rsidR="0088150F" w:rsidRDefault="0088150F" w:rsidP="008E3015">
            <w:pPr>
              <w:jc w:val="center"/>
              <w:rPr>
                <w:b/>
                <w:bCs/>
                <w:szCs w:val="24"/>
              </w:rPr>
            </w:pPr>
            <w:r w:rsidRPr="24A4069D">
              <w:rPr>
                <w:b/>
                <w:bCs/>
                <w:szCs w:val="24"/>
              </w:rPr>
              <w:t>Africa (Sub-Saharan): 2</w:t>
            </w:r>
          </w:p>
        </w:tc>
        <w:tc>
          <w:tcPr>
            <w:tcW w:w="2025" w:type="dxa"/>
            <w:tcBorders>
              <w:top w:val="single" w:sz="8" w:space="0" w:color="auto"/>
              <w:left w:val="single" w:sz="8" w:space="0" w:color="auto"/>
              <w:bottom w:val="single" w:sz="8" w:space="0" w:color="auto"/>
              <w:right w:val="single" w:sz="8" w:space="0" w:color="auto"/>
            </w:tcBorders>
          </w:tcPr>
          <w:p w14:paraId="7D81FF3E" w14:textId="77777777" w:rsidR="0088150F" w:rsidRDefault="0088150F" w:rsidP="008E3015">
            <w:pPr>
              <w:jc w:val="both"/>
              <w:rPr>
                <w:szCs w:val="24"/>
              </w:rPr>
            </w:pPr>
            <w:r w:rsidRPr="24A4069D">
              <w:rPr>
                <w:szCs w:val="24"/>
              </w:rPr>
              <w:t xml:space="preserve"> </w:t>
            </w:r>
          </w:p>
        </w:tc>
        <w:tc>
          <w:tcPr>
            <w:tcW w:w="1245" w:type="dxa"/>
            <w:tcBorders>
              <w:top w:val="single" w:sz="8" w:space="0" w:color="auto"/>
              <w:left w:val="single" w:sz="8" w:space="0" w:color="auto"/>
              <w:bottom w:val="single" w:sz="8" w:space="0" w:color="auto"/>
              <w:right w:val="single" w:sz="8" w:space="0" w:color="auto"/>
            </w:tcBorders>
          </w:tcPr>
          <w:p w14:paraId="7F29E27C" w14:textId="77777777" w:rsidR="0088150F" w:rsidRDefault="0088150F" w:rsidP="008E3015"/>
        </w:tc>
        <w:tc>
          <w:tcPr>
            <w:tcW w:w="1170" w:type="dxa"/>
            <w:tcBorders>
              <w:top w:val="single" w:sz="8" w:space="0" w:color="auto"/>
              <w:left w:val="single" w:sz="8" w:space="0" w:color="auto"/>
              <w:bottom w:val="single" w:sz="8" w:space="0" w:color="auto"/>
              <w:right w:val="single" w:sz="8" w:space="0" w:color="auto"/>
            </w:tcBorders>
          </w:tcPr>
          <w:p w14:paraId="04E29DB8" w14:textId="77777777" w:rsidR="0088150F" w:rsidRDefault="0088150F" w:rsidP="008E3015"/>
        </w:tc>
        <w:tc>
          <w:tcPr>
            <w:tcW w:w="1290" w:type="dxa"/>
            <w:tcBorders>
              <w:top w:val="single" w:sz="8" w:space="0" w:color="auto"/>
              <w:left w:val="single" w:sz="8" w:space="0" w:color="auto"/>
              <w:bottom w:val="single" w:sz="8" w:space="0" w:color="auto"/>
              <w:right w:val="single" w:sz="8" w:space="0" w:color="auto"/>
            </w:tcBorders>
          </w:tcPr>
          <w:p w14:paraId="04C95A43" w14:textId="77777777" w:rsidR="0088150F" w:rsidRDefault="0088150F" w:rsidP="008E3015"/>
        </w:tc>
        <w:tc>
          <w:tcPr>
            <w:tcW w:w="810" w:type="dxa"/>
            <w:tcBorders>
              <w:top w:val="single" w:sz="8" w:space="0" w:color="auto"/>
              <w:left w:val="single" w:sz="8" w:space="0" w:color="auto"/>
              <w:bottom w:val="single" w:sz="8" w:space="0" w:color="auto"/>
              <w:right w:val="single" w:sz="8" w:space="0" w:color="auto"/>
            </w:tcBorders>
          </w:tcPr>
          <w:p w14:paraId="3B987B94" w14:textId="77777777" w:rsidR="0088150F" w:rsidRDefault="0088150F" w:rsidP="008E3015"/>
        </w:tc>
      </w:tr>
      <w:tr w:rsidR="0088150F" w14:paraId="26E91CF1" w14:textId="77777777" w:rsidTr="008E3015">
        <w:trPr>
          <w:trHeight w:val="300"/>
        </w:trPr>
        <w:tc>
          <w:tcPr>
            <w:tcW w:w="2805" w:type="dxa"/>
            <w:tcBorders>
              <w:top w:val="single" w:sz="8" w:space="0" w:color="auto"/>
              <w:left w:val="single" w:sz="8" w:space="0" w:color="auto"/>
              <w:bottom w:val="single" w:sz="8" w:space="0" w:color="auto"/>
              <w:right w:val="single" w:sz="8" w:space="0" w:color="auto"/>
            </w:tcBorders>
          </w:tcPr>
          <w:p w14:paraId="4E2F95CE" w14:textId="77777777" w:rsidR="0088150F" w:rsidRDefault="0088150F" w:rsidP="008E3015">
            <w:pPr>
              <w:jc w:val="right"/>
              <w:rPr>
                <w:szCs w:val="24"/>
              </w:rPr>
            </w:pPr>
            <w:r w:rsidRPr="24A4069D">
              <w:rPr>
                <w:szCs w:val="24"/>
              </w:rPr>
              <w:t>French Africa</w:t>
            </w:r>
          </w:p>
        </w:tc>
        <w:tc>
          <w:tcPr>
            <w:tcW w:w="2025" w:type="dxa"/>
            <w:tcBorders>
              <w:top w:val="single" w:sz="8" w:space="0" w:color="auto"/>
              <w:left w:val="single" w:sz="8" w:space="0" w:color="auto"/>
              <w:bottom w:val="single" w:sz="8" w:space="0" w:color="auto"/>
              <w:right w:val="single" w:sz="8" w:space="0" w:color="auto"/>
            </w:tcBorders>
          </w:tcPr>
          <w:p w14:paraId="1292E285" w14:textId="77777777" w:rsidR="0088150F" w:rsidRDefault="0088150F" w:rsidP="008E3015">
            <w:pPr>
              <w:jc w:val="both"/>
              <w:rPr>
                <w:szCs w:val="24"/>
              </w:rPr>
            </w:pPr>
            <w:r w:rsidRPr="24A4069D">
              <w:rPr>
                <w:szCs w:val="24"/>
              </w:rPr>
              <w:t xml:space="preserve">English/French </w:t>
            </w:r>
          </w:p>
        </w:tc>
        <w:tc>
          <w:tcPr>
            <w:tcW w:w="1245" w:type="dxa"/>
            <w:tcBorders>
              <w:top w:val="single" w:sz="8" w:space="0" w:color="auto"/>
              <w:left w:val="single" w:sz="8" w:space="0" w:color="auto"/>
              <w:bottom w:val="single" w:sz="8" w:space="0" w:color="auto"/>
              <w:right w:val="single" w:sz="8" w:space="0" w:color="auto"/>
            </w:tcBorders>
          </w:tcPr>
          <w:p w14:paraId="2808C443" w14:textId="77777777" w:rsidR="0088150F" w:rsidRDefault="0088150F" w:rsidP="008E3015"/>
        </w:tc>
        <w:tc>
          <w:tcPr>
            <w:tcW w:w="1170" w:type="dxa"/>
            <w:tcBorders>
              <w:top w:val="single" w:sz="8" w:space="0" w:color="auto"/>
              <w:left w:val="single" w:sz="8" w:space="0" w:color="auto"/>
              <w:bottom w:val="single" w:sz="8" w:space="0" w:color="auto"/>
              <w:right w:val="single" w:sz="8" w:space="0" w:color="auto"/>
            </w:tcBorders>
          </w:tcPr>
          <w:p w14:paraId="735DFDCD" w14:textId="77777777" w:rsidR="0088150F" w:rsidRDefault="0088150F" w:rsidP="008E3015">
            <w:pPr>
              <w:jc w:val="center"/>
              <w:rPr>
                <w:szCs w:val="24"/>
              </w:rPr>
            </w:pPr>
            <w:r w:rsidRPr="24A4069D">
              <w:rPr>
                <w:szCs w:val="24"/>
              </w:rPr>
              <w:t>1Q</w:t>
            </w:r>
          </w:p>
        </w:tc>
        <w:tc>
          <w:tcPr>
            <w:tcW w:w="1290" w:type="dxa"/>
            <w:tcBorders>
              <w:top w:val="single" w:sz="8" w:space="0" w:color="auto"/>
              <w:left w:val="single" w:sz="8" w:space="0" w:color="auto"/>
              <w:bottom w:val="single" w:sz="8" w:space="0" w:color="auto"/>
              <w:right w:val="single" w:sz="8" w:space="0" w:color="auto"/>
            </w:tcBorders>
          </w:tcPr>
          <w:p w14:paraId="77DE9BE7" w14:textId="77777777" w:rsidR="0088150F" w:rsidRDefault="0088150F" w:rsidP="008E3015"/>
        </w:tc>
        <w:tc>
          <w:tcPr>
            <w:tcW w:w="810" w:type="dxa"/>
            <w:tcBorders>
              <w:top w:val="single" w:sz="8" w:space="0" w:color="auto"/>
              <w:left w:val="single" w:sz="8" w:space="0" w:color="auto"/>
              <w:bottom w:val="single" w:sz="8" w:space="0" w:color="auto"/>
              <w:right w:val="single" w:sz="8" w:space="0" w:color="auto"/>
            </w:tcBorders>
          </w:tcPr>
          <w:p w14:paraId="320FE5A1" w14:textId="77777777" w:rsidR="0088150F" w:rsidRDefault="0088150F" w:rsidP="008E3015"/>
        </w:tc>
      </w:tr>
      <w:tr w:rsidR="0088150F" w14:paraId="3FF45FF4" w14:textId="77777777" w:rsidTr="008E3015">
        <w:trPr>
          <w:trHeight w:val="300"/>
        </w:trPr>
        <w:tc>
          <w:tcPr>
            <w:tcW w:w="2805" w:type="dxa"/>
            <w:tcBorders>
              <w:top w:val="single" w:sz="8" w:space="0" w:color="auto"/>
              <w:left w:val="single" w:sz="8" w:space="0" w:color="auto"/>
              <w:bottom w:val="single" w:sz="8" w:space="0" w:color="auto"/>
              <w:right w:val="single" w:sz="8" w:space="0" w:color="auto"/>
            </w:tcBorders>
          </w:tcPr>
          <w:p w14:paraId="58082004" w14:textId="77777777" w:rsidR="0088150F" w:rsidRDefault="0088150F" w:rsidP="008E3015">
            <w:pPr>
              <w:jc w:val="right"/>
              <w:rPr>
                <w:szCs w:val="24"/>
              </w:rPr>
            </w:pPr>
            <w:r w:rsidRPr="24A4069D">
              <w:rPr>
                <w:szCs w:val="24"/>
              </w:rPr>
              <w:t xml:space="preserve">English Africa </w:t>
            </w:r>
          </w:p>
        </w:tc>
        <w:tc>
          <w:tcPr>
            <w:tcW w:w="2025" w:type="dxa"/>
            <w:tcBorders>
              <w:top w:val="single" w:sz="8" w:space="0" w:color="auto"/>
              <w:left w:val="single" w:sz="8" w:space="0" w:color="auto"/>
              <w:bottom w:val="single" w:sz="8" w:space="0" w:color="auto"/>
              <w:right w:val="single" w:sz="8" w:space="0" w:color="auto"/>
            </w:tcBorders>
          </w:tcPr>
          <w:p w14:paraId="4AC12AD2" w14:textId="77777777" w:rsidR="0088150F" w:rsidRDefault="0088150F" w:rsidP="008E3015">
            <w:pPr>
              <w:jc w:val="both"/>
              <w:rPr>
                <w:szCs w:val="24"/>
              </w:rPr>
            </w:pPr>
            <w:r w:rsidRPr="24A4069D">
              <w:rPr>
                <w:szCs w:val="24"/>
              </w:rPr>
              <w:t xml:space="preserve">English/French </w:t>
            </w:r>
          </w:p>
        </w:tc>
        <w:tc>
          <w:tcPr>
            <w:tcW w:w="1245" w:type="dxa"/>
            <w:tcBorders>
              <w:top w:val="single" w:sz="8" w:space="0" w:color="auto"/>
              <w:left w:val="single" w:sz="8" w:space="0" w:color="auto"/>
              <w:bottom w:val="single" w:sz="8" w:space="0" w:color="auto"/>
              <w:right w:val="single" w:sz="8" w:space="0" w:color="auto"/>
            </w:tcBorders>
          </w:tcPr>
          <w:p w14:paraId="6F948D4F" w14:textId="77777777" w:rsidR="0088150F" w:rsidRDefault="0088150F" w:rsidP="008E3015"/>
        </w:tc>
        <w:tc>
          <w:tcPr>
            <w:tcW w:w="1170" w:type="dxa"/>
            <w:tcBorders>
              <w:top w:val="single" w:sz="8" w:space="0" w:color="auto"/>
              <w:left w:val="single" w:sz="8" w:space="0" w:color="auto"/>
              <w:bottom w:val="single" w:sz="8" w:space="0" w:color="auto"/>
              <w:right w:val="single" w:sz="8" w:space="0" w:color="auto"/>
            </w:tcBorders>
          </w:tcPr>
          <w:p w14:paraId="30FDF36E" w14:textId="77777777" w:rsidR="0088150F" w:rsidRDefault="0088150F" w:rsidP="008E3015"/>
        </w:tc>
        <w:tc>
          <w:tcPr>
            <w:tcW w:w="1290" w:type="dxa"/>
            <w:tcBorders>
              <w:top w:val="single" w:sz="8" w:space="0" w:color="auto"/>
              <w:left w:val="single" w:sz="8" w:space="0" w:color="auto"/>
              <w:bottom w:val="single" w:sz="8" w:space="0" w:color="auto"/>
              <w:right w:val="single" w:sz="8" w:space="0" w:color="auto"/>
            </w:tcBorders>
          </w:tcPr>
          <w:p w14:paraId="197093D0" w14:textId="77777777" w:rsidR="0088150F" w:rsidRDefault="0088150F" w:rsidP="008E3015"/>
        </w:tc>
        <w:tc>
          <w:tcPr>
            <w:tcW w:w="810" w:type="dxa"/>
            <w:tcBorders>
              <w:top w:val="single" w:sz="8" w:space="0" w:color="auto"/>
              <w:left w:val="single" w:sz="8" w:space="0" w:color="auto"/>
              <w:bottom w:val="single" w:sz="8" w:space="0" w:color="auto"/>
              <w:right w:val="single" w:sz="8" w:space="0" w:color="auto"/>
            </w:tcBorders>
          </w:tcPr>
          <w:p w14:paraId="0EE345AB" w14:textId="77777777" w:rsidR="0088150F" w:rsidRDefault="0088150F" w:rsidP="008E3015">
            <w:pPr>
              <w:jc w:val="center"/>
              <w:rPr>
                <w:szCs w:val="24"/>
              </w:rPr>
            </w:pPr>
            <w:r w:rsidRPr="24A4069D">
              <w:rPr>
                <w:szCs w:val="24"/>
              </w:rPr>
              <w:t>1Q</w:t>
            </w:r>
          </w:p>
        </w:tc>
      </w:tr>
      <w:tr w:rsidR="0088150F" w14:paraId="23BBC3BA" w14:textId="77777777" w:rsidTr="008E3015">
        <w:trPr>
          <w:trHeight w:val="300"/>
        </w:trPr>
        <w:tc>
          <w:tcPr>
            <w:tcW w:w="2805" w:type="dxa"/>
            <w:tcBorders>
              <w:top w:val="single" w:sz="8" w:space="0" w:color="auto"/>
              <w:left w:val="single" w:sz="8" w:space="0" w:color="auto"/>
              <w:bottom w:val="single" w:sz="8" w:space="0" w:color="auto"/>
              <w:right w:val="single" w:sz="8" w:space="0" w:color="auto"/>
            </w:tcBorders>
          </w:tcPr>
          <w:p w14:paraId="1D11DB46" w14:textId="77777777" w:rsidR="0088150F" w:rsidRDefault="0088150F" w:rsidP="008E3015">
            <w:pPr>
              <w:jc w:val="center"/>
              <w:rPr>
                <w:b/>
                <w:bCs/>
                <w:szCs w:val="24"/>
              </w:rPr>
            </w:pPr>
            <w:r w:rsidRPr="24A4069D">
              <w:rPr>
                <w:b/>
                <w:bCs/>
                <w:szCs w:val="24"/>
              </w:rPr>
              <w:t>Americas: (3)</w:t>
            </w:r>
          </w:p>
        </w:tc>
        <w:tc>
          <w:tcPr>
            <w:tcW w:w="2025" w:type="dxa"/>
            <w:tcBorders>
              <w:top w:val="single" w:sz="8" w:space="0" w:color="auto"/>
              <w:left w:val="single" w:sz="8" w:space="0" w:color="auto"/>
              <w:bottom w:val="single" w:sz="8" w:space="0" w:color="auto"/>
              <w:right w:val="single" w:sz="8" w:space="0" w:color="auto"/>
            </w:tcBorders>
          </w:tcPr>
          <w:p w14:paraId="5115D8C8" w14:textId="77777777" w:rsidR="0088150F" w:rsidRDefault="0088150F" w:rsidP="008E3015"/>
        </w:tc>
        <w:tc>
          <w:tcPr>
            <w:tcW w:w="1245" w:type="dxa"/>
            <w:tcBorders>
              <w:top w:val="single" w:sz="8" w:space="0" w:color="auto"/>
              <w:left w:val="single" w:sz="8" w:space="0" w:color="auto"/>
              <w:bottom w:val="single" w:sz="8" w:space="0" w:color="auto"/>
              <w:right w:val="single" w:sz="8" w:space="0" w:color="auto"/>
            </w:tcBorders>
          </w:tcPr>
          <w:p w14:paraId="4E2A4E04" w14:textId="77777777" w:rsidR="0088150F" w:rsidRDefault="0088150F" w:rsidP="008E3015"/>
        </w:tc>
        <w:tc>
          <w:tcPr>
            <w:tcW w:w="1170" w:type="dxa"/>
            <w:tcBorders>
              <w:top w:val="single" w:sz="8" w:space="0" w:color="auto"/>
              <w:left w:val="single" w:sz="8" w:space="0" w:color="auto"/>
              <w:bottom w:val="single" w:sz="8" w:space="0" w:color="auto"/>
              <w:right w:val="single" w:sz="8" w:space="0" w:color="auto"/>
            </w:tcBorders>
          </w:tcPr>
          <w:p w14:paraId="47FFD5BB" w14:textId="77777777" w:rsidR="0088150F" w:rsidRDefault="0088150F" w:rsidP="008E3015"/>
        </w:tc>
        <w:tc>
          <w:tcPr>
            <w:tcW w:w="1290" w:type="dxa"/>
            <w:tcBorders>
              <w:top w:val="single" w:sz="8" w:space="0" w:color="auto"/>
              <w:left w:val="single" w:sz="8" w:space="0" w:color="auto"/>
              <w:bottom w:val="single" w:sz="8" w:space="0" w:color="auto"/>
              <w:right w:val="single" w:sz="8" w:space="0" w:color="auto"/>
            </w:tcBorders>
          </w:tcPr>
          <w:p w14:paraId="3CB73E73" w14:textId="77777777" w:rsidR="0088150F" w:rsidRDefault="0088150F" w:rsidP="008E3015"/>
        </w:tc>
        <w:tc>
          <w:tcPr>
            <w:tcW w:w="810" w:type="dxa"/>
            <w:tcBorders>
              <w:top w:val="single" w:sz="8" w:space="0" w:color="auto"/>
              <w:left w:val="single" w:sz="8" w:space="0" w:color="auto"/>
              <w:bottom w:val="single" w:sz="8" w:space="0" w:color="auto"/>
              <w:right w:val="single" w:sz="8" w:space="0" w:color="auto"/>
            </w:tcBorders>
          </w:tcPr>
          <w:p w14:paraId="5CE3A19C" w14:textId="77777777" w:rsidR="0088150F" w:rsidRDefault="0088150F" w:rsidP="008E3015"/>
        </w:tc>
      </w:tr>
      <w:tr w:rsidR="0088150F" w14:paraId="3D72C29E" w14:textId="77777777" w:rsidTr="008E3015">
        <w:trPr>
          <w:trHeight w:val="300"/>
        </w:trPr>
        <w:tc>
          <w:tcPr>
            <w:tcW w:w="2805" w:type="dxa"/>
            <w:tcBorders>
              <w:top w:val="single" w:sz="8" w:space="0" w:color="auto"/>
              <w:left w:val="single" w:sz="8" w:space="0" w:color="auto"/>
              <w:bottom w:val="single" w:sz="8" w:space="0" w:color="auto"/>
              <w:right w:val="single" w:sz="8" w:space="0" w:color="auto"/>
            </w:tcBorders>
          </w:tcPr>
          <w:p w14:paraId="7550792E" w14:textId="77777777" w:rsidR="0088150F" w:rsidRDefault="0088150F" w:rsidP="008E3015">
            <w:pPr>
              <w:jc w:val="right"/>
              <w:rPr>
                <w:szCs w:val="24"/>
              </w:rPr>
            </w:pPr>
            <w:r w:rsidRPr="24A4069D">
              <w:rPr>
                <w:szCs w:val="24"/>
              </w:rPr>
              <w:t>South America</w:t>
            </w:r>
          </w:p>
        </w:tc>
        <w:tc>
          <w:tcPr>
            <w:tcW w:w="2025" w:type="dxa"/>
            <w:tcBorders>
              <w:top w:val="single" w:sz="8" w:space="0" w:color="auto"/>
              <w:left w:val="single" w:sz="8" w:space="0" w:color="auto"/>
              <w:bottom w:val="single" w:sz="8" w:space="0" w:color="auto"/>
              <w:right w:val="single" w:sz="8" w:space="0" w:color="auto"/>
            </w:tcBorders>
          </w:tcPr>
          <w:p w14:paraId="2B45C5E9" w14:textId="77777777" w:rsidR="0088150F" w:rsidRDefault="0088150F" w:rsidP="008E3015">
            <w:pPr>
              <w:jc w:val="both"/>
              <w:rPr>
                <w:szCs w:val="24"/>
              </w:rPr>
            </w:pPr>
            <w:r w:rsidRPr="24A4069D">
              <w:rPr>
                <w:szCs w:val="24"/>
              </w:rPr>
              <w:t>Spanish</w:t>
            </w:r>
          </w:p>
        </w:tc>
        <w:tc>
          <w:tcPr>
            <w:tcW w:w="1245" w:type="dxa"/>
            <w:tcBorders>
              <w:top w:val="single" w:sz="8" w:space="0" w:color="auto"/>
              <w:left w:val="single" w:sz="8" w:space="0" w:color="auto"/>
              <w:bottom w:val="single" w:sz="8" w:space="0" w:color="auto"/>
              <w:right w:val="single" w:sz="8" w:space="0" w:color="auto"/>
            </w:tcBorders>
          </w:tcPr>
          <w:p w14:paraId="2EC63A36" w14:textId="77777777" w:rsidR="0088150F" w:rsidRDefault="0088150F" w:rsidP="008E3015"/>
        </w:tc>
        <w:tc>
          <w:tcPr>
            <w:tcW w:w="1170" w:type="dxa"/>
            <w:tcBorders>
              <w:top w:val="single" w:sz="8" w:space="0" w:color="auto"/>
              <w:left w:val="single" w:sz="8" w:space="0" w:color="auto"/>
              <w:bottom w:val="single" w:sz="8" w:space="0" w:color="auto"/>
              <w:right w:val="single" w:sz="8" w:space="0" w:color="auto"/>
            </w:tcBorders>
          </w:tcPr>
          <w:p w14:paraId="05B3F6CC" w14:textId="77777777" w:rsidR="0088150F" w:rsidRDefault="0088150F" w:rsidP="008E3015"/>
        </w:tc>
        <w:tc>
          <w:tcPr>
            <w:tcW w:w="1290" w:type="dxa"/>
            <w:tcBorders>
              <w:top w:val="single" w:sz="8" w:space="0" w:color="auto"/>
              <w:left w:val="single" w:sz="8" w:space="0" w:color="auto"/>
              <w:bottom w:val="single" w:sz="8" w:space="0" w:color="auto"/>
              <w:right w:val="single" w:sz="8" w:space="0" w:color="auto"/>
            </w:tcBorders>
          </w:tcPr>
          <w:p w14:paraId="640FA708" w14:textId="77777777" w:rsidR="0088150F" w:rsidRDefault="0088150F" w:rsidP="008E3015">
            <w:pPr>
              <w:jc w:val="center"/>
              <w:rPr>
                <w:szCs w:val="24"/>
              </w:rPr>
            </w:pPr>
            <w:r w:rsidRPr="24A4069D">
              <w:rPr>
                <w:szCs w:val="24"/>
              </w:rPr>
              <w:t>2Q</w:t>
            </w:r>
          </w:p>
        </w:tc>
        <w:tc>
          <w:tcPr>
            <w:tcW w:w="810" w:type="dxa"/>
            <w:tcBorders>
              <w:top w:val="single" w:sz="8" w:space="0" w:color="auto"/>
              <w:left w:val="single" w:sz="8" w:space="0" w:color="auto"/>
              <w:bottom w:val="single" w:sz="8" w:space="0" w:color="auto"/>
              <w:right w:val="single" w:sz="8" w:space="0" w:color="auto"/>
            </w:tcBorders>
          </w:tcPr>
          <w:p w14:paraId="4787BD37" w14:textId="77777777" w:rsidR="0088150F" w:rsidRDefault="0088150F" w:rsidP="008E3015"/>
        </w:tc>
      </w:tr>
      <w:tr w:rsidR="0088150F" w14:paraId="68F3DA27" w14:textId="77777777" w:rsidTr="008E3015">
        <w:trPr>
          <w:trHeight w:val="300"/>
        </w:trPr>
        <w:tc>
          <w:tcPr>
            <w:tcW w:w="2805" w:type="dxa"/>
            <w:tcBorders>
              <w:top w:val="single" w:sz="8" w:space="0" w:color="auto"/>
              <w:left w:val="single" w:sz="8" w:space="0" w:color="auto"/>
              <w:bottom w:val="single" w:sz="8" w:space="0" w:color="auto"/>
              <w:right w:val="single" w:sz="8" w:space="0" w:color="auto"/>
            </w:tcBorders>
          </w:tcPr>
          <w:p w14:paraId="76A106DB" w14:textId="77777777" w:rsidR="0088150F" w:rsidRDefault="0088150F" w:rsidP="008E3015">
            <w:pPr>
              <w:jc w:val="right"/>
              <w:rPr>
                <w:szCs w:val="24"/>
              </w:rPr>
            </w:pPr>
            <w:r w:rsidRPr="24A4069D">
              <w:rPr>
                <w:szCs w:val="24"/>
              </w:rPr>
              <w:t xml:space="preserve">Meso America </w:t>
            </w:r>
          </w:p>
        </w:tc>
        <w:tc>
          <w:tcPr>
            <w:tcW w:w="2025" w:type="dxa"/>
            <w:tcBorders>
              <w:top w:val="single" w:sz="8" w:space="0" w:color="auto"/>
              <w:left w:val="single" w:sz="8" w:space="0" w:color="auto"/>
              <w:bottom w:val="single" w:sz="8" w:space="0" w:color="auto"/>
              <w:right w:val="single" w:sz="8" w:space="0" w:color="auto"/>
            </w:tcBorders>
          </w:tcPr>
          <w:p w14:paraId="1A90E923" w14:textId="77777777" w:rsidR="0088150F" w:rsidRDefault="0088150F" w:rsidP="008E3015">
            <w:pPr>
              <w:jc w:val="both"/>
              <w:rPr>
                <w:szCs w:val="24"/>
              </w:rPr>
            </w:pPr>
            <w:r w:rsidRPr="24A4069D">
              <w:rPr>
                <w:szCs w:val="24"/>
              </w:rPr>
              <w:t>Spanish</w:t>
            </w:r>
          </w:p>
        </w:tc>
        <w:tc>
          <w:tcPr>
            <w:tcW w:w="1245" w:type="dxa"/>
            <w:tcBorders>
              <w:top w:val="single" w:sz="8" w:space="0" w:color="auto"/>
              <w:left w:val="single" w:sz="8" w:space="0" w:color="auto"/>
              <w:bottom w:val="single" w:sz="8" w:space="0" w:color="auto"/>
              <w:right w:val="single" w:sz="8" w:space="0" w:color="auto"/>
            </w:tcBorders>
          </w:tcPr>
          <w:p w14:paraId="444C94A5" w14:textId="77777777" w:rsidR="0088150F" w:rsidRDefault="0088150F" w:rsidP="008E3015"/>
        </w:tc>
        <w:tc>
          <w:tcPr>
            <w:tcW w:w="1170" w:type="dxa"/>
            <w:tcBorders>
              <w:top w:val="single" w:sz="8" w:space="0" w:color="auto"/>
              <w:left w:val="single" w:sz="8" w:space="0" w:color="auto"/>
              <w:bottom w:val="single" w:sz="8" w:space="0" w:color="auto"/>
              <w:right w:val="single" w:sz="8" w:space="0" w:color="auto"/>
            </w:tcBorders>
          </w:tcPr>
          <w:p w14:paraId="48EF48DF" w14:textId="77777777" w:rsidR="0088150F" w:rsidRDefault="0088150F" w:rsidP="008E3015">
            <w:pPr>
              <w:jc w:val="center"/>
              <w:rPr>
                <w:szCs w:val="24"/>
              </w:rPr>
            </w:pPr>
            <w:r w:rsidRPr="24A4069D">
              <w:rPr>
                <w:szCs w:val="24"/>
              </w:rPr>
              <w:t>2Q</w:t>
            </w:r>
          </w:p>
        </w:tc>
        <w:tc>
          <w:tcPr>
            <w:tcW w:w="1290" w:type="dxa"/>
            <w:tcBorders>
              <w:top w:val="single" w:sz="8" w:space="0" w:color="auto"/>
              <w:left w:val="single" w:sz="8" w:space="0" w:color="auto"/>
              <w:bottom w:val="single" w:sz="8" w:space="0" w:color="auto"/>
              <w:right w:val="single" w:sz="8" w:space="0" w:color="auto"/>
            </w:tcBorders>
          </w:tcPr>
          <w:p w14:paraId="1ECB5F11" w14:textId="77777777" w:rsidR="0088150F" w:rsidRDefault="0088150F" w:rsidP="008E3015"/>
        </w:tc>
        <w:tc>
          <w:tcPr>
            <w:tcW w:w="810" w:type="dxa"/>
            <w:tcBorders>
              <w:top w:val="single" w:sz="8" w:space="0" w:color="auto"/>
              <w:left w:val="single" w:sz="8" w:space="0" w:color="auto"/>
              <w:bottom w:val="single" w:sz="8" w:space="0" w:color="auto"/>
              <w:right w:val="single" w:sz="8" w:space="0" w:color="auto"/>
            </w:tcBorders>
          </w:tcPr>
          <w:p w14:paraId="7B0AD0A9" w14:textId="77777777" w:rsidR="0088150F" w:rsidRDefault="0088150F" w:rsidP="008E3015"/>
        </w:tc>
      </w:tr>
      <w:tr w:rsidR="0088150F" w14:paraId="6C988794" w14:textId="77777777" w:rsidTr="008E3015">
        <w:trPr>
          <w:trHeight w:val="300"/>
        </w:trPr>
        <w:tc>
          <w:tcPr>
            <w:tcW w:w="2805" w:type="dxa"/>
            <w:tcBorders>
              <w:top w:val="single" w:sz="8" w:space="0" w:color="auto"/>
              <w:left w:val="single" w:sz="8" w:space="0" w:color="auto"/>
              <w:bottom w:val="single" w:sz="8" w:space="0" w:color="auto"/>
              <w:right w:val="single" w:sz="8" w:space="0" w:color="auto"/>
            </w:tcBorders>
          </w:tcPr>
          <w:p w14:paraId="6E05069F" w14:textId="77777777" w:rsidR="0088150F" w:rsidRDefault="0088150F" w:rsidP="008E3015">
            <w:pPr>
              <w:jc w:val="right"/>
              <w:rPr>
                <w:szCs w:val="24"/>
              </w:rPr>
            </w:pPr>
            <w:r w:rsidRPr="24A4069D">
              <w:rPr>
                <w:szCs w:val="24"/>
              </w:rPr>
              <w:t xml:space="preserve">Caribbean </w:t>
            </w:r>
          </w:p>
        </w:tc>
        <w:tc>
          <w:tcPr>
            <w:tcW w:w="2025" w:type="dxa"/>
            <w:tcBorders>
              <w:top w:val="single" w:sz="8" w:space="0" w:color="auto"/>
              <w:left w:val="single" w:sz="8" w:space="0" w:color="auto"/>
              <w:bottom w:val="single" w:sz="8" w:space="0" w:color="auto"/>
              <w:right w:val="single" w:sz="8" w:space="0" w:color="auto"/>
            </w:tcBorders>
          </w:tcPr>
          <w:p w14:paraId="51DBF6A6" w14:textId="77777777" w:rsidR="0088150F" w:rsidRDefault="0088150F" w:rsidP="008E3015">
            <w:pPr>
              <w:jc w:val="both"/>
              <w:rPr>
                <w:szCs w:val="24"/>
              </w:rPr>
            </w:pPr>
            <w:r w:rsidRPr="24A4069D">
              <w:rPr>
                <w:szCs w:val="24"/>
              </w:rPr>
              <w:t>English</w:t>
            </w:r>
          </w:p>
        </w:tc>
        <w:tc>
          <w:tcPr>
            <w:tcW w:w="1245" w:type="dxa"/>
            <w:tcBorders>
              <w:top w:val="single" w:sz="8" w:space="0" w:color="auto"/>
              <w:left w:val="single" w:sz="8" w:space="0" w:color="auto"/>
              <w:bottom w:val="single" w:sz="8" w:space="0" w:color="auto"/>
              <w:right w:val="single" w:sz="8" w:space="0" w:color="auto"/>
            </w:tcBorders>
          </w:tcPr>
          <w:p w14:paraId="7E9225ED" w14:textId="77777777" w:rsidR="0088150F" w:rsidRDefault="0088150F" w:rsidP="008E3015">
            <w:pPr>
              <w:jc w:val="center"/>
              <w:rPr>
                <w:szCs w:val="24"/>
              </w:rPr>
            </w:pPr>
            <w:r w:rsidRPr="24A4069D">
              <w:rPr>
                <w:szCs w:val="24"/>
              </w:rPr>
              <w:t>July</w:t>
            </w:r>
          </w:p>
        </w:tc>
        <w:tc>
          <w:tcPr>
            <w:tcW w:w="1170" w:type="dxa"/>
            <w:tcBorders>
              <w:top w:val="single" w:sz="8" w:space="0" w:color="auto"/>
              <w:left w:val="single" w:sz="8" w:space="0" w:color="auto"/>
              <w:bottom w:val="single" w:sz="8" w:space="0" w:color="auto"/>
              <w:right w:val="single" w:sz="8" w:space="0" w:color="auto"/>
            </w:tcBorders>
          </w:tcPr>
          <w:p w14:paraId="47C5FD51" w14:textId="77777777" w:rsidR="0088150F" w:rsidRDefault="0088150F" w:rsidP="008E3015"/>
        </w:tc>
        <w:tc>
          <w:tcPr>
            <w:tcW w:w="1290" w:type="dxa"/>
            <w:tcBorders>
              <w:top w:val="single" w:sz="8" w:space="0" w:color="auto"/>
              <w:left w:val="single" w:sz="8" w:space="0" w:color="auto"/>
              <w:bottom w:val="single" w:sz="8" w:space="0" w:color="auto"/>
              <w:right w:val="single" w:sz="8" w:space="0" w:color="auto"/>
            </w:tcBorders>
          </w:tcPr>
          <w:p w14:paraId="1193EEF6" w14:textId="77777777" w:rsidR="0088150F" w:rsidRDefault="0088150F" w:rsidP="008E3015"/>
        </w:tc>
        <w:tc>
          <w:tcPr>
            <w:tcW w:w="810" w:type="dxa"/>
            <w:tcBorders>
              <w:top w:val="single" w:sz="8" w:space="0" w:color="auto"/>
              <w:left w:val="single" w:sz="8" w:space="0" w:color="auto"/>
              <w:bottom w:val="single" w:sz="8" w:space="0" w:color="auto"/>
              <w:right w:val="single" w:sz="8" w:space="0" w:color="auto"/>
            </w:tcBorders>
          </w:tcPr>
          <w:p w14:paraId="7343015F" w14:textId="77777777" w:rsidR="0088150F" w:rsidRDefault="0088150F" w:rsidP="008E3015"/>
        </w:tc>
      </w:tr>
      <w:tr w:rsidR="0088150F" w14:paraId="530DCE17" w14:textId="77777777" w:rsidTr="008E3015">
        <w:trPr>
          <w:trHeight w:val="300"/>
        </w:trPr>
        <w:tc>
          <w:tcPr>
            <w:tcW w:w="2805" w:type="dxa"/>
            <w:tcBorders>
              <w:top w:val="single" w:sz="8" w:space="0" w:color="auto"/>
              <w:left w:val="single" w:sz="8" w:space="0" w:color="auto"/>
              <w:bottom w:val="single" w:sz="8" w:space="0" w:color="auto"/>
              <w:right w:val="single" w:sz="8" w:space="0" w:color="auto"/>
            </w:tcBorders>
          </w:tcPr>
          <w:p w14:paraId="32963286" w14:textId="77777777" w:rsidR="0088150F" w:rsidRDefault="0088150F" w:rsidP="008E3015">
            <w:pPr>
              <w:jc w:val="center"/>
              <w:rPr>
                <w:b/>
                <w:bCs/>
                <w:szCs w:val="24"/>
              </w:rPr>
            </w:pPr>
            <w:r w:rsidRPr="24A4069D">
              <w:rPr>
                <w:b/>
                <w:bCs/>
                <w:szCs w:val="24"/>
              </w:rPr>
              <w:t>Asia &amp; Pacific: (3)</w:t>
            </w:r>
          </w:p>
        </w:tc>
        <w:tc>
          <w:tcPr>
            <w:tcW w:w="2025" w:type="dxa"/>
            <w:tcBorders>
              <w:top w:val="single" w:sz="8" w:space="0" w:color="auto"/>
              <w:left w:val="single" w:sz="8" w:space="0" w:color="auto"/>
              <w:bottom w:val="single" w:sz="8" w:space="0" w:color="auto"/>
              <w:right w:val="single" w:sz="8" w:space="0" w:color="auto"/>
            </w:tcBorders>
          </w:tcPr>
          <w:p w14:paraId="471D1EF6" w14:textId="77777777" w:rsidR="0088150F" w:rsidRDefault="0088150F" w:rsidP="008E3015"/>
        </w:tc>
        <w:tc>
          <w:tcPr>
            <w:tcW w:w="1245" w:type="dxa"/>
            <w:tcBorders>
              <w:top w:val="single" w:sz="8" w:space="0" w:color="auto"/>
              <w:left w:val="single" w:sz="8" w:space="0" w:color="auto"/>
              <w:bottom w:val="single" w:sz="8" w:space="0" w:color="auto"/>
              <w:right w:val="single" w:sz="8" w:space="0" w:color="auto"/>
            </w:tcBorders>
          </w:tcPr>
          <w:p w14:paraId="4339ACDE" w14:textId="77777777" w:rsidR="0088150F" w:rsidRDefault="0088150F" w:rsidP="008E3015"/>
        </w:tc>
        <w:tc>
          <w:tcPr>
            <w:tcW w:w="1170" w:type="dxa"/>
            <w:tcBorders>
              <w:top w:val="single" w:sz="8" w:space="0" w:color="auto"/>
              <w:left w:val="single" w:sz="8" w:space="0" w:color="auto"/>
              <w:bottom w:val="single" w:sz="8" w:space="0" w:color="auto"/>
              <w:right w:val="single" w:sz="8" w:space="0" w:color="auto"/>
            </w:tcBorders>
          </w:tcPr>
          <w:p w14:paraId="16A990E6" w14:textId="77777777" w:rsidR="0088150F" w:rsidRDefault="0088150F" w:rsidP="008E3015"/>
        </w:tc>
        <w:tc>
          <w:tcPr>
            <w:tcW w:w="1290" w:type="dxa"/>
            <w:tcBorders>
              <w:top w:val="single" w:sz="8" w:space="0" w:color="auto"/>
              <w:left w:val="single" w:sz="8" w:space="0" w:color="auto"/>
              <w:bottom w:val="single" w:sz="8" w:space="0" w:color="auto"/>
              <w:right w:val="single" w:sz="8" w:space="0" w:color="auto"/>
            </w:tcBorders>
          </w:tcPr>
          <w:p w14:paraId="02288FA4" w14:textId="77777777" w:rsidR="0088150F" w:rsidRDefault="0088150F" w:rsidP="008E3015"/>
        </w:tc>
        <w:tc>
          <w:tcPr>
            <w:tcW w:w="810" w:type="dxa"/>
            <w:tcBorders>
              <w:top w:val="single" w:sz="8" w:space="0" w:color="auto"/>
              <w:left w:val="single" w:sz="8" w:space="0" w:color="auto"/>
              <w:bottom w:val="single" w:sz="8" w:space="0" w:color="auto"/>
              <w:right w:val="single" w:sz="8" w:space="0" w:color="auto"/>
            </w:tcBorders>
          </w:tcPr>
          <w:p w14:paraId="691B3003" w14:textId="77777777" w:rsidR="0088150F" w:rsidRDefault="0088150F" w:rsidP="008E3015"/>
        </w:tc>
      </w:tr>
      <w:tr w:rsidR="0088150F" w14:paraId="3B463DBD" w14:textId="77777777" w:rsidTr="008E3015">
        <w:trPr>
          <w:trHeight w:val="300"/>
        </w:trPr>
        <w:tc>
          <w:tcPr>
            <w:tcW w:w="2805" w:type="dxa"/>
            <w:tcBorders>
              <w:top w:val="single" w:sz="8" w:space="0" w:color="auto"/>
              <w:left w:val="single" w:sz="8" w:space="0" w:color="auto"/>
              <w:bottom w:val="single" w:sz="8" w:space="0" w:color="auto"/>
              <w:right w:val="single" w:sz="8" w:space="0" w:color="auto"/>
            </w:tcBorders>
          </w:tcPr>
          <w:p w14:paraId="53A82185" w14:textId="77777777" w:rsidR="0088150F" w:rsidRDefault="0088150F" w:rsidP="008E3015">
            <w:pPr>
              <w:jc w:val="right"/>
              <w:rPr>
                <w:szCs w:val="24"/>
              </w:rPr>
            </w:pPr>
            <w:r w:rsidRPr="24A4069D">
              <w:rPr>
                <w:szCs w:val="24"/>
              </w:rPr>
              <w:t>Pacific Islands States</w:t>
            </w:r>
          </w:p>
        </w:tc>
        <w:tc>
          <w:tcPr>
            <w:tcW w:w="2025" w:type="dxa"/>
            <w:tcBorders>
              <w:top w:val="single" w:sz="8" w:space="0" w:color="auto"/>
              <w:left w:val="single" w:sz="8" w:space="0" w:color="auto"/>
              <w:bottom w:val="single" w:sz="8" w:space="0" w:color="auto"/>
              <w:right w:val="single" w:sz="8" w:space="0" w:color="auto"/>
            </w:tcBorders>
          </w:tcPr>
          <w:p w14:paraId="741ACAFF" w14:textId="77777777" w:rsidR="0088150F" w:rsidRDefault="0088150F" w:rsidP="008E3015">
            <w:pPr>
              <w:jc w:val="both"/>
              <w:rPr>
                <w:szCs w:val="24"/>
              </w:rPr>
            </w:pPr>
            <w:r w:rsidRPr="24A4069D">
              <w:rPr>
                <w:szCs w:val="24"/>
              </w:rPr>
              <w:t>English</w:t>
            </w:r>
          </w:p>
        </w:tc>
        <w:tc>
          <w:tcPr>
            <w:tcW w:w="1245" w:type="dxa"/>
            <w:tcBorders>
              <w:top w:val="single" w:sz="8" w:space="0" w:color="auto"/>
              <w:left w:val="single" w:sz="8" w:space="0" w:color="auto"/>
              <w:bottom w:val="single" w:sz="8" w:space="0" w:color="auto"/>
              <w:right w:val="single" w:sz="8" w:space="0" w:color="auto"/>
            </w:tcBorders>
          </w:tcPr>
          <w:p w14:paraId="42EA971E" w14:textId="77777777" w:rsidR="0088150F" w:rsidRDefault="0088150F" w:rsidP="008E3015"/>
        </w:tc>
        <w:tc>
          <w:tcPr>
            <w:tcW w:w="1170" w:type="dxa"/>
            <w:tcBorders>
              <w:top w:val="single" w:sz="8" w:space="0" w:color="auto"/>
              <w:left w:val="single" w:sz="8" w:space="0" w:color="auto"/>
              <w:bottom w:val="single" w:sz="8" w:space="0" w:color="auto"/>
              <w:right w:val="single" w:sz="8" w:space="0" w:color="auto"/>
            </w:tcBorders>
          </w:tcPr>
          <w:p w14:paraId="3CB424C1" w14:textId="77777777" w:rsidR="0088150F" w:rsidRDefault="0088150F" w:rsidP="008E3015">
            <w:pPr>
              <w:jc w:val="center"/>
              <w:rPr>
                <w:szCs w:val="24"/>
              </w:rPr>
            </w:pPr>
            <w:r w:rsidRPr="24A4069D">
              <w:rPr>
                <w:szCs w:val="24"/>
              </w:rPr>
              <w:t>3Q</w:t>
            </w:r>
          </w:p>
        </w:tc>
        <w:tc>
          <w:tcPr>
            <w:tcW w:w="1290" w:type="dxa"/>
            <w:tcBorders>
              <w:top w:val="single" w:sz="8" w:space="0" w:color="auto"/>
              <w:left w:val="single" w:sz="8" w:space="0" w:color="auto"/>
              <w:bottom w:val="single" w:sz="8" w:space="0" w:color="auto"/>
              <w:right w:val="single" w:sz="8" w:space="0" w:color="auto"/>
            </w:tcBorders>
          </w:tcPr>
          <w:p w14:paraId="65F2C532" w14:textId="77777777" w:rsidR="0088150F" w:rsidRDefault="0088150F" w:rsidP="008E3015"/>
        </w:tc>
        <w:tc>
          <w:tcPr>
            <w:tcW w:w="810" w:type="dxa"/>
            <w:tcBorders>
              <w:top w:val="single" w:sz="8" w:space="0" w:color="auto"/>
              <w:left w:val="single" w:sz="8" w:space="0" w:color="auto"/>
              <w:bottom w:val="single" w:sz="8" w:space="0" w:color="auto"/>
              <w:right w:val="single" w:sz="8" w:space="0" w:color="auto"/>
            </w:tcBorders>
          </w:tcPr>
          <w:p w14:paraId="2D83FB23" w14:textId="77777777" w:rsidR="0088150F" w:rsidRDefault="0088150F" w:rsidP="008E3015"/>
        </w:tc>
      </w:tr>
      <w:tr w:rsidR="0088150F" w14:paraId="060FB169" w14:textId="77777777" w:rsidTr="008E3015">
        <w:trPr>
          <w:trHeight w:val="300"/>
        </w:trPr>
        <w:tc>
          <w:tcPr>
            <w:tcW w:w="2805" w:type="dxa"/>
            <w:tcBorders>
              <w:top w:val="single" w:sz="8" w:space="0" w:color="auto"/>
              <w:left w:val="single" w:sz="8" w:space="0" w:color="auto"/>
              <w:bottom w:val="single" w:sz="8" w:space="0" w:color="auto"/>
              <w:right w:val="single" w:sz="8" w:space="0" w:color="auto"/>
            </w:tcBorders>
          </w:tcPr>
          <w:p w14:paraId="10BB5534" w14:textId="77777777" w:rsidR="0088150F" w:rsidRDefault="0088150F" w:rsidP="008E3015">
            <w:pPr>
              <w:jc w:val="right"/>
              <w:rPr>
                <w:szCs w:val="24"/>
              </w:rPr>
            </w:pPr>
            <w:r w:rsidRPr="24A4069D">
              <w:rPr>
                <w:szCs w:val="24"/>
              </w:rPr>
              <w:t>Central Asia</w:t>
            </w:r>
          </w:p>
        </w:tc>
        <w:tc>
          <w:tcPr>
            <w:tcW w:w="2025" w:type="dxa"/>
            <w:tcBorders>
              <w:top w:val="single" w:sz="8" w:space="0" w:color="auto"/>
              <w:left w:val="single" w:sz="8" w:space="0" w:color="auto"/>
              <w:bottom w:val="single" w:sz="8" w:space="0" w:color="auto"/>
              <w:right w:val="single" w:sz="8" w:space="0" w:color="auto"/>
            </w:tcBorders>
          </w:tcPr>
          <w:p w14:paraId="7DC061B0" w14:textId="77777777" w:rsidR="0088150F" w:rsidRDefault="0088150F" w:rsidP="008E3015">
            <w:pPr>
              <w:jc w:val="both"/>
              <w:rPr>
                <w:szCs w:val="24"/>
              </w:rPr>
            </w:pPr>
            <w:r w:rsidRPr="24A4069D">
              <w:rPr>
                <w:szCs w:val="24"/>
              </w:rPr>
              <w:t>English</w:t>
            </w:r>
          </w:p>
        </w:tc>
        <w:tc>
          <w:tcPr>
            <w:tcW w:w="1245" w:type="dxa"/>
            <w:tcBorders>
              <w:top w:val="single" w:sz="8" w:space="0" w:color="auto"/>
              <w:left w:val="single" w:sz="8" w:space="0" w:color="auto"/>
              <w:bottom w:val="single" w:sz="8" w:space="0" w:color="auto"/>
              <w:right w:val="single" w:sz="8" w:space="0" w:color="auto"/>
            </w:tcBorders>
          </w:tcPr>
          <w:p w14:paraId="587086CF" w14:textId="77777777" w:rsidR="0088150F" w:rsidRDefault="0088150F" w:rsidP="008E3015"/>
        </w:tc>
        <w:tc>
          <w:tcPr>
            <w:tcW w:w="1170" w:type="dxa"/>
            <w:tcBorders>
              <w:top w:val="single" w:sz="8" w:space="0" w:color="auto"/>
              <w:left w:val="single" w:sz="8" w:space="0" w:color="auto"/>
              <w:bottom w:val="single" w:sz="8" w:space="0" w:color="auto"/>
              <w:right w:val="single" w:sz="8" w:space="0" w:color="auto"/>
            </w:tcBorders>
          </w:tcPr>
          <w:p w14:paraId="6FF0A65D" w14:textId="77777777" w:rsidR="0088150F" w:rsidRDefault="0088150F" w:rsidP="008E3015"/>
        </w:tc>
        <w:tc>
          <w:tcPr>
            <w:tcW w:w="1290" w:type="dxa"/>
            <w:tcBorders>
              <w:top w:val="single" w:sz="8" w:space="0" w:color="auto"/>
              <w:left w:val="single" w:sz="8" w:space="0" w:color="auto"/>
              <w:bottom w:val="single" w:sz="8" w:space="0" w:color="auto"/>
              <w:right w:val="single" w:sz="8" w:space="0" w:color="auto"/>
            </w:tcBorders>
          </w:tcPr>
          <w:p w14:paraId="7E2B1E97" w14:textId="77777777" w:rsidR="0088150F" w:rsidRDefault="0088150F" w:rsidP="008E3015">
            <w:pPr>
              <w:jc w:val="center"/>
              <w:rPr>
                <w:szCs w:val="24"/>
              </w:rPr>
            </w:pPr>
            <w:r w:rsidRPr="24A4069D">
              <w:rPr>
                <w:szCs w:val="24"/>
              </w:rPr>
              <w:t>3Q</w:t>
            </w:r>
          </w:p>
        </w:tc>
        <w:tc>
          <w:tcPr>
            <w:tcW w:w="810" w:type="dxa"/>
            <w:tcBorders>
              <w:top w:val="single" w:sz="8" w:space="0" w:color="auto"/>
              <w:left w:val="single" w:sz="8" w:space="0" w:color="auto"/>
              <w:bottom w:val="single" w:sz="8" w:space="0" w:color="auto"/>
              <w:right w:val="single" w:sz="8" w:space="0" w:color="auto"/>
            </w:tcBorders>
          </w:tcPr>
          <w:p w14:paraId="57417AC5" w14:textId="77777777" w:rsidR="0088150F" w:rsidRDefault="0088150F" w:rsidP="008E3015"/>
        </w:tc>
      </w:tr>
      <w:tr w:rsidR="0088150F" w14:paraId="0CF8D304" w14:textId="77777777" w:rsidTr="008E3015">
        <w:trPr>
          <w:trHeight w:val="300"/>
        </w:trPr>
        <w:tc>
          <w:tcPr>
            <w:tcW w:w="2805" w:type="dxa"/>
            <w:tcBorders>
              <w:top w:val="single" w:sz="8" w:space="0" w:color="auto"/>
              <w:left w:val="single" w:sz="8" w:space="0" w:color="auto"/>
              <w:bottom w:val="single" w:sz="8" w:space="0" w:color="auto"/>
              <w:right w:val="single" w:sz="8" w:space="0" w:color="auto"/>
            </w:tcBorders>
          </w:tcPr>
          <w:p w14:paraId="2315B475" w14:textId="77777777" w:rsidR="0088150F" w:rsidRDefault="0088150F" w:rsidP="008E3015">
            <w:pPr>
              <w:jc w:val="right"/>
              <w:rPr>
                <w:szCs w:val="24"/>
              </w:rPr>
            </w:pPr>
            <w:r w:rsidRPr="24A4069D">
              <w:rPr>
                <w:szCs w:val="24"/>
              </w:rPr>
              <w:t>South Asia</w:t>
            </w:r>
          </w:p>
        </w:tc>
        <w:tc>
          <w:tcPr>
            <w:tcW w:w="2025" w:type="dxa"/>
            <w:tcBorders>
              <w:top w:val="single" w:sz="8" w:space="0" w:color="auto"/>
              <w:left w:val="single" w:sz="8" w:space="0" w:color="auto"/>
              <w:bottom w:val="single" w:sz="8" w:space="0" w:color="auto"/>
              <w:right w:val="single" w:sz="8" w:space="0" w:color="auto"/>
            </w:tcBorders>
          </w:tcPr>
          <w:p w14:paraId="12B89F88" w14:textId="77777777" w:rsidR="0088150F" w:rsidRDefault="0088150F" w:rsidP="008E3015">
            <w:pPr>
              <w:jc w:val="both"/>
              <w:rPr>
                <w:szCs w:val="24"/>
              </w:rPr>
            </w:pPr>
            <w:r w:rsidRPr="24A4069D">
              <w:rPr>
                <w:szCs w:val="24"/>
              </w:rPr>
              <w:t>English</w:t>
            </w:r>
          </w:p>
        </w:tc>
        <w:tc>
          <w:tcPr>
            <w:tcW w:w="1245" w:type="dxa"/>
            <w:tcBorders>
              <w:top w:val="single" w:sz="8" w:space="0" w:color="auto"/>
              <w:left w:val="single" w:sz="8" w:space="0" w:color="auto"/>
              <w:bottom w:val="single" w:sz="8" w:space="0" w:color="auto"/>
              <w:right w:val="single" w:sz="8" w:space="0" w:color="auto"/>
            </w:tcBorders>
          </w:tcPr>
          <w:p w14:paraId="4FCCF2A1" w14:textId="77777777" w:rsidR="0088150F" w:rsidRDefault="0088150F" w:rsidP="008E3015">
            <w:pPr>
              <w:jc w:val="center"/>
              <w:rPr>
                <w:szCs w:val="24"/>
              </w:rPr>
            </w:pPr>
            <w:r w:rsidRPr="24A4069D">
              <w:rPr>
                <w:szCs w:val="24"/>
              </w:rPr>
              <w:t>October</w:t>
            </w:r>
          </w:p>
        </w:tc>
        <w:tc>
          <w:tcPr>
            <w:tcW w:w="1170" w:type="dxa"/>
            <w:tcBorders>
              <w:top w:val="single" w:sz="8" w:space="0" w:color="auto"/>
              <w:left w:val="single" w:sz="8" w:space="0" w:color="auto"/>
              <w:bottom w:val="single" w:sz="8" w:space="0" w:color="auto"/>
              <w:right w:val="single" w:sz="8" w:space="0" w:color="auto"/>
            </w:tcBorders>
          </w:tcPr>
          <w:p w14:paraId="0484FC9C" w14:textId="77777777" w:rsidR="0088150F" w:rsidRDefault="0088150F" w:rsidP="008E3015"/>
        </w:tc>
        <w:tc>
          <w:tcPr>
            <w:tcW w:w="1290" w:type="dxa"/>
            <w:tcBorders>
              <w:top w:val="single" w:sz="8" w:space="0" w:color="auto"/>
              <w:left w:val="single" w:sz="8" w:space="0" w:color="auto"/>
              <w:bottom w:val="single" w:sz="8" w:space="0" w:color="auto"/>
              <w:right w:val="single" w:sz="8" w:space="0" w:color="auto"/>
            </w:tcBorders>
          </w:tcPr>
          <w:p w14:paraId="7CDB9248" w14:textId="77777777" w:rsidR="0088150F" w:rsidRDefault="0088150F" w:rsidP="008E3015"/>
        </w:tc>
        <w:tc>
          <w:tcPr>
            <w:tcW w:w="810" w:type="dxa"/>
            <w:tcBorders>
              <w:top w:val="single" w:sz="8" w:space="0" w:color="auto"/>
              <w:left w:val="single" w:sz="8" w:space="0" w:color="auto"/>
              <w:bottom w:val="single" w:sz="8" w:space="0" w:color="auto"/>
              <w:right w:val="single" w:sz="8" w:space="0" w:color="auto"/>
            </w:tcBorders>
          </w:tcPr>
          <w:p w14:paraId="0E87DB68" w14:textId="77777777" w:rsidR="0088150F" w:rsidRDefault="0088150F" w:rsidP="008E3015"/>
        </w:tc>
      </w:tr>
      <w:tr w:rsidR="0088150F" w14:paraId="50136A18" w14:textId="77777777" w:rsidTr="008E3015">
        <w:trPr>
          <w:trHeight w:val="300"/>
        </w:trPr>
        <w:tc>
          <w:tcPr>
            <w:tcW w:w="2805" w:type="dxa"/>
            <w:tcBorders>
              <w:top w:val="single" w:sz="8" w:space="0" w:color="auto"/>
              <w:left w:val="single" w:sz="8" w:space="0" w:color="auto"/>
              <w:bottom w:val="single" w:sz="8" w:space="0" w:color="auto"/>
              <w:right w:val="single" w:sz="8" w:space="0" w:color="auto"/>
            </w:tcBorders>
          </w:tcPr>
          <w:p w14:paraId="40C3F6B4" w14:textId="77777777" w:rsidR="0088150F" w:rsidRDefault="0088150F" w:rsidP="008E3015">
            <w:pPr>
              <w:jc w:val="center"/>
              <w:rPr>
                <w:b/>
                <w:bCs/>
                <w:szCs w:val="24"/>
              </w:rPr>
            </w:pPr>
            <w:r w:rsidRPr="24A4069D">
              <w:rPr>
                <w:b/>
                <w:bCs/>
                <w:szCs w:val="24"/>
              </w:rPr>
              <w:t>Arab States (1)</w:t>
            </w:r>
          </w:p>
        </w:tc>
        <w:tc>
          <w:tcPr>
            <w:tcW w:w="2025" w:type="dxa"/>
            <w:tcBorders>
              <w:top w:val="single" w:sz="8" w:space="0" w:color="auto"/>
              <w:left w:val="single" w:sz="8" w:space="0" w:color="auto"/>
              <w:bottom w:val="single" w:sz="8" w:space="0" w:color="auto"/>
              <w:right w:val="single" w:sz="8" w:space="0" w:color="auto"/>
            </w:tcBorders>
          </w:tcPr>
          <w:p w14:paraId="38DC1E59" w14:textId="77777777" w:rsidR="0088150F" w:rsidRDefault="0088150F" w:rsidP="008E3015">
            <w:pPr>
              <w:jc w:val="both"/>
              <w:rPr>
                <w:szCs w:val="24"/>
              </w:rPr>
            </w:pPr>
            <w:r w:rsidRPr="24A4069D">
              <w:rPr>
                <w:szCs w:val="24"/>
              </w:rPr>
              <w:t>Arab/English</w:t>
            </w:r>
          </w:p>
        </w:tc>
        <w:tc>
          <w:tcPr>
            <w:tcW w:w="1245" w:type="dxa"/>
            <w:tcBorders>
              <w:top w:val="single" w:sz="8" w:space="0" w:color="auto"/>
              <w:left w:val="single" w:sz="8" w:space="0" w:color="auto"/>
              <w:bottom w:val="single" w:sz="8" w:space="0" w:color="auto"/>
              <w:right w:val="single" w:sz="8" w:space="0" w:color="auto"/>
            </w:tcBorders>
          </w:tcPr>
          <w:p w14:paraId="6F8516B1" w14:textId="77777777" w:rsidR="0088150F" w:rsidRDefault="0088150F" w:rsidP="008E3015"/>
        </w:tc>
        <w:tc>
          <w:tcPr>
            <w:tcW w:w="1170" w:type="dxa"/>
            <w:tcBorders>
              <w:top w:val="single" w:sz="8" w:space="0" w:color="auto"/>
              <w:left w:val="single" w:sz="8" w:space="0" w:color="auto"/>
              <w:bottom w:val="single" w:sz="8" w:space="0" w:color="auto"/>
              <w:right w:val="single" w:sz="8" w:space="0" w:color="auto"/>
            </w:tcBorders>
          </w:tcPr>
          <w:p w14:paraId="5FC486C0" w14:textId="77777777" w:rsidR="0088150F" w:rsidRDefault="0088150F" w:rsidP="008E3015">
            <w:pPr>
              <w:jc w:val="center"/>
              <w:rPr>
                <w:szCs w:val="24"/>
              </w:rPr>
            </w:pPr>
            <w:r w:rsidRPr="24A4069D">
              <w:rPr>
                <w:szCs w:val="24"/>
              </w:rPr>
              <w:t>4Q</w:t>
            </w:r>
          </w:p>
        </w:tc>
        <w:tc>
          <w:tcPr>
            <w:tcW w:w="1290" w:type="dxa"/>
            <w:tcBorders>
              <w:top w:val="single" w:sz="8" w:space="0" w:color="auto"/>
              <w:left w:val="single" w:sz="8" w:space="0" w:color="auto"/>
              <w:bottom w:val="single" w:sz="8" w:space="0" w:color="auto"/>
              <w:right w:val="single" w:sz="8" w:space="0" w:color="auto"/>
            </w:tcBorders>
          </w:tcPr>
          <w:p w14:paraId="117256BC" w14:textId="77777777" w:rsidR="0088150F" w:rsidRDefault="0088150F" w:rsidP="008E3015"/>
        </w:tc>
        <w:tc>
          <w:tcPr>
            <w:tcW w:w="810" w:type="dxa"/>
            <w:tcBorders>
              <w:top w:val="single" w:sz="8" w:space="0" w:color="auto"/>
              <w:left w:val="single" w:sz="8" w:space="0" w:color="auto"/>
              <w:bottom w:val="single" w:sz="8" w:space="0" w:color="auto"/>
              <w:right w:val="single" w:sz="8" w:space="0" w:color="auto"/>
            </w:tcBorders>
          </w:tcPr>
          <w:p w14:paraId="6A761BBF" w14:textId="77777777" w:rsidR="0088150F" w:rsidRDefault="0088150F" w:rsidP="008E3015"/>
        </w:tc>
      </w:tr>
      <w:tr w:rsidR="0088150F" w14:paraId="4D7C5168" w14:textId="77777777" w:rsidTr="008E3015">
        <w:trPr>
          <w:trHeight w:val="300"/>
        </w:trPr>
        <w:tc>
          <w:tcPr>
            <w:tcW w:w="2805" w:type="dxa"/>
            <w:tcBorders>
              <w:top w:val="single" w:sz="8" w:space="0" w:color="auto"/>
              <w:left w:val="single" w:sz="8" w:space="0" w:color="auto"/>
              <w:bottom w:val="single" w:sz="8" w:space="0" w:color="auto"/>
              <w:right w:val="single" w:sz="8" w:space="0" w:color="auto"/>
            </w:tcBorders>
          </w:tcPr>
          <w:p w14:paraId="13D9F04A" w14:textId="77777777" w:rsidR="0088150F" w:rsidRDefault="0088150F" w:rsidP="008E3015">
            <w:pPr>
              <w:jc w:val="center"/>
              <w:rPr>
                <w:b/>
                <w:bCs/>
                <w:szCs w:val="24"/>
              </w:rPr>
            </w:pPr>
            <w:r w:rsidRPr="24A4069D">
              <w:rPr>
                <w:b/>
                <w:bCs/>
                <w:szCs w:val="24"/>
              </w:rPr>
              <w:t>CIS (1)</w:t>
            </w:r>
          </w:p>
        </w:tc>
        <w:tc>
          <w:tcPr>
            <w:tcW w:w="2025" w:type="dxa"/>
            <w:tcBorders>
              <w:top w:val="single" w:sz="8" w:space="0" w:color="auto"/>
              <w:left w:val="single" w:sz="8" w:space="0" w:color="auto"/>
              <w:bottom w:val="single" w:sz="8" w:space="0" w:color="auto"/>
              <w:right w:val="single" w:sz="8" w:space="0" w:color="auto"/>
            </w:tcBorders>
          </w:tcPr>
          <w:p w14:paraId="2AE40AFF" w14:textId="77777777" w:rsidR="0088150F" w:rsidRDefault="0088150F" w:rsidP="008E3015">
            <w:pPr>
              <w:jc w:val="both"/>
              <w:rPr>
                <w:szCs w:val="24"/>
              </w:rPr>
            </w:pPr>
            <w:r w:rsidRPr="24A4069D">
              <w:rPr>
                <w:szCs w:val="24"/>
              </w:rPr>
              <w:t>Russian</w:t>
            </w:r>
          </w:p>
        </w:tc>
        <w:tc>
          <w:tcPr>
            <w:tcW w:w="1245" w:type="dxa"/>
            <w:tcBorders>
              <w:top w:val="single" w:sz="8" w:space="0" w:color="auto"/>
              <w:left w:val="single" w:sz="8" w:space="0" w:color="auto"/>
              <w:bottom w:val="single" w:sz="8" w:space="0" w:color="auto"/>
              <w:right w:val="single" w:sz="8" w:space="0" w:color="auto"/>
            </w:tcBorders>
          </w:tcPr>
          <w:p w14:paraId="09869063" w14:textId="77777777" w:rsidR="0088150F" w:rsidRDefault="0088150F" w:rsidP="008E3015"/>
        </w:tc>
        <w:tc>
          <w:tcPr>
            <w:tcW w:w="1170" w:type="dxa"/>
            <w:tcBorders>
              <w:top w:val="single" w:sz="8" w:space="0" w:color="auto"/>
              <w:left w:val="single" w:sz="8" w:space="0" w:color="auto"/>
              <w:bottom w:val="single" w:sz="8" w:space="0" w:color="auto"/>
              <w:right w:val="single" w:sz="8" w:space="0" w:color="auto"/>
            </w:tcBorders>
          </w:tcPr>
          <w:p w14:paraId="0A5DDED7" w14:textId="77777777" w:rsidR="0088150F" w:rsidRDefault="0088150F" w:rsidP="008E3015"/>
        </w:tc>
        <w:tc>
          <w:tcPr>
            <w:tcW w:w="1290" w:type="dxa"/>
            <w:tcBorders>
              <w:top w:val="single" w:sz="8" w:space="0" w:color="auto"/>
              <w:left w:val="single" w:sz="8" w:space="0" w:color="auto"/>
              <w:bottom w:val="single" w:sz="8" w:space="0" w:color="auto"/>
              <w:right w:val="single" w:sz="8" w:space="0" w:color="auto"/>
            </w:tcBorders>
          </w:tcPr>
          <w:p w14:paraId="4E3A8C69" w14:textId="77777777" w:rsidR="0088150F" w:rsidRDefault="0088150F" w:rsidP="008E3015">
            <w:pPr>
              <w:jc w:val="center"/>
              <w:rPr>
                <w:szCs w:val="24"/>
              </w:rPr>
            </w:pPr>
            <w:r w:rsidRPr="24A4069D">
              <w:rPr>
                <w:szCs w:val="24"/>
              </w:rPr>
              <w:t>1Q</w:t>
            </w:r>
          </w:p>
        </w:tc>
        <w:tc>
          <w:tcPr>
            <w:tcW w:w="810" w:type="dxa"/>
            <w:tcBorders>
              <w:top w:val="single" w:sz="8" w:space="0" w:color="auto"/>
              <w:left w:val="single" w:sz="8" w:space="0" w:color="auto"/>
              <w:bottom w:val="single" w:sz="8" w:space="0" w:color="auto"/>
              <w:right w:val="single" w:sz="8" w:space="0" w:color="auto"/>
            </w:tcBorders>
          </w:tcPr>
          <w:p w14:paraId="37297BBA" w14:textId="77777777" w:rsidR="0088150F" w:rsidRDefault="0088150F" w:rsidP="008E3015"/>
        </w:tc>
      </w:tr>
      <w:tr w:rsidR="0088150F" w14:paraId="1B10C5A1" w14:textId="77777777" w:rsidTr="008E3015">
        <w:trPr>
          <w:trHeight w:val="300"/>
        </w:trPr>
        <w:tc>
          <w:tcPr>
            <w:tcW w:w="2805" w:type="dxa"/>
            <w:tcBorders>
              <w:top w:val="single" w:sz="8" w:space="0" w:color="auto"/>
              <w:left w:val="single" w:sz="8" w:space="0" w:color="auto"/>
              <w:bottom w:val="single" w:sz="8" w:space="0" w:color="auto"/>
              <w:right w:val="single" w:sz="8" w:space="0" w:color="auto"/>
            </w:tcBorders>
          </w:tcPr>
          <w:p w14:paraId="354BDD85" w14:textId="77777777" w:rsidR="0088150F" w:rsidRDefault="0088150F" w:rsidP="008E3015">
            <w:pPr>
              <w:jc w:val="center"/>
              <w:rPr>
                <w:b/>
                <w:bCs/>
                <w:szCs w:val="24"/>
              </w:rPr>
            </w:pPr>
            <w:r w:rsidRPr="24A4069D">
              <w:rPr>
                <w:b/>
                <w:bCs/>
                <w:szCs w:val="24"/>
              </w:rPr>
              <w:t>Eastern Europe (1)</w:t>
            </w:r>
          </w:p>
        </w:tc>
        <w:tc>
          <w:tcPr>
            <w:tcW w:w="2025" w:type="dxa"/>
            <w:tcBorders>
              <w:top w:val="single" w:sz="8" w:space="0" w:color="auto"/>
              <w:left w:val="single" w:sz="8" w:space="0" w:color="auto"/>
              <w:bottom w:val="single" w:sz="8" w:space="0" w:color="auto"/>
              <w:right w:val="single" w:sz="8" w:space="0" w:color="auto"/>
            </w:tcBorders>
          </w:tcPr>
          <w:p w14:paraId="3A7E0FE2" w14:textId="77777777" w:rsidR="0088150F" w:rsidRDefault="0088150F" w:rsidP="008E3015">
            <w:pPr>
              <w:jc w:val="both"/>
              <w:rPr>
                <w:szCs w:val="24"/>
              </w:rPr>
            </w:pPr>
            <w:r w:rsidRPr="24A4069D">
              <w:rPr>
                <w:szCs w:val="24"/>
              </w:rPr>
              <w:t>English/Russian</w:t>
            </w:r>
          </w:p>
        </w:tc>
        <w:tc>
          <w:tcPr>
            <w:tcW w:w="1245" w:type="dxa"/>
            <w:tcBorders>
              <w:top w:val="single" w:sz="8" w:space="0" w:color="auto"/>
              <w:left w:val="single" w:sz="8" w:space="0" w:color="auto"/>
              <w:bottom w:val="single" w:sz="8" w:space="0" w:color="auto"/>
              <w:right w:val="single" w:sz="8" w:space="0" w:color="auto"/>
            </w:tcBorders>
          </w:tcPr>
          <w:p w14:paraId="11341F68" w14:textId="77777777" w:rsidR="0088150F" w:rsidRDefault="0088150F" w:rsidP="008E3015"/>
        </w:tc>
        <w:tc>
          <w:tcPr>
            <w:tcW w:w="1170" w:type="dxa"/>
            <w:tcBorders>
              <w:top w:val="single" w:sz="8" w:space="0" w:color="auto"/>
              <w:left w:val="single" w:sz="8" w:space="0" w:color="auto"/>
              <w:bottom w:val="single" w:sz="8" w:space="0" w:color="auto"/>
              <w:right w:val="single" w:sz="8" w:space="0" w:color="auto"/>
            </w:tcBorders>
          </w:tcPr>
          <w:p w14:paraId="17A58524" w14:textId="77777777" w:rsidR="0088150F" w:rsidRDefault="0088150F" w:rsidP="008E3015"/>
        </w:tc>
        <w:tc>
          <w:tcPr>
            <w:tcW w:w="1290" w:type="dxa"/>
            <w:tcBorders>
              <w:top w:val="single" w:sz="8" w:space="0" w:color="auto"/>
              <w:left w:val="single" w:sz="8" w:space="0" w:color="auto"/>
              <w:bottom w:val="single" w:sz="8" w:space="0" w:color="auto"/>
              <w:right w:val="single" w:sz="8" w:space="0" w:color="auto"/>
            </w:tcBorders>
          </w:tcPr>
          <w:p w14:paraId="43F17DEF" w14:textId="77777777" w:rsidR="0088150F" w:rsidRDefault="0088150F" w:rsidP="008E3015"/>
        </w:tc>
        <w:tc>
          <w:tcPr>
            <w:tcW w:w="810" w:type="dxa"/>
            <w:tcBorders>
              <w:top w:val="single" w:sz="8" w:space="0" w:color="auto"/>
              <w:left w:val="single" w:sz="8" w:space="0" w:color="auto"/>
              <w:bottom w:val="single" w:sz="8" w:space="0" w:color="auto"/>
              <w:right w:val="single" w:sz="8" w:space="0" w:color="auto"/>
            </w:tcBorders>
          </w:tcPr>
          <w:p w14:paraId="22791B15" w14:textId="77777777" w:rsidR="0088150F" w:rsidRDefault="0088150F" w:rsidP="008E3015">
            <w:pPr>
              <w:jc w:val="center"/>
              <w:rPr>
                <w:szCs w:val="24"/>
              </w:rPr>
            </w:pPr>
            <w:r w:rsidRPr="24A4069D">
              <w:rPr>
                <w:szCs w:val="24"/>
              </w:rPr>
              <w:t>2Q</w:t>
            </w:r>
          </w:p>
        </w:tc>
      </w:tr>
      <w:tr w:rsidR="0088150F" w14:paraId="236F47B2" w14:textId="77777777" w:rsidTr="008E3015">
        <w:trPr>
          <w:trHeight w:val="450"/>
        </w:trPr>
        <w:tc>
          <w:tcPr>
            <w:tcW w:w="2805" w:type="dxa"/>
            <w:tcBorders>
              <w:top w:val="single" w:sz="8" w:space="0" w:color="auto"/>
              <w:left w:val="single" w:sz="8" w:space="0" w:color="auto"/>
              <w:bottom w:val="single" w:sz="8" w:space="0" w:color="auto"/>
              <w:right w:val="single" w:sz="8" w:space="0" w:color="auto"/>
            </w:tcBorders>
          </w:tcPr>
          <w:p w14:paraId="6D7A7286" w14:textId="77777777" w:rsidR="0088150F" w:rsidRDefault="0088150F" w:rsidP="008E3015">
            <w:pPr>
              <w:jc w:val="center"/>
              <w:rPr>
                <w:b/>
                <w:bCs/>
                <w:szCs w:val="24"/>
              </w:rPr>
            </w:pPr>
            <w:r w:rsidRPr="24A4069D">
              <w:rPr>
                <w:b/>
                <w:bCs/>
                <w:szCs w:val="24"/>
              </w:rPr>
              <w:t>WRS (2)</w:t>
            </w:r>
          </w:p>
        </w:tc>
        <w:tc>
          <w:tcPr>
            <w:tcW w:w="2025" w:type="dxa"/>
            <w:tcBorders>
              <w:top w:val="single" w:sz="8" w:space="0" w:color="auto"/>
              <w:left w:val="single" w:sz="8" w:space="0" w:color="auto"/>
              <w:bottom w:val="single" w:sz="8" w:space="0" w:color="auto"/>
              <w:right w:val="single" w:sz="8" w:space="0" w:color="auto"/>
            </w:tcBorders>
          </w:tcPr>
          <w:p w14:paraId="0D8871FF" w14:textId="77777777" w:rsidR="0088150F" w:rsidRDefault="0088150F" w:rsidP="008E3015">
            <w:pPr>
              <w:jc w:val="both"/>
              <w:rPr>
                <w:szCs w:val="24"/>
              </w:rPr>
            </w:pPr>
            <w:r w:rsidRPr="24A4069D">
              <w:rPr>
                <w:szCs w:val="24"/>
              </w:rPr>
              <w:t>all UN languages</w:t>
            </w:r>
          </w:p>
        </w:tc>
        <w:tc>
          <w:tcPr>
            <w:tcW w:w="1245" w:type="dxa"/>
            <w:tcBorders>
              <w:top w:val="single" w:sz="8" w:space="0" w:color="auto"/>
              <w:left w:val="single" w:sz="8" w:space="0" w:color="auto"/>
              <w:bottom w:val="single" w:sz="8" w:space="0" w:color="auto"/>
              <w:right w:val="single" w:sz="8" w:space="0" w:color="auto"/>
            </w:tcBorders>
          </w:tcPr>
          <w:p w14:paraId="468A0C18" w14:textId="77777777" w:rsidR="0088150F" w:rsidRDefault="0088150F" w:rsidP="008E3015">
            <w:pPr>
              <w:jc w:val="center"/>
              <w:rPr>
                <w:szCs w:val="24"/>
              </w:rPr>
            </w:pPr>
            <w:r w:rsidRPr="24A4069D">
              <w:rPr>
                <w:szCs w:val="24"/>
              </w:rPr>
              <w:t>December</w:t>
            </w:r>
          </w:p>
        </w:tc>
        <w:tc>
          <w:tcPr>
            <w:tcW w:w="1170" w:type="dxa"/>
            <w:tcBorders>
              <w:top w:val="single" w:sz="8" w:space="0" w:color="auto"/>
              <w:left w:val="single" w:sz="8" w:space="0" w:color="auto"/>
              <w:bottom w:val="single" w:sz="8" w:space="0" w:color="auto"/>
              <w:right w:val="single" w:sz="8" w:space="0" w:color="auto"/>
            </w:tcBorders>
          </w:tcPr>
          <w:p w14:paraId="38FEC0FF" w14:textId="77777777" w:rsidR="0088150F" w:rsidRDefault="0088150F" w:rsidP="008E3015"/>
        </w:tc>
        <w:tc>
          <w:tcPr>
            <w:tcW w:w="1290" w:type="dxa"/>
            <w:tcBorders>
              <w:top w:val="single" w:sz="8" w:space="0" w:color="auto"/>
              <w:left w:val="single" w:sz="8" w:space="0" w:color="auto"/>
              <w:bottom w:val="single" w:sz="8" w:space="0" w:color="auto"/>
              <w:right w:val="single" w:sz="8" w:space="0" w:color="auto"/>
            </w:tcBorders>
          </w:tcPr>
          <w:p w14:paraId="203ECD08" w14:textId="77777777" w:rsidR="0088150F" w:rsidRDefault="0088150F" w:rsidP="008E3015">
            <w:pPr>
              <w:jc w:val="center"/>
              <w:rPr>
                <w:szCs w:val="24"/>
              </w:rPr>
            </w:pPr>
            <w:r w:rsidRPr="24A4069D">
              <w:rPr>
                <w:szCs w:val="24"/>
              </w:rPr>
              <w:t>December</w:t>
            </w:r>
          </w:p>
        </w:tc>
        <w:tc>
          <w:tcPr>
            <w:tcW w:w="810" w:type="dxa"/>
            <w:tcBorders>
              <w:top w:val="single" w:sz="8" w:space="0" w:color="auto"/>
              <w:left w:val="single" w:sz="8" w:space="0" w:color="auto"/>
              <w:bottom w:val="single" w:sz="8" w:space="0" w:color="auto"/>
              <w:right w:val="single" w:sz="8" w:space="0" w:color="auto"/>
            </w:tcBorders>
          </w:tcPr>
          <w:p w14:paraId="244C6FF1" w14:textId="77777777" w:rsidR="0088150F" w:rsidRDefault="0088150F" w:rsidP="008E3015"/>
        </w:tc>
      </w:tr>
    </w:tbl>
    <w:p w14:paraId="7F1E34A7" w14:textId="028A2D4C" w:rsidR="0088150F" w:rsidRDefault="0088150F" w:rsidP="0088150F">
      <w:pPr>
        <w:spacing w:line="257" w:lineRule="auto"/>
        <w:jc w:val="both"/>
        <w:rPr>
          <w:szCs w:val="24"/>
        </w:rPr>
      </w:pPr>
    </w:p>
    <w:p w14:paraId="44D6E553" w14:textId="77777777" w:rsidR="0088150F" w:rsidRDefault="0088150F" w:rsidP="0088150F">
      <w:pPr>
        <w:spacing w:line="257" w:lineRule="auto"/>
        <w:jc w:val="both"/>
        <w:rPr>
          <w:szCs w:val="24"/>
        </w:rPr>
      </w:pPr>
      <w:r w:rsidRPr="24A4069D">
        <w:rPr>
          <w:szCs w:val="24"/>
        </w:rPr>
        <w:t>As in prior cycles, to optimize the necessary resources, this planning has the following principles:</w:t>
      </w:r>
    </w:p>
    <w:p w14:paraId="03288855" w14:textId="77777777" w:rsidR="0088150F" w:rsidRDefault="0088150F" w:rsidP="000A3EAD">
      <w:pPr>
        <w:pStyle w:val="ListParagraph"/>
        <w:numPr>
          <w:ilvl w:val="0"/>
          <w:numId w:val="9"/>
        </w:numPr>
        <w:spacing w:before="120" w:after="0" w:line="257" w:lineRule="auto"/>
        <w:ind w:left="714" w:hanging="357"/>
        <w:contextualSpacing w:val="0"/>
        <w:jc w:val="both"/>
        <w:rPr>
          <w:szCs w:val="24"/>
        </w:rPr>
      </w:pPr>
      <w:r w:rsidRPr="24A4069D">
        <w:rPr>
          <w:rFonts w:eastAsia="Times New Roman" w:cs="Times New Roman"/>
          <w:szCs w:val="24"/>
          <w:lang w:val="en-GB"/>
        </w:rPr>
        <w:t>1</w:t>
      </w:r>
      <w:r w:rsidRPr="24A4069D">
        <w:rPr>
          <w:rFonts w:eastAsia="Times New Roman" w:cs="Times New Roman"/>
          <w:szCs w:val="24"/>
          <w:vertAlign w:val="superscript"/>
          <w:lang w:val="en-GB"/>
        </w:rPr>
        <w:t>st</w:t>
      </w:r>
      <w:r w:rsidRPr="24A4069D">
        <w:rPr>
          <w:rFonts w:eastAsia="Times New Roman" w:cs="Times New Roman"/>
          <w:szCs w:val="24"/>
          <w:lang w:val="en-GB"/>
        </w:rPr>
        <w:t xml:space="preserve"> semester 2020: no RRS/WRS, updating RR and associated software tools;</w:t>
      </w:r>
    </w:p>
    <w:p w14:paraId="4502DCED" w14:textId="77777777" w:rsidR="0088150F" w:rsidRDefault="0088150F" w:rsidP="000A3EAD">
      <w:pPr>
        <w:pStyle w:val="ListParagraph"/>
        <w:numPr>
          <w:ilvl w:val="0"/>
          <w:numId w:val="9"/>
        </w:numPr>
        <w:spacing w:before="120" w:after="0" w:line="257" w:lineRule="auto"/>
        <w:ind w:left="714" w:hanging="357"/>
        <w:contextualSpacing w:val="0"/>
        <w:jc w:val="both"/>
        <w:rPr>
          <w:szCs w:val="24"/>
        </w:rPr>
      </w:pPr>
      <w:r w:rsidRPr="24A4069D">
        <w:rPr>
          <w:rFonts w:eastAsia="Times New Roman" w:cs="Times New Roman"/>
          <w:szCs w:val="24"/>
          <w:lang w:val="en-GB"/>
        </w:rPr>
        <w:t>2</w:t>
      </w:r>
      <w:r w:rsidRPr="24A4069D">
        <w:rPr>
          <w:rFonts w:eastAsia="Times New Roman" w:cs="Times New Roman"/>
          <w:szCs w:val="24"/>
          <w:vertAlign w:val="superscript"/>
          <w:lang w:val="en-GB"/>
        </w:rPr>
        <w:t>nd</w:t>
      </w:r>
      <w:r w:rsidRPr="24A4069D">
        <w:rPr>
          <w:rFonts w:eastAsia="Times New Roman" w:cs="Times New Roman"/>
          <w:szCs w:val="24"/>
          <w:lang w:val="en-GB"/>
        </w:rPr>
        <w:t xml:space="preserve"> semester 2023: no RRS/WRS: preparation of upcoming WRC-23;</w:t>
      </w:r>
    </w:p>
    <w:p w14:paraId="19E244D9" w14:textId="27D3B182" w:rsidR="0088150F" w:rsidRDefault="0088150F" w:rsidP="000A3EAD">
      <w:pPr>
        <w:pStyle w:val="ListParagraph"/>
        <w:numPr>
          <w:ilvl w:val="0"/>
          <w:numId w:val="9"/>
        </w:numPr>
        <w:spacing w:before="120" w:after="0" w:line="257" w:lineRule="auto"/>
        <w:ind w:left="714" w:hanging="357"/>
        <w:contextualSpacing w:val="0"/>
        <w:jc w:val="both"/>
        <w:rPr>
          <w:szCs w:val="24"/>
        </w:rPr>
      </w:pPr>
      <w:r w:rsidRPr="24A4069D">
        <w:rPr>
          <w:rFonts w:eastAsia="Times New Roman" w:cs="Times New Roman"/>
          <w:szCs w:val="24"/>
          <w:lang w:val="en-GB"/>
        </w:rPr>
        <w:t>Two WRS per cycle (every 2 years): WRS-20 and WRS-22</w:t>
      </w:r>
      <w:r w:rsidR="00981505">
        <w:rPr>
          <w:rFonts w:eastAsia="Times New Roman" w:cs="Times New Roman"/>
          <w:szCs w:val="24"/>
          <w:lang w:val="en-GB"/>
        </w:rPr>
        <w:t>;</w:t>
      </w:r>
    </w:p>
    <w:p w14:paraId="1877EDA9" w14:textId="7F4D8A76" w:rsidR="0088150F" w:rsidRDefault="0088150F" w:rsidP="000A3EAD">
      <w:pPr>
        <w:pStyle w:val="ListParagraph"/>
        <w:numPr>
          <w:ilvl w:val="0"/>
          <w:numId w:val="9"/>
        </w:numPr>
        <w:spacing w:before="120" w:after="0" w:line="257" w:lineRule="auto"/>
        <w:ind w:left="714" w:hanging="357"/>
        <w:contextualSpacing w:val="0"/>
        <w:jc w:val="both"/>
        <w:rPr>
          <w:szCs w:val="24"/>
        </w:rPr>
      </w:pPr>
      <w:r w:rsidRPr="24A4069D">
        <w:rPr>
          <w:rFonts w:eastAsia="Times New Roman" w:cs="Times New Roman"/>
          <w:szCs w:val="24"/>
          <w:lang w:val="en-GB"/>
        </w:rPr>
        <w:t>The first WRS after a WRC will have a specific session devoted to explaining in detail, the modifications on the RRs introduced by the WRC</w:t>
      </w:r>
      <w:r w:rsidR="00981505">
        <w:rPr>
          <w:rFonts w:eastAsia="Times New Roman" w:cs="Times New Roman"/>
          <w:szCs w:val="24"/>
          <w:lang w:val="en-GB"/>
        </w:rPr>
        <w:t>;</w:t>
      </w:r>
    </w:p>
    <w:p w14:paraId="4BE5220B" w14:textId="2E22A7C0" w:rsidR="0088150F" w:rsidRDefault="0088150F" w:rsidP="000A3EAD">
      <w:pPr>
        <w:pStyle w:val="ListParagraph"/>
        <w:numPr>
          <w:ilvl w:val="0"/>
          <w:numId w:val="9"/>
        </w:numPr>
        <w:spacing w:before="120" w:after="0" w:line="257" w:lineRule="auto"/>
        <w:ind w:left="714" w:hanging="357"/>
        <w:contextualSpacing w:val="0"/>
        <w:jc w:val="both"/>
        <w:rPr>
          <w:szCs w:val="24"/>
        </w:rPr>
      </w:pPr>
      <w:r w:rsidRPr="24A4069D">
        <w:rPr>
          <w:rFonts w:eastAsia="Times New Roman" w:cs="Times New Roman"/>
          <w:szCs w:val="24"/>
          <w:lang w:val="en-GB"/>
        </w:rPr>
        <w:t>The two RRSs for Africa will be scheduled in different years than the WRS, considering that the participation in RRS Africa is nearly twice as large as other RRSs, and allowing for an even distribution of the fellowship budget;</w:t>
      </w:r>
    </w:p>
    <w:p w14:paraId="3057DBEF" w14:textId="5CC5C095" w:rsidR="0088150F" w:rsidRDefault="0088150F" w:rsidP="000A3EAD">
      <w:pPr>
        <w:pStyle w:val="ListParagraph"/>
        <w:numPr>
          <w:ilvl w:val="0"/>
          <w:numId w:val="9"/>
        </w:numPr>
        <w:spacing w:before="120" w:after="0" w:line="257" w:lineRule="auto"/>
        <w:ind w:left="714" w:hanging="357"/>
        <w:contextualSpacing w:val="0"/>
        <w:jc w:val="both"/>
        <w:rPr>
          <w:szCs w:val="24"/>
        </w:rPr>
      </w:pPr>
      <w:r w:rsidRPr="24A4069D">
        <w:rPr>
          <w:rFonts w:eastAsia="Times New Roman" w:cs="Times New Roman"/>
          <w:szCs w:val="24"/>
          <w:lang w:val="en-GB"/>
        </w:rPr>
        <w:t>RRSs will be carried out in the predominant language of the region, which helps reduce interpretation costs and allows for an easier exchange of information during the event;</w:t>
      </w:r>
    </w:p>
    <w:p w14:paraId="359D34CB" w14:textId="297A0DBD" w:rsidR="0088150F" w:rsidRDefault="0088150F" w:rsidP="000A3EAD">
      <w:pPr>
        <w:pStyle w:val="ListParagraph"/>
        <w:numPr>
          <w:ilvl w:val="0"/>
          <w:numId w:val="9"/>
        </w:numPr>
        <w:spacing w:before="120" w:after="0" w:line="257" w:lineRule="auto"/>
        <w:ind w:left="714" w:hanging="357"/>
        <w:contextualSpacing w:val="0"/>
        <w:jc w:val="both"/>
        <w:rPr>
          <w:szCs w:val="24"/>
        </w:rPr>
      </w:pPr>
      <w:r w:rsidRPr="24A4069D">
        <w:rPr>
          <w:rFonts w:eastAsia="Times New Roman" w:cs="Times New Roman"/>
          <w:szCs w:val="24"/>
          <w:lang w:val="en-GB"/>
        </w:rPr>
        <w:t>The programs of the RRSs will be tailored to the specific needs of the region concerned;</w:t>
      </w:r>
    </w:p>
    <w:p w14:paraId="6AFF28D5" w14:textId="4FC2ACE8" w:rsidR="0088150F" w:rsidRDefault="0088150F" w:rsidP="000A3EAD">
      <w:pPr>
        <w:pStyle w:val="ListParagraph"/>
        <w:numPr>
          <w:ilvl w:val="0"/>
          <w:numId w:val="9"/>
        </w:numPr>
        <w:spacing w:before="120" w:after="0" w:line="257" w:lineRule="auto"/>
        <w:ind w:left="714" w:hanging="357"/>
        <w:contextualSpacing w:val="0"/>
        <w:jc w:val="both"/>
        <w:rPr>
          <w:szCs w:val="24"/>
        </w:rPr>
      </w:pPr>
      <w:r w:rsidRPr="24A4069D">
        <w:rPr>
          <w:rFonts w:eastAsia="Times New Roman" w:cs="Times New Roman"/>
          <w:szCs w:val="24"/>
          <w:lang w:val="en-GB"/>
        </w:rPr>
        <w:t xml:space="preserve">The last day(s) of each RRS will be devoted to a Forum-type session, where </w:t>
      </w:r>
      <w:r w:rsidR="005C490D" w:rsidRPr="24A4069D">
        <w:rPr>
          <w:rFonts w:eastAsia="Times New Roman" w:cs="Times New Roman"/>
          <w:szCs w:val="24"/>
          <w:lang w:val="en-GB"/>
        </w:rPr>
        <w:t>panellists</w:t>
      </w:r>
      <w:r w:rsidRPr="24A4069D">
        <w:rPr>
          <w:rFonts w:eastAsia="Times New Roman" w:cs="Times New Roman"/>
          <w:szCs w:val="24"/>
          <w:lang w:val="en-GB"/>
        </w:rPr>
        <w:t xml:space="preserve"> from outside the region could be invited to enlarge the scope of the discussions (provision of interpretation from/to English might become necessary for that day)</w:t>
      </w:r>
      <w:r w:rsidR="00981505">
        <w:rPr>
          <w:rFonts w:eastAsia="Times New Roman" w:cs="Times New Roman"/>
          <w:szCs w:val="24"/>
          <w:lang w:val="en-GB"/>
        </w:rPr>
        <w:t>.</w:t>
      </w:r>
    </w:p>
    <w:p w14:paraId="6009CEBD" w14:textId="6F7A9712" w:rsidR="0088150F" w:rsidRDefault="0088150F" w:rsidP="0088150F">
      <w:pPr>
        <w:spacing w:line="257" w:lineRule="auto"/>
        <w:jc w:val="both"/>
        <w:rPr>
          <w:szCs w:val="24"/>
        </w:rPr>
      </w:pPr>
      <w:r w:rsidRPr="24A4069D">
        <w:rPr>
          <w:szCs w:val="24"/>
        </w:rPr>
        <w:t xml:space="preserve">The above planning shall be duly coordinated/and adjusted with ITU </w:t>
      </w:r>
      <w:r w:rsidR="004A3B8C">
        <w:rPr>
          <w:szCs w:val="24"/>
        </w:rPr>
        <w:t>Regional Offices (</w:t>
      </w:r>
      <w:r w:rsidRPr="24A4069D">
        <w:rPr>
          <w:szCs w:val="24"/>
        </w:rPr>
        <w:t>R</w:t>
      </w:r>
      <w:r w:rsidR="004A3B8C">
        <w:rPr>
          <w:szCs w:val="24"/>
        </w:rPr>
        <w:t>O</w:t>
      </w:r>
      <w:r w:rsidRPr="24A4069D">
        <w:rPr>
          <w:szCs w:val="24"/>
        </w:rPr>
        <w:t>s</w:t>
      </w:r>
      <w:r w:rsidR="004A3B8C">
        <w:rPr>
          <w:szCs w:val="24"/>
        </w:rPr>
        <w:t>)</w:t>
      </w:r>
      <w:r w:rsidRPr="24A4069D">
        <w:rPr>
          <w:szCs w:val="24"/>
        </w:rPr>
        <w:t xml:space="preserve"> as well as pertinent </w:t>
      </w:r>
      <w:r w:rsidR="00B23DD0" w:rsidRPr="009B56E0">
        <w:rPr>
          <w:szCs w:val="24"/>
        </w:rPr>
        <w:t>regional groups</w:t>
      </w:r>
      <w:r w:rsidRPr="24A4069D">
        <w:rPr>
          <w:szCs w:val="24"/>
        </w:rPr>
        <w:t>, considering the challenges arisen by the current outbreak and the subsequent changes of format (online events), and its implications on the involved ITU Staff (BR, ROs)</w:t>
      </w:r>
    </w:p>
    <w:p w14:paraId="734D1980" w14:textId="77777777" w:rsidR="0088150F" w:rsidRDefault="0088150F" w:rsidP="0088150F">
      <w:pPr>
        <w:spacing w:line="257" w:lineRule="auto"/>
        <w:jc w:val="both"/>
        <w:rPr>
          <w:b/>
          <w:bCs/>
          <w:szCs w:val="24"/>
        </w:rPr>
      </w:pPr>
      <w:r w:rsidRPr="24A4069D">
        <w:rPr>
          <w:b/>
          <w:bCs/>
          <w:szCs w:val="24"/>
        </w:rPr>
        <w:t>8.2.1</w:t>
      </w:r>
      <w:r>
        <w:tab/>
      </w:r>
      <w:r w:rsidRPr="24A4069D">
        <w:rPr>
          <w:b/>
          <w:bCs/>
          <w:szCs w:val="24"/>
        </w:rPr>
        <w:t xml:space="preserve">World Radiocommunication Seminars (WRS) </w:t>
      </w:r>
    </w:p>
    <w:p w14:paraId="6FD83277" w14:textId="38B7A580" w:rsidR="0088150F" w:rsidRDefault="0088150F" w:rsidP="0088150F">
      <w:pPr>
        <w:spacing w:line="257" w:lineRule="auto"/>
        <w:jc w:val="both"/>
        <w:rPr>
          <w:szCs w:val="24"/>
        </w:rPr>
      </w:pPr>
      <w:r w:rsidRPr="24A4069D">
        <w:rPr>
          <w:szCs w:val="24"/>
        </w:rPr>
        <w:t>As a part of the WRS/RRS 20</w:t>
      </w:r>
      <w:r w:rsidR="005D5BC6">
        <w:rPr>
          <w:szCs w:val="24"/>
        </w:rPr>
        <w:t>20</w:t>
      </w:r>
      <w:r w:rsidRPr="24A4069D">
        <w:rPr>
          <w:szCs w:val="24"/>
        </w:rPr>
        <w:t xml:space="preserve">-2023 cycle, the WRS-20 was conducted in December 2020. It was initially planned </w:t>
      </w:r>
      <w:r w:rsidR="00847E44">
        <w:rPr>
          <w:szCs w:val="24"/>
        </w:rPr>
        <w:t>for</w:t>
      </w:r>
      <w:r w:rsidR="001B1C52">
        <w:rPr>
          <w:szCs w:val="24"/>
        </w:rPr>
        <w:t xml:space="preserve"> the</w:t>
      </w:r>
      <w:r w:rsidR="00847E44" w:rsidRPr="24A4069D">
        <w:rPr>
          <w:szCs w:val="24"/>
        </w:rPr>
        <w:t xml:space="preserve"> </w:t>
      </w:r>
      <w:r w:rsidRPr="24A4069D">
        <w:rPr>
          <w:szCs w:val="24"/>
        </w:rPr>
        <w:t>1</w:t>
      </w:r>
      <w:r w:rsidRPr="24A4069D">
        <w:rPr>
          <w:szCs w:val="24"/>
          <w:vertAlign w:val="superscript"/>
        </w:rPr>
        <w:t>st</w:t>
      </w:r>
      <w:r w:rsidRPr="24A4069D">
        <w:rPr>
          <w:szCs w:val="24"/>
        </w:rPr>
        <w:t xml:space="preserve"> week </w:t>
      </w:r>
      <w:r w:rsidR="001B1C52">
        <w:rPr>
          <w:szCs w:val="24"/>
        </w:rPr>
        <w:t xml:space="preserve">of </w:t>
      </w:r>
      <w:r w:rsidRPr="24A4069D">
        <w:rPr>
          <w:szCs w:val="24"/>
        </w:rPr>
        <w:t xml:space="preserve">December </w:t>
      </w:r>
      <w:r w:rsidR="00847E44">
        <w:rPr>
          <w:szCs w:val="24"/>
        </w:rPr>
        <w:t>in</w:t>
      </w:r>
      <w:r w:rsidR="00847E44" w:rsidRPr="24A4069D">
        <w:rPr>
          <w:szCs w:val="24"/>
        </w:rPr>
        <w:t xml:space="preserve"> </w:t>
      </w:r>
      <w:r w:rsidRPr="24A4069D">
        <w:rPr>
          <w:szCs w:val="24"/>
        </w:rPr>
        <w:t>Geneva, but due to the travel restrictions related to the pandemic, WRS changed to a virtual format, with the following changes:</w:t>
      </w:r>
    </w:p>
    <w:p w14:paraId="5414FFE2" w14:textId="77377082" w:rsidR="0088150F" w:rsidRPr="0044374D" w:rsidRDefault="0088150F" w:rsidP="000A3EAD">
      <w:pPr>
        <w:pStyle w:val="ListParagraph"/>
        <w:numPr>
          <w:ilvl w:val="0"/>
          <w:numId w:val="9"/>
        </w:numPr>
        <w:spacing w:before="120" w:after="0" w:line="257" w:lineRule="auto"/>
        <w:ind w:left="714" w:hanging="357"/>
        <w:contextualSpacing w:val="0"/>
        <w:jc w:val="both"/>
        <w:rPr>
          <w:rFonts w:eastAsia="Times New Roman" w:cs="Times New Roman"/>
          <w:szCs w:val="24"/>
          <w:lang w:val="en-GB"/>
        </w:rPr>
      </w:pPr>
      <w:r w:rsidRPr="24A4069D">
        <w:rPr>
          <w:rFonts w:eastAsia="Times New Roman" w:cs="Times New Roman"/>
          <w:szCs w:val="24"/>
          <w:lang w:val="en-GB"/>
        </w:rPr>
        <w:t>WRS-20 was</w:t>
      </w:r>
      <w:r w:rsidRPr="24A4069D" w:rsidDel="004079CF">
        <w:rPr>
          <w:rFonts w:eastAsia="Times New Roman" w:cs="Times New Roman"/>
          <w:szCs w:val="24"/>
          <w:lang w:val="en-GB"/>
        </w:rPr>
        <w:t xml:space="preserve"> </w:t>
      </w:r>
      <w:r w:rsidR="00395C65">
        <w:rPr>
          <w:rFonts w:eastAsia="Times New Roman" w:cs="Times New Roman"/>
          <w:szCs w:val="24"/>
          <w:lang w:val="en-GB"/>
        </w:rPr>
        <w:t>presented over</w:t>
      </w:r>
      <w:r w:rsidRPr="24A4069D">
        <w:rPr>
          <w:rFonts w:eastAsia="Times New Roman" w:cs="Times New Roman"/>
          <w:szCs w:val="24"/>
          <w:lang w:val="en-GB"/>
        </w:rPr>
        <w:t xml:space="preserve"> 2 weeks, i.e., from 30 November to 11 December</w:t>
      </w:r>
      <w:r w:rsidR="00300A0A">
        <w:rPr>
          <w:rFonts w:eastAsia="Times New Roman" w:cs="Times New Roman"/>
          <w:szCs w:val="24"/>
          <w:lang w:val="en-GB"/>
        </w:rPr>
        <w:t>,</w:t>
      </w:r>
      <w:r w:rsidR="00300A0A" w:rsidRPr="00300A0A">
        <w:rPr>
          <w:rFonts w:eastAsia="Times New Roman" w:cs="Times New Roman"/>
          <w:szCs w:val="24"/>
          <w:lang w:val="en-GB"/>
        </w:rPr>
        <w:t xml:space="preserve"> </w:t>
      </w:r>
      <w:r w:rsidR="00300A0A" w:rsidRPr="24A4069D">
        <w:rPr>
          <w:rFonts w:eastAsia="Times New Roman" w:cs="Times New Roman"/>
          <w:szCs w:val="24"/>
          <w:lang w:val="en-GB"/>
        </w:rPr>
        <w:t>with 3</w:t>
      </w:r>
      <w:r w:rsidR="00CF0EC7">
        <w:rPr>
          <w:rFonts w:eastAsia="Times New Roman" w:cs="Times New Roman"/>
          <w:szCs w:val="24"/>
          <w:lang w:val="en-GB"/>
        </w:rPr>
        <w:t>-</w:t>
      </w:r>
      <w:r w:rsidR="00300A0A" w:rsidRPr="24A4069D">
        <w:rPr>
          <w:rFonts w:eastAsia="Times New Roman" w:cs="Times New Roman"/>
          <w:szCs w:val="24"/>
          <w:lang w:val="en-GB"/>
        </w:rPr>
        <w:t>h</w:t>
      </w:r>
      <w:r w:rsidR="00300A0A">
        <w:rPr>
          <w:rFonts w:eastAsia="Times New Roman" w:cs="Times New Roman"/>
          <w:szCs w:val="24"/>
          <w:lang w:val="en-GB"/>
        </w:rPr>
        <w:t xml:space="preserve">our </w:t>
      </w:r>
      <w:r w:rsidR="00300A0A" w:rsidRPr="24A4069D">
        <w:rPr>
          <w:rFonts w:eastAsia="Times New Roman" w:cs="Times New Roman"/>
          <w:szCs w:val="24"/>
          <w:lang w:val="en-GB"/>
        </w:rPr>
        <w:t>sessions</w:t>
      </w:r>
      <w:r w:rsidR="00300A0A" w:rsidRPr="00282F64">
        <w:rPr>
          <w:rFonts w:eastAsia="Times New Roman" w:cs="Times New Roman"/>
          <w:szCs w:val="24"/>
          <w:lang w:val="en-GB"/>
        </w:rPr>
        <w:t xml:space="preserve"> </w:t>
      </w:r>
      <w:r w:rsidR="00300A0A" w:rsidRPr="24A4069D">
        <w:rPr>
          <w:rFonts w:eastAsia="Times New Roman" w:cs="Times New Roman"/>
          <w:szCs w:val="24"/>
          <w:lang w:val="en-GB"/>
        </w:rPr>
        <w:t>daily</w:t>
      </w:r>
      <w:r w:rsidR="00300A0A">
        <w:rPr>
          <w:rFonts w:eastAsia="Times New Roman" w:cs="Times New Roman"/>
          <w:szCs w:val="24"/>
          <w:lang w:val="en-GB"/>
        </w:rPr>
        <w:t>,</w:t>
      </w:r>
    </w:p>
    <w:p w14:paraId="44A9564C" w14:textId="77777777" w:rsidR="0088150F" w:rsidRDefault="0088150F" w:rsidP="000A3EAD">
      <w:pPr>
        <w:pStyle w:val="ListParagraph"/>
        <w:numPr>
          <w:ilvl w:val="0"/>
          <w:numId w:val="9"/>
        </w:numPr>
        <w:spacing w:before="120" w:after="0" w:line="257" w:lineRule="auto"/>
        <w:ind w:left="714" w:hanging="357"/>
        <w:contextualSpacing w:val="0"/>
        <w:jc w:val="both"/>
        <w:rPr>
          <w:szCs w:val="24"/>
        </w:rPr>
      </w:pPr>
      <w:r w:rsidRPr="24A4069D">
        <w:rPr>
          <w:rFonts w:eastAsia="Times New Roman" w:cs="Times New Roman"/>
          <w:szCs w:val="24"/>
          <w:lang w:val="en-GB"/>
        </w:rPr>
        <w:t>to accommodate participants in different time zones worldwide, WRS-20 sessions were presented twice each day:</w:t>
      </w:r>
    </w:p>
    <w:p w14:paraId="2F60693E" w14:textId="5EA110FC" w:rsidR="0088150F" w:rsidRDefault="0088150F" w:rsidP="000A3EAD">
      <w:pPr>
        <w:pStyle w:val="ListParagraph"/>
        <w:numPr>
          <w:ilvl w:val="1"/>
          <w:numId w:val="10"/>
        </w:numPr>
        <w:spacing w:line="257" w:lineRule="auto"/>
        <w:jc w:val="both"/>
        <w:rPr>
          <w:szCs w:val="24"/>
        </w:rPr>
      </w:pPr>
      <w:r w:rsidRPr="24A4069D">
        <w:rPr>
          <w:rFonts w:eastAsia="Times New Roman" w:cs="Times New Roman"/>
          <w:szCs w:val="24"/>
          <w:lang w:val="en-GB"/>
        </w:rPr>
        <w:t xml:space="preserve">Morning sessions (Geneva time) </w:t>
      </w:r>
      <w:r w:rsidR="00CF0EC7">
        <w:rPr>
          <w:rFonts w:eastAsia="Times New Roman" w:cs="Times New Roman"/>
          <w:szCs w:val="24"/>
          <w:lang w:val="en-GB"/>
        </w:rPr>
        <w:t>were</w:t>
      </w:r>
      <w:r w:rsidR="00B33477">
        <w:rPr>
          <w:rFonts w:eastAsia="Times New Roman" w:cs="Times New Roman"/>
          <w:szCs w:val="24"/>
          <w:lang w:val="en-GB"/>
        </w:rPr>
        <w:t xml:space="preserve"> presented</w:t>
      </w:r>
      <w:r w:rsidR="00CF0EC7" w:rsidRPr="24A4069D">
        <w:rPr>
          <w:rFonts w:eastAsia="Times New Roman" w:cs="Times New Roman"/>
          <w:szCs w:val="24"/>
          <w:lang w:val="en-GB"/>
        </w:rPr>
        <w:t xml:space="preserve"> </w:t>
      </w:r>
      <w:r w:rsidRPr="24A4069D">
        <w:rPr>
          <w:rFonts w:eastAsia="Times New Roman" w:cs="Times New Roman"/>
          <w:szCs w:val="24"/>
          <w:lang w:val="en-GB"/>
        </w:rPr>
        <w:t xml:space="preserve">for participants in the Asia-Pacific, and East and Southern Africa Regions, </w:t>
      </w:r>
    </w:p>
    <w:p w14:paraId="20B23BE1" w14:textId="257C9BDB" w:rsidR="0088150F" w:rsidRDefault="0088150F" w:rsidP="000A3EAD">
      <w:pPr>
        <w:pStyle w:val="ListParagraph"/>
        <w:numPr>
          <w:ilvl w:val="1"/>
          <w:numId w:val="10"/>
        </w:numPr>
        <w:spacing w:line="257" w:lineRule="auto"/>
        <w:jc w:val="both"/>
        <w:rPr>
          <w:szCs w:val="24"/>
        </w:rPr>
      </w:pPr>
      <w:r w:rsidRPr="24A4069D">
        <w:rPr>
          <w:rFonts w:eastAsia="Times New Roman" w:cs="Times New Roman"/>
          <w:szCs w:val="24"/>
          <w:lang w:val="en-GB"/>
        </w:rPr>
        <w:t xml:space="preserve">Afternoon sessions (Geneva time) </w:t>
      </w:r>
      <w:r w:rsidR="00CF0EC7" w:rsidRPr="24A4069D">
        <w:rPr>
          <w:rFonts w:eastAsia="Times New Roman" w:cs="Times New Roman"/>
          <w:szCs w:val="24"/>
          <w:lang w:val="en-GB"/>
        </w:rPr>
        <w:t>w</w:t>
      </w:r>
      <w:r w:rsidR="00CF0EC7">
        <w:rPr>
          <w:rFonts w:eastAsia="Times New Roman" w:cs="Times New Roman"/>
          <w:szCs w:val="24"/>
          <w:lang w:val="en-GB"/>
        </w:rPr>
        <w:t>ere</w:t>
      </w:r>
      <w:r w:rsidR="00CF0EC7" w:rsidRPr="24A4069D">
        <w:rPr>
          <w:rFonts w:eastAsia="Times New Roman" w:cs="Times New Roman"/>
          <w:szCs w:val="24"/>
          <w:lang w:val="en-GB"/>
        </w:rPr>
        <w:t xml:space="preserve"> </w:t>
      </w:r>
      <w:r w:rsidRPr="24A4069D">
        <w:rPr>
          <w:rFonts w:eastAsia="Times New Roman" w:cs="Times New Roman"/>
          <w:szCs w:val="24"/>
          <w:lang w:val="en-GB"/>
        </w:rPr>
        <w:t xml:space="preserve">presented for </w:t>
      </w:r>
      <w:r w:rsidR="00CF0EC7">
        <w:rPr>
          <w:rFonts w:eastAsia="Times New Roman" w:cs="Times New Roman"/>
          <w:szCs w:val="24"/>
          <w:lang w:val="en-GB"/>
        </w:rPr>
        <w:t xml:space="preserve">participants in </w:t>
      </w:r>
      <w:r w:rsidRPr="24A4069D">
        <w:rPr>
          <w:rFonts w:eastAsia="Times New Roman" w:cs="Times New Roman"/>
          <w:szCs w:val="24"/>
          <w:lang w:val="en-GB"/>
        </w:rPr>
        <w:t>the Americas, Europe, CIS, Arab States</w:t>
      </w:r>
      <w:r w:rsidR="00D576EB">
        <w:rPr>
          <w:rFonts w:eastAsia="Times New Roman" w:cs="Times New Roman"/>
          <w:szCs w:val="24"/>
          <w:lang w:val="en-GB"/>
        </w:rPr>
        <w:t>,</w:t>
      </w:r>
      <w:r w:rsidRPr="24A4069D">
        <w:rPr>
          <w:rFonts w:eastAsia="Times New Roman" w:cs="Times New Roman"/>
          <w:szCs w:val="24"/>
          <w:lang w:val="en-GB"/>
        </w:rPr>
        <w:t xml:space="preserve"> and West Africa </w:t>
      </w:r>
      <w:r w:rsidR="00D576EB">
        <w:rPr>
          <w:rFonts w:eastAsia="Times New Roman" w:cs="Times New Roman"/>
          <w:szCs w:val="24"/>
          <w:lang w:val="en-GB"/>
        </w:rPr>
        <w:t>R</w:t>
      </w:r>
      <w:r w:rsidRPr="24A4069D">
        <w:rPr>
          <w:rFonts w:eastAsia="Times New Roman" w:cs="Times New Roman"/>
          <w:szCs w:val="24"/>
          <w:lang w:val="en-GB"/>
        </w:rPr>
        <w:t>egions</w:t>
      </w:r>
      <w:r w:rsidR="00F30774">
        <w:rPr>
          <w:rFonts w:eastAsia="Times New Roman" w:cs="Times New Roman"/>
          <w:szCs w:val="24"/>
          <w:lang w:val="en-GB"/>
        </w:rPr>
        <w:t>.</w:t>
      </w:r>
    </w:p>
    <w:p w14:paraId="70AFDDBC" w14:textId="3873D48F" w:rsidR="0088150F" w:rsidRPr="00240643" w:rsidRDefault="0088150F" w:rsidP="000A3EAD">
      <w:pPr>
        <w:pStyle w:val="ListParagraph"/>
        <w:numPr>
          <w:ilvl w:val="0"/>
          <w:numId w:val="9"/>
        </w:numPr>
        <w:spacing w:before="120" w:after="0" w:line="257" w:lineRule="auto"/>
        <w:ind w:left="714" w:hanging="357"/>
        <w:contextualSpacing w:val="0"/>
        <w:jc w:val="both"/>
        <w:rPr>
          <w:rFonts w:eastAsia="Times New Roman" w:cs="Times New Roman"/>
          <w:szCs w:val="24"/>
          <w:lang w:val="en-GB"/>
        </w:rPr>
      </w:pPr>
      <w:r w:rsidRPr="00240643">
        <w:rPr>
          <w:rFonts w:eastAsia="Times New Roman" w:cs="Times New Roman"/>
          <w:szCs w:val="24"/>
          <w:lang w:val="en-GB"/>
        </w:rPr>
        <w:t xml:space="preserve">Recordings of the seminar sessions </w:t>
      </w:r>
      <w:r w:rsidR="00972E86" w:rsidRPr="00240643">
        <w:rPr>
          <w:rFonts w:eastAsia="Times New Roman" w:cs="Times New Roman"/>
          <w:szCs w:val="24"/>
          <w:lang w:val="en-GB"/>
        </w:rPr>
        <w:t>w</w:t>
      </w:r>
      <w:r w:rsidR="00972E86">
        <w:rPr>
          <w:rFonts w:eastAsia="Times New Roman" w:cs="Times New Roman"/>
          <w:szCs w:val="24"/>
          <w:lang w:val="en-GB"/>
        </w:rPr>
        <w:t>ere</w:t>
      </w:r>
      <w:r w:rsidR="00972E86" w:rsidRPr="00240643">
        <w:rPr>
          <w:rFonts w:eastAsia="Times New Roman" w:cs="Times New Roman"/>
          <w:szCs w:val="24"/>
          <w:lang w:val="en-GB"/>
        </w:rPr>
        <w:t xml:space="preserve"> </w:t>
      </w:r>
      <w:r w:rsidRPr="00240643">
        <w:rPr>
          <w:rFonts w:eastAsia="Times New Roman" w:cs="Times New Roman"/>
          <w:szCs w:val="24"/>
          <w:lang w:val="en-GB"/>
        </w:rPr>
        <w:t>also made available on the event website.</w:t>
      </w:r>
    </w:p>
    <w:p w14:paraId="25DA5B93" w14:textId="7DA84E34" w:rsidR="0088150F" w:rsidRDefault="0088150F" w:rsidP="0088150F">
      <w:pPr>
        <w:spacing w:line="257" w:lineRule="auto"/>
        <w:jc w:val="both"/>
        <w:rPr>
          <w:szCs w:val="24"/>
        </w:rPr>
      </w:pPr>
      <w:r w:rsidRPr="24A4069D">
        <w:rPr>
          <w:szCs w:val="24"/>
        </w:rPr>
        <w:t>Additionally, noting that more and more people are using and deploying radiocommunication systems and considering the BR role to inform all individuals and organizations worldwide about the Radio Regulations and how to implement them, for the first time, the WRS plenary sessions were opened to everyone, no matter whether they are members of ITU or not.</w:t>
      </w:r>
    </w:p>
    <w:p w14:paraId="44F7EDFE" w14:textId="77777777" w:rsidR="0088150F" w:rsidRDefault="0088150F" w:rsidP="0088150F">
      <w:pPr>
        <w:spacing w:line="257" w:lineRule="auto"/>
        <w:jc w:val="both"/>
        <w:rPr>
          <w:szCs w:val="24"/>
        </w:rPr>
      </w:pPr>
      <w:r w:rsidRPr="24A4069D">
        <w:rPr>
          <w:szCs w:val="24"/>
        </w:rPr>
        <w:lastRenderedPageBreak/>
        <w:t xml:space="preserve">During the first week, the plenary sessions (opened to everyone) covered the basics of spectrum management at national, regional, and global levels. It also reviewed the ITU Radio Regulations as updated by WRC-19, overviewed the regulatory framework for terrestrial and space radiocommunication services, and updated participants on the current activities of the ITU-R Study Groups. These plenary sessions were conducted on the 6 UN languages. </w:t>
      </w:r>
    </w:p>
    <w:p w14:paraId="76721012" w14:textId="77777777" w:rsidR="0088150F" w:rsidRDefault="0088150F" w:rsidP="0088150F">
      <w:pPr>
        <w:spacing w:line="257" w:lineRule="auto"/>
        <w:jc w:val="both"/>
        <w:rPr>
          <w:szCs w:val="24"/>
        </w:rPr>
      </w:pPr>
      <w:r w:rsidRPr="24A4069D">
        <w:rPr>
          <w:szCs w:val="24"/>
        </w:rPr>
        <w:t>The second week, limited to ITU members only, featured basic training workshops on how to use ITU-developed tools for frequency notifications and technical examinations. Web tutorial exercises enabled participants to master both the procedures and the software that the ITU Radiocommunication Sector (ITU-R) uses to process filings. Participants were able to alternate between space and terrestrial services.</w:t>
      </w:r>
    </w:p>
    <w:p w14:paraId="6ADDF6CD" w14:textId="5DC655C8" w:rsidR="0088150F" w:rsidRDefault="0088150F" w:rsidP="0088150F">
      <w:pPr>
        <w:spacing w:line="257" w:lineRule="auto"/>
        <w:jc w:val="both"/>
        <w:rPr>
          <w:szCs w:val="24"/>
        </w:rPr>
      </w:pPr>
      <w:r w:rsidRPr="24A4069D">
        <w:rPr>
          <w:szCs w:val="24"/>
        </w:rPr>
        <w:t xml:space="preserve">The WRS-20 attracted </w:t>
      </w:r>
      <w:r w:rsidR="00AB1051">
        <w:rPr>
          <w:szCs w:val="24"/>
        </w:rPr>
        <w:t>2,183</w:t>
      </w:r>
      <w:r w:rsidRPr="24A4069D">
        <w:rPr>
          <w:szCs w:val="24"/>
        </w:rPr>
        <w:t xml:space="preserve"> participants from 1</w:t>
      </w:r>
      <w:r w:rsidR="00AB1051">
        <w:rPr>
          <w:szCs w:val="24"/>
        </w:rPr>
        <w:t>59</w:t>
      </w:r>
      <w:r w:rsidRPr="24A4069D">
        <w:rPr>
          <w:szCs w:val="24"/>
        </w:rPr>
        <w:t xml:space="preserve"> countries, which shows the big success of this event, with </w:t>
      </w:r>
      <w:r w:rsidR="00BA4A97">
        <w:rPr>
          <w:szCs w:val="24"/>
        </w:rPr>
        <w:t>many</w:t>
      </w:r>
      <w:r w:rsidRPr="24A4069D">
        <w:rPr>
          <w:szCs w:val="24"/>
        </w:rPr>
        <w:t xml:space="preserve"> times more participants than the average WRS physical editions.</w:t>
      </w:r>
    </w:p>
    <w:p w14:paraId="6052061D" w14:textId="77777777" w:rsidR="0088150F" w:rsidRDefault="0088150F" w:rsidP="0088150F">
      <w:pPr>
        <w:spacing w:line="257" w:lineRule="auto"/>
        <w:jc w:val="both"/>
        <w:rPr>
          <w:b/>
          <w:bCs/>
          <w:szCs w:val="24"/>
        </w:rPr>
      </w:pPr>
      <w:r w:rsidRPr="24A4069D">
        <w:rPr>
          <w:b/>
          <w:bCs/>
          <w:szCs w:val="24"/>
        </w:rPr>
        <w:t>8.2.2</w:t>
      </w:r>
      <w:r>
        <w:tab/>
      </w:r>
      <w:r w:rsidRPr="24A4069D">
        <w:rPr>
          <w:b/>
          <w:bCs/>
          <w:szCs w:val="24"/>
        </w:rPr>
        <w:t xml:space="preserve">Regional Radiocommunication Seminars (RRS) </w:t>
      </w:r>
    </w:p>
    <w:p w14:paraId="45C17940" w14:textId="77777777" w:rsidR="0088150F" w:rsidRDefault="0088150F" w:rsidP="0088150F">
      <w:pPr>
        <w:spacing w:line="257" w:lineRule="auto"/>
        <w:jc w:val="both"/>
        <w:rPr>
          <w:szCs w:val="24"/>
        </w:rPr>
      </w:pPr>
      <w:r w:rsidRPr="24A4069D">
        <w:rPr>
          <w:szCs w:val="24"/>
        </w:rPr>
        <w:t xml:space="preserve">As a complement to the biennial WRS, the BR maintained its strategy for regional outreach through the organization of Regional Radiocommunication Seminars (RRS) aimed to visit every developing region worldwide, fostering human capacity building on the use of the radio-frequency spectrum and satellite orbits, in particular, the application of the provisions of the ITU Radio Regulations. </w:t>
      </w:r>
    </w:p>
    <w:p w14:paraId="2A55699D" w14:textId="0597369D" w:rsidR="0088150F" w:rsidRDefault="0088150F" w:rsidP="0088150F">
      <w:pPr>
        <w:spacing w:line="257" w:lineRule="auto"/>
        <w:jc w:val="both"/>
        <w:rPr>
          <w:szCs w:val="24"/>
        </w:rPr>
      </w:pPr>
      <w:r w:rsidRPr="24A4069D">
        <w:rPr>
          <w:szCs w:val="24"/>
        </w:rPr>
        <w:t>RRSs are jointly organized with the spectrum management authorities of host countries, in close cooperation with relevant regional organizations and the ITU regional/areas offices. Their agenda</w:t>
      </w:r>
      <w:r w:rsidR="00CA24B6">
        <w:rPr>
          <w:szCs w:val="24"/>
        </w:rPr>
        <w:t>s</w:t>
      </w:r>
      <w:r w:rsidRPr="24A4069D">
        <w:rPr>
          <w:szCs w:val="24"/>
        </w:rPr>
        <w:t xml:space="preserve"> include two days of theoretical sessions and one or two days of workshops on terrestrial and space services. They are complemented with a one or two-day forum, dedicated to spectrum-related topics of particular interest to the region.  </w:t>
      </w:r>
    </w:p>
    <w:p w14:paraId="29C16BF3" w14:textId="1015E242" w:rsidR="0088150F" w:rsidRDefault="0088150F" w:rsidP="0088150F">
      <w:pPr>
        <w:spacing w:line="257" w:lineRule="auto"/>
        <w:jc w:val="both"/>
        <w:rPr>
          <w:szCs w:val="24"/>
        </w:rPr>
      </w:pPr>
      <w:r w:rsidRPr="24A4069D">
        <w:rPr>
          <w:szCs w:val="24"/>
        </w:rPr>
        <w:t>During 2020, tw</w:t>
      </w:r>
      <w:r w:rsidR="0005662E">
        <w:rPr>
          <w:szCs w:val="24"/>
        </w:rPr>
        <w:t>o</w:t>
      </w:r>
      <w:r w:rsidRPr="24A4069D">
        <w:rPr>
          <w:szCs w:val="24"/>
        </w:rPr>
        <w:t xml:space="preserve"> RRS were conducted as follows:</w:t>
      </w:r>
    </w:p>
    <w:p w14:paraId="6A2F8426" w14:textId="77777777" w:rsidR="002A4E65" w:rsidRDefault="002A4E65" w:rsidP="0088150F">
      <w:pPr>
        <w:spacing w:line="257" w:lineRule="auto"/>
        <w:jc w:val="both"/>
        <w:rPr>
          <w:szCs w:val="24"/>
        </w:rPr>
      </w:pPr>
    </w:p>
    <w:p w14:paraId="3591EB95" w14:textId="77777777" w:rsidR="0088150F" w:rsidRPr="00535449" w:rsidRDefault="0088150F" w:rsidP="000A3EAD">
      <w:pPr>
        <w:pStyle w:val="ListParagraph"/>
        <w:numPr>
          <w:ilvl w:val="0"/>
          <w:numId w:val="8"/>
        </w:numPr>
        <w:spacing w:line="257" w:lineRule="auto"/>
        <w:jc w:val="both"/>
        <w:rPr>
          <w:szCs w:val="24"/>
        </w:rPr>
      </w:pPr>
      <w:r w:rsidRPr="00535449">
        <w:rPr>
          <w:b/>
          <w:bCs/>
          <w:szCs w:val="24"/>
        </w:rPr>
        <w:t xml:space="preserve">ITU Regional Radiocommunication Seminar 2020 for the Americas (RRS-20-Americas) </w:t>
      </w:r>
    </w:p>
    <w:p w14:paraId="3A0772E5" w14:textId="106DAC2D" w:rsidR="0088150F" w:rsidRDefault="0088150F" w:rsidP="0088150F">
      <w:pPr>
        <w:spacing w:line="257" w:lineRule="auto"/>
        <w:jc w:val="both"/>
        <w:rPr>
          <w:szCs w:val="24"/>
        </w:rPr>
      </w:pPr>
      <w:r w:rsidRPr="24A4069D">
        <w:rPr>
          <w:szCs w:val="24"/>
        </w:rPr>
        <w:t xml:space="preserve">The ITU Regional Radiocommunication Seminar 2020 for the Americas Region (RRS-20 Americas) was jointly organized by ITU (BT and Americas Office) and the Caribbean Telecommunications Union (CTU). It was planned to be held </w:t>
      </w:r>
      <w:r w:rsidR="00CA24B6">
        <w:rPr>
          <w:szCs w:val="24"/>
        </w:rPr>
        <w:t>i</w:t>
      </w:r>
      <w:r w:rsidR="00CA24B6" w:rsidRPr="24A4069D">
        <w:rPr>
          <w:szCs w:val="24"/>
        </w:rPr>
        <w:t xml:space="preserve">n </w:t>
      </w:r>
      <w:r w:rsidRPr="24A4069D">
        <w:rPr>
          <w:szCs w:val="24"/>
        </w:rPr>
        <w:t>the Caribbean during the 3</w:t>
      </w:r>
      <w:r w:rsidRPr="24A4069D">
        <w:rPr>
          <w:szCs w:val="24"/>
          <w:vertAlign w:val="superscript"/>
        </w:rPr>
        <w:t>rd</w:t>
      </w:r>
      <w:r w:rsidRPr="24A4069D">
        <w:rPr>
          <w:szCs w:val="24"/>
        </w:rPr>
        <w:t xml:space="preserve"> week </w:t>
      </w:r>
      <w:r w:rsidR="00CA24B6">
        <w:rPr>
          <w:szCs w:val="24"/>
        </w:rPr>
        <w:t xml:space="preserve">of </w:t>
      </w:r>
      <w:r w:rsidRPr="24A4069D">
        <w:rPr>
          <w:szCs w:val="24"/>
        </w:rPr>
        <w:t>July 2020, following traditional format (5 days, 6 hours per day) but due to the pandemic situation, its format was adjusted to:</w:t>
      </w:r>
    </w:p>
    <w:p w14:paraId="4ACF84C5" w14:textId="38370728" w:rsidR="0088150F" w:rsidRPr="00A94A12" w:rsidRDefault="0088150F" w:rsidP="000A3EAD">
      <w:pPr>
        <w:pStyle w:val="ListParagraph"/>
        <w:numPr>
          <w:ilvl w:val="0"/>
          <w:numId w:val="9"/>
        </w:numPr>
        <w:spacing w:before="120" w:after="0" w:line="257" w:lineRule="auto"/>
        <w:ind w:left="714" w:hanging="357"/>
        <w:contextualSpacing w:val="0"/>
        <w:jc w:val="both"/>
        <w:rPr>
          <w:rFonts w:eastAsia="Times New Roman" w:cs="Times New Roman"/>
          <w:szCs w:val="24"/>
          <w:lang w:val="en-GB"/>
        </w:rPr>
      </w:pPr>
      <w:r w:rsidRPr="00A94A12">
        <w:rPr>
          <w:rFonts w:eastAsia="Times New Roman" w:cs="Times New Roman"/>
          <w:szCs w:val="24"/>
          <w:lang w:val="en-GB"/>
        </w:rPr>
        <w:t>Online sessions</w:t>
      </w:r>
      <w:r w:rsidR="00240643" w:rsidRPr="00A94A12">
        <w:rPr>
          <w:rFonts w:eastAsia="Times New Roman" w:cs="Times New Roman"/>
          <w:szCs w:val="24"/>
          <w:lang w:val="en-GB"/>
        </w:rPr>
        <w:t>;</w:t>
      </w:r>
    </w:p>
    <w:p w14:paraId="162561A5" w14:textId="36DF867C" w:rsidR="0088150F" w:rsidRPr="00A94A12" w:rsidRDefault="0088150F" w:rsidP="000A3EAD">
      <w:pPr>
        <w:pStyle w:val="ListParagraph"/>
        <w:numPr>
          <w:ilvl w:val="0"/>
          <w:numId w:val="9"/>
        </w:numPr>
        <w:spacing w:before="120" w:after="0" w:line="257" w:lineRule="auto"/>
        <w:ind w:left="714" w:hanging="357"/>
        <w:contextualSpacing w:val="0"/>
        <w:jc w:val="both"/>
        <w:rPr>
          <w:rFonts w:eastAsia="Times New Roman" w:cs="Times New Roman"/>
          <w:szCs w:val="24"/>
          <w:lang w:val="en-GB"/>
        </w:rPr>
      </w:pPr>
      <w:r w:rsidRPr="00A94A12">
        <w:rPr>
          <w:rFonts w:eastAsia="Times New Roman" w:cs="Times New Roman"/>
          <w:szCs w:val="24"/>
          <w:lang w:val="en-GB"/>
        </w:rPr>
        <w:t>2 weeks (10 days), only 3 hours daily</w:t>
      </w:r>
      <w:r w:rsidR="00240643" w:rsidRPr="00A94A12">
        <w:rPr>
          <w:rFonts w:eastAsia="Times New Roman" w:cs="Times New Roman"/>
          <w:szCs w:val="24"/>
          <w:lang w:val="en-GB"/>
        </w:rPr>
        <w:t>.</w:t>
      </w:r>
    </w:p>
    <w:p w14:paraId="331FB5E2" w14:textId="3A76D082" w:rsidR="0088150F" w:rsidRDefault="0088150F" w:rsidP="0088150F">
      <w:pPr>
        <w:spacing w:line="257" w:lineRule="auto"/>
        <w:jc w:val="both"/>
        <w:rPr>
          <w:szCs w:val="24"/>
        </w:rPr>
      </w:pPr>
      <w:r w:rsidRPr="24A4069D">
        <w:rPr>
          <w:szCs w:val="24"/>
        </w:rPr>
        <w:t>Hence, the RRS-20-Americas was conducted online from 13 to 24 July 2020, using the Zoom license from CTU. Considering the local time difference, sessions were conducted from 09:00 to 12:30, Caribbean time (UTC-4H), i.e., 15:00 to 18:30 Geneva time (DST)</w:t>
      </w:r>
      <w:r w:rsidR="0005662E">
        <w:rPr>
          <w:szCs w:val="24"/>
        </w:rPr>
        <w:t>.</w:t>
      </w:r>
    </w:p>
    <w:p w14:paraId="629168C1" w14:textId="74A6778F" w:rsidR="0088150F" w:rsidRDefault="0088150F" w:rsidP="0088150F">
      <w:pPr>
        <w:spacing w:line="257" w:lineRule="auto"/>
        <w:jc w:val="both"/>
        <w:rPr>
          <w:szCs w:val="24"/>
        </w:rPr>
      </w:pPr>
      <w:r w:rsidRPr="24A4069D">
        <w:rPr>
          <w:szCs w:val="24"/>
        </w:rPr>
        <w:t>From Monday 13 to Thursday 16</w:t>
      </w:r>
      <w:r w:rsidR="006D3489">
        <w:rPr>
          <w:szCs w:val="24"/>
        </w:rPr>
        <w:t xml:space="preserve"> </w:t>
      </w:r>
      <w:r w:rsidRPr="24A4069D">
        <w:rPr>
          <w:szCs w:val="24"/>
        </w:rPr>
        <w:t>July, the seminar covered plenary sessions; Friday 17 and Monday 20 July the seminar performed tutorials on the process of coordination and notification. RRS-20-Americas concluded with a 4 half-day Forum on "</w:t>
      </w:r>
      <w:r w:rsidRPr="24A4069D">
        <w:rPr>
          <w:i/>
          <w:iCs/>
          <w:szCs w:val="24"/>
        </w:rPr>
        <w:t>WRC-19 Outcomes: Challenges and opportunities for the Region</w:t>
      </w:r>
      <w:r w:rsidRPr="24A4069D">
        <w:rPr>
          <w:szCs w:val="24"/>
        </w:rPr>
        <w:t xml:space="preserve">”. gathering main stakeholders in the region. The addressed topics included: DTT, </w:t>
      </w:r>
      <w:r w:rsidRPr="24A4069D">
        <w:rPr>
          <w:szCs w:val="24"/>
        </w:rPr>
        <w:lastRenderedPageBreak/>
        <w:t>HTSS; Non-GSO Constellations; ESIM, Emergency Communications, Aeronautical, Maritime, ITS, IMT and Broadband Systems, 5G Spectrum Pricing. Round Table WRC-19 Outcomes and WRC-23 Agenda Challenges</w:t>
      </w:r>
      <w:r w:rsidR="006D3489">
        <w:rPr>
          <w:szCs w:val="24"/>
        </w:rPr>
        <w:t>.</w:t>
      </w:r>
    </w:p>
    <w:p w14:paraId="7F6CA327" w14:textId="77777777" w:rsidR="0088150F" w:rsidRDefault="0088150F" w:rsidP="0088150F">
      <w:pPr>
        <w:spacing w:line="257" w:lineRule="auto"/>
        <w:jc w:val="both"/>
        <w:rPr>
          <w:szCs w:val="24"/>
        </w:rPr>
      </w:pPr>
      <w:r w:rsidRPr="24A4069D">
        <w:rPr>
          <w:szCs w:val="24"/>
        </w:rPr>
        <w:t>Participation largely exceeded expectations: based upon prior RRS on the region, it was expected around 40-60 participants from 15-20 countries, but the event was attended by more than 350 participants from 38 countries, including 29 countries from the Americas, which shows the great success of this event.</w:t>
      </w:r>
    </w:p>
    <w:p w14:paraId="0C49788C" w14:textId="77777777" w:rsidR="00A94A12" w:rsidRDefault="00A94A12" w:rsidP="0088150F">
      <w:pPr>
        <w:spacing w:line="257" w:lineRule="auto"/>
        <w:jc w:val="both"/>
        <w:rPr>
          <w:szCs w:val="24"/>
        </w:rPr>
      </w:pPr>
    </w:p>
    <w:p w14:paraId="1BC03496" w14:textId="321A67A4" w:rsidR="0088150F" w:rsidRPr="00535449" w:rsidRDefault="0088150F" w:rsidP="000A3EAD">
      <w:pPr>
        <w:pStyle w:val="ListParagraph"/>
        <w:numPr>
          <w:ilvl w:val="0"/>
          <w:numId w:val="8"/>
        </w:numPr>
        <w:spacing w:line="257" w:lineRule="auto"/>
        <w:jc w:val="both"/>
        <w:rPr>
          <w:szCs w:val="24"/>
        </w:rPr>
      </w:pPr>
      <w:r w:rsidRPr="00535449">
        <w:rPr>
          <w:b/>
          <w:bCs/>
          <w:szCs w:val="24"/>
        </w:rPr>
        <w:t>ITU Regional Radiocommunication Seminar 2020 for Asia and the Pacific (RRS</w:t>
      </w:r>
      <w:r w:rsidR="00535449" w:rsidRPr="00535449">
        <w:rPr>
          <w:b/>
          <w:bCs/>
          <w:szCs w:val="24"/>
        </w:rPr>
        <w:noBreakHyphen/>
      </w:r>
      <w:r w:rsidRPr="00535449">
        <w:rPr>
          <w:b/>
          <w:bCs/>
          <w:szCs w:val="24"/>
        </w:rPr>
        <w:t>20</w:t>
      </w:r>
      <w:r w:rsidR="00535449" w:rsidRPr="00535449">
        <w:rPr>
          <w:b/>
          <w:bCs/>
          <w:szCs w:val="24"/>
        </w:rPr>
        <w:noBreakHyphen/>
      </w:r>
      <w:r w:rsidRPr="00535449">
        <w:rPr>
          <w:b/>
          <w:bCs/>
          <w:szCs w:val="24"/>
        </w:rPr>
        <w:t>Asia&amp;Pacific)</w:t>
      </w:r>
    </w:p>
    <w:p w14:paraId="37AE2A9F" w14:textId="0C7B65D0" w:rsidR="0088150F" w:rsidRDefault="0088150F" w:rsidP="0088150F">
      <w:pPr>
        <w:spacing w:line="257" w:lineRule="auto"/>
        <w:jc w:val="both"/>
        <w:rPr>
          <w:szCs w:val="24"/>
        </w:rPr>
      </w:pPr>
      <w:r w:rsidRPr="24A4069D">
        <w:rPr>
          <w:szCs w:val="24"/>
        </w:rPr>
        <w:t xml:space="preserve">The Regional Radiocommunication Seminar 2020 for Asia and the Pacific (RRS-20 </w:t>
      </w:r>
      <w:proofErr w:type="spellStart"/>
      <w:r w:rsidRPr="24A4069D">
        <w:rPr>
          <w:szCs w:val="24"/>
        </w:rPr>
        <w:t>Asia&amp;Pacific</w:t>
      </w:r>
      <w:proofErr w:type="spellEnd"/>
      <w:r w:rsidRPr="24A4069D">
        <w:rPr>
          <w:szCs w:val="24"/>
        </w:rPr>
        <w:t xml:space="preserve">) was organized by ITU (BR and </w:t>
      </w:r>
      <w:proofErr w:type="spellStart"/>
      <w:r w:rsidRPr="24A4069D">
        <w:rPr>
          <w:szCs w:val="24"/>
        </w:rPr>
        <w:t>Asia&amp;Pacific</w:t>
      </w:r>
      <w:proofErr w:type="spellEnd"/>
      <w:r w:rsidRPr="24A4069D">
        <w:rPr>
          <w:szCs w:val="24"/>
        </w:rPr>
        <w:t xml:space="preserve"> Office) in cooperation with the Asia Pacific </w:t>
      </w:r>
      <w:proofErr w:type="spellStart"/>
      <w:r w:rsidRPr="24A4069D">
        <w:rPr>
          <w:szCs w:val="24"/>
        </w:rPr>
        <w:t>Telecommunity</w:t>
      </w:r>
      <w:proofErr w:type="spellEnd"/>
      <w:r w:rsidRPr="24A4069D">
        <w:rPr>
          <w:szCs w:val="24"/>
        </w:rPr>
        <w:t xml:space="preserve"> (APT). It was planned to be held on a Pacific Island State the 3</w:t>
      </w:r>
      <w:r w:rsidRPr="24A4069D">
        <w:rPr>
          <w:szCs w:val="24"/>
          <w:vertAlign w:val="superscript"/>
        </w:rPr>
        <w:t>rd</w:t>
      </w:r>
      <w:r w:rsidRPr="24A4069D">
        <w:rPr>
          <w:szCs w:val="24"/>
        </w:rPr>
        <w:t xml:space="preserve"> week </w:t>
      </w:r>
      <w:r w:rsidR="00812827">
        <w:rPr>
          <w:szCs w:val="24"/>
        </w:rPr>
        <w:t xml:space="preserve">of </w:t>
      </w:r>
      <w:r w:rsidRPr="24A4069D">
        <w:rPr>
          <w:szCs w:val="24"/>
        </w:rPr>
        <w:t xml:space="preserve">October 2020, following traditional format (5 days, 6 hours per day) but due to the pandemic situation, its format was adjusted as prior RRS. Hence, the RRS-20-Asia&amp;Pacific was conducted online from 19 to 30 October 2020, using the </w:t>
      </w:r>
      <w:proofErr w:type="spellStart"/>
      <w:r w:rsidRPr="24A4069D">
        <w:rPr>
          <w:szCs w:val="24"/>
        </w:rPr>
        <w:t>Go</w:t>
      </w:r>
      <w:r w:rsidR="00E02447">
        <w:rPr>
          <w:szCs w:val="24"/>
        </w:rPr>
        <w:t>T</w:t>
      </w:r>
      <w:r w:rsidRPr="24A4069D">
        <w:rPr>
          <w:szCs w:val="24"/>
        </w:rPr>
        <w:t>o</w:t>
      </w:r>
      <w:r w:rsidR="00E02447">
        <w:rPr>
          <w:szCs w:val="24"/>
        </w:rPr>
        <w:t>Webinar</w:t>
      </w:r>
      <w:proofErr w:type="spellEnd"/>
      <w:r w:rsidRPr="24A4069D">
        <w:rPr>
          <w:szCs w:val="24"/>
        </w:rPr>
        <w:t xml:space="preserve"> license from ITU. Considering the local time difference, sessions were conducted from 14:00 to 17:30, Bangkok time (UTC+7H), i.e., 08:00 to 11:30 Geneva time</w:t>
      </w:r>
      <w:r w:rsidR="00E02447">
        <w:rPr>
          <w:szCs w:val="24"/>
        </w:rPr>
        <w:t>.</w:t>
      </w:r>
    </w:p>
    <w:p w14:paraId="2FA5DE38" w14:textId="5DC7E71F" w:rsidR="0088150F" w:rsidRDefault="0088150F" w:rsidP="0088150F">
      <w:pPr>
        <w:spacing w:line="257" w:lineRule="auto"/>
        <w:jc w:val="both"/>
        <w:rPr>
          <w:szCs w:val="24"/>
        </w:rPr>
      </w:pPr>
      <w:r w:rsidRPr="24A4069D">
        <w:rPr>
          <w:szCs w:val="24"/>
        </w:rPr>
        <w:t>From Monday to Thursday</w:t>
      </w:r>
      <w:r w:rsidR="006C375B">
        <w:rPr>
          <w:szCs w:val="24"/>
        </w:rPr>
        <w:t>,</w:t>
      </w:r>
      <w:r w:rsidRPr="24A4069D">
        <w:rPr>
          <w:szCs w:val="24"/>
        </w:rPr>
        <w:t xml:space="preserve"> </w:t>
      </w:r>
      <w:r w:rsidR="006C375B">
        <w:rPr>
          <w:szCs w:val="24"/>
        </w:rPr>
        <w:t>19-</w:t>
      </w:r>
      <w:r w:rsidRPr="24A4069D">
        <w:rPr>
          <w:szCs w:val="24"/>
        </w:rPr>
        <w:t xml:space="preserve">22 October, the seminar covered plenary sessions; </w:t>
      </w:r>
      <w:r w:rsidR="006C375B">
        <w:rPr>
          <w:szCs w:val="24"/>
        </w:rPr>
        <w:t xml:space="preserve">on </w:t>
      </w:r>
      <w:r w:rsidRPr="24A4069D">
        <w:rPr>
          <w:szCs w:val="24"/>
        </w:rPr>
        <w:t>Friday and Monday</w:t>
      </w:r>
      <w:r w:rsidR="006C375B">
        <w:rPr>
          <w:szCs w:val="24"/>
        </w:rPr>
        <w:t>, 17 and</w:t>
      </w:r>
      <w:r w:rsidRPr="24A4069D">
        <w:rPr>
          <w:szCs w:val="24"/>
        </w:rPr>
        <w:t xml:space="preserve"> 20</w:t>
      </w:r>
      <w:r w:rsidR="006C375B">
        <w:rPr>
          <w:szCs w:val="24"/>
        </w:rPr>
        <w:t xml:space="preserve"> October</w:t>
      </w:r>
      <w:r w:rsidRPr="24A4069D">
        <w:rPr>
          <w:szCs w:val="24"/>
        </w:rPr>
        <w:t>, the seminar performed tutorials on the process of coordination and notification. RRS-20-Americas concluded with a 4 half-day Forum on "</w:t>
      </w:r>
      <w:r w:rsidRPr="24A4069D">
        <w:rPr>
          <w:i/>
          <w:iCs/>
          <w:szCs w:val="24"/>
        </w:rPr>
        <w:t>WRC-19 Outcomes: Challenges and opportunities for the Region</w:t>
      </w:r>
      <w:r w:rsidRPr="24A4069D">
        <w:rPr>
          <w:szCs w:val="24"/>
        </w:rPr>
        <w:t>” gathering main stakeholders in the region. The</w:t>
      </w:r>
      <w:r w:rsidRPr="24A4069D" w:rsidDel="00A65498">
        <w:rPr>
          <w:szCs w:val="24"/>
        </w:rPr>
        <w:t xml:space="preserve"> </w:t>
      </w:r>
      <w:r w:rsidR="00A65498">
        <w:rPr>
          <w:szCs w:val="24"/>
        </w:rPr>
        <w:t>Forum</w:t>
      </w:r>
      <w:r w:rsidR="00A65498" w:rsidRPr="24A4069D">
        <w:rPr>
          <w:szCs w:val="24"/>
        </w:rPr>
        <w:t xml:space="preserve"> </w:t>
      </w:r>
      <w:r w:rsidRPr="24A4069D">
        <w:rPr>
          <w:szCs w:val="24"/>
        </w:rPr>
        <w:t>topics included:  New trends on Broadcasting, HTSS; Non-GSO Constellations; ESIM, Emergency Communications, Aeronautical, Maritime, ITS, IMT and Broadband Systems, 5G Spectrum Pricing, Cognitive Radio &amp; Software Defined Radio Round Table WRC-19 Outcomes and WRC-23 Agenda Challenges</w:t>
      </w:r>
      <w:r w:rsidR="00DA398B">
        <w:rPr>
          <w:szCs w:val="24"/>
        </w:rPr>
        <w:t>.</w:t>
      </w:r>
    </w:p>
    <w:p w14:paraId="094AD6A0" w14:textId="77777777" w:rsidR="0088150F" w:rsidRDefault="0088150F" w:rsidP="0088150F">
      <w:pPr>
        <w:spacing w:line="257" w:lineRule="auto"/>
        <w:jc w:val="both"/>
        <w:rPr>
          <w:szCs w:val="24"/>
        </w:rPr>
      </w:pPr>
      <w:r w:rsidRPr="24A4069D">
        <w:rPr>
          <w:szCs w:val="24"/>
        </w:rPr>
        <w:t>As in prior RRS online, participation largely exceeded expectations: the event was attended by more than 300 participants from over 30 countries, as well as 10 international organizations, and representatives of the telecommunication industry, operators, international organizations, associations, and academia from the Asia-Pacific region, which shows the great success of this event.</w:t>
      </w:r>
    </w:p>
    <w:p w14:paraId="4821DED9" w14:textId="7CD60E65" w:rsidR="00713AFE" w:rsidRPr="00E65CCA" w:rsidRDefault="00E65CCA" w:rsidP="00E65CCA">
      <w:pPr>
        <w:jc w:val="both"/>
      </w:pPr>
      <w:r>
        <w:t>Table 8.2.2-</w:t>
      </w:r>
      <w:r w:rsidR="00A75C8A">
        <w:t>2</w:t>
      </w:r>
      <w:r w:rsidR="00713AFE">
        <w:t xml:space="preserve"> provides a summary of the RRSs held </w:t>
      </w:r>
      <w:r w:rsidR="00A75C8A">
        <w:t>in 2020</w:t>
      </w:r>
      <w:r>
        <w:t>.</w:t>
      </w:r>
    </w:p>
    <w:p w14:paraId="566F05F2" w14:textId="77777777" w:rsidR="00713AFE" w:rsidRPr="000C4608" w:rsidRDefault="00713AFE" w:rsidP="00713AFE">
      <w:pPr>
        <w:pStyle w:val="enumlev1"/>
        <w:rPr>
          <w:szCs w:val="24"/>
        </w:rPr>
      </w:pPr>
    </w:p>
    <w:p w14:paraId="7C43E9F4" w14:textId="77777777" w:rsidR="00713AFE" w:rsidRPr="000C4608" w:rsidRDefault="00713AFE" w:rsidP="00713AFE">
      <w:pPr>
        <w:rPr>
          <w:szCs w:val="24"/>
        </w:rPr>
        <w:sectPr w:rsidR="00713AFE" w:rsidRPr="000C4608" w:rsidSect="00821CFB">
          <w:headerReference w:type="default" r:id="rId41"/>
          <w:pgSz w:w="11907" w:h="16834"/>
          <w:pgMar w:top="1418" w:right="1134" w:bottom="2127" w:left="1134" w:header="720" w:footer="720" w:gutter="0"/>
          <w:paperSrc w:first="15" w:other="15"/>
          <w:cols w:space="720"/>
          <w:docGrid w:linePitch="326"/>
        </w:sectPr>
      </w:pPr>
    </w:p>
    <w:p w14:paraId="54733C10" w14:textId="440E2F8F" w:rsidR="00713AFE" w:rsidRDefault="00713AFE" w:rsidP="00713AFE">
      <w:pPr>
        <w:pStyle w:val="TableNo"/>
        <w:rPr>
          <w:lang w:val="en-US"/>
        </w:rPr>
      </w:pPr>
      <w:r>
        <w:rPr>
          <w:lang w:val="en-US"/>
        </w:rPr>
        <w:lastRenderedPageBreak/>
        <w:t>Table 8.</w:t>
      </w:r>
      <w:r w:rsidRPr="00776E42">
        <w:rPr>
          <w:lang w:val="en-US"/>
        </w:rPr>
        <w:t>2</w:t>
      </w:r>
      <w:r>
        <w:rPr>
          <w:lang w:val="en-US"/>
        </w:rPr>
        <w:t>.</w:t>
      </w:r>
      <w:r w:rsidRPr="00776E42">
        <w:rPr>
          <w:lang w:val="en-US"/>
        </w:rPr>
        <w:t>2-</w:t>
      </w:r>
      <w:r w:rsidR="00AF2DEE">
        <w:rPr>
          <w:lang w:val="en-US"/>
        </w:rPr>
        <w:t>2</w:t>
      </w:r>
    </w:p>
    <w:p w14:paraId="63D4068E" w14:textId="26050998" w:rsidR="00713AFE" w:rsidRPr="00776E42" w:rsidRDefault="00713AFE" w:rsidP="00713AFE">
      <w:pPr>
        <w:pStyle w:val="TabletitleBR"/>
      </w:pPr>
      <w:r w:rsidRPr="00776E42">
        <w:t>ITU Regional Radiocommunication Seminars</w:t>
      </w:r>
      <w:r w:rsidR="0053520F">
        <w:t xml:space="preserve"> (2020)</w:t>
      </w:r>
    </w:p>
    <w:p w14:paraId="580C6022" w14:textId="77777777" w:rsidR="00713AFE" w:rsidRDefault="00713AFE" w:rsidP="00713AFE">
      <w:pPr>
        <w:rPr>
          <w:rFonts w:asciiTheme="majorBidi" w:hAnsiTheme="majorBidi" w:cstheme="majorBidi"/>
        </w:rPr>
      </w:pPr>
    </w:p>
    <w:tbl>
      <w:tblPr>
        <w:tblStyle w:val="GridTable4-Accent122"/>
        <w:tblW w:w="15304" w:type="dxa"/>
        <w:tblLayout w:type="fixed"/>
        <w:tblLook w:val="0420" w:firstRow="1" w:lastRow="0" w:firstColumn="0" w:lastColumn="0" w:noHBand="0" w:noVBand="1"/>
      </w:tblPr>
      <w:tblGrid>
        <w:gridCol w:w="1413"/>
        <w:gridCol w:w="1984"/>
        <w:gridCol w:w="1276"/>
        <w:gridCol w:w="1134"/>
        <w:gridCol w:w="2552"/>
        <w:gridCol w:w="5244"/>
        <w:gridCol w:w="851"/>
        <w:gridCol w:w="850"/>
      </w:tblGrid>
      <w:tr w:rsidR="00483919" w:rsidRPr="00F04662" w14:paraId="71A1160E" w14:textId="77777777" w:rsidTr="00741341">
        <w:trPr>
          <w:cnfStyle w:val="100000000000" w:firstRow="1" w:lastRow="0" w:firstColumn="0" w:lastColumn="0" w:oddVBand="0" w:evenVBand="0" w:oddHBand="0" w:evenHBand="0" w:firstRowFirstColumn="0" w:firstRowLastColumn="0" w:lastRowFirstColumn="0" w:lastRowLastColumn="0"/>
        </w:trPr>
        <w:tc>
          <w:tcPr>
            <w:tcW w:w="1413" w:type="dxa"/>
            <w:vAlign w:val="center"/>
          </w:tcPr>
          <w:p w14:paraId="6DD0DD6D"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Date</w:t>
            </w:r>
          </w:p>
        </w:tc>
        <w:tc>
          <w:tcPr>
            <w:tcW w:w="1984" w:type="dxa"/>
            <w:vAlign w:val="center"/>
          </w:tcPr>
          <w:p w14:paraId="00CBA014"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RRS</w:t>
            </w:r>
          </w:p>
        </w:tc>
        <w:tc>
          <w:tcPr>
            <w:tcW w:w="1276" w:type="dxa"/>
            <w:vAlign w:val="center"/>
          </w:tcPr>
          <w:p w14:paraId="1EC8CDF3"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Place</w:t>
            </w:r>
          </w:p>
        </w:tc>
        <w:tc>
          <w:tcPr>
            <w:tcW w:w="1134" w:type="dxa"/>
            <w:vAlign w:val="center"/>
          </w:tcPr>
          <w:p w14:paraId="18919CFA"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Host</w:t>
            </w:r>
          </w:p>
        </w:tc>
        <w:tc>
          <w:tcPr>
            <w:tcW w:w="2552" w:type="dxa"/>
            <w:vAlign w:val="center"/>
          </w:tcPr>
          <w:p w14:paraId="253FDC8E"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Cooperation</w:t>
            </w:r>
          </w:p>
        </w:tc>
        <w:tc>
          <w:tcPr>
            <w:tcW w:w="5244" w:type="dxa"/>
            <w:vAlign w:val="center"/>
          </w:tcPr>
          <w:p w14:paraId="1DFCF87C"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Forum Topics</w:t>
            </w:r>
          </w:p>
        </w:tc>
        <w:tc>
          <w:tcPr>
            <w:tcW w:w="851" w:type="dxa"/>
            <w:vAlign w:val="center"/>
          </w:tcPr>
          <w:p w14:paraId="0CD5746B"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Lang.</w:t>
            </w:r>
          </w:p>
        </w:tc>
        <w:tc>
          <w:tcPr>
            <w:tcW w:w="850" w:type="dxa"/>
            <w:vAlign w:val="center"/>
          </w:tcPr>
          <w:p w14:paraId="73DFF403"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Parts/</w:t>
            </w:r>
            <w:r w:rsidRPr="006E23BB">
              <w:rPr>
                <w:rFonts w:asciiTheme="majorBidi" w:hAnsiTheme="majorBidi" w:cstheme="majorBidi"/>
                <w:sz w:val="20"/>
                <w:szCs w:val="20"/>
              </w:rPr>
              <w:br/>
            </w:r>
            <w:proofErr w:type="spellStart"/>
            <w:r w:rsidRPr="006E23BB">
              <w:rPr>
                <w:rFonts w:asciiTheme="majorBidi" w:hAnsiTheme="majorBidi" w:cstheme="majorBidi"/>
                <w:sz w:val="20"/>
                <w:szCs w:val="20"/>
              </w:rPr>
              <w:t>Adms</w:t>
            </w:r>
            <w:proofErr w:type="spellEnd"/>
          </w:p>
        </w:tc>
      </w:tr>
      <w:tr w:rsidR="00713AFE" w:rsidRPr="00F04662" w14:paraId="37F1B272" w14:textId="77777777" w:rsidTr="00821CFB">
        <w:trPr>
          <w:cnfStyle w:val="000000100000" w:firstRow="0" w:lastRow="0" w:firstColumn="0" w:lastColumn="0" w:oddVBand="0" w:evenVBand="0" w:oddHBand="1" w:evenHBand="0" w:firstRowFirstColumn="0" w:firstRowLastColumn="0" w:lastRowFirstColumn="0" w:lastRowLastColumn="0"/>
        </w:trPr>
        <w:tc>
          <w:tcPr>
            <w:tcW w:w="15304" w:type="dxa"/>
            <w:gridSpan w:val="8"/>
          </w:tcPr>
          <w:p w14:paraId="4BD7FC2A" w14:textId="0A2F3EB5" w:rsidR="00713AFE" w:rsidRPr="00271369" w:rsidRDefault="00713AFE" w:rsidP="00483919">
            <w:pPr>
              <w:spacing w:before="0"/>
              <w:jc w:val="center"/>
              <w:rPr>
                <w:rFonts w:asciiTheme="majorBidi" w:hAnsiTheme="majorBidi" w:cstheme="majorBidi"/>
                <w:b/>
                <w:sz w:val="20"/>
              </w:rPr>
            </w:pPr>
            <w:r w:rsidRPr="00271369">
              <w:rPr>
                <w:rFonts w:asciiTheme="majorBidi" w:hAnsiTheme="majorBidi" w:cstheme="majorBidi"/>
                <w:b/>
                <w:sz w:val="20"/>
              </w:rPr>
              <w:t>20</w:t>
            </w:r>
            <w:r w:rsidR="00A74737">
              <w:rPr>
                <w:rFonts w:asciiTheme="majorBidi" w:hAnsiTheme="majorBidi" w:cstheme="majorBidi"/>
                <w:b/>
                <w:sz w:val="20"/>
              </w:rPr>
              <w:t>20</w:t>
            </w:r>
          </w:p>
        </w:tc>
      </w:tr>
      <w:tr w:rsidR="00A55F7E" w:rsidRPr="00F04662" w14:paraId="0AA929F5" w14:textId="77777777" w:rsidTr="00741341">
        <w:tc>
          <w:tcPr>
            <w:tcW w:w="1413" w:type="dxa"/>
          </w:tcPr>
          <w:p w14:paraId="7D35243D" w14:textId="2F1F0F37" w:rsidR="00A55F7E" w:rsidRPr="006E23BB" w:rsidRDefault="00A55F7E" w:rsidP="00483919">
            <w:pPr>
              <w:spacing w:before="0"/>
              <w:rPr>
                <w:rFonts w:asciiTheme="majorBidi" w:hAnsiTheme="majorBidi" w:cstheme="majorBidi"/>
                <w:sz w:val="20"/>
                <w:szCs w:val="20"/>
              </w:rPr>
            </w:pPr>
            <w:r w:rsidRPr="00D81613">
              <w:rPr>
                <w:rFonts w:asciiTheme="majorBidi" w:hAnsiTheme="majorBidi" w:cstheme="majorBidi"/>
                <w:sz w:val="20"/>
                <w:szCs w:val="20"/>
              </w:rPr>
              <w:t>13-24 July 2020</w:t>
            </w:r>
          </w:p>
        </w:tc>
        <w:tc>
          <w:tcPr>
            <w:tcW w:w="1984" w:type="dxa"/>
          </w:tcPr>
          <w:p w14:paraId="7ABC409A" w14:textId="55978B58" w:rsidR="00A55F7E" w:rsidRPr="006E23BB" w:rsidRDefault="00A55F7E" w:rsidP="00483919">
            <w:pPr>
              <w:spacing w:before="0"/>
              <w:rPr>
                <w:rFonts w:asciiTheme="majorBidi" w:hAnsiTheme="majorBidi" w:cstheme="majorBidi"/>
                <w:sz w:val="20"/>
                <w:szCs w:val="20"/>
              </w:rPr>
            </w:pPr>
            <w:r w:rsidRPr="006E23BB">
              <w:rPr>
                <w:rFonts w:asciiTheme="majorBidi" w:hAnsiTheme="majorBidi" w:cstheme="majorBidi"/>
                <w:sz w:val="20"/>
                <w:szCs w:val="20"/>
              </w:rPr>
              <w:t>RRS-</w:t>
            </w:r>
            <w:r>
              <w:rPr>
                <w:rFonts w:asciiTheme="majorBidi" w:hAnsiTheme="majorBidi" w:cstheme="majorBidi"/>
                <w:sz w:val="20"/>
                <w:szCs w:val="20"/>
              </w:rPr>
              <w:t>20</w:t>
            </w:r>
            <w:r w:rsidRPr="006E23BB">
              <w:rPr>
                <w:rFonts w:asciiTheme="majorBidi" w:hAnsiTheme="majorBidi" w:cstheme="majorBidi"/>
                <w:sz w:val="20"/>
                <w:szCs w:val="20"/>
              </w:rPr>
              <w:t xml:space="preserve"> Americas</w:t>
            </w:r>
          </w:p>
        </w:tc>
        <w:tc>
          <w:tcPr>
            <w:tcW w:w="1276" w:type="dxa"/>
          </w:tcPr>
          <w:p w14:paraId="23074B4F" w14:textId="31C98B0F" w:rsidR="00A55F7E" w:rsidRPr="006E23BB" w:rsidRDefault="00A55F7E" w:rsidP="00483919">
            <w:pPr>
              <w:spacing w:before="0"/>
              <w:jc w:val="center"/>
              <w:rPr>
                <w:rFonts w:asciiTheme="majorBidi" w:hAnsiTheme="majorBidi" w:cstheme="majorBidi"/>
                <w:sz w:val="20"/>
                <w:szCs w:val="20"/>
              </w:rPr>
            </w:pPr>
            <w:r>
              <w:rPr>
                <w:rFonts w:asciiTheme="majorBidi" w:hAnsiTheme="majorBidi" w:cstheme="majorBidi"/>
                <w:sz w:val="20"/>
                <w:szCs w:val="20"/>
              </w:rPr>
              <w:t>E-meeting</w:t>
            </w:r>
          </w:p>
        </w:tc>
        <w:tc>
          <w:tcPr>
            <w:tcW w:w="1134" w:type="dxa"/>
          </w:tcPr>
          <w:p w14:paraId="69E0D6CF" w14:textId="1BE87AFE" w:rsidR="00A55F7E" w:rsidRPr="006E23BB" w:rsidRDefault="00A55F7E" w:rsidP="00483919">
            <w:pPr>
              <w:spacing w:before="0"/>
              <w:jc w:val="center"/>
              <w:rPr>
                <w:rFonts w:asciiTheme="majorBidi" w:hAnsiTheme="majorBidi" w:cstheme="majorBidi"/>
                <w:sz w:val="20"/>
                <w:szCs w:val="20"/>
              </w:rPr>
            </w:pPr>
            <w:r w:rsidRPr="00535449">
              <w:rPr>
                <w:sz w:val="20"/>
              </w:rPr>
              <w:t>−</w:t>
            </w:r>
          </w:p>
        </w:tc>
        <w:tc>
          <w:tcPr>
            <w:tcW w:w="2552" w:type="dxa"/>
          </w:tcPr>
          <w:p w14:paraId="40C3331F" w14:textId="54D1E9DE" w:rsidR="00A55F7E" w:rsidRDefault="00A55F7E" w:rsidP="00483919">
            <w:pPr>
              <w:spacing w:before="0"/>
              <w:jc w:val="center"/>
              <w:rPr>
                <w:sz w:val="20"/>
              </w:rPr>
            </w:pPr>
            <w:r w:rsidRPr="00271369">
              <w:rPr>
                <w:sz w:val="20"/>
              </w:rPr>
              <w:t xml:space="preserve">Caribbean Telecommunications Union (CTU) </w:t>
            </w:r>
          </w:p>
          <w:p w14:paraId="1405DB78" w14:textId="77777777" w:rsidR="00483919" w:rsidRDefault="00483919" w:rsidP="00483919">
            <w:pPr>
              <w:spacing w:before="0"/>
              <w:jc w:val="center"/>
              <w:rPr>
                <w:sz w:val="20"/>
              </w:rPr>
            </w:pPr>
          </w:p>
          <w:p w14:paraId="4B7B024E" w14:textId="1B8D05BB" w:rsidR="00A55F7E" w:rsidRPr="006E23BB" w:rsidRDefault="00A55F7E" w:rsidP="00483919">
            <w:pPr>
              <w:spacing w:before="0"/>
              <w:jc w:val="center"/>
              <w:rPr>
                <w:rFonts w:asciiTheme="majorBidi" w:hAnsiTheme="majorBidi" w:cstheme="majorBidi"/>
                <w:sz w:val="20"/>
                <w:szCs w:val="20"/>
              </w:rPr>
            </w:pPr>
            <w:r w:rsidRPr="00271369">
              <w:rPr>
                <w:sz w:val="20"/>
              </w:rPr>
              <w:t>ITU Americas Office</w:t>
            </w:r>
          </w:p>
        </w:tc>
        <w:tc>
          <w:tcPr>
            <w:tcW w:w="5244" w:type="dxa"/>
          </w:tcPr>
          <w:p w14:paraId="0C2185C4" w14:textId="77777777" w:rsidR="00A55F7E" w:rsidRDefault="00A55F7E" w:rsidP="00483919">
            <w:pPr>
              <w:spacing w:before="0"/>
              <w:rPr>
                <w:rFonts w:cs="Times New Roman"/>
                <w:sz w:val="20"/>
              </w:rPr>
            </w:pPr>
            <w:r>
              <w:rPr>
                <w:rFonts w:cs="Times New Roman"/>
                <w:sz w:val="20"/>
              </w:rPr>
              <w:t>• Broadcasting: towards DTT.</w:t>
            </w:r>
          </w:p>
          <w:p w14:paraId="7D1577D5" w14:textId="77777777" w:rsidR="00A55F7E" w:rsidRDefault="00A55F7E" w:rsidP="00483919">
            <w:pPr>
              <w:spacing w:before="0"/>
              <w:rPr>
                <w:sz w:val="20"/>
              </w:rPr>
            </w:pPr>
            <w:r>
              <w:rPr>
                <w:rFonts w:cs="Times New Roman"/>
                <w:sz w:val="20"/>
              </w:rPr>
              <w:t>•</w:t>
            </w:r>
            <w:r>
              <w:rPr>
                <w:sz w:val="20"/>
              </w:rPr>
              <w:t xml:space="preserve"> </w:t>
            </w:r>
            <w:r>
              <w:rPr>
                <w:rFonts w:cstheme="majorBidi"/>
                <w:sz w:val="20"/>
              </w:rPr>
              <w:t>Satellite systems: HTSS, non-GSO constellations and ESIM.</w:t>
            </w:r>
          </w:p>
          <w:p w14:paraId="3BA31918" w14:textId="77777777" w:rsidR="00A55F7E" w:rsidRDefault="00A55F7E" w:rsidP="00483919">
            <w:pPr>
              <w:spacing w:before="0"/>
              <w:rPr>
                <w:sz w:val="20"/>
              </w:rPr>
            </w:pPr>
            <w:r>
              <w:rPr>
                <w:rFonts w:cs="Times New Roman"/>
                <w:sz w:val="20"/>
              </w:rPr>
              <w:t>•</w:t>
            </w:r>
            <w:r>
              <w:rPr>
                <w:sz w:val="20"/>
              </w:rPr>
              <w:t xml:space="preserve"> </w:t>
            </w:r>
            <w:r w:rsidRPr="002528CE">
              <w:rPr>
                <w:sz w:val="20"/>
              </w:rPr>
              <w:t>ITU assistance on preparation of</w:t>
            </w:r>
            <w:r>
              <w:rPr>
                <w:sz w:val="20"/>
              </w:rPr>
              <w:t xml:space="preserve"> </w:t>
            </w:r>
            <w:r w:rsidRPr="002528CE">
              <w:rPr>
                <w:sz w:val="20"/>
              </w:rPr>
              <w:t>National Plan for Emergency Communication Policies and Procedural Frameworks</w:t>
            </w:r>
          </w:p>
          <w:p w14:paraId="7B068B27" w14:textId="77777777" w:rsidR="00A55F7E" w:rsidRPr="002528CE" w:rsidRDefault="00A55F7E" w:rsidP="00483919">
            <w:pPr>
              <w:spacing w:before="0"/>
              <w:rPr>
                <w:sz w:val="20"/>
              </w:rPr>
            </w:pPr>
            <w:r>
              <w:rPr>
                <w:rFonts w:cs="Times New Roman"/>
                <w:sz w:val="20"/>
              </w:rPr>
              <w:t>•</w:t>
            </w:r>
            <w:r>
              <w:rPr>
                <w:sz w:val="20"/>
              </w:rPr>
              <w:t xml:space="preserve"> </w:t>
            </w:r>
            <w:r w:rsidRPr="002528CE">
              <w:rPr>
                <w:sz w:val="20"/>
              </w:rPr>
              <w:t xml:space="preserve">IMT &amp; Broadband Systems: Bands, </w:t>
            </w:r>
            <w:r>
              <w:rPr>
                <w:sz w:val="20"/>
              </w:rPr>
              <w:t>regional s</w:t>
            </w:r>
            <w:r w:rsidRPr="002528CE">
              <w:rPr>
                <w:sz w:val="20"/>
              </w:rPr>
              <w:t>tatus, Fixed, HAPS, RLAN/Wi-Fi.</w:t>
            </w:r>
          </w:p>
          <w:p w14:paraId="4515446A" w14:textId="77777777" w:rsidR="00A55F7E" w:rsidRPr="002528CE" w:rsidRDefault="00A55F7E" w:rsidP="00483919">
            <w:pPr>
              <w:spacing w:before="0"/>
              <w:rPr>
                <w:sz w:val="20"/>
              </w:rPr>
            </w:pPr>
            <w:r w:rsidRPr="002528CE">
              <w:rPr>
                <w:sz w:val="20"/>
              </w:rPr>
              <w:t>• General Principles, challenges and approaches of 5G spectrum pricing.</w:t>
            </w:r>
          </w:p>
          <w:p w14:paraId="49145675" w14:textId="5BEE6A0D" w:rsidR="00A55F7E" w:rsidRPr="006E23BB" w:rsidRDefault="00A55F7E" w:rsidP="003F108F">
            <w:pPr>
              <w:spacing w:before="0"/>
              <w:rPr>
                <w:rFonts w:asciiTheme="majorBidi" w:hAnsiTheme="majorBidi" w:cstheme="majorBidi"/>
                <w:sz w:val="20"/>
                <w:szCs w:val="20"/>
              </w:rPr>
            </w:pPr>
            <w:r w:rsidRPr="002528CE">
              <w:rPr>
                <w:sz w:val="20"/>
              </w:rPr>
              <w:t>• Round Table on WRC-19 outcomes and WRC-23 Agenda challenges.</w:t>
            </w:r>
          </w:p>
        </w:tc>
        <w:tc>
          <w:tcPr>
            <w:tcW w:w="851" w:type="dxa"/>
          </w:tcPr>
          <w:p w14:paraId="2C45A477" w14:textId="646762DE" w:rsidR="00A55F7E" w:rsidRPr="006E23BB" w:rsidRDefault="00A55F7E" w:rsidP="00483919">
            <w:pPr>
              <w:spacing w:before="0"/>
              <w:jc w:val="center"/>
              <w:rPr>
                <w:rFonts w:asciiTheme="majorBidi" w:hAnsiTheme="majorBidi" w:cstheme="majorBidi"/>
                <w:sz w:val="20"/>
                <w:szCs w:val="20"/>
              </w:rPr>
            </w:pPr>
            <w:r w:rsidRPr="00271369">
              <w:rPr>
                <w:sz w:val="20"/>
              </w:rPr>
              <w:t>E</w:t>
            </w:r>
          </w:p>
        </w:tc>
        <w:tc>
          <w:tcPr>
            <w:tcW w:w="850" w:type="dxa"/>
          </w:tcPr>
          <w:p w14:paraId="06C33A88" w14:textId="6D48B8EF" w:rsidR="00A55F7E" w:rsidRPr="006E23BB" w:rsidRDefault="00A55F7E" w:rsidP="00483919">
            <w:pPr>
              <w:spacing w:before="0"/>
              <w:jc w:val="center"/>
              <w:rPr>
                <w:rFonts w:asciiTheme="majorBidi" w:hAnsiTheme="majorBidi" w:cstheme="majorBidi"/>
                <w:sz w:val="20"/>
                <w:szCs w:val="20"/>
              </w:rPr>
            </w:pPr>
            <w:r w:rsidRPr="00535449">
              <w:rPr>
                <w:sz w:val="20"/>
              </w:rPr>
              <w:t>350/38</w:t>
            </w:r>
          </w:p>
        </w:tc>
      </w:tr>
      <w:tr w:rsidR="00483919" w:rsidRPr="00F04662" w14:paraId="044950EC" w14:textId="77777777" w:rsidTr="00741341">
        <w:trPr>
          <w:cnfStyle w:val="000000100000" w:firstRow="0" w:lastRow="0" w:firstColumn="0" w:lastColumn="0" w:oddVBand="0" w:evenVBand="0" w:oddHBand="1" w:evenHBand="0" w:firstRowFirstColumn="0" w:firstRowLastColumn="0" w:lastRowFirstColumn="0" w:lastRowLastColumn="0"/>
        </w:trPr>
        <w:tc>
          <w:tcPr>
            <w:tcW w:w="1413" w:type="dxa"/>
          </w:tcPr>
          <w:p w14:paraId="3DC4BCFA" w14:textId="19EBA44F" w:rsidR="00A55F7E" w:rsidRPr="006E23BB" w:rsidRDefault="00A55F7E" w:rsidP="00483919">
            <w:pPr>
              <w:spacing w:before="0"/>
              <w:rPr>
                <w:rFonts w:asciiTheme="majorBidi" w:hAnsiTheme="majorBidi" w:cstheme="majorBidi"/>
                <w:sz w:val="20"/>
              </w:rPr>
            </w:pPr>
            <w:r w:rsidRPr="00D81613">
              <w:rPr>
                <w:rFonts w:asciiTheme="majorBidi" w:hAnsiTheme="majorBidi" w:cstheme="majorBidi"/>
                <w:sz w:val="20"/>
                <w:szCs w:val="20"/>
              </w:rPr>
              <w:t>19-30 October 2020</w:t>
            </w:r>
          </w:p>
        </w:tc>
        <w:tc>
          <w:tcPr>
            <w:tcW w:w="1984" w:type="dxa"/>
          </w:tcPr>
          <w:p w14:paraId="3F9299AA" w14:textId="000B2B5E" w:rsidR="00A55F7E" w:rsidRPr="006E23BB" w:rsidRDefault="00A55F7E" w:rsidP="00483919">
            <w:pPr>
              <w:spacing w:before="0"/>
              <w:rPr>
                <w:rFonts w:asciiTheme="majorBidi" w:hAnsiTheme="majorBidi" w:cstheme="majorBidi"/>
                <w:sz w:val="20"/>
              </w:rPr>
            </w:pPr>
            <w:r w:rsidRPr="006E23BB">
              <w:rPr>
                <w:rFonts w:asciiTheme="majorBidi" w:hAnsiTheme="majorBidi" w:cstheme="majorBidi"/>
                <w:sz w:val="20"/>
                <w:szCs w:val="20"/>
              </w:rPr>
              <w:t>RRS-</w:t>
            </w:r>
            <w:r>
              <w:rPr>
                <w:rFonts w:asciiTheme="majorBidi" w:hAnsiTheme="majorBidi" w:cstheme="majorBidi"/>
                <w:sz w:val="20"/>
                <w:szCs w:val="20"/>
              </w:rPr>
              <w:t>20</w:t>
            </w:r>
            <w:r w:rsidRPr="006E23BB">
              <w:rPr>
                <w:rFonts w:asciiTheme="majorBidi" w:hAnsiTheme="majorBidi" w:cstheme="majorBidi"/>
                <w:sz w:val="20"/>
                <w:szCs w:val="20"/>
              </w:rPr>
              <w:t xml:space="preserve"> Asia-Pacific</w:t>
            </w:r>
          </w:p>
        </w:tc>
        <w:tc>
          <w:tcPr>
            <w:tcW w:w="1276" w:type="dxa"/>
          </w:tcPr>
          <w:p w14:paraId="761DD63D" w14:textId="478B5F42" w:rsidR="00A55F7E" w:rsidRPr="006E23BB" w:rsidRDefault="00A55F7E" w:rsidP="00483919">
            <w:pPr>
              <w:spacing w:before="0"/>
              <w:jc w:val="center"/>
              <w:rPr>
                <w:rFonts w:asciiTheme="majorBidi" w:hAnsiTheme="majorBidi" w:cstheme="majorBidi"/>
                <w:sz w:val="20"/>
              </w:rPr>
            </w:pPr>
            <w:r>
              <w:rPr>
                <w:rFonts w:asciiTheme="majorBidi" w:hAnsiTheme="majorBidi" w:cstheme="majorBidi"/>
                <w:sz w:val="20"/>
                <w:szCs w:val="20"/>
              </w:rPr>
              <w:t>E-meeting</w:t>
            </w:r>
          </w:p>
        </w:tc>
        <w:tc>
          <w:tcPr>
            <w:tcW w:w="1134" w:type="dxa"/>
          </w:tcPr>
          <w:p w14:paraId="71B0C6F0" w14:textId="48D243F7" w:rsidR="00A55F7E" w:rsidRPr="006E23BB" w:rsidRDefault="00A55F7E" w:rsidP="00483919">
            <w:pPr>
              <w:spacing w:before="0"/>
              <w:jc w:val="center"/>
              <w:rPr>
                <w:rFonts w:asciiTheme="majorBidi" w:hAnsiTheme="majorBidi" w:cstheme="majorBidi"/>
                <w:sz w:val="20"/>
              </w:rPr>
            </w:pPr>
            <w:r w:rsidRPr="00535449">
              <w:rPr>
                <w:rFonts w:cs="Times New Roman"/>
                <w:sz w:val="20"/>
              </w:rPr>
              <w:t>−</w:t>
            </w:r>
          </w:p>
        </w:tc>
        <w:tc>
          <w:tcPr>
            <w:tcW w:w="2552" w:type="dxa"/>
          </w:tcPr>
          <w:p w14:paraId="45862BCE" w14:textId="1786E17D" w:rsidR="00A55F7E" w:rsidRDefault="00A55F7E" w:rsidP="00483919">
            <w:pPr>
              <w:spacing w:before="0"/>
              <w:jc w:val="center"/>
              <w:rPr>
                <w:sz w:val="20"/>
                <w:szCs w:val="20"/>
              </w:rPr>
            </w:pPr>
            <w:r>
              <w:rPr>
                <w:sz w:val="20"/>
                <w:szCs w:val="20"/>
              </w:rPr>
              <w:t xml:space="preserve">Asia-Pacific </w:t>
            </w:r>
            <w:proofErr w:type="spellStart"/>
            <w:r>
              <w:rPr>
                <w:sz w:val="20"/>
                <w:szCs w:val="20"/>
              </w:rPr>
              <w:t>Telecommunity</w:t>
            </w:r>
            <w:proofErr w:type="spellEnd"/>
            <w:r>
              <w:rPr>
                <w:sz w:val="20"/>
                <w:szCs w:val="20"/>
              </w:rPr>
              <w:t xml:space="preserve"> (APT)</w:t>
            </w:r>
            <w:r w:rsidR="00741341">
              <w:rPr>
                <w:sz w:val="20"/>
                <w:szCs w:val="20"/>
              </w:rPr>
              <w:br/>
            </w:r>
          </w:p>
          <w:p w14:paraId="25CCCADE" w14:textId="474B45D8" w:rsidR="00A55F7E" w:rsidRPr="006E23BB" w:rsidRDefault="00A55F7E" w:rsidP="00483919">
            <w:pPr>
              <w:spacing w:before="0"/>
              <w:jc w:val="center"/>
              <w:rPr>
                <w:rFonts w:asciiTheme="majorBidi" w:hAnsiTheme="majorBidi" w:cstheme="majorBidi"/>
                <w:sz w:val="20"/>
              </w:rPr>
            </w:pPr>
            <w:r w:rsidRPr="00271369">
              <w:rPr>
                <w:sz w:val="20"/>
              </w:rPr>
              <w:t xml:space="preserve">ITU </w:t>
            </w:r>
            <w:proofErr w:type="spellStart"/>
            <w:r w:rsidRPr="00271369">
              <w:rPr>
                <w:sz w:val="20"/>
              </w:rPr>
              <w:t>Asia&amp;Pacific</w:t>
            </w:r>
            <w:proofErr w:type="spellEnd"/>
            <w:r w:rsidRPr="00271369">
              <w:rPr>
                <w:sz w:val="20"/>
              </w:rPr>
              <w:t xml:space="preserve"> Office</w:t>
            </w:r>
          </w:p>
        </w:tc>
        <w:tc>
          <w:tcPr>
            <w:tcW w:w="5244" w:type="dxa"/>
          </w:tcPr>
          <w:p w14:paraId="2DC3384D" w14:textId="77777777" w:rsidR="00A55F7E" w:rsidRDefault="00A55F7E" w:rsidP="00483919">
            <w:pPr>
              <w:spacing w:before="0"/>
              <w:rPr>
                <w:rFonts w:cs="Times New Roman"/>
                <w:sz w:val="20"/>
              </w:rPr>
            </w:pPr>
            <w:r>
              <w:rPr>
                <w:rFonts w:cs="Times New Roman"/>
                <w:sz w:val="20"/>
              </w:rPr>
              <w:t>•</w:t>
            </w:r>
            <w:r>
              <w:rPr>
                <w:sz w:val="20"/>
              </w:rPr>
              <w:t xml:space="preserve"> </w:t>
            </w:r>
            <w:r>
              <w:rPr>
                <w:rFonts w:cs="Times New Roman"/>
                <w:sz w:val="20"/>
              </w:rPr>
              <w:t>Newest trends on broadcasting.</w:t>
            </w:r>
          </w:p>
          <w:p w14:paraId="3553AABB" w14:textId="77777777" w:rsidR="00A55F7E" w:rsidRDefault="00A55F7E" w:rsidP="00483919">
            <w:pPr>
              <w:spacing w:before="0"/>
              <w:rPr>
                <w:rFonts w:cstheme="majorBidi"/>
                <w:sz w:val="20"/>
              </w:rPr>
            </w:pPr>
            <w:r>
              <w:rPr>
                <w:rFonts w:cs="Times New Roman"/>
                <w:sz w:val="20"/>
              </w:rPr>
              <w:t>•</w:t>
            </w:r>
            <w:r>
              <w:rPr>
                <w:sz w:val="20"/>
              </w:rPr>
              <w:t xml:space="preserve"> </w:t>
            </w:r>
            <w:r>
              <w:rPr>
                <w:rFonts w:cstheme="majorBidi"/>
                <w:sz w:val="20"/>
              </w:rPr>
              <w:t>Satellite systems: HTSS, non-GSO constellations and ESIM.</w:t>
            </w:r>
          </w:p>
          <w:p w14:paraId="65C989B8" w14:textId="77777777" w:rsidR="00A55F7E" w:rsidRDefault="00A55F7E" w:rsidP="00483919">
            <w:pPr>
              <w:spacing w:before="0"/>
              <w:rPr>
                <w:rFonts w:cstheme="majorBidi"/>
                <w:sz w:val="20"/>
              </w:rPr>
            </w:pPr>
            <w:r>
              <w:rPr>
                <w:rFonts w:cs="Times New Roman"/>
                <w:sz w:val="20"/>
              </w:rPr>
              <w:t>•</w:t>
            </w:r>
            <w:r>
              <w:rPr>
                <w:sz w:val="20"/>
              </w:rPr>
              <w:t xml:space="preserve"> </w:t>
            </w:r>
            <w:r>
              <w:rPr>
                <w:rFonts w:cstheme="majorBidi"/>
                <w:sz w:val="20"/>
              </w:rPr>
              <w:t>National and band plans on emergency communications.</w:t>
            </w:r>
          </w:p>
          <w:p w14:paraId="7FB5441D" w14:textId="77777777" w:rsidR="00A55F7E" w:rsidRDefault="00A55F7E" w:rsidP="00483919">
            <w:pPr>
              <w:spacing w:before="0"/>
              <w:rPr>
                <w:rFonts w:asciiTheme="majorBidi" w:hAnsiTheme="majorBidi" w:cstheme="majorBidi"/>
                <w:sz w:val="20"/>
                <w:szCs w:val="20"/>
              </w:rPr>
            </w:pPr>
            <w:r>
              <w:rPr>
                <w:rFonts w:cs="Times New Roman"/>
                <w:sz w:val="20"/>
              </w:rPr>
              <w:t>•</w:t>
            </w:r>
            <w:r>
              <w:rPr>
                <w:sz w:val="20"/>
              </w:rPr>
              <w:t xml:space="preserve"> </w:t>
            </w:r>
            <w:r w:rsidRPr="002528CE">
              <w:rPr>
                <w:rFonts w:asciiTheme="majorBidi" w:hAnsiTheme="majorBidi" w:cstheme="majorBidi"/>
                <w:sz w:val="20"/>
                <w:szCs w:val="20"/>
              </w:rPr>
              <w:t>Transport Systems: Aeronautical, Maritime, ITS</w:t>
            </w:r>
            <w:r>
              <w:rPr>
                <w:rFonts w:asciiTheme="majorBidi" w:hAnsiTheme="majorBidi" w:cstheme="majorBidi"/>
                <w:sz w:val="20"/>
                <w:szCs w:val="20"/>
              </w:rPr>
              <w:t>.</w:t>
            </w:r>
          </w:p>
          <w:p w14:paraId="6802F86E" w14:textId="77777777" w:rsidR="00A55F7E" w:rsidRDefault="00A55F7E" w:rsidP="00483919">
            <w:pPr>
              <w:spacing w:before="0"/>
              <w:rPr>
                <w:rFonts w:asciiTheme="majorBidi" w:hAnsiTheme="majorBidi" w:cstheme="majorBidi"/>
                <w:sz w:val="20"/>
                <w:szCs w:val="20"/>
              </w:rPr>
            </w:pPr>
            <w:r>
              <w:rPr>
                <w:rFonts w:cs="Times New Roman"/>
                <w:sz w:val="20"/>
              </w:rPr>
              <w:t>•</w:t>
            </w:r>
            <w:r>
              <w:rPr>
                <w:sz w:val="20"/>
              </w:rPr>
              <w:t xml:space="preserve"> </w:t>
            </w:r>
            <w:r w:rsidRPr="002528CE">
              <w:rPr>
                <w:rFonts w:asciiTheme="majorBidi" w:hAnsiTheme="majorBidi" w:cstheme="majorBidi"/>
                <w:sz w:val="20"/>
                <w:szCs w:val="20"/>
              </w:rPr>
              <w:t>IMT &amp; Broadband Systems: Bands, Status, Fixed, HAPS, RLAN/Wi-Fi</w:t>
            </w:r>
            <w:r>
              <w:rPr>
                <w:rFonts w:asciiTheme="majorBidi" w:hAnsiTheme="majorBidi" w:cstheme="majorBidi"/>
                <w:sz w:val="20"/>
                <w:szCs w:val="20"/>
              </w:rPr>
              <w:t>.</w:t>
            </w:r>
          </w:p>
          <w:p w14:paraId="55018361" w14:textId="77777777" w:rsidR="00A55F7E" w:rsidRDefault="00A55F7E" w:rsidP="00483919">
            <w:pPr>
              <w:spacing w:before="0"/>
              <w:rPr>
                <w:rFonts w:asciiTheme="majorBidi" w:hAnsiTheme="majorBidi" w:cstheme="majorBidi"/>
                <w:sz w:val="20"/>
                <w:szCs w:val="20"/>
              </w:rPr>
            </w:pPr>
            <w:r>
              <w:rPr>
                <w:rFonts w:cs="Times New Roman"/>
                <w:sz w:val="20"/>
              </w:rPr>
              <w:t>•</w:t>
            </w:r>
            <w:r>
              <w:rPr>
                <w:sz w:val="20"/>
              </w:rPr>
              <w:t xml:space="preserve"> </w:t>
            </w:r>
            <w:r w:rsidRPr="002528CE">
              <w:rPr>
                <w:rFonts w:asciiTheme="majorBidi" w:hAnsiTheme="majorBidi" w:cstheme="majorBidi"/>
                <w:sz w:val="20"/>
                <w:szCs w:val="20"/>
              </w:rPr>
              <w:t xml:space="preserve">General Principles, </w:t>
            </w:r>
            <w:r>
              <w:rPr>
                <w:rFonts w:asciiTheme="majorBidi" w:hAnsiTheme="majorBidi" w:cstheme="majorBidi"/>
                <w:sz w:val="20"/>
                <w:szCs w:val="20"/>
              </w:rPr>
              <w:t>c</w:t>
            </w:r>
            <w:r w:rsidRPr="002528CE">
              <w:rPr>
                <w:rFonts w:asciiTheme="majorBidi" w:hAnsiTheme="majorBidi" w:cstheme="majorBidi"/>
                <w:sz w:val="20"/>
                <w:szCs w:val="20"/>
              </w:rPr>
              <w:t xml:space="preserve">hallenges and </w:t>
            </w:r>
            <w:r>
              <w:rPr>
                <w:rFonts w:asciiTheme="majorBidi" w:hAnsiTheme="majorBidi" w:cstheme="majorBidi"/>
                <w:sz w:val="20"/>
                <w:szCs w:val="20"/>
              </w:rPr>
              <w:t>a</w:t>
            </w:r>
            <w:r w:rsidRPr="002528CE">
              <w:rPr>
                <w:rFonts w:asciiTheme="majorBidi" w:hAnsiTheme="majorBidi" w:cstheme="majorBidi"/>
                <w:sz w:val="20"/>
                <w:szCs w:val="20"/>
              </w:rPr>
              <w:t>pproaches</w:t>
            </w:r>
            <w:r>
              <w:rPr>
                <w:rFonts w:asciiTheme="majorBidi" w:hAnsiTheme="majorBidi" w:cstheme="majorBidi"/>
                <w:sz w:val="20"/>
                <w:szCs w:val="20"/>
              </w:rPr>
              <w:t xml:space="preserve"> of </w:t>
            </w:r>
            <w:r w:rsidRPr="002528CE">
              <w:rPr>
                <w:rFonts w:asciiTheme="majorBidi" w:hAnsiTheme="majorBidi" w:cstheme="majorBidi"/>
                <w:sz w:val="20"/>
                <w:szCs w:val="20"/>
              </w:rPr>
              <w:t xml:space="preserve">5G </w:t>
            </w:r>
            <w:r>
              <w:rPr>
                <w:rFonts w:asciiTheme="majorBidi" w:hAnsiTheme="majorBidi" w:cstheme="majorBidi"/>
                <w:sz w:val="20"/>
                <w:szCs w:val="20"/>
              </w:rPr>
              <w:t>s</w:t>
            </w:r>
            <w:r w:rsidRPr="002528CE">
              <w:rPr>
                <w:rFonts w:asciiTheme="majorBidi" w:hAnsiTheme="majorBidi" w:cstheme="majorBidi"/>
                <w:sz w:val="20"/>
                <w:szCs w:val="20"/>
              </w:rPr>
              <w:t xml:space="preserve">pectrum </w:t>
            </w:r>
            <w:r>
              <w:rPr>
                <w:rFonts w:asciiTheme="majorBidi" w:hAnsiTheme="majorBidi" w:cstheme="majorBidi"/>
                <w:sz w:val="20"/>
                <w:szCs w:val="20"/>
              </w:rPr>
              <w:t>p</w:t>
            </w:r>
            <w:r w:rsidRPr="002528CE">
              <w:rPr>
                <w:rFonts w:asciiTheme="majorBidi" w:hAnsiTheme="majorBidi" w:cstheme="majorBidi"/>
                <w:sz w:val="20"/>
                <w:szCs w:val="20"/>
              </w:rPr>
              <w:t>ricing</w:t>
            </w:r>
            <w:r>
              <w:rPr>
                <w:rFonts w:asciiTheme="majorBidi" w:hAnsiTheme="majorBidi" w:cstheme="majorBidi"/>
                <w:sz w:val="20"/>
                <w:szCs w:val="20"/>
              </w:rPr>
              <w:t>.</w:t>
            </w:r>
          </w:p>
          <w:p w14:paraId="3619FDE6" w14:textId="77777777" w:rsidR="00A55F7E" w:rsidRDefault="00A55F7E" w:rsidP="00483919">
            <w:pPr>
              <w:spacing w:before="0"/>
              <w:rPr>
                <w:rFonts w:asciiTheme="majorBidi" w:hAnsiTheme="majorBidi" w:cstheme="majorBidi"/>
                <w:sz w:val="20"/>
                <w:szCs w:val="20"/>
              </w:rPr>
            </w:pPr>
            <w:r>
              <w:rPr>
                <w:rFonts w:cs="Times New Roman"/>
                <w:sz w:val="20"/>
              </w:rPr>
              <w:t>•</w:t>
            </w:r>
            <w:r>
              <w:rPr>
                <w:sz w:val="20"/>
              </w:rPr>
              <w:t xml:space="preserve"> </w:t>
            </w:r>
            <w:r w:rsidRPr="002528CE">
              <w:rPr>
                <w:rFonts w:asciiTheme="majorBidi" w:hAnsiTheme="majorBidi" w:cstheme="majorBidi"/>
                <w:sz w:val="20"/>
                <w:szCs w:val="20"/>
              </w:rPr>
              <w:t xml:space="preserve">Trends and challenges </w:t>
            </w:r>
            <w:r>
              <w:rPr>
                <w:rFonts w:asciiTheme="majorBidi" w:hAnsiTheme="majorBidi" w:cstheme="majorBidi"/>
                <w:sz w:val="20"/>
                <w:szCs w:val="20"/>
              </w:rPr>
              <w:t xml:space="preserve">of </w:t>
            </w:r>
            <w:r w:rsidRPr="002528CE">
              <w:rPr>
                <w:rFonts w:asciiTheme="majorBidi" w:hAnsiTheme="majorBidi" w:cstheme="majorBidi"/>
                <w:sz w:val="20"/>
                <w:szCs w:val="20"/>
              </w:rPr>
              <w:t xml:space="preserve">Cognitive Radio </w:t>
            </w:r>
            <w:r>
              <w:rPr>
                <w:rFonts w:asciiTheme="majorBidi" w:hAnsiTheme="majorBidi" w:cstheme="majorBidi"/>
                <w:sz w:val="20"/>
                <w:szCs w:val="20"/>
              </w:rPr>
              <w:t>and</w:t>
            </w:r>
            <w:r w:rsidRPr="002528CE">
              <w:rPr>
                <w:rFonts w:asciiTheme="majorBidi" w:hAnsiTheme="majorBidi" w:cstheme="majorBidi"/>
                <w:sz w:val="20"/>
                <w:szCs w:val="20"/>
              </w:rPr>
              <w:t xml:space="preserve"> Software Defined Radio</w:t>
            </w:r>
            <w:r>
              <w:rPr>
                <w:rFonts w:asciiTheme="majorBidi" w:hAnsiTheme="majorBidi" w:cstheme="majorBidi"/>
                <w:sz w:val="20"/>
                <w:szCs w:val="20"/>
              </w:rPr>
              <w:t>.</w:t>
            </w:r>
          </w:p>
          <w:p w14:paraId="3C8F6CDB" w14:textId="1E2E3C58" w:rsidR="00A55F7E" w:rsidRPr="006E23BB" w:rsidRDefault="00A55F7E" w:rsidP="00483919">
            <w:pPr>
              <w:spacing w:before="0"/>
              <w:rPr>
                <w:rFonts w:asciiTheme="majorBidi" w:hAnsiTheme="majorBidi" w:cstheme="majorBidi"/>
                <w:sz w:val="20"/>
              </w:rPr>
            </w:pPr>
            <w:r>
              <w:rPr>
                <w:rFonts w:cs="Times New Roman"/>
                <w:sz w:val="20"/>
              </w:rPr>
              <w:t>•</w:t>
            </w:r>
            <w:r>
              <w:rPr>
                <w:sz w:val="20"/>
              </w:rPr>
              <w:t xml:space="preserve"> </w:t>
            </w:r>
            <w:r w:rsidRPr="002528CE">
              <w:rPr>
                <w:rFonts w:asciiTheme="majorBidi" w:hAnsiTheme="majorBidi" w:cstheme="majorBidi"/>
                <w:sz w:val="20"/>
                <w:szCs w:val="20"/>
              </w:rPr>
              <w:t xml:space="preserve">Round Table </w:t>
            </w:r>
            <w:r>
              <w:rPr>
                <w:rFonts w:asciiTheme="majorBidi" w:hAnsiTheme="majorBidi" w:cstheme="majorBidi"/>
                <w:sz w:val="20"/>
                <w:szCs w:val="20"/>
              </w:rPr>
              <w:t xml:space="preserve">on </w:t>
            </w:r>
            <w:r w:rsidRPr="002528CE">
              <w:rPr>
                <w:rFonts w:asciiTheme="majorBidi" w:hAnsiTheme="majorBidi" w:cstheme="majorBidi"/>
                <w:sz w:val="20"/>
                <w:szCs w:val="20"/>
              </w:rPr>
              <w:t xml:space="preserve">WRC-19 </w:t>
            </w:r>
            <w:r>
              <w:rPr>
                <w:rFonts w:asciiTheme="majorBidi" w:hAnsiTheme="majorBidi" w:cstheme="majorBidi"/>
                <w:sz w:val="20"/>
                <w:szCs w:val="20"/>
              </w:rPr>
              <w:t>o</w:t>
            </w:r>
            <w:r w:rsidRPr="002528CE">
              <w:rPr>
                <w:rFonts w:asciiTheme="majorBidi" w:hAnsiTheme="majorBidi" w:cstheme="majorBidi"/>
                <w:sz w:val="20"/>
                <w:szCs w:val="20"/>
              </w:rPr>
              <w:t xml:space="preserve">utcomes </w:t>
            </w:r>
            <w:r>
              <w:rPr>
                <w:rFonts w:asciiTheme="majorBidi" w:hAnsiTheme="majorBidi" w:cstheme="majorBidi"/>
                <w:sz w:val="20"/>
                <w:szCs w:val="20"/>
              </w:rPr>
              <w:t>and</w:t>
            </w:r>
            <w:r w:rsidRPr="002528CE">
              <w:rPr>
                <w:rFonts w:asciiTheme="majorBidi" w:hAnsiTheme="majorBidi" w:cstheme="majorBidi"/>
                <w:sz w:val="20"/>
                <w:szCs w:val="20"/>
              </w:rPr>
              <w:t xml:space="preserve"> WRC-23 Agenda </w:t>
            </w:r>
            <w:r>
              <w:rPr>
                <w:rFonts w:asciiTheme="majorBidi" w:hAnsiTheme="majorBidi" w:cstheme="majorBidi"/>
                <w:sz w:val="20"/>
                <w:szCs w:val="20"/>
              </w:rPr>
              <w:t>c</w:t>
            </w:r>
            <w:r w:rsidRPr="002528CE">
              <w:rPr>
                <w:rFonts w:asciiTheme="majorBidi" w:hAnsiTheme="majorBidi" w:cstheme="majorBidi"/>
                <w:sz w:val="20"/>
                <w:szCs w:val="20"/>
              </w:rPr>
              <w:t>hallenges</w:t>
            </w:r>
            <w:r>
              <w:rPr>
                <w:rFonts w:asciiTheme="majorBidi" w:hAnsiTheme="majorBidi" w:cstheme="majorBidi"/>
                <w:sz w:val="20"/>
                <w:szCs w:val="20"/>
              </w:rPr>
              <w:t>.</w:t>
            </w:r>
          </w:p>
        </w:tc>
        <w:tc>
          <w:tcPr>
            <w:tcW w:w="851" w:type="dxa"/>
          </w:tcPr>
          <w:p w14:paraId="654FEEF7" w14:textId="6ECDC300" w:rsidR="00A55F7E" w:rsidRPr="006E23BB" w:rsidRDefault="00A55F7E" w:rsidP="00483919">
            <w:pPr>
              <w:spacing w:before="0"/>
              <w:jc w:val="center"/>
              <w:rPr>
                <w:rFonts w:asciiTheme="majorBidi" w:hAnsiTheme="majorBidi" w:cstheme="majorBidi"/>
                <w:sz w:val="20"/>
              </w:rPr>
            </w:pPr>
            <w:r w:rsidRPr="00271369">
              <w:rPr>
                <w:sz w:val="20"/>
              </w:rPr>
              <w:t>E</w:t>
            </w:r>
          </w:p>
        </w:tc>
        <w:tc>
          <w:tcPr>
            <w:tcW w:w="850" w:type="dxa"/>
          </w:tcPr>
          <w:p w14:paraId="468F58AA" w14:textId="66BEB854" w:rsidR="00A55F7E" w:rsidRPr="006E23BB" w:rsidRDefault="00A55F7E" w:rsidP="00483919">
            <w:pPr>
              <w:spacing w:before="0"/>
              <w:jc w:val="center"/>
              <w:rPr>
                <w:rFonts w:asciiTheme="majorBidi" w:hAnsiTheme="majorBidi" w:cstheme="majorBidi"/>
                <w:sz w:val="20"/>
              </w:rPr>
            </w:pPr>
            <w:r w:rsidRPr="00535449">
              <w:rPr>
                <w:sz w:val="20"/>
              </w:rPr>
              <w:t>300/30</w:t>
            </w:r>
          </w:p>
        </w:tc>
      </w:tr>
    </w:tbl>
    <w:p w14:paraId="1DF95343" w14:textId="77777777" w:rsidR="00713AFE" w:rsidRDefault="00713AFE" w:rsidP="00713AFE">
      <w:pPr>
        <w:rPr>
          <w:rFonts w:asciiTheme="majorBidi" w:hAnsiTheme="majorBidi" w:cstheme="majorBidi"/>
        </w:rPr>
        <w:sectPr w:rsidR="00713AFE" w:rsidSect="00821CFB">
          <w:headerReference w:type="default" r:id="rId42"/>
          <w:footerReference w:type="default" r:id="rId43"/>
          <w:pgSz w:w="16840" w:h="11907" w:orient="landscape" w:code="9"/>
          <w:pgMar w:top="1134" w:right="1418" w:bottom="1134" w:left="851" w:header="720" w:footer="720" w:gutter="0"/>
          <w:paperSrc w:first="15" w:other="15"/>
          <w:cols w:space="720"/>
          <w:docGrid w:linePitch="326"/>
        </w:sectPr>
      </w:pPr>
    </w:p>
    <w:p w14:paraId="00FBE6FE" w14:textId="48ADF172" w:rsidR="00713AFE" w:rsidRPr="003064BB" w:rsidRDefault="00713AFE" w:rsidP="00713AFE">
      <w:pPr>
        <w:pStyle w:val="Heading3"/>
        <w:rPr>
          <w:i/>
          <w:iCs/>
          <w:lang w:val="en-US"/>
        </w:rPr>
      </w:pPr>
      <w:bookmarkStart w:id="40" w:name="_Toc446060786"/>
      <w:bookmarkStart w:id="41" w:name="_Toc424047604"/>
      <w:r w:rsidRPr="007338BA">
        <w:lastRenderedPageBreak/>
        <w:t>8.2.3</w:t>
      </w:r>
      <w:r w:rsidRPr="007338BA">
        <w:tab/>
        <w:t>Planned W</w:t>
      </w:r>
      <w:r>
        <w:t>orld and Regional Radiocommunication Seminars</w:t>
      </w:r>
      <w:r w:rsidRPr="007338BA">
        <w:t xml:space="preserve"> for </w:t>
      </w:r>
      <w:r>
        <w:t>20</w:t>
      </w:r>
      <w:r w:rsidR="31BEF1FE">
        <w:t>21</w:t>
      </w:r>
      <w:r w:rsidRPr="007338BA">
        <w:t>-20</w:t>
      </w:r>
      <w:bookmarkEnd w:id="40"/>
      <w:r w:rsidRPr="007338BA">
        <w:t>23</w:t>
      </w:r>
    </w:p>
    <w:p w14:paraId="71BA5D2D" w14:textId="68C06795" w:rsidR="00713AFE" w:rsidRDefault="00713AFE" w:rsidP="00713AFE">
      <w:pPr>
        <w:jc w:val="both"/>
      </w:pPr>
      <w:r>
        <w:t xml:space="preserve">Based on the </w:t>
      </w:r>
      <w:r w:rsidR="00A33348">
        <w:t>WRS/RRS 2020-2023 planning (Table 8.2.2-1)</w:t>
      </w:r>
      <w:r>
        <w:t xml:space="preserve">, the following seminars are being </w:t>
      </w:r>
      <w:r w:rsidR="000805F7">
        <w:t xml:space="preserve">considered </w:t>
      </w:r>
      <w:r>
        <w:t>for 202</w:t>
      </w:r>
      <w:r w:rsidR="00CA683B">
        <w:t>1</w:t>
      </w:r>
      <w:r>
        <w:t>:</w:t>
      </w:r>
    </w:p>
    <w:p w14:paraId="6E2304E8" w14:textId="77777777" w:rsidR="00BD39A7" w:rsidRPr="008B7CBF" w:rsidRDefault="00BD39A7" w:rsidP="000A3EAD">
      <w:pPr>
        <w:pStyle w:val="ListParagraph"/>
        <w:numPr>
          <w:ilvl w:val="0"/>
          <w:numId w:val="9"/>
        </w:numPr>
        <w:spacing w:before="120" w:after="0" w:line="257" w:lineRule="auto"/>
        <w:ind w:left="714" w:hanging="357"/>
        <w:contextualSpacing w:val="0"/>
        <w:jc w:val="both"/>
        <w:rPr>
          <w:rFonts w:eastAsia="Times New Roman" w:cs="Times New Roman"/>
          <w:szCs w:val="24"/>
          <w:lang w:val="en-GB"/>
        </w:rPr>
      </w:pPr>
      <w:r w:rsidRPr="008B7CBF">
        <w:rPr>
          <w:rFonts w:eastAsia="Times New Roman" w:cs="Times New Roman"/>
          <w:szCs w:val="24"/>
          <w:lang w:val="en-GB"/>
        </w:rPr>
        <w:t>RRS-21-Africa: 1Q 2021, online, E/F</w:t>
      </w:r>
    </w:p>
    <w:p w14:paraId="50802F1E" w14:textId="77777777" w:rsidR="00BD39A7" w:rsidRPr="008B7CBF" w:rsidRDefault="00BD39A7" w:rsidP="000A3EAD">
      <w:pPr>
        <w:pStyle w:val="ListParagraph"/>
        <w:numPr>
          <w:ilvl w:val="0"/>
          <w:numId w:val="9"/>
        </w:numPr>
        <w:spacing w:before="120" w:after="0" w:line="257" w:lineRule="auto"/>
        <w:ind w:left="714" w:hanging="357"/>
        <w:contextualSpacing w:val="0"/>
        <w:jc w:val="both"/>
        <w:rPr>
          <w:rFonts w:eastAsia="Times New Roman" w:cs="Times New Roman"/>
          <w:szCs w:val="24"/>
          <w:lang w:val="en-GB"/>
        </w:rPr>
      </w:pPr>
      <w:r w:rsidRPr="008B7CBF">
        <w:rPr>
          <w:rFonts w:eastAsia="Times New Roman" w:cs="Times New Roman"/>
          <w:szCs w:val="24"/>
          <w:lang w:val="en-GB"/>
        </w:rPr>
        <w:t>RRS-21-Americas: 2Q 2021, online S</w:t>
      </w:r>
    </w:p>
    <w:p w14:paraId="609C6F08" w14:textId="2FA46F6D" w:rsidR="00BD39A7" w:rsidRPr="008B7CBF" w:rsidRDefault="00BD39A7" w:rsidP="000A3EAD">
      <w:pPr>
        <w:pStyle w:val="ListParagraph"/>
        <w:numPr>
          <w:ilvl w:val="0"/>
          <w:numId w:val="9"/>
        </w:numPr>
        <w:spacing w:before="120" w:after="0" w:line="257" w:lineRule="auto"/>
        <w:ind w:left="714" w:hanging="357"/>
        <w:contextualSpacing w:val="0"/>
        <w:jc w:val="both"/>
        <w:rPr>
          <w:rFonts w:eastAsia="Times New Roman" w:cs="Times New Roman"/>
          <w:szCs w:val="24"/>
          <w:lang w:val="en-GB"/>
        </w:rPr>
      </w:pPr>
      <w:r w:rsidRPr="008B7CBF">
        <w:rPr>
          <w:rFonts w:eastAsia="Times New Roman" w:cs="Times New Roman"/>
          <w:szCs w:val="24"/>
          <w:lang w:val="en-GB"/>
        </w:rPr>
        <w:t>RRS-21-Asia&amp;Pacific; 3Q</w:t>
      </w:r>
      <w:r w:rsidR="0065017D" w:rsidRPr="008B7CBF">
        <w:rPr>
          <w:rFonts w:eastAsia="Times New Roman" w:cs="Times New Roman"/>
          <w:szCs w:val="24"/>
          <w:lang w:val="en-GB"/>
        </w:rPr>
        <w:t xml:space="preserve"> </w:t>
      </w:r>
      <w:r w:rsidRPr="008B7CBF">
        <w:rPr>
          <w:rFonts w:eastAsia="Times New Roman" w:cs="Times New Roman"/>
          <w:szCs w:val="24"/>
          <w:lang w:val="en-GB"/>
        </w:rPr>
        <w:t>2021, online, E</w:t>
      </w:r>
    </w:p>
    <w:p w14:paraId="334CE075" w14:textId="5253643D" w:rsidR="00BD39A7" w:rsidRDefault="00BD39A7" w:rsidP="000A3EAD">
      <w:pPr>
        <w:pStyle w:val="ListParagraph"/>
        <w:numPr>
          <w:ilvl w:val="0"/>
          <w:numId w:val="9"/>
        </w:numPr>
        <w:spacing w:before="120" w:after="0" w:line="257" w:lineRule="auto"/>
        <w:ind w:left="714" w:hanging="357"/>
        <w:contextualSpacing w:val="0"/>
        <w:jc w:val="both"/>
      </w:pPr>
      <w:r w:rsidRPr="008B7CBF">
        <w:rPr>
          <w:rFonts w:eastAsia="Times New Roman" w:cs="Times New Roman"/>
          <w:szCs w:val="24"/>
          <w:lang w:val="en-GB"/>
        </w:rPr>
        <w:t>RRS-21-Arab States; 4Q</w:t>
      </w:r>
      <w:r w:rsidR="0065017D" w:rsidRPr="008B7CBF">
        <w:rPr>
          <w:rFonts w:eastAsia="Times New Roman" w:cs="Times New Roman"/>
          <w:szCs w:val="24"/>
          <w:lang w:val="en-GB"/>
        </w:rPr>
        <w:t xml:space="preserve"> </w:t>
      </w:r>
      <w:r w:rsidRPr="008B7CBF">
        <w:rPr>
          <w:rFonts w:eastAsia="Times New Roman" w:cs="Times New Roman"/>
          <w:szCs w:val="24"/>
          <w:lang w:val="en-GB"/>
        </w:rPr>
        <w:t>2021, online, A/E</w:t>
      </w:r>
    </w:p>
    <w:p w14:paraId="2CE3F5F9" w14:textId="72FA156F" w:rsidR="00BD39A7" w:rsidRPr="00535449" w:rsidRDefault="00BD39A7" w:rsidP="00535449">
      <w:pPr>
        <w:jc w:val="both"/>
      </w:pPr>
      <w:r w:rsidRPr="00535449">
        <w:rPr>
          <w:rFonts w:eastAsia="SimSun" w:cs="Arial"/>
          <w:szCs w:val="24"/>
        </w:rPr>
        <w:t xml:space="preserve">As indicated above, this 2021 </w:t>
      </w:r>
      <w:r w:rsidRPr="00535449">
        <w:rPr>
          <w:rFonts w:eastAsia="Calibri"/>
        </w:rPr>
        <w:t xml:space="preserve">planning is currently coordinated/and adjusted with ITU ROs as well as pertinent </w:t>
      </w:r>
      <w:r w:rsidR="00B23DD0" w:rsidRPr="00EC1915">
        <w:rPr>
          <w:rFonts w:eastAsia="Calibri"/>
        </w:rPr>
        <w:t>regional groups</w:t>
      </w:r>
      <w:r w:rsidRPr="00535449">
        <w:rPr>
          <w:rFonts w:eastAsia="Calibri"/>
        </w:rPr>
        <w:t xml:space="preserve">, considering the challenges </w:t>
      </w:r>
      <w:r w:rsidR="00386322">
        <w:rPr>
          <w:rFonts w:eastAsia="Calibri"/>
        </w:rPr>
        <w:t xml:space="preserve">that have </w:t>
      </w:r>
      <w:r w:rsidRPr="00535449">
        <w:rPr>
          <w:rFonts w:eastAsia="Calibri"/>
        </w:rPr>
        <w:t xml:space="preserve">arisen </w:t>
      </w:r>
      <w:r w:rsidR="005C2B84">
        <w:rPr>
          <w:rFonts w:eastAsia="Calibri"/>
        </w:rPr>
        <w:t>due to</w:t>
      </w:r>
      <w:r w:rsidR="005C2B84" w:rsidRPr="00535449">
        <w:rPr>
          <w:rFonts w:eastAsia="Calibri"/>
        </w:rPr>
        <w:t xml:space="preserve"> </w:t>
      </w:r>
      <w:r w:rsidRPr="00535449">
        <w:rPr>
          <w:rFonts w:eastAsia="Calibri"/>
        </w:rPr>
        <w:t>the</w:t>
      </w:r>
      <w:r w:rsidRPr="00535449" w:rsidDel="006123C3">
        <w:rPr>
          <w:rFonts w:eastAsia="Calibri"/>
        </w:rPr>
        <w:t xml:space="preserve"> </w:t>
      </w:r>
      <w:r w:rsidR="006123C3">
        <w:rPr>
          <w:rFonts w:eastAsia="Calibri"/>
        </w:rPr>
        <w:t>SARS-</w:t>
      </w:r>
      <w:r w:rsidR="007F038C">
        <w:rPr>
          <w:rFonts w:eastAsia="Calibri"/>
        </w:rPr>
        <w:t>CoV-2</w:t>
      </w:r>
      <w:r w:rsidR="006123C3" w:rsidRPr="00535449">
        <w:rPr>
          <w:rFonts w:eastAsia="Calibri"/>
        </w:rPr>
        <w:t xml:space="preserve"> </w:t>
      </w:r>
      <w:r w:rsidRPr="00535449">
        <w:rPr>
          <w:rFonts w:eastAsia="Calibri"/>
        </w:rPr>
        <w:t>outbreak and the subsequent</w:t>
      </w:r>
      <w:r w:rsidR="002E5ED3">
        <w:rPr>
          <w:rFonts w:eastAsia="Calibri"/>
        </w:rPr>
        <w:t>ly necessary</w:t>
      </w:r>
      <w:r w:rsidRPr="00535449">
        <w:rPr>
          <w:rFonts w:eastAsia="Calibri"/>
        </w:rPr>
        <w:t xml:space="preserve"> changes </w:t>
      </w:r>
      <w:r w:rsidR="002E5ED3">
        <w:rPr>
          <w:rFonts w:eastAsia="Calibri"/>
        </w:rPr>
        <w:t>in the delivery</w:t>
      </w:r>
      <w:r w:rsidR="002E5ED3" w:rsidRPr="00535449">
        <w:rPr>
          <w:rFonts w:eastAsia="Calibri"/>
        </w:rPr>
        <w:t xml:space="preserve"> </w:t>
      </w:r>
      <w:r w:rsidRPr="00535449">
        <w:rPr>
          <w:rFonts w:eastAsia="Calibri"/>
        </w:rPr>
        <w:t>format</w:t>
      </w:r>
      <w:r w:rsidR="002F0A02">
        <w:rPr>
          <w:rFonts w:eastAsia="Calibri"/>
        </w:rPr>
        <w:t xml:space="preserve"> for these events</w:t>
      </w:r>
      <w:r w:rsidR="005F4651">
        <w:rPr>
          <w:rFonts w:eastAsia="Calibri"/>
        </w:rPr>
        <w:t>.</w:t>
      </w:r>
    </w:p>
    <w:p w14:paraId="223F944A" w14:textId="06BC5EB7" w:rsidR="00713AFE" w:rsidRDefault="00713AFE" w:rsidP="00713AFE">
      <w:pPr>
        <w:pStyle w:val="Heading3"/>
      </w:pPr>
      <w:bookmarkStart w:id="42" w:name="_Toc446060787"/>
      <w:r>
        <w:t>8.2.4</w:t>
      </w:r>
      <w:r w:rsidRPr="00276074">
        <w:tab/>
      </w:r>
      <w:r>
        <w:t>Other events</w:t>
      </w:r>
      <w:bookmarkEnd w:id="41"/>
      <w:bookmarkEnd w:id="42"/>
    </w:p>
    <w:p w14:paraId="4B920A29" w14:textId="14BE55BF" w:rsidR="008E07A3" w:rsidRPr="007B53DF" w:rsidRDefault="00713AFE" w:rsidP="00535449">
      <w:pPr>
        <w:spacing w:line="259" w:lineRule="auto"/>
        <w:jc w:val="both"/>
      </w:pPr>
      <w:r w:rsidRPr="00CB50EA">
        <w:rPr>
          <w:szCs w:val="24"/>
        </w:rPr>
        <w:t xml:space="preserve">BR experts </w:t>
      </w:r>
      <w:r w:rsidR="00790921">
        <w:rPr>
          <w:szCs w:val="24"/>
        </w:rPr>
        <w:t xml:space="preserve">kept </w:t>
      </w:r>
      <w:r w:rsidRPr="00CB50EA">
        <w:rPr>
          <w:szCs w:val="24"/>
        </w:rPr>
        <w:t>attend</w:t>
      </w:r>
      <w:r w:rsidR="00790921">
        <w:rPr>
          <w:szCs w:val="24"/>
        </w:rPr>
        <w:t>ing</w:t>
      </w:r>
      <w:r w:rsidRPr="00CB50EA">
        <w:rPr>
          <w:szCs w:val="24"/>
        </w:rPr>
        <w:t xml:space="preserve"> and provid</w:t>
      </w:r>
      <w:r w:rsidR="00C33816">
        <w:rPr>
          <w:szCs w:val="24"/>
        </w:rPr>
        <w:t>ing</w:t>
      </w:r>
      <w:r w:rsidRPr="00CB50EA">
        <w:rPr>
          <w:szCs w:val="24"/>
        </w:rPr>
        <w:t xml:space="preserve"> support to several events such as those organized by Specialized UN Agencies and by Regional Telecommunication Organizations, as well as non-ITU Conferences and Symposia. The BR also organized Seminars and Workshops and responded to Assistance requests from Member States. </w:t>
      </w:r>
      <w:r w:rsidR="008E07A3">
        <w:t xml:space="preserve">Due to the travel restrictions arisen from the </w:t>
      </w:r>
      <w:r w:rsidR="00F00AEE">
        <w:rPr>
          <w:rFonts w:eastAsia="Calibri"/>
        </w:rPr>
        <w:t>SARS-CoV-2</w:t>
      </w:r>
      <w:r w:rsidR="00C87DE7" w:rsidRPr="00535449">
        <w:rPr>
          <w:rFonts w:eastAsia="Calibri"/>
        </w:rPr>
        <w:t xml:space="preserve"> </w:t>
      </w:r>
      <w:r w:rsidR="008E07A3">
        <w:t>outbreak, almost all meetings were conducted online, including large events as:</w:t>
      </w:r>
    </w:p>
    <w:p w14:paraId="3C9CAAED" w14:textId="77777777" w:rsidR="008E07A3" w:rsidRPr="008B7CBF" w:rsidRDefault="008E07A3" w:rsidP="000A3EAD">
      <w:pPr>
        <w:pStyle w:val="ListParagraph"/>
        <w:numPr>
          <w:ilvl w:val="0"/>
          <w:numId w:val="9"/>
        </w:numPr>
        <w:spacing w:before="120" w:after="0" w:line="257" w:lineRule="auto"/>
        <w:ind w:left="714" w:hanging="357"/>
        <w:contextualSpacing w:val="0"/>
        <w:jc w:val="both"/>
        <w:rPr>
          <w:rFonts w:eastAsia="Times New Roman" w:cs="Times New Roman"/>
          <w:szCs w:val="24"/>
          <w:lang w:val="en-GB"/>
        </w:rPr>
      </w:pPr>
      <w:r w:rsidRPr="008B7CBF">
        <w:rPr>
          <w:rFonts w:eastAsia="Times New Roman" w:cs="Times New Roman"/>
          <w:szCs w:val="24"/>
          <w:lang w:val="en-GB"/>
        </w:rPr>
        <w:t>SADC Capacity Building Workshop on Satellite issues</w:t>
      </w:r>
    </w:p>
    <w:p w14:paraId="61560C61" w14:textId="56D5CA92" w:rsidR="008E07A3" w:rsidRPr="008B7CBF" w:rsidRDefault="008E07A3" w:rsidP="000A3EAD">
      <w:pPr>
        <w:pStyle w:val="ListParagraph"/>
        <w:numPr>
          <w:ilvl w:val="0"/>
          <w:numId w:val="9"/>
        </w:numPr>
        <w:spacing w:before="120" w:after="0" w:line="257" w:lineRule="auto"/>
        <w:ind w:left="714" w:hanging="357"/>
        <w:contextualSpacing w:val="0"/>
        <w:jc w:val="both"/>
        <w:rPr>
          <w:rFonts w:eastAsia="Times New Roman" w:cs="Times New Roman"/>
          <w:szCs w:val="24"/>
          <w:lang w:val="en-GB"/>
        </w:rPr>
      </w:pPr>
      <w:r w:rsidRPr="008B7CBF">
        <w:rPr>
          <w:rFonts w:eastAsia="Times New Roman" w:cs="Times New Roman"/>
          <w:szCs w:val="24"/>
          <w:lang w:val="en-GB"/>
        </w:rPr>
        <w:t>ITU/ATU Workshop on implement</w:t>
      </w:r>
      <w:r w:rsidR="00EC4679" w:rsidRPr="008B7CBF">
        <w:rPr>
          <w:rFonts w:eastAsia="Times New Roman" w:cs="Times New Roman"/>
          <w:szCs w:val="24"/>
          <w:lang w:val="en-GB"/>
        </w:rPr>
        <w:t>ation of</w:t>
      </w:r>
      <w:r w:rsidRPr="008B7CBF">
        <w:rPr>
          <w:rFonts w:eastAsia="Times New Roman" w:cs="Times New Roman"/>
          <w:szCs w:val="24"/>
          <w:lang w:val="en-GB"/>
        </w:rPr>
        <w:t xml:space="preserve"> WRC-19 </w:t>
      </w:r>
      <w:r w:rsidR="00EC4679" w:rsidRPr="008B7CBF">
        <w:rPr>
          <w:rFonts w:eastAsia="Times New Roman" w:cs="Times New Roman"/>
          <w:szCs w:val="24"/>
          <w:lang w:val="en-GB"/>
        </w:rPr>
        <w:t>agenda i</w:t>
      </w:r>
      <w:r w:rsidRPr="008B7CBF">
        <w:rPr>
          <w:rFonts w:eastAsia="Times New Roman" w:cs="Times New Roman"/>
          <w:szCs w:val="24"/>
          <w:lang w:val="en-GB"/>
        </w:rPr>
        <w:t>tem 1.4</w:t>
      </w:r>
    </w:p>
    <w:p w14:paraId="3D25CD9D" w14:textId="77777777" w:rsidR="008E07A3" w:rsidRPr="008B7CBF" w:rsidRDefault="008E07A3" w:rsidP="000A3EAD">
      <w:pPr>
        <w:pStyle w:val="ListParagraph"/>
        <w:numPr>
          <w:ilvl w:val="0"/>
          <w:numId w:val="9"/>
        </w:numPr>
        <w:spacing w:before="120" w:after="0" w:line="257" w:lineRule="auto"/>
        <w:ind w:left="714" w:hanging="357"/>
        <w:contextualSpacing w:val="0"/>
        <w:jc w:val="both"/>
        <w:rPr>
          <w:rFonts w:eastAsia="Times New Roman" w:cs="Times New Roman"/>
          <w:szCs w:val="24"/>
          <w:lang w:val="en-GB"/>
        </w:rPr>
      </w:pPr>
      <w:r w:rsidRPr="008B7CBF">
        <w:rPr>
          <w:rFonts w:eastAsia="Times New Roman" w:cs="Times New Roman"/>
          <w:szCs w:val="24"/>
          <w:lang w:val="en-GB"/>
        </w:rPr>
        <w:t>ITU/PRIDA Workshops on Spectrum Management – E/F</w:t>
      </w:r>
    </w:p>
    <w:p w14:paraId="6E4DDAD9" w14:textId="77777777" w:rsidR="008E07A3" w:rsidRPr="008B7CBF" w:rsidRDefault="008E07A3" w:rsidP="000A3EAD">
      <w:pPr>
        <w:pStyle w:val="ListParagraph"/>
        <w:numPr>
          <w:ilvl w:val="0"/>
          <w:numId w:val="9"/>
        </w:numPr>
        <w:spacing w:before="120" w:after="0" w:line="257" w:lineRule="auto"/>
        <w:ind w:left="714" w:hanging="357"/>
        <w:contextualSpacing w:val="0"/>
        <w:jc w:val="both"/>
        <w:rPr>
          <w:rFonts w:eastAsia="Times New Roman" w:cs="Times New Roman"/>
          <w:szCs w:val="24"/>
          <w:lang w:val="en-GB"/>
        </w:rPr>
      </w:pPr>
      <w:r w:rsidRPr="008B7CBF">
        <w:rPr>
          <w:rFonts w:eastAsia="Times New Roman" w:cs="Times New Roman"/>
          <w:szCs w:val="24"/>
          <w:lang w:val="en-GB"/>
        </w:rPr>
        <w:t>ITU/ PRIDA Workshops on IoT and digital services – E/F</w:t>
      </w:r>
    </w:p>
    <w:p w14:paraId="3BD1965E" w14:textId="77777777" w:rsidR="008E07A3" w:rsidRPr="008B7CBF" w:rsidRDefault="008E07A3" w:rsidP="000A3EAD">
      <w:pPr>
        <w:pStyle w:val="ListParagraph"/>
        <w:numPr>
          <w:ilvl w:val="0"/>
          <w:numId w:val="9"/>
        </w:numPr>
        <w:spacing w:before="120" w:after="0" w:line="257" w:lineRule="auto"/>
        <w:ind w:left="714" w:hanging="357"/>
        <w:contextualSpacing w:val="0"/>
        <w:jc w:val="both"/>
        <w:rPr>
          <w:rFonts w:eastAsia="Times New Roman" w:cs="Times New Roman"/>
          <w:szCs w:val="24"/>
          <w:lang w:val="en-GB"/>
        </w:rPr>
      </w:pPr>
      <w:r w:rsidRPr="008B7CBF">
        <w:rPr>
          <w:rFonts w:eastAsia="Times New Roman" w:cs="Times New Roman"/>
          <w:szCs w:val="24"/>
          <w:lang w:val="en-GB"/>
        </w:rPr>
        <w:t>ITU Reg. Sem. Europe &amp; CIS - Spectrum &amp; Broadcast</w:t>
      </w:r>
    </w:p>
    <w:p w14:paraId="72825E66" w14:textId="77777777" w:rsidR="008E07A3" w:rsidRPr="008B7CBF" w:rsidRDefault="008E07A3" w:rsidP="000A3EAD">
      <w:pPr>
        <w:pStyle w:val="ListParagraph"/>
        <w:numPr>
          <w:ilvl w:val="0"/>
          <w:numId w:val="9"/>
        </w:numPr>
        <w:spacing w:before="120" w:after="0" w:line="257" w:lineRule="auto"/>
        <w:ind w:left="714" w:hanging="357"/>
        <w:contextualSpacing w:val="0"/>
        <w:jc w:val="both"/>
        <w:rPr>
          <w:rFonts w:eastAsia="Times New Roman" w:cs="Times New Roman"/>
          <w:szCs w:val="24"/>
          <w:lang w:val="en-GB"/>
        </w:rPr>
      </w:pPr>
      <w:r w:rsidRPr="008B7CBF">
        <w:rPr>
          <w:rFonts w:eastAsia="Times New Roman" w:cs="Times New Roman"/>
          <w:szCs w:val="24"/>
          <w:lang w:val="en-GB"/>
        </w:rPr>
        <w:t>Workshops CG 1 to 4 -GE84 Plan optimization for African countries – E/ F</w:t>
      </w:r>
    </w:p>
    <w:p w14:paraId="0E6C6F7C" w14:textId="77777777" w:rsidR="008E07A3" w:rsidRPr="008B7CBF" w:rsidRDefault="008E07A3" w:rsidP="000A3EAD">
      <w:pPr>
        <w:pStyle w:val="ListParagraph"/>
        <w:numPr>
          <w:ilvl w:val="0"/>
          <w:numId w:val="9"/>
        </w:numPr>
        <w:spacing w:before="120" w:after="0" w:line="257" w:lineRule="auto"/>
        <w:ind w:left="714" w:hanging="357"/>
        <w:contextualSpacing w:val="0"/>
        <w:jc w:val="both"/>
        <w:rPr>
          <w:rFonts w:eastAsia="Times New Roman" w:cs="Times New Roman"/>
          <w:szCs w:val="24"/>
          <w:lang w:val="en-GB"/>
        </w:rPr>
      </w:pPr>
      <w:r w:rsidRPr="008B7CBF">
        <w:rPr>
          <w:rFonts w:eastAsia="Times New Roman" w:cs="Times New Roman"/>
          <w:szCs w:val="24"/>
          <w:lang w:val="en-GB"/>
        </w:rPr>
        <w:t>ITU/ITSO Training for Americas</w:t>
      </w:r>
    </w:p>
    <w:p w14:paraId="70FDA868" w14:textId="77777777" w:rsidR="008E07A3" w:rsidRPr="008B7CBF" w:rsidRDefault="008E07A3" w:rsidP="000A3EAD">
      <w:pPr>
        <w:pStyle w:val="ListParagraph"/>
        <w:numPr>
          <w:ilvl w:val="0"/>
          <w:numId w:val="9"/>
        </w:numPr>
        <w:spacing w:before="120" w:after="0" w:line="257" w:lineRule="auto"/>
        <w:ind w:left="714" w:hanging="357"/>
        <w:contextualSpacing w:val="0"/>
        <w:jc w:val="both"/>
        <w:rPr>
          <w:rFonts w:eastAsia="Times New Roman" w:cs="Times New Roman"/>
          <w:szCs w:val="24"/>
          <w:lang w:val="en-GB"/>
        </w:rPr>
      </w:pPr>
      <w:r w:rsidRPr="008B7CBF">
        <w:rPr>
          <w:rFonts w:eastAsia="Times New Roman" w:cs="Times New Roman"/>
          <w:szCs w:val="24"/>
          <w:lang w:val="en-GB"/>
        </w:rPr>
        <w:t>ITU Workshop on Spectrum Monitoring for the Arab Region</w:t>
      </w:r>
    </w:p>
    <w:p w14:paraId="7C28B0D2" w14:textId="4E329F1B" w:rsidR="00713AFE" w:rsidRPr="003C22B4" w:rsidRDefault="00713AFE" w:rsidP="00713AFE">
      <w:pPr>
        <w:rPr>
          <w:szCs w:val="24"/>
          <w:lang w:val="en-US"/>
        </w:rPr>
        <w:sectPr w:rsidR="00713AFE" w:rsidRPr="003C22B4" w:rsidSect="00821CFB">
          <w:headerReference w:type="default" r:id="rId44"/>
          <w:footerReference w:type="default" r:id="rId45"/>
          <w:pgSz w:w="11907" w:h="16840" w:code="9"/>
          <w:pgMar w:top="1418" w:right="1134" w:bottom="851" w:left="1134" w:header="720" w:footer="720" w:gutter="0"/>
          <w:paperSrc w:first="15" w:other="15"/>
          <w:cols w:space="720"/>
          <w:docGrid w:linePitch="326"/>
        </w:sectPr>
      </w:pPr>
    </w:p>
    <w:p w14:paraId="7954D798" w14:textId="5F572EA2" w:rsidR="00713AFE" w:rsidRPr="008C05BE" w:rsidRDefault="00713AFE" w:rsidP="00713AFE">
      <w:pPr>
        <w:pStyle w:val="Heading2"/>
      </w:pPr>
      <w:bookmarkStart w:id="43" w:name="_Toc424047610"/>
      <w:bookmarkStart w:id="44" w:name="_Toc446060788"/>
      <w:r>
        <w:lastRenderedPageBreak/>
        <w:t>8.3</w:t>
      </w:r>
      <w:r w:rsidRPr="008C05BE">
        <w:tab/>
        <w:t xml:space="preserve">Assistance to </w:t>
      </w:r>
      <w:r w:rsidR="002C54FB">
        <w:t xml:space="preserve">the </w:t>
      </w:r>
      <w:r w:rsidRPr="008C05BE">
        <w:t>Member States</w:t>
      </w:r>
      <w:bookmarkEnd w:id="43"/>
      <w:bookmarkEnd w:id="44"/>
      <w:r>
        <w:t xml:space="preserve">, </w:t>
      </w:r>
      <w:proofErr w:type="gramStart"/>
      <w:r>
        <w:t>in particular in</w:t>
      </w:r>
      <w:proofErr w:type="gramEnd"/>
      <w:r>
        <w:t xml:space="preserve"> developing countries and LDCs</w:t>
      </w:r>
    </w:p>
    <w:p w14:paraId="46DFD515" w14:textId="77777777" w:rsidR="00713AFE" w:rsidRDefault="00713AFE" w:rsidP="00713AFE">
      <w:pPr>
        <w:pStyle w:val="Heading3"/>
      </w:pPr>
      <w:bookmarkStart w:id="45" w:name="_Toc424047611"/>
      <w:bookmarkStart w:id="46" w:name="_Toc446060789"/>
      <w:r>
        <w:t>8.3</w:t>
      </w:r>
      <w:r w:rsidRPr="008C05BE">
        <w:t>.1</w:t>
      </w:r>
      <w:r w:rsidRPr="008C05BE">
        <w:tab/>
        <w:t>Assistance to administrations of developing countries</w:t>
      </w:r>
      <w:bookmarkEnd w:id="45"/>
      <w:bookmarkEnd w:id="46"/>
    </w:p>
    <w:p w14:paraId="13FE7201" w14:textId="77777777" w:rsidR="00713AFE" w:rsidRDefault="00713AFE" w:rsidP="00713AFE">
      <w:r>
        <w:t xml:space="preserve">The Bureau continued assisting Administrations of developing countries in areas such as: </w:t>
      </w:r>
    </w:p>
    <w:p w14:paraId="23684F01" w14:textId="77777777" w:rsidR="00713AFE" w:rsidRDefault="00713AFE" w:rsidP="000A3EAD">
      <w:pPr>
        <w:pStyle w:val="ListParagraph"/>
        <w:numPr>
          <w:ilvl w:val="0"/>
          <w:numId w:val="9"/>
        </w:numPr>
        <w:spacing w:before="120" w:after="0" w:line="257" w:lineRule="auto"/>
        <w:ind w:left="714" w:hanging="357"/>
        <w:contextualSpacing w:val="0"/>
        <w:jc w:val="both"/>
      </w:pPr>
      <w:r w:rsidRPr="1A5784CD">
        <w:rPr>
          <w:rFonts w:eastAsia="Times New Roman" w:cs="Times New Roman"/>
          <w:lang w:val="en-GB"/>
        </w:rPr>
        <w:t>Supporting</w:t>
      </w:r>
      <w:r>
        <w:t xml:space="preserve"> national spectrum management activities in the rapidly changing regulatory </w:t>
      </w:r>
      <w:r w:rsidRPr="1A5784CD">
        <w:rPr>
          <w:rFonts w:eastAsia="Times New Roman" w:cs="Times New Roman"/>
          <w:lang w:val="en-GB"/>
        </w:rPr>
        <w:t>environment</w:t>
      </w:r>
      <w:r>
        <w:t xml:space="preserve"> (see Resolution </w:t>
      </w:r>
      <w:r w:rsidRPr="0065017D">
        <w:rPr>
          <w:b/>
        </w:rPr>
        <w:t>7 (Rev.WRC-19)</w:t>
      </w:r>
      <w:r>
        <w:t xml:space="preserve">) and providing technical assistance in the field of </w:t>
      </w:r>
      <w:r w:rsidRPr="1A5784CD">
        <w:rPr>
          <w:rFonts w:eastAsia="Times New Roman" w:cs="Times New Roman"/>
          <w:lang w:val="en-GB"/>
        </w:rPr>
        <w:t>space</w:t>
      </w:r>
      <w:r>
        <w:t xml:space="preserve"> radiocommunication (Resolution </w:t>
      </w:r>
      <w:r w:rsidRPr="0065017D">
        <w:rPr>
          <w:b/>
        </w:rPr>
        <w:t>15 (Rev.WRC-03)</w:t>
      </w:r>
      <w:r>
        <w:t>) either in ITU headquarters or in the field.</w:t>
      </w:r>
    </w:p>
    <w:p w14:paraId="73ABAD81" w14:textId="77777777" w:rsidR="00713AFE" w:rsidRPr="008B7CBF" w:rsidRDefault="00713AFE" w:rsidP="000A3EAD">
      <w:pPr>
        <w:pStyle w:val="ListParagraph"/>
        <w:numPr>
          <w:ilvl w:val="0"/>
          <w:numId w:val="9"/>
        </w:numPr>
        <w:spacing w:before="120" w:after="0" w:line="257" w:lineRule="auto"/>
        <w:ind w:left="714" w:hanging="357"/>
        <w:contextualSpacing w:val="0"/>
        <w:jc w:val="both"/>
        <w:rPr>
          <w:rFonts w:eastAsia="Times New Roman" w:cs="Times New Roman"/>
          <w:lang w:val="en-GB"/>
        </w:rPr>
      </w:pPr>
      <w:r w:rsidRPr="1A5784CD">
        <w:rPr>
          <w:rFonts w:eastAsia="Times New Roman" w:cs="Times New Roman"/>
          <w:lang w:val="en-GB"/>
        </w:rPr>
        <w:t>Participation in the meetings of the regional coordination groups, as requested by Article 12 of the Radio Regulations.</w:t>
      </w:r>
    </w:p>
    <w:p w14:paraId="1C2C2D65" w14:textId="77777777" w:rsidR="00713AFE" w:rsidRPr="008B7CBF" w:rsidRDefault="00713AFE" w:rsidP="000A3EAD">
      <w:pPr>
        <w:pStyle w:val="ListParagraph"/>
        <w:numPr>
          <w:ilvl w:val="0"/>
          <w:numId w:val="9"/>
        </w:numPr>
        <w:spacing w:before="120" w:after="0" w:line="257" w:lineRule="auto"/>
        <w:ind w:left="714" w:hanging="357"/>
        <w:contextualSpacing w:val="0"/>
        <w:jc w:val="both"/>
        <w:rPr>
          <w:rFonts w:eastAsia="Times New Roman" w:cs="Times New Roman"/>
          <w:lang w:val="en-GB"/>
        </w:rPr>
      </w:pPr>
      <w:r w:rsidRPr="1A5784CD">
        <w:rPr>
          <w:rFonts w:eastAsia="Times New Roman" w:cs="Times New Roman"/>
          <w:lang w:val="en-GB"/>
        </w:rPr>
        <w:t>Provision of assistance in long-term spectrum roadmap for mobile broadband and assignment for mobile broadband (IMT)</w:t>
      </w:r>
    </w:p>
    <w:p w14:paraId="12876889" w14:textId="79EA6A49" w:rsidR="00713AFE" w:rsidRDefault="00713AFE" w:rsidP="000A3EAD">
      <w:pPr>
        <w:pStyle w:val="ListParagraph"/>
        <w:numPr>
          <w:ilvl w:val="0"/>
          <w:numId w:val="9"/>
        </w:numPr>
        <w:spacing w:before="120" w:after="0" w:line="257" w:lineRule="auto"/>
        <w:ind w:left="714" w:hanging="357"/>
        <w:contextualSpacing w:val="0"/>
        <w:jc w:val="both"/>
        <w:rPr>
          <w:rFonts w:eastAsia="Times New Roman" w:cs="Times New Roman"/>
          <w:lang w:val="en-GB"/>
        </w:rPr>
      </w:pPr>
      <w:r w:rsidRPr="1A5784CD">
        <w:rPr>
          <w:rFonts w:eastAsia="Times New Roman" w:cs="Times New Roman"/>
          <w:lang w:val="en-GB"/>
        </w:rPr>
        <w:t xml:space="preserve">Provision of guidelines and technical support for the transition to Digital Television and the allocation of </w:t>
      </w:r>
      <w:r w:rsidR="002C54FB" w:rsidRPr="1A5784CD">
        <w:rPr>
          <w:rFonts w:eastAsia="Times New Roman" w:cs="Times New Roman"/>
          <w:lang w:val="en-GB"/>
        </w:rPr>
        <w:t xml:space="preserve">the </w:t>
      </w:r>
      <w:r w:rsidRPr="1A5784CD">
        <w:rPr>
          <w:rFonts w:eastAsia="Times New Roman" w:cs="Times New Roman"/>
          <w:lang w:val="en-GB"/>
        </w:rPr>
        <w:t>digital dividend.</w:t>
      </w:r>
    </w:p>
    <w:p w14:paraId="65C24BF2" w14:textId="4BEB454F" w:rsidR="00713AFE" w:rsidRPr="00913952" w:rsidRDefault="2A17B43A" w:rsidP="1A5784CD">
      <w:r>
        <w:t xml:space="preserve">During 2020 direct </w:t>
      </w:r>
      <w:r w:rsidR="1A5784CD">
        <w:t>technical assistances in progress were concluded</w:t>
      </w:r>
      <w:r w:rsidR="00F47E41">
        <w:t>.</w:t>
      </w:r>
      <w:r w:rsidR="00713AFE" w:rsidRPr="009D58FD">
        <w:t xml:space="preserve"> </w:t>
      </w:r>
      <w:r w:rsidR="1A5784CD">
        <w:t>N</w:t>
      </w:r>
      <w:r w:rsidR="00F47E41">
        <w:t>o</w:t>
      </w:r>
      <w:r w:rsidR="1A5784CD">
        <w:t xml:space="preserve"> new direct requests were received. </w:t>
      </w:r>
    </w:p>
    <w:p w14:paraId="69E86BE3" w14:textId="77777777" w:rsidR="00713AFE" w:rsidRPr="009727B4" w:rsidRDefault="00713AFE" w:rsidP="00713AFE">
      <w:pPr>
        <w:pStyle w:val="Heading3"/>
      </w:pPr>
      <w:bookmarkStart w:id="47" w:name="_Toc424047612"/>
      <w:bookmarkStart w:id="48" w:name="_Toc446060790"/>
      <w:r>
        <w:rPr>
          <w:bCs/>
        </w:rPr>
        <w:t>8.3</w:t>
      </w:r>
      <w:r w:rsidRPr="008C05BE">
        <w:rPr>
          <w:bCs/>
        </w:rPr>
        <w:t>.2</w:t>
      </w:r>
      <w:r w:rsidRPr="008C05BE">
        <w:tab/>
        <w:t>Assistance to Regional Groups</w:t>
      </w:r>
      <w:bookmarkEnd w:id="47"/>
      <w:bookmarkEnd w:id="48"/>
    </w:p>
    <w:p w14:paraId="147FCFAA" w14:textId="32B2BB68" w:rsidR="00713AFE" w:rsidRPr="001174C2" w:rsidRDefault="00713AFE" w:rsidP="00713AFE">
      <w:pPr>
        <w:rPr>
          <w:highlight w:val="yellow"/>
        </w:rPr>
      </w:pPr>
      <w:r w:rsidRPr="001174C2">
        <w:t xml:space="preserve">The </w:t>
      </w:r>
      <w:r>
        <w:t xml:space="preserve">BR </w:t>
      </w:r>
      <w:r w:rsidRPr="001174C2">
        <w:t>continued its participation in the meetings of the regional coordination groups</w:t>
      </w:r>
      <w:r>
        <w:t xml:space="preserve"> </w:t>
      </w:r>
      <w:r w:rsidRPr="001174C2">
        <w:t>(e.g. HFCC), as requested by Article 12 of the Radio Regulations, providing the necessary assistance and col</w:t>
      </w:r>
      <w:r>
        <w:t>laboration</w:t>
      </w:r>
      <w:r w:rsidR="4258DE31">
        <w:t>, as follows</w:t>
      </w:r>
      <w:r w:rsidR="7C186E6F">
        <w:t>:</w:t>
      </w:r>
    </w:p>
    <w:p w14:paraId="064E6B54" w14:textId="77777777" w:rsidR="00713AFE" w:rsidRPr="009727B4" w:rsidRDefault="00713AFE" w:rsidP="00713AFE">
      <w:pPr>
        <w:pStyle w:val="Heading4"/>
      </w:pPr>
      <w:bookmarkStart w:id="49" w:name="_Toc424047613"/>
      <w:r>
        <w:t>8.3.2.1</w:t>
      </w:r>
      <w:r>
        <w:tab/>
        <w:t>Assistance to ATU</w:t>
      </w:r>
      <w:bookmarkEnd w:id="49"/>
    </w:p>
    <w:p w14:paraId="596928BB" w14:textId="0DC10136" w:rsidR="00713AFE" w:rsidRPr="00B548DD" w:rsidRDefault="62EEFFFE" w:rsidP="00C3404F">
      <w:pPr>
        <w:jc w:val="both"/>
        <w:rPr>
          <w:szCs w:val="24"/>
        </w:rPr>
      </w:pPr>
      <w:r w:rsidRPr="00C3404F">
        <w:rPr>
          <w:b/>
          <w:bCs/>
        </w:rPr>
        <w:t>GE84</w:t>
      </w:r>
      <w:r w:rsidR="008643CF">
        <w:rPr>
          <w:b/>
          <w:bCs/>
        </w:rPr>
        <w:t xml:space="preserve"> </w:t>
      </w:r>
      <w:r w:rsidRPr="00C3404F">
        <w:rPr>
          <w:b/>
          <w:bCs/>
        </w:rPr>
        <w:t>Plan optimization project for Africa:</w:t>
      </w:r>
      <w:r w:rsidRPr="00C3404F">
        <w:t xml:space="preserve"> The Bureau in collaboration with ATU held in total 5 online workshops (in English and French) in September 2020-October 2020 and January 2021. </w:t>
      </w:r>
      <w:r w:rsidR="38A07474" w:rsidRPr="00C3404F">
        <w:t>T</w:t>
      </w:r>
      <w:r w:rsidRPr="00C3404F">
        <w:t>he 1st Frequency Coordination Meeting on Optimization of the GE84 Plan for Africa</w:t>
      </w:r>
      <w:r w:rsidR="3F070AD8" w:rsidRPr="00C3404F">
        <w:t xml:space="preserve"> took place</w:t>
      </w:r>
      <w:r w:rsidRPr="00C3404F">
        <w:t xml:space="preserve"> virtually from 15-19 February 2021. </w:t>
      </w:r>
    </w:p>
    <w:p w14:paraId="09781C55" w14:textId="3BD9D64B" w:rsidR="00713AFE" w:rsidRPr="00C71E53" w:rsidRDefault="00713AFE" w:rsidP="00713AFE">
      <w:pPr>
        <w:jc w:val="both"/>
      </w:pPr>
      <w:r w:rsidRPr="009D5921">
        <w:rPr>
          <w:b/>
          <w:bCs/>
        </w:rPr>
        <w:t>PRIDA</w:t>
      </w:r>
      <w:r>
        <w:t>: The Policy and Regulatory Initiative for Digital Africa (PRIDA) project, is an initiative by the African Union, European Union and ITU. It also includes Regional Economic Communities, ATU, Regional Regulatory Associations, National Regulators, and other stakeholders. The BR, jointly with BDT are actively participating on the Action "</w:t>
      </w:r>
      <w:r w:rsidRPr="76C684D9">
        <w:rPr>
          <w:i/>
          <w:iCs/>
        </w:rPr>
        <w:t>Increasing wireless broadband penetration through improved and harmonized spectrum utilization and regulations</w:t>
      </w:r>
      <w:r>
        <w:t>". I</w:t>
      </w:r>
      <w:r w:rsidRPr="00C71E53">
        <w:t>n that sense, during</w:t>
      </w:r>
      <w:r w:rsidRPr="00C71E53" w:rsidDel="00713AFE">
        <w:t xml:space="preserve"> </w:t>
      </w:r>
      <w:r w:rsidR="4011713E" w:rsidRPr="008D22CF">
        <w:t>2020</w:t>
      </w:r>
      <w:r w:rsidRPr="00C71E53">
        <w:t xml:space="preserve"> </w:t>
      </w:r>
      <w:r w:rsidR="182B2D59" w:rsidRPr="008D22CF">
        <w:t>f</w:t>
      </w:r>
      <w:r w:rsidR="008D22CF">
        <w:t>ive</w:t>
      </w:r>
      <w:r w:rsidR="4B06215F" w:rsidRPr="008D22CF">
        <w:t xml:space="preserve"> </w:t>
      </w:r>
      <w:r w:rsidRPr="00C71E53">
        <w:t>meetings were conducted:</w:t>
      </w:r>
    </w:p>
    <w:p w14:paraId="7A0EF303" w14:textId="4253D5CA" w:rsidR="6E14B5BD" w:rsidRPr="008D22CF" w:rsidRDefault="6E14B5BD" w:rsidP="000A3EAD">
      <w:pPr>
        <w:pStyle w:val="ListParagraph"/>
        <w:numPr>
          <w:ilvl w:val="0"/>
          <w:numId w:val="9"/>
        </w:numPr>
        <w:spacing w:before="120" w:after="0" w:line="257" w:lineRule="auto"/>
        <w:ind w:left="714" w:hanging="357"/>
        <w:jc w:val="both"/>
        <w:rPr>
          <w:rFonts w:eastAsia="Times New Roman" w:cs="Times New Roman"/>
          <w:lang w:val="en-GB"/>
        </w:rPr>
      </w:pPr>
      <w:r w:rsidRPr="008D22CF">
        <w:rPr>
          <w:rFonts w:eastAsia="Times New Roman" w:cs="Times New Roman"/>
          <w:lang w:val="en-GB"/>
        </w:rPr>
        <w:t xml:space="preserve">Workshop on </w:t>
      </w:r>
      <w:r w:rsidR="6E666005" w:rsidRPr="008D22CF">
        <w:rPr>
          <w:rFonts w:eastAsia="Times New Roman" w:cs="Times New Roman"/>
          <w:lang w:val="en-GB"/>
        </w:rPr>
        <w:t xml:space="preserve">Modern </w:t>
      </w:r>
      <w:r w:rsidRPr="008D22CF">
        <w:rPr>
          <w:rFonts w:eastAsia="Times New Roman" w:cs="Times New Roman"/>
          <w:lang w:val="en-GB"/>
        </w:rPr>
        <w:t>Spectrum Management</w:t>
      </w:r>
      <w:r w:rsidR="1B190CD3" w:rsidRPr="008D22CF">
        <w:rPr>
          <w:rFonts w:eastAsia="Times New Roman" w:cs="Times New Roman"/>
          <w:lang w:val="en-GB"/>
        </w:rPr>
        <w:t xml:space="preserve"> and SMS4DC</w:t>
      </w:r>
      <w:r w:rsidR="737B27A8" w:rsidRPr="008D22CF">
        <w:rPr>
          <w:rFonts w:eastAsia="Times New Roman" w:cs="Times New Roman"/>
          <w:lang w:val="en-GB"/>
        </w:rPr>
        <w:t xml:space="preserve"> –</w:t>
      </w:r>
      <w:r w:rsidRPr="008D22CF">
        <w:rPr>
          <w:rFonts w:eastAsia="Times New Roman" w:cs="Times New Roman"/>
          <w:lang w:val="en-GB"/>
        </w:rPr>
        <w:t>E</w:t>
      </w:r>
      <w:r w:rsidR="737B27A8" w:rsidRPr="008D22CF">
        <w:rPr>
          <w:rFonts w:eastAsia="Times New Roman" w:cs="Times New Roman"/>
          <w:lang w:val="en-GB"/>
        </w:rPr>
        <w:t xml:space="preserve">: </w:t>
      </w:r>
      <w:r w:rsidRPr="008D22CF">
        <w:rPr>
          <w:rFonts w:eastAsia="Times New Roman" w:cs="Times New Roman"/>
          <w:lang w:val="en-GB"/>
        </w:rPr>
        <w:t>Zanzibar,</w:t>
      </w:r>
      <w:r w:rsidR="25A1700E" w:rsidRPr="008D22CF">
        <w:rPr>
          <w:rFonts w:eastAsia="Times New Roman" w:cs="Times New Roman"/>
          <w:lang w:val="en-GB"/>
        </w:rPr>
        <w:t xml:space="preserve"> Tanzania </w:t>
      </w:r>
      <w:r w:rsidR="78D5985F" w:rsidRPr="008D22CF">
        <w:rPr>
          <w:rFonts w:eastAsia="Times New Roman" w:cs="Times New Roman"/>
          <w:lang w:val="en-GB"/>
        </w:rPr>
        <w:t>2</w:t>
      </w:r>
      <w:r w:rsidR="00A51BC0">
        <w:rPr>
          <w:rFonts w:eastAsia="Times New Roman" w:cs="Times New Roman"/>
          <w:lang w:val="en-GB"/>
        </w:rPr>
        <w:t xml:space="preserve"> </w:t>
      </w:r>
      <w:r w:rsidR="78D5985F" w:rsidRPr="008D22CF">
        <w:rPr>
          <w:rFonts w:eastAsia="Times New Roman" w:cs="Times New Roman"/>
          <w:lang w:val="en-GB"/>
        </w:rPr>
        <w:t>-</w:t>
      </w:r>
      <w:r w:rsidR="00A51BC0">
        <w:rPr>
          <w:rFonts w:eastAsia="Times New Roman" w:cs="Times New Roman"/>
          <w:lang w:val="en-GB"/>
        </w:rPr>
        <w:t xml:space="preserve"> </w:t>
      </w:r>
      <w:r w:rsidR="78D5985F" w:rsidRPr="008D22CF">
        <w:rPr>
          <w:rFonts w:eastAsia="Times New Roman" w:cs="Times New Roman"/>
          <w:lang w:val="en-GB"/>
        </w:rPr>
        <w:t>4 Mar</w:t>
      </w:r>
      <w:r w:rsidR="00A51BC0">
        <w:rPr>
          <w:rFonts w:eastAsia="Times New Roman" w:cs="Times New Roman"/>
          <w:lang w:val="en-GB"/>
        </w:rPr>
        <w:t>ch</w:t>
      </w:r>
      <w:r w:rsidR="25A1700E" w:rsidRPr="008D22CF">
        <w:rPr>
          <w:rFonts w:eastAsia="Times New Roman" w:cs="Times New Roman"/>
          <w:lang w:val="en-GB"/>
        </w:rPr>
        <w:t xml:space="preserve"> 2020</w:t>
      </w:r>
    </w:p>
    <w:p w14:paraId="302AA185" w14:textId="2DD2FB40" w:rsidR="1BED8A8C" w:rsidRPr="008D22CF" w:rsidRDefault="1BED8A8C" w:rsidP="000A3EAD">
      <w:pPr>
        <w:pStyle w:val="ListParagraph"/>
        <w:numPr>
          <w:ilvl w:val="0"/>
          <w:numId w:val="9"/>
        </w:numPr>
        <w:spacing w:before="120" w:after="0" w:line="257" w:lineRule="auto"/>
        <w:ind w:left="714" w:hanging="357"/>
        <w:jc w:val="both"/>
        <w:rPr>
          <w:rFonts w:eastAsia="Times New Roman" w:cs="Times New Roman"/>
          <w:lang w:val="en-GB"/>
        </w:rPr>
      </w:pPr>
      <w:r w:rsidRPr="008D22CF">
        <w:rPr>
          <w:rFonts w:eastAsia="Times New Roman" w:cs="Times New Roman"/>
          <w:lang w:val="en-GB"/>
        </w:rPr>
        <w:t>Workshop on Modern Spectrum Management and SMS4DC - E: online 20 April</w:t>
      </w:r>
      <w:r w:rsidR="008D22CF">
        <w:rPr>
          <w:rFonts w:eastAsia="Times New Roman" w:cs="Times New Roman"/>
          <w:lang w:val="en-GB"/>
        </w:rPr>
        <w:t xml:space="preserve"> </w:t>
      </w:r>
      <w:r w:rsidR="2DD9EC9D" w:rsidRPr="008D22CF">
        <w:rPr>
          <w:rFonts w:eastAsia="Times New Roman" w:cs="Times New Roman"/>
          <w:lang w:val="en-GB"/>
        </w:rPr>
        <w:t xml:space="preserve">- </w:t>
      </w:r>
      <w:r w:rsidR="008D22CF">
        <w:rPr>
          <w:rFonts w:eastAsia="Times New Roman" w:cs="Times New Roman"/>
          <w:lang w:val="en-GB"/>
        </w:rPr>
        <w:t>1</w:t>
      </w:r>
      <w:r w:rsidRPr="008D22CF">
        <w:rPr>
          <w:rFonts w:eastAsia="Times New Roman" w:cs="Times New Roman"/>
          <w:lang w:val="en-GB"/>
        </w:rPr>
        <w:t xml:space="preserve"> </w:t>
      </w:r>
      <w:proofErr w:type="gramStart"/>
      <w:r w:rsidRPr="008D22CF">
        <w:rPr>
          <w:rFonts w:eastAsia="Times New Roman" w:cs="Times New Roman"/>
          <w:lang w:val="en-GB"/>
        </w:rPr>
        <w:t>May  2020</w:t>
      </w:r>
      <w:proofErr w:type="gramEnd"/>
      <w:r w:rsidRPr="008D22CF">
        <w:rPr>
          <w:rFonts w:eastAsia="Times New Roman" w:cs="Times New Roman"/>
          <w:lang w:val="en-GB"/>
        </w:rPr>
        <w:t xml:space="preserve"> </w:t>
      </w:r>
    </w:p>
    <w:p w14:paraId="5DE4C0C1" w14:textId="57D46ED5" w:rsidR="750270ED" w:rsidRPr="008D22CF" w:rsidRDefault="750270ED" w:rsidP="000A3EAD">
      <w:pPr>
        <w:pStyle w:val="ListParagraph"/>
        <w:numPr>
          <w:ilvl w:val="0"/>
          <w:numId w:val="9"/>
        </w:numPr>
        <w:spacing w:before="120" w:after="0" w:line="257" w:lineRule="auto"/>
        <w:ind w:left="714" w:hanging="357"/>
        <w:jc w:val="both"/>
        <w:rPr>
          <w:rFonts w:eastAsia="Times New Roman" w:cs="Times New Roman"/>
          <w:lang w:val="en-GB"/>
        </w:rPr>
      </w:pPr>
      <w:r w:rsidRPr="008D22CF">
        <w:rPr>
          <w:rFonts w:eastAsia="Times New Roman" w:cs="Times New Roman"/>
          <w:lang w:val="en-GB"/>
        </w:rPr>
        <w:t xml:space="preserve">Workshop on Modern Spectrum Management and SMS4DC - </w:t>
      </w:r>
      <w:r w:rsidR="3960B034" w:rsidRPr="008D22CF">
        <w:rPr>
          <w:rFonts w:eastAsia="Times New Roman" w:cs="Times New Roman"/>
          <w:lang w:val="en-GB"/>
        </w:rPr>
        <w:t>F</w:t>
      </w:r>
      <w:r w:rsidRPr="008D22CF">
        <w:rPr>
          <w:rFonts w:eastAsia="Times New Roman" w:cs="Times New Roman"/>
          <w:lang w:val="en-GB"/>
        </w:rPr>
        <w:t>: online 11-22 May 2020</w:t>
      </w:r>
    </w:p>
    <w:p w14:paraId="72271C41" w14:textId="04DE7207" w:rsidR="2CA000EB" w:rsidRPr="008D22CF" w:rsidRDefault="2CA000EB" w:rsidP="000A3EAD">
      <w:pPr>
        <w:pStyle w:val="ListParagraph"/>
        <w:numPr>
          <w:ilvl w:val="0"/>
          <w:numId w:val="9"/>
        </w:numPr>
        <w:spacing w:before="120" w:after="0" w:line="257" w:lineRule="auto"/>
        <w:ind w:left="714" w:hanging="357"/>
        <w:jc w:val="both"/>
        <w:rPr>
          <w:rFonts w:eastAsia="Times New Roman" w:cs="Times New Roman"/>
          <w:lang w:val="en-GB"/>
        </w:rPr>
      </w:pPr>
      <w:r w:rsidRPr="008D22CF">
        <w:rPr>
          <w:rFonts w:eastAsia="Times New Roman" w:cs="Times New Roman"/>
          <w:lang w:val="en-GB"/>
        </w:rPr>
        <w:t xml:space="preserve">Workshop. IoT and Digital Services. - </w:t>
      </w:r>
      <w:r w:rsidR="17F792EA" w:rsidRPr="008D22CF">
        <w:rPr>
          <w:rFonts w:eastAsia="Times New Roman" w:cs="Times New Roman"/>
          <w:lang w:val="en-GB"/>
        </w:rPr>
        <w:t>F</w:t>
      </w:r>
      <w:r w:rsidRPr="008D22CF">
        <w:rPr>
          <w:rFonts w:eastAsia="Times New Roman" w:cs="Times New Roman"/>
          <w:lang w:val="en-GB"/>
        </w:rPr>
        <w:t xml:space="preserve">: </w:t>
      </w:r>
      <w:r w:rsidR="6CF7FB6C" w:rsidRPr="008D22CF">
        <w:rPr>
          <w:rFonts w:eastAsia="Times New Roman" w:cs="Times New Roman"/>
          <w:lang w:val="en-GB"/>
        </w:rPr>
        <w:t>online</w:t>
      </w:r>
      <w:r w:rsidR="008D22CF">
        <w:rPr>
          <w:rFonts w:eastAsia="Times New Roman" w:cs="Times New Roman"/>
          <w:lang w:val="en-GB"/>
        </w:rPr>
        <w:t xml:space="preserve"> </w:t>
      </w:r>
      <w:r w:rsidR="55337DF9" w:rsidRPr="008D22CF">
        <w:rPr>
          <w:rFonts w:eastAsia="Times New Roman" w:cs="Times New Roman"/>
          <w:lang w:val="en-GB"/>
        </w:rPr>
        <w:t>24</w:t>
      </w:r>
      <w:r w:rsidR="008D22CF">
        <w:rPr>
          <w:rFonts w:eastAsia="Times New Roman" w:cs="Times New Roman"/>
          <w:lang w:val="en-GB"/>
        </w:rPr>
        <w:t xml:space="preserve"> </w:t>
      </w:r>
      <w:r w:rsidR="55337DF9" w:rsidRPr="008D22CF">
        <w:rPr>
          <w:rFonts w:eastAsia="Times New Roman" w:cs="Times New Roman"/>
          <w:lang w:val="en-GB"/>
        </w:rPr>
        <w:t>-</w:t>
      </w:r>
      <w:r w:rsidR="008D22CF">
        <w:rPr>
          <w:rFonts w:eastAsia="Times New Roman" w:cs="Times New Roman"/>
          <w:lang w:val="en-GB"/>
        </w:rPr>
        <w:t xml:space="preserve"> </w:t>
      </w:r>
      <w:r w:rsidR="5D902C9A" w:rsidRPr="008D22CF">
        <w:rPr>
          <w:rFonts w:eastAsia="Times New Roman" w:cs="Times New Roman"/>
          <w:lang w:val="en-GB"/>
        </w:rPr>
        <w:t>28 August</w:t>
      </w:r>
      <w:r w:rsidRPr="008D22CF">
        <w:rPr>
          <w:rFonts w:eastAsia="Times New Roman" w:cs="Times New Roman"/>
          <w:lang w:val="en-GB"/>
        </w:rPr>
        <w:t xml:space="preserve"> 2020</w:t>
      </w:r>
    </w:p>
    <w:p w14:paraId="64E13B91" w14:textId="0630A2BF" w:rsidR="62BFECF2" w:rsidRPr="008D22CF" w:rsidRDefault="62BFECF2" w:rsidP="000A3EAD">
      <w:pPr>
        <w:pStyle w:val="ListParagraph"/>
        <w:numPr>
          <w:ilvl w:val="0"/>
          <w:numId w:val="9"/>
        </w:numPr>
        <w:spacing w:before="120" w:after="0" w:line="257" w:lineRule="auto"/>
        <w:ind w:left="714" w:hanging="357"/>
        <w:jc w:val="both"/>
        <w:rPr>
          <w:rFonts w:eastAsia="Times New Roman" w:cs="Times New Roman"/>
          <w:lang w:val="en-GB"/>
        </w:rPr>
      </w:pPr>
      <w:r w:rsidRPr="008D22CF">
        <w:rPr>
          <w:rFonts w:eastAsia="Times New Roman" w:cs="Times New Roman"/>
          <w:lang w:val="en-GB"/>
        </w:rPr>
        <w:t>Workshop. IoT and Digital Services. - E: online 7 - 11 September 2020</w:t>
      </w:r>
    </w:p>
    <w:p w14:paraId="322D2856" w14:textId="77777777" w:rsidR="00713AFE" w:rsidRPr="005723FA" w:rsidRDefault="00713AFE" w:rsidP="00713AFE">
      <w:pPr>
        <w:pStyle w:val="Heading2"/>
      </w:pPr>
      <w:bookmarkStart w:id="50" w:name="_Toc418163382"/>
      <w:bookmarkStart w:id="51" w:name="_Toc418232300"/>
      <w:bookmarkStart w:id="52" w:name="_Toc424047620"/>
      <w:bookmarkStart w:id="53" w:name="_Toc446060792"/>
      <w:r w:rsidRPr="008C05BE">
        <w:t>8</w:t>
      </w:r>
      <w:r>
        <w:t>.4</w:t>
      </w:r>
      <w:r w:rsidRPr="008C05BE">
        <w:tab/>
      </w:r>
      <w:r>
        <w:t>Strategic Partnerships, including inter-sector c</w:t>
      </w:r>
      <w:r w:rsidRPr="008C05BE">
        <w:t>ooperation</w:t>
      </w:r>
      <w:bookmarkEnd w:id="50"/>
      <w:bookmarkEnd w:id="51"/>
      <w:bookmarkEnd w:id="52"/>
      <w:bookmarkEnd w:id="53"/>
    </w:p>
    <w:p w14:paraId="172D2455" w14:textId="202C9523" w:rsidR="00713AFE" w:rsidRPr="00CC3C34" w:rsidRDefault="01926120" w:rsidP="00713AFE">
      <w:pPr>
        <w:jc w:val="both"/>
      </w:pPr>
      <w:r>
        <w:t xml:space="preserve">Due to the </w:t>
      </w:r>
      <w:r w:rsidR="005D0253">
        <w:rPr>
          <w:rFonts w:eastAsia="Calibri"/>
        </w:rPr>
        <w:t>SARS-CoV-2</w:t>
      </w:r>
      <w:r w:rsidRPr="00535449">
        <w:rPr>
          <w:rFonts w:eastAsia="Calibri"/>
        </w:rPr>
        <w:t xml:space="preserve"> </w:t>
      </w:r>
      <w:r>
        <w:t xml:space="preserve">outbreak </w:t>
      </w:r>
      <w:r w:rsidR="643A0C8A">
        <w:t>only one</w:t>
      </w:r>
      <w:r w:rsidR="00713AFE" w:rsidRPr="00CC3C34">
        <w:t xml:space="preserve"> ITU/ITSO </w:t>
      </w:r>
      <w:r w:rsidR="7D226E5E" w:rsidRPr="005D0253">
        <w:t xml:space="preserve">online </w:t>
      </w:r>
      <w:r w:rsidR="00713AFE" w:rsidRPr="00CC3C34">
        <w:t xml:space="preserve">Capacity Building </w:t>
      </w:r>
      <w:r w:rsidR="00713AFE" w:rsidRPr="00B548DD">
        <w:t>Workshop</w:t>
      </w:r>
      <w:r w:rsidR="00713AFE" w:rsidRPr="1A5784CD">
        <w:t xml:space="preserve"> on Satellite Communications</w:t>
      </w:r>
      <w:r w:rsidR="00190C37">
        <w:t>, which</w:t>
      </w:r>
      <w:r w:rsidR="00713AFE" w:rsidRPr="1A5784CD">
        <w:t xml:space="preserve"> </w:t>
      </w:r>
      <w:r w:rsidR="6D2DCE5E">
        <w:t xml:space="preserve">was </w:t>
      </w:r>
      <w:r w:rsidR="00190C37">
        <w:t xml:space="preserve">an on-line event </w:t>
      </w:r>
      <w:r w:rsidR="00713AFE" w:rsidRPr="00CC3C34">
        <w:t xml:space="preserve">organized </w:t>
      </w:r>
      <w:r w:rsidR="009402A5">
        <w:t>for</w:t>
      </w:r>
      <w:r w:rsidR="006258D6">
        <w:t xml:space="preserve"> </w:t>
      </w:r>
      <w:r w:rsidR="00190C37">
        <w:t xml:space="preserve">the </w:t>
      </w:r>
      <w:r w:rsidR="00713AFE" w:rsidRPr="00C71E53">
        <w:t>Americas</w:t>
      </w:r>
      <w:r w:rsidR="00190C37">
        <w:t xml:space="preserve"> on</w:t>
      </w:r>
      <w:r w:rsidR="0BCF8A48" w:rsidRPr="00B039BD">
        <w:t xml:space="preserve"> 2-27 November </w:t>
      </w:r>
      <w:r w:rsidR="0BCF8A48" w:rsidRPr="00B039BD">
        <w:lastRenderedPageBreak/>
        <w:t>2020</w:t>
      </w:r>
      <w:r w:rsidR="005C58CA">
        <w:t>.</w:t>
      </w:r>
      <w:r w:rsidR="002619AD">
        <w:t xml:space="preserve"> </w:t>
      </w:r>
      <w:r w:rsidR="00713AFE" w:rsidRPr="00B548DD">
        <w:t>Th</w:t>
      </w:r>
      <w:r w:rsidR="00911725">
        <w:t>is</w:t>
      </w:r>
      <w:r w:rsidR="00713AFE" w:rsidRPr="00B548DD">
        <w:t xml:space="preserve"> workshop</w:t>
      </w:r>
      <w:r w:rsidR="00911725">
        <w:t xml:space="preserve"> is</w:t>
      </w:r>
      <w:r w:rsidR="00713AFE" w:rsidRPr="00CC3C34">
        <w:t xml:space="preserve"> part of a capacity</w:t>
      </w:r>
      <w:r w:rsidR="0099601E" w:rsidRPr="00CC3C34">
        <w:t>-</w:t>
      </w:r>
      <w:r w:rsidR="00713AFE" w:rsidRPr="00CC3C34">
        <w:t>building partnership between the ITU and ITSO for the delivery of satellite communications</w:t>
      </w:r>
      <w:r w:rsidR="0099601E" w:rsidRPr="00CC3C34">
        <w:t>-</w:t>
      </w:r>
      <w:r w:rsidR="00713AFE" w:rsidRPr="00FB5327">
        <w:t>related training.</w:t>
      </w:r>
      <w:r w:rsidR="00713AFE" w:rsidRPr="00B548DD">
        <w:t xml:space="preserve"> </w:t>
      </w:r>
    </w:p>
    <w:p w14:paraId="39D78182" w14:textId="24B2ECC1" w:rsidR="00713AFE" w:rsidRPr="005723FA" w:rsidRDefault="00713AFE" w:rsidP="00713AFE">
      <w:pPr>
        <w:pStyle w:val="Heading3"/>
      </w:pPr>
      <w:bookmarkStart w:id="54" w:name="_Toc424047621"/>
      <w:bookmarkStart w:id="55" w:name="_Toc446060793"/>
      <w:r w:rsidRPr="008C05BE">
        <w:t>8</w:t>
      </w:r>
      <w:r>
        <w:t>.4.1</w:t>
      </w:r>
      <w:r w:rsidRPr="008C05BE">
        <w:tab/>
        <w:t xml:space="preserve">Cooperation with </w:t>
      </w:r>
      <w:r>
        <w:t>ITU</w:t>
      </w:r>
      <w:r w:rsidR="00A32D6A">
        <w:t>-</w:t>
      </w:r>
      <w:r>
        <w:t>D</w:t>
      </w:r>
      <w:bookmarkStart w:id="56" w:name="_Toc424047622"/>
      <w:bookmarkEnd w:id="54"/>
      <w:bookmarkEnd w:id="55"/>
    </w:p>
    <w:p w14:paraId="1B902DA6" w14:textId="36DE6212" w:rsidR="00713AFE" w:rsidRPr="00B548DD" w:rsidRDefault="00713AFE" w:rsidP="00713AFE">
      <w:pPr>
        <w:jc w:val="both"/>
      </w:pPr>
      <w:r w:rsidRPr="00B548DD">
        <w:t xml:space="preserve">BR </w:t>
      </w:r>
      <w:r>
        <w:t xml:space="preserve">works </w:t>
      </w:r>
      <w:r w:rsidRPr="00B548DD">
        <w:t>closely with the BDT on issues of mutual interest to ITU</w:t>
      </w:r>
      <w:r>
        <w:t>-</w:t>
      </w:r>
      <w:r w:rsidRPr="00B548DD">
        <w:t>R and ITU</w:t>
      </w:r>
      <w:r>
        <w:t>-</w:t>
      </w:r>
      <w:r w:rsidRPr="00B548DD">
        <w:t>D. The BR has participated in relevant meetings of ITU</w:t>
      </w:r>
      <w:r>
        <w:t>-</w:t>
      </w:r>
      <w:r w:rsidRPr="00B548DD">
        <w:t>D Study Groups, Rapporteur Groups</w:t>
      </w:r>
      <w:r w:rsidR="0099601E">
        <w:t>,</w:t>
      </w:r>
      <w:r w:rsidRPr="00B548DD">
        <w:t xml:space="preserve"> and TDAG, where liaison activities have involved topics such as spectrum management, digital broadcasting and migration from analogue systems, </w:t>
      </w:r>
      <w:r w:rsidR="0099601E">
        <w:t xml:space="preserve">the </w:t>
      </w:r>
      <w:r w:rsidRPr="00B548DD">
        <w:t>transition towards and implementation of IMT, and broadband wireless access technologies. These topics are in addition to the collaboration undertaken through ITU</w:t>
      </w:r>
      <w:r>
        <w:t>-</w:t>
      </w:r>
      <w:r w:rsidRPr="00B548DD">
        <w:t>D Question 9-3/2</w:t>
      </w:r>
      <w:r>
        <w:t>, which</w:t>
      </w:r>
      <w:r w:rsidRPr="00B548DD">
        <w:t xml:space="preserve"> calls for the identification of study topics in ITU</w:t>
      </w:r>
      <w:r>
        <w:t>-</w:t>
      </w:r>
      <w:r w:rsidRPr="00B548DD">
        <w:t>R (and ITU</w:t>
      </w:r>
      <w:r>
        <w:t>-</w:t>
      </w:r>
      <w:r w:rsidRPr="00B548DD">
        <w:t xml:space="preserve">T) </w:t>
      </w:r>
      <w:r>
        <w:t xml:space="preserve">that are </w:t>
      </w:r>
      <w:r w:rsidRPr="00B548DD">
        <w:t xml:space="preserve">of particular interest to developing countries. </w:t>
      </w:r>
    </w:p>
    <w:p w14:paraId="0533EF7B" w14:textId="01A4F575" w:rsidR="00713AFE" w:rsidRPr="00CC3C34" w:rsidRDefault="00713AFE" w:rsidP="00713AFE">
      <w:pPr>
        <w:jc w:val="both"/>
      </w:pPr>
      <w:r>
        <w:t>I</w:t>
      </w:r>
      <w:r w:rsidRPr="00CC3C34">
        <w:t xml:space="preserve">n close cooperation with the BDT and the ITU regional and area offices, and other relevant international organizations and national authorities, the BR organized and participated in the following </w:t>
      </w:r>
      <w:r w:rsidR="00702209" w:rsidRPr="00702209">
        <w:t>(</w:t>
      </w:r>
      <w:r w:rsidR="4FF2E76F" w:rsidRPr="00702209">
        <w:t>online)</w:t>
      </w:r>
      <w:r w:rsidR="00702209">
        <w:t xml:space="preserve"> </w:t>
      </w:r>
      <w:r>
        <w:t>events</w:t>
      </w:r>
      <w:r w:rsidR="00702209">
        <w:t>:</w:t>
      </w:r>
    </w:p>
    <w:p w14:paraId="3F6D37FA" w14:textId="4ABD2D09" w:rsidR="12C475D6" w:rsidRDefault="12C475D6" w:rsidP="000A3EAD">
      <w:pPr>
        <w:pStyle w:val="ListParagraph"/>
        <w:numPr>
          <w:ilvl w:val="0"/>
          <w:numId w:val="7"/>
        </w:numPr>
        <w:jc w:val="both"/>
        <w:rPr>
          <w:rFonts w:eastAsia="Times New Roman" w:cs="Times New Roman"/>
        </w:rPr>
      </w:pPr>
      <w:r w:rsidRPr="00702209">
        <w:t>ITU Reg. Sem. Europe &amp; CIS - Spectrum &amp; Broadcast</w:t>
      </w:r>
      <w:r w:rsidR="00702209">
        <w:t>,</w:t>
      </w:r>
      <w:r w:rsidR="0CE995D1" w:rsidRPr="00702209">
        <w:t xml:space="preserve"> 1</w:t>
      </w:r>
      <w:r w:rsidRPr="00702209">
        <w:t>-2 July 2020</w:t>
      </w:r>
    </w:p>
    <w:p w14:paraId="70FC588E" w14:textId="0362AAD2" w:rsidR="316E718A" w:rsidRDefault="316E718A" w:rsidP="000A3EAD">
      <w:pPr>
        <w:pStyle w:val="ListParagraph"/>
        <w:numPr>
          <w:ilvl w:val="0"/>
          <w:numId w:val="7"/>
        </w:numPr>
        <w:jc w:val="both"/>
        <w:rPr>
          <w:rFonts w:eastAsia="Times New Roman" w:cs="Times New Roman"/>
        </w:rPr>
      </w:pPr>
      <w:r w:rsidRPr="00702209">
        <w:t>ITU Joint 5G Conference for Europe and CIS</w:t>
      </w:r>
      <w:r w:rsidR="79A9A022" w:rsidRPr="00702209">
        <w:t>, 22-23 October 2020</w:t>
      </w:r>
    </w:p>
    <w:p w14:paraId="2F438C12" w14:textId="3AF0770E" w:rsidR="79A9A022" w:rsidRDefault="79A9A022" w:rsidP="000A3EAD">
      <w:pPr>
        <w:pStyle w:val="ListParagraph"/>
        <w:numPr>
          <w:ilvl w:val="0"/>
          <w:numId w:val="7"/>
        </w:numPr>
        <w:jc w:val="both"/>
        <w:rPr>
          <w:rFonts w:eastAsia="Times New Roman" w:cs="Times New Roman"/>
        </w:rPr>
      </w:pPr>
      <w:r w:rsidRPr="00702209">
        <w:t>ITU Workshop on Spectrum Monitoring for the Arab Region, 9-11 November 2020</w:t>
      </w:r>
    </w:p>
    <w:p w14:paraId="3E7CA6AF" w14:textId="1ED0CA61" w:rsidR="79A9A022" w:rsidRDefault="79A9A022" w:rsidP="000A3EAD">
      <w:pPr>
        <w:pStyle w:val="ListParagraph"/>
        <w:numPr>
          <w:ilvl w:val="0"/>
          <w:numId w:val="7"/>
        </w:numPr>
        <w:jc w:val="both"/>
        <w:rPr>
          <w:rFonts w:eastAsia="Times New Roman" w:cs="Times New Roman"/>
        </w:rPr>
      </w:pPr>
      <w:r w:rsidRPr="00702209">
        <w:t>ITU/CITC Workshop on Radio Spectrum for IMT-2020 and beyond, 8</w:t>
      </w:r>
      <w:r w:rsidR="79DF4248">
        <w:t>-1</w:t>
      </w:r>
      <w:r w:rsidRPr="00702209">
        <w:t>0 December 2020</w:t>
      </w:r>
    </w:p>
    <w:p w14:paraId="6F9B5F43" w14:textId="7A934034" w:rsidR="00713AFE" w:rsidRPr="000231C1" w:rsidRDefault="00713AFE" w:rsidP="00713AFE">
      <w:pPr>
        <w:pStyle w:val="Heading4"/>
        <w:rPr>
          <w:i/>
          <w:iCs/>
        </w:rPr>
      </w:pPr>
      <w:r>
        <w:t>8.4</w:t>
      </w:r>
      <w:r w:rsidRPr="008C05BE">
        <w:t>.1</w:t>
      </w:r>
      <w:r>
        <w:t xml:space="preserve">.1 </w:t>
      </w:r>
      <w:r w:rsidR="00D46052">
        <w:tab/>
      </w:r>
      <w:r w:rsidRPr="008C05BE">
        <w:t>GSR</w:t>
      </w:r>
      <w:bookmarkEnd w:id="56"/>
    </w:p>
    <w:p w14:paraId="36A272CB" w14:textId="07757E33" w:rsidR="00713AFE" w:rsidRPr="00FB1A42" w:rsidRDefault="00713AFE" w:rsidP="00713AFE">
      <w:pPr>
        <w:jc w:val="both"/>
        <w:rPr>
          <w:szCs w:val="24"/>
        </w:rPr>
      </w:pPr>
      <w:r w:rsidRPr="00FB1A42">
        <w:rPr>
          <w:bCs/>
        </w:rPr>
        <w:t>The BR</w:t>
      </w:r>
      <w:r>
        <w:rPr>
          <w:bCs/>
        </w:rPr>
        <w:t xml:space="preserve"> contributed to the ITU Global Symposium of Regulators in </w:t>
      </w:r>
      <w:r>
        <w:t>20</w:t>
      </w:r>
      <w:r w:rsidR="3CB34D63" w:rsidRPr="32AC1E01">
        <w:rPr>
          <w:szCs w:val="24"/>
        </w:rPr>
        <w:t>20</w:t>
      </w:r>
      <w:r>
        <w:rPr>
          <w:bCs/>
        </w:rPr>
        <w:t xml:space="preserve"> by participating in </w:t>
      </w:r>
      <w:r w:rsidR="30F02C6A">
        <w:t xml:space="preserve">a </w:t>
      </w:r>
      <w:r>
        <w:rPr>
          <w:bCs/>
        </w:rPr>
        <w:t xml:space="preserve">panel </w:t>
      </w:r>
      <w:r>
        <w:t>discussion</w:t>
      </w:r>
      <w:r>
        <w:rPr>
          <w:bCs/>
        </w:rPr>
        <w:t xml:space="preserve"> related to </w:t>
      </w:r>
      <w:r w:rsidR="61DFD0C9">
        <w:t xml:space="preserve">the role of </w:t>
      </w:r>
      <w:r>
        <w:rPr>
          <w:bCs/>
        </w:rPr>
        <w:t xml:space="preserve">spectrum </w:t>
      </w:r>
      <w:r w:rsidR="61DFD0C9">
        <w:t>for</w:t>
      </w:r>
      <w:r>
        <w:rPr>
          <w:bCs/>
        </w:rPr>
        <w:t xml:space="preserve"> the </w:t>
      </w:r>
      <w:r w:rsidR="61DFD0C9">
        <w:t xml:space="preserve">digital transformation process, and </w:t>
      </w:r>
      <w:r w:rsidR="1E409B60">
        <w:t>spectrum licensing principles for new services</w:t>
      </w:r>
      <w:r w:rsidRPr="32AC1E01">
        <w:rPr>
          <w:szCs w:val="24"/>
        </w:rPr>
        <w:t xml:space="preserve">. </w:t>
      </w:r>
    </w:p>
    <w:p w14:paraId="111AB8E1" w14:textId="21320733" w:rsidR="00713AFE" w:rsidRPr="000231C1" w:rsidRDefault="00713AFE" w:rsidP="00713AFE">
      <w:pPr>
        <w:pStyle w:val="Heading4"/>
        <w:rPr>
          <w:i/>
          <w:iCs/>
        </w:rPr>
      </w:pPr>
      <w:bookmarkStart w:id="57" w:name="_Toc424047623"/>
      <w:r w:rsidRPr="008C05BE">
        <w:t>8.</w:t>
      </w:r>
      <w:r>
        <w:t>4.</w:t>
      </w:r>
      <w:r w:rsidRPr="008C05BE">
        <w:t>1.2</w:t>
      </w:r>
      <w:r>
        <w:t xml:space="preserve"> </w:t>
      </w:r>
      <w:r w:rsidR="00D46052">
        <w:tab/>
      </w:r>
      <w:r>
        <w:t>World Telecommunication/</w:t>
      </w:r>
      <w:r w:rsidRPr="008C05BE">
        <w:t xml:space="preserve">ICT </w:t>
      </w:r>
      <w:r>
        <w:t>Indicators Symposium, WTIS</w:t>
      </w:r>
      <w:bookmarkEnd w:id="57"/>
    </w:p>
    <w:p w14:paraId="49334F21" w14:textId="00B36FB0" w:rsidR="00713AFE" w:rsidRPr="00433634" w:rsidRDefault="00713AFE" w:rsidP="00713AFE">
      <w:pPr>
        <w:jc w:val="both"/>
      </w:pPr>
      <w:r w:rsidRPr="00CC3C34">
        <w:t xml:space="preserve">The WTIS </w:t>
      </w:r>
      <w:r w:rsidR="3ED63C31" w:rsidRPr="00224AD5">
        <w:t>2020</w:t>
      </w:r>
      <w:r w:rsidRPr="00224AD5">
        <w:t xml:space="preserve"> </w:t>
      </w:r>
      <w:r w:rsidRPr="00CC3C34">
        <w:t xml:space="preserve">was </w:t>
      </w:r>
      <w:r w:rsidRPr="1A5784CD">
        <w:t xml:space="preserve">held </w:t>
      </w:r>
      <w:r w:rsidR="00224AD5" w:rsidRPr="00224AD5">
        <w:t>online</w:t>
      </w:r>
      <w:r w:rsidR="4A61DE31" w:rsidRPr="00224AD5">
        <w:t xml:space="preserve"> </w:t>
      </w:r>
      <w:r w:rsidR="00224AD5">
        <w:t xml:space="preserve">from </w:t>
      </w:r>
      <w:r w:rsidR="4A61DE31" w:rsidRPr="00224AD5">
        <w:t>1-3 December 2020</w:t>
      </w:r>
      <w:r w:rsidR="00224AD5">
        <w:t>.</w:t>
      </w:r>
      <w:r w:rsidRPr="00B548DD">
        <w:t xml:space="preserve"> BR </w:t>
      </w:r>
      <w:r w:rsidRPr="1A5784CD">
        <w:t xml:space="preserve">and </w:t>
      </w:r>
      <w:r w:rsidRPr="00CC3C34">
        <w:t>BDT</w:t>
      </w:r>
      <w:r w:rsidRPr="1A5784CD">
        <w:t xml:space="preserve"> </w:t>
      </w:r>
      <w:r w:rsidR="00A669A0" w:rsidRPr="00224AD5">
        <w:t>jointly</w:t>
      </w:r>
      <w:r w:rsidRPr="1A5784CD">
        <w:t xml:space="preserve"> </w:t>
      </w:r>
      <w:r w:rsidR="65C155CF" w:rsidRPr="00224AD5">
        <w:t>supported</w:t>
      </w:r>
      <w:r w:rsidRPr="00CC3C34" w:rsidDel="0099601E">
        <w:t xml:space="preserve"> </w:t>
      </w:r>
      <w:r w:rsidRPr="1A5784CD">
        <w:t>the discussions relating to IMT National Spectrum Allocations and Assignments.</w:t>
      </w:r>
    </w:p>
    <w:p w14:paraId="506F7217" w14:textId="0625E9B7" w:rsidR="00713AFE" w:rsidRPr="00452DA3" w:rsidRDefault="00713AFE" w:rsidP="00713AFE">
      <w:pPr>
        <w:pStyle w:val="Heading4"/>
      </w:pPr>
      <w:r w:rsidRPr="004122D8">
        <w:t>8.4.1.3</w:t>
      </w:r>
      <w:r>
        <w:t xml:space="preserve"> </w:t>
      </w:r>
      <w:r w:rsidR="00D46052">
        <w:tab/>
      </w:r>
      <w:r>
        <w:t>ICT Survey and ICT Eye</w:t>
      </w:r>
    </w:p>
    <w:p w14:paraId="5E78B2AC" w14:textId="77777777" w:rsidR="00713AFE" w:rsidRDefault="00713AFE" w:rsidP="00713AFE">
      <w:pPr>
        <w:jc w:val="both"/>
      </w:pPr>
      <w:r w:rsidRPr="00B548DD">
        <w:t>The BR cooperated with the BDT on the indicators and definitions for gathering data on mobile broadband technologies</w:t>
      </w:r>
      <w:r>
        <w:t xml:space="preserve"> and</w:t>
      </w:r>
      <w:r w:rsidRPr="00B548DD">
        <w:t xml:space="preserve"> standards </w:t>
      </w:r>
      <w:r>
        <w:t>by</w:t>
      </w:r>
      <w:r w:rsidRPr="00B548DD">
        <w:t xml:space="preserve"> participating in the meetings of </w:t>
      </w:r>
      <w:r>
        <w:t xml:space="preserve">the </w:t>
      </w:r>
      <w:r w:rsidRPr="00B548DD">
        <w:t xml:space="preserve">Ad-Hoc Group </w:t>
      </w:r>
      <w:r>
        <w:t xml:space="preserve">of the </w:t>
      </w:r>
      <w:r w:rsidRPr="00B548DD">
        <w:t>Expert Group on Telecom-ICT Indicators (EGTI)</w:t>
      </w:r>
      <w:r>
        <w:t xml:space="preserve">. </w:t>
      </w:r>
    </w:p>
    <w:p w14:paraId="576B53EA" w14:textId="4FCFFA36" w:rsidR="00713AFE" w:rsidRPr="00C15F04" w:rsidRDefault="00713AFE" w:rsidP="00224AD5">
      <w:pPr>
        <w:spacing w:line="259" w:lineRule="auto"/>
        <w:rPr>
          <w:rFonts w:asciiTheme="majorBidi" w:hAnsiTheme="majorBidi" w:cstheme="majorBidi"/>
        </w:rPr>
      </w:pPr>
      <w:r w:rsidRPr="1A5784CD">
        <w:rPr>
          <w:rFonts w:asciiTheme="majorBidi" w:hAnsiTheme="majorBidi" w:cstheme="majorBidi"/>
        </w:rPr>
        <w:t xml:space="preserve">In </w:t>
      </w:r>
      <w:r w:rsidR="06F7383F" w:rsidRPr="22212100">
        <w:rPr>
          <w:rFonts w:asciiTheme="majorBidi" w:hAnsiTheme="majorBidi" w:cstheme="majorBidi"/>
        </w:rPr>
        <w:t>20</w:t>
      </w:r>
      <w:r w:rsidR="06F7383F" w:rsidRPr="00B714BE">
        <w:t>20</w:t>
      </w:r>
      <w:r w:rsidRPr="00B714BE">
        <w:t>,</w:t>
      </w:r>
      <w:r w:rsidR="5D6F33C3">
        <w:t xml:space="preserve"> the EGTI meeting was conducted online</w:t>
      </w:r>
      <w:r w:rsidR="5D6F33C3" w:rsidRPr="00B714BE">
        <w:t xml:space="preserve"> on 14,18 and 29 September 2020.</w:t>
      </w:r>
      <w:r w:rsidR="22D51DF8">
        <w:t xml:space="preserve"> The IMT spectrum-related indicator was discussed</w:t>
      </w:r>
      <w:r w:rsidR="108D5094">
        <w:t>,</w:t>
      </w:r>
      <w:r w:rsidR="2E324E30">
        <w:t xml:space="preserve"> as well as collected data </w:t>
      </w:r>
      <w:r w:rsidR="2E324E30" w:rsidRPr="22212100">
        <w:rPr>
          <w:rFonts w:asciiTheme="majorBidi" w:hAnsiTheme="majorBidi" w:cstheme="majorBidi"/>
        </w:rPr>
        <w:t>on</w:t>
      </w:r>
      <w:r w:rsidRPr="1A5784CD">
        <w:rPr>
          <w:rFonts w:asciiTheme="majorBidi" w:hAnsiTheme="majorBidi" w:cstheme="majorBidi"/>
        </w:rPr>
        <w:t>:</w:t>
      </w:r>
    </w:p>
    <w:p w14:paraId="4B7F1345" w14:textId="77777777" w:rsidR="00713AFE" w:rsidRPr="0096293A" w:rsidRDefault="00713AFE" w:rsidP="000A3EAD">
      <w:pPr>
        <w:pStyle w:val="ListParagraph"/>
        <w:numPr>
          <w:ilvl w:val="0"/>
          <w:numId w:val="7"/>
        </w:numPr>
        <w:jc w:val="both"/>
      </w:pPr>
      <w:r w:rsidRPr="0096293A">
        <w:t>Amount of spectrum offered for IMT services, by frequency band, in MHz:</w:t>
      </w:r>
    </w:p>
    <w:p w14:paraId="6513210B" w14:textId="77777777" w:rsidR="00713AFE" w:rsidRPr="0096293A" w:rsidRDefault="00713AFE" w:rsidP="000A3EAD">
      <w:pPr>
        <w:pStyle w:val="ListParagraph"/>
        <w:numPr>
          <w:ilvl w:val="0"/>
          <w:numId w:val="7"/>
        </w:numPr>
        <w:jc w:val="both"/>
      </w:pPr>
      <w:r w:rsidRPr="0096293A">
        <w:t>Total spectrum, in MHz, made available for use (i.e. allocated) through any formal national publication, such as the National Frequency Plan, for IMT or IMT Advanced services, including any of the air interfaces in accordance with ITU-R Recommendations concerning these standards for mobile communications.</w:t>
      </w:r>
    </w:p>
    <w:p w14:paraId="29E7A12D" w14:textId="77777777" w:rsidR="00713AFE" w:rsidRPr="0096293A" w:rsidRDefault="00713AFE" w:rsidP="000A3EAD">
      <w:pPr>
        <w:pStyle w:val="ListParagraph"/>
        <w:numPr>
          <w:ilvl w:val="0"/>
          <w:numId w:val="7"/>
        </w:numPr>
        <w:jc w:val="both"/>
      </w:pPr>
      <w:r w:rsidRPr="0096293A">
        <w:t>Amount of spectrum licensed for IMT services, by frequency band, in MHz</w:t>
      </w:r>
    </w:p>
    <w:p w14:paraId="361F10B1" w14:textId="77777777" w:rsidR="00713AFE" w:rsidRPr="0096293A" w:rsidRDefault="00713AFE" w:rsidP="000A3EAD">
      <w:pPr>
        <w:pStyle w:val="ListParagraph"/>
        <w:numPr>
          <w:ilvl w:val="0"/>
          <w:numId w:val="7"/>
        </w:numPr>
        <w:jc w:val="both"/>
      </w:pPr>
      <w:r w:rsidRPr="0096293A">
        <w:t>Total spectrum, in MHz, assigned nationally for use for IMT systems, including any of the air interfaces in accordance with ITU-R Recommendations concerning these standards for mobile communications.</w:t>
      </w:r>
    </w:p>
    <w:p w14:paraId="60D02BDE" w14:textId="1571D28A" w:rsidR="00713AFE" w:rsidRPr="00452DA3" w:rsidRDefault="00713AFE" w:rsidP="00981658">
      <w:pPr>
        <w:spacing w:line="259" w:lineRule="auto"/>
        <w:rPr>
          <w:rFonts w:asciiTheme="majorBidi" w:hAnsiTheme="majorBidi" w:cstheme="majorBidi"/>
        </w:rPr>
      </w:pPr>
      <w:r w:rsidRPr="32AC1E01">
        <w:rPr>
          <w:rFonts w:asciiTheme="majorBidi" w:hAnsiTheme="majorBidi" w:cstheme="majorBidi"/>
        </w:rPr>
        <w:t>They w</w:t>
      </w:r>
      <w:r w:rsidR="426BD19A" w:rsidRPr="32AC1E01">
        <w:rPr>
          <w:rFonts w:asciiTheme="majorBidi" w:hAnsiTheme="majorBidi" w:cstheme="majorBidi"/>
        </w:rPr>
        <w:t>ere</w:t>
      </w:r>
      <w:r w:rsidRPr="32AC1E01">
        <w:rPr>
          <w:rFonts w:asciiTheme="majorBidi" w:hAnsiTheme="majorBidi" w:cstheme="majorBidi"/>
        </w:rPr>
        <w:t xml:space="preserve"> included in the 2020 data collection.</w:t>
      </w:r>
      <w:r w:rsidRPr="22212100">
        <w:rPr>
          <w:rFonts w:asciiTheme="majorBidi" w:hAnsiTheme="majorBidi" w:cstheme="majorBidi"/>
        </w:rPr>
        <w:t xml:space="preserve"> </w:t>
      </w:r>
      <w:r w:rsidR="570358C1" w:rsidRPr="22212100">
        <w:rPr>
          <w:rFonts w:asciiTheme="majorBidi" w:hAnsiTheme="majorBidi" w:cstheme="majorBidi"/>
        </w:rPr>
        <w:t xml:space="preserve">BR </w:t>
      </w:r>
      <w:r w:rsidR="00B714BE">
        <w:rPr>
          <w:rFonts w:asciiTheme="majorBidi" w:hAnsiTheme="majorBidi" w:cstheme="majorBidi"/>
        </w:rPr>
        <w:t xml:space="preserve">and </w:t>
      </w:r>
      <w:r w:rsidR="0F6B703C" w:rsidRPr="22212100">
        <w:rPr>
          <w:rFonts w:asciiTheme="majorBidi" w:hAnsiTheme="majorBidi" w:cstheme="majorBidi"/>
        </w:rPr>
        <w:t xml:space="preserve">BDT </w:t>
      </w:r>
      <w:r w:rsidR="00981658">
        <w:rPr>
          <w:rFonts w:asciiTheme="majorBidi" w:hAnsiTheme="majorBidi" w:cstheme="majorBidi"/>
        </w:rPr>
        <w:t xml:space="preserve">are working </w:t>
      </w:r>
      <w:r w:rsidR="2733E4F5" w:rsidRPr="0FED3715">
        <w:rPr>
          <w:rFonts w:asciiTheme="majorBidi" w:hAnsiTheme="majorBidi" w:cstheme="majorBidi"/>
        </w:rPr>
        <w:t>jo</w:t>
      </w:r>
      <w:r w:rsidR="3ACE58A2" w:rsidRPr="0FED3715">
        <w:rPr>
          <w:rFonts w:asciiTheme="majorBidi" w:hAnsiTheme="majorBidi" w:cstheme="majorBidi"/>
        </w:rPr>
        <w:t>intly</w:t>
      </w:r>
      <w:r w:rsidR="2733E4F5" w:rsidRPr="3AA845E0">
        <w:rPr>
          <w:rFonts w:asciiTheme="majorBidi" w:hAnsiTheme="majorBidi" w:cstheme="majorBidi"/>
        </w:rPr>
        <w:t xml:space="preserve"> </w:t>
      </w:r>
      <w:r w:rsidR="00981658">
        <w:rPr>
          <w:rFonts w:asciiTheme="majorBidi" w:hAnsiTheme="majorBidi" w:cstheme="majorBidi"/>
        </w:rPr>
        <w:t>on</w:t>
      </w:r>
      <w:r w:rsidR="2733E4F5" w:rsidRPr="71D571ED">
        <w:rPr>
          <w:rFonts w:asciiTheme="majorBidi" w:hAnsiTheme="majorBidi" w:cstheme="majorBidi"/>
        </w:rPr>
        <w:t xml:space="preserve"> how to process and deliver the relevant indicators on this matter. </w:t>
      </w:r>
    </w:p>
    <w:p w14:paraId="2D2FCE1F" w14:textId="77777777" w:rsidR="00713AFE" w:rsidRPr="00BB3F4A" w:rsidRDefault="00713AFE" w:rsidP="00713AFE">
      <w:pPr>
        <w:pStyle w:val="Heading4"/>
      </w:pPr>
      <w:bookmarkStart w:id="58" w:name="_Toc424047624"/>
      <w:r w:rsidRPr="008C05BE">
        <w:lastRenderedPageBreak/>
        <w:t>8.</w:t>
      </w:r>
      <w:r>
        <w:t>4.</w:t>
      </w:r>
      <w:r w:rsidRPr="008C05BE">
        <w:t>1.</w:t>
      </w:r>
      <w:r>
        <w:t>4</w:t>
      </w:r>
      <w:r w:rsidRPr="008C05BE">
        <w:tab/>
        <w:t>Spectrum Management Training Programme (SMTP)</w:t>
      </w:r>
      <w:bookmarkEnd w:id="58"/>
    </w:p>
    <w:p w14:paraId="4318A8A9" w14:textId="40B694D7" w:rsidR="0046704B" w:rsidRPr="0046704B" w:rsidRDefault="008D4DB4" w:rsidP="0046704B">
      <w:pPr>
        <w:jc w:val="both"/>
      </w:pPr>
      <w:r>
        <w:t xml:space="preserve">Since 2013, the BR </w:t>
      </w:r>
      <w:r w:rsidR="0099601E">
        <w:t xml:space="preserve">has </w:t>
      </w:r>
      <w:r>
        <w:t xml:space="preserve">actively participated in a joint project with the BDT to develop the Spectrum Management Training Programme (SMTP) through its different phases: design, material preparation, peer review, pilot test. Several updates occurred over the years and BR performed </w:t>
      </w:r>
      <w:r w:rsidR="44D70D32">
        <w:t>r</w:t>
      </w:r>
      <w:r>
        <w:t>e</w:t>
      </w:r>
      <w:r w:rsidR="44D70D32">
        <w:t>gularly a</w:t>
      </w:r>
      <w:r>
        <w:t xml:space="preserve"> review of the material contained in the current SMTP. Recent updates were performed to include the outcomes from WRC-19/RA-19. Further work is expected in the coming years.</w:t>
      </w:r>
    </w:p>
    <w:p w14:paraId="0108D53C" w14:textId="25AE2610" w:rsidR="7428AC68" w:rsidRDefault="04E36CD6" w:rsidP="52A2D701">
      <w:pPr>
        <w:jc w:val="both"/>
      </w:pPr>
      <w:r>
        <w:t>During 2020 BR performed a</w:t>
      </w:r>
      <w:r w:rsidR="0F9F4D46">
        <w:t>n extensive revision and</w:t>
      </w:r>
      <w:r w:rsidR="118AC8FF">
        <w:t xml:space="preserve"> </w:t>
      </w:r>
      <w:r w:rsidR="3543E3CF">
        <w:t xml:space="preserve">updating </w:t>
      </w:r>
      <w:r w:rsidR="08EE5E39">
        <w:t>o</w:t>
      </w:r>
      <w:r w:rsidR="3543E3CF">
        <w:t xml:space="preserve">f the whole content </w:t>
      </w:r>
      <w:r w:rsidR="0EB240CA">
        <w:t>of SMTP</w:t>
      </w:r>
      <w:r w:rsidR="26A8D881">
        <w:t xml:space="preserve">, </w:t>
      </w:r>
      <w:r w:rsidR="3098B21A">
        <w:t xml:space="preserve">to </w:t>
      </w:r>
      <w:r w:rsidR="354962D1">
        <w:t>include</w:t>
      </w:r>
      <w:r w:rsidR="0696A8AF">
        <w:t xml:space="preserve"> WRC-1</w:t>
      </w:r>
      <w:r w:rsidR="26A8D881">
        <w:t>9</w:t>
      </w:r>
      <w:r w:rsidR="3B811C19">
        <w:t xml:space="preserve"> decisions and subsequent RR-20 updates</w:t>
      </w:r>
      <w:r w:rsidR="59A020A1">
        <w:t xml:space="preserve">, as well as </w:t>
      </w:r>
      <w:r w:rsidR="1AED0256">
        <w:t>align the modules</w:t>
      </w:r>
      <w:r w:rsidR="59A020A1">
        <w:t xml:space="preserve"> with the ITU</w:t>
      </w:r>
      <w:r w:rsidR="00A72DAA">
        <w:noBreakHyphen/>
      </w:r>
      <w:r w:rsidR="4B8CBACC">
        <w:t>R works and outcomes (</w:t>
      </w:r>
      <w:r w:rsidR="00981658">
        <w:t>Recommendations</w:t>
      </w:r>
      <w:r w:rsidR="4B8CBACC">
        <w:t>, Reports, etc.)</w:t>
      </w:r>
      <w:r w:rsidR="00D32563">
        <w:t>.</w:t>
      </w:r>
      <w:r w:rsidR="4B8CBACC">
        <w:t xml:space="preserve"> </w:t>
      </w:r>
      <w:r w:rsidR="12D16A3B">
        <w:t xml:space="preserve"> A </w:t>
      </w:r>
      <w:r w:rsidR="002829BE">
        <w:t>second review</w:t>
      </w:r>
      <w:r w:rsidR="12D16A3B">
        <w:t xml:space="preserve"> of some modules is in progress</w:t>
      </w:r>
      <w:r w:rsidR="00981658">
        <w:t>.</w:t>
      </w:r>
    </w:p>
    <w:p w14:paraId="018870C0" w14:textId="32D9A81A" w:rsidR="00713AFE" w:rsidRDefault="00713AFE" w:rsidP="00713AFE">
      <w:pPr>
        <w:pStyle w:val="Heading3"/>
      </w:pPr>
      <w:r>
        <w:t>8.4.</w:t>
      </w:r>
      <w:r w:rsidR="002829BE">
        <w:t>2</w:t>
      </w:r>
      <w:r w:rsidRPr="008C05BE">
        <w:tab/>
      </w:r>
      <w:r>
        <w:t>ITU Telecom</w:t>
      </w:r>
    </w:p>
    <w:p w14:paraId="6A5A240E" w14:textId="1EC3AFD1" w:rsidR="00713AFE" w:rsidRPr="00FB1A42" w:rsidRDefault="00713AFE" w:rsidP="32AC1E01">
      <w:pPr>
        <w:jc w:val="both"/>
      </w:pPr>
      <w:bookmarkStart w:id="59" w:name="_Toc418163383"/>
      <w:bookmarkStart w:id="60" w:name="_Toc418232301"/>
      <w:bookmarkStart w:id="61" w:name="_Toc424047626"/>
      <w:bookmarkStart w:id="62" w:name="_Toc446060795"/>
      <w:r>
        <w:t xml:space="preserve">The BR supported the ITU Telecom </w:t>
      </w:r>
      <w:r w:rsidR="23480AE1">
        <w:t xml:space="preserve">team </w:t>
      </w:r>
      <w:r>
        <w:t xml:space="preserve">in the organization of </w:t>
      </w:r>
      <w:r w:rsidR="6CA7CE7C">
        <w:t>the ITU Virtual Digital World 2020 and</w:t>
      </w:r>
      <w:r w:rsidR="0AEE45A9">
        <w:t xml:space="preserve"> moderated </w:t>
      </w:r>
      <w:r w:rsidR="4953B51C">
        <w:t xml:space="preserve">two sessions. </w:t>
      </w:r>
      <w:r w:rsidR="4F221E6E">
        <w:t xml:space="preserve">A ministerial round table on </w:t>
      </w:r>
      <w:r w:rsidR="6CE4467A">
        <w:t>"</w:t>
      </w:r>
      <w:r w:rsidR="65899F48">
        <w:t>The role of digital technologies during and after COVID-19 pandemic" and a second</w:t>
      </w:r>
      <w:r w:rsidR="65899F48" w:rsidRPr="32AC1E01">
        <w:rPr>
          <w:szCs w:val="24"/>
        </w:rPr>
        <w:t xml:space="preserve"> </w:t>
      </w:r>
      <w:r w:rsidR="69A39CAC" w:rsidRPr="32AC1E01">
        <w:rPr>
          <w:szCs w:val="24"/>
        </w:rPr>
        <w:t>session on "</w:t>
      </w:r>
      <w:r w:rsidR="69A39CAC" w:rsidRPr="32AC1E01">
        <w:rPr>
          <w:szCs w:val="24"/>
          <w:lang w:val="en-US"/>
        </w:rPr>
        <w:t>Entering the 5G era: demand, deployment, and disquiet"</w:t>
      </w:r>
      <w:r>
        <w:t xml:space="preserve">. </w:t>
      </w:r>
    </w:p>
    <w:p w14:paraId="2B1987F5" w14:textId="038A33FA" w:rsidR="00713AFE" w:rsidRDefault="00713AFE" w:rsidP="00713AFE">
      <w:pPr>
        <w:pStyle w:val="Heading2"/>
      </w:pPr>
      <w:bookmarkStart w:id="63" w:name="_Toc446060796"/>
      <w:bookmarkEnd w:id="59"/>
      <w:bookmarkEnd w:id="60"/>
      <w:bookmarkEnd w:id="61"/>
      <w:bookmarkEnd w:id="62"/>
      <w:r w:rsidRPr="00DA3553">
        <w:t>8.5</w:t>
      </w:r>
      <w:r w:rsidRPr="00DA3553">
        <w:tab/>
        <w:t>Membership</w:t>
      </w:r>
      <w:bookmarkEnd w:id="63"/>
    </w:p>
    <w:p w14:paraId="0D8189DD" w14:textId="77777777" w:rsidR="00713AFE" w:rsidRPr="008E1622" w:rsidRDefault="00713AFE" w:rsidP="00713AFE">
      <w:pPr>
        <w:pStyle w:val="Heading3"/>
      </w:pPr>
      <w:r>
        <w:t>8.5.1</w:t>
      </w:r>
      <w:r>
        <w:tab/>
        <w:t>ITU Membership</w:t>
      </w:r>
    </w:p>
    <w:p w14:paraId="3D0E897C" w14:textId="749634C9" w:rsidR="00713AFE" w:rsidRPr="000D7876" w:rsidRDefault="00713AFE" w:rsidP="003F5E82">
      <w:pPr>
        <w:jc w:val="both"/>
      </w:pPr>
      <w:r>
        <w:t>Tables 8.5.1-1 to 8.5.1-3 show the Membership by Sector and Region, along with the associated contributions in 20</w:t>
      </w:r>
      <w:r w:rsidR="5A653BF4">
        <w:t>20</w:t>
      </w:r>
      <w:r>
        <w:t xml:space="preserve"> and the evolution of the number of ITU-R Sector Members, Associates and Academia during the period 2016 to 20</w:t>
      </w:r>
      <w:r w:rsidR="7F168C20">
        <w:t>20</w:t>
      </w:r>
      <w:r>
        <w:t>.</w:t>
      </w:r>
    </w:p>
    <w:p w14:paraId="71BD226D" w14:textId="77777777" w:rsidR="00713AFE" w:rsidRDefault="00713AFE" w:rsidP="00713AFE">
      <w:pPr>
        <w:pStyle w:val="TableNoBR"/>
      </w:pPr>
      <w:r>
        <w:t>Table 8.5.</w:t>
      </w:r>
      <w:r w:rsidRPr="00E057F1">
        <w:t>1</w:t>
      </w:r>
      <w:r>
        <w:t>-1</w:t>
      </w:r>
    </w:p>
    <w:p w14:paraId="7FDE9B44" w14:textId="6AE34883" w:rsidR="00713AFE" w:rsidRDefault="69A3745A" w:rsidP="365D43DB">
      <w:r>
        <w:rPr>
          <w:noProof/>
        </w:rPr>
        <w:drawing>
          <wp:inline distT="0" distB="0" distL="0" distR="0" wp14:anchorId="3A4CCA0F" wp14:editId="73F961D4">
            <wp:extent cx="6225153" cy="2308494"/>
            <wp:effectExtent l="0" t="0" r="0" b="0"/>
            <wp:docPr id="633438139" name="Picture 63343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438139"/>
                    <pic:cNvPicPr/>
                  </pic:nvPicPr>
                  <pic:blipFill>
                    <a:blip r:embed="rId46">
                      <a:extLst>
                        <a:ext uri="{28A0092B-C50C-407E-A947-70E740481C1C}">
                          <a14:useLocalDpi xmlns:a14="http://schemas.microsoft.com/office/drawing/2010/main" val="0"/>
                        </a:ext>
                      </a:extLst>
                    </a:blip>
                    <a:stretch>
                      <a:fillRect/>
                    </a:stretch>
                  </pic:blipFill>
                  <pic:spPr>
                    <a:xfrm>
                      <a:off x="0" y="0"/>
                      <a:ext cx="6225153" cy="2308494"/>
                    </a:xfrm>
                    <a:prstGeom prst="rect">
                      <a:avLst/>
                    </a:prstGeom>
                  </pic:spPr>
                </pic:pic>
              </a:graphicData>
            </a:graphic>
          </wp:inline>
        </w:drawing>
      </w:r>
    </w:p>
    <w:p w14:paraId="19F780A8" w14:textId="77777777" w:rsidR="00713AFE" w:rsidRDefault="00713AFE" w:rsidP="00713AFE">
      <w:pPr>
        <w:pStyle w:val="TableNoBR"/>
      </w:pPr>
      <w:r>
        <w:lastRenderedPageBreak/>
        <w:t>Table 8.5.</w:t>
      </w:r>
      <w:r w:rsidRPr="00E057F1">
        <w:t>1</w:t>
      </w:r>
      <w:r>
        <w:t>-2</w:t>
      </w:r>
    </w:p>
    <w:p w14:paraId="377144CF" w14:textId="73EA5622" w:rsidR="00713AFE" w:rsidRDefault="646D2FD2" w:rsidP="00C21F15">
      <w:pPr>
        <w:jc w:val="center"/>
      </w:pPr>
      <w:r>
        <w:rPr>
          <w:noProof/>
        </w:rPr>
        <w:drawing>
          <wp:inline distT="0" distB="0" distL="0" distR="0" wp14:anchorId="28C1E800" wp14:editId="357AA050">
            <wp:extent cx="4946721" cy="3462704"/>
            <wp:effectExtent l="19050" t="19050" r="25400" b="23495"/>
            <wp:docPr id="448403431" name="Picture 44840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403431"/>
                    <pic:cNvPicPr/>
                  </pic:nvPicPr>
                  <pic:blipFill>
                    <a:blip r:embed="rId47">
                      <a:extLst>
                        <a:ext uri="{28A0092B-C50C-407E-A947-70E740481C1C}">
                          <a14:useLocalDpi xmlns:a14="http://schemas.microsoft.com/office/drawing/2010/main" val="0"/>
                        </a:ext>
                      </a:extLst>
                    </a:blip>
                    <a:stretch>
                      <a:fillRect/>
                    </a:stretch>
                  </pic:blipFill>
                  <pic:spPr>
                    <a:xfrm>
                      <a:off x="0" y="0"/>
                      <a:ext cx="4955270" cy="3468688"/>
                    </a:xfrm>
                    <a:prstGeom prst="rect">
                      <a:avLst/>
                    </a:prstGeom>
                    <a:ln>
                      <a:solidFill>
                        <a:schemeClr val="accent1"/>
                      </a:solidFill>
                    </a:ln>
                  </pic:spPr>
                </pic:pic>
              </a:graphicData>
            </a:graphic>
          </wp:inline>
        </w:drawing>
      </w:r>
    </w:p>
    <w:p w14:paraId="563AEDF5" w14:textId="77777777" w:rsidR="00B75758" w:rsidRDefault="00B75758" w:rsidP="00713AFE">
      <w:pPr>
        <w:jc w:val="center"/>
      </w:pPr>
    </w:p>
    <w:p w14:paraId="0F69870E" w14:textId="0ED9D7DD" w:rsidR="00713AFE" w:rsidRDefault="00713AFE" w:rsidP="00713AFE">
      <w:pPr>
        <w:jc w:val="center"/>
      </w:pPr>
      <w:r>
        <w:t>Table 8.5.</w:t>
      </w:r>
      <w:r w:rsidRPr="00E057F1">
        <w:t>1</w:t>
      </w:r>
      <w:r>
        <w:t>-3</w:t>
      </w:r>
    </w:p>
    <w:p w14:paraId="5E6ECCFF" w14:textId="3E2586E4" w:rsidR="00713AFE" w:rsidRDefault="307D8BAB" w:rsidP="365D43DB">
      <w:r>
        <w:rPr>
          <w:noProof/>
        </w:rPr>
        <w:drawing>
          <wp:inline distT="0" distB="0" distL="0" distR="0" wp14:anchorId="61751675" wp14:editId="1213ED30">
            <wp:extent cx="6106812" cy="1755708"/>
            <wp:effectExtent l="0" t="0" r="0" b="0"/>
            <wp:docPr id="1992355984" name="Picture 199235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2355984"/>
                    <pic:cNvPicPr/>
                  </pic:nvPicPr>
                  <pic:blipFill>
                    <a:blip r:embed="rId48">
                      <a:extLst>
                        <a:ext uri="{28A0092B-C50C-407E-A947-70E740481C1C}">
                          <a14:useLocalDpi xmlns:a14="http://schemas.microsoft.com/office/drawing/2010/main" val="0"/>
                        </a:ext>
                      </a:extLst>
                    </a:blip>
                    <a:stretch>
                      <a:fillRect/>
                    </a:stretch>
                  </pic:blipFill>
                  <pic:spPr>
                    <a:xfrm>
                      <a:off x="0" y="0"/>
                      <a:ext cx="6106812" cy="1755708"/>
                    </a:xfrm>
                    <a:prstGeom prst="rect">
                      <a:avLst/>
                    </a:prstGeom>
                  </pic:spPr>
                </pic:pic>
              </a:graphicData>
            </a:graphic>
          </wp:inline>
        </w:drawing>
      </w:r>
    </w:p>
    <w:p w14:paraId="5BBB3338" w14:textId="77777777" w:rsidR="00713AFE" w:rsidRDefault="00713AFE" w:rsidP="00713AFE"/>
    <w:p w14:paraId="37A8CA5B" w14:textId="77777777" w:rsidR="00713AFE" w:rsidRDefault="00713AFE" w:rsidP="00713AFE">
      <w:pPr>
        <w:pStyle w:val="Heading3"/>
      </w:pPr>
      <w:r>
        <w:t>8.5.2</w:t>
      </w:r>
      <w:r>
        <w:tab/>
        <w:t>ITU-R Membership</w:t>
      </w:r>
    </w:p>
    <w:p w14:paraId="64F69C3B" w14:textId="3D1FA039" w:rsidR="00713AFE" w:rsidRDefault="00713AFE" w:rsidP="00713AFE">
      <w:r>
        <w:t>Table 8.5.2 shows the evolution of the number of ITU-R Sector Members, Associates</w:t>
      </w:r>
      <w:r w:rsidR="0099601E">
        <w:t>,</w:t>
      </w:r>
      <w:r>
        <w:t xml:space="preserve"> and Academia during the period 201</w:t>
      </w:r>
      <w:r w:rsidR="003651CE">
        <w:t>7</w:t>
      </w:r>
      <w:r>
        <w:t xml:space="preserve"> to 20</w:t>
      </w:r>
      <w:r w:rsidR="7402DE45">
        <w:t>20</w:t>
      </w:r>
      <w:r>
        <w:t>.</w:t>
      </w:r>
    </w:p>
    <w:p w14:paraId="63D46B82" w14:textId="77777777" w:rsidR="00713AFE" w:rsidRPr="00E057F1" w:rsidRDefault="00713AFE" w:rsidP="00EC000A">
      <w:pPr>
        <w:pStyle w:val="TableNoBR"/>
        <w:keepLines/>
      </w:pPr>
      <w:r>
        <w:lastRenderedPageBreak/>
        <w:t>Table 8.5.2</w:t>
      </w:r>
    </w:p>
    <w:p w14:paraId="27A4D2DC" w14:textId="344BAC70" w:rsidR="005714A4" w:rsidRPr="00EC000A" w:rsidRDefault="00713AFE" w:rsidP="00EC000A">
      <w:pPr>
        <w:pStyle w:val="TabletitleBR"/>
      </w:pPr>
      <w:r w:rsidRPr="00EC000A">
        <w:t>Evolution of the ITU-R membership since 201</w:t>
      </w:r>
      <w:r w:rsidR="003651CE" w:rsidRPr="00EC000A">
        <w:t>7</w:t>
      </w:r>
    </w:p>
    <w:tbl>
      <w:tblPr>
        <w:tblW w:w="7995" w:type="dxa"/>
        <w:tblLook w:val="04A0" w:firstRow="1" w:lastRow="0" w:firstColumn="1" w:lastColumn="0" w:noHBand="0" w:noVBand="1"/>
      </w:tblPr>
      <w:tblGrid>
        <w:gridCol w:w="1635"/>
        <w:gridCol w:w="945"/>
        <w:gridCol w:w="945"/>
        <w:gridCol w:w="945"/>
        <w:gridCol w:w="945"/>
        <w:gridCol w:w="1365"/>
        <w:gridCol w:w="1215"/>
      </w:tblGrid>
      <w:tr w:rsidR="005714A4" w:rsidRPr="00EC000A" w14:paraId="6E192734" w14:textId="77777777" w:rsidTr="005714A4">
        <w:trPr>
          <w:trHeight w:val="315"/>
        </w:trPr>
        <w:tc>
          <w:tcPr>
            <w:tcW w:w="1635" w:type="dxa"/>
            <w:hideMark/>
          </w:tcPr>
          <w:p w14:paraId="7939FC96" w14:textId="77777777" w:rsidR="005714A4" w:rsidRPr="00EC000A" w:rsidRDefault="005714A4" w:rsidP="00EC000A">
            <w:pPr>
              <w:keepNext/>
              <w:keepLines/>
              <w:jc w:val="center"/>
              <w:rPr>
                <w:b/>
                <w:bCs/>
                <w:color w:val="FFFFFF"/>
                <w:sz w:val="18"/>
                <w:szCs w:val="18"/>
              </w:rPr>
            </w:pPr>
            <w:r w:rsidRPr="00EC000A">
              <w:rPr>
                <w:b/>
                <w:bCs/>
                <w:color w:val="FFFFFF"/>
                <w:sz w:val="20"/>
              </w:rPr>
              <w:t> </w:t>
            </w:r>
          </w:p>
        </w:tc>
        <w:tc>
          <w:tcPr>
            <w:tcW w:w="945" w:type="dxa"/>
            <w:hideMark/>
          </w:tcPr>
          <w:p w14:paraId="409C0F50" w14:textId="77777777" w:rsidR="005714A4" w:rsidRPr="00EC000A" w:rsidRDefault="005714A4" w:rsidP="00EC000A">
            <w:pPr>
              <w:keepNext/>
              <w:keepLines/>
              <w:jc w:val="center"/>
              <w:rPr>
                <w:b/>
                <w:bCs/>
                <w:color w:val="FFFFFF"/>
                <w:sz w:val="18"/>
                <w:szCs w:val="18"/>
              </w:rPr>
            </w:pPr>
            <w:r w:rsidRPr="00EC000A">
              <w:rPr>
                <w:b/>
                <w:bCs/>
                <w:color w:val="FFFFFF"/>
                <w:sz w:val="20"/>
              </w:rPr>
              <w:t>2017 </w:t>
            </w:r>
          </w:p>
        </w:tc>
        <w:tc>
          <w:tcPr>
            <w:tcW w:w="945" w:type="dxa"/>
            <w:hideMark/>
          </w:tcPr>
          <w:p w14:paraId="3E043D9D" w14:textId="77777777" w:rsidR="005714A4" w:rsidRPr="00EC000A" w:rsidRDefault="005714A4" w:rsidP="00EC000A">
            <w:pPr>
              <w:keepNext/>
              <w:keepLines/>
              <w:jc w:val="center"/>
              <w:rPr>
                <w:b/>
                <w:bCs/>
                <w:color w:val="FFFFFF"/>
                <w:sz w:val="18"/>
                <w:szCs w:val="18"/>
              </w:rPr>
            </w:pPr>
            <w:r w:rsidRPr="00EC000A">
              <w:rPr>
                <w:b/>
                <w:bCs/>
                <w:color w:val="FFFFFF"/>
                <w:sz w:val="20"/>
              </w:rPr>
              <w:t>2018</w:t>
            </w:r>
          </w:p>
        </w:tc>
        <w:tc>
          <w:tcPr>
            <w:tcW w:w="945" w:type="dxa"/>
            <w:hideMark/>
          </w:tcPr>
          <w:p w14:paraId="43BC89CD" w14:textId="77777777" w:rsidR="005714A4" w:rsidRPr="00EC000A" w:rsidRDefault="005714A4" w:rsidP="00EC000A">
            <w:pPr>
              <w:keepNext/>
              <w:keepLines/>
              <w:jc w:val="center"/>
              <w:rPr>
                <w:b/>
                <w:bCs/>
                <w:color w:val="FFFFFF"/>
                <w:sz w:val="18"/>
                <w:szCs w:val="18"/>
              </w:rPr>
            </w:pPr>
            <w:r w:rsidRPr="00EC000A">
              <w:rPr>
                <w:b/>
                <w:bCs/>
                <w:color w:val="FFFFFF"/>
                <w:sz w:val="20"/>
              </w:rPr>
              <w:t>2019 </w:t>
            </w:r>
          </w:p>
        </w:tc>
        <w:tc>
          <w:tcPr>
            <w:tcW w:w="945" w:type="dxa"/>
            <w:hideMark/>
          </w:tcPr>
          <w:p w14:paraId="32FF482D" w14:textId="77777777" w:rsidR="005714A4" w:rsidRPr="00EC000A" w:rsidRDefault="005714A4" w:rsidP="00EC000A">
            <w:pPr>
              <w:keepNext/>
              <w:keepLines/>
              <w:jc w:val="center"/>
              <w:rPr>
                <w:b/>
                <w:bCs/>
                <w:color w:val="FFFFFF"/>
                <w:sz w:val="18"/>
                <w:szCs w:val="18"/>
              </w:rPr>
            </w:pPr>
            <w:r w:rsidRPr="00EC000A">
              <w:rPr>
                <w:b/>
                <w:bCs/>
                <w:color w:val="FFFFFF"/>
                <w:sz w:val="20"/>
              </w:rPr>
              <w:t>2020 </w:t>
            </w:r>
          </w:p>
        </w:tc>
        <w:tc>
          <w:tcPr>
            <w:tcW w:w="1365" w:type="dxa"/>
            <w:hideMark/>
          </w:tcPr>
          <w:p w14:paraId="0680C3DD" w14:textId="77777777" w:rsidR="005714A4" w:rsidRPr="00EC000A" w:rsidRDefault="005714A4" w:rsidP="00EC000A">
            <w:pPr>
              <w:keepNext/>
              <w:keepLines/>
              <w:jc w:val="center"/>
              <w:rPr>
                <w:b/>
                <w:bCs/>
                <w:color w:val="FFFFFF"/>
                <w:sz w:val="18"/>
                <w:szCs w:val="18"/>
              </w:rPr>
            </w:pPr>
            <w:r w:rsidRPr="00EC000A">
              <w:rPr>
                <w:b/>
                <w:bCs/>
                <w:color w:val="FFFFFF"/>
                <w:sz w:val="20"/>
              </w:rPr>
              <w:t>2020 vs 2017 </w:t>
            </w:r>
          </w:p>
        </w:tc>
        <w:tc>
          <w:tcPr>
            <w:tcW w:w="1215" w:type="dxa"/>
            <w:hideMark/>
          </w:tcPr>
          <w:p w14:paraId="14E69CC6" w14:textId="77777777" w:rsidR="005714A4" w:rsidRPr="00EC000A" w:rsidRDefault="005714A4" w:rsidP="00EC000A">
            <w:pPr>
              <w:keepNext/>
              <w:keepLines/>
              <w:jc w:val="center"/>
              <w:rPr>
                <w:b/>
                <w:bCs/>
                <w:color w:val="FFFFFF"/>
                <w:sz w:val="18"/>
                <w:szCs w:val="18"/>
              </w:rPr>
            </w:pPr>
            <w:r w:rsidRPr="00EC000A">
              <w:rPr>
                <w:b/>
                <w:bCs/>
                <w:color w:val="FFFFFF"/>
                <w:sz w:val="20"/>
              </w:rPr>
              <w:t>% Increase </w:t>
            </w:r>
          </w:p>
        </w:tc>
      </w:tr>
      <w:tr w:rsidR="005714A4" w:rsidRPr="00EC000A" w14:paraId="28004445" w14:textId="77777777" w:rsidTr="005714A4">
        <w:trPr>
          <w:trHeight w:val="300"/>
        </w:trPr>
        <w:tc>
          <w:tcPr>
            <w:tcW w:w="1635" w:type="dxa"/>
            <w:hideMark/>
          </w:tcPr>
          <w:p w14:paraId="5601D679" w14:textId="77777777" w:rsidR="005714A4" w:rsidRPr="00EC000A" w:rsidRDefault="005714A4" w:rsidP="00EC000A">
            <w:pPr>
              <w:keepNext/>
              <w:keepLines/>
              <w:rPr>
                <w:b/>
                <w:bCs/>
                <w:color w:val="FFFFFF"/>
                <w:sz w:val="18"/>
                <w:szCs w:val="18"/>
              </w:rPr>
            </w:pPr>
            <w:r w:rsidRPr="00EC000A">
              <w:rPr>
                <w:b/>
                <w:bCs/>
                <w:color w:val="FFFFFF"/>
                <w:sz w:val="20"/>
              </w:rPr>
              <w:t>Sector Members </w:t>
            </w:r>
          </w:p>
        </w:tc>
        <w:tc>
          <w:tcPr>
            <w:tcW w:w="945" w:type="dxa"/>
            <w:hideMark/>
          </w:tcPr>
          <w:p w14:paraId="1F8DBF0B" w14:textId="77777777" w:rsidR="005714A4" w:rsidRPr="00EC000A" w:rsidRDefault="005714A4" w:rsidP="00EC000A">
            <w:pPr>
              <w:keepNext/>
              <w:keepLines/>
              <w:jc w:val="center"/>
              <w:rPr>
                <w:sz w:val="18"/>
                <w:szCs w:val="18"/>
              </w:rPr>
            </w:pPr>
            <w:r w:rsidRPr="00EC000A">
              <w:rPr>
                <w:color w:val="000000"/>
                <w:sz w:val="20"/>
              </w:rPr>
              <w:t>265 </w:t>
            </w:r>
          </w:p>
        </w:tc>
        <w:tc>
          <w:tcPr>
            <w:tcW w:w="945" w:type="dxa"/>
            <w:hideMark/>
          </w:tcPr>
          <w:p w14:paraId="1BE6CFBB" w14:textId="77777777" w:rsidR="005714A4" w:rsidRPr="00EC000A" w:rsidRDefault="005714A4" w:rsidP="00EC000A">
            <w:pPr>
              <w:keepNext/>
              <w:keepLines/>
              <w:jc w:val="center"/>
              <w:rPr>
                <w:sz w:val="18"/>
                <w:szCs w:val="18"/>
              </w:rPr>
            </w:pPr>
            <w:r w:rsidRPr="00EC000A">
              <w:rPr>
                <w:color w:val="000000"/>
                <w:sz w:val="20"/>
              </w:rPr>
              <w:t>263 </w:t>
            </w:r>
          </w:p>
        </w:tc>
        <w:tc>
          <w:tcPr>
            <w:tcW w:w="945" w:type="dxa"/>
            <w:hideMark/>
          </w:tcPr>
          <w:p w14:paraId="00BBFE65" w14:textId="77777777" w:rsidR="005714A4" w:rsidRPr="00EC000A" w:rsidRDefault="005714A4" w:rsidP="00EC000A">
            <w:pPr>
              <w:keepNext/>
              <w:keepLines/>
              <w:jc w:val="center"/>
              <w:rPr>
                <w:sz w:val="18"/>
                <w:szCs w:val="18"/>
              </w:rPr>
            </w:pPr>
            <w:r w:rsidRPr="00EC000A">
              <w:rPr>
                <w:color w:val="000000"/>
                <w:sz w:val="20"/>
              </w:rPr>
              <w:t>272 </w:t>
            </w:r>
          </w:p>
        </w:tc>
        <w:tc>
          <w:tcPr>
            <w:tcW w:w="945" w:type="dxa"/>
            <w:hideMark/>
          </w:tcPr>
          <w:p w14:paraId="471B2AC7" w14:textId="77777777" w:rsidR="005714A4" w:rsidRPr="00EC000A" w:rsidRDefault="005714A4" w:rsidP="00EC000A">
            <w:pPr>
              <w:keepNext/>
              <w:keepLines/>
              <w:jc w:val="center"/>
              <w:rPr>
                <w:sz w:val="18"/>
                <w:szCs w:val="18"/>
              </w:rPr>
            </w:pPr>
            <w:r w:rsidRPr="00EC000A">
              <w:rPr>
                <w:color w:val="000000"/>
                <w:sz w:val="18"/>
                <w:szCs w:val="18"/>
              </w:rPr>
              <w:t>276</w:t>
            </w:r>
          </w:p>
        </w:tc>
        <w:tc>
          <w:tcPr>
            <w:tcW w:w="1365" w:type="dxa"/>
            <w:hideMark/>
          </w:tcPr>
          <w:p w14:paraId="7844F613" w14:textId="77777777" w:rsidR="005714A4" w:rsidRPr="00EC000A" w:rsidRDefault="005714A4" w:rsidP="00EC000A">
            <w:pPr>
              <w:keepNext/>
              <w:keepLines/>
              <w:jc w:val="center"/>
              <w:rPr>
                <w:sz w:val="18"/>
                <w:szCs w:val="18"/>
              </w:rPr>
            </w:pPr>
            <w:r w:rsidRPr="00EC000A">
              <w:rPr>
                <w:color w:val="000000"/>
                <w:sz w:val="18"/>
                <w:szCs w:val="18"/>
              </w:rPr>
              <w:t>11</w:t>
            </w:r>
          </w:p>
        </w:tc>
        <w:tc>
          <w:tcPr>
            <w:tcW w:w="1215" w:type="dxa"/>
            <w:hideMark/>
          </w:tcPr>
          <w:p w14:paraId="08A11DC8" w14:textId="77777777" w:rsidR="005714A4" w:rsidRPr="00EC000A" w:rsidRDefault="005714A4" w:rsidP="00EC000A">
            <w:pPr>
              <w:keepNext/>
              <w:keepLines/>
              <w:jc w:val="center"/>
              <w:rPr>
                <w:sz w:val="18"/>
                <w:szCs w:val="18"/>
              </w:rPr>
            </w:pPr>
            <w:r w:rsidRPr="00EC000A">
              <w:rPr>
                <w:color w:val="000000"/>
                <w:sz w:val="20"/>
              </w:rPr>
              <w:t>4.2% </w:t>
            </w:r>
          </w:p>
        </w:tc>
      </w:tr>
      <w:tr w:rsidR="005714A4" w:rsidRPr="00EC000A" w14:paraId="132311D8" w14:textId="77777777" w:rsidTr="005714A4">
        <w:trPr>
          <w:trHeight w:val="300"/>
        </w:trPr>
        <w:tc>
          <w:tcPr>
            <w:tcW w:w="1635" w:type="dxa"/>
            <w:hideMark/>
          </w:tcPr>
          <w:p w14:paraId="2D47D0E7" w14:textId="77777777" w:rsidR="005714A4" w:rsidRPr="00EC000A" w:rsidRDefault="005714A4" w:rsidP="00EC000A">
            <w:pPr>
              <w:keepNext/>
              <w:keepLines/>
              <w:rPr>
                <w:b/>
                <w:bCs/>
                <w:color w:val="FFFFFF"/>
                <w:sz w:val="18"/>
                <w:szCs w:val="18"/>
              </w:rPr>
            </w:pPr>
            <w:r w:rsidRPr="00EC000A">
              <w:rPr>
                <w:b/>
                <w:bCs/>
                <w:color w:val="FFFFFF"/>
                <w:sz w:val="20"/>
              </w:rPr>
              <w:t>Associates </w:t>
            </w:r>
          </w:p>
        </w:tc>
        <w:tc>
          <w:tcPr>
            <w:tcW w:w="945" w:type="dxa"/>
            <w:hideMark/>
          </w:tcPr>
          <w:p w14:paraId="3725EC7C" w14:textId="77777777" w:rsidR="005714A4" w:rsidRPr="00EC000A" w:rsidRDefault="005714A4" w:rsidP="00EC000A">
            <w:pPr>
              <w:keepNext/>
              <w:keepLines/>
              <w:jc w:val="center"/>
              <w:rPr>
                <w:sz w:val="18"/>
                <w:szCs w:val="18"/>
              </w:rPr>
            </w:pPr>
            <w:r w:rsidRPr="00EC000A">
              <w:rPr>
                <w:color w:val="000000"/>
                <w:sz w:val="20"/>
              </w:rPr>
              <w:t>21 </w:t>
            </w:r>
          </w:p>
        </w:tc>
        <w:tc>
          <w:tcPr>
            <w:tcW w:w="945" w:type="dxa"/>
            <w:hideMark/>
          </w:tcPr>
          <w:p w14:paraId="44EE1E39" w14:textId="77777777" w:rsidR="005714A4" w:rsidRPr="00EC000A" w:rsidRDefault="005714A4" w:rsidP="00EC000A">
            <w:pPr>
              <w:keepNext/>
              <w:keepLines/>
              <w:jc w:val="center"/>
              <w:rPr>
                <w:sz w:val="18"/>
                <w:szCs w:val="18"/>
              </w:rPr>
            </w:pPr>
            <w:r w:rsidRPr="00EC000A">
              <w:rPr>
                <w:color w:val="000000"/>
                <w:sz w:val="20"/>
              </w:rPr>
              <w:t>20 </w:t>
            </w:r>
          </w:p>
        </w:tc>
        <w:tc>
          <w:tcPr>
            <w:tcW w:w="945" w:type="dxa"/>
            <w:hideMark/>
          </w:tcPr>
          <w:p w14:paraId="7E0A4DFD" w14:textId="77777777" w:rsidR="005714A4" w:rsidRPr="00EC000A" w:rsidRDefault="005714A4" w:rsidP="00EC000A">
            <w:pPr>
              <w:keepNext/>
              <w:keepLines/>
              <w:jc w:val="center"/>
              <w:rPr>
                <w:sz w:val="18"/>
                <w:szCs w:val="18"/>
              </w:rPr>
            </w:pPr>
            <w:r w:rsidRPr="00EC000A">
              <w:rPr>
                <w:color w:val="000000"/>
                <w:sz w:val="20"/>
              </w:rPr>
              <w:t>21</w:t>
            </w:r>
          </w:p>
        </w:tc>
        <w:tc>
          <w:tcPr>
            <w:tcW w:w="945" w:type="dxa"/>
            <w:hideMark/>
          </w:tcPr>
          <w:p w14:paraId="6C5EE894" w14:textId="77777777" w:rsidR="005714A4" w:rsidRPr="00EC000A" w:rsidRDefault="005714A4" w:rsidP="00EC000A">
            <w:pPr>
              <w:keepNext/>
              <w:keepLines/>
              <w:jc w:val="center"/>
              <w:rPr>
                <w:sz w:val="18"/>
                <w:szCs w:val="18"/>
              </w:rPr>
            </w:pPr>
            <w:r w:rsidRPr="00EC000A">
              <w:rPr>
                <w:color w:val="000000"/>
                <w:sz w:val="18"/>
                <w:szCs w:val="18"/>
              </w:rPr>
              <w:t>23</w:t>
            </w:r>
          </w:p>
        </w:tc>
        <w:tc>
          <w:tcPr>
            <w:tcW w:w="1365" w:type="dxa"/>
            <w:hideMark/>
          </w:tcPr>
          <w:p w14:paraId="100D77C5" w14:textId="77777777" w:rsidR="005714A4" w:rsidRPr="00EC000A" w:rsidRDefault="005714A4" w:rsidP="00EC000A">
            <w:pPr>
              <w:keepNext/>
              <w:keepLines/>
              <w:jc w:val="center"/>
              <w:rPr>
                <w:sz w:val="18"/>
                <w:szCs w:val="18"/>
              </w:rPr>
            </w:pPr>
            <w:r w:rsidRPr="00EC000A">
              <w:rPr>
                <w:color w:val="000000"/>
                <w:sz w:val="18"/>
                <w:szCs w:val="18"/>
              </w:rPr>
              <w:t>2</w:t>
            </w:r>
          </w:p>
        </w:tc>
        <w:tc>
          <w:tcPr>
            <w:tcW w:w="1215" w:type="dxa"/>
            <w:hideMark/>
          </w:tcPr>
          <w:p w14:paraId="6FB879BC" w14:textId="77777777" w:rsidR="005714A4" w:rsidRPr="00EC000A" w:rsidRDefault="005714A4" w:rsidP="00EC000A">
            <w:pPr>
              <w:keepNext/>
              <w:keepLines/>
              <w:jc w:val="center"/>
              <w:rPr>
                <w:sz w:val="18"/>
                <w:szCs w:val="18"/>
              </w:rPr>
            </w:pPr>
            <w:r w:rsidRPr="00EC000A">
              <w:rPr>
                <w:color w:val="000000"/>
                <w:sz w:val="20"/>
              </w:rPr>
              <w:t>9.6% </w:t>
            </w:r>
          </w:p>
        </w:tc>
      </w:tr>
      <w:tr w:rsidR="005714A4" w:rsidRPr="00EC000A" w14:paraId="6174FDEA" w14:textId="77777777" w:rsidTr="005714A4">
        <w:trPr>
          <w:trHeight w:val="315"/>
        </w:trPr>
        <w:tc>
          <w:tcPr>
            <w:tcW w:w="1635" w:type="dxa"/>
            <w:hideMark/>
          </w:tcPr>
          <w:p w14:paraId="4370385A" w14:textId="77777777" w:rsidR="005714A4" w:rsidRPr="00EC000A" w:rsidRDefault="005714A4" w:rsidP="00EC000A">
            <w:pPr>
              <w:keepNext/>
              <w:keepLines/>
              <w:rPr>
                <w:b/>
                <w:bCs/>
                <w:color w:val="FFFFFF"/>
                <w:sz w:val="18"/>
                <w:szCs w:val="18"/>
              </w:rPr>
            </w:pPr>
            <w:r w:rsidRPr="00EC000A">
              <w:rPr>
                <w:b/>
                <w:bCs/>
                <w:color w:val="FFFFFF"/>
                <w:sz w:val="20"/>
              </w:rPr>
              <w:t>Academia* </w:t>
            </w:r>
          </w:p>
        </w:tc>
        <w:tc>
          <w:tcPr>
            <w:tcW w:w="945" w:type="dxa"/>
            <w:hideMark/>
          </w:tcPr>
          <w:p w14:paraId="432EA6F7" w14:textId="77777777" w:rsidR="005714A4" w:rsidRPr="00EC000A" w:rsidRDefault="005714A4" w:rsidP="00EC000A">
            <w:pPr>
              <w:keepNext/>
              <w:keepLines/>
              <w:jc w:val="center"/>
              <w:rPr>
                <w:sz w:val="18"/>
                <w:szCs w:val="18"/>
              </w:rPr>
            </w:pPr>
            <w:r w:rsidRPr="00EC000A">
              <w:rPr>
                <w:color w:val="000000"/>
                <w:sz w:val="20"/>
              </w:rPr>
              <w:t>121</w:t>
            </w:r>
          </w:p>
        </w:tc>
        <w:tc>
          <w:tcPr>
            <w:tcW w:w="945" w:type="dxa"/>
            <w:hideMark/>
          </w:tcPr>
          <w:p w14:paraId="6FC83C80" w14:textId="77777777" w:rsidR="005714A4" w:rsidRPr="00EC000A" w:rsidRDefault="005714A4" w:rsidP="00EC000A">
            <w:pPr>
              <w:keepNext/>
              <w:keepLines/>
              <w:jc w:val="center"/>
              <w:rPr>
                <w:sz w:val="18"/>
                <w:szCs w:val="18"/>
              </w:rPr>
            </w:pPr>
            <w:r w:rsidRPr="00EC000A">
              <w:rPr>
                <w:color w:val="000000"/>
                <w:sz w:val="20"/>
              </w:rPr>
              <w:t>148 </w:t>
            </w:r>
          </w:p>
        </w:tc>
        <w:tc>
          <w:tcPr>
            <w:tcW w:w="945" w:type="dxa"/>
            <w:hideMark/>
          </w:tcPr>
          <w:p w14:paraId="6FC5F47B" w14:textId="77777777" w:rsidR="005714A4" w:rsidRPr="00EC000A" w:rsidRDefault="005714A4" w:rsidP="00EC000A">
            <w:pPr>
              <w:keepNext/>
              <w:keepLines/>
              <w:jc w:val="center"/>
              <w:rPr>
                <w:sz w:val="18"/>
                <w:szCs w:val="18"/>
              </w:rPr>
            </w:pPr>
            <w:r w:rsidRPr="00EC000A">
              <w:rPr>
                <w:color w:val="000000"/>
                <w:sz w:val="20"/>
              </w:rPr>
              <w:t>158 </w:t>
            </w:r>
          </w:p>
        </w:tc>
        <w:tc>
          <w:tcPr>
            <w:tcW w:w="945" w:type="dxa"/>
            <w:hideMark/>
          </w:tcPr>
          <w:p w14:paraId="184107CD" w14:textId="77777777" w:rsidR="005714A4" w:rsidRPr="00EC000A" w:rsidRDefault="005714A4" w:rsidP="00EC000A">
            <w:pPr>
              <w:keepNext/>
              <w:keepLines/>
              <w:jc w:val="center"/>
              <w:rPr>
                <w:sz w:val="18"/>
                <w:szCs w:val="18"/>
              </w:rPr>
            </w:pPr>
            <w:r w:rsidRPr="00EC000A">
              <w:rPr>
                <w:color w:val="000000"/>
                <w:sz w:val="18"/>
                <w:szCs w:val="18"/>
              </w:rPr>
              <w:t>163</w:t>
            </w:r>
          </w:p>
        </w:tc>
        <w:tc>
          <w:tcPr>
            <w:tcW w:w="1365" w:type="dxa"/>
            <w:hideMark/>
          </w:tcPr>
          <w:p w14:paraId="11D4F35B" w14:textId="77777777" w:rsidR="005714A4" w:rsidRPr="00EC000A" w:rsidRDefault="005714A4" w:rsidP="00EC000A">
            <w:pPr>
              <w:keepNext/>
              <w:keepLines/>
              <w:jc w:val="center"/>
              <w:rPr>
                <w:sz w:val="18"/>
                <w:szCs w:val="18"/>
              </w:rPr>
            </w:pPr>
            <w:r w:rsidRPr="00EC000A">
              <w:rPr>
                <w:color w:val="000000"/>
                <w:sz w:val="20"/>
              </w:rPr>
              <w:t>42 </w:t>
            </w:r>
          </w:p>
        </w:tc>
        <w:tc>
          <w:tcPr>
            <w:tcW w:w="1215" w:type="dxa"/>
            <w:hideMark/>
          </w:tcPr>
          <w:p w14:paraId="3188A028" w14:textId="77777777" w:rsidR="005714A4" w:rsidRPr="00EC000A" w:rsidRDefault="005714A4" w:rsidP="00EC000A">
            <w:pPr>
              <w:keepNext/>
              <w:keepLines/>
              <w:jc w:val="center"/>
              <w:rPr>
                <w:sz w:val="18"/>
                <w:szCs w:val="18"/>
              </w:rPr>
            </w:pPr>
            <w:r w:rsidRPr="00EC000A">
              <w:rPr>
                <w:color w:val="000000"/>
                <w:sz w:val="20"/>
              </w:rPr>
              <w:t>34.7% </w:t>
            </w:r>
          </w:p>
        </w:tc>
      </w:tr>
    </w:tbl>
    <w:tbl>
      <w:tblPr>
        <w:tblStyle w:val="GridTable5Dark-Accent1"/>
        <w:tblW w:w="8080" w:type="dxa"/>
        <w:jc w:val="center"/>
        <w:tblLook w:val="04A0" w:firstRow="1" w:lastRow="0" w:firstColumn="1" w:lastColumn="0" w:noHBand="0" w:noVBand="1"/>
      </w:tblPr>
      <w:tblGrid>
        <w:gridCol w:w="8080"/>
      </w:tblGrid>
      <w:tr w:rsidR="00713AFE" w:rsidRPr="009732B7" w14:paraId="4B5C8723" w14:textId="77777777" w:rsidTr="00821CFB">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080" w:type="dxa"/>
            <w:shd w:val="clear" w:color="auto" w:fill="auto"/>
            <w:noWrap/>
          </w:tcPr>
          <w:p w14:paraId="0960384D" w14:textId="77777777" w:rsidR="00713AFE" w:rsidRPr="009732B7" w:rsidRDefault="00713AFE" w:rsidP="00EC000A">
            <w:pPr>
              <w:keepNext/>
              <w:keepLines/>
              <w:tabs>
                <w:tab w:val="decimal" w:pos="175"/>
              </w:tabs>
              <w:spacing w:before="0" w:after="120"/>
              <w:rPr>
                <w:b w:val="0"/>
                <w:color w:val="000000"/>
                <w:sz w:val="18"/>
                <w:lang w:eastAsia="zh-CN"/>
              </w:rPr>
            </w:pPr>
            <w:r w:rsidRPr="009732B7">
              <w:rPr>
                <w:b w:val="0"/>
                <w:i/>
                <w:color w:val="auto"/>
                <w:sz w:val="18"/>
              </w:rPr>
              <w:t>*As per PP-14 decision, Academia membership encompasses all 3 ITU sectors</w:t>
            </w:r>
          </w:p>
        </w:tc>
      </w:tr>
    </w:tbl>
    <w:p w14:paraId="37B92727" w14:textId="05ACC811" w:rsidR="00713AFE" w:rsidRPr="00DE2227" w:rsidRDefault="00713AFE" w:rsidP="32B84070">
      <w:pPr>
        <w:pStyle w:val="Heading2"/>
        <w:rPr>
          <w:i/>
          <w:iCs/>
          <w:lang w:val="en-US"/>
        </w:rPr>
      </w:pPr>
      <w:bookmarkStart w:id="64" w:name="_Toc424047607"/>
      <w:bookmarkStart w:id="65" w:name="_Toc446060797"/>
      <w:r>
        <w:t>8.6</w:t>
      </w:r>
      <w:r>
        <w:tab/>
        <w:t>Communication</w:t>
      </w:r>
      <w:r w:rsidR="0035104E">
        <w:t xml:space="preserve"> </w:t>
      </w:r>
      <w:r>
        <w:t>and promotion</w:t>
      </w:r>
      <w:bookmarkEnd w:id="64"/>
      <w:bookmarkEnd w:id="65"/>
    </w:p>
    <w:p w14:paraId="551FCA0D" w14:textId="1BDC5938" w:rsidR="00713AFE" w:rsidRPr="00DE2227" w:rsidRDefault="00713AFE" w:rsidP="00713AFE">
      <w:pPr>
        <w:pStyle w:val="Heading3"/>
        <w:rPr>
          <w:i/>
          <w:iCs/>
        </w:rPr>
      </w:pPr>
      <w:r>
        <w:t>8.6.1</w:t>
      </w:r>
      <w:r>
        <w:tab/>
      </w:r>
      <w:r w:rsidRPr="00621504">
        <w:t>Web</w:t>
      </w:r>
      <w:r>
        <w:t>site</w:t>
      </w:r>
    </w:p>
    <w:p w14:paraId="3F97281E" w14:textId="4DDBE53E" w:rsidR="00713AFE" w:rsidRPr="00DA3553" w:rsidRDefault="00713AFE" w:rsidP="00D10716">
      <w:pPr>
        <w:jc w:val="both"/>
      </w:pPr>
      <w:r>
        <w:t>The BR completed the enhancements, updates</w:t>
      </w:r>
      <w:r w:rsidR="00C100EA">
        <w:t>,</w:t>
      </w:r>
      <w:r>
        <w:t xml:space="preserve"> and translations of the </w:t>
      </w:r>
      <w:hyperlink r:id="rId49" w:history="1">
        <w:r>
          <w:t>ITU</w:t>
        </w:r>
        <w:r w:rsidR="2C6D0BD4">
          <w:t>-</w:t>
        </w:r>
        <w:r>
          <w:t>R website</w:t>
        </w:r>
      </w:hyperlink>
      <w:r>
        <w:t xml:space="preserve"> menus, in accordance with the guidelines for the harmonization of sectoral web menus. This was presented during the Council Working Group CWG-LANG at its meeting held on 14 February 2020.</w:t>
      </w:r>
    </w:p>
    <w:p w14:paraId="24EAE71C" w14:textId="5D6D1FBA" w:rsidR="00713AFE" w:rsidRPr="00DA3553" w:rsidRDefault="00713AFE" w:rsidP="00D10716">
      <w:pPr>
        <w:jc w:val="both"/>
      </w:pPr>
      <w:r w:rsidRPr="00DA3553">
        <w:rPr>
          <w:szCs w:val="24"/>
        </w:rPr>
        <w:t>Table 8.6-1 below shows the current status of the translation of all level-0-and-1 webpages</w:t>
      </w:r>
      <w:r w:rsidRPr="00DA3553">
        <w:t xml:space="preserve"> of </w:t>
      </w:r>
      <w:r w:rsidR="00034247">
        <w:t xml:space="preserve">the </w:t>
      </w:r>
      <w:hyperlink r:id="rId50" w:history="1">
        <w:r w:rsidRPr="00DA3553">
          <w:rPr>
            <w:rStyle w:val="Hyperlink"/>
            <w:szCs w:val="24"/>
          </w:rPr>
          <w:t>ITU</w:t>
        </w:r>
        <w:r w:rsidRPr="00DA3553">
          <w:rPr>
            <w:rStyle w:val="Hyperlink"/>
            <w:szCs w:val="24"/>
          </w:rPr>
          <w:noBreakHyphen/>
          <w:t>R website</w:t>
        </w:r>
      </w:hyperlink>
      <w:r w:rsidRPr="00DA3553">
        <w:rPr>
          <w:szCs w:val="24"/>
        </w:rPr>
        <w:t xml:space="preserve"> and their availability in the six ITU official languages. The figures in this table refer to the number of landing pages in the various departments of the BR (level 0) and the number of pages that are then accessible via one click only (level 1).</w:t>
      </w:r>
    </w:p>
    <w:p w14:paraId="62B0D956" w14:textId="77777777" w:rsidR="00713AFE" w:rsidRPr="00DA3553" w:rsidRDefault="00713AFE" w:rsidP="00713AFE">
      <w:pPr>
        <w:pStyle w:val="TableNoBR"/>
        <w:rPr>
          <w:lang w:val="fr-CH"/>
        </w:rPr>
      </w:pPr>
      <w:r w:rsidRPr="00DA3553">
        <w:rPr>
          <w:lang w:val="fr-CH"/>
        </w:rPr>
        <w:t>Table 8.6.1-1</w:t>
      </w:r>
    </w:p>
    <w:p w14:paraId="358EB2FA" w14:textId="77777777" w:rsidR="00713AFE" w:rsidRPr="00C809A1" w:rsidRDefault="00713AFE" w:rsidP="00713AFE">
      <w:pPr>
        <w:pStyle w:val="TabletitleBR"/>
        <w:rPr>
          <w:lang w:val="fr-CH"/>
        </w:rPr>
      </w:pPr>
      <w:r w:rsidRPr="00DA3553">
        <w:rPr>
          <w:lang w:val="fr-CH"/>
        </w:rPr>
        <w:t xml:space="preserve">ITU-R web pages </w:t>
      </w:r>
      <w:r w:rsidRPr="00770F56">
        <w:t>languages</w:t>
      </w:r>
      <w:r w:rsidRPr="00DA3553">
        <w:rPr>
          <w:lang w:val="fr-CH"/>
        </w:rPr>
        <w:t xml:space="preserve"> </w:t>
      </w:r>
      <w:r w:rsidRPr="00770F56">
        <w:t>statistics</w:t>
      </w:r>
    </w:p>
    <w:tbl>
      <w:tblPr>
        <w:tblStyle w:val="GridTable5Dark-Accent1"/>
        <w:tblW w:w="9634" w:type="dxa"/>
        <w:jc w:val="center"/>
        <w:tblLayout w:type="fixed"/>
        <w:tblLook w:val="04A0" w:firstRow="1" w:lastRow="0" w:firstColumn="1" w:lastColumn="0" w:noHBand="0" w:noVBand="1"/>
      </w:tblPr>
      <w:tblGrid>
        <w:gridCol w:w="851"/>
        <w:gridCol w:w="3884"/>
        <w:gridCol w:w="819"/>
        <w:gridCol w:w="819"/>
        <w:gridCol w:w="818"/>
        <w:gridCol w:w="819"/>
        <w:gridCol w:w="818"/>
        <w:gridCol w:w="806"/>
      </w:tblGrid>
      <w:tr w:rsidR="00713AFE" w:rsidRPr="00CB41F2" w14:paraId="597157D5" w14:textId="77777777" w:rsidTr="00821CF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35" w:type="dxa"/>
            <w:gridSpan w:val="2"/>
            <w:vMerge w:val="restart"/>
            <w:noWrap/>
            <w:hideMark/>
          </w:tcPr>
          <w:p w14:paraId="3E74E887" w14:textId="77777777" w:rsidR="00713AFE" w:rsidRPr="00B75758" w:rsidRDefault="00713AFE" w:rsidP="00821CFB">
            <w:pPr>
              <w:rPr>
                <w:sz w:val="20"/>
                <w:lang w:val="fr-CH"/>
              </w:rPr>
            </w:pPr>
          </w:p>
        </w:tc>
        <w:tc>
          <w:tcPr>
            <w:tcW w:w="4899" w:type="dxa"/>
            <w:gridSpan w:val="6"/>
            <w:hideMark/>
          </w:tcPr>
          <w:p w14:paraId="2609565D" w14:textId="77777777" w:rsidR="00713AFE" w:rsidRPr="00B75758" w:rsidRDefault="00713AFE" w:rsidP="00BC1DC8">
            <w:pPr>
              <w:spacing w:before="0"/>
              <w:jc w:val="center"/>
              <w:cnfStyle w:val="100000000000" w:firstRow="1" w:lastRow="0" w:firstColumn="0" w:lastColumn="0" w:oddVBand="0" w:evenVBand="0" w:oddHBand="0" w:evenHBand="0" w:firstRowFirstColumn="0" w:firstRowLastColumn="0" w:lastRowFirstColumn="0" w:lastRowLastColumn="0"/>
              <w:rPr>
                <w:sz w:val="20"/>
                <w:lang w:val="en-US"/>
              </w:rPr>
            </w:pPr>
            <w:r w:rsidRPr="00B75758">
              <w:rPr>
                <w:sz w:val="20"/>
                <w:lang w:val="en-US"/>
              </w:rPr>
              <w:t>Status of ITU-R web pages translations for levels 0+1</w:t>
            </w:r>
          </w:p>
          <w:p w14:paraId="4F430706" w14:textId="77777777" w:rsidR="00713AFE" w:rsidRPr="00B75758" w:rsidRDefault="00713AFE" w:rsidP="00BC1DC8">
            <w:pPr>
              <w:spacing w:before="0"/>
              <w:jc w:val="center"/>
              <w:cnfStyle w:val="100000000000" w:firstRow="1" w:lastRow="0" w:firstColumn="0" w:lastColumn="0" w:oddVBand="0" w:evenVBand="0" w:oddHBand="0" w:evenHBand="0" w:firstRowFirstColumn="0" w:firstRowLastColumn="0" w:lastRowFirstColumn="0" w:lastRowLastColumn="0"/>
              <w:rPr>
                <w:sz w:val="20"/>
                <w:lang w:val="en-US"/>
              </w:rPr>
            </w:pPr>
            <w:r w:rsidRPr="00B75758">
              <w:rPr>
                <w:sz w:val="20"/>
                <w:lang w:val="en-US"/>
              </w:rPr>
              <w:t>(Q1/2020)</w:t>
            </w:r>
          </w:p>
        </w:tc>
      </w:tr>
      <w:tr w:rsidR="00713AFE" w:rsidRPr="00CB41F2" w14:paraId="4205613D" w14:textId="77777777" w:rsidTr="00821CF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735" w:type="dxa"/>
            <w:gridSpan w:val="2"/>
            <w:vMerge/>
            <w:noWrap/>
            <w:hideMark/>
          </w:tcPr>
          <w:p w14:paraId="6C435A5F" w14:textId="77777777" w:rsidR="00713AFE" w:rsidRPr="00B75758" w:rsidRDefault="00713AFE" w:rsidP="00821CFB">
            <w:pPr>
              <w:rPr>
                <w:sz w:val="20"/>
                <w:lang w:val="en-US"/>
              </w:rPr>
            </w:pPr>
          </w:p>
        </w:tc>
        <w:tc>
          <w:tcPr>
            <w:tcW w:w="819" w:type="dxa"/>
            <w:noWrap/>
            <w:hideMark/>
          </w:tcPr>
          <w:p w14:paraId="6EEEE01A" w14:textId="77777777" w:rsidR="00713AFE" w:rsidRPr="00B75758" w:rsidRDefault="00713AFE" w:rsidP="00821CFB">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B75758">
              <w:rPr>
                <w:b/>
                <w:sz w:val="20"/>
              </w:rPr>
              <w:t>E</w:t>
            </w:r>
          </w:p>
        </w:tc>
        <w:tc>
          <w:tcPr>
            <w:tcW w:w="819" w:type="dxa"/>
            <w:noWrap/>
            <w:hideMark/>
          </w:tcPr>
          <w:p w14:paraId="5D182D5F" w14:textId="77777777" w:rsidR="00713AFE" w:rsidRPr="00B75758" w:rsidRDefault="00713AFE" w:rsidP="00821CFB">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B75758">
              <w:rPr>
                <w:b/>
                <w:sz w:val="20"/>
              </w:rPr>
              <w:t>F</w:t>
            </w:r>
          </w:p>
        </w:tc>
        <w:tc>
          <w:tcPr>
            <w:tcW w:w="818" w:type="dxa"/>
            <w:noWrap/>
            <w:hideMark/>
          </w:tcPr>
          <w:p w14:paraId="03916CF5" w14:textId="77777777" w:rsidR="00713AFE" w:rsidRPr="00B75758" w:rsidRDefault="00713AFE" w:rsidP="00821CFB">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B75758">
              <w:rPr>
                <w:b/>
                <w:sz w:val="20"/>
              </w:rPr>
              <w:t>S</w:t>
            </w:r>
          </w:p>
        </w:tc>
        <w:tc>
          <w:tcPr>
            <w:tcW w:w="819" w:type="dxa"/>
            <w:noWrap/>
            <w:hideMark/>
          </w:tcPr>
          <w:p w14:paraId="7D0DA581" w14:textId="77777777" w:rsidR="00713AFE" w:rsidRPr="00B75758" w:rsidRDefault="00713AFE" w:rsidP="00821CFB">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B75758">
              <w:rPr>
                <w:b/>
                <w:sz w:val="20"/>
              </w:rPr>
              <w:t>A</w:t>
            </w:r>
          </w:p>
        </w:tc>
        <w:tc>
          <w:tcPr>
            <w:tcW w:w="818" w:type="dxa"/>
            <w:noWrap/>
            <w:hideMark/>
          </w:tcPr>
          <w:p w14:paraId="0F93300A" w14:textId="77777777" w:rsidR="00713AFE" w:rsidRPr="00B75758" w:rsidRDefault="00713AFE" w:rsidP="00821CFB">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B75758">
              <w:rPr>
                <w:b/>
                <w:sz w:val="20"/>
              </w:rPr>
              <w:t>C</w:t>
            </w:r>
          </w:p>
        </w:tc>
        <w:tc>
          <w:tcPr>
            <w:tcW w:w="806" w:type="dxa"/>
            <w:noWrap/>
            <w:hideMark/>
          </w:tcPr>
          <w:p w14:paraId="1CA6B1F2" w14:textId="77777777" w:rsidR="00713AFE" w:rsidRPr="00B75758" w:rsidRDefault="00713AFE" w:rsidP="00821CFB">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B75758">
              <w:rPr>
                <w:b/>
                <w:sz w:val="20"/>
              </w:rPr>
              <w:t>R</w:t>
            </w:r>
          </w:p>
        </w:tc>
      </w:tr>
      <w:tr w:rsidR="00713AFE" w:rsidRPr="00CB41F2" w14:paraId="78269C89" w14:textId="77777777" w:rsidTr="00821CFB">
        <w:trPr>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63703035" w14:textId="77777777" w:rsidR="00713AFE" w:rsidRPr="00B75758" w:rsidRDefault="00713AFE" w:rsidP="00821CFB">
            <w:pPr>
              <w:spacing w:after="120"/>
              <w:rPr>
                <w:sz w:val="20"/>
              </w:rPr>
            </w:pPr>
            <w:r w:rsidRPr="00B75758">
              <w:rPr>
                <w:sz w:val="20"/>
              </w:rPr>
              <w:t>SSD</w:t>
            </w:r>
          </w:p>
        </w:tc>
        <w:tc>
          <w:tcPr>
            <w:tcW w:w="3884" w:type="dxa"/>
            <w:noWrap/>
            <w:hideMark/>
          </w:tcPr>
          <w:p w14:paraId="61F6534B" w14:textId="77777777" w:rsidR="00713AFE" w:rsidRPr="00B75758" w:rsidRDefault="00713AFE" w:rsidP="00821CFB">
            <w:pPr>
              <w:spacing w:after="120"/>
              <w:cnfStyle w:val="000000000000" w:firstRow="0" w:lastRow="0" w:firstColumn="0" w:lastColumn="0" w:oddVBand="0" w:evenVBand="0" w:oddHBand="0" w:evenHBand="0" w:firstRowFirstColumn="0" w:firstRowLastColumn="0" w:lastRowFirstColumn="0" w:lastRowLastColumn="0"/>
              <w:rPr>
                <w:sz w:val="20"/>
              </w:rPr>
            </w:pPr>
            <w:r w:rsidRPr="00B75758">
              <w:rPr>
                <w:sz w:val="20"/>
              </w:rPr>
              <w:t>Space</w:t>
            </w:r>
          </w:p>
        </w:tc>
        <w:tc>
          <w:tcPr>
            <w:tcW w:w="819" w:type="dxa"/>
            <w:noWrap/>
          </w:tcPr>
          <w:p w14:paraId="41E64F9E"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31</w:t>
            </w:r>
          </w:p>
        </w:tc>
        <w:tc>
          <w:tcPr>
            <w:tcW w:w="819" w:type="dxa"/>
            <w:noWrap/>
          </w:tcPr>
          <w:p w14:paraId="3B894567"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19</w:t>
            </w:r>
          </w:p>
        </w:tc>
        <w:tc>
          <w:tcPr>
            <w:tcW w:w="818" w:type="dxa"/>
            <w:noWrap/>
          </w:tcPr>
          <w:p w14:paraId="1C385491"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18</w:t>
            </w:r>
          </w:p>
        </w:tc>
        <w:tc>
          <w:tcPr>
            <w:tcW w:w="819" w:type="dxa"/>
            <w:noWrap/>
          </w:tcPr>
          <w:p w14:paraId="3810F17A"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4</w:t>
            </w:r>
          </w:p>
        </w:tc>
        <w:tc>
          <w:tcPr>
            <w:tcW w:w="818" w:type="dxa"/>
            <w:noWrap/>
          </w:tcPr>
          <w:p w14:paraId="7D0CB500"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5</w:t>
            </w:r>
          </w:p>
        </w:tc>
        <w:tc>
          <w:tcPr>
            <w:tcW w:w="806" w:type="dxa"/>
            <w:noWrap/>
          </w:tcPr>
          <w:p w14:paraId="6B88BF7A"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5</w:t>
            </w:r>
          </w:p>
        </w:tc>
      </w:tr>
      <w:tr w:rsidR="00713AFE" w:rsidRPr="00CB41F2" w14:paraId="0655B134" w14:textId="77777777" w:rsidTr="00821CF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7C501F4A" w14:textId="77777777" w:rsidR="00713AFE" w:rsidRPr="00B75758" w:rsidRDefault="00713AFE" w:rsidP="00821CFB">
            <w:pPr>
              <w:spacing w:after="120"/>
              <w:rPr>
                <w:sz w:val="20"/>
              </w:rPr>
            </w:pPr>
            <w:r w:rsidRPr="00B75758">
              <w:rPr>
                <w:sz w:val="20"/>
              </w:rPr>
              <w:t>TSD</w:t>
            </w:r>
          </w:p>
        </w:tc>
        <w:tc>
          <w:tcPr>
            <w:tcW w:w="3884" w:type="dxa"/>
            <w:noWrap/>
            <w:hideMark/>
          </w:tcPr>
          <w:p w14:paraId="28CD4CE6" w14:textId="77777777" w:rsidR="00713AFE" w:rsidRPr="00B75758" w:rsidRDefault="00713AFE" w:rsidP="00821CFB">
            <w:pPr>
              <w:spacing w:after="120"/>
              <w:cnfStyle w:val="000000100000" w:firstRow="0" w:lastRow="0" w:firstColumn="0" w:lastColumn="0" w:oddVBand="0" w:evenVBand="0" w:oddHBand="1" w:evenHBand="0" w:firstRowFirstColumn="0" w:firstRowLastColumn="0" w:lastRowFirstColumn="0" w:lastRowLastColumn="0"/>
              <w:rPr>
                <w:sz w:val="20"/>
              </w:rPr>
            </w:pPr>
            <w:r w:rsidRPr="00B75758">
              <w:rPr>
                <w:sz w:val="20"/>
              </w:rPr>
              <w:t>Terrestrial</w:t>
            </w:r>
          </w:p>
        </w:tc>
        <w:tc>
          <w:tcPr>
            <w:tcW w:w="819" w:type="dxa"/>
            <w:noWrap/>
          </w:tcPr>
          <w:p w14:paraId="670BE680"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21</w:t>
            </w:r>
          </w:p>
        </w:tc>
        <w:tc>
          <w:tcPr>
            <w:tcW w:w="819" w:type="dxa"/>
            <w:noWrap/>
          </w:tcPr>
          <w:p w14:paraId="4E969943"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6</w:t>
            </w:r>
          </w:p>
        </w:tc>
        <w:tc>
          <w:tcPr>
            <w:tcW w:w="818" w:type="dxa"/>
            <w:noWrap/>
          </w:tcPr>
          <w:p w14:paraId="0282743D"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6</w:t>
            </w:r>
          </w:p>
        </w:tc>
        <w:tc>
          <w:tcPr>
            <w:tcW w:w="819" w:type="dxa"/>
            <w:noWrap/>
          </w:tcPr>
          <w:p w14:paraId="61B1F3EB"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6</w:t>
            </w:r>
          </w:p>
        </w:tc>
        <w:tc>
          <w:tcPr>
            <w:tcW w:w="818" w:type="dxa"/>
            <w:noWrap/>
          </w:tcPr>
          <w:p w14:paraId="02E75B37"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6</w:t>
            </w:r>
          </w:p>
        </w:tc>
        <w:tc>
          <w:tcPr>
            <w:tcW w:w="806" w:type="dxa"/>
            <w:noWrap/>
          </w:tcPr>
          <w:p w14:paraId="00A2F320"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6</w:t>
            </w:r>
          </w:p>
        </w:tc>
      </w:tr>
      <w:tr w:rsidR="00713AFE" w:rsidRPr="00CB41F2" w14:paraId="7F236773" w14:textId="77777777" w:rsidTr="00821CFB">
        <w:trPr>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207BC033" w14:textId="77777777" w:rsidR="00713AFE" w:rsidRPr="00B75758" w:rsidRDefault="00713AFE" w:rsidP="00821CFB">
            <w:pPr>
              <w:spacing w:after="120"/>
              <w:rPr>
                <w:sz w:val="20"/>
              </w:rPr>
            </w:pPr>
            <w:r w:rsidRPr="00B75758">
              <w:rPr>
                <w:sz w:val="20"/>
              </w:rPr>
              <w:t>SGD</w:t>
            </w:r>
          </w:p>
        </w:tc>
        <w:tc>
          <w:tcPr>
            <w:tcW w:w="3884" w:type="dxa"/>
            <w:noWrap/>
            <w:hideMark/>
          </w:tcPr>
          <w:p w14:paraId="4689209A" w14:textId="77777777" w:rsidR="00713AFE" w:rsidRPr="00B75758" w:rsidRDefault="00713AFE" w:rsidP="00821CFB">
            <w:pPr>
              <w:spacing w:after="120"/>
              <w:cnfStyle w:val="000000000000" w:firstRow="0" w:lastRow="0" w:firstColumn="0" w:lastColumn="0" w:oddVBand="0" w:evenVBand="0" w:oddHBand="0" w:evenHBand="0" w:firstRowFirstColumn="0" w:firstRowLastColumn="0" w:lastRowFirstColumn="0" w:lastRowLastColumn="0"/>
              <w:rPr>
                <w:sz w:val="20"/>
              </w:rPr>
            </w:pPr>
            <w:r w:rsidRPr="00B75758">
              <w:rPr>
                <w:sz w:val="20"/>
              </w:rPr>
              <w:t>Study Groups</w:t>
            </w:r>
          </w:p>
        </w:tc>
        <w:tc>
          <w:tcPr>
            <w:tcW w:w="819" w:type="dxa"/>
            <w:noWrap/>
          </w:tcPr>
          <w:p w14:paraId="15B48937"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32</w:t>
            </w:r>
          </w:p>
        </w:tc>
        <w:tc>
          <w:tcPr>
            <w:tcW w:w="819" w:type="dxa"/>
            <w:noWrap/>
          </w:tcPr>
          <w:p w14:paraId="4A00D194"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16</w:t>
            </w:r>
          </w:p>
        </w:tc>
        <w:tc>
          <w:tcPr>
            <w:tcW w:w="818" w:type="dxa"/>
            <w:noWrap/>
          </w:tcPr>
          <w:p w14:paraId="1C75095D"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16</w:t>
            </w:r>
          </w:p>
        </w:tc>
        <w:tc>
          <w:tcPr>
            <w:tcW w:w="819" w:type="dxa"/>
            <w:noWrap/>
          </w:tcPr>
          <w:p w14:paraId="50F4EC28"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14</w:t>
            </w:r>
          </w:p>
        </w:tc>
        <w:tc>
          <w:tcPr>
            <w:tcW w:w="818" w:type="dxa"/>
            <w:noWrap/>
          </w:tcPr>
          <w:p w14:paraId="5F149D49"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14</w:t>
            </w:r>
          </w:p>
        </w:tc>
        <w:tc>
          <w:tcPr>
            <w:tcW w:w="806" w:type="dxa"/>
            <w:noWrap/>
          </w:tcPr>
          <w:p w14:paraId="34E2E2CB"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14</w:t>
            </w:r>
          </w:p>
        </w:tc>
      </w:tr>
      <w:tr w:rsidR="00713AFE" w:rsidRPr="00CB41F2" w14:paraId="754D9BC2" w14:textId="77777777" w:rsidTr="00821CFB">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0C44A197" w14:textId="77777777" w:rsidR="00713AFE" w:rsidRPr="00B75758" w:rsidRDefault="00713AFE" w:rsidP="00821CFB">
            <w:pPr>
              <w:spacing w:after="120"/>
              <w:rPr>
                <w:sz w:val="20"/>
              </w:rPr>
            </w:pPr>
            <w:r w:rsidRPr="00B75758">
              <w:rPr>
                <w:sz w:val="20"/>
              </w:rPr>
              <w:t>Conf.</w:t>
            </w:r>
          </w:p>
        </w:tc>
        <w:tc>
          <w:tcPr>
            <w:tcW w:w="3884" w:type="dxa"/>
            <w:hideMark/>
          </w:tcPr>
          <w:p w14:paraId="3FF7C63E" w14:textId="77777777" w:rsidR="00713AFE" w:rsidRPr="00B75758" w:rsidRDefault="00713AFE" w:rsidP="00821CFB">
            <w:pPr>
              <w:spacing w:after="120"/>
              <w:cnfStyle w:val="000000100000" w:firstRow="0" w:lastRow="0" w:firstColumn="0" w:lastColumn="0" w:oddVBand="0" w:evenVBand="0" w:oddHBand="1" w:evenHBand="0" w:firstRowFirstColumn="0" w:firstRowLastColumn="0" w:lastRowFirstColumn="0" w:lastRowLastColumn="0"/>
              <w:rPr>
                <w:sz w:val="20"/>
              </w:rPr>
            </w:pPr>
            <w:r w:rsidRPr="00B75758">
              <w:rPr>
                <w:sz w:val="20"/>
              </w:rPr>
              <w:t>Conferences/Meetings/Seminars/Workshops</w:t>
            </w:r>
          </w:p>
        </w:tc>
        <w:tc>
          <w:tcPr>
            <w:tcW w:w="819" w:type="dxa"/>
            <w:noWrap/>
          </w:tcPr>
          <w:p w14:paraId="1F7D0EB1"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15</w:t>
            </w:r>
          </w:p>
        </w:tc>
        <w:tc>
          <w:tcPr>
            <w:tcW w:w="819" w:type="dxa"/>
            <w:noWrap/>
          </w:tcPr>
          <w:p w14:paraId="1BA971CC"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9</w:t>
            </w:r>
          </w:p>
        </w:tc>
        <w:tc>
          <w:tcPr>
            <w:tcW w:w="818" w:type="dxa"/>
            <w:noWrap/>
          </w:tcPr>
          <w:p w14:paraId="4E7F5C40"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9</w:t>
            </w:r>
          </w:p>
        </w:tc>
        <w:tc>
          <w:tcPr>
            <w:tcW w:w="819" w:type="dxa"/>
            <w:noWrap/>
          </w:tcPr>
          <w:p w14:paraId="0702E57C"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8</w:t>
            </w:r>
          </w:p>
        </w:tc>
        <w:tc>
          <w:tcPr>
            <w:tcW w:w="818" w:type="dxa"/>
            <w:noWrap/>
          </w:tcPr>
          <w:p w14:paraId="152A7E8C"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8</w:t>
            </w:r>
          </w:p>
        </w:tc>
        <w:tc>
          <w:tcPr>
            <w:tcW w:w="806" w:type="dxa"/>
            <w:noWrap/>
          </w:tcPr>
          <w:p w14:paraId="1A4572B0"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8</w:t>
            </w:r>
          </w:p>
        </w:tc>
      </w:tr>
      <w:tr w:rsidR="00713AFE" w:rsidRPr="00CB41F2" w14:paraId="0A496AA5" w14:textId="77777777" w:rsidTr="00821CFB">
        <w:trPr>
          <w:trHeight w:val="315"/>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3D5D48CE" w14:textId="77777777" w:rsidR="00713AFE" w:rsidRPr="00B75758" w:rsidRDefault="00713AFE" w:rsidP="00821CFB">
            <w:pPr>
              <w:spacing w:after="120"/>
              <w:rPr>
                <w:sz w:val="20"/>
              </w:rPr>
            </w:pPr>
            <w:r w:rsidRPr="00B75758">
              <w:rPr>
                <w:sz w:val="20"/>
              </w:rPr>
              <w:t>Others</w:t>
            </w:r>
          </w:p>
        </w:tc>
        <w:tc>
          <w:tcPr>
            <w:tcW w:w="3884" w:type="dxa"/>
            <w:noWrap/>
            <w:hideMark/>
          </w:tcPr>
          <w:p w14:paraId="3EBECCE5" w14:textId="77777777" w:rsidR="00713AFE" w:rsidRPr="00B75758" w:rsidRDefault="00713AFE" w:rsidP="00821CFB">
            <w:pPr>
              <w:spacing w:after="120"/>
              <w:cnfStyle w:val="000000000000" w:firstRow="0" w:lastRow="0" w:firstColumn="0" w:lastColumn="0" w:oddVBand="0" w:evenVBand="0" w:oddHBand="0" w:evenHBand="0" w:firstRowFirstColumn="0" w:firstRowLastColumn="0" w:lastRowFirstColumn="0" w:lastRowLastColumn="0"/>
              <w:rPr>
                <w:sz w:val="20"/>
              </w:rPr>
            </w:pPr>
            <w:r w:rsidRPr="00B75758">
              <w:rPr>
                <w:sz w:val="20"/>
              </w:rPr>
              <w:t>Information/Promotion/Events</w:t>
            </w:r>
          </w:p>
        </w:tc>
        <w:tc>
          <w:tcPr>
            <w:tcW w:w="819" w:type="dxa"/>
            <w:noWrap/>
          </w:tcPr>
          <w:p w14:paraId="38C740AA"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14</w:t>
            </w:r>
          </w:p>
        </w:tc>
        <w:tc>
          <w:tcPr>
            <w:tcW w:w="819" w:type="dxa"/>
            <w:noWrap/>
          </w:tcPr>
          <w:p w14:paraId="4F087A92"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9</w:t>
            </w:r>
          </w:p>
        </w:tc>
        <w:tc>
          <w:tcPr>
            <w:tcW w:w="818" w:type="dxa"/>
            <w:noWrap/>
          </w:tcPr>
          <w:p w14:paraId="13531174"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9</w:t>
            </w:r>
          </w:p>
        </w:tc>
        <w:tc>
          <w:tcPr>
            <w:tcW w:w="819" w:type="dxa"/>
            <w:noWrap/>
          </w:tcPr>
          <w:p w14:paraId="74D13D85"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9</w:t>
            </w:r>
          </w:p>
        </w:tc>
        <w:tc>
          <w:tcPr>
            <w:tcW w:w="818" w:type="dxa"/>
            <w:noWrap/>
          </w:tcPr>
          <w:p w14:paraId="1A3201DE"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9</w:t>
            </w:r>
          </w:p>
        </w:tc>
        <w:tc>
          <w:tcPr>
            <w:tcW w:w="806" w:type="dxa"/>
            <w:noWrap/>
          </w:tcPr>
          <w:p w14:paraId="0B7E6084"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9</w:t>
            </w:r>
          </w:p>
        </w:tc>
      </w:tr>
      <w:tr w:rsidR="00713AFE" w:rsidRPr="00CB41F2" w14:paraId="5BECB957" w14:textId="77777777" w:rsidTr="00821CF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735" w:type="dxa"/>
            <w:gridSpan w:val="2"/>
            <w:noWrap/>
            <w:hideMark/>
          </w:tcPr>
          <w:p w14:paraId="3D8CE261" w14:textId="77777777" w:rsidR="00713AFE" w:rsidRPr="00B75758" w:rsidRDefault="00713AFE" w:rsidP="00821CFB">
            <w:pPr>
              <w:spacing w:after="120"/>
              <w:rPr>
                <w:sz w:val="20"/>
              </w:rPr>
            </w:pPr>
            <w:r w:rsidRPr="00B75758">
              <w:rPr>
                <w:sz w:val="20"/>
              </w:rPr>
              <w:t>ITU-R website (total)</w:t>
            </w:r>
          </w:p>
        </w:tc>
        <w:tc>
          <w:tcPr>
            <w:tcW w:w="819" w:type="dxa"/>
            <w:noWrap/>
          </w:tcPr>
          <w:p w14:paraId="60D5840B"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113</w:t>
            </w:r>
          </w:p>
        </w:tc>
        <w:tc>
          <w:tcPr>
            <w:tcW w:w="819" w:type="dxa"/>
            <w:noWrap/>
          </w:tcPr>
          <w:p w14:paraId="7A378DE8"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2"/>
              </w:rPr>
            </w:pPr>
            <w:r w:rsidRPr="00B75758">
              <w:rPr>
                <w:sz w:val="22"/>
              </w:rPr>
              <w:t>59</w:t>
            </w:r>
          </w:p>
          <w:p w14:paraId="404BFD69"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(52%)</w:t>
            </w:r>
          </w:p>
        </w:tc>
        <w:tc>
          <w:tcPr>
            <w:tcW w:w="818" w:type="dxa"/>
            <w:noWrap/>
          </w:tcPr>
          <w:p w14:paraId="3E457000"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2"/>
              </w:rPr>
            </w:pPr>
            <w:r w:rsidRPr="00B75758">
              <w:rPr>
                <w:sz w:val="22"/>
              </w:rPr>
              <w:t>58</w:t>
            </w:r>
          </w:p>
          <w:p w14:paraId="08E67516"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(51%)</w:t>
            </w:r>
          </w:p>
        </w:tc>
        <w:tc>
          <w:tcPr>
            <w:tcW w:w="819" w:type="dxa"/>
            <w:noWrap/>
          </w:tcPr>
          <w:p w14:paraId="0C26929B"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2"/>
              </w:rPr>
            </w:pPr>
            <w:r w:rsidRPr="00B75758">
              <w:rPr>
                <w:sz w:val="22"/>
              </w:rPr>
              <w:t>41</w:t>
            </w:r>
          </w:p>
          <w:p w14:paraId="3ED2EDF8"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(36%)</w:t>
            </w:r>
          </w:p>
        </w:tc>
        <w:tc>
          <w:tcPr>
            <w:tcW w:w="818" w:type="dxa"/>
            <w:noWrap/>
          </w:tcPr>
          <w:p w14:paraId="3D001CA2"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2"/>
              </w:rPr>
            </w:pPr>
            <w:r w:rsidRPr="00B75758">
              <w:rPr>
                <w:sz w:val="22"/>
              </w:rPr>
              <w:t>42</w:t>
            </w:r>
          </w:p>
          <w:p w14:paraId="48574F03"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(37%)</w:t>
            </w:r>
          </w:p>
        </w:tc>
        <w:tc>
          <w:tcPr>
            <w:tcW w:w="806" w:type="dxa"/>
            <w:noWrap/>
          </w:tcPr>
          <w:p w14:paraId="587F0FF6"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2"/>
              </w:rPr>
            </w:pPr>
            <w:r w:rsidRPr="00B75758">
              <w:rPr>
                <w:sz w:val="22"/>
              </w:rPr>
              <w:t>42</w:t>
            </w:r>
          </w:p>
          <w:p w14:paraId="1D944376"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(37%)</w:t>
            </w:r>
          </w:p>
        </w:tc>
      </w:tr>
    </w:tbl>
    <w:p w14:paraId="238F36A5" w14:textId="4BD3157A" w:rsidR="00713AFE" w:rsidRPr="00B843CE" w:rsidRDefault="00713AFE" w:rsidP="00713AFE">
      <w:pPr>
        <w:pStyle w:val="Heading3"/>
        <w:rPr>
          <w:i/>
          <w:iCs/>
        </w:rPr>
      </w:pPr>
      <w:r w:rsidRPr="002A4318">
        <w:t>8.6.2</w:t>
      </w:r>
      <w:r w:rsidRPr="002A4318">
        <w:tab/>
        <w:t>Promotion and media relations</w:t>
      </w:r>
    </w:p>
    <w:p w14:paraId="48300AF8" w14:textId="0010FDC9" w:rsidR="00713AFE" w:rsidRPr="00EC000A" w:rsidRDefault="00713AFE" w:rsidP="00D10716">
      <w:pPr>
        <w:jc w:val="both"/>
        <w:rPr>
          <w:rFonts w:eastAsia="SimSun"/>
          <w:szCs w:val="24"/>
        </w:rPr>
      </w:pPr>
      <w:r w:rsidRPr="00EC000A">
        <w:rPr>
          <w:szCs w:val="24"/>
          <w:lang w:val="en-US"/>
        </w:rPr>
        <w:t>During 20</w:t>
      </w:r>
      <w:r w:rsidR="4FD7FF36" w:rsidRPr="00EC000A">
        <w:rPr>
          <w:szCs w:val="24"/>
          <w:lang w:val="en-US"/>
        </w:rPr>
        <w:t>20</w:t>
      </w:r>
      <w:r w:rsidRPr="00EC000A">
        <w:rPr>
          <w:szCs w:val="24"/>
          <w:lang w:val="en-US"/>
        </w:rPr>
        <w:t xml:space="preserve">, the primary focus of BR’s </w:t>
      </w:r>
      <w:r w:rsidR="080B8A38" w:rsidRPr="00EC000A">
        <w:rPr>
          <w:szCs w:val="24"/>
          <w:lang w:val="en-US"/>
        </w:rPr>
        <w:t>c</w:t>
      </w:r>
      <w:r w:rsidRPr="00EC000A">
        <w:rPr>
          <w:szCs w:val="24"/>
          <w:lang w:val="en-US"/>
        </w:rPr>
        <w:t>ommunication</w:t>
      </w:r>
      <w:r w:rsidR="291F3A76" w:rsidRPr="00EC000A">
        <w:rPr>
          <w:szCs w:val="24"/>
          <w:lang w:val="en-US"/>
        </w:rPr>
        <w:t>s</w:t>
      </w:r>
      <w:r w:rsidRPr="00EC000A">
        <w:rPr>
          <w:szCs w:val="24"/>
          <w:lang w:val="en-US"/>
        </w:rPr>
        <w:t xml:space="preserve"> was related to </w:t>
      </w:r>
      <w:r w:rsidR="179ABAFA" w:rsidRPr="00EC000A">
        <w:rPr>
          <w:szCs w:val="24"/>
          <w:lang w:val="en-US"/>
        </w:rPr>
        <w:t xml:space="preserve">BR's </w:t>
      </w:r>
      <w:r w:rsidR="5F357F70" w:rsidRPr="00EC000A">
        <w:rPr>
          <w:szCs w:val="24"/>
          <w:lang w:val="en-US"/>
        </w:rPr>
        <w:t>virtual meetings and webinars</w:t>
      </w:r>
      <w:r w:rsidR="43663179" w:rsidRPr="00EC000A">
        <w:rPr>
          <w:szCs w:val="24"/>
          <w:lang w:val="en-US"/>
        </w:rPr>
        <w:t xml:space="preserve"> and promoting the work of the Bureau</w:t>
      </w:r>
      <w:r w:rsidR="5F9A4E72" w:rsidRPr="00EC000A">
        <w:rPr>
          <w:szCs w:val="24"/>
          <w:lang w:val="en-US"/>
        </w:rPr>
        <w:t xml:space="preserve"> online and through social media</w:t>
      </w:r>
      <w:r w:rsidR="785DBBBD" w:rsidRPr="00EC000A">
        <w:rPr>
          <w:szCs w:val="24"/>
          <w:lang w:val="en-US"/>
        </w:rPr>
        <w:t xml:space="preserve"> </w:t>
      </w:r>
      <w:r w:rsidR="19A4A922" w:rsidRPr="00EC000A">
        <w:rPr>
          <w:szCs w:val="24"/>
          <w:lang w:val="en-US"/>
        </w:rPr>
        <w:t xml:space="preserve">The </w:t>
      </w:r>
      <w:r w:rsidR="7D7D3149" w:rsidRPr="00EC000A">
        <w:rPr>
          <w:szCs w:val="24"/>
          <w:lang w:val="en-US"/>
        </w:rPr>
        <w:t xml:space="preserve">Radiocommunication Bureau </w:t>
      </w:r>
      <w:r w:rsidR="19A4A922" w:rsidRPr="00EC000A">
        <w:rPr>
          <w:szCs w:val="24"/>
          <w:lang w:val="en-US"/>
        </w:rPr>
        <w:t xml:space="preserve">organized three </w:t>
      </w:r>
      <w:r w:rsidR="785DBBBD" w:rsidRPr="00EC000A">
        <w:rPr>
          <w:szCs w:val="24"/>
          <w:lang w:val="en-US"/>
        </w:rPr>
        <w:t xml:space="preserve">Satellite </w:t>
      </w:r>
      <w:r w:rsidR="395DA7C4" w:rsidRPr="00EC000A">
        <w:rPr>
          <w:szCs w:val="24"/>
          <w:lang w:val="en-US"/>
        </w:rPr>
        <w:t>webinars between</w:t>
      </w:r>
      <w:r w:rsidR="785DBBBD" w:rsidRPr="00EC000A">
        <w:rPr>
          <w:szCs w:val="24"/>
          <w:lang w:val="en-US"/>
        </w:rPr>
        <w:t xml:space="preserve"> September and November 2020. </w:t>
      </w:r>
      <w:r w:rsidR="6B3D50B4" w:rsidRPr="00EC000A">
        <w:rPr>
          <w:szCs w:val="24"/>
          <w:lang w:val="en-US"/>
        </w:rPr>
        <w:t xml:space="preserve">The webinars </w:t>
      </w:r>
      <w:r w:rsidR="59192C79" w:rsidRPr="00EC000A">
        <w:rPr>
          <w:szCs w:val="24"/>
          <w:lang w:val="en-US"/>
        </w:rPr>
        <w:t xml:space="preserve">attracted </w:t>
      </w:r>
      <w:r w:rsidR="44AC7740" w:rsidRPr="00EC000A">
        <w:rPr>
          <w:szCs w:val="24"/>
          <w:lang w:val="en-US"/>
        </w:rPr>
        <w:t xml:space="preserve">a record 5,476 </w:t>
      </w:r>
      <w:r w:rsidR="59192C79" w:rsidRPr="00EC000A">
        <w:rPr>
          <w:szCs w:val="24"/>
          <w:lang w:val="en-US"/>
        </w:rPr>
        <w:t xml:space="preserve">participants </w:t>
      </w:r>
      <w:r w:rsidR="793B4D11" w:rsidRPr="00EC000A">
        <w:rPr>
          <w:szCs w:val="24"/>
          <w:lang w:val="en-US"/>
        </w:rPr>
        <w:t>from 135 countries</w:t>
      </w:r>
      <w:r w:rsidR="4D4C417D" w:rsidRPr="00EC000A">
        <w:rPr>
          <w:szCs w:val="24"/>
          <w:lang w:val="en-US"/>
        </w:rPr>
        <w:t xml:space="preserve">. The webinars provided participants with an opportunity to </w:t>
      </w:r>
      <w:r w:rsidR="24831BFB" w:rsidRPr="00EC000A">
        <w:rPr>
          <w:szCs w:val="24"/>
          <w:lang w:val="en-US"/>
        </w:rPr>
        <w:t xml:space="preserve">be updated </w:t>
      </w:r>
      <w:r w:rsidR="4D4C417D" w:rsidRPr="00EC000A">
        <w:rPr>
          <w:szCs w:val="24"/>
          <w:lang w:val="en-US"/>
        </w:rPr>
        <w:t>with the current technical and regulatory situation, evolution</w:t>
      </w:r>
      <w:r w:rsidR="00034247" w:rsidRPr="00EC000A">
        <w:rPr>
          <w:szCs w:val="24"/>
          <w:lang w:val="en-US"/>
        </w:rPr>
        <w:t>,</w:t>
      </w:r>
      <w:r w:rsidR="4D4C417D" w:rsidRPr="00EC000A">
        <w:rPr>
          <w:szCs w:val="24"/>
          <w:lang w:val="en-US"/>
        </w:rPr>
        <w:t xml:space="preserve"> and trends in the</w:t>
      </w:r>
      <w:r w:rsidR="03D58E94" w:rsidRPr="00EC000A">
        <w:rPr>
          <w:szCs w:val="24"/>
          <w:lang w:val="en-US"/>
        </w:rPr>
        <w:t xml:space="preserve"> satellite industry. </w:t>
      </w:r>
      <w:r w:rsidR="5F357F70" w:rsidRPr="00EC000A">
        <w:rPr>
          <w:szCs w:val="24"/>
          <w:lang w:val="en-US"/>
        </w:rPr>
        <w:t xml:space="preserve"> </w:t>
      </w:r>
      <w:r w:rsidR="37FAD4E1" w:rsidRPr="00EC000A">
        <w:rPr>
          <w:szCs w:val="24"/>
          <w:lang w:val="en-US"/>
        </w:rPr>
        <w:t>The World Radiocommunication Seminar WRS-20</w:t>
      </w:r>
      <w:r w:rsidR="5FED996D" w:rsidRPr="00EC000A">
        <w:rPr>
          <w:szCs w:val="24"/>
          <w:lang w:val="en-US"/>
        </w:rPr>
        <w:t xml:space="preserve"> </w:t>
      </w:r>
      <w:r w:rsidR="5FED996D" w:rsidRPr="00EC000A">
        <w:rPr>
          <w:szCs w:val="24"/>
          <w:lang w:val="en-US"/>
        </w:rPr>
        <w:lastRenderedPageBreak/>
        <w:t xml:space="preserve">attracted over 3,400 participants from more than 140 countries to learn about regulatory aspects of radiocommunication and how to use radio-frequency spectrum and satellite orbits equitably. </w:t>
      </w:r>
      <w:r w:rsidR="59909032" w:rsidRPr="00EC000A">
        <w:rPr>
          <w:szCs w:val="24"/>
          <w:lang w:val="en-US"/>
        </w:rPr>
        <w:t xml:space="preserve">The </w:t>
      </w:r>
      <w:r w:rsidR="1F8F0694" w:rsidRPr="00EC000A">
        <w:rPr>
          <w:szCs w:val="24"/>
          <w:lang w:val="en-US"/>
        </w:rPr>
        <w:t xml:space="preserve">virtual </w:t>
      </w:r>
      <w:r w:rsidR="59909032" w:rsidRPr="00EC000A">
        <w:rPr>
          <w:rFonts w:asciiTheme="majorBidi" w:hAnsiTheme="majorBidi" w:cstheme="majorBidi"/>
          <w:szCs w:val="24"/>
        </w:rPr>
        <w:t>RRS-20 Asia-Pacific</w:t>
      </w:r>
      <w:r w:rsidR="59909032" w:rsidRPr="00EC000A">
        <w:rPr>
          <w:szCs w:val="24"/>
        </w:rPr>
        <w:t xml:space="preserve"> </w:t>
      </w:r>
      <w:r w:rsidR="30A92C91" w:rsidRPr="00EC000A">
        <w:rPr>
          <w:szCs w:val="24"/>
        </w:rPr>
        <w:t>attracted 300 participants from 30</w:t>
      </w:r>
      <w:r w:rsidR="75C4AD2B" w:rsidRPr="00EC000A">
        <w:rPr>
          <w:szCs w:val="24"/>
        </w:rPr>
        <w:t xml:space="preserve"> administrations</w:t>
      </w:r>
      <w:r w:rsidR="30A92C91" w:rsidRPr="00EC000A">
        <w:rPr>
          <w:szCs w:val="24"/>
        </w:rPr>
        <w:t xml:space="preserve"> </w:t>
      </w:r>
      <w:r w:rsidR="59909032" w:rsidRPr="00EC000A">
        <w:rPr>
          <w:szCs w:val="24"/>
        </w:rPr>
        <w:t xml:space="preserve">and the </w:t>
      </w:r>
      <w:r w:rsidR="790E5214" w:rsidRPr="00EC000A">
        <w:rPr>
          <w:szCs w:val="24"/>
        </w:rPr>
        <w:t xml:space="preserve">virtual </w:t>
      </w:r>
      <w:r w:rsidR="79EADF58" w:rsidRPr="00EC000A">
        <w:rPr>
          <w:szCs w:val="24"/>
        </w:rPr>
        <w:t xml:space="preserve">RRS-20 Americas attracted </w:t>
      </w:r>
      <w:r w:rsidR="7EE1792C" w:rsidRPr="00EC000A">
        <w:rPr>
          <w:szCs w:val="24"/>
        </w:rPr>
        <w:t xml:space="preserve">350 participants from </w:t>
      </w:r>
      <w:r w:rsidR="57CF6DAC" w:rsidRPr="00EC000A">
        <w:rPr>
          <w:szCs w:val="24"/>
        </w:rPr>
        <w:t xml:space="preserve">38 </w:t>
      </w:r>
      <w:r w:rsidR="523BB46A" w:rsidRPr="00EC000A">
        <w:rPr>
          <w:szCs w:val="24"/>
        </w:rPr>
        <w:t>administrations</w:t>
      </w:r>
      <w:r w:rsidR="7EE1792C" w:rsidRPr="00EC000A">
        <w:rPr>
          <w:szCs w:val="24"/>
        </w:rPr>
        <w:t xml:space="preserve">. </w:t>
      </w:r>
      <w:r w:rsidR="1F7E3C53" w:rsidRPr="00EC000A">
        <w:rPr>
          <w:szCs w:val="24"/>
        </w:rPr>
        <w:t xml:space="preserve">UN or World days such as the </w:t>
      </w:r>
      <w:r w:rsidRPr="00EC000A">
        <w:rPr>
          <w:szCs w:val="24"/>
        </w:rPr>
        <w:t>Media relations was performed in cooperation with the ITU Comms, Media and Press Office</w:t>
      </w:r>
      <w:r w:rsidR="4CF594C1" w:rsidRPr="00EC000A">
        <w:rPr>
          <w:szCs w:val="24"/>
        </w:rPr>
        <w:t xml:space="preserve"> answering over one hundred media queries </w:t>
      </w:r>
      <w:r w:rsidR="732C0D88" w:rsidRPr="00EC000A">
        <w:rPr>
          <w:szCs w:val="24"/>
        </w:rPr>
        <w:t xml:space="preserve">or </w:t>
      </w:r>
      <w:r w:rsidR="6524C8F7" w:rsidRPr="00EC000A">
        <w:rPr>
          <w:szCs w:val="24"/>
        </w:rPr>
        <w:t xml:space="preserve">giving </w:t>
      </w:r>
      <w:r w:rsidR="4CF594C1" w:rsidRPr="00EC000A">
        <w:rPr>
          <w:szCs w:val="24"/>
        </w:rPr>
        <w:t xml:space="preserve">interviews related to </w:t>
      </w:r>
      <w:r w:rsidR="6A7CE66B" w:rsidRPr="00EC000A">
        <w:rPr>
          <w:szCs w:val="24"/>
        </w:rPr>
        <w:t>c</w:t>
      </w:r>
      <w:r w:rsidR="4CF594C1" w:rsidRPr="00EC000A">
        <w:rPr>
          <w:szCs w:val="24"/>
        </w:rPr>
        <w:t>or</w:t>
      </w:r>
      <w:r w:rsidR="0B448637" w:rsidRPr="00EC000A">
        <w:rPr>
          <w:szCs w:val="24"/>
        </w:rPr>
        <w:t xml:space="preserve">e </w:t>
      </w:r>
      <w:r w:rsidR="73FC60D6" w:rsidRPr="00EC000A">
        <w:rPr>
          <w:szCs w:val="24"/>
        </w:rPr>
        <w:t>subjects an</w:t>
      </w:r>
      <w:r w:rsidR="37331246" w:rsidRPr="00EC000A">
        <w:rPr>
          <w:szCs w:val="24"/>
        </w:rPr>
        <w:t>d work areas</w:t>
      </w:r>
      <w:r w:rsidR="0B448637" w:rsidRPr="00EC000A">
        <w:rPr>
          <w:szCs w:val="24"/>
        </w:rPr>
        <w:t xml:space="preserve"> </w:t>
      </w:r>
      <w:r w:rsidR="4CF594C1" w:rsidRPr="00EC000A">
        <w:rPr>
          <w:szCs w:val="24"/>
        </w:rPr>
        <w:t>of the Radiocommunication Bureau</w:t>
      </w:r>
      <w:r w:rsidR="23657D22" w:rsidRPr="00EC000A">
        <w:rPr>
          <w:szCs w:val="24"/>
        </w:rPr>
        <w:t xml:space="preserve"> during this period</w:t>
      </w:r>
      <w:r w:rsidR="4CF594C1" w:rsidRPr="00EC000A">
        <w:rPr>
          <w:szCs w:val="24"/>
        </w:rPr>
        <w:t>.</w:t>
      </w:r>
      <w:r w:rsidR="199BD811" w:rsidRPr="00EC000A">
        <w:rPr>
          <w:szCs w:val="24"/>
        </w:rPr>
        <w:t xml:space="preserve"> </w:t>
      </w:r>
      <w:r w:rsidR="11803FF6" w:rsidRPr="00EC000A">
        <w:rPr>
          <w:rFonts w:eastAsia="SimSun"/>
          <w:szCs w:val="24"/>
        </w:rPr>
        <w:t xml:space="preserve"> </w:t>
      </w:r>
      <w:r w:rsidR="4A42C0E5" w:rsidRPr="00EC000A">
        <w:rPr>
          <w:rFonts w:eastAsia="SimSun"/>
          <w:szCs w:val="24"/>
        </w:rPr>
        <w:t xml:space="preserve">Issuing articles </w:t>
      </w:r>
      <w:r w:rsidR="265ACBBF" w:rsidRPr="00EC000A">
        <w:rPr>
          <w:rFonts w:eastAsia="SimSun"/>
          <w:szCs w:val="24"/>
        </w:rPr>
        <w:t xml:space="preserve">and </w:t>
      </w:r>
      <w:r w:rsidR="2D302ACD" w:rsidRPr="00EC000A">
        <w:rPr>
          <w:rFonts w:eastAsia="SimSun"/>
          <w:szCs w:val="24"/>
        </w:rPr>
        <w:t xml:space="preserve">radiocommunication experts </w:t>
      </w:r>
      <w:r w:rsidR="265ACBBF" w:rsidRPr="00EC000A">
        <w:rPr>
          <w:rFonts w:eastAsia="SimSun"/>
          <w:szCs w:val="24"/>
        </w:rPr>
        <w:t xml:space="preserve">giving interviews </w:t>
      </w:r>
      <w:r w:rsidR="44522389" w:rsidRPr="00EC000A">
        <w:rPr>
          <w:rFonts w:eastAsia="SimSun"/>
          <w:szCs w:val="24"/>
        </w:rPr>
        <w:t>targeting</w:t>
      </w:r>
      <w:r w:rsidR="265ACBBF" w:rsidRPr="00EC000A">
        <w:rPr>
          <w:rFonts w:eastAsia="SimSun"/>
          <w:szCs w:val="24"/>
        </w:rPr>
        <w:t xml:space="preserve"> </w:t>
      </w:r>
      <w:r w:rsidR="11803FF6" w:rsidRPr="00EC000A">
        <w:rPr>
          <w:rFonts w:eastAsia="SimSun"/>
          <w:szCs w:val="24"/>
        </w:rPr>
        <w:t>UN World Days related to the work of the Bureau was also a new focus during 2020 e.g. World Ama</w:t>
      </w:r>
      <w:r w:rsidR="796443B1" w:rsidRPr="00EC000A">
        <w:rPr>
          <w:rFonts w:eastAsia="SimSun"/>
          <w:szCs w:val="24"/>
        </w:rPr>
        <w:t xml:space="preserve">teur Radio </w:t>
      </w:r>
      <w:r w:rsidR="59AC7BAE" w:rsidRPr="00EC000A">
        <w:rPr>
          <w:rFonts w:eastAsia="SimSun"/>
          <w:szCs w:val="24"/>
        </w:rPr>
        <w:t xml:space="preserve">Day, </w:t>
      </w:r>
      <w:r w:rsidR="0DF31565" w:rsidRPr="00EC000A">
        <w:rPr>
          <w:rFonts w:eastAsia="SimSun"/>
          <w:szCs w:val="24"/>
        </w:rPr>
        <w:t>Space Week, World Standards Day, World Maritime Day, World Radio Day – to name a few.</w:t>
      </w:r>
    </w:p>
    <w:p w14:paraId="76219A51" w14:textId="72A2D0F5" w:rsidR="00713AFE" w:rsidRPr="00B843CE" w:rsidRDefault="00713AFE" w:rsidP="32B84070">
      <w:pPr>
        <w:pStyle w:val="Heading4"/>
        <w:rPr>
          <w:i/>
          <w:iCs/>
          <w:lang w:val="en-US"/>
        </w:rPr>
      </w:pPr>
      <w:r>
        <w:t>8.6.2.1</w:t>
      </w:r>
      <w:r>
        <w:tab/>
      </w:r>
      <w:r w:rsidR="3EA3CB34">
        <w:t xml:space="preserve"> </w:t>
      </w:r>
      <w:r>
        <w:t>FAQs</w:t>
      </w:r>
      <w:r w:rsidR="6B2CEA1D">
        <w:t>,</w:t>
      </w:r>
      <w:r w:rsidR="00BC1DC8">
        <w:t xml:space="preserve"> </w:t>
      </w:r>
      <w:r w:rsidR="02B7EFBB" w:rsidRPr="32B84070">
        <w:rPr>
          <w:lang w:val="en-US"/>
        </w:rPr>
        <w:t xml:space="preserve">Media </w:t>
      </w:r>
      <w:r w:rsidRPr="32B84070">
        <w:rPr>
          <w:lang w:val="en-US"/>
        </w:rPr>
        <w:t>Backgrounders &amp; ITU News</w:t>
      </w:r>
    </w:p>
    <w:p w14:paraId="022A078C" w14:textId="4CAAF6E1" w:rsidR="00713AFE" w:rsidRDefault="00713AFE" w:rsidP="00713AFE">
      <w:pPr>
        <w:rPr>
          <w:lang w:val="en-US"/>
        </w:rPr>
      </w:pPr>
      <w:r w:rsidRPr="32B84070">
        <w:rPr>
          <w:lang w:val="en-US"/>
        </w:rPr>
        <w:t>The following Frequently Asked Questions (FAQs), Backgrounders</w:t>
      </w:r>
      <w:r w:rsidR="0001BA1E" w:rsidRPr="32B84070">
        <w:rPr>
          <w:lang w:val="en-US"/>
        </w:rPr>
        <w:t xml:space="preserve"> for the media, articles and ITU News magazines</w:t>
      </w:r>
      <w:r w:rsidR="00034247">
        <w:rPr>
          <w:lang w:val="en-US"/>
        </w:rPr>
        <w:t>,</w:t>
      </w:r>
      <w:r w:rsidRPr="32B84070">
        <w:rPr>
          <w:lang w:val="en-US"/>
        </w:rPr>
        <w:t xml:space="preserve"> and other resources continued to be </w:t>
      </w:r>
      <w:r w:rsidR="50D1FE37" w:rsidRPr="32B84070">
        <w:rPr>
          <w:lang w:val="en-US"/>
        </w:rPr>
        <w:t xml:space="preserve">crafted or </w:t>
      </w:r>
      <w:r w:rsidRPr="32B84070">
        <w:rPr>
          <w:lang w:val="en-US"/>
        </w:rPr>
        <w:t>maintained during 20</w:t>
      </w:r>
      <w:r w:rsidR="3833D095" w:rsidRPr="32B84070">
        <w:rPr>
          <w:lang w:val="en-US"/>
        </w:rPr>
        <w:t>20</w:t>
      </w:r>
      <w:r w:rsidR="009B2FD3">
        <w:rPr>
          <w:lang w:val="en-US"/>
        </w:rPr>
        <w:t>.</w:t>
      </w:r>
    </w:p>
    <w:p w14:paraId="21702B8D" w14:textId="77777777" w:rsidR="00713AFE" w:rsidRPr="00144F00" w:rsidRDefault="00713AFE" w:rsidP="4655CE1E">
      <w:pPr>
        <w:rPr>
          <w:szCs w:val="24"/>
          <w:lang w:val="en-US"/>
        </w:rPr>
      </w:pPr>
      <w:r w:rsidRPr="00870D9C">
        <w:rPr>
          <w:szCs w:val="24"/>
          <w:lang w:val="en-US"/>
        </w:rPr>
        <w:t>FAQs:</w:t>
      </w:r>
    </w:p>
    <w:p w14:paraId="674381B6" w14:textId="77777777" w:rsidR="00713AFE" w:rsidRPr="006D65EC" w:rsidRDefault="006C3E6C" w:rsidP="000A3EAD">
      <w:pPr>
        <w:pStyle w:val="ListParagraph"/>
        <w:numPr>
          <w:ilvl w:val="0"/>
          <w:numId w:val="4"/>
        </w:numPr>
        <w:rPr>
          <w:rFonts w:eastAsia="Times New Roman" w:cs="Times New Roman"/>
          <w:szCs w:val="24"/>
        </w:rPr>
      </w:pPr>
      <w:hyperlink r:id="rId51" w:tgtFrame="_blank" w:history="1">
        <w:r w:rsidR="00713AFE" w:rsidRPr="00941D16">
          <w:rPr>
            <w:rStyle w:val="Hyperlink"/>
            <w:rFonts w:eastAsia="Times New Roman" w:cs="Times New Roman" w:hint="eastAsia"/>
            <w:szCs w:val="24"/>
            <w:bdr w:val="none" w:sz="0" w:space="0" w:color="auto" w:frame="1"/>
          </w:rPr>
          <w:t>ITU-R FAQ on Universal Time Scale (UTC) – Leap Second</w:t>
        </w:r>
      </w:hyperlink>
    </w:p>
    <w:p w14:paraId="23D40A85" w14:textId="21C79B31" w:rsidR="00713AFE" w:rsidRPr="00941D16" w:rsidRDefault="006C3E6C" w:rsidP="000A3EAD">
      <w:pPr>
        <w:pStyle w:val="ListParagraph"/>
        <w:numPr>
          <w:ilvl w:val="0"/>
          <w:numId w:val="4"/>
        </w:numPr>
        <w:rPr>
          <w:rFonts w:eastAsia="Times New Roman" w:cs="Times New Roman"/>
          <w:szCs w:val="24"/>
          <w:lang w:val="fr-FR"/>
        </w:rPr>
      </w:pPr>
      <w:hyperlink r:id="rId52" w:tgtFrame="_blank" w:history="1">
        <w:r w:rsidR="00713AFE" w:rsidRPr="00941D16">
          <w:rPr>
            <w:rStyle w:val="Hyperlink"/>
            <w:rFonts w:eastAsia="Times New Roman" w:cs="Times New Roman" w:hint="eastAsia"/>
            <w:szCs w:val="24"/>
            <w:bdr w:val="none" w:sz="0" w:space="0" w:color="auto" w:frame="1"/>
            <w:lang w:val="fr-FR"/>
          </w:rPr>
          <w:t xml:space="preserve">ITU-R FAQ on International Mobile </w:t>
        </w:r>
        <w:proofErr w:type="spellStart"/>
        <w:r w:rsidR="00713AFE" w:rsidRPr="00941D16">
          <w:rPr>
            <w:rStyle w:val="Hyperlink"/>
            <w:rFonts w:eastAsia="Times New Roman" w:cs="Times New Roman" w:hint="eastAsia"/>
            <w:szCs w:val="24"/>
            <w:bdr w:val="none" w:sz="0" w:space="0" w:color="auto" w:frame="1"/>
            <w:lang w:val="fr-FR"/>
          </w:rPr>
          <w:t>Telecommunications</w:t>
        </w:r>
        <w:proofErr w:type="spellEnd"/>
        <w:r w:rsidR="00713AFE" w:rsidRPr="00941D16">
          <w:rPr>
            <w:rStyle w:val="Hyperlink"/>
            <w:rFonts w:eastAsia="Times New Roman" w:cs="Times New Roman" w:hint="eastAsia"/>
            <w:szCs w:val="24"/>
            <w:bdr w:val="none" w:sz="0" w:space="0" w:color="auto" w:frame="1"/>
            <w:lang w:val="fr-FR"/>
          </w:rPr>
          <w:t xml:space="preserve"> (IMT)</w:t>
        </w:r>
      </w:hyperlink>
      <w:r w:rsidR="00713AFE" w:rsidRPr="00941D16">
        <w:rPr>
          <w:rFonts w:eastAsia="Times New Roman" w:cs="Times New Roman" w:hint="eastAsia"/>
          <w:szCs w:val="24"/>
          <w:lang w:val="fr-FR"/>
        </w:rPr>
        <w:t xml:space="preserve"> </w:t>
      </w:r>
    </w:p>
    <w:p w14:paraId="18A45D45" w14:textId="77777777" w:rsidR="00713AFE" w:rsidRPr="006D65EC" w:rsidRDefault="006C3E6C" w:rsidP="000A3EAD">
      <w:pPr>
        <w:pStyle w:val="ListParagraph"/>
        <w:numPr>
          <w:ilvl w:val="0"/>
          <w:numId w:val="4"/>
        </w:numPr>
        <w:rPr>
          <w:rFonts w:eastAsia="Times New Roman" w:cs="Times New Roman"/>
          <w:szCs w:val="24"/>
        </w:rPr>
      </w:pPr>
      <w:hyperlink r:id="rId53" w:tgtFrame="_blank" w:history="1">
        <w:r w:rsidR="00713AFE" w:rsidRPr="00941D16">
          <w:rPr>
            <w:rStyle w:val="Hyperlink"/>
            <w:rFonts w:eastAsia="Times New Roman" w:cs="Times New Roman" w:hint="eastAsia"/>
            <w:szCs w:val="24"/>
            <w:bdr w:val="none" w:sz="0" w:space="0" w:color="auto" w:frame="1"/>
          </w:rPr>
          <w:t>ITU-R FAQ on the Digital Dividend and the Digital Switchover (DSO)</w:t>
        </w:r>
      </w:hyperlink>
    </w:p>
    <w:p w14:paraId="749AE872" w14:textId="77777777" w:rsidR="00713AFE" w:rsidRPr="006D65EC" w:rsidRDefault="006C3E6C" w:rsidP="000A3EAD">
      <w:pPr>
        <w:pStyle w:val="ListParagraph"/>
        <w:numPr>
          <w:ilvl w:val="0"/>
          <w:numId w:val="4"/>
        </w:numPr>
        <w:rPr>
          <w:rFonts w:eastAsia="Times New Roman" w:cs="Times New Roman"/>
          <w:szCs w:val="24"/>
        </w:rPr>
      </w:pPr>
      <w:hyperlink r:id="rId54" w:tgtFrame="_blank" w:history="1">
        <w:r w:rsidR="00713AFE" w:rsidRPr="00941D16">
          <w:rPr>
            <w:rStyle w:val="Hyperlink"/>
            <w:rFonts w:eastAsia="Times New Roman" w:cs="Times New Roman" w:hint="eastAsia"/>
            <w:szCs w:val="24"/>
            <w:bdr w:val="none" w:sz="0" w:space="0" w:color="auto" w:frame="1"/>
          </w:rPr>
          <w:t>ITU-R FAQ on Radio Regulations</w:t>
        </w:r>
      </w:hyperlink>
    </w:p>
    <w:p w14:paraId="75D44915" w14:textId="548C4ACB" w:rsidR="00713AFE" w:rsidRPr="00144F00" w:rsidRDefault="00713AFE" w:rsidP="4655CE1E">
      <w:pPr>
        <w:tabs>
          <w:tab w:val="clear" w:pos="794"/>
          <w:tab w:val="clear" w:pos="1191"/>
          <w:tab w:val="clear" w:pos="1588"/>
          <w:tab w:val="clear" w:pos="1985"/>
        </w:tabs>
        <w:overflowPunct/>
        <w:autoSpaceDE/>
        <w:autoSpaceDN/>
        <w:adjustRightInd/>
        <w:spacing w:before="0"/>
        <w:rPr>
          <w:szCs w:val="24"/>
        </w:rPr>
      </w:pPr>
      <w:r w:rsidRPr="00870D9C">
        <w:rPr>
          <w:szCs w:val="24"/>
        </w:rPr>
        <w:t>Backgrounders</w:t>
      </w:r>
      <w:r w:rsidR="033C21DD" w:rsidRPr="32B84070">
        <w:rPr>
          <w:szCs w:val="24"/>
        </w:rPr>
        <w:t xml:space="preserve"> for the media and the general public</w:t>
      </w:r>
      <w:r w:rsidRPr="00870D9C">
        <w:rPr>
          <w:szCs w:val="24"/>
        </w:rPr>
        <w:t>:</w:t>
      </w:r>
    </w:p>
    <w:p w14:paraId="48C89B78" w14:textId="77777777" w:rsidR="001C46CC" w:rsidRPr="001C46CC" w:rsidRDefault="001C46CC" w:rsidP="000A3EAD">
      <w:pPr>
        <w:pStyle w:val="ListParagraph"/>
        <w:numPr>
          <w:ilvl w:val="0"/>
          <w:numId w:val="4"/>
        </w:numPr>
        <w:rPr>
          <w:rFonts w:eastAsia="Times New Roman" w:cs="Times New Roman"/>
          <w:color w:val="0000FF" w:themeColor="hyperlink"/>
          <w:szCs w:val="24"/>
          <w:u w:val="single"/>
          <w:bdr w:val="none" w:sz="0" w:space="0" w:color="auto" w:frame="1"/>
        </w:rPr>
      </w:pPr>
      <w:r>
        <w:t>Terrestrial Issues:</w:t>
      </w:r>
    </w:p>
    <w:p w14:paraId="6C04AB94" w14:textId="28A3EB1C" w:rsidR="00713AFE" w:rsidRPr="006D65EC" w:rsidRDefault="006C3E6C" w:rsidP="000A3EAD">
      <w:pPr>
        <w:pStyle w:val="ListParagraph"/>
        <w:numPr>
          <w:ilvl w:val="1"/>
          <w:numId w:val="4"/>
        </w:numPr>
        <w:rPr>
          <w:rStyle w:val="Hyperlink"/>
          <w:rFonts w:eastAsia="Times New Roman" w:cs="Times New Roman"/>
          <w:szCs w:val="24"/>
          <w:bdr w:val="none" w:sz="0" w:space="0" w:color="auto" w:frame="1"/>
        </w:rPr>
      </w:pPr>
      <w:hyperlink r:id="rId55" w:history="1">
        <w:r w:rsidR="00713AFE" w:rsidRPr="00941D16">
          <w:rPr>
            <w:rStyle w:val="Hyperlink"/>
            <w:rFonts w:eastAsia="Times New Roman" w:cs="Times New Roman" w:hint="eastAsia"/>
            <w:szCs w:val="24"/>
            <w:bdr w:val="none" w:sz="0" w:space="0" w:color="auto" w:frame="1"/>
          </w:rPr>
          <w:t>5G - Fifth Generation of Mobile Technologies (IMT-2020 and beyond)</w:t>
        </w:r>
      </w:hyperlink>
    </w:p>
    <w:p w14:paraId="2A050D83" w14:textId="596233A6" w:rsidR="00FA731F" w:rsidRPr="006D65EC" w:rsidRDefault="006C3E6C" w:rsidP="000A3EAD">
      <w:pPr>
        <w:pStyle w:val="ListParagraph"/>
        <w:numPr>
          <w:ilvl w:val="1"/>
          <w:numId w:val="4"/>
        </w:numPr>
        <w:rPr>
          <w:rStyle w:val="Hyperlink"/>
          <w:rFonts w:eastAsia="Times New Roman" w:cs="Times New Roman"/>
          <w:szCs w:val="24"/>
          <w:bdr w:val="none" w:sz="0" w:space="0" w:color="auto" w:frame="1"/>
        </w:rPr>
      </w:pPr>
      <w:hyperlink r:id="rId56" w:history="1">
        <w:r w:rsidR="00B665B0" w:rsidRPr="00B665B0">
          <w:rPr>
            <w:rStyle w:val="Hyperlink"/>
            <w:rFonts w:eastAsia="Times New Roman" w:cs="Times New Roman"/>
            <w:szCs w:val="24"/>
            <w:bdr w:val="none" w:sz="0" w:space="0" w:color="auto" w:frame="1"/>
          </w:rPr>
          <w:t>5G, human exposure to electromagnetic fields (EMF) and health</w:t>
        </w:r>
      </w:hyperlink>
    </w:p>
    <w:p w14:paraId="15AF6A6E" w14:textId="77777777" w:rsidR="00241E2F" w:rsidRPr="00241E2F" w:rsidRDefault="006C3E6C" w:rsidP="000A3EAD">
      <w:pPr>
        <w:pStyle w:val="ListParagraph"/>
        <w:numPr>
          <w:ilvl w:val="1"/>
          <w:numId w:val="4"/>
        </w:numPr>
        <w:rPr>
          <w:rStyle w:val="Hyperlink"/>
          <w:rFonts w:eastAsia="Times New Roman" w:cs="Times New Roman"/>
          <w:szCs w:val="24"/>
          <w:bdr w:val="none" w:sz="0" w:space="0" w:color="auto" w:frame="1"/>
        </w:rPr>
      </w:pPr>
      <w:hyperlink r:id="rId57" w:history="1">
        <w:r w:rsidR="00713AFE" w:rsidRPr="00941D16">
          <w:rPr>
            <w:rStyle w:val="Hyperlink"/>
            <w:rFonts w:eastAsia="Times New Roman" w:cs="Times New Roman" w:hint="eastAsia"/>
            <w:szCs w:val="24"/>
            <w:bdr w:val="none" w:sz="0" w:space="0" w:color="auto" w:frame="1"/>
          </w:rPr>
          <w:t>High-Altitude Platform Systems (HAPS)</w:t>
        </w:r>
      </w:hyperlink>
    </w:p>
    <w:p w14:paraId="0A373DD6" w14:textId="40F5CF35" w:rsidR="00713AFE" w:rsidRPr="006D65EC" w:rsidRDefault="006C3E6C" w:rsidP="000A3EAD">
      <w:pPr>
        <w:pStyle w:val="ListParagraph"/>
        <w:numPr>
          <w:ilvl w:val="1"/>
          <w:numId w:val="4"/>
        </w:numPr>
        <w:rPr>
          <w:rStyle w:val="Hyperlink"/>
          <w:rFonts w:eastAsia="Times New Roman" w:cs="Times New Roman"/>
          <w:szCs w:val="24"/>
          <w:bdr w:val="none" w:sz="0" w:space="0" w:color="auto" w:frame="1"/>
        </w:rPr>
      </w:pPr>
      <w:hyperlink r:id="rId58" w:history="1">
        <w:r w:rsidR="00241E2F" w:rsidRPr="00B725EE">
          <w:rPr>
            <w:rStyle w:val="Hyperlink"/>
            <w:rFonts w:eastAsia="Times New Roman" w:cs="Times New Roman"/>
          </w:rPr>
          <w:t>Radiocommunications for keeping ships and people safe at sea</w:t>
        </w:r>
      </w:hyperlink>
    </w:p>
    <w:p w14:paraId="044BF1F8" w14:textId="77777777" w:rsidR="00713AFE" w:rsidRPr="006D65EC" w:rsidRDefault="006C3E6C" w:rsidP="000A3EAD">
      <w:pPr>
        <w:pStyle w:val="ListParagraph"/>
        <w:numPr>
          <w:ilvl w:val="0"/>
          <w:numId w:val="4"/>
        </w:numPr>
        <w:rPr>
          <w:rStyle w:val="Hyperlink"/>
          <w:rFonts w:eastAsia="Times New Roman" w:cs="Times New Roman"/>
          <w:szCs w:val="24"/>
          <w:bdr w:val="none" w:sz="0" w:space="0" w:color="auto" w:frame="1"/>
        </w:rPr>
      </w:pPr>
      <w:hyperlink r:id="rId59" w:history="1">
        <w:r w:rsidR="00713AFE" w:rsidRPr="00941D16">
          <w:rPr>
            <w:rStyle w:val="Hyperlink"/>
            <w:rFonts w:eastAsia="Times New Roman" w:cs="Times New Roman" w:hint="eastAsia"/>
            <w:szCs w:val="24"/>
            <w:bdr w:val="none" w:sz="0" w:space="0" w:color="auto" w:frame="1"/>
          </w:rPr>
          <w:t>ITU Study Groups</w:t>
        </w:r>
      </w:hyperlink>
    </w:p>
    <w:p w14:paraId="708E658C" w14:textId="77777777" w:rsidR="00713AFE" w:rsidRPr="006D65EC" w:rsidRDefault="006C3E6C" w:rsidP="000A3EAD">
      <w:pPr>
        <w:pStyle w:val="ListParagraph"/>
        <w:numPr>
          <w:ilvl w:val="0"/>
          <w:numId w:val="4"/>
        </w:numPr>
        <w:rPr>
          <w:rStyle w:val="Hyperlink"/>
          <w:rFonts w:eastAsia="Times New Roman" w:cs="Times New Roman"/>
          <w:szCs w:val="24"/>
          <w:bdr w:val="none" w:sz="0" w:space="0" w:color="auto" w:frame="1"/>
        </w:rPr>
      </w:pPr>
      <w:hyperlink r:id="rId60" w:history="1">
        <w:r w:rsidR="00713AFE" w:rsidRPr="00941D16">
          <w:rPr>
            <w:rStyle w:val="Hyperlink"/>
            <w:rFonts w:eastAsia="Times New Roman" w:cs="Times New Roman" w:hint="eastAsia"/>
            <w:szCs w:val="24"/>
            <w:bdr w:val="none" w:sz="0" w:space="0" w:color="auto" w:frame="1"/>
          </w:rPr>
          <w:t>ITU-R: Managing the radio-frequency spectrum for the world</w:t>
        </w:r>
      </w:hyperlink>
    </w:p>
    <w:p w14:paraId="7CE24616" w14:textId="77777777" w:rsidR="001B3F64" w:rsidRPr="00A2109C" w:rsidRDefault="00713AFE" w:rsidP="000A3EAD">
      <w:pPr>
        <w:pStyle w:val="ListParagraph"/>
        <w:numPr>
          <w:ilvl w:val="0"/>
          <w:numId w:val="4"/>
        </w:numPr>
        <w:rPr>
          <w:rFonts w:eastAsia="Times New Roman" w:cs="Times New Roman"/>
          <w:szCs w:val="24"/>
          <w:u w:val="single"/>
          <w:bdr w:val="none" w:sz="0" w:space="0" w:color="auto" w:frame="1"/>
        </w:rPr>
      </w:pPr>
      <w:r w:rsidRPr="001B3F64">
        <w:rPr>
          <w:rFonts w:eastAsia="Times New Roman" w:cs="Times New Roman" w:hint="eastAsia"/>
          <w:szCs w:val="24"/>
          <w:bdr w:val="none" w:sz="0" w:space="0" w:color="auto" w:frame="1"/>
        </w:rPr>
        <w:t xml:space="preserve">Satellite issues: </w:t>
      </w:r>
    </w:p>
    <w:p w14:paraId="21DA9D61" w14:textId="681A12C3" w:rsidR="00713AFE" w:rsidRPr="006D65EC" w:rsidRDefault="006C3E6C" w:rsidP="000A3EAD">
      <w:pPr>
        <w:pStyle w:val="ListParagraph"/>
        <w:numPr>
          <w:ilvl w:val="1"/>
          <w:numId w:val="4"/>
        </w:numPr>
        <w:rPr>
          <w:rStyle w:val="Hyperlink"/>
          <w:rFonts w:eastAsia="Times New Roman" w:cs="Times New Roman"/>
          <w:szCs w:val="24"/>
          <w:bdr w:val="none" w:sz="0" w:space="0" w:color="auto" w:frame="1"/>
        </w:rPr>
      </w:pPr>
      <w:hyperlink r:id="rId61" w:history="1">
        <w:r w:rsidR="00713AFE" w:rsidRPr="00941D16">
          <w:rPr>
            <w:rStyle w:val="Hyperlink"/>
            <w:rFonts w:eastAsia="Times New Roman" w:cs="Times New Roman" w:hint="eastAsia"/>
            <w:szCs w:val="24"/>
            <w:bdr w:val="none" w:sz="0" w:space="0" w:color="auto" w:frame="1"/>
          </w:rPr>
          <w:t>Earth stations in motion (ESIM)</w:t>
        </w:r>
      </w:hyperlink>
    </w:p>
    <w:p w14:paraId="1D3B852B" w14:textId="1685A5D3" w:rsidR="00713AFE" w:rsidRPr="00C52392" w:rsidRDefault="006C3E6C" w:rsidP="000A3EAD">
      <w:pPr>
        <w:pStyle w:val="ListParagraph"/>
        <w:numPr>
          <w:ilvl w:val="1"/>
          <w:numId w:val="4"/>
        </w:numPr>
        <w:rPr>
          <w:rStyle w:val="Hyperlink"/>
          <w:rFonts w:eastAsia="Times New Roman" w:cs="Times New Roman"/>
          <w:bdr w:val="none" w:sz="0" w:space="0" w:color="auto" w:frame="1"/>
        </w:rPr>
      </w:pPr>
      <w:hyperlink r:id="rId62" w:history="1">
        <w:r w:rsidR="00713AFE" w:rsidRPr="00941D16">
          <w:rPr>
            <w:rStyle w:val="Hyperlink"/>
            <w:rFonts w:eastAsia="Times New Roman" w:cs="Times New Roman" w:hint="eastAsia"/>
            <w:szCs w:val="24"/>
            <w:bdr w:val="none" w:sz="0" w:space="0" w:color="auto" w:frame="1"/>
          </w:rPr>
          <w:t>Non-GSO satellite systems</w:t>
        </w:r>
      </w:hyperlink>
    </w:p>
    <w:p w14:paraId="76B0BF5B" w14:textId="5E8511CB" w:rsidR="00BA116E" w:rsidRPr="00EF77AD" w:rsidRDefault="006C3E6C" w:rsidP="000A3EAD">
      <w:pPr>
        <w:pStyle w:val="ListParagraph"/>
        <w:numPr>
          <w:ilvl w:val="1"/>
          <w:numId w:val="4"/>
        </w:numPr>
        <w:rPr>
          <w:rStyle w:val="Hyperlink"/>
          <w:rFonts w:eastAsia="Times New Roman" w:cs="Times New Roman"/>
          <w:bdr w:val="none" w:sz="0" w:space="0" w:color="auto" w:frame="1"/>
        </w:rPr>
      </w:pPr>
      <w:hyperlink r:id="rId63" w:history="1">
        <w:r w:rsidR="00B63ECA" w:rsidRPr="00EF77AD">
          <w:rPr>
            <w:rStyle w:val="Hyperlink"/>
            <w:rFonts w:eastAsia="Times New Roman" w:cs="Times New Roman"/>
          </w:rPr>
          <w:t>Non-GSO satellite systems with</w:t>
        </w:r>
        <w:r w:rsidR="00713AFE" w:rsidRPr="00EF77AD">
          <w:rPr>
            <w:rStyle w:val="Hyperlink"/>
            <w:rFonts w:eastAsia="Times New Roman" w:cs="Times New Roman"/>
          </w:rPr>
          <w:t xml:space="preserve"> short duration missions</w:t>
        </w:r>
      </w:hyperlink>
      <w:r w:rsidR="00A86A1F">
        <w:rPr>
          <w:rStyle w:val="Hyperlink"/>
          <w:rFonts w:eastAsia="Times New Roman" w:cs="Times New Roman"/>
        </w:rPr>
        <w:t xml:space="preserve">  </w:t>
      </w:r>
    </w:p>
    <w:p w14:paraId="09574595" w14:textId="6AA63131" w:rsidR="00713AFE" w:rsidRPr="00EC000A" w:rsidRDefault="4EE7A3A2" w:rsidP="30267015">
      <w:pPr>
        <w:rPr>
          <w:rFonts w:eastAsia="SimSun"/>
          <w:szCs w:val="24"/>
        </w:rPr>
      </w:pPr>
      <w:proofErr w:type="spellStart"/>
      <w:r w:rsidRPr="00EC000A">
        <w:rPr>
          <w:rFonts w:eastAsia="SimSun"/>
          <w:szCs w:val="24"/>
        </w:rPr>
        <w:t>MyITU</w:t>
      </w:r>
      <w:proofErr w:type="spellEnd"/>
    </w:p>
    <w:p w14:paraId="1849CF17" w14:textId="53249121" w:rsidR="00713AFE" w:rsidRPr="00EC000A" w:rsidRDefault="4EE7A3A2" w:rsidP="4655CE1E">
      <w:pPr>
        <w:rPr>
          <w:szCs w:val="24"/>
        </w:rPr>
      </w:pPr>
      <w:r w:rsidRPr="00EC000A">
        <w:rPr>
          <w:rFonts w:eastAsia="Calibri"/>
          <w:szCs w:val="24"/>
        </w:rPr>
        <w:t xml:space="preserve">As from the release of </w:t>
      </w:r>
      <w:proofErr w:type="spellStart"/>
      <w:r w:rsidRPr="00EC000A">
        <w:rPr>
          <w:rFonts w:eastAsia="Calibri"/>
          <w:szCs w:val="24"/>
        </w:rPr>
        <w:t>MyITU</w:t>
      </w:r>
      <w:proofErr w:type="spellEnd"/>
      <w:r w:rsidRPr="00EC000A">
        <w:rPr>
          <w:rFonts w:eastAsia="Calibri"/>
          <w:szCs w:val="24"/>
        </w:rPr>
        <w:t xml:space="preserve"> (beta) in the 4</w:t>
      </w:r>
      <w:r w:rsidRPr="00EC000A">
        <w:rPr>
          <w:rFonts w:eastAsia="Calibri"/>
          <w:szCs w:val="24"/>
          <w:vertAlign w:val="superscript"/>
        </w:rPr>
        <w:t>th</w:t>
      </w:r>
      <w:r w:rsidRPr="00EC000A">
        <w:rPr>
          <w:rFonts w:eastAsia="Calibri"/>
          <w:szCs w:val="24"/>
        </w:rPr>
        <w:t xml:space="preserve"> Quarter of 2020, the following four BR articles were amongst the top 10 most visited articles on </w:t>
      </w:r>
      <w:proofErr w:type="spellStart"/>
      <w:r w:rsidRPr="00EC000A">
        <w:rPr>
          <w:rFonts w:eastAsia="Calibri"/>
          <w:szCs w:val="24"/>
        </w:rPr>
        <w:t>MyITU</w:t>
      </w:r>
      <w:proofErr w:type="spellEnd"/>
      <w:r w:rsidRPr="00EC000A">
        <w:rPr>
          <w:rFonts w:eastAsia="Calibri"/>
          <w:szCs w:val="24"/>
        </w:rPr>
        <w:t xml:space="preserve"> News:</w:t>
      </w:r>
    </w:p>
    <w:p w14:paraId="61343B66" w14:textId="695B7B4B" w:rsidR="00713AFE" w:rsidRPr="00EC000A" w:rsidRDefault="006C3E6C" w:rsidP="000A3EAD">
      <w:pPr>
        <w:pStyle w:val="ListParagraph"/>
        <w:numPr>
          <w:ilvl w:val="0"/>
          <w:numId w:val="12"/>
        </w:numPr>
        <w:rPr>
          <w:rStyle w:val="Hyperlink"/>
          <w:rFonts w:eastAsia="Calibri" w:cs="Times New Roman"/>
          <w:color w:val="0000FF"/>
          <w:szCs w:val="24"/>
        </w:rPr>
      </w:pPr>
      <w:hyperlink r:id="rId64" w:history="1">
        <w:r w:rsidR="4EE7A3A2" w:rsidRPr="00EC000A">
          <w:rPr>
            <w:rStyle w:val="Hyperlink"/>
            <w:rFonts w:eastAsia="Calibri" w:cs="Times New Roman"/>
            <w:szCs w:val="24"/>
            <w:lang w:val="en-GB"/>
          </w:rPr>
          <w:t>Ham radio and emergency comms: Filling the USGS 'donut hole' - My ITU</w:t>
        </w:r>
      </w:hyperlink>
    </w:p>
    <w:p w14:paraId="55755949" w14:textId="791F7D3C" w:rsidR="00713AFE" w:rsidRPr="00EC000A" w:rsidRDefault="006C3E6C" w:rsidP="000A3EAD">
      <w:pPr>
        <w:pStyle w:val="ListParagraph"/>
        <w:numPr>
          <w:ilvl w:val="0"/>
          <w:numId w:val="12"/>
        </w:numPr>
        <w:rPr>
          <w:rStyle w:val="Hyperlink"/>
          <w:rFonts w:eastAsia="Calibri" w:cs="Times New Roman"/>
          <w:color w:val="0000FF"/>
          <w:szCs w:val="24"/>
        </w:rPr>
      </w:pPr>
      <w:hyperlink r:id="rId65" w:history="1">
        <w:r w:rsidR="4EE7A3A2" w:rsidRPr="00EC000A">
          <w:rPr>
            <w:rStyle w:val="Hyperlink"/>
            <w:rFonts w:eastAsia="Calibri" w:cs="Times New Roman"/>
            <w:szCs w:val="24"/>
            <w:lang w:val="en-GB"/>
          </w:rPr>
          <w:t>Five key uncertainties around high-speed Internet from low Earth orbit - My ITU</w:t>
        </w:r>
      </w:hyperlink>
    </w:p>
    <w:p w14:paraId="7C58A62D" w14:textId="37D61172" w:rsidR="00713AFE" w:rsidRPr="00EC000A" w:rsidRDefault="006C3E6C" w:rsidP="000A3EAD">
      <w:pPr>
        <w:pStyle w:val="ListParagraph"/>
        <w:numPr>
          <w:ilvl w:val="0"/>
          <w:numId w:val="12"/>
        </w:numPr>
        <w:rPr>
          <w:rStyle w:val="Hyperlink"/>
          <w:rFonts w:eastAsia="Calibri" w:cs="Times New Roman"/>
          <w:color w:val="0000FF"/>
          <w:szCs w:val="24"/>
        </w:rPr>
      </w:pPr>
      <w:hyperlink r:id="rId66" w:history="1">
        <w:r w:rsidR="4EE7A3A2" w:rsidRPr="00EC000A">
          <w:rPr>
            <w:rStyle w:val="Hyperlink"/>
            <w:rFonts w:eastAsia="Calibri" w:cs="Times New Roman"/>
            <w:szCs w:val="24"/>
            <w:lang w:val="en-GB"/>
          </w:rPr>
          <w:t>Why this year’s World Radiocommunication Seminar plenary is open to everyone: ITU Radiocommunication Bureau Director Mario Maniewicz - My ITU</w:t>
        </w:r>
      </w:hyperlink>
    </w:p>
    <w:p w14:paraId="031D3508" w14:textId="49F9921B" w:rsidR="00713AFE" w:rsidRPr="00260C19" w:rsidRDefault="006C3E6C" w:rsidP="000A3EAD">
      <w:pPr>
        <w:pStyle w:val="ListParagraph"/>
        <w:numPr>
          <w:ilvl w:val="0"/>
          <w:numId w:val="12"/>
        </w:numPr>
        <w:rPr>
          <w:rFonts w:eastAsia="Calibri" w:cs="Times New Roman"/>
          <w:color w:val="0000FF"/>
          <w:szCs w:val="24"/>
          <w:u w:val="single"/>
        </w:rPr>
      </w:pPr>
      <w:hyperlink r:id="rId67" w:history="1">
        <w:r w:rsidR="4EE7A3A2" w:rsidRPr="00AD7141">
          <w:rPr>
            <w:rStyle w:val="Hyperlink"/>
            <w:rFonts w:cs="Times New Roman"/>
            <w:szCs w:val="24"/>
          </w:rPr>
          <w:t xml:space="preserve">Satellite </w:t>
        </w:r>
        <w:r w:rsidR="000E6DEC" w:rsidRPr="00AD7141">
          <w:rPr>
            <w:rStyle w:val="Hyperlink"/>
            <w:rFonts w:cs="Times New Roman"/>
            <w:szCs w:val="24"/>
          </w:rPr>
          <w:t>Innovation</w:t>
        </w:r>
        <w:r w:rsidR="4EE7A3A2" w:rsidRPr="00AD7141">
          <w:rPr>
            <w:rStyle w:val="Hyperlink"/>
            <w:rFonts w:cs="Times New Roman"/>
            <w:szCs w:val="24"/>
          </w:rPr>
          <w:t xml:space="preserve"> Space </w:t>
        </w:r>
        <w:r w:rsidR="00AD7141" w:rsidRPr="00AD7141">
          <w:rPr>
            <w:rStyle w:val="Hyperlink"/>
            <w:rFonts w:cs="Times New Roman"/>
            <w:szCs w:val="24"/>
          </w:rPr>
          <w:t>Technology</w:t>
        </w:r>
        <w:r w:rsidR="4EE7A3A2" w:rsidRPr="00AD7141">
          <w:rPr>
            <w:rStyle w:val="Hyperlink"/>
            <w:rFonts w:cs="Times New Roman"/>
            <w:szCs w:val="24"/>
          </w:rPr>
          <w:t xml:space="preserve"> to reach the </w:t>
        </w:r>
        <w:r w:rsidR="00AD7141" w:rsidRPr="00AD7141">
          <w:rPr>
            <w:rStyle w:val="Hyperlink"/>
            <w:rFonts w:cs="Times New Roman"/>
            <w:szCs w:val="24"/>
          </w:rPr>
          <w:t>Unconnected</w:t>
        </w:r>
      </w:hyperlink>
    </w:p>
    <w:p w14:paraId="33F5B90A" w14:textId="6BBA682A" w:rsidR="00260C19" w:rsidRDefault="006C3E6C" w:rsidP="000A3EAD">
      <w:pPr>
        <w:pStyle w:val="ListParagraph"/>
        <w:numPr>
          <w:ilvl w:val="0"/>
          <w:numId w:val="12"/>
        </w:numPr>
        <w:rPr>
          <w:rStyle w:val="Hyperlink"/>
          <w:rFonts w:eastAsia="Calibri" w:cs="Times New Roman"/>
          <w:color w:val="0000FF"/>
          <w:szCs w:val="24"/>
        </w:rPr>
      </w:pPr>
      <w:hyperlink r:id="rId68" w:history="1">
        <w:r w:rsidR="00260C19" w:rsidRPr="00A65D68">
          <w:rPr>
            <w:rStyle w:val="Hyperlink"/>
            <w:rFonts w:eastAsia="Calibri" w:cs="Times New Roman"/>
            <w:szCs w:val="24"/>
          </w:rPr>
          <w:t>Here’s how the diversity of radio services improves lives worldwide</w:t>
        </w:r>
      </w:hyperlink>
    </w:p>
    <w:p w14:paraId="1AC83A26" w14:textId="433BC157" w:rsidR="00A65D68" w:rsidRPr="00A65D68" w:rsidRDefault="00A65D68" w:rsidP="000A3EAD">
      <w:pPr>
        <w:pStyle w:val="ListParagraph"/>
        <w:numPr>
          <w:ilvl w:val="0"/>
          <w:numId w:val="4"/>
        </w:numPr>
        <w:rPr>
          <w:rFonts w:eastAsia="Times New Roman"/>
          <w:bdr w:val="none" w:sz="0" w:space="0" w:color="auto" w:frame="1"/>
        </w:rPr>
      </w:pPr>
      <w:r w:rsidRPr="00A65D68">
        <w:rPr>
          <w:rFonts w:eastAsia="Times New Roman"/>
          <w:bdr w:val="none" w:sz="0" w:space="0" w:color="auto" w:frame="1"/>
        </w:rPr>
        <w:t>World Radio Day:</w:t>
      </w:r>
    </w:p>
    <w:p w14:paraId="310C4DAF" w14:textId="1D38395E" w:rsidR="00A65D68" w:rsidRDefault="0039540A" w:rsidP="000A3EAD">
      <w:pPr>
        <w:pStyle w:val="ListParagraph"/>
        <w:numPr>
          <w:ilvl w:val="1"/>
          <w:numId w:val="4"/>
        </w:numPr>
        <w:rPr>
          <w:rStyle w:val="Hyperlink"/>
          <w:rFonts w:eastAsia="Calibri" w:cs="Times New Roman"/>
          <w:color w:val="0000FF"/>
          <w:szCs w:val="24"/>
        </w:rPr>
      </w:pPr>
      <w:r w:rsidRPr="00A26F07">
        <w:rPr>
          <w:rStyle w:val="Hyperlink"/>
          <w:rFonts w:eastAsia="Calibri" w:cs="Times New Roman"/>
          <w:color w:val="auto"/>
          <w:szCs w:val="24"/>
          <w:u w:val="none"/>
        </w:rPr>
        <w:t>2020</w:t>
      </w:r>
      <w:r w:rsidR="00E41928" w:rsidRPr="00A26F07">
        <w:rPr>
          <w:rStyle w:val="Hyperlink"/>
          <w:rFonts w:eastAsia="Calibri" w:cs="Times New Roman"/>
          <w:color w:val="auto"/>
          <w:szCs w:val="24"/>
          <w:u w:val="none"/>
        </w:rPr>
        <w:t>:</w:t>
      </w:r>
      <w:r w:rsidR="00FF0F0E" w:rsidRPr="00A26F07">
        <w:rPr>
          <w:rStyle w:val="Hyperlink"/>
          <w:rFonts w:eastAsia="Calibri" w:cs="Times New Roman"/>
          <w:color w:val="auto"/>
          <w:szCs w:val="24"/>
          <w:u w:val="none"/>
        </w:rPr>
        <w:t xml:space="preserve"> </w:t>
      </w:r>
      <w:hyperlink r:id="rId69" w:history="1">
        <w:r w:rsidR="00A26F07" w:rsidRPr="00A26F07">
          <w:rPr>
            <w:rStyle w:val="Hyperlink"/>
            <w:rFonts w:eastAsia="Calibri" w:cs="Times New Roman"/>
            <w:szCs w:val="24"/>
          </w:rPr>
          <w:t>Here’s how the diversity of radio services improves lives worldwide</w:t>
        </w:r>
      </w:hyperlink>
      <w:r w:rsidR="00E41928">
        <w:rPr>
          <w:rStyle w:val="Hyperlink"/>
          <w:rFonts w:eastAsia="Calibri" w:cs="Times New Roman"/>
          <w:color w:val="0000FF"/>
          <w:szCs w:val="24"/>
        </w:rPr>
        <w:t xml:space="preserve"> </w:t>
      </w:r>
    </w:p>
    <w:p w14:paraId="567BD010" w14:textId="2FF94CD8" w:rsidR="0039540A" w:rsidRPr="00EC000A" w:rsidRDefault="006C3E6C" w:rsidP="000A3EAD">
      <w:pPr>
        <w:pStyle w:val="ListParagraph"/>
        <w:numPr>
          <w:ilvl w:val="1"/>
          <w:numId w:val="4"/>
        </w:numPr>
        <w:rPr>
          <w:rStyle w:val="Hyperlink"/>
          <w:rFonts w:eastAsia="Calibri" w:cs="Times New Roman"/>
          <w:color w:val="0000FF"/>
          <w:szCs w:val="24"/>
        </w:rPr>
      </w:pPr>
      <w:hyperlink r:id="rId70" w:history="1">
        <w:r w:rsidR="0039540A" w:rsidRPr="00A26F07">
          <w:rPr>
            <w:rStyle w:val="Hyperlink"/>
            <w:rFonts w:eastAsia="Calibri" w:cs="Times New Roman"/>
            <w:color w:val="auto"/>
            <w:szCs w:val="24"/>
            <w:u w:val="none"/>
          </w:rPr>
          <w:t>2021</w:t>
        </w:r>
      </w:hyperlink>
      <w:r w:rsidR="00D9007B" w:rsidRPr="00A26F07">
        <w:rPr>
          <w:rStyle w:val="Hyperlink"/>
          <w:rFonts w:eastAsia="Calibri" w:cs="Times New Roman"/>
          <w:color w:val="auto"/>
          <w:szCs w:val="24"/>
          <w:u w:val="none"/>
        </w:rPr>
        <w:t xml:space="preserve">: </w:t>
      </w:r>
      <w:hyperlink r:id="rId71" w:history="1">
        <w:r w:rsidR="00D9007B" w:rsidRPr="00D9007B">
          <w:rPr>
            <w:rStyle w:val="Hyperlink"/>
            <w:rFonts w:eastAsia="Calibri" w:cs="Times New Roman"/>
            <w:szCs w:val="24"/>
          </w:rPr>
          <w:t>Celebrating the resilience of radio</w:t>
        </w:r>
      </w:hyperlink>
    </w:p>
    <w:p w14:paraId="5F285DB1" w14:textId="7B5651DA" w:rsidR="00713AFE" w:rsidRPr="006D65EC" w:rsidRDefault="32392BFB" w:rsidP="4655CE1E">
      <w:pPr>
        <w:rPr>
          <w:rFonts w:eastAsia="SimSun" w:cs="Arial"/>
          <w:bdr w:val="none" w:sz="0" w:space="0" w:color="auto" w:frame="1"/>
        </w:rPr>
      </w:pPr>
      <w:r w:rsidRPr="30267015">
        <w:rPr>
          <w:rFonts w:eastAsia="SimSun" w:cs="Arial"/>
        </w:rPr>
        <w:t xml:space="preserve">Articles </w:t>
      </w:r>
      <w:r w:rsidR="57D4936E" w:rsidRPr="30267015">
        <w:rPr>
          <w:rFonts w:eastAsia="SimSun" w:cs="Arial"/>
        </w:rPr>
        <w:t>i</w:t>
      </w:r>
      <w:r w:rsidRPr="30267015">
        <w:rPr>
          <w:rFonts w:eastAsia="SimSun" w:cs="Arial"/>
        </w:rPr>
        <w:t>n ITU News</w:t>
      </w:r>
      <w:r w:rsidR="3B7A70AA" w:rsidRPr="30267015">
        <w:rPr>
          <w:rFonts w:eastAsia="SimSun" w:cs="Arial"/>
        </w:rPr>
        <w:t>:</w:t>
      </w:r>
    </w:p>
    <w:p w14:paraId="53AD209B" w14:textId="02E408EF" w:rsidR="00713AFE" w:rsidRPr="006D65EC" w:rsidRDefault="006C3E6C" w:rsidP="000A3EAD">
      <w:pPr>
        <w:pStyle w:val="ListParagraph"/>
        <w:numPr>
          <w:ilvl w:val="0"/>
          <w:numId w:val="4"/>
        </w:numPr>
        <w:rPr>
          <w:rStyle w:val="Hyperlink"/>
          <w:rFonts w:eastAsia="Times New Roman" w:cs="Times New Roman"/>
          <w:szCs w:val="24"/>
          <w:bdr w:val="none" w:sz="0" w:space="0" w:color="auto" w:frame="1"/>
        </w:rPr>
      </w:pPr>
      <w:hyperlink r:id="rId72" w:history="1">
        <w:r w:rsidR="32392BFB" w:rsidRPr="4655CE1E">
          <w:rPr>
            <w:rStyle w:val="Hyperlink"/>
          </w:rPr>
          <w:t>10 things you didn’t know rely on the ITU Radio Regulations - My ITU</w:t>
        </w:r>
      </w:hyperlink>
    </w:p>
    <w:p w14:paraId="27FA1514" w14:textId="4A99CA14" w:rsidR="00713AFE" w:rsidRPr="006D65EC" w:rsidRDefault="006C3E6C" w:rsidP="000A3EAD">
      <w:pPr>
        <w:pStyle w:val="ListParagraph"/>
        <w:numPr>
          <w:ilvl w:val="0"/>
          <w:numId w:val="4"/>
        </w:numPr>
        <w:rPr>
          <w:rStyle w:val="Hyperlink"/>
          <w:rFonts w:eastAsia="Times New Roman" w:cs="Times New Roman"/>
          <w:color w:val="0000FF"/>
          <w:szCs w:val="24"/>
          <w:bdr w:val="none" w:sz="0" w:space="0" w:color="auto" w:frame="1"/>
        </w:rPr>
      </w:pPr>
      <w:hyperlink r:id="rId73" w:history="1">
        <w:r w:rsidR="32392BFB" w:rsidRPr="4655CE1E">
          <w:rPr>
            <w:rStyle w:val="Hyperlink"/>
          </w:rPr>
          <w:t>ITU Radio Regulations updated - My ITU</w:t>
        </w:r>
      </w:hyperlink>
    </w:p>
    <w:p w14:paraId="0EC8982B" w14:textId="63826819" w:rsidR="00713AFE" w:rsidRPr="006D65EC" w:rsidRDefault="006C3E6C" w:rsidP="000A3EAD">
      <w:pPr>
        <w:pStyle w:val="ListParagraph"/>
        <w:numPr>
          <w:ilvl w:val="0"/>
          <w:numId w:val="4"/>
        </w:numPr>
        <w:rPr>
          <w:rStyle w:val="Hyperlink"/>
          <w:rFonts w:eastAsia="Times New Roman" w:cs="Times New Roman"/>
          <w:color w:val="0000FF"/>
          <w:szCs w:val="24"/>
          <w:bdr w:val="none" w:sz="0" w:space="0" w:color="auto" w:frame="1"/>
        </w:rPr>
      </w:pPr>
      <w:hyperlink r:id="rId74" w:history="1">
        <w:r w:rsidR="32392BFB" w:rsidRPr="4655CE1E">
          <w:rPr>
            <w:rStyle w:val="Hyperlink"/>
          </w:rPr>
          <w:t>How ITUs Radiocommunication Sector is working towards the Connect 2030 Agenda - My ITU</w:t>
        </w:r>
      </w:hyperlink>
    </w:p>
    <w:p w14:paraId="40A84E0E" w14:textId="16B6C1DB" w:rsidR="00713AFE" w:rsidRPr="006D65EC" w:rsidRDefault="006C3E6C" w:rsidP="000A3EAD">
      <w:pPr>
        <w:pStyle w:val="ListParagraph"/>
        <w:numPr>
          <w:ilvl w:val="0"/>
          <w:numId w:val="4"/>
        </w:numPr>
        <w:rPr>
          <w:rStyle w:val="Hyperlink"/>
          <w:rFonts w:eastAsia="Times New Roman" w:cs="Times New Roman"/>
          <w:color w:val="0000FF"/>
          <w:szCs w:val="24"/>
          <w:bdr w:val="none" w:sz="0" w:space="0" w:color="auto" w:frame="1"/>
        </w:rPr>
      </w:pPr>
      <w:hyperlink r:id="rId75" w:history="1">
        <w:r w:rsidR="6CE97F0E" w:rsidRPr="4655CE1E">
          <w:rPr>
            <w:rStyle w:val="Hyperlink"/>
          </w:rPr>
          <w:t>Reducing digital exclusion: Africa's roadmap towards WRC-23 - My ITU</w:t>
        </w:r>
      </w:hyperlink>
    </w:p>
    <w:p w14:paraId="1D9742BD" w14:textId="77777777" w:rsidR="00713AFE" w:rsidRPr="006D65EC" w:rsidRDefault="006C3E6C" w:rsidP="000A3EAD">
      <w:pPr>
        <w:pStyle w:val="ListParagraph"/>
        <w:numPr>
          <w:ilvl w:val="0"/>
          <w:numId w:val="4"/>
        </w:numPr>
        <w:rPr>
          <w:rStyle w:val="Hyperlink"/>
          <w:bdr w:val="none" w:sz="0" w:space="0" w:color="auto" w:frame="1"/>
        </w:rPr>
      </w:pPr>
      <w:hyperlink r:id="rId76" w:history="1">
        <w:r w:rsidR="21400F54" w:rsidRPr="7E5DBB22">
          <w:rPr>
            <w:rStyle w:val="Hyperlink"/>
          </w:rPr>
          <w:t>Amid rising sound broadcasting demand, Africa paves the road to more FM stations - My ITU</w:t>
        </w:r>
      </w:hyperlink>
    </w:p>
    <w:p w14:paraId="66154B01" w14:textId="7B25A65C" w:rsidR="00AC5354" w:rsidRPr="008E4B9F" w:rsidRDefault="008E4B9F" w:rsidP="000A3EAD">
      <w:pPr>
        <w:pStyle w:val="ListParagraph"/>
        <w:numPr>
          <w:ilvl w:val="0"/>
          <w:numId w:val="4"/>
        </w:numPr>
        <w:rPr>
          <w:rStyle w:val="Hyperlink"/>
          <w:color w:val="auto"/>
          <w:u w:val="none"/>
          <w:bdr w:val="none" w:sz="0" w:space="0" w:color="auto" w:frame="1"/>
        </w:rPr>
      </w:pPr>
      <w:r w:rsidRPr="008E4B9F">
        <w:rPr>
          <w:rStyle w:val="Hyperlink"/>
          <w:color w:val="auto"/>
          <w:u w:val="none"/>
        </w:rPr>
        <w:t xml:space="preserve">More ITU News articles by the BR Director can be found </w:t>
      </w:r>
      <w:hyperlink r:id="rId77" w:history="1">
        <w:r w:rsidRPr="008E4B9F">
          <w:rPr>
            <w:rStyle w:val="Hyperlink"/>
          </w:rPr>
          <w:t>here</w:t>
        </w:r>
      </w:hyperlink>
    </w:p>
    <w:p w14:paraId="7940947E" w14:textId="06F0C1CB" w:rsidR="4AACF807" w:rsidRPr="007A6DB8" w:rsidRDefault="4AACF807" w:rsidP="4ACB85DA">
      <w:pPr>
        <w:rPr>
          <w:rFonts w:eastAsia="SimSun" w:cs="Arial"/>
        </w:rPr>
      </w:pPr>
      <w:r w:rsidRPr="007A6DB8">
        <w:rPr>
          <w:rFonts w:eastAsia="SimSun" w:cs="Arial"/>
        </w:rPr>
        <w:t xml:space="preserve">ITU News Magazine – special </w:t>
      </w:r>
      <w:r w:rsidRPr="30267015">
        <w:rPr>
          <w:rFonts w:eastAsia="SimSun" w:cs="Arial"/>
        </w:rPr>
        <w:t>edition</w:t>
      </w:r>
      <w:r w:rsidR="5013C4F2" w:rsidRPr="30267015">
        <w:rPr>
          <w:rFonts w:eastAsia="SimSun" w:cs="Arial"/>
        </w:rPr>
        <w:t>s</w:t>
      </w:r>
      <w:r w:rsidR="4AEF99F5" w:rsidRPr="007A6DB8">
        <w:rPr>
          <w:rFonts w:eastAsia="SimSun" w:cs="Arial"/>
        </w:rPr>
        <w:t>:</w:t>
      </w:r>
    </w:p>
    <w:p w14:paraId="0933C3A0" w14:textId="786169D7" w:rsidR="4ACB85DA" w:rsidRDefault="006C3E6C" w:rsidP="000A3EAD">
      <w:pPr>
        <w:pStyle w:val="ListParagraph"/>
        <w:numPr>
          <w:ilvl w:val="0"/>
          <w:numId w:val="5"/>
        </w:numPr>
        <w:rPr>
          <w:rStyle w:val="Hyperlink"/>
          <w:color w:val="0000FF"/>
          <w:szCs w:val="24"/>
        </w:rPr>
      </w:pPr>
      <w:hyperlink r:id="rId78" w:history="1">
        <w:r w:rsidR="4AACF807" w:rsidRPr="32B84070">
          <w:rPr>
            <w:rStyle w:val="Hyperlink"/>
            <w:rFonts w:eastAsia="Times New Roman" w:cs="Times New Roman"/>
            <w:szCs w:val="24"/>
          </w:rPr>
          <w:t>ITU News Magazine - Space science for achieving the Sustainable Development Goals - My ITU</w:t>
        </w:r>
      </w:hyperlink>
    </w:p>
    <w:p w14:paraId="4EE81A0F" w14:textId="4173F19D" w:rsidR="00713AFE" w:rsidRPr="007A6DB8" w:rsidRDefault="00713AFE" w:rsidP="4655CE1E">
      <w:pPr>
        <w:rPr>
          <w:rFonts w:eastAsia="SimSun" w:cs="Arial"/>
        </w:rPr>
      </w:pPr>
      <w:r w:rsidRPr="007A6DB8">
        <w:rPr>
          <w:rFonts w:eastAsia="SimSun" w:cs="Arial"/>
        </w:rPr>
        <w:t>Other resources</w:t>
      </w:r>
      <w:r w:rsidR="6E535CF9" w:rsidRPr="007A6DB8">
        <w:rPr>
          <w:rFonts w:eastAsia="SimSun" w:cs="Arial"/>
        </w:rPr>
        <w:t xml:space="preserve"> created</w:t>
      </w:r>
      <w:r w:rsidR="00786F13">
        <w:rPr>
          <w:rFonts w:eastAsia="SimSun" w:cs="Arial"/>
        </w:rPr>
        <w:t>,</w:t>
      </w:r>
      <w:r w:rsidR="6E535CF9" w:rsidRPr="007A6DB8">
        <w:rPr>
          <w:rFonts w:eastAsia="SimSun" w:cs="Arial"/>
        </w:rPr>
        <w:t xml:space="preserve"> </w:t>
      </w:r>
      <w:r w:rsidR="59E0911E" w:rsidRPr="007A6DB8">
        <w:rPr>
          <w:rFonts w:eastAsia="SimSun" w:cs="Arial"/>
        </w:rPr>
        <w:t xml:space="preserve">maintained </w:t>
      </w:r>
      <w:r w:rsidR="00D42BF6">
        <w:rPr>
          <w:rFonts w:eastAsia="SimSun" w:cs="Arial"/>
        </w:rPr>
        <w:t xml:space="preserve">and </w:t>
      </w:r>
      <w:r w:rsidR="6E535CF9" w:rsidRPr="007A6DB8">
        <w:rPr>
          <w:rFonts w:eastAsia="SimSun" w:cs="Arial"/>
        </w:rPr>
        <w:t>updated during this period are</w:t>
      </w:r>
      <w:r w:rsidRPr="007A6DB8">
        <w:rPr>
          <w:rFonts w:eastAsia="SimSun" w:cs="Arial"/>
        </w:rPr>
        <w:t>:</w:t>
      </w:r>
    </w:p>
    <w:p w14:paraId="393CA3A4" w14:textId="77777777" w:rsidR="00713AFE" w:rsidRPr="007A6DB8" w:rsidRDefault="006C3E6C" w:rsidP="000A3EAD">
      <w:pPr>
        <w:pStyle w:val="ListParagraph"/>
        <w:numPr>
          <w:ilvl w:val="0"/>
          <w:numId w:val="4"/>
        </w:numPr>
        <w:rPr>
          <w:rStyle w:val="Hyperlink"/>
          <w:rFonts w:eastAsia="Times New Roman" w:cs="Times New Roman"/>
          <w:szCs w:val="24"/>
        </w:rPr>
      </w:pPr>
      <w:hyperlink r:id="rId79" w:history="1">
        <w:r w:rsidR="00713AFE" w:rsidRPr="007A6DB8">
          <w:rPr>
            <w:rStyle w:val="Hyperlink"/>
            <w:rFonts w:eastAsia="Times New Roman" w:cs="Times New Roman"/>
            <w:szCs w:val="24"/>
            <w:bdr w:val="none" w:sz="0" w:space="0" w:color="auto" w:frame="1"/>
          </w:rPr>
          <w:t>Free online access to ITU-R Publications, Software and Databases</w:t>
        </w:r>
      </w:hyperlink>
    </w:p>
    <w:p w14:paraId="0A2F2FBA" w14:textId="317EE6B8" w:rsidR="6BDF7E61" w:rsidRPr="007A6DB8" w:rsidRDefault="006C3E6C" w:rsidP="000A3EAD">
      <w:pPr>
        <w:pStyle w:val="ListParagraph"/>
        <w:numPr>
          <w:ilvl w:val="0"/>
          <w:numId w:val="4"/>
        </w:numPr>
        <w:rPr>
          <w:rFonts w:eastAsia="Times New Roman" w:cs="Times New Roman"/>
          <w:color w:val="0000FF"/>
          <w:szCs w:val="24"/>
        </w:rPr>
      </w:pPr>
      <w:hyperlink r:id="rId80" w:history="1">
        <w:r w:rsidR="6BDF7E61" w:rsidRPr="007A6DB8">
          <w:rPr>
            <w:rStyle w:val="Hyperlink"/>
            <w:rFonts w:eastAsia="Arial" w:cs="Times New Roman"/>
            <w:szCs w:val="24"/>
          </w:rPr>
          <w:t xml:space="preserve">Artificial Intelligence (AI) making radiocommunications smarter </w:t>
        </w:r>
      </w:hyperlink>
    </w:p>
    <w:p w14:paraId="6C52CAE2" w14:textId="439E4187" w:rsidR="6BDF7E61" w:rsidRPr="007A6DB8" w:rsidRDefault="006C3E6C" w:rsidP="000A3EAD">
      <w:pPr>
        <w:pStyle w:val="ListParagraph"/>
        <w:numPr>
          <w:ilvl w:val="0"/>
          <w:numId w:val="4"/>
        </w:numPr>
        <w:rPr>
          <w:rStyle w:val="Hyperlink"/>
          <w:rFonts w:cs="Times New Roman"/>
          <w:color w:val="0000FF"/>
          <w:szCs w:val="24"/>
        </w:rPr>
      </w:pPr>
      <w:hyperlink r:id="rId81" w:history="1">
        <w:r w:rsidR="6BDF7E61" w:rsidRPr="007A6DB8">
          <w:rPr>
            <w:rStyle w:val="Hyperlink"/>
            <w:rFonts w:eastAsia="Arial" w:cs="Times New Roman"/>
            <w:szCs w:val="24"/>
          </w:rPr>
          <w:t>ITU global standard for international mobile telecommunications ´IMT for 2020 and beyond´</w:t>
        </w:r>
      </w:hyperlink>
    </w:p>
    <w:p w14:paraId="515C5F69" w14:textId="06749FEF" w:rsidR="6BDF7E61" w:rsidRPr="007A6DB8" w:rsidRDefault="006C3E6C" w:rsidP="000A3EAD">
      <w:pPr>
        <w:pStyle w:val="ListParagraph"/>
        <w:numPr>
          <w:ilvl w:val="0"/>
          <w:numId w:val="4"/>
        </w:numPr>
        <w:rPr>
          <w:rStyle w:val="Hyperlink"/>
          <w:rFonts w:cs="Times New Roman"/>
          <w:color w:val="0000FF"/>
          <w:szCs w:val="24"/>
        </w:rPr>
      </w:pPr>
      <w:hyperlink r:id="rId82" w:history="1">
        <w:r w:rsidR="6BDF7E61" w:rsidRPr="007A6DB8">
          <w:rPr>
            <w:rStyle w:val="Hyperlink"/>
            <w:rFonts w:eastAsia="Arial" w:cs="Times New Roman"/>
            <w:szCs w:val="24"/>
          </w:rPr>
          <w:t xml:space="preserve">Radiocommunications and Climate Change </w:t>
        </w:r>
      </w:hyperlink>
    </w:p>
    <w:p w14:paraId="08FBDE35" w14:textId="1A0BDA35" w:rsidR="6BDF7E61" w:rsidRPr="007A6DB8" w:rsidRDefault="006C3E6C" w:rsidP="000A3EAD">
      <w:pPr>
        <w:pStyle w:val="ListParagraph"/>
        <w:numPr>
          <w:ilvl w:val="0"/>
          <w:numId w:val="4"/>
        </w:numPr>
        <w:rPr>
          <w:rStyle w:val="Hyperlink"/>
          <w:rFonts w:cs="Times New Roman"/>
          <w:color w:val="0000FF"/>
          <w:szCs w:val="24"/>
        </w:rPr>
      </w:pPr>
      <w:hyperlink r:id="rId83" w:history="1">
        <w:r w:rsidR="6BDF7E61" w:rsidRPr="007A6DB8">
          <w:rPr>
            <w:rStyle w:val="Hyperlink"/>
            <w:rFonts w:eastAsia="Arial" w:cs="Times New Roman"/>
            <w:szCs w:val="24"/>
          </w:rPr>
          <w:t>Emergency Radiocommunications</w:t>
        </w:r>
      </w:hyperlink>
    </w:p>
    <w:p w14:paraId="5FE5A5FE" w14:textId="528907FD" w:rsidR="6BDF7E61" w:rsidRDefault="006C3E6C" w:rsidP="000A3EAD">
      <w:pPr>
        <w:pStyle w:val="ListParagraph"/>
        <w:numPr>
          <w:ilvl w:val="0"/>
          <w:numId w:val="4"/>
        </w:numPr>
        <w:rPr>
          <w:rStyle w:val="Hyperlink"/>
          <w:color w:val="0000FF"/>
          <w:szCs w:val="24"/>
        </w:rPr>
      </w:pPr>
      <w:hyperlink r:id="rId84" w:history="1">
        <w:r w:rsidR="6BDF7E61" w:rsidRPr="007A6DB8">
          <w:rPr>
            <w:rStyle w:val="Hyperlink"/>
            <w:rFonts w:eastAsia="Arial" w:cs="Times New Roman"/>
            <w:szCs w:val="24"/>
          </w:rPr>
          <w:t>ITU-R Sector contribution to Bridging the Digital Disabilities Divide</w:t>
        </w:r>
      </w:hyperlink>
    </w:p>
    <w:p w14:paraId="665E9D86" w14:textId="5A9A6FF8" w:rsidR="00713AFE" w:rsidRPr="006D65EC" w:rsidRDefault="00713AFE" w:rsidP="007A6DB8">
      <w:pPr>
        <w:pStyle w:val="Heading4"/>
        <w:spacing w:line="259" w:lineRule="auto"/>
      </w:pPr>
      <w:r>
        <w:t>8.6.2.3</w:t>
      </w:r>
      <w:r>
        <w:tab/>
        <w:t>Branding communications</w:t>
      </w:r>
      <w:r w:rsidR="5A8E774F">
        <w:t>, Sales</w:t>
      </w:r>
      <w:r w:rsidR="36206CCA">
        <w:t xml:space="preserve"> and</w:t>
      </w:r>
      <w:r w:rsidR="3ED0535E">
        <w:t xml:space="preserve"> Marketing</w:t>
      </w:r>
    </w:p>
    <w:p w14:paraId="685F2E3B" w14:textId="7E801BF5" w:rsidR="00713AFE" w:rsidRPr="006D65EC" w:rsidRDefault="47DEE645" w:rsidP="00AC3823">
      <w:pPr>
        <w:jc w:val="both"/>
        <w:rPr>
          <w:rStyle w:val="Hyperlink"/>
          <w:szCs w:val="24"/>
        </w:rPr>
      </w:pPr>
      <w:r w:rsidRPr="7E5DBB22">
        <w:rPr>
          <w:rFonts w:eastAsia="SimSun"/>
        </w:rPr>
        <w:t>The br</w:t>
      </w:r>
      <w:r w:rsidR="3D6AE407" w:rsidRPr="7E5DBB22">
        <w:rPr>
          <w:rFonts w:eastAsia="SimSun"/>
        </w:rPr>
        <w:t>anding</w:t>
      </w:r>
      <w:r w:rsidR="02230505" w:rsidRPr="7E5DBB22">
        <w:rPr>
          <w:rFonts w:eastAsia="SimSun"/>
        </w:rPr>
        <w:t xml:space="preserve"> and </w:t>
      </w:r>
      <w:r w:rsidR="0EDAC855" w:rsidRPr="7E5DBB22">
        <w:rPr>
          <w:rFonts w:eastAsia="SimSun"/>
        </w:rPr>
        <w:t>communication</w:t>
      </w:r>
      <w:r w:rsidR="02230505" w:rsidRPr="7E5DBB22">
        <w:rPr>
          <w:rFonts w:eastAsia="SimSun"/>
        </w:rPr>
        <w:t xml:space="preserve"> activities </w:t>
      </w:r>
      <w:r w:rsidR="3D6AE407" w:rsidRPr="7E5DBB22">
        <w:rPr>
          <w:rFonts w:eastAsia="SimSun"/>
        </w:rPr>
        <w:t xml:space="preserve">carried out during 2020 </w:t>
      </w:r>
      <w:proofErr w:type="spellStart"/>
      <w:r w:rsidR="3D6AE407" w:rsidRPr="7E5DBB22">
        <w:rPr>
          <w:rFonts w:eastAsia="SimSun"/>
        </w:rPr>
        <w:t>centered</w:t>
      </w:r>
      <w:proofErr w:type="spellEnd"/>
      <w:r w:rsidR="3D6AE407" w:rsidRPr="7E5DBB22">
        <w:rPr>
          <w:rFonts w:eastAsia="SimSun"/>
        </w:rPr>
        <w:t xml:space="preserve"> around </w:t>
      </w:r>
      <w:r w:rsidR="1CA9DD5A" w:rsidRPr="7E5DBB22">
        <w:rPr>
          <w:rFonts w:eastAsia="SimSun"/>
        </w:rPr>
        <w:t xml:space="preserve">using the new </w:t>
      </w:r>
      <w:proofErr w:type="spellStart"/>
      <w:r w:rsidR="1CA9DD5A" w:rsidRPr="7E5DBB22">
        <w:rPr>
          <w:rFonts w:eastAsia="SimSun"/>
        </w:rPr>
        <w:t>MyITU</w:t>
      </w:r>
      <w:proofErr w:type="spellEnd"/>
      <w:r w:rsidR="1CA9DD5A" w:rsidRPr="7E5DBB22">
        <w:rPr>
          <w:rFonts w:eastAsia="SimSun"/>
        </w:rPr>
        <w:t xml:space="preserve"> platform in colla</w:t>
      </w:r>
      <w:r w:rsidR="1D3B520D" w:rsidRPr="7E5DBB22">
        <w:rPr>
          <w:rFonts w:eastAsia="SimSun"/>
        </w:rPr>
        <w:t>bo</w:t>
      </w:r>
      <w:r w:rsidR="1CA9DD5A" w:rsidRPr="7E5DBB22">
        <w:rPr>
          <w:rFonts w:eastAsia="SimSun"/>
        </w:rPr>
        <w:t>ration with Sales and Marketin</w:t>
      </w:r>
      <w:r w:rsidR="09199F6A" w:rsidRPr="7E5DBB22">
        <w:rPr>
          <w:rFonts w:eastAsia="SimSun"/>
        </w:rPr>
        <w:t xml:space="preserve">g to promote the </w:t>
      </w:r>
      <w:r w:rsidR="3D6AE407" w:rsidRPr="7E5DBB22">
        <w:rPr>
          <w:rFonts w:eastAsia="SimSun"/>
        </w:rPr>
        <w:t>following ITU-R Publications:</w:t>
      </w:r>
    </w:p>
    <w:p w14:paraId="03D299E5" w14:textId="3E276503" w:rsidR="00713AFE" w:rsidRPr="006D65EC" w:rsidRDefault="006C3E6C" w:rsidP="000A3EAD">
      <w:pPr>
        <w:pStyle w:val="ListParagraph"/>
        <w:numPr>
          <w:ilvl w:val="0"/>
          <w:numId w:val="6"/>
        </w:numPr>
        <w:rPr>
          <w:rStyle w:val="Hyperlink"/>
          <w:color w:val="0000FF"/>
          <w:szCs w:val="24"/>
        </w:rPr>
      </w:pPr>
      <w:hyperlink r:id="rId85" w:history="1">
        <w:r w:rsidR="3EEACE5A" w:rsidRPr="4655CE1E">
          <w:rPr>
            <w:rStyle w:val="Hyperlink"/>
            <w:rFonts w:eastAsia="Times New Roman" w:cs="Times New Roman"/>
            <w:szCs w:val="24"/>
            <w:lang w:val="en-GB"/>
          </w:rPr>
          <w:t>Final Acts of WRC-19 - My ITU</w:t>
        </w:r>
      </w:hyperlink>
    </w:p>
    <w:p w14:paraId="28271CD5" w14:textId="4CAB4193" w:rsidR="00713AFE" w:rsidRPr="006D65EC" w:rsidRDefault="006C3E6C" w:rsidP="000A3EAD">
      <w:pPr>
        <w:pStyle w:val="ListParagraph"/>
        <w:numPr>
          <w:ilvl w:val="0"/>
          <w:numId w:val="6"/>
        </w:numPr>
        <w:rPr>
          <w:rStyle w:val="Hyperlink"/>
          <w:color w:val="0000FF"/>
          <w:szCs w:val="24"/>
        </w:rPr>
      </w:pPr>
      <w:hyperlink r:id="rId86" w:history="1">
        <w:r w:rsidR="3EEACE5A" w:rsidRPr="4655CE1E">
          <w:rPr>
            <w:rStyle w:val="Hyperlink"/>
            <w:rFonts w:eastAsia="Times New Roman" w:cs="Times New Roman"/>
            <w:szCs w:val="24"/>
            <w:lang w:val="en-GB"/>
          </w:rPr>
          <w:t>Radio Regulations 2020 - My ITU</w:t>
        </w:r>
      </w:hyperlink>
    </w:p>
    <w:p w14:paraId="2E24C9C8" w14:textId="29CEE490" w:rsidR="00713AFE" w:rsidRPr="006D65EC" w:rsidRDefault="006C3E6C" w:rsidP="000A3EAD">
      <w:pPr>
        <w:pStyle w:val="ListParagraph"/>
        <w:numPr>
          <w:ilvl w:val="0"/>
          <w:numId w:val="6"/>
        </w:numPr>
        <w:rPr>
          <w:rStyle w:val="Hyperlink"/>
          <w:color w:val="0000FF"/>
          <w:szCs w:val="24"/>
        </w:rPr>
      </w:pPr>
      <w:hyperlink r:id="rId87" w:history="1">
        <w:r w:rsidR="6822BC86" w:rsidRPr="4655CE1E">
          <w:rPr>
            <w:rStyle w:val="Hyperlink"/>
            <w:rFonts w:eastAsia="Times New Roman" w:cs="Times New Roman"/>
            <w:szCs w:val="24"/>
            <w:lang w:val="en-GB"/>
          </w:rPr>
          <w:t>Maritime Manual 2020 - My ITU</w:t>
        </w:r>
      </w:hyperlink>
    </w:p>
    <w:p w14:paraId="7720ADB1" w14:textId="5005E32E" w:rsidR="00713AFE" w:rsidRPr="006D65EC" w:rsidRDefault="006C3E6C" w:rsidP="000A3EAD">
      <w:pPr>
        <w:pStyle w:val="ListParagraph"/>
        <w:numPr>
          <w:ilvl w:val="0"/>
          <w:numId w:val="6"/>
        </w:numPr>
        <w:rPr>
          <w:color w:val="0000FF"/>
          <w:szCs w:val="24"/>
        </w:rPr>
      </w:pPr>
      <w:hyperlink r:id="rId88" w:history="1">
        <w:r w:rsidR="77291D27" w:rsidRPr="4655CE1E">
          <w:rPr>
            <w:rStyle w:val="Hyperlink"/>
            <w:rFonts w:eastAsia="Times New Roman" w:cs="Times New Roman"/>
            <w:szCs w:val="24"/>
            <w:lang w:val="en-GB"/>
          </w:rPr>
          <w:t>The RR5 Software - My ITU</w:t>
        </w:r>
      </w:hyperlink>
    </w:p>
    <w:p w14:paraId="2AE7AFA9" w14:textId="77777777" w:rsidR="00503766" w:rsidRPr="00503766" w:rsidRDefault="006C3E6C" w:rsidP="000A3EAD">
      <w:pPr>
        <w:pStyle w:val="ListParagraph"/>
        <w:numPr>
          <w:ilvl w:val="0"/>
          <w:numId w:val="6"/>
        </w:numPr>
        <w:rPr>
          <w:color w:val="0000FF"/>
          <w:szCs w:val="24"/>
        </w:rPr>
      </w:pPr>
      <w:hyperlink r:id="rId89" w:history="1">
        <w:r w:rsidR="77291D27" w:rsidRPr="4655CE1E">
          <w:rPr>
            <w:rStyle w:val="Hyperlink"/>
            <w:rFonts w:eastAsia="Times New Roman" w:cs="Times New Roman"/>
            <w:szCs w:val="24"/>
            <w:lang w:val="en-GB"/>
          </w:rPr>
          <w:t>List V - List of Ship Stations and Maritime Mobile Service Identity Assignments 2020 - My ITU</w:t>
        </w:r>
      </w:hyperlink>
    </w:p>
    <w:p w14:paraId="370D95F2" w14:textId="77777777" w:rsidR="00713AFE" w:rsidRPr="00E057F1" w:rsidRDefault="00713AFE" w:rsidP="00713AFE">
      <w:pPr>
        <w:pStyle w:val="Heading4"/>
      </w:pPr>
      <w:r>
        <w:t>8.6.2.4</w:t>
      </w:r>
      <w:r>
        <w:tab/>
      </w:r>
      <w:r w:rsidRPr="00050FC8">
        <w:t xml:space="preserve">Exhibitions and </w:t>
      </w:r>
      <w:r>
        <w:t>d</w:t>
      </w:r>
      <w:r w:rsidRPr="00050FC8">
        <w:t>emos</w:t>
      </w:r>
    </w:p>
    <w:p w14:paraId="299687D8" w14:textId="1DFBA60B" w:rsidR="00713AFE" w:rsidRPr="007A6DB8" w:rsidRDefault="66EB466D" w:rsidP="00AC3823">
      <w:pPr>
        <w:jc w:val="both"/>
        <w:rPr>
          <w:rFonts w:eastAsia="SimSun"/>
          <w:bCs/>
        </w:rPr>
      </w:pPr>
      <w:r w:rsidRPr="007A6DB8">
        <w:rPr>
          <w:rFonts w:asciiTheme="majorBidi" w:hAnsiTheme="majorBidi" w:cstheme="majorBidi"/>
          <w:bCs/>
          <w:lang w:val="en-US"/>
        </w:rPr>
        <w:t xml:space="preserve">Due to the global health crisis and resulting </w:t>
      </w:r>
      <w:r w:rsidR="0B06E134" w:rsidRPr="007A6DB8">
        <w:rPr>
          <w:rFonts w:asciiTheme="majorBidi" w:hAnsiTheme="majorBidi" w:cstheme="majorBidi"/>
          <w:bCs/>
          <w:lang w:val="en-US"/>
        </w:rPr>
        <w:t xml:space="preserve">global </w:t>
      </w:r>
      <w:r w:rsidRPr="007A6DB8">
        <w:rPr>
          <w:rFonts w:asciiTheme="majorBidi" w:hAnsiTheme="majorBidi" w:cstheme="majorBidi"/>
          <w:bCs/>
          <w:lang w:val="en-US"/>
        </w:rPr>
        <w:t>tra</w:t>
      </w:r>
      <w:r w:rsidR="3346DB72" w:rsidRPr="007A6DB8">
        <w:rPr>
          <w:rFonts w:asciiTheme="majorBidi" w:hAnsiTheme="majorBidi" w:cstheme="majorBidi"/>
          <w:bCs/>
          <w:lang w:val="en-US"/>
        </w:rPr>
        <w:t>vel restrictions</w:t>
      </w:r>
      <w:r w:rsidR="5A84A81A" w:rsidRPr="007A6DB8">
        <w:rPr>
          <w:rFonts w:asciiTheme="majorBidi" w:hAnsiTheme="majorBidi" w:cstheme="majorBidi"/>
          <w:bCs/>
          <w:lang w:val="en-US"/>
        </w:rPr>
        <w:t>,</w:t>
      </w:r>
      <w:r w:rsidR="3346DB72" w:rsidRPr="007A6DB8">
        <w:rPr>
          <w:rFonts w:asciiTheme="majorBidi" w:hAnsiTheme="majorBidi" w:cstheme="majorBidi"/>
          <w:bCs/>
          <w:lang w:val="en-US"/>
        </w:rPr>
        <w:t xml:space="preserve"> </w:t>
      </w:r>
      <w:r w:rsidRPr="007A6DB8">
        <w:rPr>
          <w:rFonts w:asciiTheme="majorBidi" w:hAnsiTheme="majorBidi" w:cstheme="majorBidi"/>
          <w:bCs/>
          <w:lang w:val="en-US"/>
        </w:rPr>
        <w:t xml:space="preserve">there were no exhibitions and demos organized during this period. </w:t>
      </w:r>
    </w:p>
    <w:p w14:paraId="76118724" w14:textId="2FA0DFE1" w:rsidR="4655CE1E" w:rsidRDefault="0F37FDB9" w:rsidP="69522F33">
      <w:pPr>
        <w:pStyle w:val="Heading4"/>
      </w:pPr>
      <w:r>
        <w:t>8.</w:t>
      </w:r>
      <w:r w:rsidR="00EF0FF8">
        <w:t>7</w:t>
      </w:r>
      <w:r w:rsidR="4655CE1E">
        <w:tab/>
      </w:r>
      <w:r>
        <w:t xml:space="preserve"> Gender Equity</w:t>
      </w:r>
    </w:p>
    <w:p w14:paraId="528AB4DE" w14:textId="45E127E8" w:rsidR="4655CE1E" w:rsidRPr="007A6DB8" w:rsidRDefault="3AB9EA97" w:rsidP="009B2FD3">
      <w:pPr>
        <w:jc w:val="both"/>
        <w:rPr>
          <w:rFonts w:asciiTheme="majorBidi" w:hAnsiTheme="majorBidi" w:cstheme="majorBidi"/>
          <w:bCs/>
          <w:lang w:val="en-US"/>
        </w:rPr>
      </w:pPr>
      <w:r w:rsidRPr="007A6DB8">
        <w:rPr>
          <w:rFonts w:asciiTheme="majorBidi" w:hAnsiTheme="majorBidi" w:cstheme="majorBidi"/>
          <w:bCs/>
          <w:lang w:val="en-US"/>
        </w:rPr>
        <w:t xml:space="preserve">Promoting gender equality in all spheres of today’s digital society has never been more crucial as the world embarks on the Decade of Action to achieve the 2030 Agenda for Sustainable Development. Digital technologies are crucial to the attainment of all the 17 Sustainable Development Goals and increasing the share of women with access to and using digital technologies to better their lives - and by extension improve the lives of their families and society is a development challenge we all have a stake in.  </w:t>
      </w:r>
    </w:p>
    <w:p w14:paraId="56FDFE30" w14:textId="77777777" w:rsidR="00600410" w:rsidRDefault="3AB9EA97" w:rsidP="009B2FD3">
      <w:pPr>
        <w:jc w:val="both"/>
        <w:rPr>
          <w:rFonts w:asciiTheme="majorBidi" w:hAnsiTheme="majorBidi" w:cstheme="majorBidi"/>
          <w:bCs/>
          <w:lang w:val="en-US"/>
        </w:rPr>
      </w:pPr>
      <w:r w:rsidRPr="007A6DB8">
        <w:rPr>
          <w:rFonts w:asciiTheme="majorBidi" w:hAnsiTheme="majorBidi" w:cstheme="majorBidi"/>
          <w:bCs/>
          <w:lang w:val="en-US"/>
        </w:rPr>
        <w:t>The following activities were set up in 2020:</w:t>
      </w:r>
    </w:p>
    <w:p w14:paraId="02708889" w14:textId="539F91DD" w:rsidR="4655CE1E" w:rsidRPr="007A6DB8" w:rsidRDefault="00EF0FF8" w:rsidP="00EF0FF8">
      <w:pPr>
        <w:pStyle w:val="Heading3"/>
        <w:rPr>
          <w:rFonts w:eastAsia="Calibri"/>
          <w:b w:val="0"/>
          <w:bCs/>
          <w:szCs w:val="24"/>
        </w:rPr>
      </w:pPr>
      <w:r>
        <w:rPr>
          <w:rFonts w:asciiTheme="majorBidi" w:hAnsiTheme="majorBidi" w:cstheme="majorBidi"/>
          <w:lang w:val="en-US"/>
        </w:rPr>
        <w:t>8.7.1</w:t>
      </w:r>
      <w:r>
        <w:rPr>
          <w:rFonts w:asciiTheme="majorBidi" w:hAnsiTheme="majorBidi" w:cstheme="majorBidi"/>
          <w:lang w:val="en-US"/>
        </w:rPr>
        <w:tab/>
      </w:r>
      <w:r w:rsidR="3AB9EA97" w:rsidRPr="007A6DB8">
        <w:rPr>
          <w:rFonts w:eastAsia="Calibri"/>
        </w:rPr>
        <w:t xml:space="preserve">RAG Correspondence Group on Gender </w:t>
      </w:r>
    </w:p>
    <w:p w14:paraId="6BDB4A11" w14:textId="2A2FF553" w:rsidR="4655CE1E" w:rsidRDefault="3AB9EA97" w:rsidP="00EF0FF8">
      <w:pPr>
        <w:jc w:val="both"/>
        <w:rPr>
          <w:rFonts w:eastAsia="Calibri"/>
          <w:szCs w:val="24"/>
        </w:rPr>
      </w:pPr>
      <w:r w:rsidRPr="007A6DB8">
        <w:rPr>
          <w:rFonts w:eastAsia="Calibri"/>
          <w:szCs w:val="24"/>
        </w:rPr>
        <w:t xml:space="preserve">At the last WRC-19, the ITU Member states unanimously adopted a declaration that promotes gender equality, equity and parity in the work of the ITU Radiocommunication Sector. As a follow-up for </w:t>
      </w:r>
      <w:r w:rsidRPr="007A6DB8">
        <w:rPr>
          <w:rFonts w:eastAsia="Calibri"/>
          <w:szCs w:val="24"/>
        </w:rPr>
        <w:lastRenderedPageBreak/>
        <w:t xml:space="preserve">the implementation of the WRC-19 Gender Declaration, the </w:t>
      </w:r>
      <w:r w:rsidRPr="007A6DB8">
        <w:rPr>
          <w:rFonts w:eastAsia="Calibri"/>
          <w:b/>
          <w:bCs/>
          <w:szCs w:val="24"/>
        </w:rPr>
        <w:t>Radiocommunication Advisory Group (RAG)</w:t>
      </w:r>
      <w:r w:rsidRPr="007A6DB8">
        <w:rPr>
          <w:rFonts w:eastAsia="Calibri"/>
          <w:szCs w:val="24"/>
        </w:rPr>
        <w:t xml:space="preserve"> - which among others reviews the priorities and strategies adopted in the Radiocommunication Sector - established a </w:t>
      </w:r>
      <w:r w:rsidRPr="007A6DB8">
        <w:rPr>
          <w:rFonts w:eastAsia="Calibri"/>
          <w:b/>
          <w:bCs/>
          <w:szCs w:val="24"/>
        </w:rPr>
        <w:t>Correspondence Group on Gender</w:t>
      </w:r>
      <w:r w:rsidRPr="007A6DB8">
        <w:rPr>
          <w:rFonts w:eastAsia="Calibri"/>
          <w:szCs w:val="24"/>
        </w:rPr>
        <w:t xml:space="preserve"> to consider an appropriate course of action to initiate and implement the provisions of the WRC-19 Gender Declaration</w:t>
      </w:r>
      <w:r w:rsidRPr="007A6DB8" w:rsidDel="00EC7512">
        <w:rPr>
          <w:rFonts w:eastAsia="Calibri"/>
          <w:szCs w:val="24"/>
        </w:rPr>
        <w:t xml:space="preserve"> </w:t>
      </w:r>
      <w:r w:rsidR="00C51A09">
        <w:rPr>
          <w:rFonts w:eastAsia="Calibri"/>
          <w:szCs w:val="24"/>
        </w:rPr>
        <w:t>before</w:t>
      </w:r>
      <w:r w:rsidRPr="007A6DB8">
        <w:rPr>
          <w:rFonts w:eastAsia="Calibri"/>
          <w:szCs w:val="24"/>
        </w:rPr>
        <w:t xml:space="preserve"> the next Radiocommunication Assembly (RA-23). </w:t>
      </w:r>
    </w:p>
    <w:p w14:paraId="3BED2EB1" w14:textId="77777777" w:rsidR="00600410" w:rsidRPr="007A6DB8" w:rsidRDefault="00600410" w:rsidP="00600410">
      <w:pPr>
        <w:spacing w:before="0"/>
        <w:jc w:val="both"/>
        <w:rPr>
          <w:rFonts w:eastAsia="Calibri"/>
          <w:szCs w:val="24"/>
        </w:rPr>
      </w:pPr>
    </w:p>
    <w:p w14:paraId="1E6485EC" w14:textId="5874B458" w:rsidR="4655CE1E" w:rsidRDefault="3AB9EA97" w:rsidP="00600410">
      <w:pPr>
        <w:spacing w:before="0"/>
        <w:jc w:val="both"/>
        <w:rPr>
          <w:rFonts w:eastAsia="Calibri"/>
          <w:szCs w:val="24"/>
        </w:rPr>
      </w:pPr>
      <w:r w:rsidRPr="007A6DB8">
        <w:rPr>
          <w:rFonts w:eastAsia="Calibri"/>
          <w:szCs w:val="24"/>
        </w:rPr>
        <w:t xml:space="preserve">The meeting endorsed the appointment of Mrs. Lucia Luisa La Franceschina of Italy as the Chairman of the Correspondence Group and Mrs. </w:t>
      </w:r>
      <w:proofErr w:type="spellStart"/>
      <w:r w:rsidRPr="007A6DB8">
        <w:rPr>
          <w:rFonts w:eastAsia="Calibri"/>
          <w:szCs w:val="24"/>
        </w:rPr>
        <w:t>Olfa</w:t>
      </w:r>
      <w:proofErr w:type="spellEnd"/>
      <w:r w:rsidRPr="007A6DB8">
        <w:rPr>
          <w:rFonts w:eastAsia="Calibri"/>
          <w:szCs w:val="24"/>
        </w:rPr>
        <w:t xml:space="preserve"> </w:t>
      </w:r>
      <w:proofErr w:type="spellStart"/>
      <w:r w:rsidRPr="007A6DB8">
        <w:rPr>
          <w:rFonts w:eastAsia="Calibri"/>
          <w:szCs w:val="24"/>
        </w:rPr>
        <w:t>Jammeli</w:t>
      </w:r>
      <w:proofErr w:type="spellEnd"/>
      <w:r w:rsidRPr="007A6DB8">
        <w:rPr>
          <w:rFonts w:eastAsia="Calibri"/>
          <w:szCs w:val="24"/>
        </w:rPr>
        <w:t xml:space="preserve"> of Tunisia as its Vice Chairman. Under their leadership, the Correspondence Group will also provide guidance and encouragement toward the equitable selection of chairmen, vice chairmen</w:t>
      </w:r>
      <w:r w:rsidR="0035149C">
        <w:rPr>
          <w:rFonts w:eastAsia="Calibri"/>
          <w:szCs w:val="24"/>
        </w:rPr>
        <w:t>,</w:t>
      </w:r>
      <w:r w:rsidRPr="007A6DB8">
        <w:rPr>
          <w:rFonts w:eastAsia="Calibri"/>
          <w:szCs w:val="24"/>
        </w:rPr>
        <w:t xml:space="preserve"> and rapporteurs in the work of the ITU-R Study Groups and their Working Parties or other subgroups, the Conference Preparatory Meeting (CPM), and in the work of the Radiocommunication Advisory Group itself.   </w:t>
      </w:r>
    </w:p>
    <w:p w14:paraId="14497885" w14:textId="77777777" w:rsidR="00600410" w:rsidRPr="007A6DB8" w:rsidRDefault="00600410" w:rsidP="00600410">
      <w:pPr>
        <w:spacing w:before="0"/>
        <w:jc w:val="both"/>
        <w:rPr>
          <w:rFonts w:eastAsia="Calibri"/>
          <w:szCs w:val="24"/>
        </w:rPr>
      </w:pPr>
    </w:p>
    <w:p w14:paraId="5862CB47" w14:textId="3A5FFF0E" w:rsidR="4655CE1E" w:rsidRPr="007A6DB8" w:rsidRDefault="3AB9EA97" w:rsidP="00600410">
      <w:pPr>
        <w:spacing w:before="0"/>
        <w:jc w:val="both"/>
        <w:rPr>
          <w:rFonts w:eastAsia="Calibri"/>
          <w:szCs w:val="24"/>
        </w:rPr>
      </w:pPr>
      <w:r w:rsidRPr="007A6DB8">
        <w:rPr>
          <w:rFonts w:eastAsia="Calibri"/>
          <w:szCs w:val="24"/>
        </w:rPr>
        <w:t xml:space="preserve">ITU-R Member States and Sector Members are encouraged to actively participate in the work of the RAG Correspondence Group on Gender by registering through the dedicated website available </w:t>
      </w:r>
      <w:hyperlink r:id="rId90" w:history="1">
        <w:r w:rsidRPr="007A6DB8">
          <w:rPr>
            <w:rStyle w:val="Hyperlink"/>
            <w:rFonts w:eastAsia="Calibri"/>
            <w:szCs w:val="24"/>
          </w:rPr>
          <w:t>here</w:t>
        </w:r>
      </w:hyperlink>
      <w:r w:rsidRPr="007A6DB8">
        <w:rPr>
          <w:rFonts w:eastAsia="Calibri"/>
          <w:szCs w:val="24"/>
        </w:rPr>
        <w:t xml:space="preserve">. </w:t>
      </w:r>
    </w:p>
    <w:p w14:paraId="4A5E0DD5" w14:textId="4E1B8AC4" w:rsidR="4655CE1E" w:rsidRPr="007A6DB8" w:rsidRDefault="4655CE1E" w:rsidP="00600410">
      <w:pPr>
        <w:spacing w:before="0"/>
        <w:jc w:val="both"/>
        <w:rPr>
          <w:szCs w:val="24"/>
        </w:rPr>
      </w:pPr>
    </w:p>
    <w:p w14:paraId="38B2914B" w14:textId="7FF2EFDD" w:rsidR="4655CE1E" w:rsidRPr="007A6DB8" w:rsidRDefault="00EF0FF8" w:rsidP="00EF0FF8">
      <w:pPr>
        <w:pStyle w:val="Heading3"/>
        <w:rPr>
          <w:rFonts w:eastAsia="Calibri"/>
          <w:b w:val="0"/>
          <w:bCs/>
          <w:szCs w:val="24"/>
        </w:rPr>
      </w:pPr>
      <w:r>
        <w:rPr>
          <w:rFonts w:asciiTheme="majorBidi" w:hAnsiTheme="majorBidi" w:cstheme="majorBidi"/>
          <w:lang w:val="en-US"/>
        </w:rPr>
        <w:t>8.7.2</w:t>
      </w:r>
      <w:r>
        <w:rPr>
          <w:rFonts w:asciiTheme="majorBidi" w:hAnsiTheme="majorBidi" w:cstheme="majorBidi"/>
          <w:lang w:val="en-US"/>
        </w:rPr>
        <w:tab/>
      </w:r>
      <w:r w:rsidR="3AB9EA97" w:rsidRPr="00EF0FF8">
        <w:rPr>
          <w:rFonts w:asciiTheme="majorBidi" w:eastAsia="Calibri" w:hAnsiTheme="majorBidi" w:cstheme="majorBidi"/>
          <w:lang w:val="en-US"/>
        </w:rPr>
        <w:t>Network of Women for WRC-23 (#NOW4WRC23)</w:t>
      </w:r>
      <w:r w:rsidR="3AB9EA97" w:rsidRPr="007A6DB8">
        <w:rPr>
          <w:rFonts w:eastAsia="Calibri"/>
          <w:szCs w:val="24"/>
        </w:rPr>
        <w:t xml:space="preserve"> </w:t>
      </w:r>
    </w:p>
    <w:p w14:paraId="19186AE6" w14:textId="5BFF61C2" w:rsidR="4655CE1E" w:rsidRDefault="3AB9EA97" w:rsidP="00EF0FF8">
      <w:pPr>
        <w:jc w:val="both"/>
        <w:rPr>
          <w:rFonts w:eastAsia="Calibri"/>
          <w:szCs w:val="24"/>
        </w:rPr>
      </w:pPr>
      <w:r w:rsidRPr="007A6DB8">
        <w:rPr>
          <w:rFonts w:eastAsia="Calibri"/>
          <w:szCs w:val="24"/>
        </w:rPr>
        <w:t>Prior to</w:t>
      </w:r>
      <w:r w:rsidR="00407A9C">
        <w:rPr>
          <w:rFonts w:eastAsia="Calibri"/>
          <w:szCs w:val="24"/>
        </w:rPr>
        <w:t xml:space="preserve"> the</w:t>
      </w:r>
      <w:r w:rsidRPr="007A6DB8">
        <w:rPr>
          <w:rFonts w:eastAsia="Calibri"/>
          <w:szCs w:val="24"/>
        </w:rPr>
        <w:t xml:space="preserve"> WRC</w:t>
      </w:r>
      <w:r w:rsidR="00D917E3">
        <w:rPr>
          <w:rFonts w:eastAsia="Calibri"/>
          <w:szCs w:val="24"/>
        </w:rPr>
        <w:t>-</w:t>
      </w:r>
      <w:r w:rsidRPr="007A6DB8">
        <w:rPr>
          <w:rFonts w:eastAsia="Calibri"/>
          <w:szCs w:val="24"/>
        </w:rPr>
        <w:t>19, the ITU Network of Women for WRC-19 was launched, which is dedicated to promoting women in radiocommunications, telecommunications/ICT and related fields to help meet UN Sustainable Development Goal 5 on achieving gender equity. The aim of this initiative</w:t>
      </w:r>
      <w:r w:rsidRPr="007A6DB8" w:rsidDel="00002175">
        <w:rPr>
          <w:rFonts w:eastAsia="Calibri"/>
          <w:szCs w:val="24"/>
        </w:rPr>
        <w:t xml:space="preserve"> </w:t>
      </w:r>
      <w:r w:rsidR="008F1D2B">
        <w:rPr>
          <w:rFonts w:eastAsia="Calibri"/>
          <w:szCs w:val="24"/>
        </w:rPr>
        <w:t>was</w:t>
      </w:r>
      <w:r w:rsidRPr="007A6DB8">
        <w:rPr>
          <w:rFonts w:eastAsia="Calibri"/>
          <w:szCs w:val="24"/>
        </w:rPr>
        <w:t xml:space="preserve"> to start building capacity and to encourage larger participation of women in key roles, to attend our meetings and conferences as delegates, chairs, and vice-chairs, for example, and to work towards achieving the 30 percent threshold necessary for any real change. Additionally, it aims to encourage greater gender inclusion, to ensure women delegates play key roles for future radiocommunications conferences and events, and to grow the ITU women's community, capacity, and contribution.  </w:t>
      </w:r>
    </w:p>
    <w:p w14:paraId="3E23A319" w14:textId="77777777" w:rsidR="00600410" w:rsidRDefault="00600410" w:rsidP="00600410">
      <w:pPr>
        <w:spacing w:before="0"/>
        <w:jc w:val="both"/>
        <w:rPr>
          <w:rFonts w:eastAsia="Calibri"/>
          <w:szCs w:val="24"/>
        </w:rPr>
      </w:pPr>
    </w:p>
    <w:p w14:paraId="0E00ADC9" w14:textId="19A4892C" w:rsidR="4655CE1E" w:rsidRDefault="3AB9EA97" w:rsidP="00600410">
      <w:pPr>
        <w:spacing w:before="0"/>
        <w:jc w:val="both"/>
        <w:rPr>
          <w:rFonts w:eastAsia="Calibri"/>
          <w:szCs w:val="24"/>
        </w:rPr>
      </w:pPr>
      <w:r w:rsidRPr="007A6DB8">
        <w:rPr>
          <w:rFonts w:eastAsia="Calibri"/>
          <w:szCs w:val="24"/>
        </w:rPr>
        <w:t xml:space="preserve">Shortly after the last meeting of the GTF (25.11.20), the </w:t>
      </w:r>
      <w:r w:rsidRPr="007A6DB8">
        <w:rPr>
          <w:rFonts w:eastAsia="Calibri"/>
          <w:b/>
          <w:bCs/>
          <w:szCs w:val="24"/>
        </w:rPr>
        <w:t>Network of Women for WRC-23</w:t>
      </w:r>
      <w:r w:rsidRPr="007A6DB8">
        <w:rPr>
          <w:rFonts w:eastAsia="Calibri"/>
          <w:szCs w:val="24"/>
        </w:rPr>
        <w:t xml:space="preserve"> had its </w:t>
      </w:r>
      <w:hyperlink r:id="rId91" w:history="1">
        <w:r w:rsidRPr="007A6DB8">
          <w:rPr>
            <w:rStyle w:val="Hyperlink"/>
            <w:rFonts w:eastAsia="Calibri"/>
            <w:szCs w:val="24"/>
          </w:rPr>
          <w:t>kick-off meeting</w:t>
        </w:r>
      </w:hyperlink>
      <w:r w:rsidRPr="007A6DB8">
        <w:rPr>
          <w:rFonts w:eastAsia="Calibri"/>
          <w:szCs w:val="24"/>
        </w:rPr>
        <w:t xml:space="preserve"> alongside the 2020 World Radiocommunication Seminar (WRS-20) on 30.11.20. Also, all regional co-chairs have been nominated and finally confirmed: CITEL-Jennifer Manner (USA); CEPT-Amela </w:t>
      </w:r>
      <w:proofErr w:type="spellStart"/>
      <w:r w:rsidRPr="007A6DB8">
        <w:rPr>
          <w:rFonts w:eastAsia="Calibri"/>
          <w:szCs w:val="24"/>
        </w:rPr>
        <w:t>Hatibovic-Sehic</w:t>
      </w:r>
      <w:proofErr w:type="spellEnd"/>
      <w:r w:rsidRPr="007A6DB8">
        <w:rPr>
          <w:rFonts w:eastAsia="Calibri"/>
          <w:szCs w:val="24"/>
        </w:rPr>
        <w:t xml:space="preserve"> (Sweden); ASMG-Asma Al </w:t>
      </w:r>
      <w:proofErr w:type="spellStart"/>
      <w:r w:rsidRPr="007A6DB8">
        <w:rPr>
          <w:rFonts w:eastAsia="Calibri"/>
          <w:szCs w:val="24"/>
        </w:rPr>
        <w:t>Mheiri</w:t>
      </w:r>
      <w:proofErr w:type="spellEnd"/>
      <w:r w:rsidRPr="007A6DB8">
        <w:rPr>
          <w:rFonts w:eastAsia="Calibri"/>
          <w:szCs w:val="24"/>
        </w:rPr>
        <w:t xml:space="preserve"> (UAE) and Zeina Mokaddem (Inmarsat); APT- Ms. Zhu </w:t>
      </w:r>
      <w:proofErr w:type="spellStart"/>
      <w:r w:rsidRPr="007A6DB8">
        <w:rPr>
          <w:rFonts w:eastAsia="Calibri"/>
          <w:szCs w:val="24"/>
        </w:rPr>
        <w:t>Keer</w:t>
      </w:r>
      <w:proofErr w:type="spellEnd"/>
      <w:r w:rsidRPr="007A6DB8">
        <w:rPr>
          <w:rFonts w:eastAsia="Calibri"/>
          <w:szCs w:val="24"/>
        </w:rPr>
        <w:t xml:space="preserve"> (China); RCC (TBC); ATU-Aminata </w:t>
      </w:r>
      <w:proofErr w:type="spellStart"/>
      <w:r w:rsidRPr="007A6DB8">
        <w:rPr>
          <w:rFonts w:eastAsia="Calibri"/>
          <w:szCs w:val="24"/>
        </w:rPr>
        <w:t>Niang</w:t>
      </w:r>
      <w:proofErr w:type="spellEnd"/>
      <w:r w:rsidRPr="007A6DB8">
        <w:rPr>
          <w:rFonts w:eastAsia="Calibri"/>
          <w:szCs w:val="24"/>
        </w:rPr>
        <w:t xml:space="preserve"> </w:t>
      </w:r>
      <w:proofErr w:type="spellStart"/>
      <w:r w:rsidRPr="007A6DB8">
        <w:rPr>
          <w:rFonts w:eastAsia="Calibri"/>
          <w:szCs w:val="24"/>
        </w:rPr>
        <w:t>Diagne</w:t>
      </w:r>
      <w:proofErr w:type="spellEnd"/>
      <w:r w:rsidRPr="007A6DB8">
        <w:rPr>
          <w:rFonts w:eastAsia="Calibri"/>
          <w:szCs w:val="24"/>
        </w:rPr>
        <w:t xml:space="preserve"> (Senegal); and regional NOW4WRC23-meetings have been held alongside regional meetings (e.g. ECC PT1, 27.01.2021).  </w:t>
      </w:r>
    </w:p>
    <w:p w14:paraId="582F2C8F" w14:textId="77777777" w:rsidR="00600410" w:rsidRPr="007A6DB8" w:rsidRDefault="00600410" w:rsidP="00600410">
      <w:pPr>
        <w:spacing w:before="0"/>
        <w:jc w:val="both"/>
        <w:rPr>
          <w:rFonts w:eastAsia="Calibri"/>
          <w:szCs w:val="24"/>
        </w:rPr>
      </w:pPr>
    </w:p>
    <w:p w14:paraId="2526044E" w14:textId="17E482F7" w:rsidR="00B273CE" w:rsidRDefault="3AB9EA97" w:rsidP="00514C8D">
      <w:pPr>
        <w:spacing w:before="0"/>
        <w:jc w:val="both"/>
        <w:rPr>
          <w:rFonts w:eastAsia="Calibri"/>
          <w:szCs w:val="24"/>
        </w:rPr>
      </w:pPr>
      <w:r w:rsidRPr="007A6DB8">
        <w:rPr>
          <w:rFonts w:eastAsia="Calibri"/>
          <w:szCs w:val="24"/>
        </w:rPr>
        <w:t xml:space="preserve">The RAG Correspondence Group on Gender will support and provide input to the ongoing work of the </w:t>
      </w:r>
      <w:r w:rsidRPr="007A6DB8">
        <w:rPr>
          <w:rFonts w:eastAsia="Calibri"/>
          <w:b/>
          <w:bCs/>
          <w:szCs w:val="24"/>
        </w:rPr>
        <w:t>“Network of Women for WRC-23”</w:t>
      </w:r>
      <w:r w:rsidRPr="007A6DB8">
        <w:rPr>
          <w:rFonts w:eastAsia="Calibri"/>
          <w:szCs w:val="24"/>
        </w:rPr>
        <w:t xml:space="preserve"> to enhance and maximize the effectiveness of this initiative.</w:t>
      </w:r>
    </w:p>
    <w:p w14:paraId="45FB84FD" w14:textId="77777777" w:rsidR="00492325" w:rsidRDefault="00492325" w:rsidP="00514C8D">
      <w:pPr>
        <w:spacing w:before="0"/>
        <w:jc w:val="both"/>
        <w:rPr>
          <w:rFonts w:eastAsia="Calibri"/>
          <w:szCs w:val="24"/>
        </w:rPr>
      </w:pPr>
    </w:p>
    <w:p w14:paraId="592743E0" w14:textId="559EB024" w:rsidR="00CC3C34" w:rsidRPr="00CC3C34" w:rsidRDefault="00CC3C34" w:rsidP="00CC3C34">
      <w:pPr>
        <w:keepNext/>
        <w:keepLines/>
        <w:spacing w:before="240"/>
        <w:ind w:left="794" w:hanging="794"/>
        <w:outlineLvl w:val="1"/>
        <w:rPr>
          <w:b/>
        </w:rPr>
      </w:pPr>
      <w:r w:rsidRPr="00CC3C34">
        <w:rPr>
          <w:b/>
        </w:rPr>
        <w:t>9</w:t>
      </w:r>
      <w:r w:rsidRPr="00CC3C34">
        <w:rPr>
          <w:b/>
        </w:rPr>
        <w:tab/>
      </w:r>
      <w:r w:rsidR="0064239C">
        <w:rPr>
          <w:b/>
        </w:rPr>
        <w:t>Remaining f</w:t>
      </w:r>
      <w:r w:rsidRPr="00CC3C34">
        <w:rPr>
          <w:b/>
        </w:rPr>
        <w:t>ollow-up actions requested by RAG at its meeting in 2020</w:t>
      </w:r>
    </w:p>
    <w:p w14:paraId="5263DC23" w14:textId="403B5DB3" w:rsidR="00CC3C34" w:rsidRPr="00CC3C34" w:rsidRDefault="00CC3C34" w:rsidP="00CC3C34">
      <w:pPr>
        <w:jc w:val="both"/>
      </w:pPr>
      <w:r w:rsidRPr="00CC3C34">
        <w:t xml:space="preserve">In response to RAG’s requests at its 2020 meeting as contained in the Summary of Conclusions (Administrative Circular </w:t>
      </w:r>
      <w:hyperlink r:id="rId92" w:history="1">
        <w:r w:rsidRPr="00CC3C34">
          <w:rPr>
            <w:color w:val="0000FF" w:themeColor="hyperlink"/>
            <w:u w:val="single"/>
          </w:rPr>
          <w:t>CA/252</w:t>
        </w:r>
      </w:hyperlink>
      <w:r w:rsidRPr="00CC3C34">
        <w:t xml:space="preserve">), </w:t>
      </w:r>
      <w:r w:rsidR="0046704B">
        <w:t xml:space="preserve">in addition to what has been reported </w:t>
      </w:r>
      <w:r w:rsidR="0039356D">
        <w:t xml:space="preserve">in the sections above, </w:t>
      </w:r>
      <w:r w:rsidRPr="00CC3C34">
        <w:t>BR has implemented the following actions:</w:t>
      </w:r>
    </w:p>
    <w:p w14:paraId="5C011CE7" w14:textId="77777777" w:rsidR="00CC3C34" w:rsidRPr="00CC3C34" w:rsidRDefault="00CC3C34" w:rsidP="00CC3C34">
      <w:pPr>
        <w:keepNext/>
        <w:keepLines/>
        <w:spacing w:before="240"/>
        <w:ind w:left="794" w:hanging="794"/>
        <w:outlineLvl w:val="1"/>
        <w:rPr>
          <w:b/>
        </w:rPr>
      </w:pPr>
      <w:r w:rsidRPr="00CC3C34">
        <w:rPr>
          <w:b/>
        </w:rPr>
        <w:t>9.1</w:t>
      </w:r>
      <w:r w:rsidRPr="00CC3C34">
        <w:rPr>
          <w:b/>
        </w:rPr>
        <w:tab/>
        <w:t>Compendium of WRC plenary decisions not reflected in the Radio Regulations</w:t>
      </w:r>
    </w:p>
    <w:p w14:paraId="31BEC33A" w14:textId="4C1DF130" w:rsidR="00CC3C34" w:rsidRPr="00CC3C34" w:rsidRDefault="00CC3C34" w:rsidP="00CC3C34">
      <w:pPr>
        <w:jc w:val="both"/>
        <w:rPr>
          <w:rFonts w:eastAsia="Calibri"/>
        </w:rPr>
      </w:pPr>
      <w:r w:rsidRPr="00CC3C34">
        <w:t xml:space="preserve">Under agenda item 4 of CA/252, RAG noted that a </w:t>
      </w:r>
      <w:hyperlink r:id="rId93" w:history="1">
        <w:r w:rsidRPr="1A5A770F">
          <w:rPr>
            <w:color w:val="0000FF"/>
            <w:u w:val="single"/>
          </w:rPr>
          <w:t>compendium of past WRC plenary decisions</w:t>
        </w:r>
      </w:hyperlink>
      <w:r w:rsidRPr="00CC3C34">
        <w:t xml:space="preserve"> which are not reflected in the Radio Regulations, is already available on the Radio Regulations Board (RRB) website. However, RAG requested that this information be more </w:t>
      </w:r>
      <w:r w:rsidRPr="00CC3C34">
        <w:rPr>
          <w:rFonts w:eastAsia="Calibri"/>
        </w:rPr>
        <w:t xml:space="preserve">prominently displayed on the ITU-R website for easy access by the membership. This document has been updated to include the relevant WRC-15 plenary decisions (see Circular Letter </w:t>
      </w:r>
      <w:hyperlink r:id="rId94" w:history="1">
        <w:r w:rsidRPr="1A5A770F">
          <w:rPr>
            <w:rFonts w:eastAsia="Calibri"/>
            <w:color w:val="0000FF"/>
            <w:u w:val="single"/>
          </w:rPr>
          <w:t>CR/389</w:t>
        </w:r>
      </w:hyperlink>
      <w:r w:rsidRPr="00CC3C34">
        <w:rPr>
          <w:rFonts w:eastAsia="Calibri"/>
        </w:rPr>
        <w:t xml:space="preserve">) and WRC-19 plenary decisions </w:t>
      </w:r>
      <w:r w:rsidRPr="00CC3C34">
        <w:rPr>
          <w:rFonts w:eastAsia="Calibri"/>
        </w:rPr>
        <w:lastRenderedPageBreak/>
        <w:t xml:space="preserve">(see Circular Letter </w:t>
      </w:r>
      <w:hyperlink r:id="rId95" w:history="1">
        <w:r w:rsidRPr="1A5A770F">
          <w:rPr>
            <w:rFonts w:eastAsia="Calibri"/>
            <w:color w:val="0000FF"/>
            <w:u w:val="single"/>
          </w:rPr>
          <w:t>CR/456)</w:t>
        </w:r>
      </w:hyperlink>
      <w:r w:rsidRPr="00CC3C34">
        <w:rPr>
          <w:rFonts w:eastAsia="Calibri"/>
        </w:rPr>
        <w:t>, which complement the relevant plenary decisions of past WRCs since 1995 already contained in the document. In addition to the location on the RRB website, other suitable locations on the ITU-R website have been identified where this document is now also linked, e.g., the web pages of CPM</w:t>
      </w:r>
      <w:r w:rsidR="00FB5327">
        <w:rPr>
          <w:rFonts w:eastAsia="Calibri"/>
        </w:rPr>
        <w:t xml:space="preserve"> and Study Groups</w:t>
      </w:r>
      <w:r w:rsidRPr="00CC3C34">
        <w:rPr>
          <w:rFonts w:eastAsia="Calibri"/>
        </w:rPr>
        <w:t>.</w:t>
      </w:r>
    </w:p>
    <w:p w14:paraId="275F7F12" w14:textId="0F960025" w:rsidR="00CD5AA7" w:rsidRPr="00CD1430" w:rsidRDefault="00BC0B00" w:rsidP="00CC3C34">
      <w:pPr>
        <w:jc w:val="both"/>
        <w:rPr>
          <w:b/>
          <w:bCs/>
        </w:rPr>
      </w:pPr>
      <w:r w:rsidRPr="00CD1430">
        <w:rPr>
          <w:b/>
          <w:bCs/>
        </w:rPr>
        <w:t>9.2</w:t>
      </w:r>
      <w:r w:rsidRPr="00CD1430">
        <w:rPr>
          <w:b/>
          <w:bCs/>
        </w:rPr>
        <w:tab/>
        <w:t>Other actions carried out by the BR Study Groups Department</w:t>
      </w:r>
    </w:p>
    <w:p w14:paraId="2E448242" w14:textId="6AA87744" w:rsidR="00CD1430" w:rsidRPr="00FD777A" w:rsidRDefault="00863644" w:rsidP="00CD1430">
      <w:pPr>
        <w:rPr>
          <w:rFonts w:eastAsia="SimSun"/>
        </w:rPr>
      </w:pPr>
      <w:r>
        <w:rPr>
          <w:rFonts w:eastAsia="SimSun"/>
        </w:rPr>
        <w:t xml:space="preserve">The other actions </w:t>
      </w:r>
      <w:r w:rsidR="00176DCC">
        <w:rPr>
          <w:rFonts w:eastAsia="SimSun"/>
        </w:rPr>
        <w:t xml:space="preserve">requested </w:t>
      </w:r>
      <w:r w:rsidR="004C2E34">
        <w:rPr>
          <w:rFonts w:eastAsia="SimSun"/>
        </w:rPr>
        <w:t>by the</w:t>
      </w:r>
      <w:r w:rsidR="009420E1" w:rsidRPr="009420E1">
        <w:rPr>
          <w:rFonts w:eastAsia="SimSun"/>
        </w:rPr>
        <w:t xml:space="preserve"> RAG</w:t>
      </w:r>
      <w:r w:rsidR="004C2E34">
        <w:rPr>
          <w:rFonts w:eastAsia="SimSun"/>
        </w:rPr>
        <w:t xml:space="preserve"> at</w:t>
      </w:r>
      <w:r w:rsidR="009420E1" w:rsidRPr="009420E1">
        <w:rPr>
          <w:rFonts w:eastAsia="SimSun"/>
        </w:rPr>
        <w:t xml:space="preserve"> its 2020 meeting </w:t>
      </w:r>
      <w:r w:rsidR="00F5681B">
        <w:rPr>
          <w:rFonts w:eastAsia="SimSun"/>
        </w:rPr>
        <w:t>were carried out by the</w:t>
      </w:r>
      <w:r w:rsidR="009420E1" w:rsidRPr="009420E1">
        <w:rPr>
          <w:rFonts w:eastAsia="SimSun"/>
        </w:rPr>
        <w:t xml:space="preserve"> BR SGD </w:t>
      </w:r>
      <w:r w:rsidR="00E4193E">
        <w:rPr>
          <w:rFonts w:eastAsia="SimSun"/>
        </w:rPr>
        <w:t xml:space="preserve">and are </w:t>
      </w:r>
      <w:r w:rsidR="00CD1430" w:rsidRPr="00EF27CA">
        <w:rPr>
          <w:rFonts w:eastAsia="SimSun"/>
        </w:rPr>
        <w:t xml:space="preserve">presented in </w:t>
      </w:r>
      <w:r w:rsidR="000220FF">
        <w:rPr>
          <w:rFonts w:eastAsia="SimSun"/>
        </w:rPr>
        <w:t>S</w:t>
      </w:r>
      <w:r w:rsidR="00B95634">
        <w:rPr>
          <w:rFonts w:eastAsia="SimSun"/>
        </w:rPr>
        <w:t xml:space="preserve">ection 9 of </w:t>
      </w:r>
      <w:r w:rsidR="00CD1430" w:rsidRPr="00EF27CA">
        <w:rPr>
          <w:rFonts w:eastAsia="SimSun"/>
        </w:rPr>
        <w:t>A</w:t>
      </w:r>
      <w:r w:rsidR="00CD1430">
        <w:rPr>
          <w:rFonts w:eastAsia="SimSun"/>
        </w:rPr>
        <w:t>ddendum 1</w:t>
      </w:r>
      <w:r w:rsidR="00CD1430" w:rsidRPr="00EF27CA">
        <w:rPr>
          <w:rFonts w:eastAsia="SimSun"/>
        </w:rPr>
        <w:t xml:space="preserve"> to this document.</w:t>
      </w:r>
    </w:p>
    <w:p w14:paraId="2B520DC5" w14:textId="77777777" w:rsidR="00492325" w:rsidRDefault="00492325" w:rsidP="00514C8D">
      <w:pPr>
        <w:spacing w:before="0"/>
        <w:jc w:val="both"/>
      </w:pPr>
    </w:p>
    <w:p w14:paraId="5BABF9C0" w14:textId="39AB0E60" w:rsidR="003A59F0" w:rsidRDefault="003A59F0">
      <w:pPr>
        <w:tabs>
          <w:tab w:val="clear" w:pos="794"/>
          <w:tab w:val="clear" w:pos="1191"/>
          <w:tab w:val="clear" w:pos="1588"/>
          <w:tab w:val="clear" w:pos="1985"/>
        </w:tabs>
        <w:overflowPunct/>
        <w:autoSpaceDE/>
        <w:autoSpaceDN/>
        <w:adjustRightInd/>
        <w:spacing w:before="0"/>
        <w:textAlignment w:val="auto"/>
      </w:pPr>
      <w:r>
        <w:br w:type="page"/>
      </w:r>
    </w:p>
    <w:p w14:paraId="5B4EC3CF" w14:textId="19AA9E4F" w:rsidR="00A74458" w:rsidRDefault="00A74458" w:rsidP="00A74458">
      <w:pPr>
        <w:spacing w:before="320"/>
        <w:jc w:val="center"/>
        <w:outlineLvl w:val="0"/>
        <w:rPr>
          <w:b/>
          <w:szCs w:val="24"/>
        </w:rPr>
      </w:pPr>
      <w:r>
        <w:rPr>
          <w:b/>
          <w:szCs w:val="24"/>
        </w:rPr>
        <w:lastRenderedPageBreak/>
        <w:t>ANNEX</w:t>
      </w:r>
    </w:p>
    <w:p w14:paraId="4F2E84F8" w14:textId="6567ED1D" w:rsidR="003A59F0" w:rsidRPr="005E3885" w:rsidRDefault="003A59F0" w:rsidP="004F6C24">
      <w:pPr>
        <w:spacing w:before="320"/>
        <w:jc w:val="center"/>
        <w:outlineLvl w:val="0"/>
        <w:rPr>
          <w:b/>
          <w:szCs w:val="24"/>
        </w:rPr>
      </w:pPr>
      <w:r>
        <w:rPr>
          <w:b/>
          <w:szCs w:val="24"/>
        </w:rPr>
        <w:t xml:space="preserve">Proposed update to </w:t>
      </w:r>
      <w:r w:rsidR="00933497">
        <w:rPr>
          <w:b/>
          <w:szCs w:val="24"/>
        </w:rPr>
        <w:t xml:space="preserve">ITU-R section of </w:t>
      </w:r>
      <w:r>
        <w:rPr>
          <w:b/>
          <w:szCs w:val="24"/>
        </w:rPr>
        <w:t>Annex 2 of</w:t>
      </w:r>
      <w:r w:rsidR="004F6C24">
        <w:rPr>
          <w:b/>
          <w:szCs w:val="24"/>
        </w:rPr>
        <w:br/>
      </w:r>
      <w:r>
        <w:rPr>
          <w:b/>
          <w:szCs w:val="24"/>
        </w:rPr>
        <w:t xml:space="preserve">C14/INF/4 - </w:t>
      </w:r>
      <w:r w:rsidR="004F6C24" w:rsidRPr="00E90B1A">
        <w:rPr>
          <w:b/>
          <w:szCs w:val="24"/>
        </w:rPr>
        <w:t xml:space="preserve">Measures </w:t>
      </w:r>
      <w:r w:rsidR="004F6C24">
        <w:rPr>
          <w:b/>
          <w:szCs w:val="24"/>
        </w:rPr>
        <w:t>a</w:t>
      </w:r>
      <w:r w:rsidR="004F6C24" w:rsidRPr="00E90B1A">
        <w:rPr>
          <w:b/>
          <w:szCs w:val="24"/>
        </w:rPr>
        <w:t xml:space="preserve">nd Principles </w:t>
      </w:r>
      <w:r w:rsidR="004F6C24">
        <w:rPr>
          <w:b/>
          <w:szCs w:val="24"/>
        </w:rPr>
        <w:t>f</w:t>
      </w:r>
      <w:r w:rsidR="004F6C24" w:rsidRPr="00E90B1A">
        <w:rPr>
          <w:b/>
          <w:szCs w:val="24"/>
        </w:rPr>
        <w:t xml:space="preserve">or Interpretation </w:t>
      </w:r>
      <w:r w:rsidR="004F6C24">
        <w:rPr>
          <w:b/>
          <w:szCs w:val="24"/>
        </w:rPr>
        <w:t>a</w:t>
      </w:r>
      <w:r w:rsidR="004F6C24" w:rsidRPr="00E90B1A">
        <w:rPr>
          <w:b/>
          <w:szCs w:val="24"/>
        </w:rPr>
        <w:t xml:space="preserve">nd Translation </w:t>
      </w:r>
      <w:r w:rsidR="004F6C24">
        <w:rPr>
          <w:b/>
          <w:szCs w:val="24"/>
        </w:rPr>
        <w:t>i</w:t>
      </w:r>
      <w:r w:rsidR="004F6C24" w:rsidRPr="00E90B1A">
        <w:rPr>
          <w:b/>
          <w:szCs w:val="24"/>
        </w:rPr>
        <w:t>n I</w:t>
      </w:r>
      <w:r w:rsidR="004F6C24">
        <w:rPr>
          <w:b/>
          <w:szCs w:val="24"/>
        </w:rPr>
        <w:t>TU</w:t>
      </w:r>
    </w:p>
    <w:p w14:paraId="46AFF918" w14:textId="77777777" w:rsidR="003A59F0" w:rsidRPr="00BE597E" w:rsidRDefault="003A59F0" w:rsidP="003A59F0">
      <w:pPr>
        <w:jc w:val="center"/>
        <w:rPr>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9"/>
        <w:gridCol w:w="577"/>
        <w:gridCol w:w="580"/>
        <w:gridCol w:w="580"/>
        <w:gridCol w:w="572"/>
        <w:gridCol w:w="574"/>
        <w:gridCol w:w="580"/>
        <w:gridCol w:w="2837"/>
      </w:tblGrid>
      <w:tr w:rsidR="003A59F0" w:rsidRPr="005E3885" w14:paraId="28821424" w14:textId="77777777" w:rsidTr="001531B6">
        <w:trPr>
          <w:cantSplit/>
          <w:tblHeader/>
        </w:trPr>
        <w:tc>
          <w:tcPr>
            <w:tcW w:w="3339" w:type="dxa"/>
            <w:tcBorders>
              <w:bottom w:val="nil"/>
            </w:tcBorders>
            <w:shd w:val="clear" w:color="auto" w:fill="E6E6E6"/>
          </w:tcPr>
          <w:p w14:paraId="67F3EB87" w14:textId="77777777" w:rsidR="003A59F0" w:rsidRPr="005E3885" w:rsidRDefault="003A59F0" w:rsidP="001531B6">
            <w:pPr>
              <w:spacing w:beforeLines="60" w:before="144" w:after="60"/>
              <w:jc w:val="center"/>
              <w:rPr>
                <w:b/>
                <w:sz w:val="20"/>
                <w:lang w:val="fr-CH"/>
              </w:rPr>
            </w:pPr>
            <w:r w:rsidRPr="005E3885">
              <w:rPr>
                <w:b/>
                <w:sz w:val="20"/>
                <w:lang w:val="fr-CH"/>
              </w:rPr>
              <w:t>ITU-R</w:t>
            </w:r>
          </w:p>
        </w:tc>
        <w:tc>
          <w:tcPr>
            <w:tcW w:w="3463" w:type="dxa"/>
            <w:gridSpan w:val="6"/>
            <w:shd w:val="clear" w:color="auto" w:fill="E6E6E6"/>
          </w:tcPr>
          <w:p w14:paraId="139F83C5" w14:textId="77777777" w:rsidR="003A59F0" w:rsidRPr="005E3885" w:rsidRDefault="003A59F0" w:rsidP="001531B6">
            <w:pPr>
              <w:keepNext/>
              <w:keepLines/>
              <w:spacing w:beforeLines="60" w:before="144" w:after="60"/>
              <w:jc w:val="center"/>
              <w:outlineLvl w:val="2"/>
              <w:rPr>
                <w:b/>
                <w:i/>
                <w:sz w:val="20"/>
                <w:lang w:val="en-US"/>
              </w:rPr>
            </w:pPr>
            <w:r w:rsidRPr="005E3885">
              <w:rPr>
                <w:b/>
                <w:i/>
                <w:sz w:val="20"/>
                <w:lang w:val="en-US"/>
              </w:rPr>
              <w:t>Languages</w:t>
            </w:r>
          </w:p>
        </w:tc>
        <w:tc>
          <w:tcPr>
            <w:tcW w:w="2837" w:type="dxa"/>
            <w:shd w:val="clear" w:color="auto" w:fill="E6E6E6"/>
          </w:tcPr>
          <w:p w14:paraId="698EDB5B" w14:textId="77777777" w:rsidR="003A59F0" w:rsidRPr="005E3885" w:rsidRDefault="003A59F0" w:rsidP="001531B6">
            <w:pPr>
              <w:keepNext/>
              <w:keepLines/>
              <w:spacing w:beforeLines="60" w:before="144" w:after="60"/>
              <w:outlineLvl w:val="2"/>
              <w:rPr>
                <w:b/>
                <w:i/>
                <w:sz w:val="20"/>
                <w:lang w:val="en-US"/>
              </w:rPr>
            </w:pPr>
            <w:r w:rsidRPr="005E3885">
              <w:rPr>
                <w:b/>
                <w:i/>
                <w:sz w:val="20"/>
                <w:lang w:val="en-US"/>
              </w:rPr>
              <w:t>Remarks</w:t>
            </w:r>
          </w:p>
        </w:tc>
      </w:tr>
      <w:tr w:rsidR="003A59F0" w:rsidRPr="005E3885" w14:paraId="28C8FA2B" w14:textId="77777777" w:rsidTr="001531B6">
        <w:trPr>
          <w:tblHeader/>
        </w:trPr>
        <w:tc>
          <w:tcPr>
            <w:tcW w:w="3339" w:type="dxa"/>
            <w:tcBorders>
              <w:top w:val="nil"/>
              <w:bottom w:val="single" w:sz="4" w:space="0" w:color="auto"/>
            </w:tcBorders>
            <w:shd w:val="clear" w:color="auto" w:fill="E6E6E6"/>
          </w:tcPr>
          <w:p w14:paraId="214B7A01" w14:textId="77777777" w:rsidR="003A59F0" w:rsidRPr="005E3885" w:rsidRDefault="003A59F0" w:rsidP="001531B6">
            <w:pPr>
              <w:spacing w:before="60"/>
              <w:rPr>
                <w:sz w:val="20"/>
                <w:u w:val="single"/>
              </w:rPr>
            </w:pPr>
          </w:p>
        </w:tc>
        <w:tc>
          <w:tcPr>
            <w:tcW w:w="577" w:type="dxa"/>
            <w:tcBorders>
              <w:bottom w:val="single" w:sz="4" w:space="0" w:color="auto"/>
            </w:tcBorders>
            <w:shd w:val="clear" w:color="auto" w:fill="E6E6E6"/>
          </w:tcPr>
          <w:p w14:paraId="6794326E" w14:textId="77777777" w:rsidR="003A59F0" w:rsidRPr="005E3885" w:rsidRDefault="003A59F0" w:rsidP="001531B6">
            <w:pPr>
              <w:spacing w:before="60"/>
              <w:ind w:left="136" w:hanging="136"/>
              <w:jc w:val="center"/>
              <w:rPr>
                <w:b/>
                <w:sz w:val="20"/>
              </w:rPr>
            </w:pPr>
            <w:r w:rsidRPr="005E3885">
              <w:rPr>
                <w:b/>
                <w:sz w:val="20"/>
              </w:rPr>
              <w:t>E</w:t>
            </w:r>
          </w:p>
        </w:tc>
        <w:tc>
          <w:tcPr>
            <w:tcW w:w="580" w:type="dxa"/>
            <w:tcBorders>
              <w:bottom w:val="single" w:sz="4" w:space="0" w:color="auto"/>
            </w:tcBorders>
            <w:shd w:val="clear" w:color="auto" w:fill="E6E6E6"/>
          </w:tcPr>
          <w:p w14:paraId="3B5F9D66" w14:textId="77777777" w:rsidR="003A59F0" w:rsidRPr="005E3885" w:rsidRDefault="003A59F0" w:rsidP="001531B6">
            <w:pPr>
              <w:spacing w:before="60"/>
              <w:ind w:left="136" w:hanging="136"/>
              <w:jc w:val="center"/>
              <w:rPr>
                <w:b/>
                <w:sz w:val="20"/>
              </w:rPr>
            </w:pPr>
            <w:r w:rsidRPr="005E3885">
              <w:rPr>
                <w:b/>
                <w:sz w:val="20"/>
              </w:rPr>
              <w:t>A</w:t>
            </w:r>
          </w:p>
        </w:tc>
        <w:tc>
          <w:tcPr>
            <w:tcW w:w="580" w:type="dxa"/>
            <w:tcBorders>
              <w:bottom w:val="single" w:sz="4" w:space="0" w:color="auto"/>
            </w:tcBorders>
            <w:shd w:val="clear" w:color="auto" w:fill="E6E6E6"/>
          </w:tcPr>
          <w:p w14:paraId="5E261A0F" w14:textId="77777777" w:rsidR="003A59F0" w:rsidRPr="005E3885" w:rsidRDefault="003A59F0" w:rsidP="001531B6">
            <w:pPr>
              <w:spacing w:before="60"/>
              <w:ind w:left="136" w:hanging="136"/>
              <w:jc w:val="center"/>
              <w:rPr>
                <w:b/>
                <w:sz w:val="20"/>
              </w:rPr>
            </w:pPr>
            <w:r w:rsidRPr="005E3885">
              <w:rPr>
                <w:b/>
                <w:sz w:val="20"/>
              </w:rPr>
              <w:t>C</w:t>
            </w:r>
          </w:p>
        </w:tc>
        <w:tc>
          <w:tcPr>
            <w:tcW w:w="572" w:type="dxa"/>
            <w:tcBorders>
              <w:bottom w:val="single" w:sz="4" w:space="0" w:color="auto"/>
            </w:tcBorders>
            <w:shd w:val="clear" w:color="auto" w:fill="E6E6E6"/>
          </w:tcPr>
          <w:p w14:paraId="76C2A0A4" w14:textId="77777777" w:rsidR="003A59F0" w:rsidRPr="005E3885" w:rsidRDefault="003A59F0" w:rsidP="001531B6">
            <w:pPr>
              <w:spacing w:before="60"/>
              <w:ind w:left="136" w:hanging="136"/>
              <w:jc w:val="center"/>
              <w:rPr>
                <w:b/>
                <w:sz w:val="20"/>
              </w:rPr>
            </w:pPr>
            <w:r w:rsidRPr="005E3885">
              <w:rPr>
                <w:b/>
                <w:sz w:val="20"/>
              </w:rPr>
              <w:t>S</w:t>
            </w:r>
          </w:p>
        </w:tc>
        <w:tc>
          <w:tcPr>
            <w:tcW w:w="574" w:type="dxa"/>
            <w:tcBorders>
              <w:bottom w:val="single" w:sz="4" w:space="0" w:color="auto"/>
            </w:tcBorders>
            <w:shd w:val="clear" w:color="auto" w:fill="E6E6E6"/>
          </w:tcPr>
          <w:p w14:paraId="2399A2B3" w14:textId="77777777" w:rsidR="003A59F0" w:rsidRPr="005E3885" w:rsidRDefault="003A59F0" w:rsidP="001531B6">
            <w:pPr>
              <w:spacing w:before="60"/>
              <w:ind w:left="136" w:hanging="136"/>
              <w:jc w:val="center"/>
              <w:rPr>
                <w:b/>
                <w:sz w:val="20"/>
              </w:rPr>
            </w:pPr>
            <w:r w:rsidRPr="005E3885">
              <w:rPr>
                <w:b/>
                <w:sz w:val="20"/>
              </w:rPr>
              <w:t>F</w:t>
            </w:r>
          </w:p>
        </w:tc>
        <w:tc>
          <w:tcPr>
            <w:tcW w:w="580" w:type="dxa"/>
            <w:tcBorders>
              <w:bottom w:val="single" w:sz="4" w:space="0" w:color="auto"/>
            </w:tcBorders>
            <w:shd w:val="clear" w:color="auto" w:fill="E6E6E6"/>
          </w:tcPr>
          <w:p w14:paraId="58036EE3" w14:textId="77777777" w:rsidR="003A59F0" w:rsidRPr="005E3885" w:rsidRDefault="003A59F0" w:rsidP="001531B6">
            <w:pPr>
              <w:spacing w:before="60"/>
              <w:ind w:left="136" w:hanging="136"/>
              <w:jc w:val="center"/>
              <w:rPr>
                <w:b/>
                <w:sz w:val="20"/>
              </w:rPr>
            </w:pPr>
            <w:r w:rsidRPr="005E3885">
              <w:rPr>
                <w:b/>
                <w:sz w:val="20"/>
              </w:rPr>
              <w:t>R</w:t>
            </w:r>
          </w:p>
        </w:tc>
        <w:tc>
          <w:tcPr>
            <w:tcW w:w="2837" w:type="dxa"/>
            <w:tcBorders>
              <w:bottom w:val="single" w:sz="4" w:space="0" w:color="auto"/>
            </w:tcBorders>
            <w:shd w:val="clear" w:color="auto" w:fill="E6E6E6"/>
          </w:tcPr>
          <w:p w14:paraId="16C1EDB5" w14:textId="77777777" w:rsidR="003A59F0" w:rsidRPr="005E3885" w:rsidRDefault="003A59F0" w:rsidP="001531B6">
            <w:pPr>
              <w:spacing w:before="60"/>
              <w:rPr>
                <w:sz w:val="20"/>
              </w:rPr>
            </w:pPr>
          </w:p>
        </w:tc>
      </w:tr>
      <w:tr w:rsidR="003A59F0" w:rsidRPr="005E3885" w14:paraId="6E991D47" w14:textId="77777777" w:rsidTr="001531B6">
        <w:tc>
          <w:tcPr>
            <w:tcW w:w="3339" w:type="dxa"/>
            <w:tcBorders>
              <w:bottom w:val="single" w:sz="4" w:space="0" w:color="auto"/>
            </w:tcBorders>
            <w:shd w:val="clear" w:color="auto" w:fill="99CCFF"/>
          </w:tcPr>
          <w:p w14:paraId="41320D0D" w14:textId="77777777" w:rsidR="003A59F0" w:rsidRPr="005E3885" w:rsidRDefault="003A59F0" w:rsidP="001531B6">
            <w:pPr>
              <w:spacing w:before="60"/>
              <w:rPr>
                <w:b/>
                <w:bCs/>
                <w:sz w:val="20"/>
                <w:u w:val="single"/>
              </w:rPr>
            </w:pPr>
            <w:r w:rsidRPr="005E3885">
              <w:rPr>
                <w:b/>
                <w:bCs/>
                <w:sz w:val="20"/>
                <w:u w:val="single"/>
              </w:rPr>
              <w:t>1. Radiocommunication Assembly</w:t>
            </w:r>
          </w:p>
        </w:tc>
        <w:tc>
          <w:tcPr>
            <w:tcW w:w="577" w:type="dxa"/>
            <w:tcBorders>
              <w:bottom w:val="single" w:sz="4" w:space="0" w:color="auto"/>
            </w:tcBorders>
            <w:shd w:val="clear" w:color="auto" w:fill="99CCFF"/>
          </w:tcPr>
          <w:p w14:paraId="382B85DD" w14:textId="77777777" w:rsidR="003A59F0" w:rsidRPr="005E3885" w:rsidRDefault="003A59F0" w:rsidP="001531B6">
            <w:pPr>
              <w:spacing w:before="60"/>
              <w:jc w:val="center"/>
              <w:rPr>
                <w:b/>
                <w:bCs/>
                <w:sz w:val="20"/>
              </w:rPr>
            </w:pPr>
          </w:p>
        </w:tc>
        <w:tc>
          <w:tcPr>
            <w:tcW w:w="580" w:type="dxa"/>
            <w:tcBorders>
              <w:bottom w:val="single" w:sz="4" w:space="0" w:color="auto"/>
            </w:tcBorders>
            <w:shd w:val="clear" w:color="auto" w:fill="99CCFF"/>
          </w:tcPr>
          <w:p w14:paraId="78BB3677" w14:textId="77777777" w:rsidR="003A59F0" w:rsidRPr="005E3885" w:rsidRDefault="003A59F0" w:rsidP="001531B6">
            <w:pPr>
              <w:spacing w:before="60"/>
              <w:jc w:val="center"/>
              <w:rPr>
                <w:b/>
                <w:bCs/>
                <w:sz w:val="20"/>
              </w:rPr>
            </w:pPr>
          </w:p>
        </w:tc>
        <w:tc>
          <w:tcPr>
            <w:tcW w:w="580" w:type="dxa"/>
            <w:tcBorders>
              <w:bottom w:val="single" w:sz="4" w:space="0" w:color="auto"/>
            </w:tcBorders>
            <w:shd w:val="clear" w:color="auto" w:fill="99CCFF"/>
          </w:tcPr>
          <w:p w14:paraId="41256280" w14:textId="77777777" w:rsidR="003A59F0" w:rsidRPr="005E3885" w:rsidRDefault="003A59F0" w:rsidP="001531B6">
            <w:pPr>
              <w:spacing w:before="60"/>
              <w:jc w:val="center"/>
              <w:rPr>
                <w:b/>
                <w:bCs/>
                <w:sz w:val="20"/>
              </w:rPr>
            </w:pPr>
          </w:p>
        </w:tc>
        <w:tc>
          <w:tcPr>
            <w:tcW w:w="572" w:type="dxa"/>
            <w:tcBorders>
              <w:bottom w:val="single" w:sz="4" w:space="0" w:color="auto"/>
            </w:tcBorders>
            <w:shd w:val="clear" w:color="auto" w:fill="99CCFF"/>
          </w:tcPr>
          <w:p w14:paraId="5240984C" w14:textId="77777777" w:rsidR="003A59F0" w:rsidRPr="005E3885" w:rsidRDefault="003A59F0" w:rsidP="001531B6">
            <w:pPr>
              <w:spacing w:before="60"/>
              <w:jc w:val="center"/>
              <w:rPr>
                <w:b/>
                <w:bCs/>
                <w:sz w:val="20"/>
              </w:rPr>
            </w:pPr>
          </w:p>
        </w:tc>
        <w:tc>
          <w:tcPr>
            <w:tcW w:w="574" w:type="dxa"/>
            <w:tcBorders>
              <w:bottom w:val="single" w:sz="4" w:space="0" w:color="auto"/>
            </w:tcBorders>
            <w:shd w:val="clear" w:color="auto" w:fill="99CCFF"/>
          </w:tcPr>
          <w:p w14:paraId="131F869C" w14:textId="77777777" w:rsidR="003A59F0" w:rsidRPr="005E3885" w:rsidRDefault="003A59F0" w:rsidP="001531B6">
            <w:pPr>
              <w:spacing w:before="60"/>
              <w:jc w:val="center"/>
              <w:rPr>
                <w:b/>
                <w:bCs/>
                <w:sz w:val="20"/>
              </w:rPr>
            </w:pPr>
          </w:p>
        </w:tc>
        <w:tc>
          <w:tcPr>
            <w:tcW w:w="580" w:type="dxa"/>
            <w:tcBorders>
              <w:bottom w:val="single" w:sz="4" w:space="0" w:color="auto"/>
            </w:tcBorders>
            <w:shd w:val="clear" w:color="auto" w:fill="99CCFF"/>
          </w:tcPr>
          <w:p w14:paraId="3B7BD0D6" w14:textId="77777777" w:rsidR="003A59F0" w:rsidRPr="005E3885" w:rsidRDefault="003A59F0" w:rsidP="001531B6">
            <w:pPr>
              <w:spacing w:before="60"/>
              <w:jc w:val="center"/>
              <w:rPr>
                <w:b/>
                <w:bCs/>
                <w:sz w:val="20"/>
              </w:rPr>
            </w:pPr>
          </w:p>
        </w:tc>
        <w:tc>
          <w:tcPr>
            <w:tcW w:w="2837" w:type="dxa"/>
            <w:tcBorders>
              <w:bottom w:val="single" w:sz="4" w:space="0" w:color="auto"/>
            </w:tcBorders>
            <w:shd w:val="clear" w:color="auto" w:fill="99CCFF"/>
          </w:tcPr>
          <w:p w14:paraId="18076422" w14:textId="77777777" w:rsidR="003A59F0" w:rsidRPr="005E3885" w:rsidRDefault="003A59F0" w:rsidP="001531B6">
            <w:pPr>
              <w:spacing w:before="60"/>
              <w:rPr>
                <w:b/>
                <w:bCs/>
                <w:sz w:val="20"/>
              </w:rPr>
            </w:pPr>
          </w:p>
        </w:tc>
      </w:tr>
      <w:tr w:rsidR="003A59F0" w:rsidRPr="005E3885" w14:paraId="62BC1636" w14:textId="77777777" w:rsidTr="001531B6">
        <w:tc>
          <w:tcPr>
            <w:tcW w:w="3339" w:type="dxa"/>
            <w:shd w:val="clear" w:color="auto" w:fill="FFFF00"/>
          </w:tcPr>
          <w:p w14:paraId="03051E17" w14:textId="77777777" w:rsidR="003A59F0" w:rsidRPr="005E3885" w:rsidRDefault="003A59F0" w:rsidP="001531B6">
            <w:pPr>
              <w:rPr>
                <w:sz w:val="20"/>
              </w:rPr>
            </w:pPr>
            <w:r w:rsidRPr="005E3885">
              <w:rPr>
                <w:sz w:val="20"/>
              </w:rPr>
              <w:t>Interpretation</w:t>
            </w:r>
          </w:p>
        </w:tc>
        <w:tc>
          <w:tcPr>
            <w:tcW w:w="577" w:type="dxa"/>
            <w:shd w:val="clear" w:color="auto" w:fill="FFFF00"/>
          </w:tcPr>
          <w:p w14:paraId="765FFE0B" w14:textId="77777777" w:rsidR="003A59F0" w:rsidRPr="005E3885" w:rsidRDefault="003A59F0" w:rsidP="001531B6">
            <w:pPr>
              <w:jc w:val="center"/>
              <w:rPr>
                <w:sz w:val="20"/>
              </w:rPr>
            </w:pPr>
            <w:r w:rsidRPr="005E3885">
              <w:rPr>
                <w:sz w:val="20"/>
              </w:rPr>
              <w:t>x</w:t>
            </w:r>
          </w:p>
        </w:tc>
        <w:tc>
          <w:tcPr>
            <w:tcW w:w="580" w:type="dxa"/>
            <w:shd w:val="clear" w:color="auto" w:fill="FFFF00"/>
          </w:tcPr>
          <w:p w14:paraId="5BA1D3D9" w14:textId="77777777" w:rsidR="003A59F0" w:rsidRPr="005E3885" w:rsidRDefault="003A59F0" w:rsidP="001531B6">
            <w:pPr>
              <w:jc w:val="center"/>
              <w:rPr>
                <w:sz w:val="20"/>
              </w:rPr>
            </w:pPr>
            <w:r w:rsidRPr="005E3885">
              <w:rPr>
                <w:sz w:val="20"/>
              </w:rPr>
              <w:t>x</w:t>
            </w:r>
          </w:p>
        </w:tc>
        <w:tc>
          <w:tcPr>
            <w:tcW w:w="580" w:type="dxa"/>
            <w:shd w:val="clear" w:color="auto" w:fill="FFFF00"/>
          </w:tcPr>
          <w:p w14:paraId="6A49134E" w14:textId="77777777" w:rsidR="003A59F0" w:rsidRPr="005E3885" w:rsidRDefault="003A59F0" w:rsidP="001531B6">
            <w:pPr>
              <w:jc w:val="center"/>
              <w:rPr>
                <w:sz w:val="20"/>
              </w:rPr>
            </w:pPr>
            <w:r w:rsidRPr="005E3885">
              <w:rPr>
                <w:sz w:val="20"/>
              </w:rPr>
              <w:t>x</w:t>
            </w:r>
          </w:p>
        </w:tc>
        <w:tc>
          <w:tcPr>
            <w:tcW w:w="572" w:type="dxa"/>
            <w:shd w:val="clear" w:color="auto" w:fill="FFFF00"/>
          </w:tcPr>
          <w:p w14:paraId="1076919F" w14:textId="77777777" w:rsidR="003A59F0" w:rsidRPr="005E3885" w:rsidRDefault="003A59F0" w:rsidP="001531B6">
            <w:pPr>
              <w:jc w:val="center"/>
              <w:rPr>
                <w:sz w:val="20"/>
              </w:rPr>
            </w:pPr>
            <w:r w:rsidRPr="005E3885">
              <w:rPr>
                <w:sz w:val="20"/>
              </w:rPr>
              <w:t>x</w:t>
            </w:r>
          </w:p>
        </w:tc>
        <w:tc>
          <w:tcPr>
            <w:tcW w:w="574" w:type="dxa"/>
            <w:shd w:val="clear" w:color="auto" w:fill="FFFF00"/>
          </w:tcPr>
          <w:p w14:paraId="2FBD4506" w14:textId="77777777" w:rsidR="003A59F0" w:rsidRPr="005E3885" w:rsidRDefault="003A59F0" w:rsidP="001531B6">
            <w:pPr>
              <w:jc w:val="center"/>
              <w:rPr>
                <w:sz w:val="20"/>
              </w:rPr>
            </w:pPr>
            <w:r w:rsidRPr="005E3885">
              <w:rPr>
                <w:sz w:val="20"/>
              </w:rPr>
              <w:t>x</w:t>
            </w:r>
          </w:p>
        </w:tc>
        <w:tc>
          <w:tcPr>
            <w:tcW w:w="580" w:type="dxa"/>
            <w:shd w:val="clear" w:color="auto" w:fill="FFFF00"/>
          </w:tcPr>
          <w:p w14:paraId="0B0DBCDE" w14:textId="77777777" w:rsidR="003A59F0" w:rsidRPr="005E3885" w:rsidRDefault="003A59F0" w:rsidP="001531B6">
            <w:pPr>
              <w:jc w:val="center"/>
              <w:rPr>
                <w:sz w:val="20"/>
              </w:rPr>
            </w:pPr>
            <w:r w:rsidRPr="005E3885">
              <w:rPr>
                <w:sz w:val="20"/>
              </w:rPr>
              <w:t>x</w:t>
            </w:r>
          </w:p>
        </w:tc>
        <w:tc>
          <w:tcPr>
            <w:tcW w:w="2837" w:type="dxa"/>
            <w:shd w:val="clear" w:color="auto" w:fill="FFFF00"/>
          </w:tcPr>
          <w:p w14:paraId="29134147" w14:textId="77777777" w:rsidR="003A59F0" w:rsidRPr="005E3885" w:rsidRDefault="003A59F0" w:rsidP="001531B6">
            <w:pPr>
              <w:rPr>
                <w:sz w:val="20"/>
              </w:rPr>
            </w:pPr>
          </w:p>
        </w:tc>
      </w:tr>
      <w:tr w:rsidR="003A59F0" w:rsidRPr="005E3885" w14:paraId="6777BECA" w14:textId="77777777" w:rsidTr="001531B6">
        <w:trPr>
          <w:cantSplit/>
        </w:trPr>
        <w:tc>
          <w:tcPr>
            <w:tcW w:w="3339" w:type="dxa"/>
          </w:tcPr>
          <w:p w14:paraId="64ACF227" w14:textId="77777777" w:rsidR="003A59F0" w:rsidRPr="005E3885" w:rsidRDefault="003A59F0" w:rsidP="001531B6">
            <w:pPr>
              <w:rPr>
                <w:sz w:val="20"/>
              </w:rPr>
            </w:pPr>
            <w:r w:rsidRPr="005E3885">
              <w:rPr>
                <w:sz w:val="20"/>
              </w:rPr>
              <w:t>Contributions</w:t>
            </w:r>
          </w:p>
        </w:tc>
        <w:tc>
          <w:tcPr>
            <w:tcW w:w="577" w:type="dxa"/>
            <w:shd w:val="clear" w:color="auto" w:fill="auto"/>
          </w:tcPr>
          <w:p w14:paraId="59D2A885" w14:textId="77777777" w:rsidR="003A59F0" w:rsidRPr="005E3885" w:rsidRDefault="003A59F0" w:rsidP="001531B6">
            <w:pPr>
              <w:jc w:val="center"/>
              <w:rPr>
                <w:sz w:val="20"/>
              </w:rPr>
            </w:pPr>
            <w:r w:rsidRPr="005E3885">
              <w:rPr>
                <w:sz w:val="20"/>
              </w:rPr>
              <w:t>x</w:t>
            </w:r>
          </w:p>
        </w:tc>
        <w:tc>
          <w:tcPr>
            <w:tcW w:w="580" w:type="dxa"/>
            <w:shd w:val="clear" w:color="auto" w:fill="auto"/>
          </w:tcPr>
          <w:p w14:paraId="0197D4CE" w14:textId="77777777" w:rsidR="003A59F0" w:rsidRPr="005E3885" w:rsidRDefault="003A59F0" w:rsidP="001531B6">
            <w:pPr>
              <w:jc w:val="center"/>
              <w:rPr>
                <w:sz w:val="20"/>
              </w:rPr>
            </w:pPr>
            <w:r w:rsidRPr="005E3885">
              <w:rPr>
                <w:sz w:val="20"/>
              </w:rPr>
              <w:t>x</w:t>
            </w:r>
          </w:p>
        </w:tc>
        <w:tc>
          <w:tcPr>
            <w:tcW w:w="580" w:type="dxa"/>
            <w:shd w:val="clear" w:color="auto" w:fill="auto"/>
          </w:tcPr>
          <w:p w14:paraId="38CB9830" w14:textId="77777777" w:rsidR="003A59F0" w:rsidRPr="005E3885" w:rsidRDefault="003A59F0" w:rsidP="001531B6">
            <w:pPr>
              <w:jc w:val="center"/>
              <w:rPr>
                <w:sz w:val="20"/>
              </w:rPr>
            </w:pPr>
            <w:r w:rsidRPr="005E3885">
              <w:rPr>
                <w:sz w:val="20"/>
              </w:rPr>
              <w:t>x</w:t>
            </w:r>
          </w:p>
        </w:tc>
        <w:tc>
          <w:tcPr>
            <w:tcW w:w="572" w:type="dxa"/>
            <w:shd w:val="clear" w:color="auto" w:fill="auto"/>
          </w:tcPr>
          <w:p w14:paraId="759A2980" w14:textId="77777777" w:rsidR="003A59F0" w:rsidRPr="005E3885" w:rsidRDefault="003A59F0" w:rsidP="001531B6">
            <w:pPr>
              <w:jc w:val="center"/>
              <w:rPr>
                <w:sz w:val="20"/>
              </w:rPr>
            </w:pPr>
            <w:r w:rsidRPr="005E3885">
              <w:rPr>
                <w:sz w:val="20"/>
              </w:rPr>
              <w:t>x</w:t>
            </w:r>
          </w:p>
        </w:tc>
        <w:tc>
          <w:tcPr>
            <w:tcW w:w="574" w:type="dxa"/>
            <w:shd w:val="clear" w:color="auto" w:fill="auto"/>
          </w:tcPr>
          <w:p w14:paraId="3637046B" w14:textId="77777777" w:rsidR="003A59F0" w:rsidRPr="005E3885" w:rsidRDefault="003A59F0" w:rsidP="001531B6">
            <w:pPr>
              <w:jc w:val="center"/>
              <w:rPr>
                <w:sz w:val="20"/>
              </w:rPr>
            </w:pPr>
            <w:r w:rsidRPr="005E3885">
              <w:rPr>
                <w:sz w:val="20"/>
              </w:rPr>
              <w:t>x</w:t>
            </w:r>
          </w:p>
        </w:tc>
        <w:tc>
          <w:tcPr>
            <w:tcW w:w="580" w:type="dxa"/>
            <w:shd w:val="clear" w:color="auto" w:fill="auto"/>
          </w:tcPr>
          <w:p w14:paraId="77B14C84" w14:textId="77777777" w:rsidR="003A59F0" w:rsidRPr="005E3885" w:rsidRDefault="003A59F0" w:rsidP="001531B6">
            <w:pPr>
              <w:jc w:val="center"/>
              <w:rPr>
                <w:sz w:val="20"/>
              </w:rPr>
            </w:pPr>
            <w:r w:rsidRPr="005E3885">
              <w:rPr>
                <w:sz w:val="20"/>
              </w:rPr>
              <w:t>x</w:t>
            </w:r>
          </w:p>
        </w:tc>
        <w:tc>
          <w:tcPr>
            <w:tcW w:w="2837" w:type="dxa"/>
            <w:shd w:val="clear" w:color="auto" w:fill="auto"/>
          </w:tcPr>
          <w:p w14:paraId="67D16760" w14:textId="77777777" w:rsidR="003A59F0" w:rsidRPr="005E3885" w:rsidRDefault="003A59F0" w:rsidP="001531B6">
            <w:pPr>
              <w:rPr>
                <w:sz w:val="20"/>
              </w:rPr>
            </w:pPr>
          </w:p>
        </w:tc>
      </w:tr>
      <w:tr w:rsidR="003A59F0" w:rsidRPr="005E3885" w14:paraId="1BC3A39D" w14:textId="77777777" w:rsidTr="001531B6">
        <w:trPr>
          <w:cantSplit/>
        </w:trPr>
        <w:tc>
          <w:tcPr>
            <w:tcW w:w="3339" w:type="dxa"/>
          </w:tcPr>
          <w:p w14:paraId="77DF4151" w14:textId="77777777" w:rsidR="003A59F0" w:rsidRPr="005E3885" w:rsidRDefault="003A59F0" w:rsidP="001531B6">
            <w:pPr>
              <w:rPr>
                <w:sz w:val="20"/>
              </w:rPr>
            </w:pPr>
            <w:r w:rsidRPr="005E3885">
              <w:rPr>
                <w:sz w:val="20"/>
              </w:rPr>
              <w:t>1000 series</w:t>
            </w:r>
          </w:p>
        </w:tc>
        <w:tc>
          <w:tcPr>
            <w:tcW w:w="577" w:type="dxa"/>
            <w:shd w:val="clear" w:color="auto" w:fill="auto"/>
          </w:tcPr>
          <w:p w14:paraId="4AD9BCE2" w14:textId="77777777" w:rsidR="003A59F0" w:rsidRPr="005E3885" w:rsidRDefault="003A59F0" w:rsidP="001531B6">
            <w:pPr>
              <w:jc w:val="center"/>
              <w:rPr>
                <w:sz w:val="20"/>
              </w:rPr>
            </w:pPr>
            <w:r w:rsidRPr="005E3885">
              <w:rPr>
                <w:sz w:val="20"/>
              </w:rPr>
              <w:t>x</w:t>
            </w:r>
          </w:p>
        </w:tc>
        <w:tc>
          <w:tcPr>
            <w:tcW w:w="580" w:type="dxa"/>
            <w:shd w:val="clear" w:color="auto" w:fill="auto"/>
          </w:tcPr>
          <w:p w14:paraId="1E2FF8B4" w14:textId="77777777" w:rsidR="003A59F0" w:rsidRPr="005E3885" w:rsidRDefault="003A59F0" w:rsidP="001531B6">
            <w:pPr>
              <w:jc w:val="center"/>
              <w:rPr>
                <w:sz w:val="20"/>
              </w:rPr>
            </w:pPr>
            <w:r w:rsidRPr="005E3885">
              <w:rPr>
                <w:sz w:val="20"/>
              </w:rPr>
              <w:t>x</w:t>
            </w:r>
          </w:p>
        </w:tc>
        <w:tc>
          <w:tcPr>
            <w:tcW w:w="580" w:type="dxa"/>
            <w:shd w:val="clear" w:color="auto" w:fill="auto"/>
          </w:tcPr>
          <w:p w14:paraId="3164D99F" w14:textId="77777777" w:rsidR="003A59F0" w:rsidRPr="005E3885" w:rsidRDefault="003A59F0" w:rsidP="001531B6">
            <w:pPr>
              <w:jc w:val="center"/>
              <w:rPr>
                <w:sz w:val="20"/>
              </w:rPr>
            </w:pPr>
            <w:r w:rsidRPr="005E3885">
              <w:rPr>
                <w:sz w:val="20"/>
              </w:rPr>
              <w:t>x</w:t>
            </w:r>
          </w:p>
        </w:tc>
        <w:tc>
          <w:tcPr>
            <w:tcW w:w="572" w:type="dxa"/>
            <w:shd w:val="clear" w:color="auto" w:fill="auto"/>
          </w:tcPr>
          <w:p w14:paraId="04FD8680" w14:textId="77777777" w:rsidR="003A59F0" w:rsidRPr="005E3885" w:rsidRDefault="003A59F0" w:rsidP="001531B6">
            <w:pPr>
              <w:jc w:val="center"/>
              <w:rPr>
                <w:sz w:val="20"/>
              </w:rPr>
            </w:pPr>
            <w:r w:rsidRPr="005E3885">
              <w:rPr>
                <w:sz w:val="20"/>
              </w:rPr>
              <w:t>x</w:t>
            </w:r>
          </w:p>
        </w:tc>
        <w:tc>
          <w:tcPr>
            <w:tcW w:w="574" w:type="dxa"/>
            <w:shd w:val="clear" w:color="auto" w:fill="auto"/>
          </w:tcPr>
          <w:p w14:paraId="0D1D98E5" w14:textId="77777777" w:rsidR="003A59F0" w:rsidRPr="005E3885" w:rsidRDefault="003A59F0" w:rsidP="001531B6">
            <w:pPr>
              <w:jc w:val="center"/>
              <w:rPr>
                <w:sz w:val="20"/>
              </w:rPr>
            </w:pPr>
            <w:r w:rsidRPr="005E3885">
              <w:rPr>
                <w:sz w:val="20"/>
              </w:rPr>
              <w:t>x</w:t>
            </w:r>
          </w:p>
        </w:tc>
        <w:tc>
          <w:tcPr>
            <w:tcW w:w="580" w:type="dxa"/>
            <w:shd w:val="clear" w:color="auto" w:fill="auto"/>
          </w:tcPr>
          <w:p w14:paraId="437F4C1A" w14:textId="77777777" w:rsidR="003A59F0" w:rsidRPr="005E3885" w:rsidRDefault="003A59F0" w:rsidP="001531B6">
            <w:pPr>
              <w:jc w:val="center"/>
              <w:rPr>
                <w:sz w:val="20"/>
              </w:rPr>
            </w:pPr>
            <w:r w:rsidRPr="005E3885">
              <w:rPr>
                <w:sz w:val="20"/>
              </w:rPr>
              <w:t>x</w:t>
            </w:r>
          </w:p>
        </w:tc>
        <w:tc>
          <w:tcPr>
            <w:tcW w:w="2837" w:type="dxa"/>
            <w:shd w:val="clear" w:color="auto" w:fill="auto"/>
          </w:tcPr>
          <w:p w14:paraId="05976328" w14:textId="77777777" w:rsidR="003A59F0" w:rsidRPr="005E3885" w:rsidRDefault="003A59F0" w:rsidP="001531B6">
            <w:pPr>
              <w:rPr>
                <w:sz w:val="20"/>
              </w:rPr>
            </w:pPr>
          </w:p>
        </w:tc>
      </w:tr>
      <w:tr w:rsidR="003A59F0" w:rsidRPr="005E3885" w14:paraId="505E28D4" w14:textId="77777777" w:rsidTr="001531B6">
        <w:trPr>
          <w:cantSplit/>
        </w:trPr>
        <w:tc>
          <w:tcPr>
            <w:tcW w:w="3339" w:type="dxa"/>
          </w:tcPr>
          <w:p w14:paraId="3B688CB6" w14:textId="77777777" w:rsidR="003A59F0" w:rsidRPr="005E3885" w:rsidRDefault="003A59F0" w:rsidP="001531B6">
            <w:pPr>
              <w:rPr>
                <w:sz w:val="20"/>
                <w:lang w:val="fr-FR"/>
              </w:rPr>
            </w:pPr>
            <w:r w:rsidRPr="005E3885">
              <w:rPr>
                <w:sz w:val="20"/>
                <w:lang w:val="fr-FR"/>
              </w:rPr>
              <w:t xml:space="preserve">Agendas </w:t>
            </w:r>
          </w:p>
        </w:tc>
        <w:tc>
          <w:tcPr>
            <w:tcW w:w="577" w:type="dxa"/>
            <w:shd w:val="clear" w:color="auto" w:fill="auto"/>
          </w:tcPr>
          <w:p w14:paraId="34EAF151" w14:textId="77777777" w:rsidR="003A59F0" w:rsidRPr="005E3885" w:rsidRDefault="003A59F0" w:rsidP="001531B6">
            <w:pPr>
              <w:jc w:val="center"/>
              <w:rPr>
                <w:sz w:val="20"/>
              </w:rPr>
            </w:pPr>
            <w:r w:rsidRPr="005E3885">
              <w:rPr>
                <w:sz w:val="20"/>
              </w:rPr>
              <w:t>x</w:t>
            </w:r>
          </w:p>
        </w:tc>
        <w:tc>
          <w:tcPr>
            <w:tcW w:w="580" w:type="dxa"/>
            <w:shd w:val="clear" w:color="auto" w:fill="auto"/>
          </w:tcPr>
          <w:p w14:paraId="34388A0B" w14:textId="77777777" w:rsidR="003A59F0" w:rsidRPr="005E3885" w:rsidRDefault="003A59F0" w:rsidP="001531B6">
            <w:pPr>
              <w:jc w:val="center"/>
              <w:rPr>
                <w:sz w:val="20"/>
              </w:rPr>
            </w:pPr>
            <w:r w:rsidRPr="005E3885">
              <w:rPr>
                <w:sz w:val="20"/>
              </w:rPr>
              <w:t>x</w:t>
            </w:r>
          </w:p>
        </w:tc>
        <w:tc>
          <w:tcPr>
            <w:tcW w:w="580" w:type="dxa"/>
            <w:shd w:val="clear" w:color="auto" w:fill="auto"/>
          </w:tcPr>
          <w:p w14:paraId="781484C3" w14:textId="77777777" w:rsidR="003A59F0" w:rsidRPr="005E3885" w:rsidRDefault="003A59F0" w:rsidP="001531B6">
            <w:pPr>
              <w:jc w:val="center"/>
              <w:rPr>
                <w:sz w:val="20"/>
              </w:rPr>
            </w:pPr>
            <w:r w:rsidRPr="005E3885">
              <w:rPr>
                <w:sz w:val="20"/>
              </w:rPr>
              <w:t>x</w:t>
            </w:r>
          </w:p>
        </w:tc>
        <w:tc>
          <w:tcPr>
            <w:tcW w:w="572" w:type="dxa"/>
            <w:shd w:val="clear" w:color="auto" w:fill="auto"/>
          </w:tcPr>
          <w:p w14:paraId="46361298" w14:textId="77777777" w:rsidR="003A59F0" w:rsidRPr="005E3885" w:rsidRDefault="003A59F0" w:rsidP="001531B6">
            <w:pPr>
              <w:jc w:val="center"/>
              <w:rPr>
                <w:sz w:val="20"/>
              </w:rPr>
            </w:pPr>
            <w:r w:rsidRPr="005E3885">
              <w:rPr>
                <w:sz w:val="20"/>
              </w:rPr>
              <w:t>x</w:t>
            </w:r>
          </w:p>
        </w:tc>
        <w:tc>
          <w:tcPr>
            <w:tcW w:w="574" w:type="dxa"/>
            <w:shd w:val="clear" w:color="auto" w:fill="auto"/>
          </w:tcPr>
          <w:p w14:paraId="23741E79" w14:textId="77777777" w:rsidR="003A59F0" w:rsidRPr="005E3885" w:rsidRDefault="003A59F0" w:rsidP="001531B6">
            <w:pPr>
              <w:jc w:val="center"/>
              <w:rPr>
                <w:sz w:val="20"/>
              </w:rPr>
            </w:pPr>
            <w:r w:rsidRPr="005E3885">
              <w:rPr>
                <w:sz w:val="20"/>
              </w:rPr>
              <w:t>x</w:t>
            </w:r>
          </w:p>
        </w:tc>
        <w:tc>
          <w:tcPr>
            <w:tcW w:w="580" w:type="dxa"/>
            <w:shd w:val="clear" w:color="auto" w:fill="auto"/>
          </w:tcPr>
          <w:p w14:paraId="38C1C5D9" w14:textId="77777777" w:rsidR="003A59F0" w:rsidRPr="005E3885" w:rsidRDefault="003A59F0" w:rsidP="001531B6">
            <w:pPr>
              <w:jc w:val="center"/>
              <w:rPr>
                <w:sz w:val="20"/>
              </w:rPr>
            </w:pPr>
            <w:r w:rsidRPr="005E3885">
              <w:rPr>
                <w:sz w:val="20"/>
              </w:rPr>
              <w:t>x</w:t>
            </w:r>
          </w:p>
        </w:tc>
        <w:tc>
          <w:tcPr>
            <w:tcW w:w="2837" w:type="dxa"/>
            <w:shd w:val="clear" w:color="auto" w:fill="auto"/>
          </w:tcPr>
          <w:p w14:paraId="7CCFF104" w14:textId="77777777" w:rsidR="003A59F0" w:rsidRPr="005E3885" w:rsidRDefault="003A59F0" w:rsidP="001531B6">
            <w:pPr>
              <w:rPr>
                <w:sz w:val="20"/>
                <w:lang w:val="fr-FR"/>
              </w:rPr>
            </w:pPr>
          </w:p>
        </w:tc>
      </w:tr>
      <w:tr w:rsidR="003A59F0" w:rsidRPr="005E3885" w14:paraId="722BFE5D" w14:textId="77777777" w:rsidTr="001531B6">
        <w:trPr>
          <w:cantSplit/>
        </w:trPr>
        <w:tc>
          <w:tcPr>
            <w:tcW w:w="3339" w:type="dxa"/>
          </w:tcPr>
          <w:p w14:paraId="475128F4" w14:textId="77777777" w:rsidR="003A59F0" w:rsidRPr="005E3885" w:rsidRDefault="003A59F0" w:rsidP="001531B6">
            <w:pPr>
              <w:rPr>
                <w:sz w:val="20"/>
                <w:lang w:val="fr-FR"/>
              </w:rPr>
            </w:pPr>
            <w:r w:rsidRPr="005E3885">
              <w:rPr>
                <w:sz w:val="20"/>
                <w:lang w:val="fr-FR"/>
              </w:rPr>
              <w:t>Information documents</w:t>
            </w:r>
          </w:p>
        </w:tc>
        <w:tc>
          <w:tcPr>
            <w:tcW w:w="577" w:type="dxa"/>
            <w:shd w:val="clear" w:color="auto" w:fill="auto"/>
          </w:tcPr>
          <w:p w14:paraId="0F9CED9D" w14:textId="77777777" w:rsidR="003A59F0" w:rsidRPr="005E3885" w:rsidRDefault="003A59F0" w:rsidP="001531B6">
            <w:pPr>
              <w:jc w:val="center"/>
              <w:rPr>
                <w:sz w:val="20"/>
              </w:rPr>
            </w:pPr>
            <w:r w:rsidRPr="005E3885">
              <w:rPr>
                <w:sz w:val="20"/>
              </w:rPr>
              <w:t>x</w:t>
            </w:r>
          </w:p>
        </w:tc>
        <w:tc>
          <w:tcPr>
            <w:tcW w:w="580" w:type="dxa"/>
            <w:shd w:val="clear" w:color="auto" w:fill="auto"/>
          </w:tcPr>
          <w:p w14:paraId="125452C4" w14:textId="77777777" w:rsidR="003A59F0" w:rsidRPr="008F5324" w:rsidRDefault="003A59F0" w:rsidP="001531B6">
            <w:pPr>
              <w:jc w:val="center"/>
              <w:rPr>
                <w:color w:val="FF0000"/>
                <w:sz w:val="20"/>
                <w:u w:val="single"/>
              </w:rPr>
            </w:pPr>
            <w:r w:rsidRPr="008F5324">
              <w:rPr>
                <w:color w:val="FF0000"/>
                <w:sz w:val="20"/>
                <w:u w:val="single"/>
              </w:rPr>
              <w:t>x</w:t>
            </w:r>
          </w:p>
        </w:tc>
        <w:tc>
          <w:tcPr>
            <w:tcW w:w="580" w:type="dxa"/>
            <w:shd w:val="clear" w:color="auto" w:fill="auto"/>
          </w:tcPr>
          <w:p w14:paraId="47F7DB8E" w14:textId="77777777" w:rsidR="003A59F0" w:rsidRPr="008F5324" w:rsidRDefault="003A59F0" w:rsidP="001531B6">
            <w:pPr>
              <w:jc w:val="center"/>
              <w:rPr>
                <w:color w:val="FF0000"/>
                <w:sz w:val="20"/>
                <w:u w:val="single"/>
              </w:rPr>
            </w:pPr>
            <w:r w:rsidRPr="008F5324">
              <w:rPr>
                <w:color w:val="FF0000"/>
                <w:sz w:val="20"/>
                <w:u w:val="single"/>
              </w:rPr>
              <w:t>x</w:t>
            </w:r>
          </w:p>
        </w:tc>
        <w:tc>
          <w:tcPr>
            <w:tcW w:w="572" w:type="dxa"/>
            <w:shd w:val="clear" w:color="auto" w:fill="auto"/>
          </w:tcPr>
          <w:p w14:paraId="0AAEB2D4" w14:textId="77777777" w:rsidR="003A59F0" w:rsidRPr="008F5324" w:rsidRDefault="003A59F0" w:rsidP="001531B6">
            <w:pPr>
              <w:jc w:val="center"/>
              <w:rPr>
                <w:color w:val="FF0000"/>
                <w:sz w:val="20"/>
                <w:u w:val="single"/>
              </w:rPr>
            </w:pPr>
            <w:r w:rsidRPr="008F5324">
              <w:rPr>
                <w:color w:val="FF0000"/>
                <w:sz w:val="20"/>
                <w:u w:val="single"/>
              </w:rPr>
              <w:t>x</w:t>
            </w:r>
          </w:p>
        </w:tc>
        <w:tc>
          <w:tcPr>
            <w:tcW w:w="574" w:type="dxa"/>
            <w:shd w:val="clear" w:color="auto" w:fill="auto"/>
          </w:tcPr>
          <w:p w14:paraId="6B0F1321" w14:textId="77777777" w:rsidR="003A59F0" w:rsidRPr="008F5324" w:rsidRDefault="003A59F0" w:rsidP="001531B6">
            <w:pPr>
              <w:jc w:val="center"/>
              <w:rPr>
                <w:color w:val="FF0000"/>
                <w:sz w:val="20"/>
                <w:u w:val="single"/>
              </w:rPr>
            </w:pPr>
            <w:r w:rsidRPr="008F5324">
              <w:rPr>
                <w:color w:val="FF0000"/>
                <w:sz w:val="20"/>
                <w:u w:val="single"/>
              </w:rPr>
              <w:t>x</w:t>
            </w:r>
          </w:p>
        </w:tc>
        <w:tc>
          <w:tcPr>
            <w:tcW w:w="580" w:type="dxa"/>
            <w:shd w:val="clear" w:color="auto" w:fill="auto"/>
          </w:tcPr>
          <w:p w14:paraId="3C5DC7F5" w14:textId="77777777" w:rsidR="003A59F0" w:rsidRPr="008F5324" w:rsidRDefault="003A59F0" w:rsidP="001531B6">
            <w:pPr>
              <w:jc w:val="center"/>
              <w:rPr>
                <w:color w:val="FF0000"/>
                <w:sz w:val="20"/>
                <w:u w:val="single"/>
              </w:rPr>
            </w:pPr>
            <w:r w:rsidRPr="008F5324">
              <w:rPr>
                <w:color w:val="FF0000"/>
                <w:sz w:val="20"/>
                <w:u w:val="single"/>
              </w:rPr>
              <w:t>x</w:t>
            </w:r>
          </w:p>
        </w:tc>
        <w:tc>
          <w:tcPr>
            <w:tcW w:w="2837" w:type="dxa"/>
            <w:shd w:val="clear" w:color="auto" w:fill="auto"/>
          </w:tcPr>
          <w:p w14:paraId="74CCDC4A" w14:textId="77777777" w:rsidR="003A59F0" w:rsidRPr="008F5324" w:rsidRDefault="003A59F0" w:rsidP="001531B6">
            <w:pPr>
              <w:rPr>
                <w:sz w:val="20"/>
                <w:u w:val="single"/>
              </w:rPr>
            </w:pPr>
            <w:r w:rsidRPr="008F5324">
              <w:rPr>
                <w:color w:val="FF0000"/>
                <w:sz w:val="20"/>
                <w:u w:val="single"/>
                <w:lang w:val="en-US"/>
              </w:rPr>
              <w:t xml:space="preserve">Depends on </w:t>
            </w:r>
            <w:bookmarkStart w:id="66" w:name="_GoBack"/>
            <w:bookmarkEnd w:id="66"/>
            <w:r w:rsidRPr="008F5324">
              <w:rPr>
                <w:color w:val="FF0000"/>
                <w:sz w:val="20"/>
                <w:u w:val="single"/>
                <w:lang w:val="en-US"/>
              </w:rPr>
              <w:t>contents</w:t>
            </w:r>
          </w:p>
        </w:tc>
      </w:tr>
      <w:tr w:rsidR="003A59F0" w:rsidRPr="005E3885" w14:paraId="5FE10121" w14:textId="77777777" w:rsidTr="001531B6">
        <w:trPr>
          <w:cantSplit/>
        </w:trPr>
        <w:tc>
          <w:tcPr>
            <w:tcW w:w="3339" w:type="dxa"/>
          </w:tcPr>
          <w:p w14:paraId="1CCA1CD0" w14:textId="77777777" w:rsidR="003A59F0" w:rsidRPr="005E3885" w:rsidRDefault="003A59F0" w:rsidP="001531B6">
            <w:pPr>
              <w:rPr>
                <w:sz w:val="20"/>
              </w:rPr>
            </w:pPr>
            <w:r w:rsidRPr="005E3885">
              <w:rPr>
                <w:sz w:val="20"/>
              </w:rPr>
              <w:t>Lists of participants</w:t>
            </w:r>
          </w:p>
        </w:tc>
        <w:tc>
          <w:tcPr>
            <w:tcW w:w="577" w:type="dxa"/>
            <w:shd w:val="clear" w:color="auto" w:fill="auto"/>
          </w:tcPr>
          <w:p w14:paraId="10C0281D" w14:textId="77777777" w:rsidR="003A59F0" w:rsidRPr="005E3885" w:rsidRDefault="003A59F0" w:rsidP="001531B6">
            <w:pPr>
              <w:jc w:val="center"/>
              <w:rPr>
                <w:sz w:val="20"/>
              </w:rPr>
            </w:pPr>
            <w:r w:rsidRPr="005E3885">
              <w:rPr>
                <w:sz w:val="20"/>
              </w:rPr>
              <w:t>x</w:t>
            </w:r>
          </w:p>
        </w:tc>
        <w:tc>
          <w:tcPr>
            <w:tcW w:w="580" w:type="dxa"/>
            <w:shd w:val="clear" w:color="auto" w:fill="auto"/>
          </w:tcPr>
          <w:p w14:paraId="36CF9E21" w14:textId="77777777" w:rsidR="003A59F0" w:rsidRPr="005E3885" w:rsidRDefault="003A59F0" w:rsidP="001531B6">
            <w:pPr>
              <w:jc w:val="center"/>
              <w:rPr>
                <w:sz w:val="20"/>
              </w:rPr>
            </w:pPr>
          </w:p>
        </w:tc>
        <w:tc>
          <w:tcPr>
            <w:tcW w:w="580" w:type="dxa"/>
            <w:shd w:val="clear" w:color="auto" w:fill="auto"/>
          </w:tcPr>
          <w:p w14:paraId="55F2174D" w14:textId="77777777" w:rsidR="003A59F0" w:rsidRPr="005E3885" w:rsidRDefault="003A59F0" w:rsidP="001531B6">
            <w:pPr>
              <w:jc w:val="center"/>
              <w:rPr>
                <w:sz w:val="20"/>
              </w:rPr>
            </w:pPr>
          </w:p>
        </w:tc>
        <w:tc>
          <w:tcPr>
            <w:tcW w:w="572" w:type="dxa"/>
            <w:shd w:val="clear" w:color="auto" w:fill="auto"/>
          </w:tcPr>
          <w:p w14:paraId="4374D178" w14:textId="77777777" w:rsidR="003A59F0" w:rsidRPr="005E3885" w:rsidRDefault="003A59F0" w:rsidP="001531B6">
            <w:pPr>
              <w:jc w:val="center"/>
              <w:rPr>
                <w:sz w:val="20"/>
              </w:rPr>
            </w:pPr>
          </w:p>
        </w:tc>
        <w:tc>
          <w:tcPr>
            <w:tcW w:w="574" w:type="dxa"/>
            <w:shd w:val="clear" w:color="auto" w:fill="auto"/>
          </w:tcPr>
          <w:p w14:paraId="7394C308" w14:textId="77777777" w:rsidR="003A59F0" w:rsidRPr="005E3885" w:rsidRDefault="003A59F0" w:rsidP="001531B6">
            <w:pPr>
              <w:jc w:val="center"/>
              <w:rPr>
                <w:sz w:val="20"/>
              </w:rPr>
            </w:pPr>
          </w:p>
        </w:tc>
        <w:tc>
          <w:tcPr>
            <w:tcW w:w="580" w:type="dxa"/>
            <w:shd w:val="clear" w:color="auto" w:fill="auto"/>
          </w:tcPr>
          <w:p w14:paraId="2D0AECF7" w14:textId="77777777" w:rsidR="003A59F0" w:rsidRPr="005E3885" w:rsidRDefault="003A59F0" w:rsidP="001531B6">
            <w:pPr>
              <w:jc w:val="center"/>
              <w:rPr>
                <w:sz w:val="20"/>
              </w:rPr>
            </w:pPr>
          </w:p>
        </w:tc>
        <w:tc>
          <w:tcPr>
            <w:tcW w:w="2837" w:type="dxa"/>
            <w:shd w:val="clear" w:color="auto" w:fill="auto"/>
          </w:tcPr>
          <w:p w14:paraId="1731784E" w14:textId="77777777" w:rsidR="003A59F0" w:rsidRPr="005E3885" w:rsidRDefault="003A59F0" w:rsidP="001531B6">
            <w:pPr>
              <w:rPr>
                <w:sz w:val="20"/>
              </w:rPr>
            </w:pPr>
          </w:p>
        </w:tc>
      </w:tr>
      <w:tr w:rsidR="003A59F0" w:rsidRPr="005E3885" w14:paraId="04627EFF" w14:textId="77777777" w:rsidTr="001531B6">
        <w:trPr>
          <w:cantSplit/>
        </w:trPr>
        <w:tc>
          <w:tcPr>
            <w:tcW w:w="3339" w:type="dxa"/>
            <w:tcBorders>
              <w:bottom w:val="single" w:sz="4" w:space="0" w:color="auto"/>
            </w:tcBorders>
          </w:tcPr>
          <w:p w14:paraId="55F5430D" w14:textId="77777777" w:rsidR="003A59F0" w:rsidRPr="005E3885" w:rsidRDefault="003A59F0" w:rsidP="001531B6">
            <w:pPr>
              <w:rPr>
                <w:sz w:val="20"/>
              </w:rPr>
            </w:pPr>
            <w:r w:rsidRPr="005E3885">
              <w:rPr>
                <w:sz w:val="20"/>
              </w:rPr>
              <w:t>Resolutions</w:t>
            </w:r>
          </w:p>
        </w:tc>
        <w:tc>
          <w:tcPr>
            <w:tcW w:w="577" w:type="dxa"/>
            <w:tcBorders>
              <w:bottom w:val="single" w:sz="4" w:space="0" w:color="auto"/>
            </w:tcBorders>
            <w:shd w:val="clear" w:color="auto" w:fill="auto"/>
          </w:tcPr>
          <w:p w14:paraId="3D1A316D"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auto"/>
          </w:tcPr>
          <w:p w14:paraId="30E6E50F"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auto"/>
          </w:tcPr>
          <w:p w14:paraId="24EE4EB6" w14:textId="77777777" w:rsidR="003A59F0" w:rsidRPr="005E3885" w:rsidRDefault="003A59F0" w:rsidP="001531B6">
            <w:pPr>
              <w:jc w:val="center"/>
              <w:rPr>
                <w:sz w:val="20"/>
              </w:rPr>
            </w:pPr>
            <w:r w:rsidRPr="005E3885">
              <w:rPr>
                <w:sz w:val="20"/>
              </w:rPr>
              <w:t>x</w:t>
            </w:r>
          </w:p>
        </w:tc>
        <w:tc>
          <w:tcPr>
            <w:tcW w:w="572" w:type="dxa"/>
            <w:tcBorders>
              <w:bottom w:val="single" w:sz="4" w:space="0" w:color="auto"/>
            </w:tcBorders>
            <w:shd w:val="clear" w:color="auto" w:fill="auto"/>
          </w:tcPr>
          <w:p w14:paraId="654E62EC" w14:textId="77777777" w:rsidR="003A59F0" w:rsidRPr="005E3885" w:rsidRDefault="003A59F0" w:rsidP="001531B6">
            <w:pPr>
              <w:jc w:val="center"/>
              <w:rPr>
                <w:sz w:val="20"/>
              </w:rPr>
            </w:pPr>
            <w:r w:rsidRPr="005E3885">
              <w:rPr>
                <w:sz w:val="20"/>
              </w:rPr>
              <w:t>x</w:t>
            </w:r>
          </w:p>
        </w:tc>
        <w:tc>
          <w:tcPr>
            <w:tcW w:w="574" w:type="dxa"/>
            <w:tcBorders>
              <w:bottom w:val="single" w:sz="4" w:space="0" w:color="auto"/>
            </w:tcBorders>
            <w:shd w:val="clear" w:color="auto" w:fill="auto"/>
          </w:tcPr>
          <w:p w14:paraId="0B35EA87"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auto"/>
          </w:tcPr>
          <w:p w14:paraId="2E72FB03" w14:textId="77777777" w:rsidR="003A59F0" w:rsidRPr="005E3885" w:rsidRDefault="003A59F0" w:rsidP="001531B6">
            <w:pPr>
              <w:jc w:val="center"/>
              <w:rPr>
                <w:sz w:val="20"/>
              </w:rPr>
            </w:pPr>
            <w:r w:rsidRPr="005E3885">
              <w:rPr>
                <w:sz w:val="20"/>
              </w:rPr>
              <w:t>x</w:t>
            </w:r>
          </w:p>
        </w:tc>
        <w:tc>
          <w:tcPr>
            <w:tcW w:w="2837" w:type="dxa"/>
            <w:tcBorders>
              <w:bottom w:val="single" w:sz="4" w:space="0" w:color="auto"/>
            </w:tcBorders>
            <w:shd w:val="clear" w:color="auto" w:fill="auto"/>
          </w:tcPr>
          <w:p w14:paraId="0C145DE3" w14:textId="77777777" w:rsidR="003A59F0" w:rsidRPr="005E3885" w:rsidRDefault="003A59F0" w:rsidP="001531B6">
            <w:pPr>
              <w:rPr>
                <w:sz w:val="20"/>
              </w:rPr>
            </w:pPr>
          </w:p>
        </w:tc>
      </w:tr>
      <w:tr w:rsidR="003A59F0" w:rsidRPr="005E3885" w14:paraId="128E9DFE" w14:textId="77777777" w:rsidTr="001531B6">
        <w:trPr>
          <w:cantSplit/>
        </w:trPr>
        <w:tc>
          <w:tcPr>
            <w:tcW w:w="3339" w:type="dxa"/>
            <w:tcBorders>
              <w:bottom w:val="single" w:sz="4" w:space="0" w:color="auto"/>
            </w:tcBorders>
            <w:shd w:val="clear" w:color="auto" w:fill="99CCFF"/>
          </w:tcPr>
          <w:p w14:paraId="51AEB296" w14:textId="77777777" w:rsidR="003A59F0" w:rsidRPr="005E3885" w:rsidRDefault="003A59F0" w:rsidP="001531B6">
            <w:pPr>
              <w:spacing w:before="60"/>
              <w:rPr>
                <w:b/>
                <w:bCs/>
                <w:sz w:val="20"/>
                <w:u w:val="single"/>
              </w:rPr>
            </w:pPr>
            <w:r w:rsidRPr="005E3885">
              <w:rPr>
                <w:b/>
                <w:bCs/>
                <w:sz w:val="20"/>
                <w:u w:val="single"/>
              </w:rPr>
              <w:t>2 WRC</w:t>
            </w:r>
          </w:p>
        </w:tc>
        <w:tc>
          <w:tcPr>
            <w:tcW w:w="577" w:type="dxa"/>
            <w:tcBorders>
              <w:bottom w:val="single" w:sz="4" w:space="0" w:color="auto"/>
            </w:tcBorders>
            <w:shd w:val="clear" w:color="auto" w:fill="99CCFF"/>
          </w:tcPr>
          <w:p w14:paraId="3605F5F1" w14:textId="77777777" w:rsidR="003A59F0" w:rsidRPr="005E3885" w:rsidRDefault="003A59F0" w:rsidP="001531B6">
            <w:pPr>
              <w:keepLines/>
              <w:tabs>
                <w:tab w:val="left" w:pos="255"/>
                <w:tab w:val="left" w:pos="567"/>
              </w:tabs>
              <w:spacing w:before="60" w:after="60"/>
              <w:ind w:left="255" w:hanging="255"/>
              <w:jc w:val="center"/>
              <w:rPr>
                <w:sz w:val="20"/>
                <w:lang w:val="en-US"/>
              </w:rPr>
            </w:pPr>
          </w:p>
        </w:tc>
        <w:tc>
          <w:tcPr>
            <w:tcW w:w="580" w:type="dxa"/>
            <w:tcBorders>
              <w:bottom w:val="single" w:sz="4" w:space="0" w:color="auto"/>
            </w:tcBorders>
            <w:shd w:val="clear" w:color="auto" w:fill="99CCFF"/>
          </w:tcPr>
          <w:p w14:paraId="1DB8E30A" w14:textId="77777777" w:rsidR="003A59F0" w:rsidRPr="005E3885" w:rsidRDefault="003A59F0" w:rsidP="001531B6">
            <w:pPr>
              <w:keepLines/>
              <w:tabs>
                <w:tab w:val="left" w:pos="255"/>
                <w:tab w:val="left" w:pos="567"/>
              </w:tabs>
              <w:spacing w:before="60" w:after="60"/>
              <w:ind w:left="255" w:hanging="255"/>
              <w:jc w:val="center"/>
              <w:rPr>
                <w:sz w:val="20"/>
                <w:lang w:val="en-US"/>
              </w:rPr>
            </w:pPr>
          </w:p>
        </w:tc>
        <w:tc>
          <w:tcPr>
            <w:tcW w:w="580" w:type="dxa"/>
            <w:tcBorders>
              <w:bottom w:val="single" w:sz="4" w:space="0" w:color="auto"/>
            </w:tcBorders>
            <w:shd w:val="clear" w:color="auto" w:fill="99CCFF"/>
          </w:tcPr>
          <w:p w14:paraId="58EAAADB" w14:textId="77777777" w:rsidR="003A59F0" w:rsidRPr="005E3885" w:rsidRDefault="003A59F0" w:rsidP="001531B6">
            <w:pPr>
              <w:keepLines/>
              <w:tabs>
                <w:tab w:val="left" w:pos="255"/>
                <w:tab w:val="left" w:pos="567"/>
              </w:tabs>
              <w:spacing w:before="60" w:after="60"/>
              <w:ind w:left="255" w:hanging="255"/>
              <w:jc w:val="center"/>
              <w:rPr>
                <w:sz w:val="20"/>
                <w:lang w:val="en-US"/>
              </w:rPr>
            </w:pPr>
          </w:p>
        </w:tc>
        <w:tc>
          <w:tcPr>
            <w:tcW w:w="572" w:type="dxa"/>
            <w:tcBorders>
              <w:bottom w:val="single" w:sz="4" w:space="0" w:color="auto"/>
            </w:tcBorders>
            <w:shd w:val="clear" w:color="auto" w:fill="99CCFF"/>
          </w:tcPr>
          <w:p w14:paraId="3DA9848D" w14:textId="77777777" w:rsidR="003A59F0" w:rsidRPr="005E3885" w:rsidRDefault="003A59F0" w:rsidP="001531B6">
            <w:pPr>
              <w:keepLines/>
              <w:tabs>
                <w:tab w:val="left" w:pos="255"/>
                <w:tab w:val="left" w:pos="567"/>
              </w:tabs>
              <w:spacing w:before="60" w:after="60"/>
              <w:ind w:left="255" w:hanging="255"/>
              <w:jc w:val="center"/>
              <w:rPr>
                <w:sz w:val="20"/>
                <w:lang w:val="en-US"/>
              </w:rPr>
            </w:pPr>
          </w:p>
        </w:tc>
        <w:tc>
          <w:tcPr>
            <w:tcW w:w="574" w:type="dxa"/>
            <w:tcBorders>
              <w:bottom w:val="single" w:sz="4" w:space="0" w:color="auto"/>
            </w:tcBorders>
            <w:shd w:val="clear" w:color="auto" w:fill="99CCFF"/>
          </w:tcPr>
          <w:p w14:paraId="2B4EEBC4" w14:textId="77777777" w:rsidR="003A59F0" w:rsidRPr="005E3885" w:rsidRDefault="003A59F0" w:rsidP="001531B6">
            <w:pPr>
              <w:keepLines/>
              <w:tabs>
                <w:tab w:val="left" w:pos="255"/>
                <w:tab w:val="left" w:pos="567"/>
              </w:tabs>
              <w:spacing w:before="60" w:after="60"/>
              <w:ind w:left="255" w:hanging="255"/>
              <w:jc w:val="center"/>
              <w:rPr>
                <w:sz w:val="20"/>
                <w:lang w:val="en-US"/>
              </w:rPr>
            </w:pPr>
          </w:p>
        </w:tc>
        <w:tc>
          <w:tcPr>
            <w:tcW w:w="580" w:type="dxa"/>
            <w:tcBorders>
              <w:bottom w:val="single" w:sz="4" w:space="0" w:color="auto"/>
            </w:tcBorders>
            <w:shd w:val="clear" w:color="auto" w:fill="99CCFF"/>
          </w:tcPr>
          <w:p w14:paraId="0DB7902E" w14:textId="77777777" w:rsidR="003A59F0" w:rsidRPr="005E3885" w:rsidRDefault="003A59F0" w:rsidP="001531B6">
            <w:pPr>
              <w:keepLines/>
              <w:tabs>
                <w:tab w:val="left" w:pos="255"/>
                <w:tab w:val="left" w:pos="567"/>
              </w:tabs>
              <w:spacing w:before="60" w:after="60"/>
              <w:ind w:left="255" w:hanging="255"/>
              <w:jc w:val="center"/>
              <w:rPr>
                <w:sz w:val="20"/>
                <w:lang w:val="en-US"/>
              </w:rPr>
            </w:pPr>
          </w:p>
        </w:tc>
        <w:tc>
          <w:tcPr>
            <w:tcW w:w="2837" w:type="dxa"/>
            <w:tcBorders>
              <w:bottom w:val="single" w:sz="4" w:space="0" w:color="auto"/>
            </w:tcBorders>
            <w:shd w:val="clear" w:color="auto" w:fill="99CCFF"/>
          </w:tcPr>
          <w:p w14:paraId="5622DD3F" w14:textId="77777777" w:rsidR="003A59F0" w:rsidRPr="005E3885" w:rsidRDefault="003A59F0" w:rsidP="001531B6">
            <w:pPr>
              <w:keepLines/>
              <w:tabs>
                <w:tab w:val="left" w:pos="255"/>
                <w:tab w:val="left" w:pos="567"/>
              </w:tabs>
              <w:spacing w:before="60" w:after="60"/>
              <w:ind w:left="255" w:hanging="255"/>
              <w:rPr>
                <w:b/>
                <w:color w:val="0000FF"/>
                <w:sz w:val="20"/>
                <w:lang w:val="en-US"/>
              </w:rPr>
            </w:pPr>
          </w:p>
        </w:tc>
      </w:tr>
      <w:tr w:rsidR="003A59F0" w:rsidRPr="005E3885" w14:paraId="27DDA3D5" w14:textId="77777777" w:rsidTr="001531B6">
        <w:trPr>
          <w:cantSplit/>
          <w:trHeight w:val="315"/>
        </w:trPr>
        <w:tc>
          <w:tcPr>
            <w:tcW w:w="3339" w:type="dxa"/>
            <w:shd w:val="clear" w:color="auto" w:fill="FFFF00"/>
          </w:tcPr>
          <w:p w14:paraId="044FE687" w14:textId="77777777" w:rsidR="003A59F0" w:rsidRPr="005E3885" w:rsidRDefault="003A59F0" w:rsidP="001531B6">
            <w:pPr>
              <w:rPr>
                <w:sz w:val="20"/>
              </w:rPr>
            </w:pPr>
            <w:r w:rsidRPr="005E3885">
              <w:rPr>
                <w:sz w:val="20"/>
              </w:rPr>
              <w:t>Interpretation</w:t>
            </w:r>
          </w:p>
        </w:tc>
        <w:tc>
          <w:tcPr>
            <w:tcW w:w="577" w:type="dxa"/>
            <w:shd w:val="clear" w:color="auto" w:fill="FFFF00"/>
          </w:tcPr>
          <w:p w14:paraId="084B86F0" w14:textId="77777777" w:rsidR="003A59F0" w:rsidRPr="005E3885" w:rsidRDefault="003A59F0" w:rsidP="001531B6">
            <w:pPr>
              <w:jc w:val="center"/>
              <w:rPr>
                <w:sz w:val="20"/>
              </w:rPr>
            </w:pPr>
            <w:r w:rsidRPr="005E3885">
              <w:rPr>
                <w:sz w:val="20"/>
              </w:rPr>
              <w:t>x</w:t>
            </w:r>
          </w:p>
        </w:tc>
        <w:tc>
          <w:tcPr>
            <w:tcW w:w="580" w:type="dxa"/>
            <w:shd w:val="clear" w:color="auto" w:fill="FFFF00"/>
          </w:tcPr>
          <w:p w14:paraId="54845A03" w14:textId="77777777" w:rsidR="003A59F0" w:rsidRPr="005E3885" w:rsidRDefault="003A59F0" w:rsidP="001531B6">
            <w:pPr>
              <w:jc w:val="center"/>
              <w:rPr>
                <w:sz w:val="20"/>
              </w:rPr>
            </w:pPr>
            <w:r w:rsidRPr="005E3885">
              <w:rPr>
                <w:sz w:val="20"/>
              </w:rPr>
              <w:t>x</w:t>
            </w:r>
          </w:p>
        </w:tc>
        <w:tc>
          <w:tcPr>
            <w:tcW w:w="580" w:type="dxa"/>
            <w:shd w:val="clear" w:color="auto" w:fill="FFFF00"/>
          </w:tcPr>
          <w:p w14:paraId="747E0119" w14:textId="77777777" w:rsidR="003A59F0" w:rsidRPr="005E3885" w:rsidRDefault="003A59F0" w:rsidP="001531B6">
            <w:pPr>
              <w:jc w:val="center"/>
              <w:rPr>
                <w:sz w:val="20"/>
              </w:rPr>
            </w:pPr>
            <w:r w:rsidRPr="005E3885">
              <w:rPr>
                <w:sz w:val="20"/>
              </w:rPr>
              <w:t>x</w:t>
            </w:r>
          </w:p>
        </w:tc>
        <w:tc>
          <w:tcPr>
            <w:tcW w:w="572" w:type="dxa"/>
            <w:shd w:val="clear" w:color="auto" w:fill="FFFF00"/>
          </w:tcPr>
          <w:p w14:paraId="20FD1E62" w14:textId="77777777" w:rsidR="003A59F0" w:rsidRPr="005E3885" w:rsidRDefault="003A59F0" w:rsidP="001531B6">
            <w:pPr>
              <w:jc w:val="center"/>
              <w:rPr>
                <w:sz w:val="20"/>
              </w:rPr>
            </w:pPr>
            <w:r w:rsidRPr="005E3885">
              <w:rPr>
                <w:sz w:val="20"/>
              </w:rPr>
              <w:t>x</w:t>
            </w:r>
          </w:p>
        </w:tc>
        <w:tc>
          <w:tcPr>
            <w:tcW w:w="574" w:type="dxa"/>
            <w:shd w:val="clear" w:color="auto" w:fill="FFFF00"/>
          </w:tcPr>
          <w:p w14:paraId="29836AA6" w14:textId="77777777" w:rsidR="003A59F0" w:rsidRPr="005E3885" w:rsidRDefault="003A59F0" w:rsidP="001531B6">
            <w:pPr>
              <w:jc w:val="center"/>
              <w:rPr>
                <w:sz w:val="20"/>
              </w:rPr>
            </w:pPr>
            <w:r w:rsidRPr="005E3885">
              <w:rPr>
                <w:sz w:val="20"/>
              </w:rPr>
              <w:t>x</w:t>
            </w:r>
          </w:p>
        </w:tc>
        <w:tc>
          <w:tcPr>
            <w:tcW w:w="580" w:type="dxa"/>
            <w:shd w:val="clear" w:color="auto" w:fill="FFFF00"/>
          </w:tcPr>
          <w:p w14:paraId="319F1C00" w14:textId="77777777" w:rsidR="003A59F0" w:rsidRPr="005E3885" w:rsidRDefault="003A59F0" w:rsidP="001531B6">
            <w:pPr>
              <w:jc w:val="center"/>
              <w:rPr>
                <w:sz w:val="20"/>
              </w:rPr>
            </w:pPr>
            <w:r w:rsidRPr="005E3885">
              <w:rPr>
                <w:sz w:val="20"/>
              </w:rPr>
              <w:t>x</w:t>
            </w:r>
          </w:p>
        </w:tc>
        <w:tc>
          <w:tcPr>
            <w:tcW w:w="2837" w:type="dxa"/>
            <w:shd w:val="clear" w:color="auto" w:fill="FFFF00"/>
          </w:tcPr>
          <w:p w14:paraId="40020098" w14:textId="77777777" w:rsidR="003A59F0" w:rsidRPr="005E3885" w:rsidRDefault="003A59F0" w:rsidP="001531B6">
            <w:pPr>
              <w:rPr>
                <w:sz w:val="20"/>
              </w:rPr>
            </w:pPr>
          </w:p>
        </w:tc>
      </w:tr>
      <w:tr w:rsidR="003A59F0" w:rsidRPr="005E3885" w14:paraId="6FC9EEE6" w14:textId="77777777" w:rsidTr="001531B6">
        <w:trPr>
          <w:cantSplit/>
        </w:trPr>
        <w:tc>
          <w:tcPr>
            <w:tcW w:w="3339" w:type="dxa"/>
          </w:tcPr>
          <w:p w14:paraId="7CE2E955" w14:textId="77777777" w:rsidR="003A59F0" w:rsidRPr="005E3885" w:rsidRDefault="003A59F0" w:rsidP="001531B6">
            <w:pPr>
              <w:tabs>
                <w:tab w:val="left" w:pos="567"/>
              </w:tabs>
              <w:rPr>
                <w:sz w:val="20"/>
              </w:rPr>
            </w:pPr>
            <w:r w:rsidRPr="005E3885">
              <w:rPr>
                <w:sz w:val="20"/>
              </w:rPr>
              <w:t>Agenda of the conference</w:t>
            </w:r>
          </w:p>
        </w:tc>
        <w:tc>
          <w:tcPr>
            <w:tcW w:w="577" w:type="dxa"/>
            <w:shd w:val="clear" w:color="auto" w:fill="auto"/>
          </w:tcPr>
          <w:p w14:paraId="281E629C" w14:textId="77777777" w:rsidR="003A59F0" w:rsidRPr="005E3885" w:rsidRDefault="003A59F0" w:rsidP="001531B6">
            <w:pPr>
              <w:jc w:val="center"/>
              <w:rPr>
                <w:sz w:val="20"/>
              </w:rPr>
            </w:pPr>
            <w:r w:rsidRPr="005E3885">
              <w:rPr>
                <w:sz w:val="20"/>
              </w:rPr>
              <w:t>x</w:t>
            </w:r>
          </w:p>
        </w:tc>
        <w:tc>
          <w:tcPr>
            <w:tcW w:w="580" w:type="dxa"/>
            <w:shd w:val="clear" w:color="auto" w:fill="auto"/>
          </w:tcPr>
          <w:p w14:paraId="30B9B08C" w14:textId="77777777" w:rsidR="003A59F0" w:rsidRPr="005E3885" w:rsidRDefault="003A59F0" w:rsidP="001531B6">
            <w:pPr>
              <w:jc w:val="center"/>
              <w:rPr>
                <w:sz w:val="20"/>
              </w:rPr>
            </w:pPr>
            <w:r w:rsidRPr="005E3885">
              <w:rPr>
                <w:sz w:val="20"/>
              </w:rPr>
              <w:t>x</w:t>
            </w:r>
          </w:p>
        </w:tc>
        <w:tc>
          <w:tcPr>
            <w:tcW w:w="580" w:type="dxa"/>
            <w:shd w:val="clear" w:color="auto" w:fill="auto"/>
          </w:tcPr>
          <w:p w14:paraId="5EB6B556" w14:textId="77777777" w:rsidR="003A59F0" w:rsidRPr="005E3885" w:rsidRDefault="003A59F0" w:rsidP="001531B6">
            <w:pPr>
              <w:jc w:val="center"/>
              <w:rPr>
                <w:sz w:val="20"/>
              </w:rPr>
            </w:pPr>
            <w:r w:rsidRPr="005E3885">
              <w:rPr>
                <w:sz w:val="20"/>
              </w:rPr>
              <w:t>x</w:t>
            </w:r>
          </w:p>
        </w:tc>
        <w:tc>
          <w:tcPr>
            <w:tcW w:w="572" w:type="dxa"/>
            <w:shd w:val="clear" w:color="auto" w:fill="auto"/>
          </w:tcPr>
          <w:p w14:paraId="22579337" w14:textId="77777777" w:rsidR="003A59F0" w:rsidRPr="005E3885" w:rsidRDefault="003A59F0" w:rsidP="001531B6">
            <w:pPr>
              <w:jc w:val="center"/>
              <w:rPr>
                <w:sz w:val="20"/>
              </w:rPr>
            </w:pPr>
            <w:r w:rsidRPr="005E3885">
              <w:rPr>
                <w:sz w:val="20"/>
              </w:rPr>
              <w:t>x</w:t>
            </w:r>
          </w:p>
        </w:tc>
        <w:tc>
          <w:tcPr>
            <w:tcW w:w="574" w:type="dxa"/>
            <w:shd w:val="clear" w:color="auto" w:fill="auto"/>
          </w:tcPr>
          <w:p w14:paraId="14B758D5" w14:textId="77777777" w:rsidR="003A59F0" w:rsidRPr="005E3885" w:rsidRDefault="003A59F0" w:rsidP="001531B6">
            <w:pPr>
              <w:jc w:val="center"/>
              <w:rPr>
                <w:sz w:val="20"/>
              </w:rPr>
            </w:pPr>
            <w:r w:rsidRPr="005E3885">
              <w:rPr>
                <w:sz w:val="20"/>
              </w:rPr>
              <w:t>x</w:t>
            </w:r>
          </w:p>
        </w:tc>
        <w:tc>
          <w:tcPr>
            <w:tcW w:w="580" w:type="dxa"/>
            <w:shd w:val="clear" w:color="auto" w:fill="auto"/>
          </w:tcPr>
          <w:p w14:paraId="58D7B187" w14:textId="77777777" w:rsidR="003A59F0" w:rsidRPr="005E3885" w:rsidRDefault="003A59F0" w:rsidP="001531B6">
            <w:pPr>
              <w:jc w:val="center"/>
              <w:rPr>
                <w:sz w:val="20"/>
              </w:rPr>
            </w:pPr>
            <w:r w:rsidRPr="005E3885">
              <w:rPr>
                <w:sz w:val="20"/>
              </w:rPr>
              <w:t>x</w:t>
            </w:r>
          </w:p>
        </w:tc>
        <w:tc>
          <w:tcPr>
            <w:tcW w:w="2837" w:type="dxa"/>
            <w:shd w:val="clear" w:color="auto" w:fill="auto"/>
          </w:tcPr>
          <w:p w14:paraId="65C27330" w14:textId="77777777" w:rsidR="003A59F0" w:rsidRPr="005E3885" w:rsidRDefault="003A59F0" w:rsidP="001531B6">
            <w:pPr>
              <w:tabs>
                <w:tab w:val="left" w:pos="567"/>
              </w:tabs>
              <w:rPr>
                <w:sz w:val="20"/>
              </w:rPr>
            </w:pPr>
          </w:p>
        </w:tc>
      </w:tr>
      <w:tr w:rsidR="003A59F0" w:rsidRPr="005E3885" w14:paraId="3898CCC4" w14:textId="77777777" w:rsidTr="001531B6">
        <w:trPr>
          <w:cantSplit/>
        </w:trPr>
        <w:tc>
          <w:tcPr>
            <w:tcW w:w="3339" w:type="dxa"/>
          </w:tcPr>
          <w:p w14:paraId="30DECE10" w14:textId="77777777" w:rsidR="003A59F0" w:rsidRPr="005E3885" w:rsidRDefault="003A59F0" w:rsidP="001531B6">
            <w:pPr>
              <w:tabs>
                <w:tab w:val="left" w:pos="567"/>
              </w:tabs>
              <w:rPr>
                <w:sz w:val="20"/>
              </w:rPr>
            </w:pPr>
            <w:r w:rsidRPr="005E3885">
              <w:rPr>
                <w:sz w:val="20"/>
              </w:rPr>
              <w:t>Reports/contributions/proposals</w:t>
            </w:r>
          </w:p>
        </w:tc>
        <w:tc>
          <w:tcPr>
            <w:tcW w:w="577" w:type="dxa"/>
            <w:shd w:val="clear" w:color="auto" w:fill="auto"/>
          </w:tcPr>
          <w:p w14:paraId="6E9413DA" w14:textId="77777777" w:rsidR="003A59F0" w:rsidRPr="005E3885" w:rsidRDefault="003A59F0" w:rsidP="001531B6">
            <w:pPr>
              <w:jc w:val="center"/>
              <w:rPr>
                <w:sz w:val="20"/>
              </w:rPr>
            </w:pPr>
            <w:r w:rsidRPr="005E3885">
              <w:rPr>
                <w:sz w:val="20"/>
              </w:rPr>
              <w:t>x</w:t>
            </w:r>
          </w:p>
        </w:tc>
        <w:tc>
          <w:tcPr>
            <w:tcW w:w="580" w:type="dxa"/>
            <w:shd w:val="clear" w:color="auto" w:fill="auto"/>
          </w:tcPr>
          <w:p w14:paraId="41CA7C72" w14:textId="77777777" w:rsidR="003A59F0" w:rsidRPr="005E3885" w:rsidRDefault="003A59F0" w:rsidP="001531B6">
            <w:pPr>
              <w:jc w:val="center"/>
              <w:rPr>
                <w:sz w:val="20"/>
              </w:rPr>
            </w:pPr>
            <w:r w:rsidRPr="005E3885">
              <w:rPr>
                <w:sz w:val="20"/>
              </w:rPr>
              <w:t>x</w:t>
            </w:r>
          </w:p>
        </w:tc>
        <w:tc>
          <w:tcPr>
            <w:tcW w:w="580" w:type="dxa"/>
            <w:shd w:val="clear" w:color="auto" w:fill="auto"/>
          </w:tcPr>
          <w:p w14:paraId="1014EAC6" w14:textId="77777777" w:rsidR="003A59F0" w:rsidRPr="005E3885" w:rsidRDefault="003A59F0" w:rsidP="001531B6">
            <w:pPr>
              <w:jc w:val="center"/>
              <w:rPr>
                <w:sz w:val="20"/>
              </w:rPr>
            </w:pPr>
            <w:r w:rsidRPr="005E3885">
              <w:rPr>
                <w:sz w:val="20"/>
              </w:rPr>
              <w:t>x</w:t>
            </w:r>
          </w:p>
        </w:tc>
        <w:tc>
          <w:tcPr>
            <w:tcW w:w="572" w:type="dxa"/>
            <w:shd w:val="clear" w:color="auto" w:fill="auto"/>
          </w:tcPr>
          <w:p w14:paraId="0D7F5ABD" w14:textId="77777777" w:rsidR="003A59F0" w:rsidRPr="005E3885" w:rsidRDefault="003A59F0" w:rsidP="001531B6">
            <w:pPr>
              <w:jc w:val="center"/>
              <w:rPr>
                <w:sz w:val="20"/>
              </w:rPr>
            </w:pPr>
            <w:r w:rsidRPr="005E3885">
              <w:rPr>
                <w:sz w:val="20"/>
              </w:rPr>
              <w:t>x</w:t>
            </w:r>
          </w:p>
        </w:tc>
        <w:tc>
          <w:tcPr>
            <w:tcW w:w="574" w:type="dxa"/>
            <w:shd w:val="clear" w:color="auto" w:fill="auto"/>
          </w:tcPr>
          <w:p w14:paraId="69C8CFF6" w14:textId="77777777" w:rsidR="003A59F0" w:rsidRPr="005E3885" w:rsidRDefault="003A59F0" w:rsidP="001531B6">
            <w:pPr>
              <w:jc w:val="center"/>
              <w:rPr>
                <w:sz w:val="20"/>
              </w:rPr>
            </w:pPr>
            <w:r w:rsidRPr="005E3885">
              <w:rPr>
                <w:sz w:val="20"/>
              </w:rPr>
              <w:t>x</w:t>
            </w:r>
          </w:p>
        </w:tc>
        <w:tc>
          <w:tcPr>
            <w:tcW w:w="580" w:type="dxa"/>
            <w:shd w:val="clear" w:color="auto" w:fill="auto"/>
          </w:tcPr>
          <w:p w14:paraId="57DEFF43" w14:textId="77777777" w:rsidR="003A59F0" w:rsidRPr="005E3885" w:rsidRDefault="003A59F0" w:rsidP="001531B6">
            <w:pPr>
              <w:jc w:val="center"/>
              <w:rPr>
                <w:sz w:val="20"/>
              </w:rPr>
            </w:pPr>
            <w:r w:rsidRPr="005E3885">
              <w:rPr>
                <w:sz w:val="20"/>
              </w:rPr>
              <w:t>x</w:t>
            </w:r>
          </w:p>
        </w:tc>
        <w:tc>
          <w:tcPr>
            <w:tcW w:w="2837" w:type="dxa"/>
            <w:shd w:val="clear" w:color="auto" w:fill="auto"/>
          </w:tcPr>
          <w:p w14:paraId="20F38096" w14:textId="77777777" w:rsidR="003A59F0" w:rsidRPr="005E3885" w:rsidRDefault="003A59F0" w:rsidP="001531B6">
            <w:pPr>
              <w:tabs>
                <w:tab w:val="left" w:pos="567"/>
              </w:tabs>
              <w:rPr>
                <w:sz w:val="20"/>
              </w:rPr>
            </w:pPr>
          </w:p>
        </w:tc>
      </w:tr>
      <w:tr w:rsidR="003A59F0" w:rsidRPr="005E3885" w14:paraId="357FCE2A" w14:textId="77777777" w:rsidTr="001531B6">
        <w:trPr>
          <w:cantSplit/>
        </w:trPr>
        <w:tc>
          <w:tcPr>
            <w:tcW w:w="3339" w:type="dxa"/>
          </w:tcPr>
          <w:p w14:paraId="58F43F9D" w14:textId="77777777" w:rsidR="003A59F0" w:rsidRPr="005E3885" w:rsidRDefault="003A59F0" w:rsidP="001531B6">
            <w:pPr>
              <w:tabs>
                <w:tab w:val="left" w:pos="567"/>
              </w:tabs>
              <w:rPr>
                <w:sz w:val="20"/>
              </w:rPr>
            </w:pPr>
            <w:r w:rsidRPr="005E3885">
              <w:rPr>
                <w:sz w:val="20"/>
              </w:rPr>
              <w:t>Working/temporary documents</w:t>
            </w:r>
          </w:p>
        </w:tc>
        <w:tc>
          <w:tcPr>
            <w:tcW w:w="577" w:type="dxa"/>
            <w:shd w:val="clear" w:color="auto" w:fill="auto"/>
          </w:tcPr>
          <w:p w14:paraId="2D393DA8" w14:textId="77777777" w:rsidR="003A59F0" w:rsidRPr="005E3885" w:rsidRDefault="003A59F0" w:rsidP="001531B6">
            <w:pPr>
              <w:jc w:val="center"/>
              <w:rPr>
                <w:sz w:val="20"/>
              </w:rPr>
            </w:pPr>
            <w:r w:rsidRPr="005E3885">
              <w:rPr>
                <w:sz w:val="20"/>
              </w:rPr>
              <w:t>x</w:t>
            </w:r>
          </w:p>
        </w:tc>
        <w:tc>
          <w:tcPr>
            <w:tcW w:w="580" w:type="dxa"/>
            <w:shd w:val="clear" w:color="auto" w:fill="auto"/>
          </w:tcPr>
          <w:p w14:paraId="07FF24C9" w14:textId="77777777" w:rsidR="003A59F0" w:rsidRPr="005E3885" w:rsidRDefault="003A59F0" w:rsidP="001531B6">
            <w:pPr>
              <w:jc w:val="center"/>
              <w:rPr>
                <w:sz w:val="20"/>
              </w:rPr>
            </w:pPr>
            <w:r w:rsidRPr="005E3885">
              <w:rPr>
                <w:sz w:val="20"/>
              </w:rPr>
              <w:t>x</w:t>
            </w:r>
          </w:p>
        </w:tc>
        <w:tc>
          <w:tcPr>
            <w:tcW w:w="580" w:type="dxa"/>
            <w:shd w:val="clear" w:color="auto" w:fill="auto"/>
          </w:tcPr>
          <w:p w14:paraId="6232E2D2" w14:textId="77777777" w:rsidR="003A59F0" w:rsidRPr="005E3885" w:rsidRDefault="003A59F0" w:rsidP="001531B6">
            <w:pPr>
              <w:jc w:val="center"/>
              <w:rPr>
                <w:sz w:val="20"/>
              </w:rPr>
            </w:pPr>
            <w:r w:rsidRPr="005E3885">
              <w:rPr>
                <w:sz w:val="20"/>
              </w:rPr>
              <w:t>x</w:t>
            </w:r>
          </w:p>
        </w:tc>
        <w:tc>
          <w:tcPr>
            <w:tcW w:w="572" w:type="dxa"/>
            <w:shd w:val="clear" w:color="auto" w:fill="auto"/>
          </w:tcPr>
          <w:p w14:paraId="55348E25" w14:textId="77777777" w:rsidR="003A59F0" w:rsidRPr="005E3885" w:rsidRDefault="003A59F0" w:rsidP="001531B6">
            <w:pPr>
              <w:jc w:val="center"/>
              <w:rPr>
                <w:sz w:val="20"/>
              </w:rPr>
            </w:pPr>
            <w:r w:rsidRPr="005E3885">
              <w:rPr>
                <w:sz w:val="20"/>
              </w:rPr>
              <w:t>x</w:t>
            </w:r>
          </w:p>
        </w:tc>
        <w:tc>
          <w:tcPr>
            <w:tcW w:w="574" w:type="dxa"/>
            <w:shd w:val="clear" w:color="auto" w:fill="auto"/>
          </w:tcPr>
          <w:p w14:paraId="5C3E04F2" w14:textId="77777777" w:rsidR="003A59F0" w:rsidRPr="005E3885" w:rsidRDefault="003A59F0" w:rsidP="001531B6">
            <w:pPr>
              <w:jc w:val="center"/>
              <w:rPr>
                <w:sz w:val="20"/>
              </w:rPr>
            </w:pPr>
            <w:r w:rsidRPr="005E3885">
              <w:rPr>
                <w:sz w:val="20"/>
              </w:rPr>
              <w:t>x</w:t>
            </w:r>
          </w:p>
        </w:tc>
        <w:tc>
          <w:tcPr>
            <w:tcW w:w="580" w:type="dxa"/>
            <w:shd w:val="clear" w:color="auto" w:fill="auto"/>
          </w:tcPr>
          <w:p w14:paraId="52509A25" w14:textId="77777777" w:rsidR="003A59F0" w:rsidRPr="005E3885" w:rsidRDefault="003A59F0" w:rsidP="001531B6">
            <w:pPr>
              <w:jc w:val="center"/>
              <w:rPr>
                <w:sz w:val="20"/>
              </w:rPr>
            </w:pPr>
            <w:r w:rsidRPr="005E3885">
              <w:rPr>
                <w:sz w:val="20"/>
              </w:rPr>
              <w:t>x</w:t>
            </w:r>
          </w:p>
        </w:tc>
        <w:tc>
          <w:tcPr>
            <w:tcW w:w="2837" w:type="dxa"/>
            <w:shd w:val="clear" w:color="auto" w:fill="auto"/>
          </w:tcPr>
          <w:p w14:paraId="79365C4C" w14:textId="77777777" w:rsidR="003A59F0" w:rsidRPr="005E3885" w:rsidRDefault="003A59F0" w:rsidP="001531B6">
            <w:pPr>
              <w:tabs>
                <w:tab w:val="left" w:pos="567"/>
              </w:tabs>
              <w:rPr>
                <w:sz w:val="20"/>
              </w:rPr>
            </w:pPr>
          </w:p>
        </w:tc>
      </w:tr>
      <w:tr w:rsidR="003A59F0" w:rsidRPr="005E3885" w14:paraId="20F5DCDB" w14:textId="77777777" w:rsidTr="001531B6">
        <w:trPr>
          <w:cantSplit/>
        </w:trPr>
        <w:tc>
          <w:tcPr>
            <w:tcW w:w="3339" w:type="dxa"/>
          </w:tcPr>
          <w:p w14:paraId="0314F329" w14:textId="77777777" w:rsidR="003A59F0" w:rsidRPr="005E3885" w:rsidRDefault="003A59F0" w:rsidP="001531B6">
            <w:pPr>
              <w:tabs>
                <w:tab w:val="left" w:pos="567"/>
              </w:tabs>
              <w:rPr>
                <w:sz w:val="20"/>
              </w:rPr>
            </w:pPr>
            <w:r w:rsidRPr="005E3885">
              <w:rPr>
                <w:sz w:val="20"/>
              </w:rPr>
              <w:t>Daily agendas</w:t>
            </w:r>
          </w:p>
        </w:tc>
        <w:tc>
          <w:tcPr>
            <w:tcW w:w="577" w:type="dxa"/>
            <w:shd w:val="clear" w:color="auto" w:fill="auto"/>
          </w:tcPr>
          <w:p w14:paraId="55C10D76" w14:textId="77777777" w:rsidR="003A59F0" w:rsidRPr="005E3885" w:rsidRDefault="003A59F0" w:rsidP="001531B6">
            <w:pPr>
              <w:jc w:val="center"/>
              <w:rPr>
                <w:sz w:val="20"/>
              </w:rPr>
            </w:pPr>
            <w:r w:rsidRPr="005E3885">
              <w:rPr>
                <w:sz w:val="20"/>
              </w:rPr>
              <w:t>x</w:t>
            </w:r>
          </w:p>
        </w:tc>
        <w:tc>
          <w:tcPr>
            <w:tcW w:w="580" w:type="dxa"/>
            <w:shd w:val="clear" w:color="auto" w:fill="auto"/>
          </w:tcPr>
          <w:p w14:paraId="6A2E5018" w14:textId="77777777" w:rsidR="003A59F0" w:rsidRPr="005E3885" w:rsidRDefault="003A59F0" w:rsidP="001531B6">
            <w:pPr>
              <w:jc w:val="center"/>
              <w:rPr>
                <w:sz w:val="20"/>
              </w:rPr>
            </w:pPr>
            <w:r w:rsidRPr="005E3885">
              <w:rPr>
                <w:sz w:val="20"/>
              </w:rPr>
              <w:t>x</w:t>
            </w:r>
          </w:p>
        </w:tc>
        <w:tc>
          <w:tcPr>
            <w:tcW w:w="580" w:type="dxa"/>
            <w:shd w:val="clear" w:color="auto" w:fill="auto"/>
          </w:tcPr>
          <w:p w14:paraId="0DC38C9A" w14:textId="77777777" w:rsidR="003A59F0" w:rsidRPr="005E3885" w:rsidRDefault="003A59F0" w:rsidP="001531B6">
            <w:pPr>
              <w:jc w:val="center"/>
              <w:rPr>
                <w:sz w:val="20"/>
              </w:rPr>
            </w:pPr>
            <w:r w:rsidRPr="005E3885">
              <w:rPr>
                <w:sz w:val="20"/>
              </w:rPr>
              <w:t>x</w:t>
            </w:r>
          </w:p>
        </w:tc>
        <w:tc>
          <w:tcPr>
            <w:tcW w:w="572" w:type="dxa"/>
            <w:shd w:val="clear" w:color="auto" w:fill="auto"/>
          </w:tcPr>
          <w:p w14:paraId="21F5A84B" w14:textId="77777777" w:rsidR="003A59F0" w:rsidRPr="005E3885" w:rsidRDefault="003A59F0" w:rsidP="001531B6">
            <w:pPr>
              <w:jc w:val="center"/>
              <w:rPr>
                <w:sz w:val="20"/>
              </w:rPr>
            </w:pPr>
            <w:r w:rsidRPr="005E3885">
              <w:rPr>
                <w:sz w:val="20"/>
              </w:rPr>
              <w:t>x</w:t>
            </w:r>
          </w:p>
        </w:tc>
        <w:tc>
          <w:tcPr>
            <w:tcW w:w="574" w:type="dxa"/>
            <w:shd w:val="clear" w:color="auto" w:fill="auto"/>
          </w:tcPr>
          <w:p w14:paraId="68460F7F" w14:textId="77777777" w:rsidR="003A59F0" w:rsidRPr="005E3885" w:rsidRDefault="003A59F0" w:rsidP="001531B6">
            <w:pPr>
              <w:jc w:val="center"/>
              <w:rPr>
                <w:sz w:val="20"/>
              </w:rPr>
            </w:pPr>
            <w:r w:rsidRPr="005E3885">
              <w:rPr>
                <w:sz w:val="20"/>
              </w:rPr>
              <w:t>x</w:t>
            </w:r>
          </w:p>
        </w:tc>
        <w:tc>
          <w:tcPr>
            <w:tcW w:w="580" w:type="dxa"/>
            <w:shd w:val="clear" w:color="auto" w:fill="auto"/>
          </w:tcPr>
          <w:p w14:paraId="62CD7B90" w14:textId="77777777" w:rsidR="003A59F0" w:rsidRPr="005E3885" w:rsidRDefault="003A59F0" w:rsidP="001531B6">
            <w:pPr>
              <w:jc w:val="center"/>
              <w:rPr>
                <w:sz w:val="20"/>
              </w:rPr>
            </w:pPr>
            <w:r w:rsidRPr="005E3885">
              <w:rPr>
                <w:sz w:val="20"/>
              </w:rPr>
              <w:t>x</w:t>
            </w:r>
          </w:p>
        </w:tc>
        <w:tc>
          <w:tcPr>
            <w:tcW w:w="2837" w:type="dxa"/>
            <w:shd w:val="clear" w:color="auto" w:fill="auto"/>
          </w:tcPr>
          <w:p w14:paraId="000A29E5" w14:textId="77777777" w:rsidR="003A59F0" w:rsidRPr="005E3885" w:rsidRDefault="003A59F0" w:rsidP="001531B6">
            <w:pPr>
              <w:tabs>
                <w:tab w:val="left" w:pos="567"/>
              </w:tabs>
              <w:rPr>
                <w:sz w:val="20"/>
                <w:lang w:val="fr-FR"/>
              </w:rPr>
            </w:pPr>
          </w:p>
        </w:tc>
      </w:tr>
      <w:tr w:rsidR="003A59F0" w:rsidRPr="005E3885" w14:paraId="0FDB5009" w14:textId="77777777" w:rsidTr="001531B6">
        <w:trPr>
          <w:cantSplit/>
        </w:trPr>
        <w:tc>
          <w:tcPr>
            <w:tcW w:w="3339" w:type="dxa"/>
          </w:tcPr>
          <w:p w14:paraId="13268CE9" w14:textId="77777777" w:rsidR="003A59F0" w:rsidRPr="005E3885" w:rsidRDefault="003A59F0" w:rsidP="001531B6">
            <w:pPr>
              <w:tabs>
                <w:tab w:val="left" w:pos="567"/>
              </w:tabs>
              <w:rPr>
                <w:sz w:val="20"/>
                <w:lang w:val="fr-FR"/>
              </w:rPr>
            </w:pPr>
            <w:r w:rsidRPr="005E3885">
              <w:rPr>
                <w:sz w:val="20"/>
                <w:lang w:val="fr-FR"/>
              </w:rPr>
              <w:t xml:space="preserve">Administrative </w:t>
            </w:r>
            <w:r w:rsidRPr="005E3885">
              <w:rPr>
                <w:sz w:val="20"/>
                <w:lang w:val="en-US"/>
              </w:rPr>
              <w:t>documents</w:t>
            </w:r>
          </w:p>
        </w:tc>
        <w:tc>
          <w:tcPr>
            <w:tcW w:w="577" w:type="dxa"/>
            <w:shd w:val="clear" w:color="auto" w:fill="auto"/>
          </w:tcPr>
          <w:p w14:paraId="48F89578" w14:textId="77777777" w:rsidR="003A59F0" w:rsidRPr="005E3885" w:rsidRDefault="003A59F0" w:rsidP="001531B6">
            <w:pPr>
              <w:jc w:val="center"/>
              <w:rPr>
                <w:sz w:val="20"/>
              </w:rPr>
            </w:pPr>
            <w:r w:rsidRPr="005E3885">
              <w:rPr>
                <w:sz w:val="20"/>
              </w:rPr>
              <w:t>x</w:t>
            </w:r>
          </w:p>
        </w:tc>
        <w:tc>
          <w:tcPr>
            <w:tcW w:w="580" w:type="dxa"/>
            <w:shd w:val="clear" w:color="auto" w:fill="auto"/>
          </w:tcPr>
          <w:p w14:paraId="038AF9BC" w14:textId="77777777" w:rsidR="003A59F0" w:rsidRPr="005E3885" w:rsidRDefault="003A59F0" w:rsidP="001531B6">
            <w:pPr>
              <w:jc w:val="center"/>
              <w:rPr>
                <w:sz w:val="20"/>
              </w:rPr>
            </w:pPr>
            <w:r w:rsidRPr="005E3885">
              <w:rPr>
                <w:sz w:val="20"/>
              </w:rPr>
              <w:t>x</w:t>
            </w:r>
          </w:p>
        </w:tc>
        <w:tc>
          <w:tcPr>
            <w:tcW w:w="580" w:type="dxa"/>
            <w:shd w:val="clear" w:color="auto" w:fill="auto"/>
          </w:tcPr>
          <w:p w14:paraId="059B4C4F" w14:textId="77777777" w:rsidR="003A59F0" w:rsidRPr="005E3885" w:rsidRDefault="003A59F0" w:rsidP="001531B6">
            <w:pPr>
              <w:jc w:val="center"/>
              <w:rPr>
                <w:sz w:val="20"/>
              </w:rPr>
            </w:pPr>
            <w:r w:rsidRPr="005E3885">
              <w:rPr>
                <w:sz w:val="20"/>
              </w:rPr>
              <w:t>x</w:t>
            </w:r>
          </w:p>
        </w:tc>
        <w:tc>
          <w:tcPr>
            <w:tcW w:w="572" w:type="dxa"/>
            <w:shd w:val="clear" w:color="auto" w:fill="auto"/>
          </w:tcPr>
          <w:p w14:paraId="31CB3037" w14:textId="77777777" w:rsidR="003A59F0" w:rsidRPr="005E3885" w:rsidRDefault="003A59F0" w:rsidP="001531B6">
            <w:pPr>
              <w:jc w:val="center"/>
              <w:rPr>
                <w:sz w:val="20"/>
              </w:rPr>
            </w:pPr>
            <w:r w:rsidRPr="005E3885">
              <w:rPr>
                <w:sz w:val="20"/>
              </w:rPr>
              <w:t>x</w:t>
            </w:r>
          </w:p>
        </w:tc>
        <w:tc>
          <w:tcPr>
            <w:tcW w:w="574" w:type="dxa"/>
            <w:shd w:val="clear" w:color="auto" w:fill="auto"/>
          </w:tcPr>
          <w:p w14:paraId="5B058CB0" w14:textId="77777777" w:rsidR="003A59F0" w:rsidRPr="005E3885" w:rsidRDefault="003A59F0" w:rsidP="001531B6">
            <w:pPr>
              <w:jc w:val="center"/>
              <w:rPr>
                <w:sz w:val="20"/>
              </w:rPr>
            </w:pPr>
            <w:r w:rsidRPr="005E3885">
              <w:rPr>
                <w:sz w:val="20"/>
              </w:rPr>
              <w:t>x</w:t>
            </w:r>
          </w:p>
        </w:tc>
        <w:tc>
          <w:tcPr>
            <w:tcW w:w="580" w:type="dxa"/>
            <w:shd w:val="clear" w:color="auto" w:fill="auto"/>
          </w:tcPr>
          <w:p w14:paraId="7EF32C8D" w14:textId="77777777" w:rsidR="003A59F0" w:rsidRPr="005E3885" w:rsidRDefault="003A59F0" w:rsidP="001531B6">
            <w:pPr>
              <w:jc w:val="center"/>
              <w:rPr>
                <w:sz w:val="20"/>
              </w:rPr>
            </w:pPr>
            <w:r w:rsidRPr="005E3885">
              <w:rPr>
                <w:sz w:val="20"/>
              </w:rPr>
              <w:t>x</w:t>
            </w:r>
          </w:p>
        </w:tc>
        <w:tc>
          <w:tcPr>
            <w:tcW w:w="2837" w:type="dxa"/>
            <w:shd w:val="clear" w:color="auto" w:fill="auto"/>
          </w:tcPr>
          <w:p w14:paraId="52011DA6" w14:textId="77777777" w:rsidR="003A59F0" w:rsidRPr="005E3885" w:rsidRDefault="003A59F0" w:rsidP="001531B6">
            <w:pPr>
              <w:tabs>
                <w:tab w:val="left" w:pos="567"/>
              </w:tabs>
              <w:rPr>
                <w:sz w:val="20"/>
                <w:lang w:val="en-US"/>
              </w:rPr>
            </w:pPr>
          </w:p>
        </w:tc>
      </w:tr>
      <w:tr w:rsidR="003A59F0" w:rsidRPr="005E3885" w14:paraId="2A28178A" w14:textId="77777777" w:rsidTr="001531B6">
        <w:trPr>
          <w:cantSplit/>
        </w:trPr>
        <w:tc>
          <w:tcPr>
            <w:tcW w:w="3339" w:type="dxa"/>
          </w:tcPr>
          <w:p w14:paraId="6B9A1DDE" w14:textId="77777777" w:rsidR="003A59F0" w:rsidRPr="005E3885" w:rsidRDefault="003A59F0" w:rsidP="001531B6">
            <w:pPr>
              <w:tabs>
                <w:tab w:val="left" w:pos="567"/>
              </w:tabs>
              <w:rPr>
                <w:sz w:val="20"/>
                <w:lang w:val="fr-FR"/>
              </w:rPr>
            </w:pPr>
            <w:r w:rsidRPr="005E3885">
              <w:rPr>
                <w:sz w:val="20"/>
                <w:lang w:val="fr-FR"/>
              </w:rPr>
              <w:t>Information documents</w:t>
            </w:r>
          </w:p>
        </w:tc>
        <w:tc>
          <w:tcPr>
            <w:tcW w:w="577" w:type="dxa"/>
            <w:shd w:val="clear" w:color="auto" w:fill="auto"/>
          </w:tcPr>
          <w:p w14:paraId="1278BB1F" w14:textId="77777777" w:rsidR="003A59F0" w:rsidRPr="005E3885" w:rsidRDefault="003A59F0" w:rsidP="001531B6">
            <w:pPr>
              <w:jc w:val="center"/>
              <w:rPr>
                <w:sz w:val="20"/>
              </w:rPr>
            </w:pPr>
            <w:r w:rsidRPr="005E3885">
              <w:rPr>
                <w:sz w:val="20"/>
              </w:rPr>
              <w:t>x</w:t>
            </w:r>
          </w:p>
        </w:tc>
        <w:tc>
          <w:tcPr>
            <w:tcW w:w="580" w:type="dxa"/>
            <w:shd w:val="clear" w:color="auto" w:fill="auto"/>
          </w:tcPr>
          <w:p w14:paraId="3CAF5646" w14:textId="77777777" w:rsidR="003A59F0" w:rsidRPr="005E3885" w:rsidRDefault="003A59F0" w:rsidP="001531B6">
            <w:pPr>
              <w:jc w:val="center"/>
              <w:rPr>
                <w:sz w:val="20"/>
              </w:rPr>
            </w:pPr>
            <w:r w:rsidRPr="005E3885">
              <w:rPr>
                <w:sz w:val="20"/>
              </w:rPr>
              <w:t>x</w:t>
            </w:r>
          </w:p>
        </w:tc>
        <w:tc>
          <w:tcPr>
            <w:tcW w:w="580" w:type="dxa"/>
            <w:shd w:val="clear" w:color="auto" w:fill="auto"/>
          </w:tcPr>
          <w:p w14:paraId="2D8D963F" w14:textId="77777777" w:rsidR="003A59F0" w:rsidRPr="005E3885" w:rsidRDefault="003A59F0" w:rsidP="001531B6">
            <w:pPr>
              <w:jc w:val="center"/>
              <w:rPr>
                <w:sz w:val="20"/>
              </w:rPr>
            </w:pPr>
            <w:r w:rsidRPr="005E3885">
              <w:rPr>
                <w:sz w:val="20"/>
              </w:rPr>
              <w:t>x</w:t>
            </w:r>
          </w:p>
        </w:tc>
        <w:tc>
          <w:tcPr>
            <w:tcW w:w="572" w:type="dxa"/>
            <w:shd w:val="clear" w:color="auto" w:fill="auto"/>
          </w:tcPr>
          <w:p w14:paraId="2BC9A80F" w14:textId="77777777" w:rsidR="003A59F0" w:rsidRPr="005E3885" w:rsidRDefault="003A59F0" w:rsidP="001531B6">
            <w:pPr>
              <w:jc w:val="center"/>
              <w:rPr>
                <w:sz w:val="20"/>
              </w:rPr>
            </w:pPr>
            <w:r w:rsidRPr="005E3885">
              <w:rPr>
                <w:sz w:val="20"/>
              </w:rPr>
              <w:t>x</w:t>
            </w:r>
          </w:p>
        </w:tc>
        <w:tc>
          <w:tcPr>
            <w:tcW w:w="574" w:type="dxa"/>
            <w:shd w:val="clear" w:color="auto" w:fill="auto"/>
          </w:tcPr>
          <w:p w14:paraId="724111A0" w14:textId="77777777" w:rsidR="003A59F0" w:rsidRPr="005E3885" w:rsidRDefault="003A59F0" w:rsidP="001531B6">
            <w:pPr>
              <w:jc w:val="center"/>
              <w:rPr>
                <w:sz w:val="20"/>
              </w:rPr>
            </w:pPr>
            <w:r w:rsidRPr="005E3885">
              <w:rPr>
                <w:sz w:val="20"/>
              </w:rPr>
              <w:t>x</w:t>
            </w:r>
          </w:p>
        </w:tc>
        <w:tc>
          <w:tcPr>
            <w:tcW w:w="580" w:type="dxa"/>
            <w:shd w:val="clear" w:color="auto" w:fill="auto"/>
          </w:tcPr>
          <w:p w14:paraId="454E2095" w14:textId="77777777" w:rsidR="003A59F0" w:rsidRPr="005E3885" w:rsidRDefault="003A59F0" w:rsidP="001531B6">
            <w:pPr>
              <w:jc w:val="center"/>
              <w:rPr>
                <w:sz w:val="20"/>
              </w:rPr>
            </w:pPr>
            <w:r w:rsidRPr="005E3885">
              <w:rPr>
                <w:sz w:val="20"/>
              </w:rPr>
              <w:t>x</w:t>
            </w:r>
          </w:p>
        </w:tc>
        <w:tc>
          <w:tcPr>
            <w:tcW w:w="2837" w:type="dxa"/>
            <w:shd w:val="clear" w:color="auto" w:fill="auto"/>
          </w:tcPr>
          <w:p w14:paraId="6144DEE6" w14:textId="77777777" w:rsidR="003A59F0" w:rsidRPr="005E3885" w:rsidRDefault="003A59F0" w:rsidP="001531B6">
            <w:pPr>
              <w:tabs>
                <w:tab w:val="left" w:pos="567"/>
              </w:tabs>
              <w:rPr>
                <w:sz w:val="20"/>
                <w:lang w:val="en-US"/>
              </w:rPr>
            </w:pPr>
            <w:r w:rsidRPr="005E3885">
              <w:rPr>
                <w:sz w:val="20"/>
                <w:lang w:val="en-US"/>
              </w:rPr>
              <w:t>Depends on contents</w:t>
            </w:r>
          </w:p>
        </w:tc>
      </w:tr>
      <w:tr w:rsidR="003A59F0" w:rsidRPr="005E3885" w14:paraId="3FF2C0F2" w14:textId="77777777" w:rsidTr="001531B6">
        <w:trPr>
          <w:cantSplit/>
        </w:trPr>
        <w:tc>
          <w:tcPr>
            <w:tcW w:w="3339" w:type="dxa"/>
          </w:tcPr>
          <w:p w14:paraId="5F1BD7E2" w14:textId="77777777" w:rsidR="003A59F0" w:rsidRPr="005E3885" w:rsidRDefault="003A59F0" w:rsidP="001531B6">
            <w:pPr>
              <w:tabs>
                <w:tab w:val="left" w:pos="567"/>
              </w:tabs>
              <w:rPr>
                <w:sz w:val="20"/>
              </w:rPr>
            </w:pPr>
            <w:r w:rsidRPr="005E3885">
              <w:rPr>
                <w:sz w:val="20"/>
              </w:rPr>
              <w:t>List of participants</w:t>
            </w:r>
          </w:p>
        </w:tc>
        <w:tc>
          <w:tcPr>
            <w:tcW w:w="577" w:type="dxa"/>
            <w:shd w:val="clear" w:color="auto" w:fill="auto"/>
          </w:tcPr>
          <w:p w14:paraId="4A35CF45" w14:textId="77777777" w:rsidR="003A59F0" w:rsidRPr="005E3885" w:rsidRDefault="003A59F0" w:rsidP="001531B6">
            <w:pPr>
              <w:tabs>
                <w:tab w:val="left" w:pos="567"/>
              </w:tabs>
              <w:jc w:val="center"/>
              <w:rPr>
                <w:sz w:val="20"/>
                <w:lang w:val="fr-FR"/>
              </w:rPr>
            </w:pPr>
            <w:proofErr w:type="gramStart"/>
            <w:r w:rsidRPr="005E3885">
              <w:rPr>
                <w:sz w:val="20"/>
                <w:lang w:val="fr-FR"/>
              </w:rPr>
              <w:t>x</w:t>
            </w:r>
            <w:proofErr w:type="gramEnd"/>
          </w:p>
        </w:tc>
        <w:tc>
          <w:tcPr>
            <w:tcW w:w="580" w:type="dxa"/>
            <w:shd w:val="clear" w:color="auto" w:fill="auto"/>
          </w:tcPr>
          <w:p w14:paraId="0D5D5F90" w14:textId="77777777" w:rsidR="003A59F0" w:rsidRPr="005E3885" w:rsidRDefault="003A59F0" w:rsidP="001531B6">
            <w:pPr>
              <w:tabs>
                <w:tab w:val="left" w:pos="567"/>
              </w:tabs>
              <w:jc w:val="center"/>
              <w:rPr>
                <w:sz w:val="20"/>
                <w:lang w:val="fr-FR"/>
              </w:rPr>
            </w:pPr>
          </w:p>
        </w:tc>
        <w:tc>
          <w:tcPr>
            <w:tcW w:w="580" w:type="dxa"/>
            <w:shd w:val="clear" w:color="auto" w:fill="auto"/>
          </w:tcPr>
          <w:p w14:paraId="5227D474" w14:textId="77777777" w:rsidR="003A59F0" w:rsidRPr="005E3885" w:rsidRDefault="003A59F0" w:rsidP="001531B6">
            <w:pPr>
              <w:tabs>
                <w:tab w:val="left" w:pos="567"/>
              </w:tabs>
              <w:jc w:val="center"/>
              <w:rPr>
                <w:sz w:val="20"/>
                <w:lang w:val="fr-FR"/>
              </w:rPr>
            </w:pPr>
          </w:p>
        </w:tc>
        <w:tc>
          <w:tcPr>
            <w:tcW w:w="572" w:type="dxa"/>
            <w:shd w:val="clear" w:color="auto" w:fill="auto"/>
          </w:tcPr>
          <w:p w14:paraId="5D0E485F" w14:textId="77777777" w:rsidR="003A59F0" w:rsidRPr="005E3885" w:rsidRDefault="003A59F0" w:rsidP="001531B6">
            <w:pPr>
              <w:tabs>
                <w:tab w:val="left" w:pos="567"/>
              </w:tabs>
              <w:jc w:val="center"/>
              <w:rPr>
                <w:sz w:val="20"/>
                <w:lang w:val="fr-FR"/>
              </w:rPr>
            </w:pPr>
          </w:p>
        </w:tc>
        <w:tc>
          <w:tcPr>
            <w:tcW w:w="574" w:type="dxa"/>
            <w:shd w:val="clear" w:color="auto" w:fill="auto"/>
          </w:tcPr>
          <w:p w14:paraId="07FB4360" w14:textId="77777777" w:rsidR="003A59F0" w:rsidRPr="005E3885" w:rsidRDefault="003A59F0" w:rsidP="001531B6">
            <w:pPr>
              <w:tabs>
                <w:tab w:val="left" w:pos="567"/>
              </w:tabs>
              <w:jc w:val="center"/>
              <w:rPr>
                <w:sz w:val="20"/>
                <w:lang w:val="fr-FR"/>
              </w:rPr>
            </w:pPr>
          </w:p>
        </w:tc>
        <w:tc>
          <w:tcPr>
            <w:tcW w:w="580" w:type="dxa"/>
            <w:shd w:val="clear" w:color="auto" w:fill="auto"/>
          </w:tcPr>
          <w:p w14:paraId="4D546BB4" w14:textId="77777777" w:rsidR="003A59F0" w:rsidRPr="005E3885" w:rsidRDefault="003A59F0" w:rsidP="001531B6">
            <w:pPr>
              <w:tabs>
                <w:tab w:val="left" w:pos="567"/>
              </w:tabs>
              <w:jc w:val="center"/>
              <w:rPr>
                <w:sz w:val="20"/>
                <w:lang w:val="fr-FR"/>
              </w:rPr>
            </w:pPr>
          </w:p>
        </w:tc>
        <w:tc>
          <w:tcPr>
            <w:tcW w:w="2837" w:type="dxa"/>
            <w:shd w:val="clear" w:color="auto" w:fill="auto"/>
          </w:tcPr>
          <w:p w14:paraId="3AB4AA37" w14:textId="77777777" w:rsidR="003A59F0" w:rsidRPr="005E3885" w:rsidRDefault="003A59F0" w:rsidP="001531B6">
            <w:pPr>
              <w:tabs>
                <w:tab w:val="left" w:pos="567"/>
              </w:tabs>
              <w:rPr>
                <w:sz w:val="20"/>
                <w:lang w:val="fr-FR"/>
              </w:rPr>
            </w:pPr>
          </w:p>
        </w:tc>
      </w:tr>
      <w:tr w:rsidR="003A59F0" w:rsidRPr="005E3885" w14:paraId="13803262" w14:textId="77777777" w:rsidTr="001531B6">
        <w:trPr>
          <w:cantSplit/>
        </w:trPr>
        <w:tc>
          <w:tcPr>
            <w:tcW w:w="3339" w:type="dxa"/>
          </w:tcPr>
          <w:p w14:paraId="5EE0C9E5" w14:textId="77777777" w:rsidR="003A59F0" w:rsidRPr="005E3885" w:rsidRDefault="003A59F0" w:rsidP="001531B6">
            <w:pPr>
              <w:tabs>
                <w:tab w:val="left" w:pos="567"/>
              </w:tabs>
              <w:rPr>
                <w:sz w:val="20"/>
              </w:rPr>
            </w:pPr>
            <w:r w:rsidRPr="005E3885">
              <w:rPr>
                <w:sz w:val="20"/>
              </w:rPr>
              <w:t>Minutes</w:t>
            </w:r>
          </w:p>
        </w:tc>
        <w:tc>
          <w:tcPr>
            <w:tcW w:w="577" w:type="dxa"/>
            <w:shd w:val="clear" w:color="auto" w:fill="auto"/>
          </w:tcPr>
          <w:p w14:paraId="70AE490E" w14:textId="77777777" w:rsidR="003A59F0" w:rsidRPr="005E3885" w:rsidRDefault="003A59F0" w:rsidP="001531B6">
            <w:pPr>
              <w:jc w:val="center"/>
              <w:rPr>
                <w:sz w:val="20"/>
              </w:rPr>
            </w:pPr>
            <w:r w:rsidRPr="005E3885">
              <w:rPr>
                <w:sz w:val="20"/>
              </w:rPr>
              <w:t>x</w:t>
            </w:r>
          </w:p>
        </w:tc>
        <w:tc>
          <w:tcPr>
            <w:tcW w:w="580" w:type="dxa"/>
            <w:shd w:val="clear" w:color="auto" w:fill="auto"/>
          </w:tcPr>
          <w:p w14:paraId="69358962" w14:textId="77777777" w:rsidR="003A59F0" w:rsidRPr="005E3885" w:rsidRDefault="003A59F0" w:rsidP="001531B6">
            <w:pPr>
              <w:jc w:val="center"/>
              <w:rPr>
                <w:sz w:val="20"/>
              </w:rPr>
            </w:pPr>
            <w:r w:rsidRPr="005E3885">
              <w:rPr>
                <w:sz w:val="20"/>
              </w:rPr>
              <w:t>x</w:t>
            </w:r>
          </w:p>
        </w:tc>
        <w:tc>
          <w:tcPr>
            <w:tcW w:w="580" w:type="dxa"/>
            <w:shd w:val="clear" w:color="auto" w:fill="auto"/>
          </w:tcPr>
          <w:p w14:paraId="45E452A3" w14:textId="77777777" w:rsidR="003A59F0" w:rsidRPr="005E3885" w:rsidRDefault="003A59F0" w:rsidP="001531B6">
            <w:pPr>
              <w:jc w:val="center"/>
              <w:rPr>
                <w:sz w:val="20"/>
              </w:rPr>
            </w:pPr>
            <w:r w:rsidRPr="005E3885">
              <w:rPr>
                <w:sz w:val="20"/>
              </w:rPr>
              <w:t>x</w:t>
            </w:r>
          </w:p>
        </w:tc>
        <w:tc>
          <w:tcPr>
            <w:tcW w:w="572" w:type="dxa"/>
            <w:shd w:val="clear" w:color="auto" w:fill="auto"/>
          </w:tcPr>
          <w:p w14:paraId="63430F7B" w14:textId="77777777" w:rsidR="003A59F0" w:rsidRPr="005E3885" w:rsidRDefault="003A59F0" w:rsidP="001531B6">
            <w:pPr>
              <w:jc w:val="center"/>
              <w:rPr>
                <w:sz w:val="20"/>
              </w:rPr>
            </w:pPr>
            <w:r w:rsidRPr="005E3885">
              <w:rPr>
                <w:sz w:val="20"/>
              </w:rPr>
              <w:t>x</w:t>
            </w:r>
          </w:p>
        </w:tc>
        <w:tc>
          <w:tcPr>
            <w:tcW w:w="574" w:type="dxa"/>
            <w:shd w:val="clear" w:color="auto" w:fill="auto"/>
          </w:tcPr>
          <w:p w14:paraId="1EB5BA7A" w14:textId="77777777" w:rsidR="003A59F0" w:rsidRPr="005E3885" w:rsidRDefault="003A59F0" w:rsidP="001531B6">
            <w:pPr>
              <w:jc w:val="center"/>
              <w:rPr>
                <w:sz w:val="20"/>
              </w:rPr>
            </w:pPr>
            <w:r w:rsidRPr="005E3885">
              <w:rPr>
                <w:sz w:val="20"/>
              </w:rPr>
              <w:t>x</w:t>
            </w:r>
          </w:p>
        </w:tc>
        <w:tc>
          <w:tcPr>
            <w:tcW w:w="580" w:type="dxa"/>
            <w:shd w:val="clear" w:color="auto" w:fill="auto"/>
          </w:tcPr>
          <w:p w14:paraId="3CBF972A" w14:textId="77777777" w:rsidR="003A59F0" w:rsidRPr="005E3885" w:rsidRDefault="003A59F0" w:rsidP="001531B6">
            <w:pPr>
              <w:jc w:val="center"/>
              <w:rPr>
                <w:sz w:val="20"/>
              </w:rPr>
            </w:pPr>
            <w:r w:rsidRPr="005E3885">
              <w:rPr>
                <w:sz w:val="20"/>
              </w:rPr>
              <w:t>x</w:t>
            </w:r>
          </w:p>
        </w:tc>
        <w:tc>
          <w:tcPr>
            <w:tcW w:w="2837" w:type="dxa"/>
            <w:shd w:val="clear" w:color="auto" w:fill="auto"/>
          </w:tcPr>
          <w:p w14:paraId="1D16EC9E" w14:textId="77777777" w:rsidR="003A59F0" w:rsidRPr="005E3885" w:rsidRDefault="003A59F0" w:rsidP="001531B6">
            <w:pPr>
              <w:tabs>
                <w:tab w:val="left" w:pos="567"/>
              </w:tabs>
              <w:rPr>
                <w:sz w:val="20"/>
              </w:rPr>
            </w:pPr>
          </w:p>
        </w:tc>
      </w:tr>
      <w:tr w:rsidR="003A59F0" w:rsidRPr="005E3885" w14:paraId="3DDBAAA5" w14:textId="77777777" w:rsidTr="001531B6">
        <w:trPr>
          <w:cantSplit/>
        </w:trPr>
        <w:tc>
          <w:tcPr>
            <w:tcW w:w="3339" w:type="dxa"/>
            <w:tcBorders>
              <w:bottom w:val="single" w:sz="4" w:space="0" w:color="auto"/>
            </w:tcBorders>
          </w:tcPr>
          <w:p w14:paraId="381989EE" w14:textId="77777777" w:rsidR="003A59F0" w:rsidRPr="005E3885" w:rsidRDefault="003A59F0" w:rsidP="001531B6">
            <w:pPr>
              <w:tabs>
                <w:tab w:val="left" w:pos="567"/>
              </w:tabs>
              <w:rPr>
                <w:sz w:val="20"/>
              </w:rPr>
            </w:pPr>
            <w:r w:rsidRPr="005E3885">
              <w:rPr>
                <w:sz w:val="20"/>
              </w:rPr>
              <w:t>Provisional Final Acts</w:t>
            </w:r>
          </w:p>
        </w:tc>
        <w:tc>
          <w:tcPr>
            <w:tcW w:w="577" w:type="dxa"/>
            <w:tcBorders>
              <w:bottom w:val="single" w:sz="4" w:space="0" w:color="auto"/>
            </w:tcBorders>
            <w:shd w:val="clear" w:color="auto" w:fill="auto"/>
          </w:tcPr>
          <w:p w14:paraId="46CD4F5E"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auto"/>
          </w:tcPr>
          <w:p w14:paraId="4D6AB62B"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auto"/>
          </w:tcPr>
          <w:p w14:paraId="11DB747A" w14:textId="77777777" w:rsidR="003A59F0" w:rsidRPr="005E3885" w:rsidRDefault="003A59F0" w:rsidP="001531B6">
            <w:pPr>
              <w:jc w:val="center"/>
              <w:rPr>
                <w:sz w:val="20"/>
              </w:rPr>
            </w:pPr>
            <w:r w:rsidRPr="005E3885">
              <w:rPr>
                <w:sz w:val="20"/>
              </w:rPr>
              <w:t>x</w:t>
            </w:r>
          </w:p>
        </w:tc>
        <w:tc>
          <w:tcPr>
            <w:tcW w:w="572" w:type="dxa"/>
            <w:tcBorders>
              <w:bottom w:val="single" w:sz="4" w:space="0" w:color="auto"/>
            </w:tcBorders>
            <w:shd w:val="clear" w:color="auto" w:fill="auto"/>
          </w:tcPr>
          <w:p w14:paraId="2B103288" w14:textId="77777777" w:rsidR="003A59F0" w:rsidRPr="005E3885" w:rsidRDefault="003A59F0" w:rsidP="001531B6">
            <w:pPr>
              <w:jc w:val="center"/>
              <w:rPr>
                <w:sz w:val="20"/>
              </w:rPr>
            </w:pPr>
            <w:r w:rsidRPr="005E3885">
              <w:rPr>
                <w:sz w:val="20"/>
              </w:rPr>
              <w:t>x</w:t>
            </w:r>
          </w:p>
        </w:tc>
        <w:tc>
          <w:tcPr>
            <w:tcW w:w="574" w:type="dxa"/>
            <w:tcBorders>
              <w:bottom w:val="single" w:sz="4" w:space="0" w:color="auto"/>
            </w:tcBorders>
            <w:shd w:val="clear" w:color="auto" w:fill="auto"/>
          </w:tcPr>
          <w:p w14:paraId="276F4674"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auto"/>
          </w:tcPr>
          <w:p w14:paraId="72EE88B5" w14:textId="77777777" w:rsidR="003A59F0" w:rsidRPr="005E3885" w:rsidRDefault="003A59F0" w:rsidP="001531B6">
            <w:pPr>
              <w:jc w:val="center"/>
              <w:rPr>
                <w:sz w:val="20"/>
              </w:rPr>
            </w:pPr>
            <w:r w:rsidRPr="005E3885">
              <w:rPr>
                <w:sz w:val="20"/>
              </w:rPr>
              <w:t>x</w:t>
            </w:r>
          </w:p>
        </w:tc>
        <w:tc>
          <w:tcPr>
            <w:tcW w:w="2837" w:type="dxa"/>
            <w:tcBorders>
              <w:bottom w:val="single" w:sz="4" w:space="0" w:color="auto"/>
            </w:tcBorders>
            <w:shd w:val="clear" w:color="auto" w:fill="auto"/>
          </w:tcPr>
          <w:p w14:paraId="43FF8D47" w14:textId="77777777" w:rsidR="003A59F0" w:rsidRPr="005E3885" w:rsidRDefault="003A59F0" w:rsidP="001531B6">
            <w:pPr>
              <w:tabs>
                <w:tab w:val="left" w:pos="567"/>
              </w:tabs>
              <w:rPr>
                <w:sz w:val="20"/>
              </w:rPr>
            </w:pPr>
          </w:p>
        </w:tc>
      </w:tr>
      <w:tr w:rsidR="003A59F0" w:rsidRPr="005E3885" w14:paraId="53F80E2C" w14:textId="77777777" w:rsidTr="001531B6">
        <w:trPr>
          <w:cantSplit/>
        </w:trPr>
        <w:tc>
          <w:tcPr>
            <w:tcW w:w="3339" w:type="dxa"/>
            <w:tcBorders>
              <w:bottom w:val="single" w:sz="4" w:space="0" w:color="auto"/>
            </w:tcBorders>
            <w:shd w:val="clear" w:color="auto" w:fill="99CCFF"/>
          </w:tcPr>
          <w:p w14:paraId="2F2E4B38" w14:textId="77777777" w:rsidR="003A59F0" w:rsidRPr="005E3885" w:rsidRDefault="003A59F0" w:rsidP="001531B6">
            <w:pPr>
              <w:spacing w:before="60"/>
              <w:rPr>
                <w:b/>
                <w:bCs/>
                <w:sz w:val="20"/>
                <w:u w:val="single"/>
              </w:rPr>
            </w:pPr>
            <w:r w:rsidRPr="005E3885">
              <w:rPr>
                <w:b/>
                <w:bCs/>
                <w:sz w:val="20"/>
                <w:u w:val="single"/>
              </w:rPr>
              <w:t xml:space="preserve">3. WRC information sessions </w:t>
            </w:r>
            <w:r w:rsidRPr="005E3885">
              <w:rPr>
                <w:b/>
                <w:bCs/>
                <w:position w:val="6"/>
                <w:sz w:val="18"/>
                <w:u w:val="single"/>
              </w:rPr>
              <w:footnoteReference w:id="5"/>
            </w:r>
          </w:p>
        </w:tc>
        <w:tc>
          <w:tcPr>
            <w:tcW w:w="577" w:type="dxa"/>
            <w:tcBorders>
              <w:bottom w:val="single" w:sz="4" w:space="0" w:color="auto"/>
            </w:tcBorders>
            <w:shd w:val="clear" w:color="auto" w:fill="99CCFF"/>
          </w:tcPr>
          <w:p w14:paraId="1E085D91" w14:textId="77777777" w:rsidR="003A59F0" w:rsidRPr="005E3885" w:rsidRDefault="003A59F0" w:rsidP="001531B6">
            <w:pPr>
              <w:spacing w:before="60"/>
              <w:jc w:val="center"/>
              <w:rPr>
                <w:sz w:val="20"/>
              </w:rPr>
            </w:pPr>
          </w:p>
        </w:tc>
        <w:tc>
          <w:tcPr>
            <w:tcW w:w="580" w:type="dxa"/>
            <w:tcBorders>
              <w:bottom w:val="single" w:sz="4" w:space="0" w:color="auto"/>
            </w:tcBorders>
            <w:shd w:val="clear" w:color="auto" w:fill="99CCFF"/>
          </w:tcPr>
          <w:p w14:paraId="41FA3C52" w14:textId="77777777" w:rsidR="003A59F0" w:rsidRPr="005E3885" w:rsidRDefault="003A59F0" w:rsidP="001531B6">
            <w:pPr>
              <w:spacing w:before="60"/>
              <w:jc w:val="center"/>
              <w:rPr>
                <w:sz w:val="20"/>
              </w:rPr>
            </w:pPr>
          </w:p>
        </w:tc>
        <w:tc>
          <w:tcPr>
            <w:tcW w:w="580" w:type="dxa"/>
            <w:tcBorders>
              <w:bottom w:val="single" w:sz="4" w:space="0" w:color="auto"/>
            </w:tcBorders>
            <w:shd w:val="clear" w:color="auto" w:fill="99CCFF"/>
          </w:tcPr>
          <w:p w14:paraId="37E8FBEB" w14:textId="77777777" w:rsidR="003A59F0" w:rsidRPr="005E3885" w:rsidRDefault="003A59F0" w:rsidP="001531B6">
            <w:pPr>
              <w:spacing w:before="60"/>
              <w:jc w:val="center"/>
              <w:rPr>
                <w:sz w:val="20"/>
              </w:rPr>
            </w:pPr>
          </w:p>
        </w:tc>
        <w:tc>
          <w:tcPr>
            <w:tcW w:w="572" w:type="dxa"/>
            <w:tcBorders>
              <w:bottom w:val="single" w:sz="4" w:space="0" w:color="auto"/>
            </w:tcBorders>
            <w:shd w:val="clear" w:color="auto" w:fill="99CCFF"/>
          </w:tcPr>
          <w:p w14:paraId="00152FF4" w14:textId="77777777" w:rsidR="003A59F0" w:rsidRPr="005E3885" w:rsidRDefault="003A59F0" w:rsidP="001531B6">
            <w:pPr>
              <w:spacing w:before="60"/>
              <w:jc w:val="center"/>
              <w:rPr>
                <w:sz w:val="20"/>
              </w:rPr>
            </w:pPr>
          </w:p>
        </w:tc>
        <w:tc>
          <w:tcPr>
            <w:tcW w:w="574" w:type="dxa"/>
            <w:tcBorders>
              <w:bottom w:val="single" w:sz="4" w:space="0" w:color="auto"/>
            </w:tcBorders>
            <w:shd w:val="clear" w:color="auto" w:fill="99CCFF"/>
          </w:tcPr>
          <w:p w14:paraId="47DD655A" w14:textId="77777777" w:rsidR="003A59F0" w:rsidRPr="005E3885" w:rsidRDefault="003A59F0" w:rsidP="001531B6">
            <w:pPr>
              <w:spacing w:before="60"/>
              <w:jc w:val="center"/>
              <w:rPr>
                <w:sz w:val="20"/>
              </w:rPr>
            </w:pPr>
          </w:p>
        </w:tc>
        <w:tc>
          <w:tcPr>
            <w:tcW w:w="580" w:type="dxa"/>
            <w:tcBorders>
              <w:bottom w:val="single" w:sz="4" w:space="0" w:color="auto"/>
            </w:tcBorders>
            <w:shd w:val="clear" w:color="auto" w:fill="99CCFF"/>
          </w:tcPr>
          <w:p w14:paraId="13861301" w14:textId="77777777" w:rsidR="003A59F0" w:rsidRPr="005E3885" w:rsidRDefault="003A59F0" w:rsidP="001531B6">
            <w:pPr>
              <w:spacing w:before="60"/>
              <w:jc w:val="center"/>
              <w:rPr>
                <w:sz w:val="20"/>
              </w:rPr>
            </w:pPr>
          </w:p>
        </w:tc>
        <w:tc>
          <w:tcPr>
            <w:tcW w:w="2837" w:type="dxa"/>
            <w:tcBorders>
              <w:bottom w:val="single" w:sz="4" w:space="0" w:color="auto"/>
            </w:tcBorders>
            <w:shd w:val="clear" w:color="auto" w:fill="99CCFF"/>
          </w:tcPr>
          <w:p w14:paraId="1993BE4B" w14:textId="77777777" w:rsidR="003A59F0" w:rsidRPr="005E3885" w:rsidRDefault="003A59F0" w:rsidP="001531B6">
            <w:pPr>
              <w:spacing w:before="60"/>
              <w:rPr>
                <w:sz w:val="20"/>
              </w:rPr>
            </w:pPr>
          </w:p>
        </w:tc>
      </w:tr>
      <w:tr w:rsidR="003A59F0" w:rsidRPr="005E3885" w14:paraId="0C4C05FF" w14:textId="77777777" w:rsidTr="001531B6">
        <w:tc>
          <w:tcPr>
            <w:tcW w:w="3339" w:type="dxa"/>
            <w:tcBorders>
              <w:bottom w:val="single" w:sz="4" w:space="0" w:color="auto"/>
            </w:tcBorders>
            <w:shd w:val="clear" w:color="auto" w:fill="FFFF00"/>
          </w:tcPr>
          <w:p w14:paraId="6E44A066" w14:textId="77777777" w:rsidR="003A59F0" w:rsidRPr="005E3885" w:rsidRDefault="003A59F0" w:rsidP="001531B6">
            <w:pPr>
              <w:rPr>
                <w:sz w:val="20"/>
              </w:rPr>
            </w:pPr>
            <w:r w:rsidRPr="005E3885">
              <w:rPr>
                <w:sz w:val="20"/>
              </w:rPr>
              <w:t>Interpretation</w:t>
            </w:r>
          </w:p>
        </w:tc>
        <w:tc>
          <w:tcPr>
            <w:tcW w:w="577" w:type="dxa"/>
            <w:tcBorders>
              <w:bottom w:val="single" w:sz="4" w:space="0" w:color="auto"/>
            </w:tcBorders>
            <w:shd w:val="clear" w:color="auto" w:fill="FFFF00"/>
          </w:tcPr>
          <w:p w14:paraId="59CA50E7"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FFFF00"/>
          </w:tcPr>
          <w:p w14:paraId="418EA4D4"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FFFF00"/>
          </w:tcPr>
          <w:p w14:paraId="18563CF9" w14:textId="77777777" w:rsidR="003A59F0" w:rsidRPr="005E3885" w:rsidRDefault="003A59F0" w:rsidP="001531B6">
            <w:pPr>
              <w:jc w:val="center"/>
              <w:rPr>
                <w:sz w:val="20"/>
              </w:rPr>
            </w:pPr>
            <w:r w:rsidRPr="005E3885">
              <w:rPr>
                <w:sz w:val="20"/>
              </w:rPr>
              <w:t>x</w:t>
            </w:r>
          </w:p>
        </w:tc>
        <w:tc>
          <w:tcPr>
            <w:tcW w:w="572" w:type="dxa"/>
            <w:tcBorders>
              <w:bottom w:val="single" w:sz="4" w:space="0" w:color="auto"/>
            </w:tcBorders>
            <w:shd w:val="clear" w:color="auto" w:fill="FFFF00"/>
          </w:tcPr>
          <w:p w14:paraId="3F6DDBC6" w14:textId="77777777" w:rsidR="003A59F0" w:rsidRPr="005E3885" w:rsidRDefault="003A59F0" w:rsidP="001531B6">
            <w:pPr>
              <w:jc w:val="center"/>
              <w:rPr>
                <w:sz w:val="20"/>
              </w:rPr>
            </w:pPr>
            <w:r w:rsidRPr="005E3885">
              <w:rPr>
                <w:sz w:val="20"/>
              </w:rPr>
              <w:t>x</w:t>
            </w:r>
          </w:p>
        </w:tc>
        <w:tc>
          <w:tcPr>
            <w:tcW w:w="574" w:type="dxa"/>
            <w:tcBorders>
              <w:bottom w:val="single" w:sz="4" w:space="0" w:color="auto"/>
            </w:tcBorders>
            <w:shd w:val="clear" w:color="auto" w:fill="FFFF00"/>
          </w:tcPr>
          <w:p w14:paraId="7495010F"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FFFF00"/>
          </w:tcPr>
          <w:p w14:paraId="13569D41" w14:textId="77777777" w:rsidR="003A59F0" w:rsidRPr="005E3885" w:rsidRDefault="003A59F0" w:rsidP="001531B6">
            <w:pPr>
              <w:jc w:val="center"/>
              <w:rPr>
                <w:sz w:val="20"/>
              </w:rPr>
            </w:pPr>
            <w:r w:rsidRPr="005E3885">
              <w:rPr>
                <w:sz w:val="20"/>
              </w:rPr>
              <w:t>x</w:t>
            </w:r>
          </w:p>
        </w:tc>
        <w:tc>
          <w:tcPr>
            <w:tcW w:w="2837" w:type="dxa"/>
            <w:tcBorders>
              <w:bottom w:val="single" w:sz="4" w:space="0" w:color="auto"/>
            </w:tcBorders>
            <w:shd w:val="clear" w:color="auto" w:fill="FFFF00"/>
          </w:tcPr>
          <w:p w14:paraId="7CDB8360" w14:textId="77777777" w:rsidR="003A59F0" w:rsidRPr="005E3885" w:rsidRDefault="003A59F0" w:rsidP="001531B6">
            <w:pPr>
              <w:rPr>
                <w:sz w:val="20"/>
              </w:rPr>
            </w:pPr>
          </w:p>
        </w:tc>
      </w:tr>
      <w:tr w:rsidR="003A59F0" w:rsidRPr="005E3885" w14:paraId="03CFFB81" w14:textId="77777777" w:rsidTr="001531B6">
        <w:trPr>
          <w:cantSplit/>
        </w:trPr>
        <w:tc>
          <w:tcPr>
            <w:tcW w:w="3339" w:type="dxa"/>
            <w:tcBorders>
              <w:bottom w:val="single" w:sz="4" w:space="0" w:color="auto"/>
            </w:tcBorders>
            <w:shd w:val="clear" w:color="auto" w:fill="99CCFF"/>
          </w:tcPr>
          <w:p w14:paraId="5B8EAE86" w14:textId="77777777" w:rsidR="003A59F0" w:rsidRPr="005E3885" w:rsidRDefault="003A59F0" w:rsidP="001531B6">
            <w:pPr>
              <w:spacing w:before="60"/>
              <w:rPr>
                <w:b/>
                <w:bCs/>
                <w:sz w:val="20"/>
                <w:u w:val="single"/>
              </w:rPr>
            </w:pPr>
            <w:r w:rsidRPr="005E3885">
              <w:rPr>
                <w:b/>
                <w:bCs/>
                <w:sz w:val="20"/>
                <w:u w:val="single"/>
              </w:rPr>
              <w:t xml:space="preserve">4a. RAG </w:t>
            </w:r>
          </w:p>
        </w:tc>
        <w:tc>
          <w:tcPr>
            <w:tcW w:w="577" w:type="dxa"/>
            <w:tcBorders>
              <w:bottom w:val="single" w:sz="4" w:space="0" w:color="auto"/>
            </w:tcBorders>
            <w:shd w:val="clear" w:color="auto" w:fill="99CCFF"/>
          </w:tcPr>
          <w:p w14:paraId="0BCA2EF0" w14:textId="77777777" w:rsidR="003A59F0" w:rsidRPr="005E3885" w:rsidRDefault="003A59F0" w:rsidP="001531B6">
            <w:pPr>
              <w:spacing w:before="60"/>
              <w:jc w:val="center"/>
              <w:rPr>
                <w:b/>
                <w:bCs/>
                <w:sz w:val="20"/>
              </w:rPr>
            </w:pPr>
          </w:p>
        </w:tc>
        <w:tc>
          <w:tcPr>
            <w:tcW w:w="580" w:type="dxa"/>
            <w:tcBorders>
              <w:bottom w:val="single" w:sz="4" w:space="0" w:color="auto"/>
            </w:tcBorders>
            <w:shd w:val="clear" w:color="auto" w:fill="99CCFF"/>
          </w:tcPr>
          <w:p w14:paraId="66776203" w14:textId="77777777" w:rsidR="003A59F0" w:rsidRPr="005E3885" w:rsidRDefault="003A59F0" w:rsidP="001531B6">
            <w:pPr>
              <w:spacing w:before="60"/>
              <w:jc w:val="center"/>
              <w:rPr>
                <w:b/>
                <w:bCs/>
                <w:sz w:val="20"/>
              </w:rPr>
            </w:pPr>
          </w:p>
        </w:tc>
        <w:tc>
          <w:tcPr>
            <w:tcW w:w="580" w:type="dxa"/>
            <w:tcBorders>
              <w:bottom w:val="single" w:sz="4" w:space="0" w:color="auto"/>
            </w:tcBorders>
            <w:shd w:val="clear" w:color="auto" w:fill="99CCFF"/>
          </w:tcPr>
          <w:p w14:paraId="0CF7E91B" w14:textId="77777777" w:rsidR="003A59F0" w:rsidRPr="005E3885" w:rsidRDefault="003A59F0" w:rsidP="001531B6">
            <w:pPr>
              <w:spacing w:before="60"/>
              <w:jc w:val="center"/>
              <w:rPr>
                <w:b/>
                <w:bCs/>
                <w:sz w:val="20"/>
              </w:rPr>
            </w:pPr>
          </w:p>
        </w:tc>
        <w:tc>
          <w:tcPr>
            <w:tcW w:w="572" w:type="dxa"/>
            <w:tcBorders>
              <w:bottom w:val="single" w:sz="4" w:space="0" w:color="auto"/>
            </w:tcBorders>
            <w:shd w:val="clear" w:color="auto" w:fill="99CCFF"/>
          </w:tcPr>
          <w:p w14:paraId="1DB66662" w14:textId="77777777" w:rsidR="003A59F0" w:rsidRPr="005E3885" w:rsidRDefault="003A59F0" w:rsidP="001531B6">
            <w:pPr>
              <w:spacing w:before="60"/>
              <w:jc w:val="center"/>
              <w:rPr>
                <w:b/>
                <w:bCs/>
                <w:sz w:val="20"/>
              </w:rPr>
            </w:pPr>
          </w:p>
        </w:tc>
        <w:tc>
          <w:tcPr>
            <w:tcW w:w="574" w:type="dxa"/>
            <w:tcBorders>
              <w:bottom w:val="single" w:sz="4" w:space="0" w:color="auto"/>
            </w:tcBorders>
            <w:shd w:val="clear" w:color="auto" w:fill="99CCFF"/>
          </w:tcPr>
          <w:p w14:paraId="79829291" w14:textId="77777777" w:rsidR="003A59F0" w:rsidRPr="005E3885" w:rsidRDefault="003A59F0" w:rsidP="001531B6">
            <w:pPr>
              <w:spacing w:before="60"/>
              <w:jc w:val="center"/>
              <w:rPr>
                <w:b/>
                <w:bCs/>
                <w:sz w:val="20"/>
              </w:rPr>
            </w:pPr>
          </w:p>
        </w:tc>
        <w:tc>
          <w:tcPr>
            <w:tcW w:w="580" w:type="dxa"/>
            <w:tcBorders>
              <w:bottom w:val="single" w:sz="4" w:space="0" w:color="auto"/>
            </w:tcBorders>
            <w:shd w:val="clear" w:color="auto" w:fill="99CCFF"/>
          </w:tcPr>
          <w:p w14:paraId="213DC422" w14:textId="77777777" w:rsidR="003A59F0" w:rsidRPr="005E3885" w:rsidRDefault="003A59F0" w:rsidP="001531B6">
            <w:pPr>
              <w:spacing w:before="60"/>
              <w:jc w:val="center"/>
              <w:rPr>
                <w:b/>
                <w:bCs/>
                <w:sz w:val="20"/>
              </w:rPr>
            </w:pPr>
          </w:p>
        </w:tc>
        <w:tc>
          <w:tcPr>
            <w:tcW w:w="2837" w:type="dxa"/>
            <w:tcBorders>
              <w:bottom w:val="single" w:sz="4" w:space="0" w:color="auto"/>
            </w:tcBorders>
            <w:shd w:val="clear" w:color="auto" w:fill="99CCFF"/>
          </w:tcPr>
          <w:p w14:paraId="5999FEC7" w14:textId="77777777" w:rsidR="003A59F0" w:rsidRPr="005E3885" w:rsidRDefault="003A59F0" w:rsidP="001531B6">
            <w:pPr>
              <w:spacing w:before="60"/>
              <w:rPr>
                <w:b/>
                <w:bCs/>
                <w:sz w:val="20"/>
              </w:rPr>
            </w:pPr>
          </w:p>
        </w:tc>
      </w:tr>
      <w:tr w:rsidR="003A59F0" w:rsidRPr="005E3885" w14:paraId="17B776A7" w14:textId="77777777" w:rsidTr="001531B6">
        <w:trPr>
          <w:cantSplit/>
        </w:trPr>
        <w:tc>
          <w:tcPr>
            <w:tcW w:w="3339" w:type="dxa"/>
            <w:shd w:val="clear" w:color="auto" w:fill="FFFF00"/>
          </w:tcPr>
          <w:p w14:paraId="5CF023DB" w14:textId="77777777" w:rsidR="003A59F0" w:rsidRPr="005E3885" w:rsidRDefault="003A59F0" w:rsidP="001531B6">
            <w:pPr>
              <w:rPr>
                <w:sz w:val="20"/>
              </w:rPr>
            </w:pPr>
            <w:r w:rsidRPr="005E3885">
              <w:rPr>
                <w:sz w:val="20"/>
              </w:rPr>
              <w:t>Interpretation</w:t>
            </w:r>
          </w:p>
        </w:tc>
        <w:tc>
          <w:tcPr>
            <w:tcW w:w="577" w:type="dxa"/>
            <w:shd w:val="clear" w:color="auto" w:fill="FFFF00"/>
          </w:tcPr>
          <w:p w14:paraId="039C77E8" w14:textId="77777777" w:rsidR="003A59F0" w:rsidRPr="005E3885" w:rsidRDefault="003A59F0" w:rsidP="001531B6">
            <w:pPr>
              <w:jc w:val="center"/>
              <w:rPr>
                <w:sz w:val="20"/>
              </w:rPr>
            </w:pPr>
            <w:r w:rsidRPr="005E3885">
              <w:rPr>
                <w:sz w:val="20"/>
              </w:rPr>
              <w:t>x</w:t>
            </w:r>
          </w:p>
        </w:tc>
        <w:tc>
          <w:tcPr>
            <w:tcW w:w="580" w:type="dxa"/>
            <w:shd w:val="clear" w:color="auto" w:fill="FFFF00"/>
          </w:tcPr>
          <w:p w14:paraId="24B0AF9D" w14:textId="77777777" w:rsidR="003A59F0" w:rsidRPr="005E3885" w:rsidRDefault="003A59F0" w:rsidP="001531B6">
            <w:pPr>
              <w:jc w:val="center"/>
              <w:rPr>
                <w:sz w:val="20"/>
              </w:rPr>
            </w:pPr>
            <w:r w:rsidRPr="005E3885">
              <w:rPr>
                <w:sz w:val="20"/>
              </w:rPr>
              <w:t>x</w:t>
            </w:r>
          </w:p>
        </w:tc>
        <w:tc>
          <w:tcPr>
            <w:tcW w:w="580" w:type="dxa"/>
            <w:shd w:val="clear" w:color="auto" w:fill="FFFF00"/>
          </w:tcPr>
          <w:p w14:paraId="294DD395" w14:textId="77777777" w:rsidR="003A59F0" w:rsidRPr="005E3885" w:rsidRDefault="003A59F0" w:rsidP="001531B6">
            <w:pPr>
              <w:jc w:val="center"/>
              <w:rPr>
                <w:sz w:val="20"/>
              </w:rPr>
            </w:pPr>
            <w:r w:rsidRPr="005E3885">
              <w:rPr>
                <w:sz w:val="20"/>
              </w:rPr>
              <w:t>x</w:t>
            </w:r>
          </w:p>
        </w:tc>
        <w:tc>
          <w:tcPr>
            <w:tcW w:w="572" w:type="dxa"/>
            <w:shd w:val="clear" w:color="auto" w:fill="FFFF00"/>
          </w:tcPr>
          <w:p w14:paraId="29BAC1CA" w14:textId="77777777" w:rsidR="003A59F0" w:rsidRPr="005E3885" w:rsidRDefault="003A59F0" w:rsidP="001531B6">
            <w:pPr>
              <w:jc w:val="center"/>
              <w:rPr>
                <w:sz w:val="20"/>
              </w:rPr>
            </w:pPr>
            <w:r w:rsidRPr="005E3885">
              <w:rPr>
                <w:sz w:val="20"/>
              </w:rPr>
              <w:t>x</w:t>
            </w:r>
          </w:p>
        </w:tc>
        <w:tc>
          <w:tcPr>
            <w:tcW w:w="574" w:type="dxa"/>
            <w:shd w:val="clear" w:color="auto" w:fill="FFFF00"/>
          </w:tcPr>
          <w:p w14:paraId="7CA920DF" w14:textId="77777777" w:rsidR="003A59F0" w:rsidRPr="005E3885" w:rsidRDefault="003A59F0" w:rsidP="001531B6">
            <w:pPr>
              <w:jc w:val="center"/>
              <w:rPr>
                <w:sz w:val="20"/>
              </w:rPr>
            </w:pPr>
            <w:r w:rsidRPr="005E3885">
              <w:rPr>
                <w:sz w:val="20"/>
              </w:rPr>
              <w:t>x</w:t>
            </w:r>
          </w:p>
        </w:tc>
        <w:tc>
          <w:tcPr>
            <w:tcW w:w="580" w:type="dxa"/>
            <w:shd w:val="clear" w:color="auto" w:fill="FFFF00"/>
          </w:tcPr>
          <w:p w14:paraId="7F5EF794" w14:textId="77777777" w:rsidR="003A59F0" w:rsidRPr="005E3885" w:rsidRDefault="003A59F0" w:rsidP="001531B6">
            <w:pPr>
              <w:jc w:val="center"/>
              <w:rPr>
                <w:sz w:val="20"/>
              </w:rPr>
            </w:pPr>
            <w:r w:rsidRPr="005E3885">
              <w:rPr>
                <w:sz w:val="20"/>
              </w:rPr>
              <w:t>x</w:t>
            </w:r>
          </w:p>
        </w:tc>
        <w:tc>
          <w:tcPr>
            <w:tcW w:w="2837" w:type="dxa"/>
            <w:shd w:val="clear" w:color="auto" w:fill="FFFF00"/>
          </w:tcPr>
          <w:p w14:paraId="794CF09C" w14:textId="77777777" w:rsidR="003A59F0" w:rsidRPr="005E3885" w:rsidRDefault="003A59F0" w:rsidP="001531B6">
            <w:pPr>
              <w:rPr>
                <w:sz w:val="20"/>
              </w:rPr>
            </w:pPr>
          </w:p>
        </w:tc>
      </w:tr>
      <w:tr w:rsidR="003A59F0" w:rsidRPr="005E3885" w14:paraId="14406975" w14:textId="77777777" w:rsidTr="001531B6">
        <w:tc>
          <w:tcPr>
            <w:tcW w:w="3339" w:type="dxa"/>
          </w:tcPr>
          <w:p w14:paraId="744FA062" w14:textId="77777777" w:rsidR="003A59F0" w:rsidRPr="005E3885" w:rsidRDefault="003A59F0" w:rsidP="001531B6">
            <w:pPr>
              <w:rPr>
                <w:sz w:val="20"/>
              </w:rPr>
            </w:pPr>
            <w:r w:rsidRPr="005E3885">
              <w:rPr>
                <w:sz w:val="20"/>
              </w:rPr>
              <w:t xml:space="preserve">Contributions </w:t>
            </w:r>
          </w:p>
        </w:tc>
        <w:tc>
          <w:tcPr>
            <w:tcW w:w="577" w:type="dxa"/>
            <w:shd w:val="clear" w:color="auto" w:fill="auto"/>
          </w:tcPr>
          <w:p w14:paraId="2DC8C6E4" w14:textId="77777777" w:rsidR="003A59F0" w:rsidRPr="005E3885" w:rsidRDefault="003A59F0" w:rsidP="001531B6">
            <w:pPr>
              <w:jc w:val="center"/>
              <w:rPr>
                <w:sz w:val="20"/>
              </w:rPr>
            </w:pPr>
            <w:r w:rsidRPr="005E3885">
              <w:rPr>
                <w:sz w:val="20"/>
              </w:rPr>
              <w:t>x</w:t>
            </w:r>
          </w:p>
        </w:tc>
        <w:tc>
          <w:tcPr>
            <w:tcW w:w="580" w:type="dxa"/>
            <w:shd w:val="clear" w:color="auto" w:fill="auto"/>
          </w:tcPr>
          <w:p w14:paraId="0A82D2E7" w14:textId="77777777" w:rsidR="003A59F0" w:rsidRPr="005E3885" w:rsidRDefault="003A59F0" w:rsidP="001531B6">
            <w:pPr>
              <w:jc w:val="center"/>
              <w:rPr>
                <w:sz w:val="20"/>
              </w:rPr>
            </w:pPr>
            <w:r w:rsidRPr="005E3885">
              <w:rPr>
                <w:sz w:val="20"/>
              </w:rPr>
              <w:t>x</w:t>
            </w:r>
          </w:p>
        </w:tc>
        <w:tc>
          <w:tcPr>
            <w:tcW w:w="580" w:type="dxa"/>
            <w:shd w:val="clear" w:color="auto" w:fill="auto"/>
          </w:tcPr>
          <w:p w14:paraId="57E192A0" w14:textId="77777777" w:rsidR="003A59F0" w:rsidRPr="005E3885" w:rsidRDefault="003A59F0" w:rsidP="001531B6">
            <w:pPr>
              <w:jc w:val="center"/>
              <w:rPr>
                <w:sz w:val="20"/>
              </w:rPr>
            </w:pPr>
            <w:r w:rsidRPr="005E3885">
              <w:rPr>
                <w:sz w:val="20"/>
              </w:rPr>
              <w:t>x</w:t>
            </w:r>
          </w:p>
        </w:tc>
        <w:tc>
          <w:tcPr>
            <w:tcW w:w="572" w:type="dxa"/>
            <w:shd w:val="clear" w:color="auto" w:fill="auto"/>
          </w:tcPr>
          <w:p w14:paraId="03C2F280" w14:textId="77777777" w:rsidR="003A59F0" w:rsidRPr="005E3885" w:rsidRDefault="003A59F0" w:rsidP="001531B6">
            <w:pPr>
              <w:jc w:val="center"/>
              <w:rPr>
                <w:sz w:val="20"/>
              </w:rPr>
            </w:pPr>
            <w:r w:rsidRPr="005E3885">
              <w:rPr>
                <w:sz w:val="20"/>
              </w:rPr>
              <w:t>x</w:t>
            </w:r>
          </w:p>
        </w:tc>
        <w:tc>
          <w:tcPr>
            <w:tcW w:w="574" w:type="dxa"/>
            <w:shd w:val="clear" w:color="auto" w:fill="auto"/>
          </w:tcPr>
          <w:p w14:paraId="68DDBAF7" w14:textId="77777777" w:rsidR="003A59F0" w:rsidRPr="005E3885" w:rsidRDefault="003A59F0" w:rsidP="001531B6">
            <w:pPr>
              <w:jc w:val="center"/>
              <w:rPr>
                <w:sz w:val="20"/>
              </w:rPr>
            </w:pPr>
            <w:r w:rsidRPr="005E3885">
              <w:rPr>
                <w:sz w:val="20"/>
              </w:rPr>
              <w:t>x</w:t>
            </w:r>
          </w:p>
        </w:tc>
        <w:tc>
          <w:tcPr>
            <w:tcW w:w="580" w:type="dxa"/>
            <w:shd w:val="clear" w:color="auto" w:fill="auto"/>
          </w:tcPr>
          <w:p w14:paraId="1D5A84DA" w14:textId="77777777" w:rsidR="003A59F0" w:rsidRPr="005E3885" w:rsidRDefault="003A59F0" w:rsidP="001531B6">
            <w:pPr>
              <w:jc w:val="center"/>
              <w:rPr>
                <w:sz w:val="20"/>
              </w:rPr>
            </w:pPr>
            <w:r w:rsidRPr="005E3885">
              <w:rPr>
                <w:sz w:val="20"/>
              </w:rPr>
              <w:t>x</w:t>
            </w:r>
          </w:p>
        </w:tc>
        <w:tc>
          <w:tcPr>
            <w:tcW w:w="2837" w:type="dxa"/>
          </w:tcPr>
          <w:p w14:paraId="34A760FC" w14:textId="77777777" w:rsidR="003A59F0" w:rsidRPr="005E3885" w:rsidRDefault="003A59F0" w:rsidP="001531B6">
            <w:pPr>
              <w:rPr>
                <w:sz w:val="20"/>
              </w:rPr>
            </w:pPr>
          </w:p>
        </w:tc>
      </w:tr>
      <w:tr w:rsidR="003A59F0" w:rsidRPr="005E3885" w14:paraId="122CDFA2" w14:textId="77777777" w:rsidTr="001531B6">
        <w:tc>
          <w:tcPr>
            <w:tcW w:w="3339" w:type="dxa"/>
          </w:tcPr>
          <w:p w14:paraId="061A730B" w14:textId="77777777" w:rsidR="003A59F0" w:rsidRPr="005E3885" w:rsidRDefault="003A59F0" w:rsidP="001531B6">
            <w:pPr>
              <w:rPr>
                <w:sz w:val="20"/>
              </w:rPr>
            </w:pPr>
            <w:r w:rsidRPr="005E3885">
              <w:rPr>
                <w:sz w:val="20"/>
              </w:rPr>
              <w:t xml:space="preserve">Temporary documents </w:t>
            </w:r>
          </w:p>
        </w:tc>
        <w:tc>
          <w:tcPr>
            <w:tcW w:w="577" w:type="dxa"/>
            <w:shd w:val="clear" w:color="auto" w:fill="auto"/>
          </w:tcPr>
          <w:p w14:paraId="3FBC0FB0" w14:textId="77777777" w:rsidR="003A59F0" w:rsidRPr="005E3885" w:rsidRDefault="003A59F0" w:rsidP="001531B6">
            <w:pPr>
              <w:jc w:val="center"/>
              <w:rPr>
                <w:sz w:val="20"/>
              </w:rPr>
            </w:pPr>
            <w:r w:rsidRPr="005E3885">
              <w:rPr>
                <w:sz w:val="20"/>
              </w:rPr>
              <w:t>x</w:t>
            </w:r>
          </w:p>
        </w:tc>
        <w:tc>
          <w:tcPr>
            <w:tcW w:w="580" w:type="dxa"/>
            <w:shd w:val="clear" w:color="auto" w:fill="auto"/>
          </w:tcPr>
          <w:p w14:paraId="2CB2B099" w14:textId="77777777" w:rsidR="003A59F0" w:rsidRPr="005E3885" w:rsidRDefault="003A59F0" w:rsidP="001531B6">
            <w:pPr>
              <w:jc w:val="center"/>
              <w:rPr>
                <w:sz w:val="20"/>
              </w:rPr>
            </w:pPr>
          </w:p>
        </w:tc>
        <w:tc>
          <w:tcPr>
            <w:tcW w:w="580" w:type="dxa"/>
            <w:shd w:val="clear" w:color="auto" w:fill="auto"/>
          </w:tcPr>
          <w:p w14:paraId="5E2DB95E" w14:textId="77777777" w:rsidR="003A59F0" w:rsidRPr="005E3885" w:rsidRDefault="003A59F0" w:rsidP="001531B6">
            <w:pPr>
              <w:jc w:val="center"/>
              <w:rPr>
                <w:sz w:val="20"/>
              </w:rPr>
            </w:pPr>
          </w:p>
        </w:tc>
        <w:tc>
          <w:tcPr>
            <w:tcW w:w="572" w:type="dxa"/>
            <w:shd w:val="clear" w:color="auto" w:fill="auto"/>
          </w:tcPr>
          <w:p w14:paraId="1B2D388C" w14:textId="77777777" w:rsidR="003A59F0" w:rsidRPr="005E3885" w:rsidRDefault="003A59F0" w:rsidP="001531B6">
            <w:pPr>
              <w:jc w:val="center"/>
              <w:rPr>
                <w:sz w:val="20"/>
              </w:rPr>
            </w:pPr>
          </w:p>
        </w:tc>
        <w:tc>
          <w:tcPr>
            <w:tcW w:w="574" w:type="dxa"/>
            <w:shd w:val="clear" w:color="auto" w:fill="auto"/>
          </w:tcPr>
          <w:p w14:paraId="30DF0DD4" w14:textId="77777777" w:rsidR="003A59F0" w:rsidRPr="005E3885" w:rsidRDefault="003A59F0" w:rsidP="001531B6">
            <w:pPr>
              <w:jc w:val="center"/>
              <w:rPr>
                <w:sz w:val="20"/>
              </w:rPr>
            </w:pPr>
          </w:p>
        </w:tc>
        <w:tc>
          <w:tcPr>
            <w:tcW w:w="580" w:type="dxa"/>
            <w:shd w:val="clear" w:color="auto" w:fill="auto"/>
          </w:tcPr>
          <w:p w14:paraId="782255FA" w14:textId="77777777" w:rsidR="003A59F0" w:rsidRPr="005E3885" w:rsidRDefault="003A59F0" w:rsidP="001531B6">
            <w:pPr>
              <w:jc w:val="center"/>
              <w:rPr>
                <w:sz w:val="20"/>
              </w:rPr>
            </w:pPr>
          </w:p>
        </w:tc>
        <w:tc>
          <w:tcPr>
            <w:tcW w:w="2837" w:type="dxa"/>
          </w:tcPr>
          <w:p w14:paraId="58496176" w14:textId="77777777" w:rsidR="003A59F0" w:rsidRPr="005E3885" w:rsidRDefault="003A59F0" w:rsidP="001531B6">
            <w:pPr>
              <w:rPr>
                <w:sz w:val="20"/>
              </w:rPr>
            </w:pPr>
          </w:p>
        </w:tc>
      </w:tr>
      <w:tr w:rsidR="003A59F0" w:rsidRPr="005E3885" w14:paraId="2DF7B2A0" w14:textId="77777777" w:rsidTr="001531B6">
        <w:tc>
          <w:tcPr>
            <w:tcW w:w="3339" w:type="dxa"/>
          </w:tcPr>
          <w:p w14:paraId="5E8C15AD" w14:textId="77777777" w:rsidR="003A59F0" w:rsidRPr="005E3885" w:rsidRDefault="003A59F0" w:rsidP="001531B6">
            <w:pPr>
              <w:rPr>
                <w:sz w:val="20"/>
              </w:rPr>
            </w:pPr>
            <w:r w:rsidRPr="005E3885">
              <w:rPr>
                <w:sz w:val="20"/>
              </w:rPr>
              <w:t>RAG summary of conclusions</w:t>
            </w:r>
          </w:p>
        </w:tc>
        <w:tc>
          <w:tcPr>
            <w:tcW w:w="577" w:type="dxa"/>
            <w:shd w:val="clear" w:color="auto" w:fill="auto"/>
          </w:tcPr>
          <w:p w14:paraId="3F288728" w14:textId="77777777" w:rsidR="003A59F0" w:rsidRPr="005E3885" w:rsidRDefault="003A59F0" w:rsidP="001531B6">
            <w:pPr>
              <w:jc w:val="center"/>
              <w:rPr>
                <w:sz w:val="20"/>
              </w:rPr>
            </w:pPr>
            <w:r w:rsidRPr="005E3885">
              <w:rPr>
                <w:sz w:val="20"/>
              </w:rPr>
              <w:t>x</w:t>
            </w:r>
          </w:p>
        </w:tc>
        <w:tc>
          <w:tcPr>
            <w:tcW w:w="580" w:type="dxa"/>
            <w:shd w:val="clear" w:color="auto" w:fill="auto"/>
          </w:tcPr>
          <w:p w14:paraId="10D5E64C" w14:textId="77777777" w:rsidR="003A59F0" w:rsidRPr="005E3885" w:rsidRDefault="003A59F0" w:rsidP="001531B6">
            <w:pPr>
              <w:jc w:val="center"/>
              <w:rPr>
                <w:sz w:val="20"/>
              </w:rPr>
            </w:pPr>
            <w:r w:rsidRPr="005E3885">
              <w:rPr>
                <w:sz w:val="20"/>
              </w:rPr>
              <w:t>x</w:t>
            </w:r>
          </w:p>
        </w:tc>
        <w:tc>
          <w:tcPr>
            <w:tcW w:w="580" w:type="dxa"/>
            <w:shd w:val="clear" w:color="auto" w:fill="auto"/>
          </w:tcPr>
          <w:p w14:paraId="78F0A023" w14:textId="77777777" w:rsidR="003A59F0" w:rsidRPr="005E3885" w:rsidRDefault="003A59F0" w:rsidP="001531B6">
            <w:pPr>
              <w:jc w:val="center"/>
              <w:rPr>
                <w:sz w:val="20"/>
              </w:rPr>
            </w:pPr>
            <w:r w:rsidRPr="005E3885">
              <w:rPr>
                <w:sz w:val="20"/>
              </w:rPr>
              <w:t>x</w:t>
            </w:r>
          </w:p>
        </w:tc>
        <w:tc>
          <w:tcPr>
            <w:tcW w:w="572" w:type="dxa"/>
            <w:shd w:val="clear" w:color="auto" w:fill="auto"/>
          </w:tcPr>
          <w:p w14:paraId="423C5733" w14:textId="77777777" w:rsidR="003A59F0" w:rsidRPr="005E3885" w:rsidRDefault="003A59F0" w:rsidP="001531B6">
            <w:pPr>
              <w:jc w:val="center"/>
              <w:rPr>
                <w:sz w:val="20"/>
              </w:rPr>
            </w:pPr>
            <w:r w:rsidRPr="005E3885">
              <w:rPr>
                <w:sz w:val="20"/>
              </w:rPr>
              <w:t>x</w:t>
            </w:r>
          </w:p>
        </w:tc>
        <w:tc>
          <w:tcPr>
            <w:tcW w:w="574" w:type="dxa"/>
            <w:shd w:val="clear" w:color="auto" w:fill="auto"/>
          </w:tcPr>
          <w:p w14:paraId="1FEA1C5E" w14:textId="77777777" w:rsidR="003A59F0" w:rsidRPr="005E3885" w:rsidRDefault="003A59F0" w:rsidP="001531B6">
            <w:pPr>
              <w:jc w:val="center"/>
              <w:rPr>
                <w:sz w:val="20"/>
              </w:rPr>
            </w:pPr>
            <w:r w:rsidRPr="005E3885">
              <w:rPr>
                <w:sz w:val="20"/>
              </w:rPr>
              <w:t>x</w:t>
            </w:r>
          </w:p>
        </w:tc>
        <w:tc>
          <w:tcPr>
            <w:tcW w:w="580" w:type="dxa"/>
            <w:shd w:val="clear" w:color="auto" w:fill="auto"/>
          </w:tcPr>
          <w:p w14:paraId="734EF7A5" w14:textId="77777777" w:rsidR="003A59F0" w:rsidRPr="005E3885" w:rsidRDefault="003A59F0" w:rsidP="001531B6">
            <w:pPr>
              <w:jc w:val="center"/>
              <w:rPr>
                <w:sz w:val="20"/>
              </w:rPr>
            </w:pPr>
            <w:r w:rsidRPr="005E3885">
              <w:rPr>
                <w:sz w:val="20"/>
              </w:rPr>
              <w:t>x</w:t>
            </w:r>
          </w:p>
        </w:tc>
        <w:tc>
          <w:tcPr>
            <w:tcW w:w="2837" w:type="dxa"/>
          </w:tcPr>
          <w:p w14:paraId="377F694E" w14:textId="77777777" w:rsidR="003A59F0" w:rsidRPr="005E3885" w:rsidRDefault="003A59F0" w:rsidP="001531B6">
            <w:pPr>
              <w:rPr>
                <w:sz w:val="20"/>
              </w:rPr>
            </w:pPr>
          </w:p>
        </w:tc>
      </w:tr>
      <w:tr w:rsidR="003A59F0" w:rsidRPr="005E3885" w14:paraId="0F3F5385" w14:textId="77777777" w:rsidTr="001531B6">
        <w:trPr>
          <w:cantSplit/>
        </w:trPr>
        <w:tc>
          <w:tcPr>
            <w:tcW w:w="3339" w:type="dxa"/>
            <w:tcBorders>
              <w:bottom w:val="single" w:sz="4" w:space="0" w:color="auto"/>
            </w:tcBorders>
            <w:shd w:val="clear" w:color="auto" w:fill="99CCFF"/>
          </w:tcPr>
          <w:p w14:paraId="128C5D13" w14:textId="77777777" w:rsidR="003A59F0" w:rsidRPr="005E3885" w:rsidRDefault="003A59F0" w:rsidP="001531B6">
            <w:pPr>
              <w:spacing w:before="60"/>
              <w:rPr>
                <w:b/>
                <w:bCs/>
                <w:sz w:val="20"/>
                <w:u w:val="single"/>
              </w:rPr>
            </w:pPr>
            <w:r w:rsidRPr="005E3885">
              <w:rPr>
                <w:b/>
                <w:bCs/>
                <w:sz w:val="20"/>
                <w:u w:val="single"/>
              </w:rPr>
              <w:t>4b. Study groups</w:t>
            </w:r>
          </w:p>
        </w:tc>
        <w:tc>
          <w:tcPr>
            <w:tcW w:w="577" w:type="dxa"/>
            <w:tcBorders>
              <w:bottom w:val="single" w:sz="4" w:space="0" w:color="auto"/>
            </w:tcBorders>
            <w:shd w:val="clear" w:color="auto" w:fill="99CCFF"/>
          </w:tcPr>
          <w:p w14:paraId="2DDB572E" w14:textId="77777777" w:rsidR="003A59F0" w:rsidRPr="005E3885" w:rsidRDefault="003A59F0" w:rsidP="001531B6">
            <w:pPr>
              <w:spacing w:before="60"/>
              <w:jc w:val="center"/>
              <w:rPr>
                <w:b/>
                <w:bCs/>
                <w:sz w:val="20"/>
              </w:rPr>
            </w:pPr>
          </w:p>
        </w:tc>
        <w:tc>
          <w:tcPr>
            <w:tcW w:w="580" w:type="dxa"/>
            <w:tcBorders>
              <w:bottom w:val="single" w:sz="4" w:space="0" w:color="auto"/>
            </w:tcBorders>
            <w:shd w:val="clear" w:color="auto" w:fill="99CCFF"/>
          </w:tcPr>
          <w:p w14:paraId="52AC38CE" w14:textId="77777777" w:rsidR="003A59F0" w:rsidRPr="005E3885" w:rsidRDefault="003A59F0" w:rsidP="001531B6">
            <w:pPr>
              <w:spacing w:before="60"/>
              <w:jc w:val="center"/>
              <w:rPr>
                <w:b/>
                <w:bCs/>
                <w:sz w:val="20"/>
              </w:rPr>
            </w:pPr>
          </w:p>
        </w:tc>
        <w:tc>
          <w:tcPr>
            <w:tcW w:w="580" w:type="dxa"/>
            <w:tcBorders>
              <w:bottom w:val="single" w:sz="4" w:space="0" w:color="auto"/>
            </w:tcBorders>
            <w:shd w:val="clear" w:color="auto" w:fill="99CCFF"/>
          </w:tcPr>
          <w:p w14:paraId="340C2069" w14:textId="77777777" w:rsidR="003A59F0" w:rsidRPr="005E3885" w:rsidRDefault="003A59F0" w:rsidP="001531B6">
            <w:pPr>
              <w:spacing w:before="60"/>
              <w:jc w:val="center"/>
              <w:rPr>
                <w:b/>
                <w:bCs/>
                <w:sz w:val="20"/>
              </w:rPr>
            </w:pPr>
          </w:p>
        </w:tc>
        <w:tc>
          <w:tcPr>
            <w:tcW w:w="572" w:type="dxa"/>
            <w:tcBorders>
              <w:bottom w:val="single" w:sz="4" w:space="0" w:color="auto"/>
            </w:tcBorders>
            <w:shd w:val="clear" w:color="auto" w:fill="99CCFF"/>
          </w:tcPr>
          <w:p w14:paraId="5044335C" w14:textId="77777777" w:rsidR="003A59F0" w:rsidRPr="005E3885" w:rsidRDefault="003A59F0" w:rsidP="001531B6">
            <w:pPr>
              <w:spacing w:before="60"/>
              <w:jc w:val="center"/>
              <w:rPr>
                <w:b/>
                <w:bCs/>
                <w:sz w:val="20"/>
              </w:rPr>
            </w:pPr>
          </w:p>
        </w:tc>
        <w:tc>
          <w:tcPr>
            <w:tcW w:w="574" w:type="dxa"/>
            <w:tcBorders>
              <w:bottom w:val="single" w:sz="4" w:space="0" w:color="auto"/>
            </w:tcBorders>
            <w:shd w:val="clear" w:color="auto" w:fill="99CCFF"/>
          </w:tcPr>
          <w:p w14:paraId="63733ABE" w14:textId="77777777" w:rsidR="003A59F0" w:rsidRPr="005E3885" w:rsidRDefault="003A59F0" w:rsidP="001531B6">
            <w:pPr>
              <w:spacing w:before="60"/>
              <w:jc w:val="center"/>
              <w:rPr>
                <w:b/>
                <w:bCs/>
                <w:sz w:val="20"/>
              </w:rPr>
            </w:pPr>
          </w:p>
        </w:tc>
        <w:tc>
          <w:tcPr>
            <w:tcW w:w="580" w:type="dxa"/>
            <w:tcBorders>
              <w:bottom w:val="single" w:sz="4" w:space="0" w:color="auto"/>
            </w:tcBorders>
            <w:shd w:val="clear" w:color="auto" w:fill="99CCFF"/>
          </w:tcPr>
          <w:p w14:paraId="56A1818F" w14:textId="77777777" w:rsidR="003A59F0" w:rsidRPr="005E3885" w:rsidRDefault="003A59F0" w:rsidP="001531B6">
            <w:pPr>
              <w:spacing w:before="60"/>
              <w:jc w:val="center"/>
              <w:rPr>
                <w:b/>
                <w:bCs/>
                <w:sz w:val="20"/>
              </w:rPr>
            </w:pPr>
          </w:p>
        </w:tc>
        <w:tc>
          <w:tcPr>
            <w:tcW w:w="2837" w:type="dxa"/>
            <w:tcBorders>
              <w:bottom w:val="single" w:sz="4" w:space="0" w:color="auto"/>
            </w:tcBorders>
            <w:shd w:val="clear" w:color="auto" w:fill="99CCFF"/>
          </w:tcPr>
          <w:p w14:paraId="0CF4326E" w14:textId="77777777" w:rsidR="003A59F0" w:rsidRPr="005E3885" w:rsidRDefault="003A59F0" w:rsidP="001531B6">
            <w:pPr>
              <w:spacing w:before="60"/>
              <w:rPr>
                <w:b/>
                <w:bCs/>
                <w:sz w:val="20"/>
              </w:rPr>
            </w:pPr>
          </w:p>
        </w:tc>
      </w:tr>
      <w:tr w:rsidR="003A59F0" w:rsidRPr="005E3885" w14:paraId="5089A9B6" w14:textId="77777777" w:rsidTr="001531B6">
        <w:trPr>
          <w:cantSplit/>
        </w:trPr>
        <w:tc>
          <w:tcPr>
            <w:tcW w:w="3339" w:type="dxa"/>
            <w:shd w:val="clear" w:color="auto" w:fill="FFFF00"/>
          </w:tcPr>
          <w:p w14:paraId="0B73D994" w14:textId="77777777" w:rsidR="003A59F0" w:rsidRPr="005E3885" w:rsidRDefault="003A59F0" w:rsidP="001531B6">
            <w:pPr>
              <w:rPr>
                <w:sz w:val="20"/>
              </w:rPr>
            </w:pPr>
            <w:r w:rsidRPr="005E3885">
              <w:rPr>
                <w:sz w:val="20"/>
              </w:rPr>
              <w:t xml:space="preserve">Interpretation </w:t>
            </w:r>
          </w:p>
        </w:tc>
        <w:tc>
          <w:tcPr>
            <w:tcW w:w="577" w:type="dxa"/>
            <w:shd w:val="clear" w:color="auto" w:fill="FFFF00"/>
          </w:tcPr>
          <w:p w14:paraId="766EC872" w14:textId="77777777" w:rsidR="003A59F0" w:rsidRPr="005E3885" w:rsidRDefault="003A59F0" w:rsidP="001531B6">
            <w:pPr>
              <w:jc w:val="center"/>
              <w:rPr>
                <w:sz w:val="20"/>
              </w:rPr>
            </w:pPr>
            <w:r w:rsidRPr="005E3885">
              <w:rPr>
                <w:sz w:val="20"/>
              </w:rPr>
              <w:t>x</w:t>
            </w:r>
          </w:p>
        </w:tc>
        <w:tc>
          <w:tcPr>
            <w:tcW w:w="580" w:type="dxa"/>
            <w:shd w:val="clear" w:color="auto" w:fill="FFFF00"/>
          </w:tcPr>
          <w:p w14:paraId="130CBAC6" w14:textId="77777777" w:rsidR="003A59F0" w:rsidRPr="005E3885" w:rsidRDefault="003A59F0" w:rsidP="001531B6">
            <w:pPr>
              <w:jc w:val="center"/>
              <w:rPr>
                <w:sz w:val="20"/>
              </w:rPr>
            </w:pPr>
            <w:r w:rsidRPr="005E3885">
              <w:rPr>
                <w:sz w:val="20"/>
              </w:rPr>
              <w:t>x</w:t>
            </w:r>
          </w:p>
        </w:tc>
        <w:tc>
          <w:tcPr>
            <w:tcW w:w="580" w:type="dxa"/>
            <w:shd w:val="clear" w:color="auto" w:fill="FFFF00"/>
          </w:tcPr>
          <w:p w14:paraId="6A65ED0F" w14:textId="77777777" w:rsidR="003A59F0" w:rsidRPr="005E3885" w:rsidRDefault="003A59F0" w:rsidP="001531B6">
            <w:pPr>
              <w:jc w:val="center"/>
              <w:rPr>
                <w:sz w:val="20"/>
              </w:rPr>
            </w:pPr>
            <w:r w:rsidRPr="005E3885">
              <w:rPr>
                <w:sz w:val="20"/>
              </w:rPr>
              <w:t>x</w:t>
            </w:r>
          </w:p>
        </w:tc>
        <w:tc>
          <w:tcPr>
            <w:tcW w:w="572" w:type="dxa"/>
            <w:shd w:val="clear" w:color="auto" w:fill="FFFF00"/>
          </w:tcPr>
          <w:p w14:paraId="63443BF4" w14:textId="77777777" w:rsidR="003A59F0" w:rsidRPr="005E3885" w:rsidRDefault="003A59F0" w:rsidP="001531B6">
            <w:pPr>
              <w:jc w:val="center"/>
              <w:rPr>
                <w:sz w:val="20"/>
              </w:rPr>
            </w:pPr>
            <w:r w:rsidRPr="005E3885">
              <w:rPr>
                <w:sz w:val="20"/>
              </w:rPr>
              <w:t>x</w:t>
            </w:r>
          </w:p>
        </w:tc>
        <w:tc>
          <w:tcPr>
            <w:tcW w:w="574" w:type="dxa"/>
            <w:shd w:val="clear" w:color="auto" w:fill="FFFF00"/>
          </w:tcPr>
          <w:p w14:paraId="4BBCE1DF" w14:textId="77777777" w:rsidR="003A59F0" w:rsidRPr="005E3885" w:rsidRDefault="003A59F0" w:rsidP="001531B6">
            <w:pPr>
              <w:jc w:val="center"/>
              <w:rPr>
                <w:sz w:val="20"/>
              </w:rPr>
            </w:pPr>
            <w:r w:rsidRPr="005E3885">
              <w:rPr>
                <w:sz w:val="20"/>
              </w:rPr>
              <w:t>x</w:t>
            </w:r>
          </w:p>
        </w:tc>
        <w:tc>
          <w:tcPr>
            <w:tcW w:w="580" w:type="dxa"/>
            <w:shd w:val="clear" w:color="auto" w:fill="FFFF00"/>
          </w:tcPr>
          <w:p w14:paraId="283206DF" w14:textId="77777777" w:rsidR="003A59F0" w:rsidRPr="005E3885" w:rsidRDefault="003A59F0" w:rsidP="001531B6">
            <w:pPr>
              <w:jc w:val="center"/>
              <w:rPr>
                <w:sz w:val="20"/>
              </w:rPr>
            </w:pPr>
            <w:r w:rsidRPr="005E3885">
              <w:rPr>
                <w:sz w:val="20"/>
              </w:rPr>
              <w:t>x</w:t>
            </w:r>
          </w:p>
        </w:tc>
        <w:tc>
          <w:tcPr>
            <w:tcW w:w="2837" w:type="dxa"/>
            <w:shd w:val="clear" w:color="auto" w:fill="FFFF00"/>
          </w:tcPr>
          <w:p w14:paraId="223E7134" w14:textId="77777777" w:rsidR="003A59F0" w:rsidRPr="005E3885" w:rsidRDefault="003A59F0" w:rsidP="001531B6">
            <w:pPr>
              <w:rPr>
                <w:sz w:val="20"/>
              </w:rPr>
            </w:pPr>
          </w:p>
        </w:tc>
      </w:tr>
      <w:tr w:rsidR="003A59F0" w:rsidRPr="005E3885" w14:paraId="584BAE1D" w14:textId="77777777" w:rsidTr="001531B6">
        <w:tc>
          <w:tcPr>
            <w:tcW w:w="3339" w:type="dxa"/>
          </w:tcPr>
          <w:p w14:paraId="4C409271" w14:textId="77777777" w:rsidR="003A59F0" w:rsidRPr="005E3885" w:rsidRDefault="003A59F0" w:rsidP="001531B6">
            <w:pPr>
              <w:rPr>
                <w:sz w:val="20"/>
              </w:rPr>
            </w:pPr>
            <w:r w:rsidRPr="005E3885">
              <w:rPr>
                <w:sz w:val="20"/>
              </w:rPr>
              <w:t xml:space="preserve">All document types </w:t>
            </w:r>
          </w:p>
        </w:tc>
        <w:tc>
          <w:tcPr>
            <w:tcW w:w="577" w:type="dxa"/>
            <w:shd w:val="clear" w:color="auto" w:fill="auto"/>
          </w:tcPr>
          <w:p w14:paraId="643EE565" w14:textId="77777777" w:rsidR="003A59F0" w:rsidRPr="005E3885" w:rsidRDefault="003A59F0" w:rsidP="001531B6">
            <w:pPr>
              <w:jc w:val="center"/>
              <w:rPr>
                <w:sz w:val="20"/>
              </w:rPr>
            </w:pPr>
            <w:r w:rsidRPr="005E3885">
              <w:rPr>
                <w:sz w:val="20"/>
              </w:rPr>
              <w:t>x</w:t>
            </w:r>
          </w:p>
        </w:tc>
        <w:tc>
          <w:tcPr>
            <w:tcW w:w="580" w:type="dxa"/>
            <w:shd w:val="clear" w:color="auto" w:fill="auto"/>
          </w:tcPr>
          <w:p w14:paraId="5BF3468E" w14:textId="77777777" w:rsidR="003A59F0" w:rsidRPr="005E3885" w:rsidRDefault="003A59F0" w:rsidP="001531B6">
            <w:pPr>
              <w:jc w:val="center"/>
              <w:rPr>
                <w:sz w:val="20"/>
              </w:rPr>
            </w:pPr>
          </w:p>
        </w:tc>
        <w:tc>
          <w:tcPr>
            <w:tcW w:w="580" w:type="dxa"/>
            <w:shd w:val="clear" w:color="auto" w:fill="auto"/>
          </w:tcPr>
          <w:p w14:paraId="1EE6A0E3" w14:textId="77777777" w:rsidR="003A59F0" w:rsidRPr="005E3885" w:rsidRDefault="003A59F0" w:rsidP="001531B6">
            <w:pPr>
              <w:jc w:val="center"/>
              <w:rPr>
                <w:sz w:val="20"/>
              </w:rPr>
            </w:pPr>
          </w:p>
        </w:tc>
        <w:tc>
          <w:tcPr>
            <w:tcW w:w="572" w:type="dxa"/>
            <w:shd w:val="clear" w:color="auto" w:fill="auto"/>
          </w:tcPr>
          <w:p w14:paraId="10B6DC24" w14:textId="77777777" w:rsidR="003A59F0" w:rsidRPr="005E3885" w:rsidRDefault="003A59F0" w:rsidP="001531B6">
            <w:pPr>
              <w:jc w:val="center"/>
              <w:rPr>
                <w:sz w:val="20"/>
              </w:rPr>
            </w:pPr>
          </w:p>
        </w:tc>
        <w:tc>
          <w:tcPr>
            <w:tcW w:w="574" w:type="dxa"/>
            <w:shd w:val="clear" w:color="auto" w:fill="auto"/>
          </w:tcPr>
          <w:p w14:paraId="522802FB" w14:textId="77777777" w:rsidR="003A59F0" w:rsidRPr="005E3885" w:rsidRDefault="003A59F0" w:rsidP="001531B6">
            <w:pPr>
              <w:jc w:val="center"/>
              <w:rPr>
                <w:sz w:val="20"/>
              </w:rPr>
            </w:pPr>
          </w:p>
        </w:tc>
        <w:tc>
          <w:tcPr>
            <w:tcW w:w="580" w:type="dxa"/>
            <w:shd w:val="clear" w:color="auto" w:fill="auto"/>
          </w:tcPr>
          <w:p w14:paraId="64072FF9" w14:textId="77777777" w:rsidR="003A59F0" w:rsidRPr="005E3885" w:rsidRDefault="003A59F0" w:rsidP="001531B6">
            <w:pPr>
              <w:jc w:val="center"/>
              <w:rPr>
                <w:sz w:val="20"/>
              </w:rPr>
            </w:pPr>
          </w:p>
        </w:tc>
        <w:tc>
          <w:tcPr>
            <w:tcW w:w="2837" w:type="dxa"/>
          </w:tcPr>
          <w:p w14:paraId="02C846AB" w14:textId="77777777" w:rsidR="003A59F0" w:rsidRPr="005E3885" w:rsidRDefault="003A59F0" w:rsidP="001531B6">
            <w:pPr>
              <w:rPr>
                <w:sz w:val="20"/>
              </w:rPr>
            </w:pPr>
          </w:p>
        </w:tc>
      </w:tr>
      <w:tr w:rsidR="003A59F0" w:rsidRPr="005E3885" w14:paraId="73F2682A" w14:textId="77777777" w:rsidTr="001531B6">
        <w:tc>
          <w:tcPr>
            <w:tcW w:w="3339" w:type="dxa"/>
            <w:tcBorders>
              <w:bottom w:val="single" w:sz="4" w:space="0" w:color="auto"/>
            </w:tcBorders>
            <w:shd w:val="clear" w:color="auto" w:fill="99CCFF"/>
          </w:tcPr>
          <w:p w14:paraId="6A637DE1" w14:textId="77777777" w:rsidR="003A59F0" w:rsidRPr="005E3885" w:rsidRDefault="003A59F0" w:rsidP="001531B6">
            <w:pPr>
              <w:rPr>
                <w:b/>
                <w:bCs/>
                <w:sz w:val="20"/>
                <w:u w:val="single"/>
              </w:rPr>
            </w:pPr>
            <w:r w:rsidRPr="005E3885">
              <w:rPr>
                <w:b/>
                <w:bCs/>
                <w:sz w:val="20"/>
                <w:u w:val="single"/>
              </w:rPr>
              <w:t>5. RRB</w:t>
            </w:r>
          </w:p>
        </w:tc>
        <w:tc>
          <w:tcPr>
            <w:tcW w:w="577" w:type="dxa"/>
            <w:tcBorders>
              <w:bottom w:val="single" w:sz="4" w:space="0" w:color="auto"/>
            </w:tcBorders>
            <w:shd w:val="clear" w:color="auto" w:fill="99CCFF"/>
          </w:tcPr>
          <w:p w14:paraId="05E10E70" w14:textId="77777777" w:rsidR="003A59F0" w:rsidRPr="005E3885" w:rsidRDefault="003A59F0" w:rsidP="001531B6">
            <w:pPr>
              <w:jc w:val="center"/>
              <w:rPr>
                <w:sz w:val="20"/>
              </w:rPr>
            </w:pPr>
          </w:p>
        </w:tc>
        <w:tc>
          <w:tcPr>
            <w:tcW w:w="580" w:type="dxa"/>
            <w:tcBorders>
              <w:bottom w:val="single" w:sz="4" w:space="0" w:color="auto"/>
            </w:tcBorders>
            <w:shd w:val="clear" w:color="auto" w:fill="99CCFF"/>
          </w:tcPr>
          <w:p w14:paraId="25F38F2B" w14:textId="77777777" w:rsidR="003A59F0" w:rsidRPr="005E3885" w:rsidRDefault="003A59F0" w:rsidP="001531B6">
            <w:pPr>
              <w:jc w:val="center"/>
              <w:rPr>
                <w:sz w:val="20"/>
              </w:rPr>
            </w:pPr>
          </w:p>
        </w:tc>
        <w:tc>
          <w:tcPr>
            <w:tcW w:w="580" w:type="dxa"/>
            <w:tcBorders>
              <w:bottom w:val="single" w:sz="4" w:space="0" w:color="auto"/>
            </w:tcBorders>
            <w:shd w:val="clear" w:color="auto" w:fill="99CCFF"/>
          </w:tcPr>
          <w:p w14:paraId="0BC82C1B" w14:textId="77777777" w:rsidR="003A59F0" w:rsidRPr="005E3885" w:rsidRDefault="003A59F0" w:rsidP="001531B6">
            <w:pPr>
              <w:jc w:val="center"/>
              <w:rPr>
                <w:sz w:val="20"/>
              </w:rPr>
            </w:pPr>
          </w:p>
        </w:tc>
        <w:tc>
          <w:tcPr>
            <w:tcW w:w="572" w:type="dxa"/>
            <w:tcBorders>
              <w:bottom w:val="single" w:sz="4" w:space="0" w:color="auto"/>
            </w:tcBorders>
            <w:shd w:val="clear" w:color="auto" w:fill="99CCFF"/>
          </w:tcPr>
          <w:p w14:paraId="1950C63A" w14:textId="77777777" w:rsidR="003A59F0" w:rsidRPr="005E3885" w:rsidRDefault="003A59F0" w:rsidP="001531B6">
            <w:pPr>
              <w:jc w:val="center"/>
              <w:rPr>
                <w:sz w:val="20"/>
              </w:rPr>
            </w:pPr>
          </w:p>
        </w:tc>
        <w:tc>
          <w:tcPr>
            <w:tcW w:w="574" w:type="dxa"/>
            <w:tcBorders>
              <w:bottom w:val="single" w:sz="4" w:space="0" w:color="auto"/>
            </w:tcBorders>
            <w:shd w:val="clear" w:color="auto" w:fill="99CCFF"/>
          </w:tcPr>
          <w:p w14:paraId="4AD15E4F" w14:textId="77777777" w:rsidR="003A59F0" w:rsidRPr="005E3885" w:rsidRDefault="003A59F0" w:rsidP="001531B6">
            <w:pPr>
              <w:jc w:val="center"/>
              <w:rPr>
                <w:sz w:val="20"/>
              </w:rPr>
            </w:pPr>
          </w:p>
        </w:tc>
        <w:tc>
          <w:tcPr>
            <w:tcW w:w="580" w:type="dxa"/>
            <w:tcBorders>
              <w:bottom w:val="single" w:sz="4" w:space="0" w:color="auto"/>
            </w:tcBorders>
            <w:shd w:val="clear" w:color="auto" w:fill="99CCFF"/>
          </w:tcPr>
          <w:p w14:paraId="5D1BE23A" w14:textId="77777777" w:rsidR="003A59F0" w:rsidRPr="005E3885" w:rsidRDefault="003A59F0" w:rsidP="001531B6">
            <w:pPr>
              <w:jc w:val="center"/>
              <w:rPr>
                <w:sz w:val="20"/>
              </w:rPr>
            </w:pPr>
          </w:p>
        </w:tc>
        <w:tc>
          <w:tcPr>
            <w:tcW w:w="2837" w:type="dxa"/>
            <w:tcBorders>
              <w:bottom w:val="single" w:sz="4" w:space="0" w:color="auto"/>
            </w:tcBorders>
            <w:shd w:val="clear" w:color="auto" w:fill="99CCFF"/>
          </w:tcPr>
          <w:p w14:paraId="11C2A9A2" w14:textId="77777777" w:rsidR="003A59F0" w:rsidRPr="005E3885" w:rsidRDefault="003A59F0" w:rsidP="001531B6">
            <w:pPr>
              <w:rPr>
                <w:sz w:val="20"/>
              </w:rPr>
            </w:pPr>
          </w:p>
        </w:tc>
      </w:tr>
      <w:tr w:rsidR="003A59F0" w:rsidRPr="005E3885" w14:paraId="0D9DD82A" w14:textId="77777777" w:rsidTr="001531B6">
        <w:tc>
          <w:tcPr>
            <w:tcW w:w="3339" w:type="dxa"/>
            <w:shd w:val="clear" w:color="auto" w:fill="FFFF00"/>
          </w:tcPr>
          <w:p w14:paraId="35931BEE" w14:textId="77777777" w:rsidR="003A59F0" w:rsidRPr="005E3885" w:rsidRDefault="003A59F0" w:rsidP="001531B6">
            <w:pPr>
              <w:rPr>
                <w:sz w:val="20"/>
              </w:rPr>
            </w:pPr>
            <w:r w:rsidRPr="005E3885">
              <w:rPr>
                <w:sz w:val="20"/>
              </w:rPr>
              <w:lastRenderedPageBreak/>
              <w:t>Interpretation</w:t>
            </w:r>
          </w:p>
        </w:tc>
        <w:tc>
          <w:tcPr>
            <w:tcW w:w="577" w:type="dxa"/>
            <w:shd w:val="clear" w:color="auto" w:fill="FFFF00"/>
          </w:tcPr>
          <w:p w14:paraId="67A338EC" w14:textId="77777777" w:rsidR="003A59F0" w:rsidRPr="005E3885" w:rsidRDefault="003A59F0" w:rsidP="001531B6">
            <w:pPr>
              <w:jc w:val="center"/>
              <w:rPr>
                <w:sz w:val="20"/>
              </w:rPr>
            </w:pPr>
            <w:r w:rsidRPr="005E3885">
              <w:rPr>
                <w:sz w:val="20"/>
              </w:rPr>
              <w:t>x</w:t>
            </w:r>
          </w:p>
        </w:tc>
        <w:tc>
          <w:tcPr>
            <w:tcW w:w="580" w:type="dxa"/>
            <w:shd w:val="clear" w:color="auto" w:fill="FFFF00"/>
          </w:tcPr>
          <w:p w14:paraId="7BCBB02A" w14:textId="77777777" w:rsidR="003A59F0" w:rsidRPr="005E3885" w:rsidRDefault="003A59F0" w:rsidP="001531B6">
            <w:pPr>
              <w:jc w:val="center"/>
              <w:rPr>
                <w:sz w:val="20"/>
              </w:rPr>
            </w:pPr>
            <w:r w:rsidRPr="005E3885">
              <w:rPr>
                <w:sz w:val="20"/>
              </w:rPr>
              <w:t>x</w:t>
            </w:r>
          </w:p>
        </w:tc>
        <w:tc>
          <w:tcPr>
            <w:tcW w:w="580" w:type="dxa"/>
            <w:shd w:val="clear" w:color="auto" w:fill="FFFF00"/>
          </w:tcPr>
          <w:p w14:paraId="503233D1" w14:textId="77777777" w:rsidR="003A59F0" w:rsidRPr="005E3885" w:rsidRDefault="003A59F0" w:rsidP="001531B6">
            <w:pPr>
              <w:jc w:val="center"/>
              <w:rPr>
                <w:sz w:val="20"/>
              </w:rPr>
            </w:pPr>
            <w:r w:rsidRPr="005E3885">
              <w:rPr>
                <w:sz w:val="20"/>
              </w:rPr>
              <w:t>x</w:t>
            </w:r>
          </w:p>
        </w:tc>
        <w:tc>
          <w:tcPr>
            <w:tcW w:w="572" w:type="dxa"/>
            <w:shd w:val="clear" w:color="auto" w:fill="FFFF00"/>
          </w:tcPr>
          <w:p w14:paraId="30FABCCE" w14:textId="77777777" w:rsidR="003A59F0" w:rsidRPr="005E3885" w:rsidRDefault="003A59F0" w:rsidP="001531B6">
            <w:pPr>
              <w:jc w:val="center"/>
              <w:rPr>
                <w:sz w:val="20"/>
              </w:rPr>
            </w:pPr>
            <w:r w:rsidRPr="005E3885">
              <w:rPr>
                <w:sz w:val="20"/>
              </w:rPr>
              <w:t>x</w:t>
            </w:r>
          </w:p>
        </w:tc>
        <w:tc>
          <w:tcPr>
            <w:tcW w:w="574" w:type="dxa"/>
            <w:shd w:val="clear" w:color="auto" w:fill="FFFF00"/>
          </w:tcPr>
          <w:p w14:paraId="1E2A098C" w14:textId="77777777" w:rsidR="003A59F0" w:rsidRPr="005E3885" w:rsidRDefault="003A59F0" w:rsidP="001531B6">
            <w:pPr>
              <w:jc w:val="center"/>
              <w:rPr>
                <w:sz w:val="20"/>
              </w:rPr>
            </w:pPr>
            <w:r w:rsidRPr="005E3885">
              <w:rPr>
                <w:sz w:val="20"/>
              </w:rPr>
              <w:t>x</w:t>
            </w:r>
          </w:p>
        </w:tc>
        <w:tc>
          <w:tcPr>
            <w:tcW w:w="580" w:type="dxa"/>
            <w:shd w:val="clear" w:color="auto" w:fill="FFFF00"/>
          </w:tcPr>
          <w:p w14:paraId="4DBD0A1D" w14:textId="77777777" w:rsidR="003A59F0" w:rsidRPr="005E3885" w:rsidRDefault="003A59F0" w:rsidP="001531B6">
            <w:pPr>
              <w:jc w:val="center"/>
              <w:rPr>
                <w:sz w:val="20"/>
              </w:rPr>
            </w:pPr>
            <w:r w:rsidRPr="005E3885">
              <w:rPr>
                <w:sz w:val="20"/>
              </w:rPr>
              <w:t>x</w:t>
            </w:r>
          </w:p>
        </w:tc>
        <w:tc>
          <w:tcPr>
            <w:tcW w:w="2837" w:type="dxa"/>
            <w:shd w:val="clear" w:color="auto" w:fill="FFFF00"/>
          </w:tcPr>
          <w:p w14:paraId="6839D499" w14:textId="77777777" w:rsidR="003A59F0" w:rsidRPr="005E3885" w:rsidRDefault="003A59F0" w:rsidP="001531B6">
            <w:pPr>
              <w:rPr>
                <w:sz w:val="20"/>
              </w:rPr>
            </w:pPr>
            <w:r w:rsidRPr="005E3885">
              <w:rPr>
                <w:sz w:val="20"/>
              </w:rPr>
              <w:t>Depends on composition of the Board</w:t>
            </w:r>
          </w:p>
        </w:tc>
      </w:tr>
      <w:tr w:rsidR="003A59F0" w:rsidRPr="005E3885" w14:paraId="2AA15163" w14:textId="77777777" w:rsidTr="001531B6">
        <w:tc>
          <w:tcPr>
            <w:tcW w:w="3339" w:type="dxa"/>
          </w:tcPr>
          <w:p w14:paraId="7B7A69EB" w14:textId="77777777" w:rsidR="003A59F0" w:rsidRPr="005E3885" w:rsidRDefault="003A59F0" w:rsidP="001531B6">
            <w:pPr>
              <w:rPr>
                <w:sz w:val="20"/>
              </w:rPr>
            </w:pPr>
            <w:r w:rsidRPr="005E3885">
              <w:rPr>
                <w:sz w:val="20"/>
              </w:rPr>
              <w:t>All document types</w:t>
            </w:r>
          </w:p>
        </w:tc>
        <w:tc>
          <w:tcPr>
            <w:tcW w:w="577" w:type="dxa"/>
            <w:shd w:val="clear" w:color="auto" w:fill="auto"/>
          </w:tcPr>
          <w:p w14:paraId="223E5216" w14:textId="77777777" w:rsidR="003A59F0" w:rsidRPr="005E3885" w:rsidRDefault="003A59F0" w:rsidP="001531B6">
            <w:pPr>
              <w:jc w:val="center"/>
              <w:rPr>
                <w:sz w:val="20"/>
              </w:rPr>
            </w:pPr>
            <w:r w:rsidRPr="005E3885">
              <w:rPr>
                <w:sz w:val="20"/>
              </w:rPr>
              <w:t>x</w:t>
            </w:r>
          </w:p>
        </w:tc>
        <w:tc>
          <w:tcPr>
            <w:tcW w:w="580" w:type="dxa"/>
            <w:shd w:val="clear" w:color="auto" w:fill="auto"/>
          </w:tcPr>
          <w:p w14:paraId="4BDFD741" w14:textId="77777777" w:rsidR="003A59F0" w:rsidRPr="005E3885" w:rsidRDefault="003A59F0" w:rsidP="001531B6">
            <w:pPr>
              <w:jc w:val="center"/>
              <w:rPr>
                <w:sz w:val="20"/>
              </w:rPr>
            </w:pPr>
            <w:r w:rsidRPr="005E3885">
              <w:rPr>
                <w:sz w:val="20"/>
              </w:rPr>
              <w:t>x</w:t>
            </w:r>
          </w:p>
        </w:tc>
        <w:tc>
          <w:tcPr>
            <w:tcW w:w="580" w:type="dxa"/>
            <w:shd w:val="clear" w:color="auto" w:fill="auto"/>
          </w:tcPr>
          <w:p w14:paraId="6551BA78" w14:textId="77777777" w:rsidR="003A59F0" w:rsidRPr="005E3885" w:rsidRDefault="003A59F0" w:rsidP="001531B6">
            <w:pPr>
              <w:jc w:val="center"/>
              <w:rPr>
                <w:sz w:val="20"/>
              </w:rPr>
            </w:pPr>
            <w:r w:rsidRPr="005E3885">
              <w:rPr>
                <w:sz w:val="20"/>
              </w:rPr>
              <w:t>x</w:t>
            </w:r>
          </w:p>
        </w:tc>
        <w:tc>
          <w:tcPr>
            <w:tcW w:w="572" w:type="dxa"/>
            <w:shd w:val="clear" w:color="auto" w:fill="auto"/>
          </w:tcPr>
          <w:p w14:paraId="0B6B6FFA" w14:textId="77777777" w:rsidR="003A59F0" w:rsidRPr="005E3885" w:rsidRDefault="003A59F0" w:rsidP="001531B6">
            <w:pPr>
              <w:jc w:val="center"/>
              <w:rPr>
                <w:sz w:val="20"/>
              </w:rPr>
            </w:pPr>
            <w:r w:rsidRPr="005E3885">
              <w:rPr>
                <w:sz w:val="20"/>
              </w:rPr>
              <w:t>x</w:t>
            </w:r>
          </w:p>
        </w:tc>
        <w:tc>
          <w:tcPr>
            <w:tcW w:w="574" w:type="dxa"/>
            <w:shd w:val="clear" w:color="auto" w:fill="auto"/>
          </w:tcPr>
          <w:p w14:paraId="33B39041" w14:textId="77777777" w:rsidR="003A59F0" w:rsidRPr="005E3885" w:rsidRDefault="003A59F0" w:rsidP="001531B6">
            <w:pPr>
              <w:jc w:val="center"/>
              <w:rPr>
                <w:sz w:val="20"/>
              </w:rPr>
            </w:pPr>
            <w:r w:rsidRPr="005E3885">
              <w:rPr>
                <w:sz w:val="20"/>
              </w:rPr>
              <w:t>x</w:t>
            </w:r>
          </w:p>
        </w:tc>
        <w:tc>
          <w:tcPr>
            <w:tcW w:w="580" w:type="dxa"/>
            <w:shd w:val="clear" w:color="auto" w:fill="auto"/>
          </w:tcPr>
          <w:p w14:paraId="0AB1DD91" w14:textId="77777777" w:rsidR="003A59F0" w:rsidRPr="005E3885" w:rsidRDefault="003A59F0" w:rsidP="001531B6">
            <w:pPr>
              <w:jc w:val="center"/>
              <w:rPr>
                <w:sz w:val="20"/>
              </w:rPr>
            </w:pPr>
            <w:r w:rsidRPr="005E3885">
              <w:rPr>
                <w:sz w:val="20"/>
              </w:rPr>
              <w:t>x</w:t>
            </w:r>
          </w:p>
        </w:tc>
        <w:tc>
          <w:tcPr>
            <w:tcW w:w="2837" w:type="dxa"/>
          </w:tcPr>
          <w:p w14:paraId="648DAFE2" w14:textId="77777777" w:rsidR="003A59F0" w:rsidRPr="005E3885" w:rsidRDefault="003A59F0" w:rsidP="001531B6">
            <w:pPr>
              <w:rPr>
                <w:sz w:val="20"/>
              </w:rPr>
            </w:pPr>
          </w:p>
        </w:tc>
      </w:tr>
      <w:tr w:rsidR="003A59F0" w:rsidRPr="005E3885" w14:paraId="6550B53C" w14:textId="77777777" w:rsidTr="001531B6">
        <w:tc>
          <w:tcPr>
            <w:tcW w:w="3339" w:type="dxa"/>
            <w:tcBorders>
              <w:bottom w:val="single" w:sz="4" w:space="0" w:color="auto"/>
            </w:tcBorders>
            <w:shd w:val="clear" w:color="auto" w:fill="99CCFF"/>
          </w:tcPr>
          <w:p w14:paraId="09BC061B" w14:textId="77777777" w:rsidR="003A59F0" w:rsidRPr="005E3885" w:rsidRDefault="003A59F0" w:rsidP="001531B6">
            <w:pPr>
              <w:keepNext/>
              <w:keepLines/>
              <w:rPr>
                <w:b/>
                <w:bCs/>
                <w:sz w:val="20"/>
                <w:u w:val="single"/>
              </w:rPr>
            </w:pPr>
            <w:r w:rsidRPr="005E3885">
              <w:rPr>
                <w:b/>
                <w:bCs/>
                <w:sz w:val="20"/>
                <w:u w:val="single"/>
              </w:rPr>
              <w:t>6. World radiocommunication seminars</w:t>
            </w:r>
          </w:p>
        </w:tc>
        <w:tc>
          <w:tcPr>
            <w:tcW w:w="577" w:type="dxa"/>
            <w:tcBorders>
              <w:bottom w:val="single" w:sz="4" w:space="0" w:color="auto"/>
            </w:tcBorders>
            <w:shd w:val="clear" w:color="auto" w:fill="99CCFF"/>
          </w:tcPr>
          <w:p w14:paraId="0D42E3B2" w14:textId="77777777" w:rsidR="003A59F0" w:rsidRPr="005E3885" w:rsidRDefault="003A59F0" w:rsidP="001531B6">
            <w:pPr>
              <w:keepNext/>
              <w:keepLines/>
              <w:jc w:val="center"/>
              <w:rPr>
                <w:sz w:val="20"/>
              </w:rPr>
            </w:pPr>
          </w:p>
        </w:tc>
        <w:tc>
          <w:tcPr>
            <w:tcW w:w="580" w:type="dxa"/>
            <w:tcBorders>
              <w:bottom w:val="single" w:sz="4" w:space="0" w:color="auto"/>
            </w:tcBorders>
            <w:shd w:val="clear" w:color="auto" w:fill="99CCFF"/>
          </w:tcPr>
          <w:p w14:paraId="5A25EBBE" w14:textId="77777777" w:rsidR="003A59F0" w:rsidRPr="005E3885" w:rsidRDefault="003A59F0" w:rsidP="001531B6">
            <w:pPr>
              <w:keepNext/>
              <w:keepLines/>
              <w:jc w:val="center"/>
              <w:rPr>
                <w:sz w:val="20"/>
              </w:rPr>
            </w:pPr>
          </w:p>
        </w:tc>
        <w:tc>
          <w:tcPr>
            <w:tcW w:w="580" w:type="dxa"/>
            <w:tcBorders>
              <w:bottom w:val="single" w:sz="4" w:space="0" w:color="auto"/>
            </w:tcBorders>
            <w:shd w:val="clear" w:color="auto" w:fill="99CCFF"/>
          </w:tcPr>
          <w:p w14:paraId="7BD1CE2F" w14:textId="77777777" w:rsidR="003A59F0" w:rsidRPr="005E3885" w:rsidRDefault="003A59F0" w:rsidP="001531B6">
            <w:pPr>
              <w:keepNext/>
              <w:keepLines/>
              <w:jc w:val="center"/>
              <w:rPr>
                <w:sz w:val="20"/>
              </w:rPr>
            </w:pPr>
          </w:p>
        </w:tc>
        <w:tc>
          <w:tcPr>
            <w:tcW w:w="572" w:type="dxa"/>
            <w:tcBorders>
              <w:bottom w:val="single" w:sz="4" w:space="0" w:color="auto"/>
            </w:tcBorders>
            <w:shd w:val="clear" w:color="auto" w:fill="99CCFF"/>
          </w:tcPr>
          <w:p w14:paraId="3ADFCC13" w14:textId="77777777" w:rsidR="003A59F0" w:rsidRPr="005E3885" w:rsidRDefault="003A59F0" w:rsidP="001531B6">
            <w:pPr>
              <w:keepNext/>
              <w:keepLines/>
              <w:jc w:val="center"/>
              <w:rPr>
                <w:sz w:val="20"/>
              </w:rPr>
            </w:pPr>
          </w:p>
        </w:tc>
        <w:tc>
          <w:tcPr>
            <w:tcW w:w="574" w:type="dxa"/>
            <w:tcBorders>
              <w:bottom w:val="single" w:sz="4" w:space="0" w:color="auto"/>
            </w:tcBorders>
            <w:shd w:val="clear" w:color="auto" w:fill="99CCFF"/>
          </w:tcPr>
          <w:p w14:paraId="36A4B711" w14:textId="77777777" w:rsidR="003A59F0" w:rsidRPr="005E3885" w:rsidRDefault="003A59F0" w:rsidP="001531B6">
            <w:pPr>
              <w:keepNext/>
              <w:keepLines/>
              <w:jc w:val="center"/>
              <w:rPr>
                <w:sz w:val="20"/>
              </w:rPr>
            </w:pPr>
          </w:p>
        </w:tc>
        <w:tc>
          <w:tcPr>
            <w:tcW w:w="580" w:type="dxa"/>
            <w:tcBorders>
              <w:bottom w:val="single" w:sz="4" w:space="0" w:color="auto"/>
            </w:tcBorders>
            <w:shd w:val="clear" w:color="auto" w:fill="99CCFF"/>
          </w:tcPr>
          <w:p w14:paraId="680FC98F" w14:textId="77777777" w:rsidR="003A59F0" w:rsidRPr="005E3885" w:rsidRDefault="003A59F0" w:rsidP="001531B6">
            <w:pPr>
              <w:keepNext/>
              <w:keepLines/>
              <w:jc w:val="center"/>
              <w:rPr>
                <w:sz w:val="20"/>
              </w:rPr>
            </w:pPr>
          </w:p>
        </w:tc>
        <w:tc>
          <w:tcPr>
            <w:tcW w:w="2837" w:type="dxa"/>
            <w:tcBorders>
              <w:bottom w:val="single" w:sz="4" w:space="0" w:color="auto"/>
            </w:tcBorders>
            <w:shd w:val="clear" w:color="auto" w:fill="99CCFF"/>
          </w:tcPr>
          <w:p w14:paraId="40B4709B" w14:textId="77777777" w:rsidR="003A59F0" w:rsidRPr="005E3885" w:rsidRDefault="003A59F0" w:rsidP="001531B6">
            <w:pPr>
              <w:keepNext/>
              <w:keepLines/>
              <w:rPr>
                <w:sz w:val="20"/>
              </w:rPr>
            </w:pPr>
          </w:p>
        </w:tc>
      </w:tr>
      <w:tr w:rsidR="003A59F0" w:rsidRPr="005E3885" w14:paraId="3B4AB8A0" w14:textId="77777777" w:rsidTr="001531B6">
        <w:tc>
          <w:tcPr>
            <w:tcW w:w="3339" w:type="dxa"/>
            <w:shd w:val="clear" w:color="auto" w:fill="FFFF00"/>
          </w:tcPr>
          <w:p w14:paraId="6445B136" w14:textId="77777777" w:rsidR="003A59F0" w:rsidRPr="005E3885" w:rsidRDefault="003A59F0" w:rsidP="001531B6">
            <w:pPr>
              <w:keepNext/>
              <w:keepLines/>
              <w:rPr>
                <w:sz w:val="20"/>
              </w:rPr>
            </w:pPr>
            <w:r w:rsidRPr="005E3885">
              <w:rPr>
                <w:sz w:val="20"/>
              </w:rPr>
              <w:t>Interpretation</w:t>
            </w:r>
          </w:p>
        </w:tc>
        <w:tc>
          <w:tcPr>
            <w:tcW w:w="577" w:type="dxa"/>
            <w:shd w:val="clear" w:color="auto" w:fill="FFFF00"/>
          </w:tcPr>
          <w:p w14:paraId="60AC4C77" w14:textId="77777777" w:rsidR="003A59F0" w:rsidRPr="005E3885" w:rsidRDefault="003A59F0" w:rsidP="001531B6">
            <w:pPr>
              <w:keepNext/>
              <w:keepLines/>
              <w:jc w:val="center"/>
              <w:rPr>
                <w:sz w:val="20"/>
              </w:rPr>
            </w:pPr>
            <w:r w:rsidRPr="005E3885">
              <w:rPr>
                <w:sz w:val="20"/>
              </w:rPr>
              <w:t>x</w:t>
            </w:r>
          </w:p>
        </w:tc>
        <w:tc>
          <w:tcPr>
            <w:tcW w:w="580" w:type="dxa"/>
            <w:shd w:val="clear" w:color="auto" w:fill="FFFF00"/>
          </w:tcPr>
          <w:p w14:paraId="4CFE67FE" w14:textId="77777777" w:rsidR="003A59F0" w:rsidRPr="005E3885" w:rsidRDefault="003A59F0" w:rsidP="001531B6">
            <w:pPr>
              <w:keepNext/>
              <w:keepLines/>
              <w:jc w:val="center"/>
              <w:rPr>
                <w:sz w:val="20"/>
              </w:rPr>
            </w:pPr>
            <w:r w:rsidRPr="005E3885">
              <w:rPr>
                <w:sz w:val="20"/>
              </w:rPr>
              <w:t>x</w:t>
            </w:r>
          </w:p>
        </w:tc>
        <w:tc>
          <w:tcPr>
            <w:tcW w:w="580" w:type="dxa"/>
            <w:shd w:val="clear" w:color="auto" w:fill="FFFF00"/>
          </w:tcPr>
          <w:p w14:paraId="56E8514A" w14:textId="77777777" w:rsidR="003A59F0" w:rsidRPr="005E3885" w:rsidRDefault="003A59F0" w:rsidP="001531B6">
            <w:pPr>
              <w:keepNext/>
              <w:keepLines/>
              <w:jc w:val="center"/>
              <w:rPr>
                <w:sz w:val="20"/>
              </w:rPr>
            </w:pPr>
            <w:r w:rsidRPr="005E3885">
              <w:rPr>
                <w:sz w:val="20"/>
              </w:rPr>
              <w:t>x</w:t>
            </w:r>
          </w:p>
        </w:tc>
        <w:tc>
          <w:tcPr>
            <w:tcW w:w="572" w:type="dxa"/>
            <w:shd w:val="clear" w:color="auto" w:fill="FFFF00"/>
          </w:tcPr>
          <w:p w14:paraId="298371CE" w14:textId="77777777" w:rsidR="003A59F0" w:rsidRPr="005E3885" w:rsidRDefault="003A59F0" w:rsidP="001531B6">
            <w:pPr>
              <w:keepNext/>
              <w:keepLines/>
              <w:jc w:val="center"/>
              <w:rPr>
                <w:sz w:val="20"/>
              </w:rPr>
            </w:pPr>
            <w:r w:rsidRPr="005E3885">
              <w:rPr>
                <w:sz w:val="20"/>
              </w:rPr>
              <w:t>x</w:t>
            </w:r>
          </w:p>
        </w:tc>
        <w:tc>
          <w:tcPr>
            <w:tcW w:w="574" w:type="dxa"/>
            <w:shd w:val="clear" w:color="auto" w:fill="FFFF00"/>
          </w:tcPr>
          <w:p w14:paraId="32B1B138" w14:textId="77777777" w:rsidR="003A59F0" w:rsidRPr="005E3885" w:rsidRDefault="003A59F0" w:rsidP="001531B6">
            <w:pPr>
              <w:keepNext/>
              <w:keepLines/>
              <w:jc w:val="center"/>
              <w:rPr>
                <w:sz w:val="20"/>
              </w:rPr>
            </w:pPr>
            <w:r w:rsidRPr="005E3885">
              <w:rPr>
                <w:sz w:val="20"/>
              </w:rPr>
              <w:t>x</w:t>
            </w:r>
          </w:p>
        </w:tc>
        <w:tc>
          <w:tcPr>
            <w:tcW w:w="580" w:type="dxa"/>
            <w:shd w:val="clear" w:color="auto" w:fill="FFFF00"/>
          </w:tcPr>
          <w:p w14:paraId="65E892D3" w14:textId="77777777" w:rsidR="003A59F0" w:rsidRPr="005E3885" w:rsidRDefault="003A59F0" w:rsidP="001531B6">
            <w:pPr>
              <w:keepNext/>
              <w:keepLines/>
              <w:jc w:val="center"/>
              <w:rPr>
                <w:sz w:val="20"/>
              </w:rPr>
            </w:pPr>
            <w:r w:rsidRPr="005E3885">
              <w:rPr>
                <w:sz w:val="20"/>
              </w:rPr>
              <w:t>x</w:t>
            </w:r>
          </w:p>
        </w:tc>
        <w:tc>
          <w:tcPr>
            <w:tcW w:w="2837" w:type="dxa"/>
            <w:shd w:val="clear" w:color="auto" w:fill="FFFF00"/>
          </w:tcPr>
          <w:p w14:paraId="26558E8F" w14:textId="77777777" w:rsidR="003A59F0" w:rsidRPr="005E3885" w:rsidRDefault="003A59F0" w:rsidP="001531B6">
            <w:pPr>
              <w:keepNext/>
              <w:keepLines/>
              <w:rPr>
                <w:sz w:val="20"/>
              </w:rPr>
            </w:pPr>
            <w:r w:rsidRPr="005E3885">
              <w:rPr>
                <w:sz w:val="20"/>
              </w:rPr>
              <w:t>Plenary sessions only</w:t>
            </w:r>
          </w:p>
        </w:tc>
      </w:tr>
      <w:tr w:rsidR="003A59F0" w:rsidRPr="005E3885" w14:paraId="62F4CE65" w14:textId="77777777" w:rsidTr="001531B6">
        <w:tc>
          <w:tcPr>
            <w:tcW w:w="3339" w:type="dxa"/>
          </w:tcPr>
          <w:p w14:paraId="3C99A033" w14:textId="77777777" w:rsidR="003A59F0" w:rsidRPr="005E3885" w:rsidRDefault="003A59F0" w:rsidP="001531B6">
            <w:pPr>
              <w:rPr>
                <w:sz w:val="20"/>
              </w:rPr>
            </w:pPr>
            <w:r w:rsidRPr="005E3885">
              <w:rPr>
                <w:sz w:val="20"/>
              </w:rPr>
              <w:t>Documents</w:t>
            </w:r>
          </w:p>
        </w:tc>
        <w:tc>
          <w:tcPr>
            <w:tcW w:w="577" w:type="dxa"/>
            <w:shd w:val="clear" w:color="auto" w:fill="auto"/>
          </w:tcPr>
          <w:p w14:paraId="6CA3A8B4" w14:textId="77777777" w:rsidR="003A59F0" w:rsidRPr="005E3885" w:rsidRDefault="003A59F0" w:rsidP="001531B6">
            <w:pPr>
              <w:jc w:val="center"/>
              <w:rPr>
                <w:sz w:val="20"/>
              </w:rPr>
            </w:pPr>
            <w:r w:rsidRPr="005E3885">
              <w:rPr>
                <w:sz w:val="20"/>
              </w:rPr>
              <w:t>x</w:t>
            </w:r>
          </w:p>
        </w:tc>
        <w:tc>
          <w:tcPr>
            <w:tcW w:w="580" w:type="dxa"/>
            <w:shd w:val="clear" w:color="auto" w:fill="auto"/>
          </w:tcPr>
          <w:p w14:paraId="5D8BFBF9" w14:textId="77777777" w:rsidR="003A59F0" w:rsidRPr="005E3885" w:rsidRDefault="003A59F0" w:rsidP="001531B6">
            <w:pPr>
              <w:jc w:val="center"/>
              <w:rPr>
                <w:sz w:val="20"/>
              </w:rPr>
            </w:pPr>
            <w:r w:rsidRPr="005E3885">
              <w:rPr>
                <w:sz w:val="20"/>
              </w:rPr>
              <w:t>x</w:t>
            </w:r>
          </w:p>
        </w:tc>
        <w:tc>
          <w:tcPr>
            <w:tcW w:w="580" w:type="dxa"/>
            <w:shd w:val="clear" w:color="auto" w:fill="auto"/>
          </w:tcPr>
          <w:p w14:paraId="5E4E5F97" w14:textId="77777777" w:rsidR="003A59F0" w:rsidRPr="005E3885" w:rsidRDefault="003A59F0" w:rsidP="001531B6">
            <w:pPr>
              <w:jc w:val="center"/>
              <w:rPr>
                <w:sz w:val="20"/>
              </w:rPr>
            </w:pPr>
            <w:r w:rsidRPr="005E3885">
              <w:rPr>
                <w:sz w:val="20"/>
              </w:rPr>
              <w:t>x</w:t>
            </w:r>
          </w:p>
        </w:tc>
        <w:tc>
          <w:tcPr>
            <w:tcW w:w="572" w:type="dxa"/>
            <w:shd w:val="clear" w:color="auto" w:fill="auto"/>
          </w:tcPr>
          <w:p w14:paraId="7FB5FF6A" w14:textId="77777777" w:rsidR="003A59F0" w:rsidRPr="005E3885" w:rsidRDefault="003A59F0" w:rsidP="001531B6">
            <w:pPr>
              <w:jc w:val="center"/>
              <w:rPr>
                <w:sz w:val="20"/>
              </w:rPr>
            </w:pPr>
            <w:r w:rsidRPr="005E3885">
              <w:rPr>
                <w:sz w:val="20"/>
              </w:rPr>
              <w:t>x</w:t>
            </w:r>
          </w:p>
        </w:tc>
        <w:tc>
          <w:tcPr>
            <w:tcW w:w="574" w:type="dxa"/>
            <w:shd w:val="clear" w:color="auto" w:fill="auto"/>
          </w:tcPr>
          <w:p w14:paraId="0414845E" w14:textId="77777777" w:rsidR="003A59F0" w:rsidRPr="005E3885" w:rsidRDefault="003A59F0" w:rsidP="001531B6">
            <w:pPr>
              <w:jc w:val="center"/>
              <w:rPr>
                <w:sz w:val="20"/>
              </w:rPr>
            </w:pPr>
            <w:r w:rsidRPr="005E3885">
              <w:rPr>
                <w:sz w:val="20"/>
              </w:rPr>
              <w:t>x</w:t>
            </w:r>
          </w:p>
        </w:tc>
        <w:tc>
          <w:tcPr>
            <w:tcW w:w="580" w:type="dxa"/>
            <w:shd w:val="clear" w:color="auto" w:fill="auto"/>
          </w:tcPr>
          <w:p w14:paraId="2226AB32" w14:textId="77777777" w:rsidR="003A59F0" w:rsidRPr="005E3885" w:rsidRDefault="003A59F0" w:rsidP="001531B6">
            <w:pPr>
              <w:jc w:val="center"/>
              <w:rPr>
                <w:sz w:val="20"/>
              </w:rPr>
            </w:pPr>
            <w:r w:rsidRPr="005E3885">
              <w:rPr>
                <w:sz w:val="20"/>
              </w:rPr>
              <w:t>x</w:t>
            </w:r>
          </w:p>
        </w:tc>
        <w:tc>
          <w:tcPr>
            <w:tcW w:w="2837" w:type="dxa"/>
          </w:tcPr>
          <w:p w14:paraId="4082549C" w14:textId="77777777" w:rsidR="003A59F0" w:rsidRPr="005E3885" w:rsidRDefault="003A59F0" w:rsidP="001531B6">
            <w:pPr>
              <w:rPr>
                <w:sz w:val="20"/>
              </w:rPr>
            </w:pPr>
          </w:p>
        </w:tc>
      </w:tr>
      <w:tr w:rsidR="003A59F0" w:rsidRPr="005E3885" w14:paraId="3FA3776E" w14:textId="77777777" w:rsidTr="001531B6">
        <w:tc>
          <w:tcPr>
            <w:tcW w:w="3339" w:type="dxa"/>
            <w:tcBorders>
              <w:bottom w:val="single" w:sz="4" w:space="0" w:color="auto"/>
            </w:tcBorders>
          </w:tcPr>
          <w:p w14:paraId="649EDDD8" w14:textId="77777777" w:rsidR="003A59F0" w:rsidRPr="005E3885" w:rsidRDefault="003A59F0" w:rsidP="001531B6">
            <w:pPr>
              <w:rPr>
                <w:sz w:val="20"/>
              </w:rPr>
            </w:pPr>
            <w:r w:rsidRPr="005E3885">
              <w:rPr>
                <w:sz w:val="20"/>
              </w:rPr>
              <w:t>Presentations</w:t>
            </w:r>
          </w:p>
        </w:tc>
        <w:tc>
          <w:tcPr>
            <w:tcW w:w="577" w:type="dxa"/>
            <w:tcBorders>
              <w:bottom w:val="single" w:sz="4" w:space="0" w:color="auto"/>
            </w:tcBorders>
            <w:shd w:val="clear" w:color="auto" w:fill="auto"/>
          </w:tcPr>
          <w:p w14:paraId="3DB1898D"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auto"/>
          </w:tcPr>
          <w:p w14:paraId="5EF6B725" w14:textId="77777777" w:rsidR="003A59F0" w:rsidRPr="005E3885" w:rsidRDefault="003A59F0" w:rsidP="001531B6">
            <w:pPr>
              <w:jc w:val="center"/>
              <w:rPr>
                <w:sz w:val="20"/>
              </w:rPr>
            </w:pPr>
          </w:p>
        </w:tc>
        <w:tc>
          <w:tcPr>
            <w:tcW w:w="580" w:type="dxa"/>
            <w:tcBorders>
              <w:bottom w:val="single" w:sz="4" w:space="0" w:color="auto"/>
            </w:tcBorders>
            <w:shd w:val="clear" w:color="auto" w:fill="auto"/>
          </w:tcPr>
          <w:p w14:paraId="39DCE6E0" w14:textId="77777777" w:rsidR="003A59F0" w:rsidRPr="005E3885" w:rsidRDefault="003A59F0" w:rsidP="001531B6">
            <w:pPr>
              <w:jc w:val="center"/>
              <w:rPr>
                <w:sz w:val="20"/>
              </w:rPr>
            </w:pPr>
          </w:p>
        </w:tc>
        <w:tc>
          <w:tcPr>
            <w:tcW w:w="572" w:type="dxa"/>
            <w:tcBorders>
              <w:bottom w:val="single" w:sz="4" w:space="0" w:color="auto"/>
            </w:tcBorders>
            <w:shd w:val="clear" w:color="auto" w:fill="auto"/>
          </w:tcPr>
          <w:p w14:paraId="6A91F072" w14:textId="77777777" w:rsidR="003A59F0" w:rsidRPr="005E3885" w:rsidRDefault="003A59F0" w:rsidP="001531B6">
            <w:pPr>
              <w:jc w:val="center"/>
              <w:rPr>
                <w:sz w:val="20"/>
              </w:rPr>
            </w:pPr>
          </w:p>
        </w:tc>
        <w:tc>
          <w:tcPr>
            <w:tcW w:w="574" w:type="dxa"/>
            <w:tcBorders>
              <w:bottom w:val="single" w:sz="4" w:space="0" w:color="auto"/>
            </w:tcBorders>
            <w:shd w:val="clear" w:color="auto" w:fill="auto"/>
          </w:tcPr>
          <w:p w14:paraId="7BC233C8" w14:textId="77777777" w:rsidR="003A59F0" w:rsidRPr="005E3885" w:rsidRDefault="003A59F0" w:rsidP="001531B6">
            <w:pPr>
              <w:jc w:val="center"/>
              <w:rPr>
                <w:sz w:val="20"/>
              </w:rPr>
            </w:pPr>
          </w:p>
        </w:tc>
        <w:tc>
          <w:tcPr>
            <w:tcW w:w="580" w:type="dxa"/>
            <w:tcBorders>
              <w:bottom w:val="single" w:sz="4" w:space="0" w:color="auto"/>
            </w:tcBorders>
            <w:shd w:val="clear" w:color="auto" w:fill="auto"/>
          </w:tcPr>
          <w:p w14:paraId="64496ED9" w14:textId="77777777" w:rsidR="003A59F0" w:rsidRPr="005E3885" w:rsidRDefault="003A59F0" w:rsidP="001531B6">
            <w:pPr>
              <w:jc w:val="center"/>
              <w:rPr>
                <w:sz w:val="20"/>
              </w:rPr>
            </w:pPr>
          </w:p>
        </w:tc>
        <w:tc>
          <w:tcPr>
            <w:tcW w:w="2837" w:type="dxa"/>
            <w:tcBorders>
              <w:bottom w:val="single" w:sz="4" w:space="0" w:color="auto"/>
            </w:tcBorders>
          </w:tcPr>
          <w:p w14:paraId="702E69F3" w14:textId="77777777" w:rsidR="003A59F0" w:rsidRPr="005E3885" w:rsidRDefault="003A59F0" w:rsidP="001531B6">
            <w:pPr>
              <w:rPr>
                <w:sz w:val="20"/>
              </w:rPr>
            </w:pPr>
          </w:p>
        </w:tc>
      </w:tr>
      <w:tr w:rsidR="003A59F0" w:rsidRPr="005E3885" w14:paraId="37FD5308" w14:textId="77777777" w:rsidTr="001531B6">
        <w:tc>
          <w:tcPr>
            <w:tcW w:w="3339" w:type="dxa"/>
            <w:shd w:val="clear" w:color="auto" w:fill="99CCFF"/>
          </w:tcPr>
          <w:p w14:paraId="7D297D04" w14:textId="77777777" w:rsidR="003A59F0" w:rsidRPr="005E3885" w:rsidRDefault="003A59F0" w:rsidP="001531B6">
            <w:pPr>
              <w:keepNext/>
              <w:rPr>
                <w:b/>
                <w:bCs/>
                <w:sz w:val="20"/>
                <w:u w:val="single"/>
              </w:rPr>
            </w:pPr>
            <w:r w:rsidRPr="005E3885">
              <w:rPr>
                <w:b/>
                <w:bCs/>
                <w:sz w:val="20"/>
                <w:u w:val="single"/>
              </w:rPr>
              <w:t>7. Publications</w:t>
            </w:r>
          </w:p>
        </w:tc>
        <w:tc>
          <w:tcPr>
            <w:tcW w:w="577" w:type="dxa"/>
            <w:shd w:val="clear" w:color="auto" w:fill="99CCFF"/>
          </w:tcPr>
          <w:p w14:paraId="3BADFC4A" w14:textId="77777777" w:rsidR="003A59F0" w:rsidRPr="005E3885" w:rsidRDefault="003A59F0" w:rsidP="001531B6">
            <w:pPr>
              <w:jc w:val="center"/>
              <w:rPr>
                <w:sz w:val="20"/>
              </w:rPr>
            </w:pPr>
          </w:p>
        </w:tc>
        <w:tc>
          <w:tcPr>
            <w:tcW w:w="580" w:type="dxa"/>
            <w:shd w:val="clear" w:color="auto" w:fill="99CCFF"/>
          </w:tcPr>
          <w:p w14:paraId="1CB463D9" w14:textId="77777777" w:rsidR="003A59F0" w:rsidRPr="005E3885" w:rsidRDefault="003A59F0" w:rsidP="001531B6">
            <w:pPr>
              <w:jc w:val="center"/>
              <w:rPr>
                <w:sz w:val="20"/>
              </w:rPr>
            </w:pPr>
          </w:p>
        </w:tc>
        <w:tc>
          <w:tcPr>
            <w:tcW w:w="580" w:type="dxa"/>
            <w:shd w:val="clear" w:color="auto" w:fill="99CCFF"/>
          </w:tcPr>
          <w:p w14:paraId="4F6741D0" w14:textId="77777777" w:rsidR="003A59F0" w:rsidRPr="005E3885" w:rsidRDefault="003A59F0" w:rsidP="001531B6">
            <w:pPr>
              <w:jc w:val="center"/>
              <w:rPr>
                <w:sz w:val="20"/>
              </w:rPr>
            </w:pPr>
          </w:p>
        </w:tc>
        <w:tc>
          <w:tcPr>
            <w:tcW w:w="572" w:type="dxa"/>
            <w:shd w:val="clear" w:color="auto" w:fill="99CCFF"/>
          </w:tcPr>
          <w:p w14:paraId="4754BB6D" w14:textId="77777777" w:rsidR="003A59F0" w:rsidRPr="005E3885" w:rsidRDefault="003A59F0" w:rsidP="001531B6">
            <w:pPr>
              <w:jc w:val="center"/>
              <w:rPr>
                <w:sz w:val="20"/>
              </w:rPr>
            </w:pPr>
          </w:p>
        </w:tc>
        <w:tc>
          <w:tcPr>
            <w:tcW w:w="574" w:type="dxa"/>
            <w:shd w:val="clear" w:color="auto" w:fill="99CCFF"/>
          </w:tcPr>
          <w:p w14:paraId="18A72FE6" w14:textId="77777777" w:rsidR="003A59F0" w:rsidRPr="005E3885" w:rsidRDefault="003A59F0" w:rsidP="001531B6">
            <w:pPr>
              <w:jc w:val="center"/>
              <w:rPr>
                <w:sz w:val="20"/>
              </w:rPr>
            </w:pPr>
          </w:p>
        </w:tc>
        <w:tc>
          <w:tcPr>
            <w:tcW w:w="580" w:type="dxa"/>
            <w:shd w:val="clear" w:color="auto" w:fill="99CCFF"/>
          </w:tcPr>
          <w:p w14:paraId="60E5423A" w14:textId="77777777" w:rsidR="003A59F0" w:rsidRPr="005E3885" w:rsidRDefault="003A59F0" w:rsidP="001531B6">
            <w:pPr>
              <w:jc w:val="center"/>
              <w:rPr>
                <w:sz w:val="20"/>
              </w:rPr>
            </w:pPr>
          </w:p>
        </w:tc>
        <w:tc>
          <w:tcPr>
            <w:tcW w:w="2837" w:type="dxa"/>
            <w:shd w:val="clear" w:color="auto" w:fill="99CCFF"/>
          </w:tcPr>
          <w:p w14:paraId="562A8356" w14:textId="77777777" w:rsidR="003A59F0" w:rsidRPr="005E3885" w:rsidRDefault="003A59F0" w:rsidP="001531B6">
            <w:pPr>
              <w:rPr>
                <w:sz w:val="20"/>
              </w:rPr>
            </w:pPr>
          </w:p>
        </w:tc>
      </w:tr>
      <w:tr w:rsidR="003A59F0" w:rsidRPr="005E3885" w14:paraId="6D1859A8" w14:textId="77777777" w:rsidTr="001531B6">
        <w:trPr>
          <w:cantSplit/>
        </w:trPr>
        <w:tc>
          <w:tcPr>
            <w:tcW w:w="3339" w:type="dxa"/>
          </w:tcPr>
          <w:p w14:paraId="0C673D1D" w14:textId="77777777" w:rsidR="003A59F0" w:rsidRPr="005E3885" w:rsidRDefault="003A59F0" w:rsidP="001531B6">
            <w:pPr>
              <w:keepNext/>
              <w:rPr>
                <w:sz w:val="20"/>
              </w:rPr>
            </w:pPr>
            <w:r w:rsidRPr="005E3885">
              <w:rPr>
                <w:sz w:val="20"/>
              </w:rPr>
              <w:t>Approved Recommendations</w:t>
            </w:r>
          </w:p>
        </w:tc>
        <w:tc>
          <w:tcPr>
            <w:tcW w:w="577" w:type="dxa"/>
            <w:shd w:val="clear" w:color="auto" w:fill="auto"/>
          </w:tcPr>
          <w:p w14:paraId="6FA047E4" w14:textId="77777777" w:rsidR="003A59F0" w:rsidRPr="005E3885" w:rsidRDefault="003A59F0" w:rsidP="001531B6">
            <w:pPr>
              <w:jc w:val="center"/>
              <w:rPr>
                <w:sz w:val="20"/>
              </w:rPr>
            </w:pPr>
            <w:r w:rsidRPr="005E3885">
              <w:rPr>
                <w:sz w:val="20"/>
              </w:rPr>
              <w:t>x</w:t>
            </w:r>
          </w:p>
        </w:tc>
        <w:tc>
          <w:tcPr>
            <w:tcW w:w="580" w:type="dxa"/>
            <w:shd w:val="clear" w:color="auto" w:fill="auto"/>
          </w:tcPr>
          <w:p w14:paraId="72F2E52B" w14:textId="77777777" w:rsidR="003A59F0" w:rsidRPr="005E3885" w:rsidRDefault="003A59F0" w:rsidP="001531B6">
            <w:pPr>
              <w:jc w:val="center"/>
              <w:rPr>
                <w:sz w:val="20"/>
              </w:rPr>
            </w:pPr>
            <w:r w:rsidRPr="005E3885">
              <w:rPr>
                <w:sz w:val="20"/>
              </w:rPr>
              <w:t>x</w:t>
            </w:r>
          </w:p>
        </w:tc>
        <w:tc>
          <w:tcPr>
            <w:tcW w:w="580" w:type="dxa"/>
            <w:shd w:val="clear" w:color="auto" w:fill="auto"/>
          </w:tcPr>
          <w:p w14:paraId="6B4E9FD3" w14:textId="77777777" w:rsidR="003A59F0" w:rsidRPr="005E3885" w:rsidRDefault="003A59F0" w:rsidP="001531B6">
            <w:pPr>
              <w:jc w:val="center"/>
              <w:rPr>
                <w:sz w:val="20"/>
              </w:rPr>
            </w:pPr>
            <w:r w:rsidRPr="005E3885">
              <w:rPr>
                <w:sz w:val="20"/>
              </w:rPr>
              <w:t>x</w:t>
            </w:r>
          </w:p>
        </w:tc>
        <w:tc>
          <w:tcPr>
            <w:tcW w:w="572" w:type="dxa"/>
            <w:shd w:val="clear" w:color="auto" w:fill="auto"/>
          </w:tcPr>
          <w:p w14:paraId="42564F93" w14:textId="77777777" w:rsidR="003A59F0" w:rsidRPr="005E3885" w:rsidRDefault="003A59F0" w:rsidP="001531B6">
            <w:pPr>
              <w:jc w:val="center"/>
              <w:rPr>
                <w:sz w:val="20"/>
              </w:rPr>
            </w:pPr>
            <w:r w:rsidRPr="005E3885">
              <w:rPr>
                <w:sz w:val="20"/>
              </w:rPr>
              <w:t>x</w:t>
            </w:r>
          </w:p>
        </w:tc>
        <w:tc>
          <w:tcPr>
            <w:tcW w:w="574" w:type="dxa"/>
            <w:shd w:val="clear" w:color="auto" w:fill="auto"/>
          </w:tcPr>
          <w:p w14:paraId="04377FDD" w14:textId="77777777" w:rsidR="003A59F0" w:rsidRPr="005E3885" w:rsidRDefault="003A59F0" w:rsidP="001531B6">
            <w:pPr>
              <w:jc w:val="center"/>
              <w:rPr>
                <w:sz w:val="20"/>
              </w:rPr>
            </w:pPr>
            <w:r w:rsidRPr="005E3885">
              <w:rPr>
                <w:sz w:val="20"/>
              </w:rPr>
              <w:t>x</w:t>
            </w:r>
          </w:p>
        </w:tc>
        <w:tc>
          <w:tcPr>
            <w:tcW w:w="580" w:type="dxa"/>
            <w:shd w:val="clear" w:color="auto" w:fill="auto"/>
          </w:tcPr>
          <w:p w14:paraId="6031035F" w14:textId="77777777" w:rsidR="003A59F0" w:rsidRPr="005E3885" w:rsidRDefault="003A59F0" w:rsidP="001531B6">
            <w:pPr>
              <w:jc w:val="center"/>
              <w:rPr>
                <w:sz w:val="20"/>
              </w:rPr>
            </w:pPr>
            <w:r w:rsidRPr="005E3885">
              <w:rPr>
                <w:sz w:val="20"/>
              </w:rPr>
              <w:t>x</w:t>
            </w:r>
          </w:p>
        </w:tc>
        <w:tc>
          <w:tcPr>
            <w:tcW w:w="2837" w:type="dxa"/>
            <w:shd w:val="clear" w:color="auto" w:fill="auto"/>
          </w:tcPr>
          <w:p w14:paraId="535B354B" w14:textId="77777777" w:rsidR="003A59F0" w:rsidRPr="005E3885" w:rsidRDefault="003A59F0" w:rsidP="001531B6">
            <w:pPr>
              <w:rPr>
                <w:strike/>
                <w:color w:val="3366FF"/>
                <w:sz w:val="20"/>
              </w:rPr>
            </w:pPr>
          </w:p>
        </w:tc>
      </w:tr>
      <w:tr w:rsidR="003A59F0" w:rsidRPr="005E3885" w14:paraId="62D7DA53" w14:textId="77777777" w:rsidTr="001531B6">
        <w:trPr>
          <w:cantSplit/>
        </w:trPr>
        <w:tc>
          <w:tcPr>
            <w:tcW w:w="3339" w:type="dxa"/>
          </w:tcPr>
          <w:p w14:paraId="5A3472F2" w14:textId="77777777" w:rsidR="003A59F0" w:rsidRPr="005E3885" w:rsidRDefault="003A59F0" w:rsidP="001531B6">
            <w:pPr>
              <w:keepNext/>
              <w:rPr>
                <w:sz w:val="20"/>
              </w:rPr>
            </w:pPr>
            <w:r w:rsidRPr="005E3885">
              <w:rPr>
                <w:sz w:val="20"/>
              </w:rPr>
              <w:t>ITU-R Reports</w:t>
            </w:r>
          </w:p>
        </w:tc>
        <w:tc>
          <w:tcPr>
            <w:tcW w:w="577" w:type="dxa"/>
            <w:shd w:val="clear" w:color="auto" w:fill="auto"/>
          </w:tcPr>
          <w:p w14:paraId="292AA3EE" w14:textId="77777777" w:rsidR="003A59F0" w:rsidRPr="005E3885" w:rsidRDefault="003A59F0" w:rsidP="001531B6">
            <w:pPr>
              <w:jc w:val="center"/>
              <w:rPr>
                <w:sz w:val="20"/>
              </w:rPr>
            </w:pPr>
            <w:r w:rsidRPr="005E3885">
              <w:rPr>
                <w:sz w:val="20"/>
              </w:rPr>
              <w:t>x</w:t>
            </w:r>
          </w:p>
        </w:tc>
        <w:tc>
          <w:tcPr>
            <w:tcW w:w="580" w:type="dxa"/>
            <w:shd w:val="clear" w:color="auto" w:fill="auto"/>
          </w:tcPr>
          <w:p w14:paraId="63DF9828" w14:textId="77777777" w:rsidR="003A59F0" w:rsidRPr="005E3885" w:rsidRDefault="003A59F0" w:rsidP="001531B6">
            <w:pPr>
              <w:jc w:val="center"/>
              <w:rPr>
                <w:sz w:val="20"/>
              </w:rPr>
            </w:pPr>
            <w:r w:rsidRPr="005E3885">
              <w:rPr>
                <w:sz w:val="20"/>
              </w:rPr>
              <w:t>x</w:t>
            </w:r>
          </w:p>
        </w:tc>
        <w:tc>
          <w:tcPr>
            <w:tcW w:w="580" w:type="dxa"/>
            <w:shd w:val="clear" w:color="auto" w:fill="auto"/>
          </w:tcPr>
          <w:p w14:paraId="13DD274D" w14:textId="77777777" w:rsidR="003A59F0" w:rsidRPr="005E3885" w:rsidRDefault="003A59F0" w:rsidP="001531B6">
            <w:pPr>
              <w:jc w:val="center"/>
              <w:rPr>
                <w:sz w:val="20"/>
              </w:rPr>
            </w:pPr>
            <w:r w:rsidRPr="005E3885">
              <w:rPr>
                <w:sz w:val="20"/>
              </w:rPr>
              <w:t>x</w:t>
            </w:r>
          </w:p>
        </w:tc>
        <w:tc>
          <w:tcPr>
            <w:tcW w:w="572" w:type="dxa"/>
            <w:shd w:val="clear" w:color="auto" w:fill="auto"/>
          </w:tcPr>
          <w:p w14:paraId="2639769D" w14:textId="77777777" w:rsidR="003A59F0" w:rsidRPr="005E3885" w:rsidRDefault="003A59F0" w:rsidP="001531B6">
            <w:pPr>
              <w:jc w:val="center"/>
              <w:rPr>
                <w:sz w:val="20"/>
              </w:rPr>
            </w:pPr>
            <w:r w:rsidRPr="005E3885">
              <w:rPr>
                <w:sz w:val="20"/>
              </w:rPr>
              <w:t>x</w:t>
            </w:r>
          </w:p>
        </w:tc>
        <w:tc>
          <w:tcPr>
            <w:tcW w:w="574" w:type="dxa"/>
            <w:shd w:val="clear" w:color="auto" w:fill="auto"/>
          </w:tcPr>
          <w:p w14:paraId="05881D03" w14:textId="77777777" w:rsidR="003A59F0" w:rsidRPr="005E3885" w:rsidRDefault="003A59F0" w:rsidP="001531B6">
            <w:pPr>
              <w:jc w:val="center"/>
              <w:rPr>
                <w:sz w:val="20"/>
              </w:rPr>
            </w:pPr>
            <w:r w:rsidRPr="005E3885">
              <w:rPr>
                <w:sz w:val="20"/>
              </w:rPr>
              <w:t>x</w:t>
            </w:r>
          </w:p>
        </w:tc>
        <w:tc>
          <w:tcPr>
            <w:tcW w:w="580" w:type="dxa"/>
            <w:shd w:val="clear" w:color="auto" w:fill="auto"/>
          </w:tcPr>
          <w:p w14:paraId="51CDA380" w14:textId="77777777" w:rsidR="003A59F0" w:rsidRPr="005E3885" w:rsidRDefault="003A59F0" w:rsidP="001531B6">
            <w:pPr>
              <w:jc w:val="center"/>
              <w:rPr>
                <w:sz w:val="20"/>
              </w:rPr>
            </w:pPr>
            <w:r w:rsidRPr="005E3885">
              <w:rPr>
                <w:sz w:val="20"/>
              </w:rPr>
              <w:t>x</w:t>
            </w:r>
          </w:p>
        </w:tc>
        <w:tc>
          <w:tcPr>
            <w:tcW w:w="2837" w:type="dxa"/>
            <w:shd w:val="clear" w:color="auto" w:fill="auto"/>
          </w:tcPr>
          <w:p w14:paraId="5906542B" w14:textId="77777777" w:rsidR="003A59F0" w:rsidRPr="005E3885" w:rsidRDefault="003A59F0" w:rsidP="001531B6">
            <w:pPr>
              <w:rPr>
                <w:sz w:val="20"/>
              </w:rPr>
            </w:pPr>
            <w:r w:rsidRPr="005E3885">
              <w:rPr>
                <w:sz w:val="20"/>
              </w:rPr>
              <w:t>Depends on contents</w:t>
            </w:r>
          </w:p>
        </w:tc>
      </w:tr>
      <w:tr w:rsidR="003A59F0" w:rsidRPr="005E3885" w14:paraId="2CBD823B" w14:textId="77777777" w:rsidTr="001531B6">
        <w:trPr>
          <w:cantSplit/>
        </w:trPr>
        <w:tc>
          <w:tcPr>
            <w:tcW w:w="3339" w:type="dxa"/>
          </w:tcPr>
          <w:p w14:paraId="0DDF80CA" w14:textId="77777777" w:rsidR="003A59F0" w:rsidRPr="005E3885" w:rsidRDefault="003A59F0" w:rsidP="001531B6">
            <w:pPr>
              <w:keepNext/>
              <w:rPr>
                <w:sz w:val="20"/>
              </w:rPr>
            </w:pPr>
            <w:r w:rsidRPr="005E3885">
              <w:rPr>
                <w:sz w:val="20"/>
              </w:rPr>
              <w:t>Handbooks</w:t>
            </w:r>
          </w:p>
        </w:tc>
        <w:tc>
          <w:tcPr>
            <w:tcW w:w="577" w:type="dxa"/>
            <w:shd w:val="clear" w:color="auto" w:fill="auto"/>
          </w:tcPr>
          <w:p w14:paraId="525C88AB" w14:textId="77777777" w:rsidR="003A59F0" w:rsidRPr="005E3885" w:rsidRDefault="003A59F0" w:rsidP="001531B6">
            <w:pPr>
              <w:jc w:val="center"/>
              <w:rPr>
                <w:sz w:val="20"/>
              </w:rPr>
            </w:pPr>
            <w:r w:rsidRPr="005E3885">
              <w:rPr>
                <w:sz w:val="20"/>
              </w:rPr>
              <w:t>x</w:t>
            </w:r>
          </w:p>
        </w:tc>
        <w:tc>
          <w:tcPr>
            <w:tcW w:w="580" w:type="dxa"/>
            <w:shd w:val="clear" w:color="auto" w:fill="auto"/>
          </w:tcPr>
          <w:p w14:paraId="42F3E64E" w14:textId="77777777" w:rsidR="003A59F0" w:rsidRPr="005E3885" w:rsidRDefault="003A59F0" w:rsidP="001531B6">
            <w:pPr>
              <w:jc w:val="center"/>
              <w:rPr>
                <w:sz w:val="20"/>
              </w:rPr>
            </w:pPr>
            <w:r w:rsidRPr="005E3885">
              <w:rPr>
                <w:sz w:val="20"/>
              </w:rPr>
              <w:t>x</w:t>
            </w:r>
          </w:p>
        </w:tc>
        <w:tc>
          <w:tcPr>
            <w:tcW w:w="580" w:type="dxa"/>
            <w:shd w:val="clear" w:color="auto" w:fill="auto"/>
          </w:tcPr>
          <w:p w14:paraId="21D7248A" w14:textId="77777777" w:rsidR="003A59F0" w:rsidRPr="005E3885" w:rsidRDefault="003A59F0" w:rsidP="001531B6">
            <w:pPr>
              <w:jc w:val="center"/>
              <w:rPr>
                <w:sz w:val="20"/>
              </w:rPr>
            </w:pPr>
            <w:r w:rsidRPr="005E3885">
              <w:rPr>
                <w:sz w:val="20"/>
              </w:rPr>
              <w:t>x</w:t>
            </w:r>
          </w:p>
        </w:tc>
        <w:tc>
          <w:tcPr>
            <w:tcW w:w="572" w:type="dxa"/>
            <w:shd w:val="clear" w:color="auto" w:fill="auto"/>
          </w:tcPr>
          <w:p w14:paraId="55A192AE" w14:textId="77777777" w:rsidR="003A59F0" w:rsidRPr="005E3885" w:rsidRDefault="003A59F0" w:rsidP="001531B6">
            <w:pPr>
              <w:jc w:val="center"/>
              <w:rPr>
                <w:sz w:val="20"/>
              </w:rPr>
            </w:pPr>
            <w:r w:rsidRPr="005E3885">
              <w:rPr>
                <w:sz w:val="20"/>
              </w:rPr>
              <w:t>x</w:t>
            </w:r>
          </w:p>
        </w:tc>
        <w:tc>
          <w:tcPr>
            <w:tcW w:w="574" w:type="dxa"/>
            <w:shd w:val="clear" w:color="auto" w:fill="auto"/>
          </w:tcPr>
          <w:p w14:paraId="3285012B" w14:textId="77777777" w:rsidR="003A59F0" w:rsidRPr="005E3885" w:rsidRDefault="003A59F0" w:rsidP="001531B6">
            <w:pPr>
              <w:jc w:val="center"/>
              <w:rPr>
                <w:sz w:val="20"/>
              </w:rPr>
            </w:pPr>
            <w:r w:rsidRPr="005E3885">
              <w:rPr>
                <w:sz w:val="20"/>
              </w:rPr>
              <w:t>x</w:t>
            </w:r>
          </w:p>
        </w:tc>
        <w:tc>
          <w:tcPr>
            <w:tcW w:w="580" w:type="dxa"/>
            <w:shd w:val="clear" w:color="auto" w:fill="auto"/>
          </w:tcPr>
          <w:p w14:paraId="338A8DF0" w14:textId="77777777" w:rsidR="003A59F0" w:rsidRPr="005E3885" w:rsidRDefault="003A59F0" w:rsidP="001531B6">
            <w:pPr>
              <w:jc w:val="center"/>
              <w:rPr>
                <w:sz w:val="20"/>
              </w:rPr>
            </w:pPr>
            <w:r w:rsidRPr="005E3885">
              <w:rPr>
                <w:sz w:val="20"/>
              </w:rPr>
              <w:t>x</w:t>
            </w:r>
          </w:p>
        </w:tc>
        <w:tc>
          <w:tcPr>
            <w:tcW w:w="2837" w:type="dxa"/>
            <w:shd w:val="clear" w:color="auto" w:fill="auto"/>
          </w:tcPr>
          <w:p w14:paraId="6573F652" w14:textId="77777777" w:rsidR="003A59F0" w:rsidRPr="005E3885" w:rsidRDefault="003A59F0" w:rsidP="001531B6">
            <w:pPr>
              <w:rPr>
                <w:sz w:val="20"/>
              </w:rPr>
            </w:pPr>
            <w:r w:rsidRPr="005E3885">
              <w:rPr>
                <w:sz w:val="20"/>
              </w:rPr>
              <w:t>Depends on contents</w:t>
            </w:r>
          </w:p>
        </w:tc>
      </w:tr>
      <w:tr w:rsidR="003A59F0" w:rsidRPr="005E3885" w14:paraId="493C5C3F" w14:textId="77777777" w:rsidTr="001531B6">
        <w:trPr>
          <w:cantSplit/>
        </w:trPr>
        <w:tc>
          <w:tcPr>
            <w:tcW w:w="3339" w:type="dxa"/>
            <w:tcBorders>
              <w:bottom w:val="single" w:sz="4" w:space="0" w:color="auto"/>
            </w:tcBorders>
          </w:tcPr>
          <w:p w14:paraId="7D39CE1F" w14:textId="77777777" w:rsidR="003A59F0" w:rsidRPr="005E3885" w:rsidRDefault="003A59F0" w:rsidP="001531B6">
            <w:pPr>
              <w:keepNext/>
              <w:rPr>
                <w:sz w:val="20"/>
              </w:rPr>
            </w:pPr>
            <w:r w:rsidRPr="005E3885">
              <w:rPr>
                <w:sz w:val="20"/>
              </w:rPr>
              <w:t>Opinions</w:t>
            </w:r>
          </w:p>
        </w:tc>
        <w:tc>
          <w:tcPr>
            <w:tcW w:w="577" w:type="dxa"/>
            <w:tcBorders>
              <w:bottom w:val="single" w:sz="4" w:space="0" w:color="auto"/>
            </w:tcBorders>
            <w:shd w:val="clear" w:color="auto" w:fill="auto"/>
          </w:tcPr>
          <w:p w14:paraId="2DA58069"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auto"/>
          </w:tcPr>
          <w:p w14:paraId="413C0D71"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auto"/>
          </w:tcPr>
          <w:p w14:paraId="37DC84F6" w14:textId="77777777" w:rsidR="003A59F0" w:rsidRPr="005E3885" w:rsidRDefault="003A59F0" w:rsidP="001531B6">
            <w:pPr>
              <w:jc w:val="center"/>
              <w:rPr>
                <w:sz w:val="20"/>
              </w:rPr>
            </w:pPr>
            <w:r w:rsidRPr="005E3885">
              <w:rPr>
                <w:sz w:val="20"/>
              </w:rPr>
              <w:t>x</w:t>
            </w:r>
          </w:p>
        </w:tc>
        <w:tc>
          <w:tcPr>
            <w:tcW w:w="572" w:type="dxa"/>
            <w:tcBorders>
              <w:bottom w:val="single" w:sz="4" w:space="0" w:color="auto"/>
            </w:tcBorders>
            <w:shd w:val="clear" w:color="auto" w:fill="auto"/>
          </w:tcPr>
          <w:p w14:paraId="21E5B433" w14:textId="77777777" w:rsidR="003A59F0" w:rsidRPr="005E3885" w:rsidRDefault="003A59F0" w:rsidP="001531B6">
            <w:pPr>
              <w:jc w:val="center"/>
              <w:rPr>
                <w:sz w:val="20"/>
              </w:rPr>
            </w:pPr>
            <w:r w:rsidRPr="005E3885">
              <w:rPr>
                <w:sz w:val="20"/>
              </w:rPr>
              <w:t>x</w:t>
            </w:r>
          </w:p>
        </w:tc>
        <w:tc>
          <w:tcPr>
            <w:tcW w:w="574" w:type="dxa"/>
            <w:tcBorders>
              <w:bottom w:val="single" w:sz="4" w:space="0" w:color="auto"/>
            </w:tcBorders>
            <w:shd w:val="clear" w:color="auto" w:fill="auto"/>
          </w:tcPr>
          <w:p w14:paraId="043ED269"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auto"/>
          </w:tcPr>
          <w:p w14:paraId="791ABD5D" w14:textId="77777777" w:rsidR="003A59F0" w:rsidRPr="005E3885" w:rsidRDefault="003A59F0" w:rsidP="001531B6">
            <w:pPr>
              <w:jc w:val="center"/>
              <w:rPr>
                <w:sz w:val="20"/>
              </w:rPr>
            </w:pPr>
            <w:r w:rsidRPr="005E3885">
              <w:rPr>
                <w:sz w:val="20"/>
              </w:rPr>
              <w:t>x</w:t>
            </w:r>
          </w:p>
        </w:tc>
        <w:tc>
          <w:tcPr>
            <w:tcW w:w="2837" w:type="dxa"/>
            <w:tcBorders>
              <w:bottom w:val="single" w:sz="4" w:space="0" w:color="auto"/>
            </w:tcBorders>
            <w:shd w:val="clear" w:color="auto" w:fill="auto"/>
          </w:tcPr>
          <w:p w14:paraId="11DF93F8" w14:textId="77777777" w:rsidR="003A59F0" w:rsidRPr="005E3885" w:rsidRDefault="003A59F0" w:rsidP="001531B6">
            <w:pPr>
              <w:rPr>
                <w:sz w:val="20"/>
              </w:rPr>
            </w:pPr>
          </w:p>
        </w:tc>
      </w:tr>
      <w:tr w:rsidR="003A59F0" w:rsidRPr="005E3885" w14:paraId="4C9F5016" w14:textId="77777777" w:rsidTr="001531B6">
        <w:tc>
          <w:tcPr>
            <w:tcW w:w="3339" w:type="dxa"/>
          </w:tcPr>
          <w:p w14:paraId="2BABBDD8" w14:textId="77777777" w:rsidR="003A59F0" w:rsidRPr="005E3885" w:rsidRDefault="003A59F0" w:rsidP="001531B6">
            <w:pPr>
              <w:rPr>
                <w:sz w:val="20"/>
              </w:rPr>
            </w:pPr>
            <w:r w:rsidRPr="005E3885">
              <w:rPr>
                <w:sz w:val="20"/>
              </w:rPr>
              <w:t>Radio Regulations</w:t>
            </w:r>
          </w:p>
        </w:tc>
        <w:tc>
          <w:tcPr>
            <w:tcW w:w="577" w:type="dxa"/>
            <w:shd w:val="clear" w:color="auto" w:fill="auto"/>
          </w:tcPr>
          <w:p w14:paraId="769EE2F4" w14:textId="77777777" w:rsidR="003A59F0" w:rsidRPr="005E3885" w:rsidRDefault="003A59F0" w:rsidP="001531B6">
            <w:pPr>
              <w:jc w:val="center"/>
              <w:rPr>
                <w:sz w:val="20"/>
              </w:rPr>
            </w:pPr>
            <w:r w:rsidRPr="005E3885">
              <w:rPr>
                <w:sz w:val="20"/>
              </w:rPr>
              <w:t>x</w:t>
            </w:r>
          </w:p>
        </w:tc>
        <w:tc>
          <w:tcPr>
            <w:tcW w:w="580" w:type="dxa"/>
            <w:shd w:val="clear" w:color="auto" w:fill="auto"/>
          </w:tcPr>
          <w:p w14:paraId="4875A287" w14:textId="77777777" w:rsidR="003A59F0" w:rsidRPr="005E3885" w:rsidRDefault="003A59F0" w:rsidP="001531B6">
            <w:pPr>
              <w:jc w:val="center"/>
              <w:rPr>
                <w:sz w:val="20"/>
              </w:rPr>
            </w:pPr>
            <w:r w:rsidRPr="005E3885">
              <w:rPr>
                <w:sz w:val="20"/>
              </w:rPr>
              <w:t>x</w:t>
            </w:r>
          </w:p>
        </w:tc>
        <w:tc>
          <w:tcPr>
            <w:tcW w:w="580" w:type="dxa"/>
            <w:shd w:val="clear" w:color="auto" w:fill="auto"/>
          </w:tcPr>
          <w:p w14:paraId="63E8E07E" w14:textId="77777777" w:rsidR="003A59F0" w:rsidRPr="005E3885" w:rsidRDefault="003A59F0" w:rsidP="001531B6">
            <w:pPr>
              <w:jc w:val="center"/>
              <w:rPr>
                <w:sz w:val="20"/>
              </w:rPr>
            </w:pPr>
            <w:r w:rsidRPr="005E3885">
              <w:rPr>
                <w:sz w:val="20"/>
              </w:rPr>
              <w:t>x</w:t>
            </w:r>
          </w:p>
        </w:tc>
        <w:tc>
          <w:tcPr>
            <w:tcW w:w="572" w:type="dxa"/>
            <w:shd w:val="clear" w:color="auto" w:fill="auto"/>
          </w:tcPr>
          <w:p w14:paraId="77F93E9A" w14:textId="77777777" w:rsidR="003A59F0" w:rsidRPr="005E3885" w:rsidRDefault="003A59F0" w:rsidP="001531B6">
            <w:pPr>
              <w:jc w:val="center"/>
              <w:rPr>
                <w:sz w:val="20"/>
              </w:rPr>
            </w:pPr>
            <w:r w:rsidRPr="005E3885">
              <w:rPr>
                <w:sz w:val="20"/>
              </w:rPr>
              <w:t>x</w:t>
            </w:r>
          </w:p>
        </w:tc>
        <w:tc>
          <w:tcPr>
            <w:tcW w:w="574" w:type="dxa"/>
            <w:shd w:val="clear" w:color="auto" w:fill="auto"/>
          </w:tcPr>
          <w:p w14:paraId="2FE38B50" w14:textId="77777777" w:rsidR="003A59F0" w:rsidRPr="005E3885" w:rsidRDefault="003A59F0" w:rsidP="001531B6">
            <w:pPr>
              <w:jc w:val="center"/>
              <w:rPr>
                <w:sz w:val="20"/>
              </w:rPr>
            </w:pPr>
            <w:r w:rsidRPr="005E3885">
              <w:rPr>
                <w:sz w:val="20"/>
              </w:rPr>
              <w:t>x</w:t>
            </w:r>
          </w:p>
        </w:tc>
        <w:tc>
          <w:tcPr>
            <w:tcW w:w="580" w:type="dxa"/>
            <w:shd w:val="clear" w:color="auto" w:fill="auto"/>
          </w:tcPr>
          <w:p w14:paraId="47644F28" w14:textId="77777777" w:rsidR="003A59F0" w:rsidRPr="005E3885" w:rsidRDefault="003A59F0" w:rsidP="001531B6">
            <w:pPr>
              <w:jc w:val="center"/>
              <w:rPr>
                <w:sz w:val="20"/>
              </w:rPr>
            </w:pPr>
            <w:r w:rsidRPr="005E3885">
              <w:rPr>
                <w:sz w:val="20"/>
              </w:rPr>
              <w:t>x</w:t>
            </w:r>
          </w:p>
        </w:tc>
        <w:tc>
          <w:tcPr>
            <w:tcW w:w="2837" w:type="dxa"/>
          </w:tcPr>
          <w:p w14:paraId="6E3D9C3A" w14:textId="77777777" w:rsidR="003A59F0" w:rsidRPr="005E3885" w:rsidRDefault="003A59F0" w:rsidP="001531B6">
            <w:pPr>
              <w:rPr>
                <w:sz w:val="20"/>
              </w:rPr>
            </w:pPr>
          </w:p>
        </w:tc>
      </w:tr>
      <w:tr w:rsidR="003A59F0" w:rsidRPr="005E3885" w14:paraId="3512C1FB" w14:textId="77777777" w:rsidTr="001531B6">
        <w:tc>
          <w:tcPr>
            <w:tcW w:w="3339" w:type="dxa"/>
          </w:tcPr>
          <w:p w14:paraId="16D02EF1" w14:textId="77777777" w:rsidR="003A59F0" w:rsidRPr="005E3885" w:rsidRDefault="003A59F0" w:rsidP="001531B6">
            <w:pPr>
              <w:rPr>
                <w:sz w:val="20"/>
              </w:rPr>
            </w:pPr>
            <w:r w:rsidRPr="005E3885">
              <w:rPr>
                <w:sz w:val="20"/>
              </w:rPr>
              <w:t>BR-IFIC</w:t>
            </w:r>
          </w:p>
        </w:tc>
        <w:tc>
          <w:tcPr>
            <w:tcW w:w="577" w:type="dxa"/>
            <w:shd w:val="clear" w:color="auto" w:fill="auto"/>
          </w:tcPr>
          <w:p w14:paraId="4BA589F3" w14:textId="77777777" w:rsidR="003A59F0" w:rsidRPr="005E3885" w:rsidRDefault="003A59F0" w:rsidP="001531B6">
            <w:pPr>
              <w:jc w:val="center"/>
              <w:rPr>
                <w:sz w:val="20"/>
              </w:rPr>
            </w:pPr>
            <w:r w:rsidRPr="005E3885">
              <w:rPr>
                <w:sz w:val="20"/>
              </w:rPr>
              <w:t>x</w:t>
            </w:r>
          </w:p>
        </w:tc>
        <w:tc>
          <w:tcPr>
            <w:tcW w:w="580" w:type="dxa"/>
            <w:shd w:val="clear" w:color="auto" w:fill="auto"/>
          </w:tcPr>
          <w:p w14:paraId="28AA042C" w14:textId="77777777" w:rsidR="003A59F0" w:rsidRPr="005E3885" w:rsidRDefault="003A59F0" w:rsidP="001531B6">
            <w:pPr>
              <w:jc w:val="center"/>
              <w:rPr>
                <w:sz w:val="20"/>
              </w:rPr>
            </w:pPr>
            <w:r w:rsidRPr="005E3885">
              <w:rPr>
                <w:sz w:val="20"/>
              </w:rPr>
              <w:t>x</w:t>
            </w:r>
          </w:p>
        </w:tc>
        <w:tc>
          <w:tcPr>
            <w:tcW w:w="580" w:type="dxa"/>
            <w:shd w:val="clear" w:color="auto" w:fill="auto"/>
          </w:tcPr>
          <w:p w14:paraId="1D6EDE1C" w14:textId="77777777" w:rsidR="003A59F0" w:rsidRPr="005E3885" w:rsidRDefault="003A59F0" w:rsidP="001531B6">
            <w:pPr>
              <w:jc w:val="center"/>
              <w:rPr>
                <w:sz w:val="20"/>
              </w:rPr>
            </w:pPr>
            <w:r w:rsidRPr="005E3885">
              <w:rPr>
                <w:sz w:val="20"/>
              </w:rPr>
              <w:t>x</w:t>
            </w:r>
          </w:p>
        </w:tc>
        <w:tc>
          <w:tcPr>
            <w:tcW w:w="572" w:type="dxa"/>
            <w:shd w:val="clear" w:color="auto" w:fill="auto"/>
          </w:tcPr>
          <w:p w14:paraId="414B8EA5" w14:textId="77777777" w:rsidR="003A59F0" w:rsidRPr="005E3885" w:rsidRDefault="003A59F0" w:rsidP="001531B6">
            <w:pPr>
              <w:jc w:val="center"/>
              <w:rPr>
                <w:sz w:val="20"/>
              </w:rPr>
            </w:pPr>
            <w:r w:rsidRPr="005E3885">
              <w:rPr>
                <w:sz w:val="20"/>
              </w:rPr>
              <w:t>x</w:t>
            </w:r>
          </w:p>
        </w:tc>
        <w:tc>
          <w:tcPr>
            <w:tcW w:w="574" w:type="dxa"/>
            <w:shd w:val="clear" w:color="auto" w:fill="auto"/>
          </w:tcPr>
          <w:p w14:paraId="0AAC2BCF" w14:textId="77777777" w:rsidR="003A59F0" w:rsidRPr="005E3885" w:rsidRDefault="003A59F0" w:rsidP="001531B6">
            <w:pPr>
              <w:jc w:val="center"/>
              <w:rPr>
                <w:sz w:val="20"/>
              </w:rPr>
            </w:pPr>
            <w:r w:rsidRPr="005E3885">
              <w:rPr>
                <w:sz w:val="20"/>
              </w:rPr>
              <w:t>x</w:t>
            </w:r>
          </w:p>
        </w:tc>
        <w:tc>
          <w:tcPr>
            <w:tcW w:w="580" w:type="dxa"/>
            <w:shd w:val="clear" w:color="auto" w:fill="auto"/>
          </w:tcPr>
          <w:p w14:paraId="0A194BD7" w14:textId="77777777" w:rsidR="003A59F0" w:rsidRPr="005E3885" w:rsidRDefault="003A59F0" w:rsidP="001531B6">
            <w:pPr>
              <w:jc w:val="center"/>
              <w:rPr>
                <w:sz w:val="20"/>
              </w:rPr>
            </w:pPr>
            <w:r w:rsidRPr="005E3885">
              <w:rPr>
                <w:sz w:val="20"/>
              </w:rPr>
              <w:t>x</w:t>
            </w:r>
          </w:p>
        </w:tc>
        <w:tc>
          <w:tcPr>
            <w:tcW w:w="2837" w:type="dxa"/>
          </w:tcPr>
          <w:p w14:paraId="077F2DF5" w14:textId="77777777" w:rsidR="003A59F0" w:rsidRPr="005E3885" w:rsidRDefault="003A59F0" w:rsidP="001531B6">
            <w:pPr>
              <w:rPr>
                <w:sz w:val="20"/>
              </w:rPr>
            </w:pPr>
          </w:p>
        </w:tc>
      </w:tr>
      <w:tr w:rsidR="003A59F0" w:rsidRPr="005E3885" w14:paraId="54B5D63A" w14:textId="77777777" w:rsidTr="001531B6">
        <w:tc>
          <w:tcPr>
            <w:tcW w:w="3339" w:type="dxa"/>
          </w:tcPr>
          <w:p w14:paraId="2BA899F2" w14:textId="77777777" w:rsidR="003A59F0" w:rsidRPr="005E3885" w:rsidRDefault="003A59F0" w:rsidP="001531B6">
            <w:pPr>
              <w:rPr>
                <w:sz w:val="20"/>
              </w:rPr>
            </w:pPr>
            <w:r w:rsidRPr="005E3885">
              <w:rPr>
                <w:sz w:val="20"/>
              </w:rPr>
              <w:t>Preface to IFL</w:t>
            </w:r>
          </w:p>
        </w:tc>
        <w:tc>
          <w:tcPr>
            <w:tcW w:w="577" w:type="dxa"/>
            <w:shd w:val="clear" w:color="auto" w:fill="auto"/>
          </w:tcPr>
          <w:p w14:paraId="7E2691A2" w14:textId="77777777" w:rsidR="003A59F0" w:rsidRPr="005E3885" w:rsidRDefault="003A59F0" w:rsidP="001531B6">
            <w:pPr>
              <w:jc w:val="center"/>
              <w:rPr>
                <w:sz w:val="20"/>
              </w:rPr>
            </w:pPr>
            <w:r w:rsidRPr="005E3885">
              <w:rPr>
                <w:sz w:val="20"/>
              </w:rPr>
              <w:t>x</w:t>
            </w:r>
          </w:p>
        </w:tc>
        <w:tc>
          <w:tcPr>
            <w:tcW w:w="580" w:type="dxa"/>
            <w:shd w:val="clear" w:color="auto" w:fill="auto"/>
          </w:tcPr>
          <w:p w14:paraId="28ADE0F3" w14:textId="77777777" w:rsidR="003A59F0" w:rsidRPr="005E3885" w:rsidRDefault="003A59F0" w:rsidP="001531B6">
            <w:pPr>
              <w:jc w:val="center"/>
              <w:rPr>
                <w:sz w:val="20"/>
              </w:rPr>
            </w:pPr>
            <w:r w:rsidRPr="005E3885">
              <w:rPr>
                <w:sz w:val="20"/>
              </w:rPr>
              <w:t>x</w:t>
            </w:r>
          </w:p>
        </w:tc>
        <w:tc>
          <w:tcPr>
            <w:tcW w:w="580" w:type="dxa"/>
            <w:shd w:val="clear" w:color="auto" w:fill="auto"/>
          </w:tcPr>
          <w:p w14:paraId="319B8FBD" w14:textId="77777777" w:rsidR="003A59F0" w:rsidRPr="005E3885" w:rsidRDefault="003A59F0" w:rsidP="001531B6">
            <w:pPr>
              <w:jc w:val="center"/>
              <w:rPr>
                <w:sz w:val="20"/>
              </w:rPr>
            </w:pPr>
            <w:r w:rsidRPr="005E3885">
              <w:rPr>
                <w:sz w:val="20"/>
              </w:rPr>
              <w:t>x</w:t>
            </w:r>
          </w:p>
        </w:tc>
        <w:tc>
          <w:tcPr>
            <w:tcW w:w="572" w:type="dxa"/>
            <w:shd w:val="clear" w:color="auto" w:fill="auto"/>
          </w:tcPr>
          <w:p w14:paraId="37E607BF" w14:textId="77777777" w:rsidR="003A59F0" w:rsidRPr="005E3885" w:rsidRDefault="003A59F0" w:rsidP="001531B6">
            <w:pPr>
              <w:jc w:val="center"/>
              <w:rPr>
                <w:sz w:val="20"/>
              </w:rPr>
            </w:pPr>
            <w:r w:rsidRPr="005E3885">
              <w:rPr>
                <w:sz w:val="20"/>
              </w:rPr>
              <w:t>x</w:t>
            </w:r>
          </w:p>
        </w:tc>
        <w:tc>
          <w:tcPr>
            <w:tcW w:w="574" w:type="dxa"/>
            <w:shd w:val="clear" w:color="auto" w:fill="auto"/>
          </w:tcPr>
          <w:p w14:paraId="0EC40C2C" w14:textId="77777777" w:rsidR="003A59F0" w:rsidRPr="005E3885" w:rsidRDefault="003A59F0" w:rsidP="001531B6">
            <w:pPr>
              <w:jc w:val="center"/>
              <w:rPr>
                <w:sz w:val="20"/>
              </w:rPr>
            </w:pPr>
            <w:r w:rsidRPr="005E3885">
              <w:rPr>
                <w:sz w:val="20"/>
              </w:rPr>
              <w:t>x</w:t>
            </w:r>
          </w:p>
        </w:tc>
        <w:tc>
          <w:tcPr>
            <w:tcW w:w="580" w:type="dxa"/>
            <w:shd w:val="clear" w:color="auto" w:fill="auto"/>
          </w:tcPr>
          <w:p w14:paraId="1213A909" w14:textId="77777777" w:rsidR="003A59F0" w:rsidRPr="005E3885" w:rsidRDefault="003A59F0" w:rsidP="001531B6">
            <w:pPr>
              <w:jc w:val="center"/>
              <w:rPr>
                <w:sz w:val="20"/>
              </w:rPr>
            </w:pPr>
            <w:r w:rsidRPr="005E3885">
              <w:rPr>
                <w:sz w:val="20"/>
              </w:rPr>
              <w:t>x</w:t>
            </w:r>
          </w:p>
        </w:tc>
        <w:tc>
          <w:tcPr>
            <w:tcW w:w="2837" w:type="dxa"/>
          </w:tcPr>
          <w:p w14:paraId="174888D3" w14:textId="77777777" w:rsidR="003A59F0" w:rsidRPr="005E3885" w:rsidRDefault="003A59F0" w:rsidP="001531B6">
            <w:pPr>
              <w:rPr>
                <w:sz w:val="20"/>
              </w:rPr>
            </w:pPr>
          </w:p>
        </w:tc>
      </w:tr>
      <w:tr w:rsidR="003A59F0" w:rsidRPr="005E3885" w14:paraId="69815511" w14:textId="77777777" w:rsidTr="001531B6">
        <w:tc>
          <w:tcPr>
            <w:tcW w:w="3339" w:type="dxa"/>
          </w:tcPr>
          <w:p w14:paraId="5EE84529" w14:textId="77777777" w:rsidR="003A59F0" w:rsidRPr="005E3885" w:rsidRDefault="003A59F0" w:rsidP="001531B6">
            <w:pPr>
              <w:rPr>
                <w:sz w:val="20"/>
              </w:rPr>
            </w:pPr>
            <w:r w:rsidRPr="005E3885">
              <w:rPr>
                <w:sz w:val="20"/>
              </w:rPr>
              <w:t>Rules of Procedure</w:t>
            </w:r>
          </w:p>
        </w:tc>
        <w:tc>
          <w:tcPr>
            <w:tcW w:w="577" w:type="dxa"/>
            <w:shd w:val="clear" w:color="auto" w:fill="auto"/>
          </w:tcPr>
          <w:p w14:paraId="0FB22AC9" w14:textId="77777777" w:rsidR="003A59F0" w:rsidRPr="005E3885" w:rsidRDefault="003A59F0" w:rsidP="001531B6">
            <w:pPr>
              <w:jc w:val="center"/>
              <w:rPr>
                <w:sz w:val="20"/>
              </w:rPr>
            </w:pPr>
            <w:r w:rsidRPr="005E3885">
              <w:rPr>
                <w:sz w:val="20"/>
              </w:rPr>
              <w:t>x</w:t>
            </w:r>
          </w:p>
        </w:tc>
        <w:tc>
          <w:tcPr>
            <w:tcW w:w="580" w:type="dxa"/>
            <w:shd w:val="clear" w:color="auto" w:fill="auto"/>
          </w:tcPr>
          <w:p w14:paraId="41202248" w14:textId="77777777" w:rsidR="003A59F0" w:rsidRPr="005E3885" w:rsidRDefault="003A59F0" w:rsidP="001531B6">
            <w:pPr>
              <w:jc w:val="center"/>
              <w:rPr>
                <w:sz w:val="20"/>
              </w:rPr>
            </w:pPr>
            <w:r w:rsidRPr="005E3885">
              <w:rPr>
                <w:sz w:val="20"/>
              </w:rPr>
              <w:t>x</w:t>
            </w:r>
          </w:p>
        </w:tc>
        <w:tc>
          <w:tcPr>
            <w:tcW w:w="580" w:type="dxa"/>
            <w:shd w:val="clear" w:color="auto" w:fill="auto"/>
          </w:tcPr>
          <w:p w14:paraId="08D00604" w14:textId="77777777" w:rsidR="003A59F0" w:rsidRPr="005E3885" w:rsidRDefault="003A59F0" w:rsidP="001531B6">
            <w:pPr>
              <w:jc w:val="center"/>
              <w:rPr>
                <w:sz w:val="20"/>
              </w:rPr>
            </w:pPr>
            <w:r w:rsidRPr="005E3885">
              <w:rPr>
                <w:sz w:val="20"/>
              </w:rPr>
              <w:t>x</w:t>
            </w:r>
          </w:p>
        </w:tc>
        <w:tc>
          <w:tcPr>
            <w:tcW w:w="572" w:type="dxa"/>
            <w:shd w:val="clear" w:color="auto" w:fill="auto"/>
          </w:tcPr>
          <w:p w14:paraId="2F838379" w14:textId="77777777" w:rsidR="003A59F0" w:rsidRPr="005E3885" w:rsidRDefault="003A59F0" w:rsidP="001531B6">
            <w:pPr>
              <w:jc w:val="center"/>
              <w:rPr>
                <w:sz w:val="20"/>
              </w:rPr>
            </w:pPr>
            <w:r w:rsidRPr="005E3885">
              <w:rPr>
                <w:sz w:val="20"/>
              </w:rPr>
              <w:t>x</w:t>
            </w:r>
          </w:p>
        </w:tc>
        <w:tc>
          <w:tcPr>
            <w:tcW w:w="574" w:type="dxa"/>
            <w:shd w:val="clear" w:color="auto" w:fill="auto"/>
          </w:tcPr>
          <w:p w14:paraId="63577F63" w14:textId="77777777" w:rsidR="003A59F0" w:rsidRPr="005E3885" w:rsidRDefault="003A59F0" w:rsidP="001531B6">
            <w:pPr>
              <w:jc w:val="center"/>
              <w:rPr>
                <w:sz w:val="20"/>
              </w:rPr>
            </w:pPr>
            <w:r w:rsidRPr="005E3885">
              <w:rPr>
                <w:sz w:val="20"/>
              </w:rPr>
              <w:t>x</w:t>
            </w:r>
          </w:p>
        </w:tc>
        <w:tc>
          <w:tcPr>
            <w:tcW w:w="580" w:type="dxa"/>
            <w:shd w:val="clear" w:color="auto" w:fill="auto"/>
          </w:tcPr>
          <w:p w14:paraId="2EBEEF47" w14:textId="77777777" w:rsidR="003A59F0" w:rsidRPr="005E3885" w:rsidRDefault="003A59F0" w:rsidP="001531B6">
            <w:pPr>
              <w:jc w:val="center"/>
              <w:rPr>
                <w:sz w:val="20"/>
              </w:rPr>
            </w:pPr>
            <w:r w:rsidRPr="005E3885">
              <w:rPr>
                <w:sz w:val="20"/>
              </w:rPr>
              <w:t>x</w:t>
            </w:r>
          </w:p>
        </w:tc>
        <w:tc>
          <w:tcPr>
            <w:tcW w:w="2837" w:type="dxa"/>
          </w:tcPr>
          <w:p w14:paraId="6DEE495D" w14:textId="77777777" w:rsidR="003A59F0" w:rsidRPr="005E3885" w:rsidRDefault="003A59F0" w:rsidP="001531B6">
            <w:pPr>
              <w:rPr>
                <w:sz w:val="20"/>
              </w:rPr>
            </w:pPr>
          </w:p>
        </w:tc>
      </w:tr>
      <w:tr w:rsidR="003A59F0" w:rsidRPr="005E3885" w14:paraId="5E6A9264" w14:textId="77777777" w:rsidTr="001531B6">
        <w:tc>
          <w:tcPr>
            <w:tcW w:w="3339" w:type="dxa"/>
          </w:tcPr>
          <w:p w14:paraId="21A956C0" w14:textId="77777777" w:rsidR="003A59F0" w:rsidRPr="005E3885" w:rsidRDefault="003A59F0" w:rsidP="001531B6">
            <w:pPr>
              <w:rPr>
                <w:sz w:val="20"/>
              </w:rPr>
            </w:pPr>
            <w:r w:rsidRPr="005E3885">
              <w:rPr>
                <w:sz w:val="20"/>
              </w:rPr>
              <w:t>Final Acts (definitive)</w:t>
            </w:r>
          </w:p>
        </w:tc>
        <w:tc>
          <w:tcPr>
            <w:tcW w:w="577" w:type="dxa"/>
            <w:shd w:val="clear" w:color="auto" w:fill="auto"/>
          </w:tcPr>
          <w:p w14:paraId="7871DAF7" w14:textId="77777777" w:rsidR="003A59F0" w:rsidRPr="005E3885" w:rsidRDefault="003A59F0" w:rsidP="001531B6">
            <w:pPr>
              <w:jc w:val="center"/>
              <w:rPr>
                <w:sz w:val="20"/>
              </w:rPr>
            </w:pPr>
            <w:r w:rsidRPr="005E3885">
              <w:rPr>
                <w:sz w:val="20"/>
              </w:rPr>
              <w:t>x</w:t>
            </w:r>
          </w:p>
        </w:tc>
        <w:tc>
          <w:tcPr>
            <w:tcW w:w="580" w:type="dxa"/>
            <w:shd w:val="clear" w:color="auto" w:fill="auto"/>
          </w:tcPr>
          <w:p w14:paraId="42EA200E" w14:textId="77777777" w:rsidR="003A59F0" w:rsidRPr="005E3885" w:rsidRDefault="003A59F0" w:rsidP="001531B6">
            <w:pPr>
              <w:jc w:val="center"/>
              <w:rPr>
                <w:sz w:val="20"/>
              </w:rPr>
            </w:pPr>
            <w:r w:rsidRPr="005E3885">
              <w:rPr>
                <w:sz w:val="20"/>
              </w:rPr>
              <w:t>x</w:t>
            </w:r>
          </w:p>
        </w:tc>
        <w:tc>
          <w:tcPr>
            <w:tcW w:w="580" w:type="dxa"/>
            <w:shd w:val="clear" w:color="auto" w:fill="auto"/>
          </w:tcPr>
          <w:p w14:paraId="2ADC8956" w14:textId="77777777" w:rsidR="003A59F0" w:rsidRPr="005E3885" w:rsidRDefault="003A59F0" w:rsidP="001531B6">
            <w:pPr>
              <w:jc w:val="center"/>
              <w:rPr>
                <w:sz w:val="20"/>
              </w:rPr>
            </w:pPr>
            <w:r w:rsidRPr="005E3885">
              <w:rPr>
                <w:sz w:val="20"/>
              </w:rPr>
              <w:t>x</w:t>
            </w:r>
          </w:p>
        </w:tc>
        <w:tc>
          <w:tcPr>
            <w:tcW w:w="572" w:type="dxa"/>
            <w:shd w:val="clear" w:color="auto" w:fill="auto"/>
          </w:tcPr>
          <w:p w14:paraId="698D7052" w14:textId="77777777" w:rsidR="003A59F0" w:rsidRPr="005E3885" w:rsidRDefault="003A59F0" w:rsidP="001531B6">
            <w:pPr>
              <w:jc w:val="center"/>
              <w:rPr>
                <w:sz w:val="20"/>
              </w:rPr>
            </w:pPr>
            <w:r w:rsidRPr="005E3885">
              <w:rPr>
                <w:sz w:val="20"/>
              </w:rPr>
              <w:t>x</w:t>
            </w:r>
          </w:p>
        </w:tc>
        <w:tc>
          <w:tcPr>
            <w:tcW w:w="574" w:type="dxa"/>
            <w:shd w:val="clear" w:color="auto" w:fill="auto"/>
          </w:tcPr>
          <w:p w14:paraId="721AEFF3" w14:textId="77777777" w:rsidR="003A59F0" w:rsidRPr="005E3885" w:rsidRDefault="003A59F0" w:rsidP="001531B6">
            <w:pPr>
              <w:jc w:val="center"/>
              <w:rPr>
                <w:sz w:val="20"/>
              </w:rPr>
            </w:pPr>
            <w:r w:rsidRPr="005E3885">
              <w:rPr>
                <w:sz w:val="20"/>
              </w:rPr>
              <w:t>x</w:t>
            </w:r>
          </w:p>
        </w:tc>
        <w:tc>
          <w:tcPr>
            <w:tcW w:w="580" w:type="dxa"/>
            <w:shd w:val="clear" w:color="auto" w:fill="auto"/>
          </w:tcPr>
          <w:p w14:paraId="0E742847" w14:textId="77777777" w:rsidR="003A59F0" w:rsidRPr="005E3885" w:rsidRDefault="003A59F0" w:rsidP="001531B6">
            <w:pPr>
              <w:jc w:val="center"/>
              <w:rPr>
                <w:sz w:val="20"/>
              </w:rPr>
            </w:pPr>
            <w:r w:rsidRPr="005E3885">
              <w:rPr>
                <w:sz w:val="20"/>
              </w:rPr>
              <w:t>x</w:t>
            </w:r>
          </w:p>
        </w:tc>
        <w:tc>
          <w:tcPr>
            <w:tcW w:w="2837" w:type="dxa"/>
          </w:tcPr>
          <w:p w14:paraId="1939EDF5" w14:textId="77777777" w:rsidR="003A59F0" w:rsidRPr="005E3885" w:rsidRDefault="003A59F0" w:rsidP="001531B6">
            <w:pPr>
              <w:rPr>
                <w:sz w:val="20"/>
              </w:rPr>
            </w:pPr>
          </w:p>
        </w:tc>
      </w:tr>
      <w:tr w:rsidR="003A59F0" w:rsidRPr="005E3885" w14:paraId="0EE2D28C" w14:textId="77777777" w:rsidTr="001531B6">
        <w:tc>
          <w:tcPr>
            <w:tcW w:w="3339" w:type="dxa"/>
          </w:tcPr>
          <w:p w14:paraId="397EDD9F" w14:textId="77777777" w:rsidR="003A59F0" w:rsidRPr="005E3885" w:rsidRDefault="003A59F0" w:rsidP="001531B6">
            <w:pPr>
              <w:rPr>
                <w:sz w:val="20"/>
              </w:rPr>
            </w:pPr>
            <w:r w:rsidRPr="005E3885">
              <w:rPr>
                <w:sz w:val="20"/>
              </w:rPr>
              <w:t>HFBC schedule</w:t>
            </w:r>
          </w:p>
        </w:tc>
        <w:tc>
          <w:tcPr>
            <w:tcW w:w="577" w:type="dxa"/>
            <w:shd w:val="clear" w:color="auto" w:fill="auto"/>
          </w:tcPr>
          <w:p w14:paraId="5308E7B0" w14:textId="77777777" w:rsidR="003A59F0" w:rsidRPr="005E3885" w:rsidRDefault="003A59F0" w:rsidP="001531B6">
            <w:pPr>
              <w:jc w:val="center"/>
              <w:rPr>
                <w:sz w:val="20"/>
              </w:rPr>
            </w:pPr>
            <w:r w:rsidRPr="005E3885">
              <w:rPr>
                <w:sz w:val="20"/>
              </w:rPr>
              <w:t>x</w:t>
            </w:r>
          </w:p>
        </w:tc>
        <w:tc>
          <w:tcPr>
            <w:tcW w:w="580" w:type="dxa"/>
            <w:shd w:val="clear" w:color="auto" w:fill="auto"/>
          </w:tcPr>
          <w:p w14:paraId="17AD3D5B" w14:textId="77777777" w:rsidR="003A59F0" w:rsidRPr="005E3885" w:rsidRDefault="003A59F0" w:rsidP="001531B6">
            <w:pPr>
              <w:jc w:val="center"/>
              <w:rPr>
                <w:sz w:val="20"/>
              </w:rPr>
            </w:pPr>
          </w:p>
        </w:tc>
        <w:tc>
          <w:tcPr>
            <w:tcW w:w="580" w:type="dxa"/>
            <w:shd w:val="clear" w:color="auto" w:fill="auto"/>
          </w:tcPr>
          <w:p w14:paraId="6C178D8B" w14:textId="77777777" w:rsidR="003A59F0" w:rsidRPr="005E3885" w:rsidRDefault="003A59F0" w:rsidP="001531B6">
            <w:pPr>
              <w:jc w:val="center"/>
              <w:rPr>
                <w:sz w:val="20"/>
              </w:rPr>
            </w:pPr>
          </w:p>
        </w:tc>
        <w:tc>
          <w:tcPr>
            <w:tcW w:w="572" w:type="dxa"/>
            <w:shd w:val="clear" w:color="auto" w:fill="auto"/>
          </w:tcPr>
          <w:p w14:paraId="5E9E0442" w14:textId="77777777" w:rsidR="003A59F0" w:rsidRPr="005E3885" w:rsidRDefault="003A59F0" w:rsidP="001531B6">
            <w:pPr>
              <w:jc w:val="center"/>
              <w:rPr>
                <w:sz w:val="20"/>
              </w:rPr>
            </w:pPr>
            <w:r w:rsidRPr="005E3885">
              <w:rPr>
                <w:sz w:val="20"/>
              </w:rPr>
              <w:t>x</w:t>
            </w:r>
          </w:p>
        </w:tc>
        <w:tc>
          <w:tcPr>
            <w:tcW w:w="574" w:type="dxa"/>
            <w:shd w:val="clear" w:color="auto" w:fill="auto"/>
          </w:tcPr>
          <w:p w14:paraId="6F162E11" w14:textId="77777777" w:rsidR="003A59F0" w:rsidRPr="005E3885" w:rsidRDefault="003A59F0" w:rsidP="001531B6">
            <w:pPr>
              <w:jc w:val="center"/>
              <w:rPr>
                <w:sz w:val="20"/>
              </w:rPr>
            </w:pPr>
            <w:r w:rsidRPr="005E3885">
              <w:rPr>
                <w:sz w:val="20"/>
              </w:rPr>
              <w:t>x</w:t>
            </w:r>
          </w:p>
        </w:tc>
        <w:tc>
          <w:tcPr>
            <w:tcW w:w="580" w:type="dxa"/>
            <w:shd w:val="clear" w:color="auto" w:fill="auto"/>
          </w:tcPr>
          <w:p w14:paraId="40F23710" w14:textId="77777777" w:rsidR="003A59F0" w:rsidRPr="005E3885" w:rsidRDefault="003A59F0" w:rsidP="001531B6">
            <w:pPr>
              <w:jc w:val="center"/>
              <w:rPr>
                <w:sz w:val="20"/>
              </w:rPr>
            </w:pPr>
          </w:p>
        </w:tc>
        <w:tc>
          <w:tcPr>
            <w:tcW w:w="2837" w:type="dxa"/>
          </w:tcPr>
          <w:p w14:paraId="27374871" w14:textId="77777777" w:rsidR="003A59F0" w:rsidRPr="005E3885" w:rsidRDefault="003A59F0" w:rsidP="001531B6">
            <w:pPr>
              <w:rPr>
                <w:sz w:val="20"/>
              </w:rPr>
            </w:pPr>
          </w:p>
        </w:tc>
      </w:tr>
      <w:tr w:rsidR="003A59F0" w:rsidRPr="005E3885" w14:paraId="4D488633" w14:textId="77777777" w:rsidTr="001531B6">
        <w:tc>
          <w:tcPr>
            <w:tcW w:w="3339" w:type="dxa"/>
          </w:tcPr>
          <w:p w14:paraId="2EB400E1" w14:textId="77777777" w:rsidR="003A59F0" w:rsidRPr="005E3885" w:rsidRDefault="003A59F0" w:rsidP="001531B6">
            <w:pPr>
              <w:rPr>
                <w:sz w:val="20"/>
              </w:rPr>
            </w:pPr>
            <w:r w:rsidRPr="005E3885">
              <w:rPr>
                <w:sz w:val="20"/>
                <w:lang w:val="en-US"/>
              </w:rPr>
              <w:t>Maritime Manual</w:t>
            </w:r>
          </w:p>
        </w:tc>
        <w:tc>
          <w:tcPr>
            <w:tcW w:w="577" w:type="dxa"/>
            <w:shd w:val="clear" w:color="auto" w:fill="auto"/>
          </w:tcPr>
          <w:p w14:paraId="4A927E2C" w14:textId="77777777" w:rsidR="003A59F0" w:rsidRPr="005E3885" w:rsidRDefault="003A59F0" w:rsidP="001531B6">
            <w:pPr>
              <w:jc w:val="center"/>
              <w:rPr>
                <w:sz w:val="20"/>
              </w:rPr>
            </w:pPr>
            <w:r w:rsidRPr="005E3885">
              <w:rPr>
                <w:sz w:val="20"/>
              </w:rPr>
              <w:t>x</w:t>
            </w:r>
          </w:p>
        </w:tc>
        <w:tc>
          <w:tcPr>
            <w:tcW w:w="580" w:type="dxa"/>
            <w:shd w:val="clear" w:color="auto" w:fill="auto"/>
          </w:tcPr>
          <w:p w14:paraId="70FF2DEE" w14:textId="77777777" w:rsidR="003A59F0" w:rsidRPr="005E3885" w:rsidRDefault="003A59F0" w:rsidP="001531B6">
            <w:pPr>
              <w:jc w:val="center"/>
              <w:rPr>
                <w:sz w:val="20"/>
              </w:rPr>
            </w:pPr>
            <w:r w:rsidRPr="005E3885">
              <w:rPr>
                <w:sz w:val="20"/>
              </w:rPr>
              <w:t>x</w:t>
            </w:r>
          </w:p>
        </w:tc>
        <w:tc>
          <w:tcPr>
            <w:tcW w:w="580" w:type="dxa"/>
            <w:shd w:val="clear" w:color="auto" w:fill="auto"/>
          </w:tcPr>
          <w:p w14:paraId="0891FC66" w14:textId="77777777" w:rsidR="003A59F0" w:rsidRPr="005E3885" w:rsidRDefault="003A59F0" w:rsidP="001531B6">
            <w:pPr>
              <w:jc w:val="center"/>
              <w:rPr>
                <w:sz w:val="20"/>
              </w:rPr>
            </w:pPr>
            <w:r w:rsidRPr="005E3885">
              <w:rPr>
                <w:sz w:val="20"/>
              </w:rPr>
              <w:t>x</w:t>
            </w:r>
          </w:p>
        </w:tc>
        <w:tc>
          <w:tcPr>
            <w:tcW w:w="572" w:type="dxa"/>
            <w:shd w:val="clear" w:color="auto" w:fill="auto"/>
          </w:tcPr>
          <w:p w14:paraId="638C8F1F" w14:textId="77777777" w:rsidR="003A59F0" w:rsidRPr="005E3885" w:rsidRDefault="003A59F0" w:rsidP="001531B6">
            <w:pPr>
              <w:jc w:val="center"/>
              <w:rPr>
                <w:sz w:val="20"/>
              </w:rPr>
            </w:pPr>
            <w:r w:rsidRPr="005E3885">
              <w:rPr>
                <w:sz w:val="20"/>
              </w:rPr>
              <w:t>x</w:t>
            </w:r>
          </w:p>
        </w:tc>
        <w:tc>
          <w:tcPr>
            <w:tcW w:w="574" w:type="dxa"/>
            <w:shd w:val="clear" w:color="auto" w:fill="auto"/>
          </w:tcPr>
          <w:p w14:paraId="225B8FB3" w14:textId="77777777" w:rsidR="003A59F0" w:rsidRPr="005E3885" w:rsidRDefault="003A59F0" w:rsidP="001531B6">
            <w:pPr>
              <w:jc w:val="center"/>
              <w:rPr>
                <w:sz w:val="20"/>
              </w:rPr>
            </w:pPr>
            <w:r w:rsidRPr="005E3885">
              <w:rPr>
                <w:sz w:val="20"/>
              </w:rPr>
              <w:t>x</w:t>
            </w:r>
          </w:p>
        </w:tc>
        <w:tc>
          <w:tcPr>
            <w:tcW w:w="580" w:type="dxa"/>
            <w:shd w:val="clear" w:color="auto" w:fill="auto"/>
          </w:tcPr>
          <w:p w14:paraId="2DA48E09" w14:textId="77777777" w:rsidR="003A59F0" w:rsidRPr="005E3885" w:rsidRDefault="003A59F0" w:rsidP="001531B6">
            <w:pPr>
              <w:jc w:val="center"/>
              <w:rPr>
                <w:sz w:val="20"/>
              </w:rPr>
            </w:pPr>
            <w:r w:rsidRPr="005E3885">
              <w:rPr>
                <w:sz w:val="20"/>
              </w:rPr>
              <w:t>x</w:t>
            </w:r>
          </w:p>
        </w:tc>
        <w:tc>
          <w:tcPr>
            <w:tcW w:w="2837" w:type="dxa"/>
          </w:tcPr>
          <w:p w14:paraId="1CE9B81A" w14:textId="77777777" w:rsidR="003A59F0" w:rsidRPr="005E3885" w:rsidRDefault="003A59F0" w:rsidP="001531B6">
            <w:pPr>
              <w:rPr>
                <w:sz w:val="20"/>
              </w:rPr>
            </w:pPr>
          </w:p>
        </w:tc>
      </w:tr>
      <w:tr w:rsidR="003A59F0" w:rsidRPr="005E3885" w14:paraId="4AE57F49" w14:textId="77777777" w:rsidTr="001531B6">
        <w:tc>
          <w:tcPr>
            <w:tcW w:w="3339" w:type="dxa"/>
          </w:tcPr>
          <w:p w14:paraId="72513AAD" w14:textId="77777777" w:rsidR="003A59F0" w:rsidRPr="005E3885" w:rsidRDefault="003A59F0" w:rsidP="001531B6">
            <w:pPr>
              <w:rPr>
                <w:sz w:val="20"/>
              </w:rPr>
            </w:pPr>
            <w:r w:rsidRPr="005E3885">
              <w:rPr>
                <w:sz w:val="20"/>
              </w:rPr>
              <w:t>Service publications (maritime)</w:t>
            </w:r>
          </w:p>
        </w:tc>
        <w:tc>
          <w:tcPr>
            <w:tcW w:w="577" w:type="dxa"/>
            <w:shd w:val="clear" w:color="auto" w:fill="auto"/>
          </w:tcPr>
          <w:p w14:paraId="3144EB1F" w14:textId="77777777" w:rsidR="003A59F0" w:rsidRPr="005E3885" w:rsidRDefault="003A59F0" w:rsidP="001531B6">
            <w:pPr>
              <w:jc w:val="center"/>
              <w:rPr>
                <w:sz w:val="20"/>
              </w:rPr>
            </w:pPr>
            <w:r w:rsidRPr="005E3885">
              <w:rPr>
                <w:sz w:val="20"/>
              </w:rPr>
              <w:t>x</w:t>
            </w:r>
          </w:p>
        </w:tc>
        <w:tc>
          <w:tcPr>
            <w:tcW w:w="580" w:type="dxa"/>
            <w:shd w:val="clear" w:color="auto" w:fill="auto"/>
          </w:tcPr>
          <w:p w14:paraId="3BFCC9DF" w14:textId="77777777" w:rsidR="003A59F0" w:rsidRPr="005E3885" w:rsidRDefault="003A59F0" w:rsidP="001531B6">
            <w:pPr>
              <w:jc w:val="center"/>
              <w:rPr>
                <w:sz w:val="20"/>
              </w:rPr>
            </w:pPr>
            <w:r w:rsidRPr="005E3885">
              <w:rPr>
                <w:sz w:val="20"/>
              </w:rPr>
              <w:t>x</w:t>
            </w:r>
          </w:p>
        </w:tc>
        <w:tc>
          <w:tcPr>
            <w:tcW w:w="580" w:type="dxa"/>
            <w:shd w:val="clear" w:color="auto" w:fill="auto"/>
          </w:tcPr>
          <w:p w14:paraId="6BD94008" w14:textId="77777777" w:rsidR="003A59F0" w:rsidRPr="005E3885" w:rsidRDefault="003A59F0" w:rsidP="001531B6">
            <w:pPr>
              <w:jc w:val="center"/>
              <w:rPr>
                <w:sz w:val="20"/>
              </w:rPr>
            </w:pPr>
            <w:r w:rsidRPr="005E3885">
              <w:rPr>
                <w:sz w:val="20"/>
              </w:rPr>
              <w:t>x</w:t>
            </w:r>
          </w:p>
        </w:tc>
        <w:tc>
          <w:tcPr>
            <w:tcW w:w="572" w:type="dxa"/>
            <w:shd w:val="clear" w:color="auto" w:fill="auto"/>
          </w:tcPr>
          <w:p w14:paraId="087A72D0" w14:textId="77777777" w:rsidR="003A59F0" w:rsidRPr="005E3885" w:rsidRDefault="003A59F0" w:rsidP="001531B6">
            <w:pPr>
              <w:jc w:val="center"/>
              <w:rPr>
                <w:sz w:val="20"/>
              </w:rPr>
            </w:pPr>
            <w:r w:rsidRPr="005E3885">
              <w:rPr>
                <w:sz w:val="20"/>
              </w:rPr>
              <w:t>x</w:t>
            </w:r>
          </w:p>
        </w:tc>
        <w:tc>
          <w:tcPr>
            <w:tcW w:w="574" w:type="dxa"/>
            <w:shd w:val="clear" w:color="auto" w:fill="auto"/>
          </w:tcPr>
          <w:p w14:paraId="5C934B6F" w14:textId="77777777" w:rsidR="003A59F0" w:rsidRPr="005E3885" w:rsidRDefault="003A59F0" w:rsidP="001531B6">
            <w:pPr>
              <w:jc w:val="center"/>
              <w:rPr>
                <w:sz w:val="20"/>
              </w:rPr>
            </w:pPr>
            <w:r w:rsidRPr="005E3885">
              <w:rPr>
                <w:sz w:val="20"/>
              </w:rPr>
              <w:t>x</w:t>
            </w:r>
          </w:p>
        </w:tc>
        <w:tc>
          <w:tcPr>
            <w:tcW w:w="580" w:type="dxa"/>
            <w:shd w:val="clear" w:color="auto" w:fill="auto"/>
          </w:tcPr>
          <w:p w14:paraId="19C1D22B" w14:textId="77777777" w:rsidR="003A59F0" w:rsidRPr="005E3885" w:rsidRDefault="003A59F0" w:rsidP="001531B6">
            <w:pPr>
              <w:jc w:val="center"/>
              <w:rPr>
                <w:sz w:val="20"/>
              </w:rPr>
            </w:pPr>
            <w:r w:rsidRPr="005E3885">
              <w:rPr>
                <w:sz w:val="20"/>
              </w:rPr>
              <w:t>x</w:t>
            </w:r>
          </w:p>
        </w:tc>
        <w:tc>
          <w:tcPr>
            <w:tcW w:w="2837" w:type="dxa"/>
          </w:tcPr>
          <w:p w14:paraId="3BA8843A" w14:textId="77777777" w:rsidR="003A59F0" w:rsidRPr="005E3885" w:rsidRDefault="003A59F0" w:rsidP="001531B6">
            <w:pPr>
              <w:rPr>
                <w:sz w:val="20"/>
              </w:rPr>
            </w:pPr>
          </w:p>
        </w:tc>
      </w:tr>
      <w:tr w:rsidR="003A59F0" w:rsidRPr="005E3885" w14:paraId="02FBE5BC" w14:textId="77777777" w:rsidTr="001531B6">
        <w:tc>
          <w:tcPr>
            <w:tcW w:w="3339" w:type="dxa"/>
            <w:tcBorders>
              <w:bottom w:val="single" w:sz="4" w:space="0" w:color="auto"/>
            </w:tcBorders>
          </w:tcPr>
          <w:p w14:paraId="6150E1AB" w14:textId="77777777" w:rsidR="003A59F0" w:rsidRPr="005E3885" w:rsidRDefault="003A59F0" w:rsidP="001531B6">
            <w:pPr>
              <w:rPr>
                <w:sz w:val="20"/>
              </w:rPr>
            </w:pPr>
            <w:r w:rsidRPr="005E3885">
              <w:rPr>
                <w:sz w:val="20"/>
              </w:rPr>
              <w:t xml:space="preserve">Lists </w:t>
            </w:r>
          </w:p>
        </w:tc>
        <w:tc>
          <w:tcPr>
            <w:tcW w:w="577" w:type="dxa"/>
            <w:tcBorders>
              <w:bottom w:val="single" w:sz="4" w:space="0" w:color="auto"/>
            </w:tcBorders>
            <w:shd w:val="clear" w:color="auto" w:fill="auto"/>
          </w:tcPr>
          <w:p w14:paraId="76EE4844"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auto"/>
          </w:tcPr>
          <w:p w14:paraId="2E574F2B"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auto"/>
          </w:tcPr>
          <w:p w14:paraId="6684DED7" w14:textId="77777777" w:rsidR="003A59F0" w:rsidRPr="005E3885" w:rsidRDefault="003A59F0" w:rsidP="001531B6">
            <w:pPr>
              <w:jc w:val="center"/>
              <w:rPr>
                <w:sz w:val="20"/>
              </w:rPr>
            </w:pPr>
            <w:r w:rsidRPr="005E3885">
              <w:rPr>
                <w:sz w:val="20"/>
              </w:rPr>
              <w:t>x</w:t>
            </w:r>
          </w:p>
        </w:tc>
        <w:tc>
          <w:tcPr>
            <w:tcW w:w="572" w:type="dxa"/>
            <w:tcBorders>
              <w:bottom w:val="single" w:sz="4" w:space="0" w:color="auto"/>
            </w:tcBorders>
            <w:shd w:val="clear" w:color="auto" w:fill="auto"/>
          </w:tcPr>
          <w:p w14:paraId="1265BD1E" w14:textId="77777777" w:rsidR="003A59F0" w:rsidRPr="005E3885" w:rsidRDefault="003A59F0" w:rsidP="001531B6">
            <w:pPr>
              <w:jc w:val="center"/>
              <w:rPr>
                <w:sz w:val="20"/>
              </w:rPr>
            </w:pPr>
            <w:r w:rsidRPr="005E3885">
              <w:rPr>
                <w:sz w:val="20"/>
              </w:rPr>
              <w:t>x</w:t>
            </w:r>
          </w:p>
        </w:tc>
        <w:tc>
          <w:tcPr>
            <w:tcW w:w="574" w:type="dxa"/>
            <w:tcBorders>
              <w:bottom w:val="single" w:sz="4" w:space="0" w:color="auto"/>
            </w:tcBorders>
            <w:shd w:val="clear" w:color="auto" w:fill="auto"/>
          </w:tcPr>
          <w:p w14:paraId="6414E7A9" w14:textId="77777777" w:rsidR="003A59F0" w:rsidRPr="005E3885" w:rsidRDefault="003A59F0" w:rsidP="001531B6">
            <w:pPr>
              <w:jc w:val="center"/>
              <w:rPr>
                <w:sz w:val="20"/>
              </w:rPr>
            </w:pPr>
            <w:r w:rsidRPr="005E3885">
              <w:rPr>
                <w:sz w:val="20"/>
              </w:rPr>
              <w:t>x</w:t>
            </w:r>
          </w:p>
        </w:tc>
        <w:tc>
          <w:tcPr>
            <w:tcW w:w="580" w:type="dxa"/>
            <w:tcBorders>
              <w:bottom w:val="single" w:sz="4" w:space="0" w:color="auto"/>
            </w:tcBorders>
            <w:shd w:val="clear" w:color="auto" w:fill="auto"/>
          </w:tcPr>
          <w:p w14:paraId="11082E57" w14:textId="77777777" w:rsidR="003A59F0" w:rsidRPr="005E3885" w:rsidRDefault="003A59F0" w:rsidP="001531B6">
            <w:pPr>
              <w:jc w:val="center"/>
              <w:rPr>
                <w:sz w:val="20"/>
              </w:rPr>
            </w:pPr>
            <w:r w:rsidRPr="005E3885">
              <w:rPr>
                <w:sz w:val="20"/>
              </w:rPr>
              <w:t>x</w:t>
            </w:r>
          </w:p>
        </w:tc>
        <w:tc>
          <w:tcPr>
            <w:tcW w:w="2837" w:type="dxa"/>
            <w:tcBorders>
              <w:bottom w:val="single" w:sz="4" w:space="0" w:color="auto"/>
            </w:tcBorders>
          </w:tcPr>
          <w:p w14:paraId="01E68152" w14:textId="77777777" w:rsidR="003A59F0" w:rsidRPr="005E3885" w:rsidRDefault="003A59F0" w:rsidP="001531B6">
            <w:pPr>
              <w:rPr>
                <w:sz w:val="20"/>
              </w:rPr>
            </w:pPr>
          </w:p>
        </w:tc>
      </w:tr>
      <w:tr w:rsidR="003A59F0" w:rsidRPr="005E3885" w14:paraId="6FAC9C7B" w14:textId="77777777" w:rsidTr="001531B6">
        <w:tc>
          <w:tcPr>
            <w:tcW w:w="3339" w:type="dxa"/>
            <w:shd w:val="clear" w:color="auto" w:fill="99CCFF"/>
          </w:tcPr>
          <w:p w14:paraId="14A90098" w14:textId="77777777" w:rsidR="003A59F0" w:rsidRPr="005E3885" w:rsidRDefault="003A59F0" w:rsidP="001531B6">
            <w:pPr>
              <w:rPr>
                <w:b/>
                <w:bCs/>
                <w:sz w:val="20"/>
                <w:u w:val="single"/>
              </w:rPr>
            </w:pPr>
            <w:r w:rsidRPr="005E3885">
              <w:rPr>
                <w:b/>
                <w:bCs/>
                <w:sz w:val="20"/>
                <w:u w:val="single"/>
              </w:rPr>
              <w:t>8. Administrative documents</w:t>
            </w:r>
          </w:p>
        </w:tc>
        <w:tc>
          <w:tcPr>
            <w:tcW w:w="577" w:type="dxa"/>
            <w:shd w:val="clear" w:color="auto" w:fill="99CCFF"/>
          </w:tcPr>
          <w:p w14:paraId="32888089" w14:textId="77777777" w:rsidR="003A59F0" w:rsidRPr="005E3885" w:rsidRDefault="003A59F0" w:rsidP="001531B6">
            <w:pPr>
              <w:jc w:val="center"/>
              <w:rPr>
                <w:sz w:val="20"/>
              </w:rPr>
            </w:pPr>
          </w:p>
        </w:tc>
        <w:tc>
          <w:tcPr>
            <w:tcW w:w="580" w:type="dxa"/>
            <w:shd w:val="clear" w:color="auto" w:fill="99CCFF"/>
          </w:tcPr>
          <w:p w14:paraId="39B7D843" w14:textId="77777777" w:rsidR="003A59F0" w:rsidRPr="005E3885" w:rsidRDefault="003A59F0" w:rsidP="001531B6">
            <w:pPr>
              <w:jc w:val="center"/>
              <w:rPr>
                <w:sz w:val="20"/>
              </w:rPr>
            </w:pPr>
          </w:p>
        </w:tc>
        <w:tc>
          <w:tcPr>
            <w:tcW w:w="580" w:type="dxa"/>
            <w:shd w:val="clear" w:color="auto" w:fill="99CCFF"/>
          </w:tcPr>
          <w:p w14:paraId="5CF05775" w14:textId="77777777" w:rsidR="003A59F0" w:rsidRPr="005E3885" w:rsidRDefault="003A59F0" w:rsidP="001531B6">
            <w:pPr>
              <w:jc w:val="center"/>
              <w:rPr>
                <w:sz w:val="20"/>
              </w:rPr>
            </w:pPr>
          </w:p>
        </w:tc>
        <w:tc>
          <w:tcPr>
            <w:tcW w:w="572" w:type="dxa"/>
            <w:shd w:val="clear" w:color="auto" w:fill="99CCFF"/>
          </w:tcPr>
          <w:p w14:paraId="0B580A89" w14:textId="77777777" w:rsidR="003A59F0" w:rsidRPr="005E3885" w:rsidRDefault="003A59F0" w:rsidP="001531B6">
            <w:pPr>
              <w:jc w:val="center"/>
              <w:rPr>
                <w:sz w:val="20"/>
              </w:rPr>
            </w:pPr>
          </w:p>
        </w:tc>
        <w:tc>
          <w:tcPr>
            <w:tcW w:w="574" w:type="dxa"/>
            <w:shd w:val="clear" w:color="auto" w:fill="99CCFF"/>
          </w:tcPr>
          <w:p w14:paraId="4B98D3E1" w14:textId="77777777" w:rsidR="003A59F0" w:rsidRPr="005E3885" w:rsidRDefault="003A59F0" w:rsidP="001531B6">
            <w:pPr>
              <w:jc w:val="center"/>
              <w:rPr>
                <w:sz w:val="20"/>
              </w:rPr>
            </w:pPr>
          </w:p>
        </w:tc>
        <w:tc>
          <w:tcPr>
            <w:tcW w:w="580" w:type="dxa"/>
            <w:shd w:val="clear" w:color="auto" w:fill="99CCFF"/>
          </w:tcPr>
          <w:p w14:paraId="41053BB9" w14:textId="77777777" w:rsidR="003A59F0" w:rsidRPr="005E3885" w:rsidRDefault="003A59F0" w:rsidP="001531B6">
            <w:pPr>
              <w:jc w:val="center"/>
              <w:rPr>
                <w:sz w:val="20"/>
              </w:rPr>
            </w:pPr>
          </w:p>
        </w:tc>
        <w:tc>
          <w:tcPr>
            <w:tcW w:w="2837" w:type="dxa"/>
            <w:shd w:val="clear" w:color="auto" w:fill="99CCFF"/>
          </w:tcPr>
          <w:p w14:paraId="00D11203" w14:textId="77777777" w:rsidR="003A59F0" w:rsidRPr="005E3885" w:rsidRDefault="003A59F0" w:rsidP="001531B6">
            <w:pPr>
              <w:rPr>
                <w:sz w:val="20"/>
              </w:rPr>
            </w:pPr>
          </w:p>
        </w:tc>
      </w:tr>
      <w:tr w:rsidR="003A59F0" w:rsidRPr="005E3885" w14:paraId="27959A3A" w14:textId="77777777" w:rsidTr="001531B6">
        <w:tc>
          <w:tcPr>
            <w:tcW w:w="3339" w:type="dxa"/>
          </w:tcPr>
          <w:p w14:paraId="4BFC1F02" w14:textId="77777777" w:rsidR="003A59F0" w:rsidRPr="005E3885" w:rsidRDefault="003A59F0" w:rsidP="001531B6">
            <w:pPr>
              <w:rPr>
                <w:sz w:val="20"/>
              </w:rPr>
            </w:pPr>
            <w:r w:rsidRPr="005E3885">
              <w:rPr>
                <w:sz w:val="20"/>
              </w:rPr>
              <w:t xml:space="preserve">Circulars </w:t>
            </w:r>
          </w:p>
        </w:tc>
        <w:tc>
          <w:tcPr>
            <w:tcW w:w="577" w:type="dxa"/>
            <w:shd w:val="clear" w:color="auto" w:fill="auto"/>
          </w:tcPr>
          <w:p w14:paraId="223E6C91" w14:textId="77777777" w:rsidR="003A59F0" w:rsidRPr="005E3885" w:rsidRDefault="003A59F0" w:rsidP="001531B6">
            <w:pPr>
              <w:jc w:val="center"/>
              <w:rPr>
                <w:sz w:val="20"/>
              </w:rPr>
            </w:pPr>
            <w:r w:rsidRPr="005E3885">
              <w:rPr>
                <w:sz w:val="20"/>
              </w:rPr>
              <w:t>x</w:t>
            </w:r>
          </w:p>
        </w:tc>
        <w:tc>
          <w:tcPr>
            <w:tcW w:w="580" w:type="dxa"/>
            <w:shd w:val="clear" w:color="auto" w:fill="auto"/>
          </w:tcPr>
          <w:p w14:paraId="4FD7AC2D" w14:textId="77777777" w:rsidR="003A59F0" w:rsidRPr="005E3885" w:rsidRDefault="003A59F0" w:rsidP="001531B6">
            <w:pPr>
              <w:jc w:val="center"/>
              <w:rPr>
                <w:sz w:val="20"/>
              </w:rPr>
            </w:pPr>
            <w:r w:rsidRPr="005E3885">
              <w:rPr>
                <w:sz w:val="20"/>
              </w:rPr>
              <w:t>x</w:t>
            </w:r>
          </w:p>
        </w:tc>
        <w:tc>
          <w:tcPr>
            <w:tcW w:w="580" w:type="dxa"/>
            <w:shd w:val="clear" w:color="auto" w:fill="auto"/>
          </w:tcPr>
          <w:p w14:paraId="1FF5085A" w14:textId="77777777" w:rsidR="003A59F0" w:rsidRPr="005E3885" w:rsidRDefault="003A59F0" w:rsidP="001531B6">
            <w:pPr>
              <w:jc w:val="center"/>
              <w:rPr>
                <w:sz w:val="20"/>
              </w:rPr>
            </w:pPr>
            <w:r w:rsidRPr="005E3885">
              <w:rPr>
                <w:sz w:val="20"/>
              </w:rPr>
              <w:t>x</w:t>
            </w:r>
          </w:p>
        </w:tc>
        <w:tc>
          <w:tcPr>
            <w:tcW w:w="572" w:type="dxa"/>
            <w:shd w:val="clear" w:color="auto" w:fill="auto"/>
          </w:tcPr>
          <w:p w14:paraId="164E1B8C" w14:textId="77777777" w:rsidR="003A59F0" w:rsidRPr="005E3885" w:rsidRDefault="003A59F0" w:rsidP="001531B6">
            <w:pPr>
              <w:jc w:val="center"/>
              <w:rPr>
                <w:sz w:val="20"/>
              </w:rPr>
            </w:pPr>
            <w:r w:rsidRPr="005E3885">
              <w:rPr>
                <w:sz w:val="20"/>
              </w:rPr>
              <w:t>x</w:t>
            </w:r>
          </w:p>
        </w:tc>
        <w:tc>
          <w:tcPr>
            <w:tcW w:w="574" w:type="dxa"/>
            <w:shd w:val="clear" w:color="auto" w:fill="auto"/>
          </w:tcPr>
          <w:p w14:paraId="4D837BD6" w14:textId="77777777" w:rsidR="003A59F0" w:rsidRPr="005E3885" w:rsidRDefault="003A59F0" w:rsidP="001531B6">
            <w:pPr>
              <w:jc w:val="center"/>
              <w:rPr>
                <w:sz w:val="20"/>
              </w:rPr>
            </w:pPr>
            <w:r w:rsidRPr="005E3885">
              <w:rPr>
                <w:sz w:val="20"/>
              </w:rPr>
              <w:t>x</w:t>
            </w:r>
          </w:p>
        </w:tc>
        <w:tc>
          <w:tcPr>
            <w:tcW w:w="580" w:type="dxa"/>
            <w:shd w:val="clear" w:color="auto" w:fill="auto"/>
          </w:tcPr>
          <w:p w14:paraId="4832A080" w14:textId="77777777" w:rsidR="003A59F0" w:rsidRPr="005E3885" w:rsidRDefault="003A59F0" w:rsidP="001531B6">
            <w:pPr>
              <w:jc w:val="center"/>
              <w:rPr>
                <w:sz w:val="20"/>
              </w:rPr>
            </w:pPr>
            <w:r w:rsidRPr="005E3885">
              <w:rPr>
                <w:sz w:val="20"/>
              </w:rPr>
              <w:t>x</w:t>
            </w:r>
          </w:p>
        </w:tc>
        <w:tc>
          <w:tcPr>
            <w:tcW w:w="2837" w:type="dxa"/>
          </w:tcPr>
          <w:p w14:paraId="59442D95" w14:textId="77777777" w:rsidR="003A59F0" w:rsidRPr="005E3885" w:rsidRDefault="003A59F0" w:rsidP="001531B6">
            <w:pPr>
              <w:rPr>
                <w:strike/>
                <w:sz w:val="16"/>
                <w:szCs w:val="16"/>
              </w:rPr>
            </w:pPr>
            <w:r w:rsidRPr="005E3885">
              <w:rPr>
                <w:sz w:val="20"/>
              </w:rPr>
              <w:t>Except circulars concerning working parties/task groups (E only)</w:t>
            </w:r>
          </w:p>
        </w:tc>
      </w:tr>
      <w:tr w:rsidR="003A59F0" w:rsidRPr="005E3885" w14:paraId="0894C1F4" w14:textId="77777777" w:rsidTr="001531B6">
        <w:tc>
          <w:tcPr>
            <w:tcW w:w="3339" w:type="dxa"/>
          </w:tcPr>
          <w:p w14:paraId="314A6888" w14:textId="77777777" w:rsidR="003A59F0" w:rsidRPr="005E3885" w:rsidRDefault="003A59F0" w:rsidP="001531B6">
            <w:pPr>
              <w:rPr>
                <w:sz w:val="20"/>
              </w:rPr>
            </w:pPr>
            <w:r w:rsidRPr="005E3885">
              <w:rPr>
                <w:sz w:val="20"/>
              </w:rPr>
              <w:t xml:space="preserve">                                    annexes</w:t>
            </w:r>
          </w:p>
        </w:tc>
        <w:tc>
          <w:tcPr>
            <w:tcW w:w="577" w:type="dxa"/>
            <w:shd w:val="clear" w:color="auto" w:fill="auto"/>
          </w:tcPr>
          <w:p w14:paraId="0E98EB7F" w14:textId="77777777" w:rsidR="003A59F0" w:rsidRPr="005E3885" w:rsidRDefault="003A59F0" w:rsidP="001531B6">
            <w:pPr>
              <w:jc w:val="center"/>
              <w:rPr>
                <w:sz w:val="20"/>
              </w:rPr>
            </w:pPr>
            <w:r w:rsidRPr="005E3885">
              <w:rPr>
                <w:sz w:val="20"/>
              </w:rPr>
              <w:t>x</w:t>
            </w:r>
          </w:p>
        </w:tc>
        <w:tc>
          <w:tcPr>
            <w:tcW w:w="580" w:type="dxa"/>
            <w:shd w:val="clear" w:color="auto" w:fill="auto"/>
          </w:tcPr>
          <w:p w14:paraId="1B8F228F" w14:textId="77777777" w:rsidR="003A59F0" w:rsidRPr="005E3885" w:rsidRDefault="003A59F0" w:rsidP="001531B6">
            <w:pPr>
              <w:jc w:val="center"/>
              <w:rPr>
                <w:sz w:val="20"/>
              </w:rPr>
            </w:pPr>
            <w:r w:rsidRPr="005E3885">
              <w:rPr>
                <w:sz w:val="20"/>
              </w:rPr>
              <w:t>x</w:t>
            </w:r>
          </w:p>
        </w:tc>
        <w:tc>
          <w:tcPr>
            <w:tcW w:w="580" w:type="dxa"/>
            <w:shd w:val="clear" w:color="auto" w:fill="auto"/>
          </w:tcPr>
          <w:p w14:paraId="5D2D7CFF" w14:textId="77777777" w:rsidR="003A59F0" w:rsidRPr="005E3885" w:rsidRDefault="003A59F0" w:rsidP="001531B6">
            <w:pPr>
              <w:jc w:val="center"/>
              <w:rPr>
                <w:sz w:val="20"/>
              </w:rPr>
            </w:pPr>
            <w:r w:rsidRPr="005E3885">
              <w:rPr>
                <w:sz w:val="20"/>
              </w:rPr>
              <w:t>x</w:t>
            </w:r>
          </w:p>
        </w:tc>
        <w:tc>
          <w:tcPr>
            <w:tcW w:w="572" w:type="dxa"/>
            <w:shd w:val="clear" w:color="auto" w:fill="auto"/>
          </w:tcPr>
          <w:p w14:paraId="3521338E" w14:textId="77777777" w:rsidR="003A59F0" w:rsidRPr="005E3885" w:rsidRDefault="003A59F0" w:rsidP="001531B6">
            <w:pPr>
              <w:jc w:val="center"/>
              <w:rPr>
                <w:sz w:val="20"/>
              </w:rPr>
            </w:pPr>
            <w:r w:rsidRPr="005E3885">
              <w:rPr>
                <w:sz w:val="20"/>
              </w:rPr>
              <w:t>x</w:t>
            </w:r>
          </w:p>
        </w:tc>
        <w:tc>
          <w:tcPr>
            <w:tcW w:w="574" w:type="dxa"/>
            <w:shd w:val="clear" w:color="auto" w:fill="auto"/>
          </w:tcPr>
          <w:p w14:paraId="55C39E29" w14:textId="77777777" w:rsidR="003A59F0" w:rsidRPr="005E3885" w:rsidRDefault="003A59F0" w:rsidP="001531B6">
            <w:pPr>
              <w:jc w:val="center"/>
              <w:rPr>
                <w:sz w:val="20"/>
              </w:rPr>
            </w:pPr>
            <w:r w:rsidRPr="005E3885">
              <w:rPr>
                <w:sz w:val="20"/>
              </w:rPr>
              <w:t>x</w:t>
            </w:r>
          </w:p>
        </w:tc>
        <w:tc>
          <w:tcPr>
            <w:tcW w:w="580" w:type="dxa"/>
            <w:shd w:val="clear" w:color="auto" w:fill="auto"/>
          </w:tcPr>
          <w:p w14:paraId="4C9760FD" w14:textId="77777777" w:rsidR="003A59F0" w:rsidRPr="005E3885" w:rsidRDefault="003A59F0" w:rsidP="001531B6">
            <w:pPr>
              <w:jc w:val="center"/>
              <w:rPr>
                <w:sz w:val="20"/>
              </w:rPr>
            </w:pPr>
            <w:r w:rsidRPr="005E3885">
              <w:rPr>
                <w:sz w:val="20"/>
              </w:rPr>
              <w:t>x</w:t>
            </w:r>
          </w:p>
        </w:tc>
        <w:tc>
          <w:tcPr>
            <w:tcW w:w="2837" w:type="dxa"/>
          </w:tcPr>
          <w:p w14:paraId="6670986F" w14:textId="77777777" w:rsidR="003A59F0" w:rsidRPr="005E3885" w:rsidRDefault="003A59F0" w:rsidP="001531B6">
            <w:pPr>
              <w:rPr>
                <w:sz w:val="20"/>
              </w:rPr>
            </w:pPr>
            <w:r w:rsidRPr="005E3885">
              <w:rPr>
                <w:sz w:val="20"/>
              </w:rPr>
              <w:t>Depends on contents</w:t>
            </w:r>
          </w:p>
        </w:tc>
      </w:tr>
      <w:tr w:rsidR="003A59F0" w:rsidRPr="005E3885" w14:paraId="1B8062E9" w14:textId="77777777" w:rsidTr="001531B6">
        <w:tc>
          <w:tcPr>
            <w:tcW w:w="3339" w:type="dxa"/>
          </w:tcPr>
          <w:p w14:paraId="4DE16922" w14:textId="77777777" w:rsidR="003A59F0" w:rsidRPr="005E3885" w:rsidRDefault="003A59F0" w:rsidP="001531B6">
            <w:pPr>
              <w:rPr>
                <w:sz w:val="20"/>
              </w:rPr>
            </w:pPr>
            <w:r w:rsidRPr="005E3885">
              <w:rPr>
                <w:sz w:val="20"/>
              </w:rPr>
              <w:t>Promotional material and website</w:t>
            </w:r>
          </w:p>
        </w:tc>
        <w:tc>
          <w:tcPr>
            <w:tcW w:w="577" w:type="dxa"/>
            <w:shd w:val="clear" w:color="auto" w:fill="auto"/>
          </w:tcPr>
          <w:p w14:paraId="5B8B1FBB" w14:textId="77777777" w:rsidR="003A59F0" w:rsidRPr="005E3885" w:rsidRDefault="003A59F0" w:rsidP="001531B6">
            <w:pPr>
              <w:jc w:val="center"/>
              <w:rPr>
                <w:sz w:val="20"/>
              </w:rPr>
            </w:pPr>
            <w:r w:rsidRPr="005E3885">
              <w:rPr>
                <w:sz w:val="20"/>
              </w:rPr>
              <w:t>x</w:t>
            </w:r>
          </w:p>
        </w:tc>
        <w:tc>
          <w:tcPr>
            <w:tcW w:w="580" w:type="dxa"/>
            <w:shd w:val="clear" w:color="auto" w:fill="auto"/>
          </w:tcPr>
          <w:p w14:paraId="034D35BC" w14:textId="77777777" w:rsidR="003A59F0" w:rsidRPr="005E3885" w:rsidRDefault="003A59F0" w:rsidP="001531B6">
            <w:pPr>
              <w:jc w:val="center"/>
              <w:rPr>
                <w:sz w:val="20"/>
              </w:rPr>
            </w:pPr>
            <w:r w:rsidRPr="005E3885">
              <w:rPr>
                <w:sz w:val="20"/>
              </w:rPr>
              <w:t>x</w:t>
            </w:r>
          </w:p>
        </w:tc>
        <w:tc>
          <w:tcPr>
            <w:tcW w:w="580" w:type="dxa"/>
            <w:shd w:val="clear" w:color="auto" w:fill="auto"/>
          </w:tcPr>
          <w:p w14:paraId="441316E2" w14:textId="77777777" w:rsidR="003A59F0" w:rsidRPr="005E3885" w:rsidRDefault="003A59F0" w:rsidP="001531B6">
            <w:pPr>
              <w:jc w:val="center"/>
              <w:rPr>
                <w:sz w:val="20"/>
              </w:rPr>
            </w:pPr>
            <w:r w:rsidRPr="005E3885">
              <w:rPr>
                <w:sz w:val="20"/>
              </w:rPr>
              <w:t>x</w:t>
            </w:r>
          </w:p>
        </w:tc>
        <w:tc>
          <w:tcPr>
            <w:tcW w:w="572" w:type="dxa"/>
            <w:shd w:val="clear" w:color="auto" w:fill="auto"/>
          </w:tcPr>
          <w:p w14:paraId="2B61AEAD" w14:textId="77777777" w:rsidR="003A59F0" w:rsidRPr="005E3885" w:rsidRDefault="003A59F0" w:rsidP="001531B6">
            <w:pPr>
              <w:jc w:val="center"/>
              <w:rPr>
                <w:sz w:val="20"/>
              </w:rPr>
            </w:pPr>
            <w:r w:rsidRPr="005E3885">
              <w:rPr>
                <w:sz w:val="20"/>
              </w:rPr>
              <w:t>x</w:t>
            </w:r>
          </w:p>
        </w:tc>
        <w:tc>
          <w:tcPr>
            <w:tcW w:w="574" w:type="dxa"/>
            <w:shd w:val="clear" w:color="auto" w:fill="auto"/>
          </w:tcPr>
          <w:p w14:paraId="5D76F3C5" w14:textId="77777777" w:rsidR="003A59F0" w:rsidRPr="005E3885" w:rsidRDefault="003A59F0" w:rsidP="001531B6">
            <w:pPr>
              <w:jc w:val="center"/>
              <w:rPr>
                <w:sz w:val="20"/>
              </w:rPr>
            </w:pPr>
            <w:r w:rsidRPr="005E3885">
              <w:rPr>
                <w:sz w:val="20"/>
              </w:rPr>
              <w:t>x</w:t>
            </w:r>
          </w:p>
        </w:tc>
        <w:tc>
          <w:tcPr>
            <w:tcW w:w="580" w:type="dxa"/>
            <w:shd w:val="clear" w:color="auto" w:fill="auto"/>
          </w:tcPr>
          <w:p w14:paraId="3772AD00" w14:textId="77777777" w:rsidR="003A59F0" w:rsidRPr="005E3885" w:rsidRDefault="003A59F0" w:rsidP="001531B6">
            <w:pPr>
              <w:jc w:val="center"/>
              <w:rPr>
                <w:sz w:val="20"/>
              </w:rPr>
            </w:pPr>
            <w:r w:rsidRPr="005E3885">
              <w:rPr>
                <w:sz w:val="20"/>
              </w:rPr>
              <w:t>x</w:t>
            </w:r>
          </w:p>
        </w:tc>
        <w:tc>
          <w:tcPr>
            <w:tcW w:w="2837" w:type="dxa"/>
          </w:tcPr>
          <w:p w14:paraId="4563AA13" w14:textId="77777777" w:rsidR="003A59F0" w:rsidRPr="005E3885" w:rsidRDefault="003A59F0" w:rsidP="001531B6">
            <w:pPr>
              <w:rPr>
                <w:sz w:val="20"/>
              </w:rPr>
            </w:pPr>
            <w:r w:rsidRPr="005E3885">
              <w:rPr>
                <w:sz w:val="20"/>
              </w:rPr>
              <w:t>Depends on contents</w:t>
            </w:r>
          </w:p>
        </w:tc>
      </w:tr>
      <w:tr w:rsidR="003A59F0" w:rsidRPr="005E3885" w14:paraId="59C07631" w14:textId="77777777" w:rsidTr="001531B6">
        <w:tc>
          <w:tcPr>
            <w:tcW w:w="3339" w:type="dxa"/>
          </w:tcPr>
          <w:p w14:paraId="275F4D7A" w14:textId="77777777" w:rsidR="003A59F0" w:rsidRPr="005E3885" w:rsidRDefault="003A59F0" w:rsidP="001531B6">
            <w:pPr>
              <w:rPr>
                <w:sz w:val="20"/>
              </w:rPr>
            </w:pPr>
            <w:r w:rsidRPr="005E3885">
              <w:rPr>
                <w:sz w:val="20"/>
              </w:rPr>
              <w:t>General information to delegates</w:t>
            </w:r>
          </w:p>
        </w:tc>
        <w:tc>
          <w:tcPr>
            <w:tcW w:w="577" w:type="dxa"/>
            <w:shd w:val="clear" w:color="auto" w:fill="auto"/>
          </w:tcPr>
          <w:p w14:paraId="0E2C0A14" w14:textId="77777777" w:rsidR="003A59F0" w:rsidRPr="005E3885" w:rsidRDefault="003A59F0" w:rsidP="001531B6">
            <w:pPr>
              <w:jc w:val="center"/>
              <w:rPr>
                <w:sz w:val="20"/>
              </w:rPr>
            </w:pPr>
            <w:r w:rsidRPr="005E3885">
              <w:rPr>
                <w:sz w:val="20"/>
              </w:rPr>
              <w:t>x</w:t>
            </w:r>
          </w:p>
        </w:tc>
        <w:tc>
          <w:tcPr>
            <w:tcW w:w="580" w:type="dxa"/>
            <w:shd w:val="clear" w:color="auto" w:fill="auto"/>
          </w:tcPr>
          <w:p w14:paraId="4A8B630D" w14:textId="77777777" w:rsidR="003A59F0" w:rsidRPr="005E3885" w:rsidRDefault="003A59F0" w:rsidP="001531B6">
            <w:pPr>
              <w:jc w:val="center"/>
              <w:rPr>
                <w:sz w:val="20"/>
              </w:rPr>
            </w:pPr>
            <w:r w:rsidRPr="005E3885">
              <w:rPr>
                <w:sz w:val="20"/>
              </w:rPr>
              <w:t>x</w:t>
            </w:r>
          </w:p>
        </w:tc>
        <w:tc>
          <w:tcPr>
            <w:tcW w:w="580" w:type="dxa"/>
            <w:shd w:val="clear" w:color="auto" w:fill="auto"/>
          </w:tcPr>
          <w:p w14:paraId="6063D5FE" w14:textId="77777777" w:rsidR="003A59F0" w:rsidRPr="005E3885" w:rsidRDefault="003A59F0" w:rsidP="001531B6">
            <w:pPr>
              <w:jc w:val="center"/>
              <w:rPr>
                <w:sz w:val="20"/>
              </w:rPr>
            </w:pPr>
            <w:r w:rsidRPr="005E3885">
              <w:rPr>
                <w:sz w:val="20"/>
              </w:rPr>
              <w:t>x</w:t>
            </w:r>
          </w:p>
        </w:tc>
        <w:tc>
          <w:tcPr>
            <w:tcW w:w="572" w:type="dxa"/>
            <w:shd w:val="clear" w:color="auto" w:fill="auto"/>
          </w:tcPr>
          <w:p w14:paraId="71155D2B" w14:textId="77777777" w:rsidR="003A59F0" w:rsidRPr="005E3885" w:rsidRDefault="003A59F0" w:rsidP="001531B6">
            <w:pPr>
              <w:jc w:val="center"/>
              <w:rPr>
                <w:sz w:val="20"/>
              </w:rPr>
            </w:pPr>
            <w:r w:rsidRPr="005E3885">
              <w:rPr>
                <w:sz w:val="20"/>
              </w:rPr>
              <w:t>x</w:t>
            </w:r>
          </w:p>
        </w:tc>
        <w:tc>
          <w:tcPr>
            <w:tcW w:w="574" w:type="dxa"/>
            <w:shd w:val="clear" w:color="auto" w:fill="auto"/>
          </w:tcPr>
          <w:p w14:paraId="5BA42A0A" w14:textId="77777777" w:rsidR="003A59F0" w:rsidRPr="005E3885" w:rsidRDefault="003A59F0" w:rsidP="001531B6">
            <w:pPr>
              <w:jc w:val="center"/>
              <w:rPr>
                <w:sz w:val="20"/>
              </w:rPr>
            </w:pPr>
            <w:r w:rsidRPr="005E3885">
              <w:rPr>
                <w:sz w:val="20"/>
              </w:rPr>
              <w:t>x</w:t>
            </w:r>
          </w:p>
        </w:tc>
        <w:tc>
          <w:tcPr>
            <w:tcW w:w="580" w:type="dxa"/>
            <w:shd w:val="clear" w:color="auto" w:fill="auto"/>
          </w:tcPr>
          <w:p w14:paraId="43ED9F5E" w14:textId="77777777" w:rsidR="003A59F0" w:rsidRPr="005E3885" w:rsidRDefault="003A59F0" w:rsidP="001531B6">
            <w:pPr>
              <w:jc w:val="center"/>
              <w:rPr>
                <w:sz w:val="20"/>
              </w:rPr>
            </w:pPr>
            <w:r w:rsidRPr="005E3885">
              <w:rPr>
                <w:sz w:val="20"/>
              </w:rPr>
              <w:t>x</w:t>
            </w:r>
          </w:p>
        </w:tc>
        <w:tc>
          <w:tcPr>
            <w:tcW w:w="2837" w:type="dxa"/>
            <w:vAlign w:val="center"/>
          </w:tcPr>
          <w:p w14:paraId="0E07BBE8" w14:textId="77777777" w:rsidR="003A59F0" w:rsidRPr="005E3885" w:rsidRDefault="003A59F0" w:rsidP="001531B6">
            <w:pPr>
              <w:rPr>
                <w:sz w:val="20"/>
              </w:rPr>
            </w:pPr>
            <w:r w:rsidRPr="005E3885">
              <w:rPr>
                <w:sz w:val="20"/>
              </w:rPr>
              <w:t>Depends on contents</w:t>
            </w:r>
          </w:p>
        </w:tc>
      </w:tr>
    </w:tbl>
    <w:p w14:paraId="47831782" w14:textId="77777777" w:rsidR="003A59F0" w:rsidRPr="005E3885" w:rsidRDefault="003A59F0" w:rsidP="003A59F0">
      <w:pPr>
        <w:spacing w:before="320"/>
        <w:rPr>
          <w:b/>
          <w:sz w:val="20"/>
        </w:rPr>
      </w:pPr>
    </w:p>
    <w:p w14:paraId="0B29AAAD" w14:textId="77777777" w:rsidR="003A59F0" w:rsidRPr="00E90B1A" w:rsidRDefault="003A59F0" w:rsidP="003A59F0">
      <w:pPr>
        <w:rPr>
          <w:b/>
          <w:sz w:val="20"/>
        </w:rPr>
      </w:pPr>
    </w:p>
    <w:p w14:paraId="72534E37" w14:textId="77777777" w:rsidR="00CD5AA7" w:rsidRDefault="00CD5AA7" w:rsidP="00514C8D">
      <w:pPr>
        <w:spacing w:before="0"/>
        <w:jc w:val="both"/>
      </w:pPr>
    </w:p>
    <w:p w14:paraId="3E7FED8B" w14:textId="77777777" w:rsidR="00EF61DD" w:rsidRDefault="00EF61DD">
      <w:pPr>
        <w:jc w:val="center"/>
      </w:pPr>
      <w:r>
        <w:t>______________</w:t>
      </w:r>
    </w:p>
    <w:p w14:paraId="2D88A8D6" w14:textId="45D20566" w:rsidR="00713AFE" w:rsidRPr="009D0532" w:rsidRDefault="00713AFE" w:rsidP="00600410">
      <w:pPr>
        <w:spacing w:before="0"/>
        <w:jc w:val="both"/>
        <w:rPr>
          <w:rFonts w:eastAsia="SimSun"/>
        </w:rPr>
      </w:pPr>
    </w:p>
    <w:sectPr w:rsidR="00713AFE" w:rsidRPr="009D0532" w:rsidSect="008317C1">
      <w:headerReference w:type="default" r:id="rId96"/>
      <w:headerReference w:type="first" r:id="rId97"/>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98AB2" w14:textId="77777777" w:rsidR="00B27ABF" w:rsidRDefault="00B27ABF">
      <w:r>
        <w:separator/>
      </w:r>
    </w:p>
  </w:endnote>
  <w:endnote w:type="continuationSeparator" w:id="0">
    <w:p w14:paraId="7802251C" w14:textId="77777777" w:rsidR="00B27ABF" w:rsidRDefault="00B27ABF">
      <w:r>
        <w:continuationSeparator/>
      </w:r>
    </w:p>
  </w:endnote>
  <w:endnote w:type="continuationNotice" w:id="1">
    <w:p w14:paraId="63DE18A0" w14:textId="77777777" w:rsidR="00B27ABF" w:rsidRDefault="00B27A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7D712" w14:textId="77777777" w:rsidR="00821CFB" w:rsidRPr="005B0D1E" w:rsidRDefault="00821CFB" w:rsidP="00821CFB">
    <w:pPr>
      <w:framePr w:wrap="around" w:vAnchor="text" w:hAnchor="margin" w:xAlign="right" w:y="1"/>
    </w:pPr>
    <w:r>
      <w:fldChar w:fldCharType="begin"/>
    </w:r>
    <w:r w:rsidRPr="005B0D1E">
      <w:instrText xml:space="preserve">PAGE  </w:instrText>
    </w:r>
    <w:r>
      <w:fldChar w:fldCharType="separate"/>
    </w:r>
    <w:r w:rsidRPr="005B0D1E">
      <w:rPr>
        <w:noProof/>
      </w:rPr>
      <w:t>46</w:t>
    </w:r>
    <w:r>
      <w:fldChar w:fldCharType="end"/>
    </w:r>
  </w:p>
  <w:p w14:paraId="4C02BC22" w14:textId="089AA0BC" w:rsidR="00821CFB" w:rsidRPr="001F7439" w:rsidRDefault="00821CFB">
    <w:pPr>
      <w:ind w:right="360"/>
    </w:pPr>
    <w:r>
      <w:fldChar w:fldCharType="begin"/>
    </w:r>
    <w:r w:rsidRPr="001F7439">
      <w:instrText xml:space="preserve"> FILENAME \p  \* MERGEFORMAT </w:instrText>
    </w:r>
    <w:r>
      <w:fldChar w:fldCharType="separate"/>
    </w:r>
    <w:r>
      <w:rPr>
        <w:noProof/>
      </w:rPr>
      <w:t>M:\BRIAP\ADM\RAG2020.docx</w:t>
    </w:r>
    <w:r>
      <w:fldChar w:fldCharType="end"/>
    </w:r>
    <w:r w:rsidRPr="001F7439">
      <w:tab/>
    </w:r>
    <w:r>
      <w:fldChar w:fldCharType="begin"/>
    </w:r>
    <w:r>
      <w:instrText xml:space="preserve"> SAVEDATE \@ DD.MM.YY </w:instrText>
    </w:r>
    <w:r>
      <w:fldChar w:fldCharType="separate"/>
    </w:r>
    <w:ins w:id="34" w:author="GF" w:date="2021-03-10T08:44:00Z">
      <w:r w:rsidR="009B56E0">
        <w:rPr>
          <w:noProof/>
        </w:rPr>
        <w:t>09.03.21</w:t>
      </w:r>
    </w:ins>
    <w:del w:id="35" w:author="GF" w:date="2021-03-10T08:43:00Z">
      <w:r w:rsidR="00B23DD0" w:rsidDel="009B56E0">
        <w:rPr>
          <w:noProof/>
        </w:rPr>
        <w:delText>01.03.21</w:delText>
      </w:r>
    </w:del>
    <w:r>
      <w:fldChar w:fldCharType="end"/>
    </w:r>
    <w:r w:rsidRPr="001F7439">
      <w:tab/>
    </w:r>
    <w:r>
      <w:fldChar w:fldCharType="begin"/>
    </w:r>
    <w:r>
      <w:instrText xml:space="preserve"> PRINTDATE \@ DD.MM.YY </w:instrText>
    </w:r>
    <w:r>
      <w:fldChar w:fldCharType="separate"/>
    </w:r>
    <w:r>
      <w:rPr>
        <w:noProof/>
      </w:rPr>
      <w:t>31.01.20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BD4A0" w14:textId="77777777" w:rsidR="00821CFB" w:rsidRPr="005B0D1E" w:rsidRDefault="00821CFB" w:rsidP="00821CFB">
    <w:pPr>
      <w:framePr w:wrap="around" w:vAnchor="text" w:hAnchor="margin" w:xAlign="right" w:y="1"/>
    </w:pPr>
    <w:r>
      <w:fldChar w:fldCharType="begin"/>
    </w:r>
    <w:r w:rsidRPr="005B0D1E">
      <w:instrText xml:space="preserve">PAGE  </w:instrText>
    </w:r>
    <w:r>
      <w:fldChar w:fldCharType="separate"/>
    </w:r>
    <w:r w:rsidRPr="005B0D1E">
      <w:rPr>
        <w:noProof/>
      </w:rPr>
      <w:t>46</w:t>
    </w:r>
    <w:r>
      <w:fldChar w:fldCharType="end"/>
    </w:r>
  </w:p>
  <w:p w14:paraId="24DEF7C6" w14:textId="48408D53" w:rsidR="006102A7" w:rsidRDefault="00821CFB">
    <w:pPr>
      <w:ind w:right="360"/>
    </w:pPr>
    <w:r>
      <w:fldChar w:fldCharType="begin"/>
    </w:r>
    <w:r w:rsidRPr="001F7439">
      <w:instrText xml:space="preserve"> FILENAME \p  \* MERGEFORMAT </w:instrText>
    </w:r>
    <w:r>
      <w:fldChar w:fldCharType="separate"/>
    </w:r>
    <w:r>
      <w:rPr>
        <w:noProof/>
      </w:rPr>
      <w:t>M:\BRIAP\ADM\RAG2020.docx</w:t>
    </w:r>
    <w:r>
      <w:fldChar w:fldCharType="end"/>
    </w:r>
    <w:r w:rsidRPr="001F7439">
      <w:tab/>
    </w:r>
    <w:r>
      <w:fldChar w:fldCharType="begin"/>
    </w:r>
    <w:r>
      <w:instrText xml:space="preserve"> SAVEDATE \@ DD.MM.YY </w:instrText>
    </w:r>
    <w:r>
      <w:fldChar w:fldCharType="separate"/>
    </w:r>
    <w:ins w:id="36" w:author="GF" w:date="2021-03-10T08:44:00Z">
      <w:r w:rsidR="009B56E0">
        <w:rPr>
          <w:noProof/>
        </w:rPr>
        <w:t>09.03.21</w:t>
      </w:r>
    </w:ins>
    <w:del w:id="37" w:author="GF" w:date="2021-03-10T08:43:00Z">
      <w:r w:rsidR="00B23DD0" w:rsidDel="009B56E0">
        <w:rPr>
          <w:noProof/>
        </w:rPr>
        <w:delText>01.03.21</w:delText>
      </w:r>
    </w:del>
    <w:r>
      <w:fldChar w:fldCharType="end"/>
    </w:r>
    <w:r w:rsidRPr="001F7439">
      <w:tab/>
    </w:r>
    <w:r>
      <w:fldChar w:fldCharType="begin"/>
    </w:r>
    <w:r>
      <w:instrText xml:space="preserve"> PRINTDATE \@ DD.MM.YY </w:instrText>
    </w:r>
    <w:r>
      <w:fldChar w:fldCharType="separate"/>
    </w:r>
    <w:r>
      <w:rPr>
        <w:noProof/>
      </w:rPr>
      <w:t>31.01.20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9042" w14:textId="77777777" w:rsidR="00821CFB" w:rsidRPr="000C08A4" w:rsidRDefault="00821CFB" w:rsidP="00821CFB">
    <w:pPr>
      <w:pStyle w:val="Footer"/>
      <w:rPr>
        <w:lang w:val="es-ES_tradn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D5FE" w14:textId="77777777" w:rsidR="00821CFB" w:rsidRPr="00E371D3" w:rsidRDefault="00821CFB" w:rsidP="0082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85A55" w14:textId="77777777" w:rsidR="00B27ABF" w:rsidRDefault="00B27ABF">
      <w:r>
        <w:t>____________________</w:t>
      </w:r>
    </w:p>
  </w:footnote>
  <w:footnote w:type="continuationSeparator" w:id="0">
    <w:p w14:paraId="37B121BA" w14:textId="77777777" w:rsidR="00B27ABF" w:rsidRDefault="00B27ABF">
      <w:r>
        <w:continuationSeparator/>
      </w:r>
    </w:p>
  </w:footnote>
  <w:footnote w:type="continuationNotice" w:id="1">
    <w:p w14:paraId="208905F1" w14:textId="77777777" w:rsidR="00B27ABF" w:rsidRDefault="00B27ABF">
      <w:pPr>
        <w:spacing w:before="0"/>
      </w:pPr>
    </w:p>
  </w:footnote>
  <w:footnote w:id="2">
    <w:p w14:paraId="46D0DECA" w14:textId="0ED9A056" w:rsidR="00FD37D4" w:rsidRPr="008140B6" w:rsidRDefault="00FD37D4" w:rsidP="00FD37D4">
      <w:pPr>
        <w:pStyle w:val="FootnoteText"/>
        <w:rPr>
          <w:lang w:val="en-US"/>
        </w:rPr>
      </w:pPr>
      <w:r>
        <w:rPr>
          <w:rStyle w:val="FootnoteReference"/>
        </w:rPr>
        <w:t>*</w:t>
      </w:r>
      <w:r>
        <w:t xml:space="preserve"> </w:t>
      </w:r>
      <w:r>
        <w:tab/>
      </w:r>
      <w:r w:rsidRPr="648A396A">
        <w:rPr>
          <w:color w:val="000000" w:themeColor="text1"/>
          <w:szCs w:val="24"/>
          <w:lang w:val="en-US"/>
        </w:rPr>
        <w:t>The precise planned dates for CPM23-2 will be determined based on the dates of WRC-23, once established.</w:t>
      </w:r>
    </w:p>
  </w:footnote>
  <w:footnote w:id="3">
    <w:p w14:paraId="55FFBBA1" w14:textId="77777777" w:rsidR="00FD37D4" w:rsidRPr="008140B6" w:rsidRDefault="00FD37D4" w:rsidP="00FD37D4">
      <w:pPr>
        <w:pStyle w:val="FootnoteText"/>
        <w:rPr>
          <w:lang w:val="en-US"/>
        </w:rPr>
      </w:pPr>
      <w:r>
        <w:rPr>
          <w:rStyle w:val="FootnoteReference"/>
        </w:rPr>
        <w:t>**</w:t>
      </w:r>
      <w:r>
        <w:tab/>
      </w:r>
      <w:r w:rsidRPr="648A396A">
        <w:rPr>
          <w:szCs w:val="24"/>
        </w:rPr>
        <w:t>These dates may be postponed after the planned dates for CPM23-2 have been determined.</w:t>
      </w:r>
    </w:p>
  </w:footnote>
  <w:footnote w:id="4">
    <w:p w14:paraId="4ECDFDEF" w14:textId="77777777" w:rsidR="00FD37D4" w:rsidRPr="00A37C93" w:rsidRDefault="00FD37D4" w:rsidP="00FD37D4">
      <w:pPr>
        <w:pStyle w:val="FootnoteText"/>
        <w:rPr>
          <w:lang w:val="en-US"/>
        </w:rPr>
      </w:pPr>
      <w:r>
        <w:rPr>
          <w:rStyle w:val="FootnoteReference"/>
        </w:rPr>
        <w:t>***</w:t>
      </w:r>
      <w:r>
        <w:t xml:space="preserve"> </w:t>
      </w:r>
      <w:r w:rsidRPr="648A396A">
        <w:rPr>
          <w:szCs w:val="24"/>
        </w:rPr>
        <w:t>These dates and the venue may change depending on the evolution of the Covid-19 situation.</w:t>
      </w:r>
    </w:p>
  </w:footnote>
  <w:footnote w:id="5">
    <w:p w14:paraId="58855728" w14:textId="77777777" w:rsidR="003A59F0" w:rsidRPr="007643E8" w:rsidRDefault="003A59F0" w:rsidP="003A59F0">
      <w:pPr>
        <w:pStyle w:val="FootnoteText"/>
      </w:pPr>
      <w:r>
        <w:rPr>
          <w:rStyle w:val="FootnoteReference"/>
        </w:rPr>
        <w:footnoteRef/>
      </w:r>
      <w:r>
        <w:t xml:space="preserve"> Res. 72 (Rev. WRC-07).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DB0E" w14:textId="77777777" w:rsidR="00821CFB" w:rsidRDefault="00821CFB" w:rsidP="00821C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DA9B06" w14:textId="77777777" w:rsidR="00821CFB" w:rsidRDefault="00821CFB" w:rsidP="00821C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A2772" w14:textId="77777777" w:rsidR="00821CFB" w:rsidRDefault="00821CFB" w:rsidP="00821C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06749"/>
      <w:docPartObj>
        <w:docPartGallery w:val="Page Numbers (Top of Page)"/>
        <w:docPartUnique/>
      </w:docPartObj>
    </w:sdtPr>
    <w:sdtEndPr>
      <w:rPr>
        <w:noProof/>
      </w:rPr>
    </w:sdtEndPr>
    <w:sdtContent>
      <w:sdt>
        <w:sdtPr>
          <w:id w:val="-334222141"/>
          <w:docPartObj>
            <w:docPartGallery w:val="Page Numbers (Top of Page)"/>
            <w:docPartUnique/>
          </w:docPartObj>
        </w:sdtPr>
        <w:sdtEndPr>
          <w:rPr>
            <w:noProof/>
          </w:rPr>
        </w:sdtEndPr>
        <w:sdtContent>
          <w:p w14:paraId="37481A54" w14:textId="77777777" w:rsidR="00821CFB" w:rsidRDefault="00821CFB" w:rsidP="00713AFE">
            <w:pPr>
              <w:pStyle w:val="Header"/>
            </w:pPr>
            <w:r>
              <w:fldChar w:fldCharType="begin"/>
            </w:r>
            <w:r>
              <w:instrText xml:space="preserve"> PAGE   \* MERGEFORMAT </w:instrText>
            </w:r>
            <w:r>
              <w:fldChar w:fldCharType="separate"/>
            </w:r>
            <w:r>
              <w:t>40</w:t>
            </w:r>
            <w:r>
              <w:rPr>
                <w:noProof/>
              </w:rPr>
              <w:fldChar w:fldCharType="end"/>
            </w:r>
          </w:p>
          <w:p w14:paraId="6426E127" w14:textId="77777777" w:rsidR="00821CFB" w:rsidRDefault="00821CFB" w:rsidP="00713AFE">
            <w:pPr>
              <w:pStyle w:val="Header"/>
              <w:rPr>
                <w:noProof/>
              </w:rPr>
            </w:pPr>
            <w:r>
              <w:t>RAG/26-E</w:t>
            </w:r>
          </w:p>
        </w:sdtContent>
      </w:sdt>
      <w:p w14:paraId="429890CD" w14:textId="77777777" w:rsidR="00821CFB" w:rsidRPr="00800972" w:rsidRDefault="006C3E6C" w:rsidP="00713AFE">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2952" w14:textId="77777777" w:rsidR="00821CFB" w:rsidRDefault="00821CFB" w:rsidP="00821C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41DFB8" w14:textId="77777777" w:rsidR="00821CFB" w:rsidRDefault="00821CFB" w:rsidP="00821C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36A75" w14:textId="77777777" w:rsidR="006102A7" w:rsidRDefault="00610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642990"/>
      <w:docPartObj>
        <w:docPartGallery w:val="Page Numbers (Top of Page)"/>
        <w:docPartUnique/>
      </w:docPartObj>
    </w:sdtPr>
    <w:sdtEndPr>
      <w:rPr>
        <w:noProof/>
      </w:rPr>
    </w:sdtEndPr>
    <w:sdtContent>
      <w:sdt>
        <w:sdtPr>
          <w:id w:val="-1721278063"/>
          <w:docPartObj>
            <w:docPartGallery w:val="Page Numbers (Top of Page)"/>
            <w:docPartUnique/>
          </w:docPartObj>
        </w:sdtPr>
        <w:sdtEndPr>
          <w:rPr>
            <w:noProof/>
          </w:rPr>
        </w:sdtEndPr>
        <w:sdtContent>
          <w:p w14:paraId="2A5396BC" w14:textId="77777777" w:rsidR="00821CFB" w:rsidRDefault="00821CFB" w:rsidP="00713AFE">
            <w:pPr>
              <w:pStyle w:val="Header"/>
            </w:pPr>
            <w:r>
              <w:fldChar w:fldCharType="begin"/>
            </w:r>
            <w:r>
              <w:instrText xml:space="preserve"> PAGE   \* MERGEFORMAT </w:instrText>
            </w:r>
            <w:r>
              <w:fldChar w:fldCharType="separate"/>
            </w:r>
            <w:r>
              <w:t>40</w:t>
            </w:r>
            <w:r>
              <w:rPr>
                <w:noProof/>
              </w:rPr>
              <w:fldChar w:fldCharType="end"/>
            </w:r>
          </w:p>
          <w:p w14:paraId="63CA6830" w14:textId="77777777" w:rsidR="00821CFB" w:rsidRDefault="00821CFB" w:rsidP="00713AFE">
            <w:pPr>
              <w:pStyle w:val="Header"/>
              <w:rPr>
                <w:noProof/>
              </w:rPr>
            </w:pPr>
            <w:r>
              <w:t>RAG/26-E</w:t>
            </w:r>
          </w:p>
        </w:sdtContent>
      </w:sdt>
      <w:p w14:paraId="6B394ECD" w14:textId="77777777" w:rsidR="006102A7" w:rsidRDefault="006C3E6C">
        <w:pPr>
          <w:pStyle w:val="Heade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622358"/>
      <w:docPartObj>
        <w:docPartGallery w:val="Page Numbers (Top of Page)"/>
        <w:docPartUnique/>
      </w:docPartObj>
    </w:sdtPr>
    <w:sdtEndPr>
      <w:rPr>
        <w:noProof/>
      </w:rPr>
    </w:sdtEndPr>
    <w:sdtContent>
      <w:sdt>
        <w:sdtPr>
          <w:id w:val="-534198450"/>
          <w:docPartObj>
            <w:docPartGallery w:val="Page Numbers (Top of Page)"/>
            <w:docPartUnique/>
          </w:docPartObj>
        </w:sdtPr>
        <w:sdtEndPr>
          <w:rPr>
            <w:noProof/>
          </w:rPr>
        </w:sdtEndPr>
        <w:sdtContent>
          <w:p w14:paraId="2886B8C1" w14:textId="77777777" w:rsidR="003E6DD1" w:rsidRDefault="003E6DD1" w:rsidP="00713AFE">
            <w:pPr>
              <w:pStyle w:val="Header"/>
            </w:pPr>
            <w:r>
              <w:fldChar w:fldCharType="begin"/>
            </w:r>
            <w:r>
              <w:instrText xml:space="preserve"> PAGE   \* MERGEFORMAT </w:instrText>
            </w:r>
            <w:r>
              <w:fldChar w:fldCharType="separate"/>
            </w:r>
            <w:r>
              <w:t>40</w:t>
            </w:r>
            <w:r>
              <w:rPr>
                <w:noProof/>
              </w:rPr>
              <w:fldChar w:fldCharType="end"/>
            </w:r>
          </w:p>
          <w:p w14:paraId="536A7D82" w14:textId="77777777" w:rsidR="003E6DD1" w:rsidRDefault="003E6DD1" w:rsidP="00713AFE">
            <w:pPr>
              <w:pStyle w:val="Header"/>
              <w:rPr>
                <w:noProof/>
              </w:rPr>
            </w:pPr>
            <w:r>
              <w:t>RAG/26-E</w:t>
            </w:r>
          </w:p>
        </w:sdtContent>
      </w:sdt>
      <w:p w14:paraId="375DC350" w14:textId="77777777" w:rsidR="003E6DD1" w:rsidRDefault="006C3E6C">
        <w:pPr>
          <w:pStyle w:val="Heade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563536"/>
      <w:docPartObj>
        <w:docPartGallery w:val="Page Numbers (Top of Page)"/>
        <w:docPartUnique/>
      </w:docPartObj>
    </w:sdtPr>
    <w:sdtEndPr>
      <w:rPr>
        <w:noProof/>
      </w:rPr>
    </w:sdtEndPr>
    <w:sdtContent>
      <w:sdt>
        <w:sdtPr>
          <w:id w:val="952059597"/>
          <w:docPartObj>
            <w:docPartGallery w:val="Page Numbers (Top of Page)"/>
            <w:docPartUnique/>
          </w:docPartObj>
        </w:sdtPr>
        <w:sdtEndPr>
          <w:rPr>
            <w:noProof/>
          </w:rPr>
        </w:sdtEndPr>
        <w:sdtContent>
          <w:p w14:paraId="4591D730" w14:textId="77777777" w:rsidR="00821CFB" w:rsidRDefault="00821CFB" w:rsidP="00713AFE">
            <w:pPr>
              <w:pStyle w:val="Header"/>
            </w:pPr>
            <w:r>
              <w:fldChar w:fldCharType="begin"/>
            </w:r>
            <w:r>
              <w:instrText xml:space="preserve"> PAGE   \* MERGEFORMAT </w:instrText>
            </w:r>
            <w:r>
              <w:fldChar w:fldCharType="separate"/>
            </w:r>
            <w:r>
              <w:t>40</w:t>
            </w:r>
            <w:r>
              <w:rPr>
                <w:noProof/>
              </w:rPr>
              <w:fldChar w:fldCharType="end"/>
            </w:r>
          </w:p>
          <w:p w14:paraId="06F937D0" w14:textId="77777777" w:rsidR="00821CFB" w:rsidRDefault="00821CFB" w:rsidP="00713AFE">
            <w:pPr>
              <w:pStyle w:val="Header"/>
              <w:rPr>
                <w:noProof/>
              </w:rPr>
            </w:pPr>
            <w:r>
              <w:t>RAG/26-E</w:t>
            </w:r>
          </w:p>
        </w:sdtContent>
      </w:sdt>
      <w:p w14:paraId="0D114EE2" w14:textId="6428088A" w:rsidR="00821CFB" w:rsidRPr="00800972" w:rsidRDefault="006C3E6C" w:rsidP="00713AFE">
        <w:pPr>
          <w:pStyle w:val="Header"/>
        </w:pP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017046"/>
      <w:docPartObj>
        <w:docPartGallery w:val="Page Numbers (Top of Page)"/>
        <w:docPartUnique/>
      </w:docPartObj>
    </w:sdtPr>
    <w:sdtEndPr>
      <w:rPr>
        <w:noProof/>
      </w:rPr>
    </w:sdtEndPr>
    <w:sdtContent>
      <w:sdt>
        <w:sdtPr>
          <w:id w:val="-1179583268"/>
          <w:docPartObj>
            <w:docPartGallery w:val="Page Numbers (Top of Page)"/>
            <w:docPartUnique/>
          </w:docPartObj>
        </w:sdtPr>
        <w:sdtEndPr>
          <w:rPr>
            <w:noProof/>
          </w:rPr>
        </w:sdtEndPr>
        <w:sdtContent>
          <w:p w14:paraId="7E994DFE" w14:textId="77777777" w:rsidR="00821CFB" w:rsidRDefault="00821CFB" w:rsidP="00713AFE">
            <w:pPr>
              <w:pStyle w:val="Header"/>
            </w:pPr>
            <w:r>
              <w:fldChar w:fldCharType="begin"/>
            </w:r>
            <w:r>
              <w:instrText xml:space="preserve"> PAGE   \* MERGEFORMAT </w:instrText>
            </w:r>
            <w:r>
              <w:fldChar w:fldCharType="separate"/>
            </w:r>
            <w:r>
              <w:t>40</w:t>
            </w:r>
            <w:r>
              <w:rPr>
                <w:noProof/>
              </w:rPr>
              <w:fldChar w:fldCharType="end"/>
            </w:r>
          </w:p>
          <w:p w14:paraId="5A51FACA" w14:textId="77777777" w:rsidR="00821CFB" w:rsidRDefault="00821CFB" w:rsidP="00713AFE">
            <w:pPr>
              <w:pStyle w:val="Header"/>
              <w:rPr>
                <w:noProof/>
              </w:rPr>
            </w:pPr>
            <w:r>
              <w:t>RAG/26-E</w:t>
            </w:r>
          </w:p>
        </w:sdtContent>
      </w:sdt>
      <w:p w14:paraId="00B978D1" w14:textId="4A8D3BD1" w:rsidR="00821CFB" w:rsidRPr="00800972" w:rsidRDefault="006C3E6C" w:rsidP="00713AFE">
        <w:pPr>
          <w:pStyle w:val="Header"/>
        </w:pP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6056" w14:textId="6D514CCA" w:rsidR="00821CFB" w:rsidRDefault="00821CF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50A0FC65" w14:textId="53B10DDE" w:rsidR="00821CFB" w:rsidRPr="00734104" w:rsidRDefault="00821CFB">
    <w:pPr>
      <w:pStyle w:val="Header"/>
      <w:rPr>
        <w:lang w:val="es-ES"/>
      </w:rPr>
    </w:pPr>
    <w:r>
      <w:rPr>
        <w:lang w:val="es-ES"/>
      </w:rPr>
      <w:t>RAG20/2</w:t>
    </w:r>
    <w:r w:rsidR="00675B34">
      <w:rPr>
        <w:lang w:val="es-ES"/>
      </w:rPr>
      <w:t>6</w:t>
    </w:r>
    <w:r>
      <w:rPr>
        <w:lang w:val="es-ES"/>
      </w:rPr>
      <w: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22105"/>
      <w:docPartObj>
        <w:docPartGallery w:val="Page Numbers (Top of Page)"/>
        <w:docPartUnique/>
      </w:docPartObj>
    </w:sdtPr>
    <w:sdtEndPr>
      <w:rPr>
        <w:noProof/>
      </w:rPr>
    </w:sdtEndPr>
    <w:sdtContent>
      <w:p w14:paraId="071C779B" w14:textId="77777777" w:rsidR="00821CFB" w:rsidRDefault="00821CFB" w:rsidP="00713AFE">
        <w:pPr>
          <w:pStyle w:val="Header"/>
        </w:pPr>
        <w:r>
          <w:fldChar w:fldCharType="begin"/>
        </w:r>
        <w:r>
          <w:instrText xml:space="preserve"> PAGE   \* MERGEFORMAT </w:instrText>
        </w:r>
        <w:r>
          <w:fldChar w:fldCharType="separate"/>
        </w:r>
        <w:r>
          <w:t>39</w:t>
        </w:r>
        <w:r>
          <w:rPr>
            <w:noProof/>
          </w:rPr>
          <w:fldChar w:fldCharType="end"/>
        </w:r>
      </w:p>
      <w:p w14:paraId="6A251D3E" w14:textId="07C0C669" w:rsidR="00821CFB" w:rsidRDefault="00821CFB" w:rsidP="00713AFE">
        <w:pPr>
          <w:pStyle w:val="Header"/>
          <w:rPr>
            <w:noProof/>
          </w:rPr>
        </w:pPr>
        <w:r>
          <w:t>RAG/26-E</w:t>
        </w:r>
      </w:p>
    </w:sdtContent>
  </w:sdt>
  <w:p w14:paraId="5EA2E092" w14:textId="77777777" w:rsidR="00821CFB" w:rsidRDefault="00821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ED9"/>
    <w:multiLevelType w:val="hybridMultilevel"/>
    <w:tmpl w:val="0B16CB7A"/>
    <w:lvl w:ilvl="0" w:tplc="BF80265C">
      <w:start w:val="1"/>
      <w:numFmt w:val="bullet"/>
      <w:lvlText w:val=""/>
      <w:lvlJc w:val="left"/>
      <w:pPr>
        <w:ind w:left="720" w:hanging="360"/>
      </w:pPr>
      <w:rPr>
        <w:rFonts w:ascii="Symbol" w:hAnsi="Symbol" w:hint="default"/>
      </w:rPr>
    </w:lvl>
    <w:lvl w:ilvl="1" w:tplc="1CDC9218">
      <w:start w:val="1"/>
      <w:numFmt w:val="bullet"/>
      <w:lvlText w:val="o"/>
      <w:lvlJc w:val="left"/>
      <w:pPr>
        <w:ind w:left="1440" w:hanging="360"/>
      </w:pPr>
      <w:rPr>
        <w:rFonts w:ascii="Courier New" w:hAnsi="Courier New" w:hint="default"/>
      </w:rPr>
    </w:lvl>
    <w:lvl w:ilvl="2" w:tplc="2514DA74">
      <w:start w:val="1"/>
      <w:numFmt w:val="bullet"/>
      <w:lvlText w:val=""/>
      <w:lvlJc w:val="left"/>
      <w:pPr>
        <w:ind w:left="2160" w:hanging="360"/>
      </w:pPr>
      <w:rPr>
        <w:rFonts w:ascii="Wingdings" w:hAnsi="Wingdings" w:hint="default"/>
      </w:rPr>
    </w:lvl>
    <w:lvl w:ilvl="3" w:tplc="0D6EAF62">
      <w:start w:val="1"/>
      <w:numFmt w:val="bullet"/>
      <w:lvlText w:val=""/>
      <w:lvlJc w:val="left"/>
      <w:pPr>
        <w:ind w:left="2880" w:hanging="360"/>
      </w:pPr>
      <w:rPr>
        <w:rFonts w:ascii="Symbol" w:hAnsi="Symbol" w:hint="default"/>
      </w:rPr>
    </w:lvl>
    <w:lvl w:ilvl="4" w:tplc="D04A41C0">
      <w:start w:val="1"/>
      <w:numFmt w:val="bullet"/>
      <w:lvlText w:val="o"/>
      <w:lvlJc w:val="left"/>
      <w:pPr>
        <w:ind w:left="3600" w:hanging="360"/>
      </w:pPr>
      <w:rPr>
        <w:rFonts w:ascii="Courier New" w:hAnsi="Courier New" w:hint="default"/>
      </w:rPr>
    </w:lvl>
    <w:lvl w:ilvl="5" w:tplc="B2BEC3F8">
      <w:start w:val="1"/>
      <w:numFmt w:val="bullet"/>
      <w:lvlText w:val=""/>
      <w:lvlJc w:val="left"/>
      <w:pPr>
        <w:ind w:left="4320" w:hanging="360"/>
      </w:pPr>
      <w:rPr>
        <w:rFonts w:ascii="Wingdings" w:hAnsi="Wingdings" w:hint="default"/>
      </w:rPr>
    </w:lvl>
    <w:lvl w:ilvl="6" w:tplc="8E54AAC8">
      <w:start w:val="1"/>
      <w:numFmt w:val="bullet"/>
      <w:lvlText w:val=""/>
      <w:lvlJc w:val="left"/>
      <w:pPr>
        <w:ind w:left="5040" w:hanging="360"/>
      </w:pPr>
      <w:rPr>
        <w:rFonts w:ascii="Symbol" w:hAnsi="Symbol" w:hint="default"/>
      </w:rPr>
    </w:lvl>
    <w:lvl w:ilvl="7" w:tplc="6AA22D2C">
      <w:start w:val="1"/>
      <w:numFmt w:val="bullet"/>
      <w:lvlText w:val="o"/>
      <w:lvlJc w:val="left"/>
      <w:pPr>
        <w:ind w:left="5760" w:hanging="360"/>
      </w:pPr>
      <w:rPr>
        <w:rFonts w:ascii="Courier New" w:hAnsi="Courier New" w:hint="default"/>
      </w:rPr>
    </w:lvl>
    <w:lvl w:ilvl="8" w:tplc="476668A8">
      <w:start w:val="1"/>
      <w:numFmt w:val="bullet"/>
      <w:lvlText w:val=""/>
      <w:lvlJc w:val="left"/>
      <w:pPr>
        <w:ind w:left="6480" w:hanging="360"/>
      </w:pPr>
      <w:rPr>
        <w:rFonts w:ascii="Wingdings" w:hAnsi="Wingdings" w:hint="default"/>
      </w:rPr>
    </w:lvl>
  </w:abstractNum>
  <w:abstractNum w:abstractNumId="1"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437D59"/>
    <w:multiLevelType w:val="hybridMultilevel"/>
    <w:tmpl w:val="A8FC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90494"/>
    <w:multiLevelType w:val="hybridMultilevel"/>
    <w:tmpl w:val="BC746404"/>
    <w:lvl w:ilvl="0" w:tplc="FFFFFFFF">
      <w:start w:val="1"/>
      <w:numFmt w:val="bullet"/>
      <w:lvlText w:val="–"/>
      <w:lvlJc w:val="left"/>
      <w:pPr>
        <w:ind w:left="720"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5" w15:restartNumberingAfterBreak="0">
    <w:nsid w:val="29A5498E"/>
    <w:multiLevelType w:val="hybridMultilevel"/>
    <w:tmpl w:val="C3AACC16"/>
    <w:lvl w:ilvl="0" w:tplc="FFFFFFFF">
      <w:start w:val="1"/>
      <w:numFmt w:val="bullet"/>
      <w:lvlText w:val=""/>
      <w:lvlJc w:val="left"/>
      <w:pPr>
        <w:ind w:left="720" w:hanging="360"/>
      </w:pPr>
      <w:rPr>
        <w:rFonts w:ascii="Symbol" w:hAnsi="Symbol" w:hint="default"/>
      </w:rPr>
    </w:lvl>
    <w:lvl w:ilvl="1" w:tplc="2160A864">
      <w:start w:val="5"/>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84CF1"/>
    <w:multiLevelType w:val="hybridMultilevel"/>
    <w:tmpl w:val="FD347B46"/>
    <w:lvl w:ilvl="0" w:tplc="31F288A8">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7" w15:restartNumberingAfterBreak="0">
    <w:nsid w:val="478C7E15"/>
    <w:multiLevelType w:val="hybridMultilevel"/>
    <w:tmpl w:val="8752E20C"/>
    <w:lvl w:ilvl="0" w:tplc="A3DA5A88">
      <w:start w:val="1"/>
      <w:numFmt w:val="bullet"/>
      <w:lvlText w:val=""/>
      <w:lvlJc w:val="left"/>
      <w:pPr>
        <w:ind w:left="720" w:hanging="360"/>
      </w:pPr>
      <w:rPr>
        <w:rFonts w:ascii="Symbol" w:hAnsi="Symbol" w:hint="default"/>
      </w:rPr>
    </w:lvl>
    <w:lvl w:ilvl="1" w:tplc="83027FF0">
      <w:start w:val="1"/>
      <w:numFmt w:val="bullet"/>
      <w:lvlText w:val="o"/>
      <w:lvlJc w:val="left"/>
      <w:pPr>
        <w:ind w:left="1440" w:hanging="360"/>
      </w:pPr>
      <w:rPr>
        <w:rFonts w:ascii="Courier New" w:hAnsi="Courier New" w:hint="default"/>
      </w:rPr>
    </w:lvl>
    <w:lvl w:ilvl="2" w:tplc="7F7E6478">
      <w:start w:val="1"/>
      <w:numFmt w:val="bullet"/>
      <w:lvlText w:val=""/>
      <w:lvlJc w:val="left"/>
      <w:pPr>
        <w:ind w:left="2160" w:hanging="360"/>
      </w:pPr>
      <w:rPr>
        <w:rFonts w:ascii="Wingdings" w:hAnsi="Wingdings" w:hint="default"/>
      </w:rPr>
    </w:lvl>
    <w:lvl w:ilvl="3" w:tplc="B2D636C2">
      <w:start w:val="1"/>
      <w:numFmt w:val="bullet"/>
      <w:lvlText w:val=""/>
      <w:lvlJc w:val="left"/>
      <w:pPr>
        <w:ind w:left="2880" w:hanging="360"/>
      </w:pPr>
      <w:rPr>
        <w:rFonts w:ascii="Symbol" w:hAnsi="Symbol" w:hint="default"/>
      </w:rPr>
    </w:lvl>
    <w:lvl w:ilvl="4" w:tplc="043E0344">
      <w:start w:val="1"/>
      <w:numFmt w:val="bullet"/>
      <w:lvlText w:val="o"/>
      <w:lvlJc w:val="left"/>
      <w:pPr>
        <w:ind w:left="3600" w:hanging="360"/>
      </w:pPr>
      <w:rPr>
        <w:rFonts w:ascii="Courier New" w:hAnsi="Courier New" w:hint="default"/>
      </w:rPr>
    </w:lvl>
    <w:lvl w:ilvl="5" w:tplc="A852DF6E">
      <w:start w:val="1"/>
      <w:numFmt w:val="bullet"/>
      <w:lvlText w:val=""/>
      <w:lvlJc w:val="left"/>
      <w:pPr>
        <w:ind w:left="4320" w:hanging="360"/>
      </w:pPr>
      <w:rPr>
        <w:rFonts w:ascii="Wingdings" w:hAnsi="Wingdings" w:hint="default"/>
      </w:rPr>
    </w:lvl>
    <w:lvl w:ilvl="6" w:tplc="27844898">
      <w:start w:val="1"/>
      <w:numFmt w:val="bullet"/>
      <w:lvlText w:val=""/>
      <w:lvlJc w:val="left"/>
      <w:pPr>
        <w:ind w:left="5040" w:hanging="360"/>
      </w:pPr>
      <w:rPr>
        <w:rFonts w:ascii="Symbol" w:hAnsi="Symbol" w:hint="default"/>
      </w:rPr>
    </w:lvl>
    <w:lvl w:ilvl="7" w:tplc="479C8800">
      <w:start w:val="1"/>
      <w:numFmt w:val="bullet"/>
      <w:lvlText w:val="o"/>
      <w:lvlJc w:val="left"/>
      <w:pPr>
        <w:ind w:left="5760" w:hanging="360"/>
      </w:pPr>
      <w:rPr>
        <w:rFonts w:ascii="Courier New" w:hAnsi="Courier New" w:hint="default"/>
      </w:rPr>
    </w:lvl>
    <w:lvl w:ilvl="8" w:tplc="0FFA6D1A">
      <w:start w:val="1"/>
      <w:numFmt w:val="bullet"/>
      <w:lvlText w:val=""/>
      <w:lvlJc w:val="left"/>
      <w:pPr>
        <w:ind w:left="6480" w:hanging="360"/>
      </w:pPr>
      <w:rPr>
        <w:rFonts w:ascii="Wingdings" w:hAnsi="Wingdings" w:hint="default"/>
      </w:rPr>
    </w:lvl>
  </w:abstractNum>
  <w:abstractNum w:abstractNumId="8" w15:restartNumberingAfterBreak="0">
    <w:nsid w:val="48C61FD1"/>
    <w:multiLevelType w:val="hybridMultilevel"/>
    <w:tmpl w:val="BD643128"/>
    <w:lvl w:ilvl="0" w:tplc="20BC1AB0">
      <w:start w:val="1"/>
      <w:numFmt w:val="bullet"/>
      <w:lvlText w:val=""/>
      <w:lvlJc w:val="left"/>
      <w:pPr>
        <w:ind w:left="720" w:hanging="360"/>
      </w:pPr>
      <w:rPr>
        <w:rFonts w:ascii="Symbol" w:hAnsi="Symbol" w:hint="default"/>
      </w:rPr>
    </w:lvl>
    <w:lvl w:ilvl="1" w:tplc="1B889112">
      <w:start w:val="1"/>
      <w:numFmt w:val="bullet"/>
      <w:lvlText w:val="o"/>
      <w:lvlJc w:val="left"/>
      <w:pPr>
        <w:ind w:left="1440" w:hanging="360"/>
      </w:pPr>
      <w:rPr>
        <w:rFonts w:ascii="Courier New" w:hAnsi="Courier New" w:hint="default"/>
      </w:rPr>
    </w:lvl>
    <w:lvl w:ilvl="2" w:tplc="02BC2AB0">
      <w:start w:val="1"/>
      <w:numFmt w:val="bullet"/>
      <w:lvlText w:val=""/>
      <w:lvlJc w:val="left"/>
      <w:pPr>
        <w:ind w:left="2160" w:hanging="360"/>
      </w:pPr>
      <w:rPr>
        <w:rFonts w:ascii="Wingdings" w:hAnsi="Wingdings" w:hint="default"/>
      </w:rPr>
    </w:lvl>
    <w:lvl w:ilvl="3" w:tplc="F440C83E">
      <w:start w:val="1"/>
      <w:numFmt w:val="bullet"/>
      <w:lvlText w:val=""/>
      <w:lvlJc w:val="left"/>
      <w:pPr>
        <w:ind w:left="2880" w:hanging="360"/>
      </w:pPr>
      <w:rPr>
        <w:rFonts w:ascii="Symbol" w:hAnsi="Symbol" w:hint="default"/>
      </w:rPr>
    </w:lvl>
    <w:lvl w:ilvl="4" w:tplc="AF90B35C">
      <w:start w:val="1"/>
      <w:numFmt w:val="bullet"/>
      <w:lvlText w:val="o"/>
      <w:lvlJc w:val="left"/>
      <w:pPr>
        <w:ind w:left="3600" w:hanging="360"/>
      </w:pPr>
      <w:rPr>
        <w:rFonts w:ascii="Courier New" w:hAnsi="Courier New" w:hint="default"/>
      </w:rPr>
    </w:lvl>
    <w:lvl w:ilvl="5" w:tplc="562E80D0">
      <w:start w:val="1"/>
      <w:numFmt w:val="bullet"/>
      <w:lvlText w:val=""/>
      <w:lvlJc w:val="left"/>
      <w:pPr>
        <w:ind w:left="4320" w:hanging="360"/>
      </w:pPr>
      <w:rPr>
        <w:rFonts w:ascii="Wingdings" w:hAnsi="Wingdings" w:hint="default"/>
      </w:rPr>
    </w:lvl>
    <w:lvl w:ilvl="6" w:tplc="2BACE686">
      <w:start w:val="1"/>
      <w:numFmt w:val="bullet"/>
      <w:lvlText w:val=""/>
      <w:lvlJc w:val="left"/>
      <w:pPr>
        <w:ind w:left="5040" w:hanging="360"/>
      </w:pPr>
      <w:rPr>
        <w:rFonts w:ascii="Symbol" w:hAnsi="Symbol" w:hint="default"/>
      </w:rPr>
    </w:lvl>
    <w:lvl w:ilvl="7" w:tplc="64AA316E">
      <w:start w:val="1"/>
      <w:numFmt w:val="bullet"/>
      <w:lvlText w:val="o"/>
      <w:lvlJc w:val="left"/>
      <w:pPr>
        <w:ind w:left="5760" w:hanging="360"/>
      </w:pPr>
      <w:rPr>
        <w:rFonts w:ascii="Courier New" w:hAnsi="Courier New" w:hint="default"/>
      </w:rPr>
    </w:lvl>
    <w:lvl w:ilvl="8" w:tplc="B04CEB7C">
      <w:start w:val="1"/>
      <w:numFmt w:val="bullet"/>
      <w:lvlText w:val=""/>
      <w:lvlJc w:val="left"/>
      <w:pPr>
        <w:ind w:left="6480" w:hanging="360"/>
      </w:pPr>
      <w:rPr>
        <w:rFonts w:ascii="Wingdings" w:hAnsi="Wingdings" w:hint="default"/>
      </w:rPr>
    </w:lvl>
  </w:abstractNum>
  <w:abstractNum w:abstractNumId="9" w15:restartNumberingAfterBreak="0">
    <w:nsid w:val="508A0290"/>
    <w:multiLevelType w:val="hybridMultilevel"/>
    <w:tmpl w:val="D9145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F0118"/>
    <w:multiLevelType w:val="hybridMultilevel"/>
    <w:tmpl w:val="35906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E078A"/>
    <w:multiLevelType w:val="hybridMultilevel"/>
    <w:tmpl w:val="EDD0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AA1213"/>
    <w:multiLevelType w:val="hybridMultilevel"/>
    <w:tmpl w:val="4B78D292"/>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C2DBB"/>
    <w:multiLevelType w:val="hybridMultilevel"/>
    <w:tmpl w:val="26B41578"/>
    <w:lvl w:ilvl="0" w:tplc="08090001">
      <w:start w:val="1"/>
      <w:numFmt w:val="bullet"/>
      <w:lvlText w:val=""/>
      <w:lvlJc w:val="left"/>
      <w:pPr>
        <w:ind w:left="720" w:hanging="360"/>
      </w:pPr>
      <w:rPr>
        <w:rFonts w:ascii="Symbol" w:hAnsi="Symbol" w:hint="default"/>
      </w:rPr>
    </w:lvl>
    <w:lvl w:ilvl="1" w:tplc="4C0CC49C">
      <w:start w:val="1"/>
      <w:numFmt w:val="lowerLetter"/>
      <w:lvlText w:val="%2."/>
      <w:lvlJc w:val="left"/>
      <w:pPr>
        <w:ind w:left="1440" w:hanging="360"/>
      </w:pPr>
    </w:lvl>
    <w:lvl w:ilvl="2" w:tplc="19204214">
      <w:start w:val="1"/>
      <w:numFmt w:val="lowerRoman"/>
      <w:lvlText w:val="%3."/>
      <w:lvlJc w:val="right"/>
      <w:pPr>
        <w:ind w:left="2160" w:hanging="180"/>
      </w:pPr>
    </w:lvl>
    <w:lvl w:ilvl="3" w:tplc="7C82FCF4">
      <w:start w:val="1"/>
      <w:numFmt w:val="decimal"/>
      <w:lvlText w:val="%4."/>
      <w:lvlJc w:val="left"/>
      <w:pPr>
        <w:ind w:left="2880" w:hanging="360"/>
      </w:pPr>
    </w:lvl>
    <w:lvl w:ilvl="4" w:tplc="DF08C824">
      <w:start w:val="1"/>
      <w:numFmt w:val="lowerLetter"/>
      <w:lvlText w:val="%5."/>
      <w:lvlJc w:val="left"/>
      <w:pPr>
        <w:ind w:left="3600" w:hanging="360"/>
      </w:pPr>
    </w:lvl>
    <w:lvl w:ilvl="5" w:tplc="C6ECCD88">
      <w:start w:val="1"/>
      <w:numFmt w:val="lowerRoman"/>
      <w:lvlText w:val="%6."/>
      <w:lvlJc w:val="right"/>
      <w:pPr>
        <w:ind w:left="4320" w:hanging="180"/>
      </w:pPr>
    </w:lvl>
    <w:lvl w:ilvl="6" w:tplc="5976812A">
      <w:start w:val="1"/>
      <w:numFmt w:val="decimal"/>
      <w:lvlText w:val="%7."/>
      <w:lvlJc w:val="left"/>
      <w:pPr>
        <w:ind w:left="5040" w:hanging="360"/>
      </w:pPr>
    </w:lvl>
    <w:lvl w:ilvl="7" w:tplc="A4B40950">
      <w:start w:val="1"/>
      <w:numFmt w:val="lowerLetter"/>
      <w:lvlText w:val="%8."/>
      <w:lvlJc w:val="left"/>
      <w:pPr>
        <w:ind w:left="5760" w:hanging="360"/>
      </w:pPr>
    </w:lvl>
    <w:lvl w:ilvl="8" w:tplc="86001A4C">
      <w:start w:val="1"/>
      <w:numFmt w:val="lowerRoman"/>
      <w:lvlText w:val="%9."/>
      <w:lvlJc w:val="right"/>
      <w:pPr>
        <w:ind w:left="6480" w:hanging="180"/>
      </w:pPr>
    </w:lvl>
  </w:abstractNum>
  <w:abstractNum w:abstractNumId="14" w15:restartNumberingAfterBreak="0">
    <w:nsid w:val="72F8649D"/>
    <w:multiLevelType w:val="hybridMultilevel"/>
    <w:tmpl w:val="3FC6163E"/>
    <w:lvl w:ilvl="0" w:tplc="8AE641FE">
      <w:start w:val="1"/>
      <w:numFmt w:val="bullet"/>
      <w:lvlText w:val=""/>
      <w:lvlJc w:val="left"/>
      <w:pPr>
        <w:ind w:left="720" w:hanging="360"/>
      </w:pPr>
      <w:rPr>
        <w:rFonts w:ascii="Symbol" w:hAnsi="Symbol" w:hint="default"/>
      </w:rPr>
    </w:lvl>
    <w:lvl w:ilvl="1" w:tplc="09E613A0">
      <w:start w:val="1"/>
      <w:numFmt w:val="bullet"/>
      <w:lvlText w:val="o"/>
      <w:lvlJc w:val="left"/>
      <w:pPr>
        <w:ind w:left="1440" w:hanging="360"/>
      </w:pPr>
      <w:rPr>
        <w:rFonts w:ascii="Courier New" w:hAnsi="Courier New" w:hint="default"/>
      </w:rPr>
    </w:lvl>
    <w:lvl w:ilvl="2" w:tplc="4FDC2EC8">
      <w:start w:val="1"/>
      <w:numFmt w:val="bullet"/>
      <w:lvlText w:val=""/>
      <w:lvlJc w:val="left"/>
      <w:pPr>
        <w:ind w:left="2160" w:hanging="360"/>
      </w:pPr>
      <w:rPr>
        <w:rFonts w:ascii="Wingdings" w:hAnsi="Wingdings" w:hint="default"/>
      </w:rPr>
    </w:lvl>
    <w:lvl w:ilvl="3" w:tplc="14988104">
      <w:start w:val="1"/>
      <w:numFmt w:val="bullet"/>
      <w:lvlText w:val=""/>
      <w:lvlJc w:val="left"/>
      <w:pPr>
        <w:ind w:left="2880" w:hanging="360"/>
      </w:pPr>
      <w:rPr>
        <w:rFonts w:ascii="Symbol" w:hAnsi="Symbol" w:hint="default"/>
      </w:rPr>
    </w:lvl>
    <w:lvl w:ilvl="4" w:tplc="0598F074">
      <w:start w:val="1"/>
      <w:numFmt w:val="bullet"/>
      <w:lvlText w:val="o"/>
      <w:lvlJc w:val="left"/>
      <w:pPr>
        <w:ind w:left="3600" w:hanging="360"/>
      </w:pPr>
      <w:rPr>
        <w:rFonts w:ascii="Courier New" w:hAnsi="Courier New" w:hint="default"/>
      </w:rPr>
    </w:lvl>
    <w:lvl w:ilvl="5" w:tplc="48D8E0BA">
      <w:start w:val="1"/>
      <w:numFmt w:val="bullet"/>
      <w:lvlText w:val=""/>
      <w:lvlJc w:val="left"/>
      <w:pPr>
        <w:ind w:left="4320" w:hanging="360"/>
      </w:pPr>
      <w:rPr>
        <w:rFonts w:ascii="Wingdings" w:hAnsi="Wingdings" w:hint="default"/>
      </w:rPr>
    </w:lvl>
    <w:lvl w:ilvl="6" w:tplc="C4B84428">
      <w:start w:val="1"/>
      <w:numFmt w:val="bullet"/>
      <w:lvlText w:val=""/>
      <w:lvlJc w:val="left"/>
      <w:pPr>
        <w:ind w:left="5040" w:hanging="360"/>
      </w:pPr>
      <w:rPr>
        <w:rFonts w:ascii="Symbol" w:hAnsi="Symbol" w:hint="default"/>
      </w:rPr>
    </w:lvl>
    <w:lvl w:ilvl="7" w:tplc="3690AE68">
      <w:start w:val="1"/>
      <w:numFmt w:val="bullet"/>
      <w:lvlText w:val="o"/>
      <w:lvlJc w:val="left"/>
      <w:pPr>
        <w:ind w:left="5760" w:hanging="360"/>
      </w:pPr>
      <w:rPr>
        <w:rFonts w:ascii="Courier New" w:hAnsi="Courier New" w:hint="default"/>
      </w:rPr>
    </w:lvl>
    <w:lvl w:ilvl="8" w:tplc="6A36354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1"/>
  </w:num>
  <w:num w:numId="5">
    <w:abstractNumId w:val="0"/>
  </w:num>
  <w:num w:numId="6">
    <w:abstractNumId w:val="14"/>
  </w:num>
  <w:num w:numId="7">
    <w:abstractNumId w:val="12"/>
  </w:num>
  <w:num w:numId="8">
    <w:abstractNumId w:val="3"/>
  </w:num>
  <w:num w:numId="9">
    <w:abstractNumId w:val="4"/>
  </w:num>
  <w:num w:numId="10">
    <w:abstractNumId w:val="6"/>
  </w:num>
  <w:num w:numId="11">
    <w:abstractNumId w:val="10"/>
  </w:num>
  <w:num w:numId="12">
    <w:abstractNumId w:val="13"/>
  </w:num>
  <w:num w:numId="13">
    <w:abstractNumId w:val="8"/>
  </w:num>
  <w:num w:numId="14">
    <w:abstractNumId w:val="7"/>
  </w:num>
  <w:num w:numId="15">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3sLQwNTewsDS3sDBU0lEKTi0uzszPAykwtKwFAAWDdxMtAAAA"/>
  </w:docVars>
  <w:rsids>
    <w:rsidRoot w:val="00337A4C"/>
    <w:rsid w:val="00000AD3"/>
    <w:rsid w:val="00002175"/>
    <w:rsid w:val="000060CE"/>
    <w:rsid w:val="00011634"/>
    <w:rsid w:val="00015BC1"/>
    <w:rsid w:val="0001BA1E"/>
    <w:rsid w:val="0002083C"/>
    <w:rsid w:val="000220FF"/>
    <w:rsid w:val="00023312"/>
    <w:rsid w:val="00024708"/>
    <w:rsid w:val="00027EAC"/>
    <w:rsid w:val="000309B9"/>
    <w:rsid w:val="00033BED"/>
    <w:rsid w:val="00033FA3"/>
    <w:rsid w:val="00034247"/>
    <w:rsid w:val="000346D9"/>
    <w:rsid w:val="00034F95"/>
    <w:rsid w:val="00035CBF"/>
    <w:rsid w:val="00040DE0"/>
    <w:rsid w:val="00043303"/>
    <w:rsid w:val="00043476"/>
    <w:rsid w:val="00044490"/>
    <w:rsid w:val="00050FE1"/>
    <w:rsid w:val="000550FB"/>
    <w:rsid w:val="00055989"/>
    <w:rsid w:val="00055E29"/>
    <w:rsid w:val="0005662E"/>
    <w:rsid w:val="00057F79"/>
    <w:rsid w:val="00060FAE"/>
    <w:rsid w:val="000626C7"/>
    <w:rsid w:val="00064C59"/>
    <w:rsid w:val="00065455"/>
    <w:rsid w:val="000657B3"/>
    <w:rsid w:val="00065EEF"/>
    <w:rsid w:val="0007131F"/>
    <w:rsid w:val="0007326C"/>
    <w:rsid w:val="00075AA5"/>
    <w:rsid w:val="000765E6"/>
    <w:rsid w:val="000776B8"/>
    <w:rsid w:val="0007773C"/>
    <w:rsid w:val="000805F7"/>
    <w:rsid w:val="000816CE"/>
    <w:rsid w:val="00082414"/>
    <w:rsid w:val="00084569"/>
    <w:rsid w:val="000871A0"/>
    <w:rsid w:val="00093B4D"/>
    <w:rsid w:val="00093C73"/>
    <w:rsid w:val="0009548C"/>
    <w:rsid w:val="000A0A9B"/>
    <w:rsid w:val="000A243C"/>
    <w:rsid w:val="000A3EAD"/>
    <w:rsid w:val="000A4695"/>
    <w:rsid w:val="000A591F"/>
    <w:rsid w:val="000A7A35"/>
    <w:rsid w:val="000B33C0"/>
    <w:rsid w:val="000B4EB2"/>
    <w:rsid w:val="000B7480"/>
    <w:rsid w:val="000C2262"/>
    <w:rsid w:val="000C24AD"/>
    <w:rsid w:val="000D39D7"/>
    <w:rsid w:val="000D3B8E"/>
    <w:rsid w:val="000D632E"/>
    <w:rsid w:val="000E1103"/>
    <w:rsid w:val="000E131E"/>
    <w:rsid w:val="000E666A"/>
    <w:rsid w:val="000E6799"/>
    <w:rsid w:val="000E6DEC"/>
    <w:rsid w:val="000E7695"/>
    <w:rsid w:val="000F2431"/>
    <w:rsid w:val="0010008B"/>
    <w:rsid w:val="00107825"/>
    <w:rsid w:val="001079BC"/>
    <w:rsid w:val="001108D3"/>
    <w:rsid w:val="0011238F"/>
    <w:rsid w:val="00112618"/>
    <w:rsid w:val="00114EDF"/>
    <w:rsid w:val="00115928"/>
    <w:rsid w:val="00115E4A"/>
    <w:rsid w:val="00116408"/>
    <w:rsid w:val="0011695A"/>
    <w:rsid w:val="0012005B"/>
    <w:rsid w:val="001264B4"/>
    <w:rsid w:val="00127591"/>
    <w:rsid w:val="00127FB8"/>
    <w:rsid w:val="001377D6"/>
    <w:rsid w:val="001423F0"/>
    <w:rsid w:val="0014346F"/>
    <w:rsid w:val="00143BD4"/>
    <w:rsid w:val="00143BFF"/>
    <w:rsid w:val="00144F00"/>
    <w:rsid w:val="0014516E"/>
    <w:rsid w:val="00146F9F"/>
    <w:rsid w:val="00147CE4"/>
    <w:rsid w:val="00150420"/>
    <w:rsid w:val="0015222D"/>
    <w:rsid w:val="0015304F"/>
    <w:rsid w:val="001531B6"/>
    <w:rsid w:val="00161F67"/>
    <w:rsid w:val="001623F0"/>
    <w:rsid w:val="001632FD"/>
    <w:rsid w:val="0016400D"/>
    <w:rsid w:val="0017451B"/>
    <w:rsid w:val="00174854"/>
    <w:rsid w:val="00174F58"/>
    <w:rsid w:val="00176DCC"/>
    <w:rsid w:val="00177F5F"/>
    <w:rsid w:val="00182214"/>
    <w:rsid w:val="0018296B"/>
    <w:rsid w:val="00183BA8"/>
    <w:rsid w:val="00186D28"/>
    <w:rsid w:val="001874FE"/>
    <w:rsid w:val="00190C37"/>
    <w:rsid w:val="00192505"/>
    <w:rsid w:val="00193895"/>
    <w:rsid w:val="00193EFC"/>
    <w:rsid w:val="00193F54"/>
    <w:rsid w:val="00197DF0"/>
    <w:rsid w:val="001A1CDD"/>
    <w:rsid w:val="001B0C85"/>
    <w:rsid w:val="001B1C52"/>
    <w:rsid w:val="001B339D"/>
    <w:rsid w:val="001B3F64"/>
    <w:rsid w:val="001B43C9"/>
    <w:rsid w:val="001B48E3"/>
    <w:rsid w:val="001B6B44"/>
    <w:rsid w:val="001B7F7F"/>
    <w:rsid w:val="001C46CC"/>
    <w:rsid w:val="001D165D"/>
    <w:rsid w:val="001D1B25"/>
    <w:rsid w:val="001D24FC"/>
    <w:rsid w:val="001D3045"/>
    <w:rsid w:val="001D3800"/>
    <w:rsid w:val="001D5B2A"/>
    <w:rsid w:val="001D7383"/>
    <w:rsid w:val="001E2AC1"/>
    <w:rsid w:val="001E3D9C"/>
    <w:rsid w:val="001E41A0"/>
    <w:rsid w:val="001E7DB9"/>
    <w:rsid w:val="001F1698"/>
    <w:rsid w:val="001F1EB8"/>
    <w:rsid w:val="001F7A0B"/>
    <w:rsid w:val="00203F51"/>
    <w:rsid w:val="00207EC8"/>
    <w:rsid w:val="00210CF0"/>
    <w:rsid w:val="00211212"/>
    <w:rsid w:val="00213ADE"/>
    <w:rsid w:val="0022466F"/>
    <w:rsid w:val="00224AD5"/>
    <w:rsid w:val="00225414"/>
    <w:rsid w:val="00227835"/>
    <w:rsid w:val="0023077B"/>
    <w:rsid w:val="00232B65"/>
    <w:rsid w:val="0023497E"/>
    <w:rsid w:val="00236307"/>
    <w:rsid w:val="002364C8"/>
    <w:rsid w:val="00237E22"/>
    <w:rsid w:val="00240643"/>
    <w:rsid w:val="00240F57"/>
    <w:rsid w:val="00241E2F"/>
    <w:rsid w:val="002468D8"/>
    <w:rsid w:val="00250676"/>
    <w:rsid w:val="002509DA"/>
    <w:rsid w:val="00250A0F"/>
    <w:rsid w:val="002573FD"/>
    <w:rsid w:val="00260C19"/>
    <w:rsid w:val="002619AD"/>
    <w:rsid w:val="0026340E"/>
    <w:rsid w:val="0026582F"/>
    <w:rsid w:val="00270341"/>
    <w:rsid w:val="002725A0"/>
    <w:rsid w:val="0027735B"/>
    <w:rsid w:val="002774E4"/>
    <w:rsid w:val="00280E84"/>
    <w:rsid w:val="002829BE"/>
    <w:rsid w:val="00282F64"/>
    <w:rsid w:val="00285BAD"/>
    <w:rsid w:val="00286F9F"/>
    <w:rsid w:val="00287EB9"/>
    <w:rsid w:val="00291ADF"/>
    <w:rsid w:val="00293127"/>
    <w:rsid w:val="00293E8A"/>
    <w:rsid w:val="00293EE3"/>
    <w:rsid w:val="002946AB"/>
    <w:rsid w:val="002A2FD0"/>
    <w:rsid w:val="002A3351"/>
    <w:rsid w:val="002A4E65"/>
    <w:rsid w:val="002A545A"/>
    <w:rsid w:val="002A6689"/>
    <w:rsid w:val="002A745F"/>
    <w:rsid w:val="002B11DC"/>
    <w:rsid w:val="002B1CC3"/>
    <w:rsid w:val="002B33ED"/>
    <w:rsid w:val="002B5164"/>
    <w:rsid w:val="002C0A9C"/>
    <w:rsid w:val="002C54FB"/>
    <w:rsid w:val="002D1D27"/>
    <w:rsid w:val="002D54EC"/>
    <w:rsid w:val="002D5DC4"/>
    <w:rsid w:val="002D6F02"/>
    <w:rsid w:val="002D77A2"/>
    <w:rsid w:val="002E138F"/>
    <w:rsid w:val="002E2BD8"/>
    <w:rsid w:val="002E5ED3"/>
    <w:rsid w:val="002E6CCC"/>
    <w:rsid w:val="002E7748"/>
    <w:rsid w:val="002F0A02"/>
    <w:rsid w:val="002F2BCA"/>
    <w:rsid w:val="002F3722"/>
    <w:rsid w:val="002F4DA3"/>
    <w:rsid w:val="00300A0A"/>
    <w:rsid w:val="00312549"/>
    <w:rsid w:val="003159E9"/>
    <w:rsid w:val="00316D9A"/>
    <w:rsid w:val="00317F32"/>
    <w:rsid w:val="00320CF2"/>
    <w:rsid w:val="003211C6"/>
    <w:rsid w:val="003222F9"/>
    <w:rsid w:val="00322763"/>
    <w:rsid w:val="00323F0D"/>
    <w:rsid w:val="0032531B"/>
    <w:rsid w:val="003265B0"/>
    <w:rsid w:val="0033185C"/>
    <w:rsid w:val="00333203"/>
    <w:rsid w:val="003332FE"/>
    <w:rsid w:val="00335140"/>
    <w:rsid w:val="003359B1"/>
    <w:rsid w:val="00337A4C"/>
    <w:rsid w:val="00337C36"/>
    <w:rsid w:val="00343AF1"/>
    <w:rsid w:val="003452B5"/>
    <w:rsid w:val="003507FB"/>
    <w:rsid w:val="0035104E"/>
    <w:rsid w:val="0035149C"/>
    <w:rsid w:val="0035197E"/>
    <w:rsid w:val="003544EE"/>
    <w:rsid w:val="0035544B"/>
    <w:rsid w:val="00355958"/>
    <w:rsid w:val="00356936"/>
    <w:rsid w:val="003626E6"/>
    <w:rsid w:val="003651CE"/>
    <w:rsid w:val="003670BD"/>
    <w:rsid w:val="00373054"/>
    <w:rsid w:val="00373AA9"/>
    <w:rsid w:val="003743A1"/>
    <w:rsid w:val="0037519D"/>
    <w:rsid w:val="00384678"/>
    <w:rsid w:val="00384C99"/>
    <w:rsid w:val="00385C78"/>
    <w:rsid w:val="00386322"/>
    <w:rsid w:val="00390A75"/>
    <w:rsid w:val="00393254"/>
    <w:rsid w:val="0039356D"/>
    <w:rsid w:val="003943EE"/>
    <w:rsid w:val="0039540A"/>
    <w:rsid w:val="00395C65"/>
    <w:rsid w:val="00397CF5"/>
    <w:rsid w:val="003A0DF1"/>
    <w:rsid w:val="003A344C"/>
    <w:rsid w:val="003A3F61"/>
    <w:rsid w:val="003A4FBB"/>
    <w:rsid w:val="003A59F0"/>
    <w:rsid w:val="003A5F22"/>
    <w:rsid w:val="003B23CD"/>
    <w:rsid w:val="003B5634"/>
    <w:rsid w:val="003B679A"/>
    <w:rsid w:val="003C22B4"/>
    <w:rsid w:val="003C51AF"/>
    <w:rsid w:val="003C69EC"/>
    <w:rsid w:val="003C7B03"/>
    <w:rsid w:val="003C7EF0"/>
    <w:rsid w:val="003D009B"/>
    <w:rsid w:val="003D068D"/>
    <w:rsid w:val="003D257C"/>
    <w:rsid w:val="003D7109"/>
    <w:rsid w:val="003E2CE2"/>
    <w:rsid w:val="003E3CAC"/>
    <w:rsid w:val="003E607E"/>
    <w:rsid w:val="003E6DD1"/>
    <w:rsid w:val="003F108F"/>
    <w:rsid w:val="003F1B46"/>
    <w:rsid w:val="003F5E82"/>
    <w:rsid w:val="003F7138"/>
    <w:rsid w:val="00403C2C"/>
    <w:rsid w:val="00406222"/>
    <w:rsid w:val="004079CF"/>
    <w:rsid w:val="00407A9C"/>
    <w:rsid w:val="00407F90"/>
    <w:rsid w:val="00411103"/>
    <w:rsid w:val="00416747"/>
    <w:rsid w:val="00420F57"/>
    <w:rsid w:val="00421ABC"/>
    <w:rsid w:val="00424D3E"/>
    <w:rsid w:val="00427A40"/>
    <w:rsid w:val="0043141D"/>
    <w:rsid w:val="004329C9"/>
    <w:rsid w:val="004338C8"/>
    <w:rsid w:val="00436E8A"/>
    <w:rsid w:val="00440770"/>
    <w:rsid w:val="0044262F"/>
    <w:rsid w:val="0044374D"/>
    <w:rsid w:val="00443FB5"/>
    <w:rsid w:val="00453995"/>
    <w:rsid w:val="00453F78"/>
    <w:rsid w:val="00454AB5"/>
    <w:rsid w:val="004590C3"/>
    <w:rsid w:val="00461D9E"/>
    <w:rsid w:val="004623F2"/>
    <w:rsid w:val="004634B1"/>
    <w:rsid w:val="00466F36"/>
    <w:rsid w:val="0046704B"/>
    <w:rsid w:val="0047069A"/>
    <w:rsid w:val="00470D39"/>
    <w:rsid w:val="004725C3"/>
    <w:rsid w:val="00473D24"/>
    <w:rsid w:val="00477B39"/>
    <w:rsid w:val="00477C2A"/>
    <w:rsid w:val="0048010E"/>
    <w:rsid w:val="00481551"/>
    <w:rsid w:val="00483919"/>
    <w:rsid w:val="00485454"/>
    <w:rsid w:val="00491536"/>
    <w:rsid w:val="00492325"/>
    <w:rsid w:val="004924AB"/>
    <w:rsid w:val="0049384C"/>
    <w:rsid w:val="0049493C"/>
    <w:rsid w:val="00496F7D"/>
    <w:rsid w:val="004A0601"/>
    <w:rsid w:val="004A0D4B"/>
    <w:rsid w:val="004A1131"/>
    <w:rsid w:val="004A291F"/>
    <w:rsid w:val="004A3B8C"/>
    <w:rsid w:val="004B6A8A"/>
    <w:rsid w:val="004B7772"/>
    <w:rsid w:val="004C10EB"/>
    <w:rsid w:val="004C2E34"/>
    <w:rsid w:val="004C3C60"/>
    <w:rsid w:val="004C41D9"/>
    <w:rsid w:val="004C4E8C"/>
    <w:rsid w:val="004C5038"/>
    <w:rsid w:val="004D7701"/>
    <w:rsid w:val="004D79B6"/>
    <w:rsid w:val="004E2144"/>
    <w:rsid w:val="004E372E"/>
    <w:rsid w:val="004E5728"/>
    <w:rsid w:val="004F0848"/>
    <w:rsid w:val="004F0B40"/>
    <w:rsid w:val="004F2D3F"/>
    <w:rsid w:val="004F38C3"/>
    <w:rsid w:val="004F6C24"/>
    <w:rsid w:val="004F7EA8"/>
    <w:rsid w:val="00500085"/>
    <w:rsid w:val="005000C4"/>
    <w:rsid w:val="005009DD"/>
    <w:rsid w:val="00503766"/>
    <w:rsid w:val="0050643C"/>
    <w:rsid w:val="00506E48"/>
    <w:rsid w:val="00507DA3"/>
    <w:rsid w:val="005143EB"/>
    <w:rsid w:val="00514C8D"/>
    <w:rsid w:val="005159D6"/>
    <w:rsid w:val="00516A17"/>
    <w:rsid w:val="0051782D"/>
    <w:rsid w:val="00517A13"/>
    <w:rsid w:val="00517F99"/>
    <w:rsid w:val="00522291"/>
    <w:rsid w:val="00522393"/>
    <w:rsid w:val="0053520F"/>
    <w:rsid w:val="00535449"/>
    <w:rsid w:val="00542F60"/>
    <w:rsid w:val="00545D51"/>
    <w:rsid w:val="00546535"/>
    <w:rsid w:val="005514FD"/>
    <w:rsid w:val="005530A5"/>
    <w:rsid w:val="00554989"/>
    <w:rsid w:val="00562087"/>
    <w:rsid w:val="0056300D"/>
    <w:rsid w:val="00564D93"/>
    <w:rsid w:val="005669FB"/>
    <w:rsid w:val="00566C52"/>
    <w:rsid w:val="00570902"/>
    <w:rsid w:val="005711A5"/>
    <w:rsid w:val="005714A4"/>
    <w:rsid w:val="005715DA"/>
    <w:rsid w:val="005719DB"/>
    <w:rsid w:val="00571AAD"/>
    <w:rsid w:val="00573E54"/>
    <w:rsid w:val="00575FE9"/>
    <w:rsid w:val="005760F0"/>
    <w:rsid w:val="005761A0"/>
    <w:rsid w:val="00577DC3"/>
    <w:rsid w:val="0058015A"/>
    <w:rsid w:val="00580203"/>
    <w:rsid w:val="00586040"/>
    <w:rsid w:val="0058777E"/>
    <w:rsid w:val="00587C3E"/>
    <w:rsid w:val="00597657"/>
    <w:rsid w:val="005A6D56"/>
    <w:rsid w:val="005A76A6"/>
    <w:rsid w:val="005B1A0F"/>
    <w:rsid w:val="005B2C58"/>
    <w:rsid w:val="005B5627"/>
    <w:rsid w:val="005B70ED"/>
    <w:rsid w:val="005C12DA"/>
    <w:rsid w:val="005C1B7A"/>
    <w:rsid w:val="005C2B84"/>
    <w:rsid w:val="005C3C87"/>
    <w:rsid w:val="005C3FD5"/>
    <w:rsid w:val="005C490D"/>
    <w:rsid w:val="005C58CA"/>
    <w:rsid w:val="005D0253"/>
    <w:rsid w:val="005D0990"/>
    <w:rsid w:val="005D0E51"/>
    <w:rsid w:val="005D1904"/>
    <w:rsid w:val="005D59AF"/>
    <w:rsid w:val="005D5BC6"/>
    <w:rsid w:val="005E2F41"/>
    <w:rsid w:val="005E358D"/>
    <w:rsid w:val="005E4C08"/>
    <w:rsid w:val="005E5501"/>
    <w:rsid w:val="005F1BB1"/>
    <w:rsid w:val="005F2BAE"/>
    <w:rsid w:val="005F4651"/>
    <w:rsid w:val="005F6F27"/>
    <w:rsid w:val="00600410"/>
    <w:rsid w:val="00602037"/>
    <w:rsid w:val="006026FE"/>
    <w:rsid w:val="006036DF"/>
    <w:rsid w:val="00607E4B"/>
    <w:rsid w:val="006102A7"/>
    <w:rsid w:val="00610C61"/>
    <w:rsid w:val="006123C3"/>
    <w:rsid w:val="00614F31"/>
    <w:rsid w:val="00616B1E"/>
    <w:rsid w:val="00620CF7"/>
    <w:rsid w:val="006258D6"/>
    <w:rsid w:val="00625C4A"/>
    <w:rsid w:val="0062781B"/>
    <w:rsid w:val="00630215"/>
    <w:rsid w:val="00639C6A"/>
    <w:rsid w:val="0064239C"/>
    <w:rsid w:val="00642976"/>
    <w:rsid w:val="0065017D"/>
    <w:rsid w:val="00650336"/>
    <w:rsid w:val="006519E9"/>
    <w:rsid w:val="006527E1"/>
    <w:rsid w:val="0065357C"/>
    <w:rsid w:val="00656189"/>
    <w:rsid w:val="006615EE"/>
    <w:rsid w:val="006625A0"/>
    <w:rsid w:val="00662927"/>
    <w:rsid w:val="006630D4"/>
    <w:rsid w:val="00663281"/>
    <w:rsid w:val="00666372"/>
    <w:rsid w:val="00672C94"/>
    <w:rsid w:val="00673349"/>
    <w:rsid w:val="00673A54"/>
    <w:rsid w:val="0067482D"/>
    <w:rsid w:val="00675271"/>
    <w:rsid w:val="00675B34"/>
    <w:rsid w:val="00681B89"/>
    <w:rsid w:val="00686ABF"/>
    <w:rsid w:val="00691105"/>
    <w:rsid w:val="00697A61"/>
    <w:rsid w:val="006A0691"/>
    <w:rsid w:val="006A3FC4"/>
    <w:rsid w:val="006A53AF"/>
    <w:rsid w:val="006B3E51"/>
    <w:rsid w:val="006B474E"/>
    <w:rsid w:val="006B4CFB"/>
    <w:rsid w:val="006B534F"/>
    <w:rsid w:val="006C05A7"/>
    <w:rsid w:val="006C0952"/>
    <w:rsid w:val="006C142B"/>
    <w:rsid w:val="006C375B"/>
    <w:rsid w:val="006C5FD9"/>
    <w:rsid w:val="006C6FA9"/>
    <w:rsid w:val="006D3225"/>
    <w:rsid w:val="006D3489"/>
    <w:rsid w:val="006D6AA4"/>
    <w:rsid w:val="006D79CF"/>
    <w:rsid w:val="006D7A4B"/>
    <w:rsid w:val="006E0B59"/>
    <w:rsid w:val="006E2CB6"/>
    <w:rsid w:val="006E6388"/>
    <w:rsid w:val="006F4B34"/>
    <w:rsid w:val="006F666C"/>
    <w:rsid w:val="00700360"/>
    <w:rsid w:val="0070186A"/>
    <w:rsid w:val="00702209"/>
    <w:rsid w:val="007025F8"/>
    <w:rsid w:val="007026B9"/>
    <w:rsid w:val="00706061"/>
    <w:rsid w:val="00706DD9"/>
    <w:rsid w:val="00707BF9"/>
    <w:rsid w:val="00713AFE"/>
    <w:rsid w:val="00717566"/>
    <w:rsid w:val="00721038"/>
    <w:rsid w:val="007230DF"/>
    <w:rsid w:val="00723961"/>
    <w:rsid w:val="00724672"/>
    <w:rsid w:val="00724908"/>
    <w:rsid w:val="00724DF0"/>
    <w:rsid w:val="00726D09"/>
    <w:rsid w:val="007317E4"/>
    <w:rsid w:val="00731B09"/>
    <w:rsid w:val="00734104"/>
    <w:rsid w:val="00735E8C"/>
    <w:rsid w:val="00736431"/>
    <w:rsid w:val="00736618"/>
    <w:rsid w:val="00741341"/>
    <w:rsid w:val="0074150D"/>
    <w:rsid w:val="00746923"/>
    <w:rsid w:val="00751124"/>
    <w:rsid w:val="00751B1A"/>
    <w:rsid w:val="0075214A"/>
    <w:rsid w:val="007522AE"/>
    <w:rsid w:val="007547CA"/>
    <w:rsid w:val="0075670F"/>
    <w:rsid w:val="0075738C"/>
    <w:rsid w:val="00757414"/>
    <w:rsid w:val="00760CC3"/>
    <w:rsid w:val="00761062"/>
    <w:rsid w:val="00761831"/>
    <w:rsid w:val="00761A81"/>
    <w:rsid w:val="00762B20"/>
    <w:rsid w:val="00763324"/>
    <w:rsid w:val="007640A2"/>
    <w:rsid w:val="00766326"/>
    <w:rsid w:val="00766491"/>
    <w:rsid w:val="00766685"/>
    <w:rsid w:val="007705A5"/>
    <w:rsid w:val="007709EB"/>
    <w:rsid w:val="007732BA"/>
    <w:rsid w:val="007759C1"/>
    <w:rsid w:val="007800AD"/>
    <w:rsid w:val="00784C02"/>
    <w:rsid w:val="007852CD"/>
    <w:rsid w:val="007856E6"/>
    <w:rsid w:val="007858EF"/>
    <w:rsid w:val="0078650A"/>
    <w:rsid w:val="00786F13"/>
    <w:rsid w:val="0078743D"/>
    <w:rsid w:val="00787694"/>
    <w:rsid w:val="00787FE4"/>
    <w:rsid w:val="00790921"/>
    <w:rsid w:val="007913DB"/>
    <w:rsid w:val="007934C9"/>
    <w:rsid w:val="00795695"/>
    <w:rsid w:val="00796E71"/>
    <w:rsid w:val="00797730"/>
    <w:rsid w:val="007A14DB"/>
    <w:rsid w:val="007A51C9"/>
    <w:rsid w:val="007A67A7"/>
    <w:rsid w:val="007A6DB8"/>
    <w:rsid w:val="007A7CF4"/>
    <w:rsid w:val="007B2709"/>
    <w:rsid w:val="007B282F"/>
    <w:rsid w:val="007B2997"/>
    <w:rsid w:val="007B69B3"/>
    <w:rsid w:val="007C0197"/>
    <w:rsid w:val="007C1123"/>
    <w:rsid w:val="007C1F69"/>
    <w:rsid w:val="007C3E0C"/>
    <w:rsid w:val="007C4F59"/>
    <w:rsid w:val="007C5E48"/>
    <w:rsid w:val="007D1A8E"/>
    <w:rsid w:val="007D1FCA"/>
    <w:rsid w:val="007D2EB4"/>
    <w:rsid w:val="007E10F4"/>
    <w:rsid w:val="007E1567"/>
    <w:rsid w:val="007E24BD"/>
    <w:rsid w:val="007E335A"/>
    <w:rsid w:val="007E55A5"/>
    <w:rsid w:val="007F0357"/>
    <w:rsid w:val="007F038C"/>
    <w:rsid w:val="007F05CB"/>
    <w:rsid w:val="007F1218"/>
    <w:rsid w:val="007F169A"/>
    <w:rsid w:val="007F285D"/>
    <w:rsid w:val="007F346C"/>
    <w:rsid w:val="007F45BD"/>
    <w:rsid w:val="007F5B70"/>
    <w:rsid w:val="00804B7A"/>
    <w:rsid w:val="00804E59"/>
    <w:rsid w:val="00806320"/>
    <w:rsid w:val="0080645B"/>
    <w:rsid w:val="00806E63"/>
    <w:rsid w:val="0081028D"/>
    <w:rsid w:val="008117BB"/>
    <w:rsid w:val="008125CF"/>
    <w:rsid w:val="00812827"/>
    <w:rsid w:val="008140B6"/>
    <w:rsid w:val="0081472E"/>
    <w:rsid w:val="00817AF0"/>
    <w:rsid w:val="00820D71"/>
    <w:rsid w:val="00821CFB"/>
    <w:rsid w:val="0082615B"/>
    <w:rsid w:val="00826399"/>
    <w:rsid w:val="0083045B"/>
    <w:rsid w:val="00830C82"/>
    <w:rsid w:val="008317C1"/>
    <w:rsid w:val="00832CB9"/>
    <w:rsid w:val="00834E60"/>
    <w:rsid w:val="008422F8"/>
    <w:rsid w:val="00842CF9"/>
    <w:rsid w:val="008452FD"/>
    <w:rsid w:val="00847BC6"/>
    <w:rsid w:val="00847E44"/>
    <w:rsid w:val="0085043A"/>
    <w:rsid w:val="008505B2"/>
    <w:rsid w:val="00850879"/>
    <w:rsid w:val="0085154C"/>
    <w:rsid w:val="00851E10"/>
    <w:rsid w:val="00863644"/>
    <w:rsid w:val="00863692"/>
    <w:rsid w:val="008643CF"/>
    <w:rsid w:val="008647E7"/>
    <w:rsid w:val="008671E3"/>
    <w:rsid w:val="00867B33"/>
    <w:rsid w:val="008707A7"/>
    <w:rsid w:val="00870D9C"/>
    <w:rsid w:val="0087137A"/>
    <w:rsid w:val="008747E1"/>
    <w:rsid w:val="00874950"/>
    <w:rsid w:val="00874D0C"/>
    <w:rsid w:val="0087696B"/>
    <w:rsid w:val="00880720"/>
    <w:rsid w:val="0088150F"/>
    <w:rsid w:val="00882339"/>
    <w:rsid w:val="00883601"/>
    <w:rsid w:val="00887427"/>
    <w:rsid w:val="00887CBF"/>
    <w:rsid w:val="00887EA2"/>
    <w:rsid w:val="00893374"/>
    <w:rsid w:val="008950D7"/>
    <w:rsid w:val="008960D9"/>
    <w:rsid w:val="0089678C"/>
    <w:rsid w:val="0089792D"/>
    <w:rsid w:val="008A0E5C"/>
    <w:rsid w:val="008A112F"/>
    <w:rsid w:val="008A3BF0"/>
    <w:rsid w:val="008A3E86"/>
    <w:rsid w:val="008B0494"/>
    <w:rsid w:val="008B3F50"/>
    <w:rsid w:val="008B4FEA"/>
    <w:rsid w:val="008B7CBF"/>
    <w:rsid w:val="008C1470"/>
    <w:rsid w:val="008C2631"/>
    <w:rsid w:val="008C3C20"/>
    <w:rsid w:val="008C3DF7"/>
    <w:rsid w:val="008C4174"/>
    <w:rsid w:val="008C51AF"/>
    <w:rsid w:val="008C536F"/>
    <w:rsid w:val="008C74E6"/>
    <w:rsid w:val="008D2298"/>
    <w:rsid w:val="008D22CF"/>
    <w:rsid w:val="008D45B9"/>
    <w:rsid w:val="008D4DB4"/>
    <w:rsid w:val="008E07A3"/>
    <w:rsid w:val="008E08C1"/>
    <w:rsid w:val="008E15C2"/>
    <w:rsid w:val="008E3015"/>
    <w:rsid w:val="008E4948"/>
    <w:rsid w:val="008E4B9F"/>
    <w:rsid w:val="008E5707"/>
    <w:rsid w:val="008F120D"/>
    <w:rsid w:val="008F1D2B"/>
    <w:rsid w:val="008F1E4D"/>
    <w:rsid w:val="008F2221"/>
    <w:rsid w:val="008F304E"/>
    <w:rsid w:val="008F3228"/>
    <w:rsid w:val="008F48B7"/>
    <w:rsid w:val="008F4975"/>
    <w:rsid w:val="008F6BF7"/>
    <w:rsid w:val="008F6DB3"/>
    <w:rsid w:val="008F70A4"/>
    <w:rsid w:val="00900EEB"/>
    <w:rsid w:val="00901E5A"/>
    <w:rsid w:val="00903DB3"/>
    <w:rsid w:val="00906163"/>
    <w:rsid w:val="00906598"/>
    <w:rsid w:val="00906CF0"/>
    <w:rsid w:val="00911164"/>
    <w:rsid w:val="00911725"/>
    <w:rsid w:val="00911AE4"/>
    <w:rsid w:val="0091482A"/>
    <w:rsid w:val="00914E3B"/>
    <w:rsid w:val="0091560B"/>
    <w:rsid w:val="00916843"/>
    <w:rsid w:val="0092125C"/>
    <w:rsid w:val="00921C19"/>
    <w:rsid w:val="00921F73"/>
    <w:rsid w:val="00925900"/>
    <w:rsid w:val="00930206"/>
    <w:rsid w:val="00931B39"/>
    <w:rsid w:val="00933497"/>
    <w:rsid w:val="0093581B"/>
    <w:rsid w:val="009402A5"/>
    <w:rsid w:val="00941D16"/>
    <w:rsid w:val="009420E1"/>
    <w:rsid w:val="009523C0"/>
    <w:rsid w:val="0095426A"/>
    <w:rsid w:val="00954789"/>
    <w:rsid w:val="00955178"/>
    <w:rsid w:val="00955D65"/>
    <w:rsid w:val="00956F2E"/>
    <w:rsid w:val="0095748F"/>
    <w:rsid w:val="00961F3B"/>
    <w:rsid w:val="0096293A"/>
    <w:rsid w:val="00963F74"/>
    <w:rsid w:val="009644E3"/>
    <w:rsid w:val="00970E0E"/>
    <w:rsid w:val="00971438"/>
    <w:rsid w:val="0097178C"/>
    <w:rsid w:val="009718EE"/>
    <w:rsid w:val="00971BF2"/>
    <w:rsid w:val="00972E86"/>
    <w:rsid w:val="0097439B"/>
    <w:rsid w:val="0097562B"/>
    <w:rsid w:val="00976803"/>
    <w:rsid w:val="009814B9"/>
    <w:rsid w:val="00981505"/>
    <w:rsid w:val="00981658"/>
    <w:rsid w:val="00981738"/>
    <w:rsid w:val="00982F78"/>
    <w:rsid w:val="009841AC"/>
    <w:rsid w:val="009853E4"/>
    <w:rsid w:val="00986201"/>
    <w:rsid w:val="009911E2"/>
    <w:rsid w:val="0099152F"/>
    <w:rsid w:val="009921EA"/>
    <w:rsid w:val="009931C2"/>
    <w:rsid w:val="00993834"/>
    <w:rsid w:val="009956CD"/>
    <w:rsid w:val="0099601E"/>
    <w:rsid w:val="00996043"/>
    <w:rsid w:val="00996653"/>
    <w:rsid w:val="00996DAF"/>
    <w:rsid w:val="009A05B3"/>
    <w:rsid w:val="009A3125"/>
    <w:rsid w:val="009A41CF"/>
    <w:rsid w:val="009A4969"/>
    <w:rsid w:val="009A4B9F"/>
    <w:rsid w:val="009B09D7"/>
    <w:rsid w:val="009B2FD3"/>
    <w:rsid w:val="009B56E0"/>
    <w:rsid w:val="009B7BDD"/>
    <w:rsid w:val="009C0662"/>
    <w:rsid w:val="009C15E6"/>
    <w:rsid w:val="009C3546"/>
    <w:rsid w:val="009D0532"/>
    <w:rsid w:val="009D1659"/>
    <w:rsid w:val="009D27EC"/>
    <w:rsid w:val="009D3501"/>
    <w:rsid w:val="009D5921"/>
    <w:rsid w:val="009D74D3"/>
    <w:rsid w:val="009D7561"/>
    <w:rsid w:val="009E7968"/>
    <w:rsid w:val="009F0B4B"/>
    <w:rsid w:val="009F12BA"/>
    <w:rsid w:val="009F3AC9"/>
    <w:rsid w:val="009F6BFA"/>
    <w:rsid w:val="009F77B9"/>
    <w:rsid w:val="00A012EB"/>
    <w:rsid w:val="00A02136"/>
    <w:rsid w:val="00A0451B"/>
    <w:rsid w:val="00A16BEA"/>
    <w:rsid w:val="00A16CB2"/>
    <w:rsid w:val="00A17526"/>
    <w:rsid w:val="00A2109C"/>
    <w:rsid w:val="00A23814"/>
    <w:rsid w:val="00A267A1"/>
    <w:rsid w:val="00A26BE2"/>
    <w:rsid w:val="00A26F07"/>
    <w:rsid w:val="00A30B2F"/>
    <w:rsid w:val="00A32D6A"/>
    <w:rsid w:val="00A33348"/>
    <w:rsid w:val="00A350BF"/>
    <w:rsid w:val="00A36BB9"/>
    <w:rsid w:val="00A370A8"/>
    <w:rsid w:val="00A37C93"/>
    <w:rsid w:val="00A37F03"/>
    <w:rsid w:val="00A41115"/>
    <w:rsid w:val="00A4237A"/>
    <w:rsid w:val="00A42611"/>
    <w:rsid w:val="00A4630B"/>
    <w:rsid w:val="00A4667B"/>
    <w:rsid w:val="00A46FB0"/>
    <w:rsid w:val="00A47B59"/>
    <w:rsid w:val="00A51B6F"/>
    <w:rsid w:val="00A51BC0"/>
    <w:rsid w:val="00A53FEB"/>
    <w:rsid w:val="00A5558F"/>
    <w:rsid w:val="00A55F7E"/>
    <w:rsid w:val="00A5792A"/>
    <w:rsid w:val="00A609EB"/>
    <w:rsid w:val="00A64F66"/>
    <w:rsid w:val="00A65498"/>
    <w:rsid w:val="00A65D68"/>
    <w:rsid w:val="00A669A0"/>
    <w:rsid w:val="00A66DCC"/>
    <w:rsid w:val="00A67239"/>
    <w:rsid w:val="00A7273C"/>
    <w:rsid w:val="00A72DAA"/>
    <w:rsid w:val="00A74458"/>
    <w:rsid w:val="00A74737"/>
    <w:rsid w:val="00A74AD9"/>
    <w:rsid w:val="00A75853"/>
    <w:rsid w:val="00A75C8A"/>
    <w:rsid w:val="00A770A7"/>
    <w:rsid w:val="00A81259"/>
    <w:rsid w:val="00A84177"/>
    <w:rsid w:val="00A859F7"/>
    <w:rsid w:val="00A86453"/>
    <w:rsid w:val="00A86A1F"/>
    <w:rsid w:val="00A86AF5"/>
    <w:rsid w:val="00A86E72"/>
    <w:rsid w:val="00A86EED"/>
    <w:rsid w:val="00A90B18"/>
    <w:rsid w:val="00A9159A"/>
    <w:rsid w:val="00A94798"/>
    <w:rsid w:val="00A94A12"/>
    <w:rsid w:val="00AA1108"/>
    <w:rsid w:val="00AA322C"/>
    <w:rsid w:val="00AA476B"/>
    <w:rsid w:val="00AA53C2"/>
    <w:rsid w:val="00AB0E37"/>
    <w:rsid w:val="00AB1051"/>
    <w:rsid w:val="00AB1C87"/>
    <w:rsid w:val="00AB3359"/>
    <w:rsid w:val="00AC3823"/>
    <w:rsid w:val="00AC4DC1"/>
    <w:rsid w:val="00AC5354"/>
    <w:rsid w:val="00AC7EA1"/>
    <w:rsid w:val="00AD2740"/>
    <w:rsid w:val="00AD7141"/>
    <w:rsid w:val="00AD788E"/>
    <w:rsid w:val="00AE0D21"/>
    <w:rsid w:val="00AE289E"/>
    <w:rsid w:val="00AE2E79"/>
    <w:rsid w:val="00AE3762"/>
    <w:rsid w:val="00AF0AF6"/>
    <w:rsid w:val="00AF2A00"/>
    <w:rsid w:val="00AF2DEE"/>
    <w:rsid w:val="00AF3D25"/>
    <w:rsid w:val="00AF626F"/>
    <w:rsid w:val="00AF694B"/>
    <w:rsid w:val="00AF7123"/>
    <w:rsid w:val="00AF7CE7"/>
    <w:rsid w:val="00B02C72"/>
    <w:rsid w:val="00B02DB6"/>
    <w:rsid w:val="00B0377A"/>
    <w:rsid w:val="00B039BD"/>
    <w:rsid w:val="00B06D9C"/>
    <w:rsid w:val="00B07115"/>
    <w:rsid w:val="00B07324"/>
    <w:rsid w:val="00B07B2F"/>
    <w:rsid w:val="00B10507"/>
    <w:rsid w:val="00B13615"/>
    <w:rsid w:val="00B200DB"/>
    <w:rsid w:val="00B21ABE"/>
    <w:rsid w:val="00B23001"/>
    <w:rsid w:val="00B2353E"/>
    <w:rsid w:val="00B23DD0"/>
    <w:rsid w:val="00B2448A"/>
    <w:rsid w:val="00B2588A"/>
    <w:rsid w:val="00B273CE"/>
    <w:rsid w:val="00B27ABF"/>
    <w:rsid w:val="00B30811"/>
    <w:rsid w:val="00B31622"/>
    <w:rsid w:val="00B32D12"/>
    <w:rsid w:val="00B33477"/>
    <w:rsid w:val="00B334D8"/>
    <w:rsid w:val="00B35BE4"/>
    <w:rsid w:val="00B36C46"/>
    <w:rsid w:val="00B409FB"/>
    <w:rsid w:val="00B416B0"/>
    <w:rsid w:val="00B43849"/>
    <w:rsid w:val="00B438BD"/>
    <w:rsid w:val="00B466EC"/>
    <w:rsid w:val="00B4722D"/>
    <w:rsid w:val="00B50D22"/>
    <w:rsid w:val="00B52992"/>
    <w:rsid w:val="00B53DEB"/>
    <w:rsid w:val="00B551F4"/>
    <w:rsid w:val="00B5750F"/>
    <w:rsid w:val="00B57968"/>
    <w:rsid w:val="00B60BB3"/>
    <w:rsid w:val="00B63ECA"/>
    <w:rsid w:val="00B665B0"/>
    <w:rsid w:val="00B70E14"/>
    <w:rsid w:val="00B714BE"/>
    <w:rsid w:val="00B725EE"/>
    <w:rsid w:val="00B75758"/>
    <w:rsid w:val="00B7682F"/>
    <w:rsid w:val="00B801BA"/>
    <w:rsid w:val="00B80256"/>
    <w:rsid w:val="00B812C6"/>
    <w:rsid w:val="00B83576"/>
    <w:rsid w:val="00B8404E"/>
    <w:rsid w:val="00B84760"/>
    <w:rsid w:val="00B87A2B"/>
    <w:rsid w:val="00B926AB"/>
    <w:rsid w:val="00B9442A"/>
    <w:rsid w:val="00B95634"/>
    <w:rsid w:val="00B96FB3"/>
    <w:rsid w:val="00B973E2"/>
    <w:rsid w:val="00BA116E"/>
    <w:rsid w:val="00BA4675"/>
    <w:rsid w:val="00BA4A97"/>
    <w:rsid w:val="00BA4E15"/>
    <w:rsid w:val="00BA6065"/>
    <w:rsid w:val="00BA7ABA"/>
    <w:rsid w:val="00BB0AF6"/>
    <w:rsid w:val="00BB13B4"/>
    <w:rsid w:val="00BB19CE"/>
    <w:rsid w:val="00BB1A62"/>
    <w:rsid w:val="00BB4566"/>
    <w:rsid w:val="00BB4C21"/>
    <w:rsid w:val="00BC0B00"/>
    <w:rsid w:val="00BC1DC8"/>
    <w:rsid w:val="00BC4644"/>
    <w:rsid w:val="00BC66BD"/>
    <w:rsid w:val="00BD04C2"/>
    <w:rsid w:val="00BD0AFD"/>
    <w:rsid w:val="00BD202A"/>
    <w:rsid w:val="00BD229C"/>
    <w:rsid w:val="00BD22C6"/>
    <w:rsid w:val="00BD2BE2"/>
    <w:rsid w:val="00BD3635"/>
    <w:rsid w:val="00BD39A7"/>
    <w:rsid w:val="00BE154E"/>
    <w:rsid w:val="00BE1CAE"/>
    <w:rsid w:val="00BE3403"/>
    <w:rsid w:val="00BE4349"/>
    <w:rsid w:val="00BE44AD"/>
    <w:rsid w:val="00BE4C1E"/>
    <w:rsid w:val="00BE65FD"/>
    <w:rsid w:val="00C02CB9"/>
    <w:rsid w:val="00C07ECC"/>
    <w:rsid w:val="00C100EA"/>
    <w:rsid w:val="00C11A6D"/>
    <w:rsid w:val="00C126C1"/>
    <w:rsid w:val="00C157EF"/>
    <w:rsid w:val="00C16816"/>
    <w:rsid w:val="00C213B1"/>
    <w:rsid w:val="00C21F15"/>
    <w:rsid w:val="00C2253A"/>
    <w:rsid w:val="00C29BB8"/>
    <w:rsid w:val="00C30930"/>
    <w:rsid w:val="00C322C4"/>
    <w:rsid w:val="00C33816"/>
    <w:rsid w:val="00C3404F"/>
    <w:rsid w:val="00C371A6"/>
    <w:rsid w:val="00C426CA"/>
    <w:rsid w:val="00C51A09"/>
    <w:rsid w:val="00C51B1E"/>
    <w:rsid w:val="00C521EC"/>
    <w:rsid w:val="00C52392"/>
    <w:rsid w:val="00C52C52"/>
    <w:rsid w:val="00C54DF8"/>
    <w:rsid w:val="00C565F2"/>
    <w:rsid w:val="00C6041C"/>
    <w:rsid w:val="00C60D93"/>
    <w:rsid w:val="00C61523"/>
    <w:rsid w:val="00C617F9"/>
    <w:rsid w:val="00C61922"/>
    <w:rsid w:val="00C634A0"/>
    <w:rsid w:val="00C64E23"/>
    <w:rsid w:val="00C71E53"/>
    <w:rsid w:val="00C736BC"/>
    <w:rsid w:val="00C744D3"/>
    <w:rsid w:val="00C77DB9"/>
    <w:rsid w:val="00C801F4"/>
    <w:rsid w:val="00C8064B"/>
    <w:rsid w:val="00C8123F"/>
    <w:rsid w:val="00C814D9"/>
    <w:rsid w:val="00C861A9"/>
    <w:rsid w:val="00C87BDA"/>
    <w:rsid w:val="00C87DE7"/>
    <w:rsid w:val="00C90F4A"/>
    <w:rsid w:val="00C91AD8"/>
    <w:rsid w:val="00C979FB"/>
    <w:rsid w:val="00C97D63"/>
    <w:rsid w:val="00CA22E6"/>
    <w:rsid w:val="00CA24B6"/>
    <w:rsid w:val="00CA3220"/>
    <w:rsid w:val="00CA3B25"/>
    <w:rsid w:val="00CA5F6E"/>
    <w:rsid w:val="00CA683B"/>
    <w:rsid w:val="00CB4DF8"/>
    <w:rsid w:val="00CB58AA"/>
    <w:rsid w:val="00CC0A0A"/>
    <w:rsid w:val="00CC0FBC"/>
    <w:rsid w:val="00CC1D49"/>
    <w:rsid w:val="00CC25F0"/>
    <w:rsid w:val="00CC28E0"/>
    <w:rsid w:val="00CC3C34"/>
    <w:rsid w:val="00CC4F29"/>
    <w:rsid w:val="00CC6342"/>
    <w:rsid w:val="00CC6E0E"/>
    <w:rsid w:val="00CD1430"/>
    <w:rsid w:val="00CD2E0A"/>
    <w:rsid w:val="00CD3730"/>
    <w:rsid w:val="00CD4A20"/>
    <w:rsid w:val="00CD4D80"/>
    <w:rsid w:val="00CD55EE"/>
    <w:rsid w:val="00CD5AA7"/>
    <w:rsid w:val="00CD7FFC"/>
    <w:rsid w:val="00CE0436"/>
    <w:rsid w:val="00CE19CF"/>
    <w:rsid w:val="00CE366B"/>
    <w:rsid w:val="00CE68C8"/>
    <w:rsid w:val="00CF0EC7"/>
    <w:rsid w:val="00CF29D3"/>
    <w:rsid w:val="00CF71B3"/>
    <w:rsid w:val="00CF7532"/>
    <w:rsid w:val="00D02710"/>
    <w:rsid w:val="00D03076"/>
    <w:rsid w:val="00D0327A"/>
    <w:rsid w:val="00D06B5E"/>
    <w:rsid w:val="00D072DF"/>
    <w:rsid w:val="00D10716"/>
    <w:rsid w:val="00D13BD6"/>
    <w:rsid w:val="00D17497"/>
    <w:rsid w:val="00D211BC"/>
    <w:rsid w:val="00D2405A"/>
    <w:rsid w:val="00D24B9E"/>
    <w:rsid w:val="00D27A27"/>
    <w:rsid w:val="00D32563"/>
    <w:rsid w:val="00D349BE"/>
    <w:rsid w:val="00D407A1"/>
    <w:rsid w:val="00D421B6"/>
    <w:rsid w:val="00D42BF6"/>
    <w:rsid w:val="00D442D2"/>
    <w:rsid w:val="00D46052"/>
    <w:rsid w:val="00D4660A"/>
    <w:rsid w:val="00D5077D"/>
    <w:rsid w:val="00D5260A"/>
    <w:rsid w:val="00D576EB"/>
    <w:rsid w:val="00D7178D"/>
    <w:rsid w:val="00D73112"/>
    <w:rsid w:val="00D73A71"/>
    <w:rsid w:val="00D73DCB"/>
    <w:rsid w:val="00D76488"/>
    <w:rsid w:val="00D772A5"/>
    <w:rsid w:val="00D7779E"/>
    <w:rsid w:val="00D84EAE"/>
    <w:rsid w:val="00D85CE9"/>
    <w:rsid w:val="00D86FEA"/>
    <w:rsid w:val="00D8724B"/>
    <w:rsid w:val="00D9007B"/>
    <w:rsid w:val="00D917E3"/>
    <w:rsid w:val="00D97BCB"/>
    <w:rsid w:val="00DA259E"/>
    <w:rsid w:val="00DA398B"/>
    <w:rsid w:val="00DA5084"/>
    <w:rsid w:val="00DA5580"/>
    <w:rsid w:val="00DB1F07"/>
    <w:rsid w:val="00DB3F2B"/>
    <w:rsid w:val="00DB56D7"/>
    <w:rsid w:val="00DB57E4"/>
    <w:rsid w:val="00DB5CAC"/>
    <w:rsid w:val="00DB6998"/>
    <w:rsid w:val="00DC3B29"/>
    <w:rsid w:val="00DC3E8C"/>
    <w:rsid w:val="00DC3EF0"/>
    <w:rsid w:val="00DC793C"/>
    <w:rsid w:val="00DD3B47"/>
    <w:rsid w:val="00DD3BF8"/>
    <w:rsid w:val="00DD60E2"/>
    <w:rsid w:val="00DD7597"/>
    <w:rsid w:val="00DE2942"/>
    <w:rsid w:val="00DE33D6"/>
    <w:rsid w:val="00DE419F"/>
    <w:rsid w:val="00DE52B9"/>
    <w:rsid w:val="00DE555A"/>
    <w:rsid w:val="00DE669E"/>
    <w:rsid w:val="00DF136A"/>
    <w:rsid w:val="00DF5E11"/>
    <w:rsid w:val="00DF65E3"/>
    <w:rsid w:val="00DF77C4"/>
    <w:rsid w:val="00E02447"/>
    <w:rsid w:val="00E029A5"/>
    <w:rsid w:val="00E03169"/>
    <w:rsid w:val="00E04B6A"/>
    <w:rsid w:val="00E04FC3"/>
    <w:rsid w:val="00E068E5"/>
    <w:rsid w:val="00E11195"/>
    <w:rsid w:val="00E11F3A"/>
    <w:rsid w:val="00E12587"/>
    <w:rsid w:val="00E12F8E"/>
    <w:rsid w:val="00E15CCA"/>
    <w:rsid w:val="00E20980"/>
    <w:rsid w:val="00E20C06"/>
    <w:rsid w:val="00E213AF"/>
    <w:rsid w:val="00E274D2"/>
    <w:rsid w:val="00E3A391"/>
    <w:rsid w:val="00E40DAB"/>
    <w:rsid w:val="00E41928"/>
    <w:rsid w:val="00E4193E"/>
    <w:rsid w:val="00E4328D"/>
    <w:rsid w:val="00E43AE1"/>
    <w:rsid w:val="00E449BB"/>
    <w:rsid w:val="00E47C51"/>
    <w:rsid w:val="00E5336C"/>
    <w:rsid w:val="00E57A01"/>
    <w:rsid w:val="00E61EF0"/>
    <w:rsid w:val="00E65CCA"/>
    <w:rsid w:val="00E7521D"/>
    <w:rsid w:val="00E77179"/>
    <w:rsid w:val="00E8224F"/>
    <w:rsid w:val="00E84918"/>
    <w:rsid w:val="00E84BD1"/>
    <w:rsid w:val="00E85AFF"/>
    <w:rsid w:val="00E9496F"/>
    <w:rsid w:val="00E974B2"/>
    <w:rsid w:val="00EA0C4D"/>
    <w:rsid w:val="00EA1DE5"/>
    <w:rsid w:val="00EA2AD3"/>
    <w:rsid w:val="00EA5E83"/>
    <w:rsid w:val="00EB0D44"/>
    <w:rsid w:val="00EB0EA8"/>
    <w:rsid w:val="00EC000A"/>
    <w:rsid w:val="00EC0BE3"/>
    <w:rsid w:val="00EC1915"/>
    <w:rsid w:val="00EC4679"/>
    <w:rsid w:val="00EC48E6"/>
    <w:rsid w:val="00EC4EE0"/>
    <w:rsid w:val="00EC63EC"/>
    <w:rsid w:val="00EC68CB"/>
    <w:rsid w:val="00EC7512"/>
    <w:rsid w:val="00EC7FAA"/>
    <w:rsid w:val="00ED0EB0"/>
    <w:rsid w:val="00ED147E"/>
    <w:rsid w:val="00ED159E"/>
    <w:rsid w:val="00ED1C42"/>
    <w:rsid w:val="00ED55B8"/>
    <w:rsid w:val="00EE00C3"/>
    <w:rsid w:val="00EF0331"/>
    <w:rsid w:val="00EF057B"/>
    <w:rsid w:val="00EF0FF8"/>
    <w:rsid w:val="00EF178F"/>
    <w:rsid w:val="00EF2914"/>
    <w:rsid w:val="00EF3A27"/>
    <w:rsid w:val="00EF3BCF"/>
    <w:rsid w:val="00EF61DD"/>
    <w:rsid w:val="00EF77AD"/>
    <w:rsid w:val="00F00ACC"/>
    <w:rsid w:val="00F00AEE"/>
    <w:rsid w:val="00F04897"/>
    <w:rsid w:val="00F11394"/>
    <w:rsid w:val="00F1413C"/>
    <w:rsid w:val="00F16E3D"/>
    <w:rsid w:val="00F17466"/>
    <w:rsid w:val="00F176DA"/>
    <w:rsid w:val="00F20F06"/>
    <w:rsid w:val="00F217E2"/>
    <w:rsid w:val="00F26840"/>
    <w:rsid w:val="00F30774"/>
    <w:rsid w:val="00F3166B"/>
    <w:rsid w:val="00F330EC"/>
    <w:rsid w:val="00F35935"/>
    <w:rsid w:val="00F35D33"/>
    <w:rsid w:val="00F3660B"/>
    <w:rsid w:val="00F37212"/>
    <w:rsid w:val="00F4154F"/>
    <w:rsid w:val="00F468AC"/>
    <w:rsid w:val="00F46D0F"/>
    <w:rsid w:val="00F479D3"/>
    <w:rsid w:val="00F47E41"/>
    <w:rsid w:val="00F514A8"/>
    <w:rsid w:val="00F53871"/>
    <w:rsid w:val="00F5427D"/>
    <w:rsid w:val="00F560A4"/>
    <w:rsid w:val="00F56153"/>
    <w:rsid w:val="00F562FD"/>
    <w:rsid w:val="00F5681B"/>
    <w:rsid w:val="00F6168C"/>
    <w:rsid w:val="00F6213D"/>
    <w:rsid w:val="00F73D65"/>
    <w:rsid w:val="00F749FF"/>
    <w:rsid w:val="00F74A0A"/>
    <w:rsid w:val="00F74F5C"/>
    <w:rsid w:val="00F8088C"/>
    <w:rsid w:val="00F80D5F"/>
    <w:rsid w:val="00F80E72"/>
    <w:rsid w:val="00F80EEC"/>
    <w:rsid w:val="00F80EFF"/>
    <w:rsid w:val="00F81A76"/>
    <w:rsid w:val="00F83FA5"/>
    <w:rsid w:val="00F84624"/>
    <w:rsid w:val="00F8650E"/>
    <w:rsid w:val="00F875E2"/>
    <w:rsid w:val="00F8761F"/>
    <w:rsid w:val="00F90241"/>
    <w:rsid w:val="00F93ABC"/>
    <w:rsid w:val="00F96215"/>
    <w:rsid w:val="00F97AA9"/>
    <w:rsid w:val="00FA0D66"/>
    <w:rsid w:val="00FA2D70"/>
    <w:rsid w:val="00FA3F6E"/>
    <w:rsid w:val="00FA5E3A"/>
    <w:rsid w:val="00FA6285"/>
    <w:rsid w:val="00FA6524"/>
    <w:rsid w:val="00FA731F"/>
    <w:rsid w:val="00FB033D"/>
    <w:rsid w:val="00FB2E7A"/>
    <w:rsid w:val="00FB3BD1"/>
    <w:rsid w:val="00FB5327"/>
    <w:rsid w:val="00FB6215"/>
    <w:rsid w:val="00FB7BC9"/>
    <w:rsid w:val="00FC17AE"/>
    <w:rsid w:val="00FC1E29"/>
    <w:rsid w:val="00FC2A48"/>
    <w:rsid w:val="00FD036E"/>
    <w:rsid w:val="00FD17DB"/>
    <w:rsid w:val="00FD37D4"/>
    <w:rsid w:val="00FD7C36"/>
    <w:rsid w:val="00FE0A7D"/>
    <w:rsid w:val="00FE0D71"/>
    <w:rsid w:val="00FE0F23"/>
    <w:rsid w:val="00FE5632"/>
    <w:rsid w:val="00FF0F0E"/>
    <w:rsid w:val="00FF1290"/>
    <w:rsid w:val="00FF267E"/>
    <w:rsid w:val="01576EF7"/>
    <w:rsid w:val="017296AC"/>
    <w:rsid w:val="018DC1DF"/>
    <w:rsid w:val="018E257A"/>
    <w:rsid w:val="019211DC"/>
    <w:rsid w:val="01926120"/>
    <w:rsid w:val="0193E6F6"/>
    <w:rsid w:val="01B9BAB8"/>
    <w:rsid w:val="01DAB193"/>
    <w:rsid w:val="01DD73A5"/>
    <w:rsid w:val="021B0015"/>
    <w:rsid w:val="02230505"/>
    <w:rsid w:val="0230AB52"/>
    <w:rsid w:val="0238C823"/>
    <w:rsid w:val="02A03ACE"/>
    <w:rsid w:val="02B7EFBB"/>
    <w:rsid w:val="02B8E6EE"/>
    <w:rsid w:val="02BD5F4B"/>
    <w:rsid w:val="02C85ECA"/>
    <w:rsid w:val="02C9861A"/>
    <w:rsid w:val="02CD97E4"/>
    <w:rsid w:val="02F4C2D0"/>
    <w:rsid w:val="02FA57C7"/>
    <w:rsid w:val="02FFEDC2"/>
    <w:rsid w:val="031B2282"/>
    <w:rsid w:val="031EE074"/>
    <w:rsid w:val="033C21DD"/>
    <w:rsid w:val="03566438"/>
    <w:rsid w:val="03A5913C"/>
    <w:rsid w:val="03B75A68"/>
    <w:rsid w:val="03CFF8D3"/>
    <w:rsid w:val="03D58E94"/>
    <w:rsid w:val="03E1273A"/>
    <w:rsid w:val="03E68C1C"/>
    <w:rsid w:val="03F069D3"/>
    <w:rsid w:val="0402A8D6"/>
    <w:rsid w:val="047D214A"/>
    <w:rsid w:val="04ABAF2B"/>
    <w:rsid w:val="04B01643"/>
    <w:rsid w:val="04B6B780"/>
    <w:rsid w:val="04C9783C"/>
    <w:rsid w:val="04D735B1"/>
    <w:rsid w:val="04E36CD6"/>
    <w:rsid w:val="04EA15B6"/>
    <w:rsid w:val="053316FC"/>
    <w:rsid w:val="053ACFA3"/>
    <w:rsid w:val="054580A2"/>
    <w:rsid w:val="0575F88B"/>
    <w:rsid w:val="05A1CE5C"/>
    <w:rsid w:val="05A73CBE"/>
    <w:rsid w:val="05AA6EE0"/>
    <w:rsid w:val="05BBA581"/>
    <w:rsid w:val="05DFAFC1"/>
    <w:rsid w:val="05E67016"/>
    <w:rsid w:val="0614800F"/>
    <w:rsid w:val="062678FD"/>
    <w:rsid w:val="0696A8AF"/>
    <w:rsid w:val="069B45FE"/>
    <w:rsid w:val="06A98ADB"/>
    <w:rsid w:val="06B0CE12"/>
    <w:rsid w:val="06D535FC"/>
    <w:rsid w:val="06DD2BC9"/>
    <w:rsid w:val="06E8DB70"/>
    <w:rsid w:val="06F7383F"/>
    <w:rsid w:val="073C18FF"/>
    <w:rsid w:val="074649D9"/>
    <w:rsid w:val="07500145"/>
    <w:rsid w:val="075A810C"/>
    <w:rsid w:val="07747B34"/>
    <w:rsid w:val="077B67B2"/>
    <w:rsid w:val="079A6BBA"/>
    <w:rsid w:val="07B2D466"/>
    <w:rsid w:val="07B7DE1C"/>
    <w:rsid w:val="07C9C94B"/>
    <w:rsid w:val="07D11819"/>
    <w:rsid w:val="07E6C3BF"/>
    <w:rsid w:val="080A7C00"/>
    <w:rsid w:val="080B8A38"/>
    <w:rsid w:val="080F6D2A"/>
    <w:rsid w:val="0834B99C"/>
    <w:rsid w:val="083C5305"/>
    <w:rsid w:val="084A4B84"/>
    <w:rsid w:val="085F45A1"/>
    <w:rsid w:val="0876E45F"/>
    <w:rsid w:val="08900CBC"/>
    <w:rsid w:val="08EE5E39"/>
    <w:rsid w:val="0903DEE6"/>
    <w:rsid w:val="0916D271"/>
    <w:rsid w:val="09199F6A"/>
    <w:rsid w:val="091B758F"/>
    <w:rsid w:val="09587FF3"/>
    <w:rsid w:val="0997C5FE"/>
    <w:rsid w:val="0998062A"/>
    <w:rsid w:val="099A545A"/>
    <w:rsid w:val="09D52E0E"/>
    <w:rsid w:val="09E1C1B9"/>
    <w:rsid w:val="09ED1E03"/>
    <w:rsid w:val="09F6805F"/>
    <w:rsid w:val="0A003193"/>
    <w:rsid w:val="0A14F9FE"/>
    <w:rsid w:val="0A23B0AE"/>
    <w:rsid w:val="0A3AECE5"/>
    <w:rsid w:val="0A66BB77"/>
    <w:rsid w:val="0A6C8AC8"/>
    <w:rsid w:val="0A7B4AFD"/>
    <w:rsid w:val="0A7B7F6C"/>
    <w:rsid w:val="0A9221CE"/>
    <w:rsid w:val="0A9A91BE"/>
    <w:rsid w:val="0AE96E71"/>
    <w:rsid w:val="0AEE45A9"/>
    <w:rsid w:val="0AFE8111"/>
    <w:rsid w:val="0B06E134"/>
    <w:rsid w:val="0B1F22C7"/>
    <w:rsid w:val="0B26DD7C"/>
    <w:rsid w:val="0B2C1F27"/>
    <w:rsid w:val="0B448637"/>
    <w:rsid w:val="0B53DEEF"/>
    <w:rsid w:val="0B7289B6"/>
    <w:rsid w:val="0BB9E2A2"/>
    <w:rsid w:val="0BBE0E85"/>
    <w:rsid w:val="0BCF8A48"/>
    <w:rsid w:val="0BF33EA7"/>
    <w:rsid w:val="0C018FB9"/>
    <w:rsid w:val="0C1917CF"/>
    <w:rsid w:val="0C3485F9"/>
    <w:rsid w:val="0C390A77"/>
    <w:rsid w:val="0C3D1A2D"/>
    <w:rsid w:val="0C4D923E"/>
    <w:rsid w:val="0C62FAFA"/>
    <w:rsid w:val="0C7168B2"/>
    <w:rsid w:val="0C8AB45D"/>
    <w:rsid w:val="0C8C150F"/>
    <w:rsid w:val="0C8CECBA"/>
    <w:rsid w:val="0C9F08CF"/>
    <w:rsid w:val="0CD099EF"/>
    <w:rsid w:val="0CE995D1"/>
    <w:rsid w:val="0CEF9AED"/>
    <w:rsid w:val="0D06DA83"/>
    <w:rsid w:val="0D146D0C"/>
    <w:rsid w:val="0D1A3D2D"/>
    <w:rsid w:val="0D49FB73"/>
    <w:rsid w:val="0D58DD17"/>
    <w:rsid w:val="0D69BC34"/>
    <w:rsid w:val="0D8B2679"/>
    <w:rsid w:val="0D94A5B2"/>
    <w:rsid w:val="0D94BFE1"/>
    <w:rsid w:val="0D98617E"/>
    <w:rsid w:val="0DB33291"/>
    <w:rsid w:val="0DB58B5D"/>
    <w:rsid w:val="0DF31565"/>
    <w:rsid w:val="0E069603"/>
    <w:rsid w:val="0E0D81B6"/>
    <w:rsid w:val="0E358FE3"/>
    <w:rsid w:val="0E609527"/>
    <w:rsid w:val="0E6720EC"/>
    <w:rsid w:val="0E9304E7"/>
    <w:rsid w:val="0EA59C09"/>
    <w:rsid w:val="0EB240CA"/>
    <w:rsid w:val="0EDAC855"/>
    <w:rsid w:val="0EF0633F"/>
    <w:rsid w:val="0F06F37D"/>
    <w:rsid w:val="0F1AA894"/>
    <w:rsid w:val="0F2B4E97"/>
    <w:rsid w:val="0F37FDB9"/>
    <w:rsid w:val="0F479124"/>
    <w:rsid w:val="0F6B703C"/>
    <w:rsid w:val="0F6FCDAC"/>
    <w:rsid w:val="0F87DBD6"/>
    <w:rsid w:val="0F9F4D46"/>
    <w:rsid w:val="0FAB8993"/>
    <w:rsid w:val="0FC15E05"/>
    <w:rsid w:val="0FED3715"/>
    <w:rsid w:val="0FF3A977"/>
    <w:rsid w:val="0FF40F07"/>
    <w:rsid w:val="0FFE942B"/>
    <w:rsid w:val="1006B800"/>
    <w:rsid w:val="100A4057"/>
    <w:rsid w:val="1016DA98"/>
    <w:rsid w:val="101AC16E"/>
    <w:rsid w:val="10351F3F"/>
    <w:rsid w:val="10404C45"/>
    <w:rsid w:val="106B1544"/>
    <w:rsid w:val="10851105"/>
    <w:rsid w:val="108601EA"/>
    <w:rsid w:val="108D5094"/>
    <w:rsid w:val="10B2EC41"/>
    <w:rsid w:val="10B32046"/>
    <w:rsid w:val="10B9C847"/>
    <w:rsid w:val="10C1B69E"/>
    <w:rsid w:val="10DFA0F7"/>
    <w:rsid w:val="10EC2568"/>
    <w:rsid w:val="10EEF901"/>
    <w:rsid w:val="1141FFAF"/>
    <w:rsid w:val="1152BED2"/>
    <w:rsid w:val="11803FF6"/>
    <w:rsid w:val="118AC8FF"/>
    <w:rsid w:val="1197976D"/>
    <w:rsid w:val="11C27385"/>
    <w:rsid w:val="11D2614A"/>
    <w:rsid w:val="11EFE82C"/>
    <w:rsid w:val="12046558"/>
    <w:rsid w:val="1215F70D"/>
    <w:rsid w:val="1220892C"/>
    <w:rsid w:val="122104CA"/>
    <w:rsid w:val="1238EE44"/>
    <w:rsid w:val="124CE392"/>
    <w:rsid w:val="12628AC3"/>
    <w:rsid w:val="126816D5"/>
    <w:rsid w:val="1277C82A"/>
    <w:rsid w:val="1284F16F"/>
    <w:rsid w:val="12961155"/>
    <w:rsid w:val="129F8818"/>
    <w:rsid w:val="12C475D6"/>
    <w:rsid w:val="12D16A3B"/>
    <w:rsid w:val="12D4E4D6"/>
    <w:rsid w:val="12DAC04E"/>
    <w:rsid w:val="12E99D24"/>
    <w:rsid w:val="12F8DFBD"/>
    <w:rsid w:val="13089FF3"/>
    <w:rsid w:val="1322273E"/>
    <w:rsid w:val="13239696"/>
    <w:rsid w:val="132429AE"/>
    <w:rsid w:val="1346AB46"/>
    <w:rsid w:val="136C4DDE"/>
    <w:rsid w:val="13786E54"/>
    <w:rsid w:val="139D95A3"/>
    <w:rsid w:val="13A717B3"/>
    <w:rsid w:val="14133878"/>
    <w:rsid w:val="141CAD85"/>
    <w:rsid w:val="1435F8EA"/>
    <w:rsid w:val="144E44EA"/>
    <w:rsid w:val="1454337D"/>
    <w:rsid w:val="147DFE97"/>
    <w:rsid w:val="14B88B13"/>
    <w:rsid w:val="14DE10E2"/>
    <w:rsid w:val="14FD8A63"/>
    <w:rsid w:val="1511C52A"/>
    <w:rsid w:val="15247134"/>
    <w:rsid w:val="153CBD35"/>
    <w:rsid w:val="155D79B4"/>
    <w:rsid w:val="1570F741"/>
    <w:rsid w:val="157B8251"/>
    <w:rsid w:val="15C31DC0"/>
    <w:rsid w:val="15D375C6"/>
    <w:rsid w:val="163DC96F"/>
    <w:rsid w:val="163E2638"/>
    <w:rsid w:val="164A2679"/>
    <w:rsid w:val="164D44FB"/>
    <w:rsid w:val="167232D1"/>
    <w:rsid w:val="167B3A39"/>
    <w:rsid w:val="1684CF69"/>
    <w:rsid w:val="16A9241D"/>
    <w:rsid w:val="16C845EC"/>
    <w:rsid w:val="16E62BE9"/>
    <w:rsid w:val="16FAB7EA"/>
    <w:rsid w:val="16FE9C52"/>
    <w:rsid w:val="17088216"/>
    <w:rsid w:val="1709C4F7"/>
    <w:rsid w:val="17157E47"/>
    <w:rsid w:val="1727B667"/>
    <w:rsid w:val="1731F3C3"/>
    <w:rsid w:val="179ABAFA"/>
    <w:rsid w:val="17C6A85A"/>
    <w:rsid w:val="17D50903"/>
    <w:rsid w:val="17D9159F"/>
    <w:rsid w:val="17DCE979"/>
    <w:rsid w:val="17F0C116"/>
    <w:rsid w:val="17F792EA"/>
    <w:rsid w:val="17FAC919"/>
    <w:rsid w:val="1813BBC1"/>
    <w:rsid w:val="182894F8"/>
    <w:rsid w:val="182B2D59"/>
    <w:rsid w:val="184C338C"/>
    <w:rsid w:val="1859CD44"/>
    <w:rsid w:val="185DA22F"/>
    <w:rsid w:val="188B4BE1"/>
    <w:rsid w:val="189AA117"/>
    <w:rsid w:val="18A33096"/>
    <w:rsid w:val="18A9B9E4"/>
    <w:rsid w:val="18B9D227"/>
    <w:rsid w:val="18C8C4C5"/>
    <w:rsid w:val="18D74EDE"/>
    <w:rsid w:val="18FC939F"/>
    <w:rsid w:val="190D2835"/>
    <w:rsid w:val="192FC6B3"/>
    <w:rsid w:val="1943F3BB"/>
    <w:rsid w:val="1955BADC"/>
    <w:rsid w:val="19577F31"/>
    <w:rsid w:val="195CEB3A"/>
    <w:rsid w:val="196278BB"/>
    <w:rsid w:val="1981181C"/>
    <w:rsid w:val="198947E3"/>
    <w:rsid w:val="19938C7B"/>
    <w:rsid w:val="19942856"/>
    <w:rsid w:val="199BD811"/>
    <w:rsid w:val="19A4A922"/>
    <w:rsid w:val="19A6229C"/>
    <w:rsid w:val="19AC3348"/>
    <w:rsid w:val="19B3AB0C"/>
    <w:rsid w:val="19E93E70"/>
    <w:rsid w:val="19F91732"/>
    <w:rsid w:val="1A02EE09"/>
    <w:rsid w:val="1A1B328E"/>
    <w:rsid w:val="1A2F19D7"/>
    <w:rsid w:val="1A458A45"/>
    <w:rsid w:val="1A45EF8E"/>
    <w:rsid w:val="1A48C2FB"/>
    <w:rsid w:val="1A4E9B28"/>
    <w:rsid w:val="1A5784CD"/>
    <w:rsid w:val="1A5A770F"/>
    <w:rsid w:val="1A8ED2DD"/>
    <w:rsid w:val="1A928FBC"/>
    <w:rsid w:val="1AAAC4A8"/>
    <w:rsid w:val="1AB4DEF2"/>
    <w:rsid w:val="1AD24B37"/>
    <w:rsid w:val="1AED0256"/>
    <w:rsid w:val="1AF002A2"/>
    <w:rsid w:val="1B174078"/>
    <w:rsid w:val="1B190CD3"/>
    <w:rsid w:val="1B1BF6F6"/>
    <w:rsid w:val="1B567E2D"/>
    <w:rsid w:val="1B5E9D14"/>
    <w:rsid w:val="1B62B3F4"/>
    <w:rsid w:val="1B7A01D6"/>
    <w:rsid w:val="1B987068"/>
    <w:rsid w:val="1BB610A8"/>
    <w:rsid w:val="1BBCA4B9"/>
    <w:rsid w:val="1BDAD158"/>
    <w:rsid w:val="1BED8A8C"/>
    <w:rsid w:val="1C209D28"/>
    <w:rsid w:val="1C73A7C0"/>
    <w:rsid w:val="1CA9DD5A"/>
    <w:rsid w:val="1CC37772"/>
    <w:rsid w:val="1CCDEFC4"/>
    <w:rsid w:val="1CD09721"/>
    <w:rsid w:val="1CE7AE9E"/>
    <w:rsid w:val="1D08F184"/>
    <w:rsid w:val="1D3B520D"/>
    <w:rsid w:val="1D63936B"/>
    <w:rsid w:val="1DD804AA"/>
    <w:rsid w:val="1DDD42BE"/>
    <w:rsid w:val="1DE9A940"/>
    <w:rsid w:val="1DEEABAA"/>
    <w:rsid w:val="1E29A8E7"/>
    <w:rsid w:val="1E409B60"/>
    <w:rsid w:val="1E48DB45"/>
    <w:rsid w:val="1E48DB54"/>
    <w:rsid w:val="1E4D709A"/>
    <w:rsid w:val="1E658835"/>
    <w:rsid w:val="1E6DAEBA"/>
    <w:rsid w:val="1E99005D"/>
    <w:rsid w:val="1EBDDCAE"/>
    <w:rsid w:val="1EC4A297"/>
    <w:rsid w:val="1EE322F3"/>
    <w:rsid w:val="1EEB666E"/>
    <w:rsid w:val="1F0FBA2B"/>
    <w:rsid w:val="1F3E7106"/>
    <w:rsid w:val="1F3F76A0"/>
    <w:rsid w:val="1F68F40E"/>
    <w:rsid w:val="1F7E3C53"/>
    <w:rsid w:val="1F8F0694"/>
    <w:rsid w:val="1FA032D5"/>
    <w:rsid w:val="1FD7C7D5"/>
    <w:rsid w:val="200BBFE5"/>
    <w:rsid w:val="2017D640"/>
    <w:rsid w:val="20442D13"/>
    <w:rsid w:val="2055FFD5"/>
    <w:rsid w:val="2088B70A"/>
    <w:rsid w:val="20BADF71"/>
    <w:rsid w:val="20BB634E"/>
    <w:rsid w:val="20BFADAC"/>
    <w:rsid w:val="20C830C0"/>
    <w:rsid w:val="20CC2F33"/>
    <w:rsid w:val="20DFDE84"/>
    <w:rsid w:val="20E99588"/>
    <w:rsid w:val="2105CC24"/>
    <w:rsid w:val="210C3A75"/>
    <w:rsid w:val="2113E0FF"/>
    <w:rsid w:val="211901C5"/>
    <w:rsid w:val="2119FE8C"/>
    <w:rsid w:val="21318686"/>
    <w:rsid w:val="21400F54"/>
    <w:rsid w:val="21495C3D"/>
    <w:rsid w:val="21696F98"/>
    <w:rsid w:val="218312E9"/>
    <w:rsid w:val="2185FFFE"/>
    <w:rsid w:val="218E03F3"/>
    <w:rsid w:val="21CDF8C4"/>
    <w:rsid w:val="21E64533"/>
    <w:rsid w:val="21F0729A"/>
    <w:rsid w:val="220C8E72"/>
    <w:rsid w:val="22212100"/>
    <w:rsid w:val="22360911"/>
    <w:rsid w:val="2252450D"/>
    <w:rsid w:val="226038D2"/>
    <w:rsid w:val="226F887A"/>
    <w:rsid w:val="2286C236"/>
    <w:rsid w:val="229F117C"/>
    <w:rsid w:val="22CD56E7"/>
    <w:rsid w:val="22D51DF8"/>
    <w:rsid w:val="22DF163A"/>
    <w:rsid w:val="23013BA5"/>
    <w:rsid w:val="230B7901"/>
    <w:rsid w:val="230F9C4E"/>
    <w:rsid w:val="23180731"/>
    <w:rsid w:val="2341E7B8"/>
    <w:rsid w:val="23480AE1"/>
    <w:rsid w:val="2354463D"/>
    <w:rsid w:val="235B0461"/>
    <w:rsid w:val="23657D22"/>
    <w:rsid w:val="236DE93D"/>
    <w:rsid w:val="2394116A"/>
    <w:rsid w:val="23BD9F31"/>
    <w:rsid w:val="23E6538F"/>
    <w:rsid w:val="23F6524F"/>
    <w:rsid w:val="2408A0EC"/>
    <w:rsid w:val="242EB8F2"/>
    <w:rsid w:val="243236DF"/>
    <w:rsid w:val="2468AB67"/>
    <w:rsid w:val="24831BFB"/>
    <w:rsid w:val="24890EED"/>
    <w:rsid w:val="249ACD0C"/>
    <w:rsid w:val="24AC6D31"/>
    <w:rsid w:val="24C821AD"/>
    <w:rsid w:val="24DDDFC3"/>
    <w:rsid w:val="24E7783A"/>
    <w:rsid w:val="24EF4A80"/>
    <w:rsid w:val="25079D5A"/>
    <w:rsid w:val="25572212"/>
    <w:rsid w:val="255A176A"/>
    <w:rsid w:val="25A1700E"/>
    <w:rsid w:val="2608D027"/>
    <w:rsid w:val="26177054"/>
    <w:rsid w:val="263815E1"/>
    <w:rsid w:val="265ACBBF"/>
    <w:rsid w:val="267CA466"/>
    <w:rsid w:val="26812050"/>
    <w:rsid w:val="269FE4E1"/>
    <w:rsid w:val="26A8D881"/>
    <w:rsid w:val="272231B5"/>
    <w:rsid w:val="2733E4F5"/>
    <w:rsid w:val="275464CE"/>
    <w:rsid w:val="27822CC6"/>
    <w:rsid w:val="27960ECD"/>
    <w:rsid w:val="27A717CE"/>
    <w:rsid w:val="2801D12E"/>
    <w:rsid w:val="280E7BBF"/>
    <w:rsid w:val="281CA1D9"/>
    <w:rsid w:val="2826BB41"/>
    <w:rsid w:val="282C4658"/>
    <w:rsid w:val="285C1B7D"/>
    <w:rsid w:val="286F8B05"/>
    <w:rsid w:val="287E1607"/>
    <w:rsid w:val="2888AA17"/>
    <w:rsid w:val="2890175F"/>
    <w:rsid w:val="289237E7"/>
    <w:rsid w:val="2896691D"/>
    <w:rsid w:val="28A3471D"/>
    <w:rsid w:val="28A8BC3D"/>
    <w:rsid w:val="28B288BB"/>
    <w:rsid w:val="28B2D7AB"/>
    <w:rsid w:val="28C304DC"/>
    <w:rsid w:val="28D32A58"/>
    <w:rsid w:val="290AC8EA"/>
    <w:rsid w:val="291F3A76"/>
    <w:rsid w:val="29204A23"/>
    <w:rsid w:val="299653DA"/>
    <w:rsid w:val="29A21DC9"/>
    <w:rsid w:val="29A8093D"/>
    <w:rsid w:val="29B239A6"/>
    <w:rsid w:val="29B3A0A1"/>
    <w:rsid w:val="29C3A653"/>
    <w:rsid w:val="29E1DA22"/>
    <w:rsid w:val="2A002064"/>
    <w:rsid w:val="2A007983"/>
    <w:rsid w:val="2A136EA9"/>
    <w:rsid w:val="2A17B43A"/>
    <w:rsid w:val="2A1A385D"/>
    <w:rsid w:val="2A31BC92"/>
    <w:rsid w:val="2A5B5677"/>
    <w:rsid w:val="2A73FD58"/>
    <w:rsid w:val="2A99E4F7"/>
    <w:rsid w:val="2AAF03EB"/>
    <w:rsid w:val="2ADBF609"/>
    <w:rsid w:val="2AEA5A60"/>
    <w:rsid w:val="2AFA486A"/>
    <w:rsid w:val="2B727F50"/>
    <w:rsid w:val="2B92D6CF"/>
    <w:rsid w:val="2BF1CA03"/>
    <w:rsid w:val="2C1E309A"/>
    <w:rsid w:val="2C39DF74"/>
    <w:rsid w:val="2C51CB33"/>
    <w:rsid w:val="2C6D0BD4"/>
    <w:rsid w:val="2C7927EF"/>
    <w:rsid w:val="2CA000EB"/>
    <w:rsid w:val="2CA7EB1A"/>
    <w:rsid w:val="2CD634E5"/>
    <w:rsid w:val="2D05F1C4"/>
    <w:rsid w:val="2D0F9520"/>
    <w:rsid w:val="2D1C3D6B"/>
    <w:rsid w:val="2D1F966F"/>
    <w:rsid w:val="2D302ACD"/>
    <w:rsid w:val="2D30AA08"/>
    <w:rsid w:val="2D3A8A82"/>
    <w:rsid w:val="2D5D41FE"/>
    <w:rsid w:val="2D648177"/>
    <w:rsid w:val="2D73C2E8"/>
    <w:rsid w:val="2D80A89C"/>
    <w:rsid w:val="2D97A1D4"/>
    <w:rsid w:val="2D993079"/>
    <w:rsid w:val="2DAEF033"/>
    <w:rsid w:val="2DAF6549"/>
    <w:rsid w:val="2DB0A513"/>
    <w:rsid w:val="2DD9EC9D"/>
    <w:rsid w:val="2DE1C423"/>
    <w:rsid w:val="2DE4CF4D"/>
    <w:rsid w:val="2DFB0A5F"/>
    <w:rsid w:val="2E2B2992"/>
    <w:rsid w:val="2E324E30"/>
    <w:rsid w:val="2E43040C"/>
    <w:rsid w:val="2E4B8C2C"/>
    <w:rsid w:val="2E720546"/>
    <w:rsid w:val="2E7231E2"/>
    <w:rsid w:val="2EB478C7"/>
    <w:rsid w:val="2ED7E01E"/>
    <w:rsid w:val="2EFB63BC"/>
    <w:rsid w:val="2EFF53A1"/>
    <w:rsid w:val="2F0051D8"/>
    <w:rsid w:val="2F0C9021"/>
    <w:rsid w:val="2F134D1E"/>
    <w:rsid w:val="2F15BA67"/>
    <w:rsid w:val="2F1C78FD"/>
    <w:rsid w:val="2F61A1C2"/>
    <w:rsid w:val="2F6FF468"/>
    <w:rsid w:val="2F7D9484"/>
    <w:rsid w:val="2F8215C8"/>
    <w:rsid w:val="2F9DEC51"/>
    <w:rsid w:val="2FB01F2E"/>
    <w:rsid w:val="2FC3C6D6"/>
    <w:rsid w:val="2FCD091F"/>
    <w:rsid w:val="2FD345FB"/>
    <w:rsid w:val="2FFB487B"/>
    <w:rsid w:val="3004382C"/>
    <w:rsid w:val="30093FF1"/>
    <w:rsid w:val="301104ED"/>
    <w:rsid w:val="30267015"/>
    <w:rsid w:val="30328F80"/>
    <w:rsid w:val="3035B9C4"/>
    <w:rsid w:val="305ECAA8"/>
    <w:rsid w:val="30692F40"/>
    <w:rsid w:val="307D8BAB"/>
    <w:rsid w:val="30866A06"/>
    <w:rsid w:val="3098B21A"/>
    <w:rsid w:val="30A79639"/>
    <w:rsid w:val="30A92C91"/>
    <w:rsid w:val="30ABC31C"/>
    <w:rsid w:val="30B0C9A0"/>
    <w:rsid w:val="30B29BAA"/>
    <w:rsid w:val="30C1D418"/>
    <w:rsid w:val="30E33EDC"/>
    <w:rsid w:val="30F02C6A"/>
    <w:rsid w:val="310347B2"/>
    <w:rsid w:val="310D8B19"/>
    <w:rsid w:val="310D959F"/>
    <w:rsid w:val="31142728"/>
    <w:rsid w:val="313EB77B"/>
    <w:rsid w:val="314084CB"/>
    <w:rsid w:val="3168F16A"/>
    <w:rsid w:val="316E718A"/>
    <w:rsid w:val="317A5583"/>
    <w:rsid w:val="318A63DD"/>
    <w:rsid w:val="31A0088D"/>
    <w:rsid w:val="31B9CE6B"/>
    <w:rsid w:val="31BEF1FE"/>
    <w:rsid w:val="31C1EB3C"/>
    <w:rsid w:val="31C77AE2"/>
    <w:rsid w:val="31C79C2B"/>
    <w:rsid w:val="3202DFCE"/>
    <w:rsid w:val="32050406"/>
    <w:rsid w:val="320BF182"/>
    <w:rsid w:val="32188518"/>
    <w:rsid w:val="32363702"/>
    <w:rsid w:val="32392BFB"/>
    <w:rsid w:val="323BE2E9"/>
    <w:rsid w:val="3264ED08"/>
    <w:rsid w:val="32879206"/>
    <w:rsid w:val="328FF438"/>
    <w:rsid w:val="32A30286"/>
    <w:rsid w:val="32AC1E01"/>
    <w:rsid w:val="32B84070"/>
    <w:rsid w:val="32BDA2E9"/>
    <w:rsid w:val="32F30BB2"/>
    <w:rsid w:val="32F617B6"/>
    <w:rsid w:val="32FBB6F3"/>
    <w:rsid w:val="33067C30"/>
    <w:rsid w:val="33076DB7"/>
    <w:rsid w:val="333122C2"/>
    <w:rsid w:val="33425A66"/>
    <w:rsid w:val="3346DB72"/>
    <w:rsid w:val="337680E3"/>
    <w:rsid w:val="33BA9A9E"/>
    <w:rsid w:val="33CD86CF"/>
    <w:rsid w:val="33E61739"/>
    <w:rsid w:val="3422EDE7"/>
    <w:rsid w:val="3424C32E"/>
    <w:rsid w:val="343AE874"/>
    <w:rsid w:val="3443D3EE"/>
    <w:rsid w:val="34708540"/>
    <w:rsid w:val="3475F1C1"/>
    <w:rsid w:val="34B84355"/>
    <w:rsid w:val="34D08612"/>
    <w:rsid w:val="34D3B18A"/>
    <w:rsid w:val="34D8F26E"/>
    <w:rsid w:val="353A8090"/>
    <w:rsid w:val="353FB135"/>
    <w:rsid w:val="3543E3CF"/>
    <w:rsid w:val="3547C309"/>
    <w:rsid w:val="354962D1"/>
    <w:rsid w:val="35566AFF"/>
    <w:rsid w:val="355DF914"/>
    <w:rsid w:val="356E7053"/>
    <w:rsid w:val="3575180E"/>
    <w:rsid w:val="358007AC"/>
    <w:rsid w:val="358BBEE4"/>
    <w:rsid w:val="35953D44"/>
    <w:rsid w:val="35BBB6AC"/>
    <w:rsid w:val="35E21887"/>
    <w:rsid w:val="36160DC9"/>
    <w:rsid w:val="36206CCA"/>
    <w:rsid w:val="3623EDDE"/>
    <w:rsid w:val="3627B762"/>
    <w:rsid w:val="362B308C"/>
    <w:rsid w:val="364200BB"/>
    <w:rsid w:val="36436497"/>
    <w:rsid w:val="3645E4B6"/>
    <w:rsid w:val="364AD7F4"/>
    <w:rsid w:val="3652E00A"/>
    <w:rsid w:val="365D43DB"/>
    <w:rsid w:val="36639290"/>
    <w:rsid w:val="3663C802"/>
    <w:rsid w:val="3675C986"/>
    <w:rsid w:val="36AD69D3"/>
    <w:rsid w:val="36C464F0"/>
    <w:rsid w:val="370B4FAD"/>
    <w:rsid w:val="3716D7BD"/>
    <w:rsid w:val="37331246"/>
    <w:rsid w:val="37713284"/>
    <w:rsid w:val="3798CAF2"/>
    <w:rsid w:val="37A9D202"/>
    <w:rsid w:val="37B79018"/>
    <w:rsid w:val="37C58B78"/>
    <w:rsid w:val="37CF7992"/>
    <w:rsid w:val="37EB20FF"/>
    <w:rsid w:val="37ED96E7"/>
    <w:rsid w:val="37FA5BF8"/>
    <w:rsid w:val="37FAD4E1"/>
    <w:rsid w:val="37FCD930"/>
    <w:rsid w:val="381364B2"/>
    <w:rsid w:val="382D7ABD"/>
    <w:rsid w:val="3833D095"/>
    <w:rsid w:val="3848F82C"/>
    <w:rsid w:val="384CFC48"/>
    <w:rsid w:val="38709FEA"/>
    <w:rsid w:val="38839540"/>
    <w:rsid w:val="38A07474"/>
    <w:rsid w:val="38A52E00"/>
    <w:rsid w:val="38AC1E71"/>
    <w:rsid w:val="38B9E4F5"/>
    <w:rsid w:val="38C2A282"/>
    <w:rsid w:val="38C781E4"/>
    <w:rsid w:val="38E0D71B"/>
    <w:rsid w:val="38E2108C"/>
    <w:rsid w:val="38E4B9A8"/>
    <w:rsid w:val="38F61A41"/>
    <w:rsid w:val="38FB79B9"/>
    <w:rsid w:val="393C0E77"/>
    <w:rsid w:val="394624E9"/>
    <w:rsid w:val="395DA7C4"/>
    <w:rsid w:val="3960B034"/>
    <w:rsid w:val="3986467F"/>
    <w:rsid w:val="398CD43B"/>
    <w:rsid w:val="3991CC40"/>
    <w:rsid w:val="39A44435"/>
    <w:rsid w:val="39C96CD3"/>
    <w:rsid w:val="39E7BF34"/>
    <w:rsid w:val="39F374FD"/>
    <w:rsid w:val="3A0E5CE6"/>
    <w:rsid w:val="3A15300A"/>
    <w:rsid w:val="3A2B228C"/>
    <w:rsid w:val="3A3A0DFA"/>
    <w:rsid w:val="3A42E9B1"/>
    <w:rsid w:val="3A586BBF"/>
    <w:rsid w:val="3A685EC6"/>
    <w:rsid w:val="3A6F383F"/>
    <w:rsid w:val="3A7DC782"/>
    <w:rsid w:val="3A87123A"/>
    <w:rsid w:val="3AA72FDE"/>
    <w:rsid w:val="3AA845E0"/>
    <w:rsid w:val="3AB9EA97"/>
    <w:rsid w:val="3ACE58A2"/>
    <w:rsid w:val="3B5A50B9"/>
    <w:rsid w:val="3B7A70AA"/>
    <w:rsid w:val="3B811C19"/>
    <w:rsid w:val="3B850945"/>
    <w:rsid w:val="3BB1AF56"/>
    <w:rsid w:val="3BC82A87"/>
    <w:rsid w:val="3BD80F48"/>
    <w:rsid w:val="3C057846"/>
    <w:rsid w:val="3C0D31E7"/>
    <w:rsid w:val="3C0FA253"/>
    <w:rsid w:val="3C2288CF"/>
    <w:rsid w:val="3C246F2E"/>
    <w:rsid w:val="3C410A38"/>
    <w:rsid w:val="3C59FC46"/>
    <w:rsid w:val="3C8DB763"/>
    <w:rsid w:val="3C8DD28D"/>
    <w:rsid w:val="3CB2682C"/>
    <w:rsid w:val="3CB34D63"/>
    <w:rsid w:val="3D41A940"/>
    <w:rsid w:val="3D4CFC37"/>
    <w:rsid w:val="3D6AE407"/>
    <w:rsid w:val="3D99B6A0"/>
    <w:rsid w:val="3DA73CF4"/>
    <w:rsid w:val="3DE4C3A6"/>
    <w:rsid w:val="3DF343C9"/>
    <w:rsid w:val="3E05B634"/>
    <w:rsid w:val="3E0F7F9A"/>
    <w:rsid w:val="3E2616CD"/>
    <w:rsid w:val="3E2E0519"/>
    <w:rsid w:val="3E90AAE4"/>
    <w:rsid w:val="3EA3CB34"/>
    <w:rsid w:val="3ECFDF39"/>
    <w:rsid w:val="3ED0535E"/>
    <w:rsid w:val="3ED63C31"/>
    <w:rsid w:val="3EEACE5A"/>
    <w:rsid w:val="3EEBAAE0"/>
    <w:rsid w:val="3F04D278"/>
    <w:rsid w:val="3F070AD8"/>
    <w:rsid w:val="3F4DDBF4"/>
    <w:rsid w:val="3F6A86C4"/>
    <w:rsid w:val="3F7518ED"/>
    <w:rsid w:val="3F7B08DA"/>
    <w:rsid w:val="3FC6851A"/>
    <w:rsid w:val="3FC9D405"/>
    <w:rsid w:val="3FE10329"/>
    <w:rsid w:val="4011713E"/>
    <w:rsid w:val="4016C5B9"/>
    <w:rsid w:val="403ED47A"/>
    <w:rsid w:val="4040F375"/>
    <w:rsid w:val="40839993"/>
    <w:rsid w:val="40877B41"/>
    <w:rsid w:val="4088EBD0"/>
    <w:rsid w:val="40930D02"/>
    <w:rsid w:val="40BE6B80"/>
    <w:rsid w:val="40E84892"/>
    <w:rsid w:val="40EECF6E"/>
    <w:rsid w:val="41757E77"/>
    <w:rsid w:val="418608F3"/>
    <w:rsid w:val="41B80415"/>
    <w:rsid w:val="41BB565B"/>
    <w:rsid w:val="41E1EA3E"/>
    <w:rsid w:val="41E4B546"/>
    <w:rsid w:val="41E7F262"/>
    <w:rsid w:val="42060C11"/>
    <w:rsid w:val="42073DB6"/>
    <w:rsid w:val="42174B4B"/>
    <w:rsid w:val="4220B313"/>
    <w:rsid w:val="4223759A"/>
    <w:rsid w:val="4244D3FF"/>
    <w:rsid w:val="4258DE31"/>
    <w:rsid w:val="426BD19A"/>
    <w:rsid w:val="42888FEA"/>
    <w:rsid w:val="429BA8D0"/>
    <w:rsid w:val="42B38FC7"/>
    <w:rsid w:val="42B840BD"/>
    <w:rsid w:val="42BD2963"/>
    <w:rsid w:val="42C17606"/>
    <w:rsid w:val="42D32997"/>
    <w:rsid w:val="42E4CDA4"/>
    <w:rsid w:val="42F6E41A"/>
    <w:rsid w:val="4329D88D"/>
    <w:rsid w:val="43663179"/>
    <w:rsid w:val="43668DED"/>
    <w:rsid w:val="43855E4C"/>
    <w:rsid w:val="438EBECC"/>
    <w:rsid w:val="43B59DCD"/>
    <w:rsid w:val="43B83890"/>
    <w:rsid w:val="43DABB44"/>
    <w:rsid w:val="43DE1923"/>
    <w:rsid w:val="43E0479C"/>
    <w:rsid w:val="43EB0149"/>
    <w:rsid w:val="43EF109C"/>
    <w:rsid w:val="441C8A6C"/>
    <w:rsid w:val="442D033C"/>
    <w:rsid w:val="4431CDB1"/>
    <w:rsid w:val="4446C133"/>
    <w:rsid w:val="44522389"/>
    <w:rsid w:val="44628E0C"/>
    <w:rsid w:val="446A34F6"/>
    <w:rsid w:val="446F9504"/>
    <w:rsid w:val="4470FB9C"/>
    <w:rsid w:val="448CAD31"/>
    <w:rsid w:val="44AC7740"/>
    <w:rsid w:val="44B4744C"/>
    <w:rsid w:val="44B71BA9"/>
    <w:rsid w:val="44C57D4D"/>
    <w:rsid w:val="44C5A8EE"/>
    <w:rsid w:val="44D70D32"/>
    <w:rsid w:val="44E64EEF"/>
    <w:rsid w:val="45426EF9"/>
    <w:rsid w:val="4542BB99"/>
    <w:rsid w:val="4544F00A"/>
    <w:rsid w:val="4586A9A0"/>
    <w:rsid w:val="4590B5B3"/>
    <w:rsid w:val="45C6EC88"/>
    <w:rsid w:val="45D2B905"/>
    <w:rsid w:val="45FE13DD"/>
    <w:rsid w:val="46112DCE"/>
    <w:rsid w:val="46207A0C"/>
    <w:rsid w:val="4655CE1E"/>
    <w:rsid w:val="4676DEA3"/>
    <w:rsid w:val="46795EC2"/>
    <w:rsid w:val="4693C36F"/>
    <w:rsid w:val="469FD07F"/>
    <w:rsid w:val="46A40E84"/>
    <w:rsid w:val="47254B4B"/>
    <w:rsid w:val="4742D9D8"/>
    <w:rsid w:val="4762BCE9"/>
    <w:rsid w:val="4763CE7F"/>
    <w:rsid w:val="478829AE"/>
    <w:rsid w:val="47AE5903"/>
    <w:rsid w:val="47C799D0"/>
    <w:rsid w:val="47D76879"/>
    <w:rsid w:val="47DEE645"/>
    <w:rsid w:val="47DFE99F"/>
    <w:rsid w:val="48274599"/>
    <w:rsid w:val="482F6051"/>
    <w:rsid w:val="486F8BEA"/>
    <w:rsid w:val="488DB6A0"/>
    <w:rsid w:val="48CC6783"/>
    <w:rsid w:val="48DC6119"/>
    <w:rsid w:val="48EC51DE"/>
    <w:rsid w:val="48F840AD"/>
    <w:rsid w:val="4909A5EC"/>
    <w:rsid w:val="490E6E5F"/>
    <w:rsid w:val="491CD6D2"/>
    <w:rsid w:val="491ED721"/>
    <w:rsid w:val="4953B51C"/>
    <w:rsid w:val="4962DFB2"/>
    <w:rsid w:val="4985EE85"/>
    <w:rsid w:val="49B89FC1"/>
    <w:rsid w:val="49D53182"/>
    <w:rsid w:val="49D67522"/>
    <w:rsid w:val="49DC6255"/>
    <w:rsid w:val="49FC3C23"/>
    <w:rsid w:val="4A2F3982"/>
    <w:rsid w:val="4A42C0E5"/>
    <w:rsid w:val="4A4F5EDA"/>
    <w:rsid w:val="4A5BB6D7"/>
    <w:rsid w:val="4A5D3AD7"/>
    <w:rsid w:val="4A61DE31"/>
    <w:rsid w:val="4A697FFB"/>
    <w:rsid w:val="4A85B7AC"/>
    <w:rsid w:val="4AA0E097"/>
    <w:rsid w:val="4AACF807"/>
    <w:rsid w:val="4AC50D16"/>
    <w:rsid w:val="4ACB85DA"/>
    <w:rsid w:val="4ADC0A98"/>
    <w:rsid w:val="4AEF99F5"/>
    <w:rsid w:val="4AFC3411"/>
    <w:rsid w:val="4AFE8F23"/>
    <w:rsid w:val="4B06215F"/>
    <w:rsid w:val="4B1A9A82"/>
    <w:rsid w:val="4B261F4B"/>
    <w:rsid w:val="4B3DE4E4"/>
    <w:rsid w:val="4B400128"/>
    <w:rsid w:val="4B5E2815"/>
    <w:rsid w:val="4B6CC593"/>
    <w:rsid w:val="4B6DB675"/>
    <w:rsid w:val="4B8CBACC"/>
    <w:rsid w:val="4C35D789"/>
    <w:rsid w:val="4C3BC3D4"/>
    <w:rsid w:val="4C65E109"/>
    <w:rsid w:val="4C72878D"/>
    <w:rsid w:val="4C775578"/>
    <w:rsid w:val="4C7807FF"/>
    <w:rsid w:val="4CC3B53E"/>
    <w:rsid w:val="4CEF6619"/>
    <w:rsid w:val="4CF594C1"/>
    <w:rsid w:val="4D034E30"/>
    <w:rsid w:val="4D2D6464"/>
    <w:rsid w:val="4D2FD1EF"/>
    <w:rsid w:val="4D40C19E"/>
    <w:rsid w:val="4D4BAC2D"/>
    <w:rsid w:val="4D4C417D"/>
    <w:rsid w:val="4D8E7E42"/>
    <w:rsid w:val="4DA5619E"/>
    <w:rsid w:val="4DBD3AFC"/>
    <w:rsid w:val="4DD427BF"/>
    <w:rsid w:val="4DD49540"/>
    <w:rsid w:val="4DE5505C"/>
    <w:rsid w:val="4E1E593D"/>
    <w:rsid w:val="4E33D4D3"/>
    <w:rsid w:val="4E5B9984"/>
    <w:rsid w:val="4EBB05A6"/>
    <w:rsid w:val="4EE28EF8"/>
    <w:rsid w:val="4EE7A3A2"/>
    <w:rsid w:val="4F0CF22C"/>
    <w:rsid w:val="4F221E6E"/>
    <w:rsid w:val="4F2BDAF5"/>
    <w:rsid w:val="4F30ABFA"/>
    <w:rsid w:val="4F324936"/>
    <w:rsid w:val="4F583670"/>
    <w:rsid w:val="4F7AA038"/>
    <w:rsid w:val="4F7F55DC"/>
    <w:rsid w:val="4F8B1C37"/>
    <w:rsid w:val="4F9A36C6"/>
    <w:rsid w:val="4FAC86B8"/>
    <w:rsid w:val="4FC9505D"/>
    <w:rsid w:val="4FCC01A2"/>
    <w:rsid w:val="4FD7FF36"/>
    <w:rsid w:val="4FDA9AFA"/>
    <w:rsid w:val="4FF2E76F"/>
    <w:rsid w:val="5013C4F2"/>
    <w:rsid w:val="501FC49E"/>
    <w:rsid w:val="5026672B"/>
    <w:rsid w:val="50367B54"/>
    <w:rsid w:val="5036C10D"/>
    <w:rsid w:val="5044B98C"/>
    <w:rsid w:val="504947AA"/>
    <w:rsid w:val="504BDCC9"/>
    <w:rsid w:val="50516BB8"/>
    <w:rsid w:val="50809500"/>
    <w:rsid w:val="50D1FE37"/>
    <w:rsid w:val="50E09F7B"/>
    <w:rsid w:val="5105B885"/>
    <w:rsid w:val="5113D4A8"/>
    <w:rsid w:val="51582392"/>
    <w:rsid w:val="515FFF82"/>
    <w:rsid w:val="5162FD24"/>
    <w:rsid w:val="51C252B6"/>
    <w:rsid w:val="51D317B3"/>
    <w:rsid w:val="5215A7C6"/>
    <w:rsid w:val="523A0754"/>
    <w:rsid w:val="523BB46A"/>
    <w:rsid w:val="5277E0B8"/>
    <w:rsid w:val="52976F2E"/>
    <w:rsid w:val="52A2D701"/>
    <w:rsid w:val="52D1681A"/>
    <w:rsid w:val="52E4277A"/>
    <w:rsid w:val="539EC84B"/>
    <w:rsid w:val="53A8144F"/>
    <w:rsid w:val="53B957A3"/>
    <w:rsid w:val="53C4239F"/>
    <w:rsid w:val="53DDC68A"/>
    <w:rsid w:val="53E6288B"/>
    <w:rsid w:val="53EF9B08"/>
    <w:rsid w:val="541360B3"/>
    <w:rsid w:val="541D927A"/>
    <w:rsid w:val="543260CB"/>
    <w:rsid w:val="5433787F"/>
    <w:rsid w:val="54422FBE"/>
    <w:rsid w:val="544BA3C2"/>
    <w:rsid w:val="5455A07D"/>
    <w:rsid w:val="54613B95"/>
    <w:rsid w:val="54B9E5EC"/>
    <w:rsid w:val="54C17CC8"/>
    <w:rsid w:val="54CDBB11"/>
    <w:rsid w:val="54DEEEAF"/>
    <w:rsid w:val="54E80F72"/>
    <w:rsid w:val="54FB705E"/>
    <w:rsid w:val="5509E530"/>
    <w:rsid w:val="55115FAC"/>
    <w:rsid w:val="55119085"/>
    <w:rsid w:val="5520AB15"/>
    <w:rsid w:val="55337DF9"/>
    <w:rsid w:val="554C01F1"/>
    <w:rsid w:val="55538233"/>
    <w:rsid w:val="5566261D"/>
    <w:rsid w:val="5573F5C0"/>
    <w:rsid w:val="559B269E"/>
    <w:rsid w:val="55A20B7E"/>
    <w:rsid w:val="55C825A3"/>
    <w:rsid w:val="55EAA334"/>
    <w:rsid w:val="55FD07A9"/>
    <w:rsid w:val="56075A1B"/>
    <w:rsid w:val="56221A88"/>
    <w:rsid w:val="563F9676"/>
    <w:rsid w:val="5647CAA0"/>
    <w:rsid w:val="56AC7815"/>
    <w:rsid w:val="56B572CD"/>
    <w:rsid w:val="56C67BCE"/>
    <w:rsid w:val="56CC8EBA"/>
    <w:rsid w:val="56D0D012"/>
    <w:rsid w:val="56E9A4CE"/>
    <w:rsid w:val="56F78FEA"/>
    <w:rsid w:val="56FBA5B8"/>
    <w:rsid w:val="570358C1"/>
    <w:rsid w:val="570B5BC6"/>
    <w:rsid w:val="574A08D2"/>
    <w:rsid w:val="575408AF"/>
    <w:rsid w:val="579B5A02"/>
    <w:rsid w:val="57CF6DAC"/>
    <w:rsid w:val="57D4936E"/>
    <w:rsid w:val="57D79936"/>
    <w:rsid w:val="57E57E71"/>
    <w:rsid w:val="57EB625F"/>
    <w:rsid w:val="57EC760D"/>
    <w:rsid w:val="5800409A"/>
    <w:rsid w:val="5847AC15"/>
    <w:rsid w:val="584C092C"/>
    <w:rsid w:val="5860F3FF"/>
    <w:rsid w:val="586DA5E7"/>
    <w:rsid w:val="586EBC4E"/>
    <w:rsid w:val="58763288"/>
    <w:rsid w:val="5896E060"/>
    <w:rsid w:val="58C962F0"/>
    <w:rsid w:val="58DB3E18"/>
    <w:rsid w:val="58F050A7"/>
    <w:rsid w:val="5914B8A7"/>
    <w:rsid w:val="59192C79"/>
    <w:rsid w:val="5933B80E"/>
    <w:rsid w:val="594C85F4"/>
    <w:rsid w:val="595B9176"/>
    <w:rsid w:val="59773738"/>
    <w:rsid w:val="597A0D8C"/>
    <w:rsid w:val="59909032"/>
    <w:rsid w:val="59A020A1"/>
    <w:rsid w:val="59AC7BAE"/>
    <w:rsid w:val="59AF850F"/>
    <w:rsid w:val="59CF5CD9"/>
    <w:rsid w:val="59D058F8"/>
    <w:rsid w:val="59D50D21"/>
    <w:rsid w:val="59D98006"/>
    <w:rsid w:val="59DBF4A0"/>
    <w:rsid w:val="59E0911E"/>
    <w:rsid w:val="59E705C6"/>
    <w:rsid w:val="59ED138F"/>
    <w:rsid w:val="59F22403"/>
    <w:rsid w:val="59F8E62D"/>
    <w:rsid w:val="5A1CD7CB"/>
    <w:rsid w:val="5A3CD56A"/>
    <w:rsid w:val="5A3DAA4B"/>
    <w:rsid w:val="5A6013E5"/>
    <w:rsid w:val="5A653BF4"/>
    <w:rsid w:val="5A6E01CC"/>
    <w:rsid w:val="5A84A81A"/>
    <w:rsid w:val="5A88D479"/>
    <w:rsid w:val="5A8E774F"/>
    <w:rsid w:val="5AB9713C"/>
    <w:rsid w:val="5AC04694"/>
    <w:rsid w:val="5AE375FE"/>
    <w:rsid w:val="5AE75C18"/>
    <w:rsid w:val="5AF761D7"/>
    <w:rsid w:val="5AFB8283"/>
    <w:rsid w:val="5B137275"/>
    <w:rsid w:val="5B257795"/>
    <w:rsid w:val="5B25CA1E"/>
    <w:rsid w:val="5B38ABD2"/>
    <w:rsid w:val="5B3AD057"/>
    <w:rsid w:val="5B47DEAF"/>
    <w:rsid w:val="5B4C2CB0"/>
    <w:rsid w:val="5B590B07"/>
    <w:rsid w:val="5B73572E"/>
    <w:rsid w:val="5B73F0C1"/>
    <w:rsid w:val="5B7DCB81"/>
    <w:rsid w:val="5B8D9351"/>
    <w:rsid w:val="5B934078"/>
    <w:rsid w:val="5B96D48E"/>
    <w:rsid w:val="5BAA4409"/>
    <w:rsid w:val="5BBF856D"/>
    <w:rsid w:val="5C0674DD"/>
    <w:rsid w:val="5C4FA4BB"/>
    <w:rsid w:val="5C524D40"/>
    <w:rsid w:val="5C5681FC"/>
    <w:rsid w:val="5C68662F"/>
    <w:rsid w:val="5C7C7845"/>
    <w:rsid w:val="5C85EF24"/>
    <w:rsid w:val="5C950D58"/>
    <w:rsid w:val="5CAFE75D"/>
    <w:rsid w:val="5CB853B9"/>
    <w:rsid w:val="5CC04BD7"/>
    <w:rsid w:val="5D12FDDC"/>
    <w:rsid w:val="5D2481EC"/>
    <w:rsid w:val="5D675E91"/>
    <w:rsid w:val="5D6F33C3"/>
    <w:rsid w:val="5D727DEE"/>
    <w:rsid w:val="5D80852A"/>
    <w:rsid w:val="5D896322"/>
    <w:rsid w:val="5D902C9A"/>
    <w:rsid w:val="5D97F805"/>
    <w:rsid w:val="5DA6A935"/>
    <w:rsid w:val="5DB154C3"/>
    <w:rsid w:val="5DEB751C"/>
    <w:rsid w:val="5DEE1DA1"/>
    <w:rsid w:val="5DF8089F"/>
    <w:rsid w:val="5E081581"/>
    <w:rsid w:val="5E09B627"/>
    <w:rsid w:val="5E409F76"/>
    <w:rsid w:val="5E5F7887"/>
    <w:rsid w:val="5E613397"/>
    <w:rsid w:val="5EB12BF9"/>
    <w:rsid w:val="5EBC93DA"/>
    <w:rsid w:val="5EBDF665"/>
    <w:rsid w:val="5ED63D14"/>
    <w:rsid w:val="5ED7720D"/>
    <w:rsid w:val="5EDC6337"/>
    <w:rsid w:val="5F357F70"/>
    <w:rsid w:val="5F406C38"/>
    <w:rsid w:val="5F46F586"/>
    <w:rsid w:val="5F4FB969"/>
    <w:rsid w:val="5F5F80E3"/>
    <w:rsid w:val="5F639A8A"/>
    <w:rsid w:val="5F7CDB59"/>
    <w:rsid w:val="5F7DAEEF"/>
    <w:rsid w:val="5F9175E6"/>
    <w:rsid w:val="5F9A4E72"/>
    <w:rsid w:val="5FA63C75"/>
    <w:rsid w:val="5FED996D"/>
    <w:rsid w:val="5FF0A1DD"/>
    <w:rsid w:val="5FFBC805"/>
    <w:rsid w:val="6006F1C9"/>
    <w:rsid w:val="6027B985"/>
    <w:rsid w:val="60282D95"/>
    <w:rsid w:val="60323F3B"/>
    <w:rsid w:val="604A9406"/>
    <w:rsid w:val="607B4EB2"/>
    <w:rsid w:val="60835C5D"/>
    <w:rsid w:val="609D7654"/>
    <w:rsid w:val="60A03898"/>
    <w:rsid w:val="60A5E3BC"/>
    <w:rsid w:val="60C0B757"/>
    <w:rsid w:val="60C18818"/>
    <w:rsid w:val="60C45320"/>
    <w:rsid w:val="60CA65F7"/>
    <w:rsid w:val="60CF98C7"/>
    <w:rsid w:val="60F1CB17"/>
    <w:rsid w:val="60FA46C5"/>
    <w:rsid w:val="61106352"/>
    <w:rsid w:val="61292AAB"/>
    <w:rsid w:val="6132C921"/>
    <w:rsid w:val="61395A95"/>
    <w:rsid w:val="613A80AC"/>
    <w:rsid w:val="614AD70B"/>
    <w:rsid w:val="61782D20"/>
    <w:rsid w:val="617BEA99"/>
    <w:rsid w:val="618D95DC"/>
    <w:rsid w:val="61CB698E"/>
    <w:rsid w:val="61CC89B3"/>
    <w:rsid w:val="61DFD0C9"/>
    <w:rsid w:val="622B85BE"/>
    <w:rsid w:val="625AFECB"/>
    <w:rsid w:val="6270C5FD"/>
    <w:rsid w:val="6274D75E"/>
    <w:rsid w:val="628DCCFA"/>
    <w:rsid w:val="62B57125"/>
    <w:rsid w:val="62BFECF2"/>
    <w:rsid w:val="62D507EE"/>
    <w:rsid w:val="62E7C78E"/>
    <w:rsid w:val="62EEFFFE"/>
    <w:rsid w:val="634F9B53"/>
    <w:rsid w:val="63792130"/>
    <w:rsid w:val="63A3CA89"/>
    <w:rsid w:val="63AAE330"/>
    <w:rsid w:val="63D53F60"/>
    <w:rsid w:val="63D96131"/>
    <w:rsid w:val="63DE2149"/>
    <w:rsid w:val="6417D858"/>
    <w:rsid w:val="6429A350"/>
    <w:rsid w:val="642B062A"/>
    <w:rsid w:val="64345ACD"/>
    <w:rsid w:val="643A0C8A"/>
    <w:rsid w:val="644E5B87"/>
    <w:rsid w:val="646BB7E8"/>
    <w:rsid w:val="646D2FD2"/>
    <w:rsid w:val="6475BD39"/>
    <w:rsid w:val="64783845"/>
    <w:rsid w:val="6486410B"/>
    <w:rsid w:val="648A396A"/>
    <w:rsid w:val="64930958"/>
    <w:rsid w:val="64E8D2EC"/>
    <w:rsid w:val="6516ED7F"/>
    <w:rsid w:val="6524C8F7"/>
    <w:rsid w:val="656E72FC"/>
    <w:rsid w:val="6578B2D5"/>
    <w:rsid w:val="65899F48"/>
    <w:rsid w:val="65B6DB91"/>
    <w:rsid w:val="65B6E2D8"/>
    <w:rsid w:val="65C155CF"/>
    <w:rsid w:val="65C5E0C1"/>
    <w:rsid w:val="65DE0DCF"/>
    <w:rsid w:val="660EE3D6"/>
    <w:rsid w:val="66294FD3"/>
    <w:rsid w:val="66422189"/>
    <w:rsid w:val="664565AB"/>
    <w:rsid w:val="66751C04"/>
    <w:rsid w:val="6686D279"/>
    <w:rsid w:val="668E5C9D"/>
    <w:rsid w:val="66EB466D"/>
    <w:rsid w:val="67025469"/>
    <w:rsid w:val="672C3A35"/>
    <w:rsid w:val="673C9EAF"/>
    <w:rsid w:val="674C7C28"/>
    <w:rsid w:val="6755DB4C"/>
    <w:rsid w:val="6757BCDC"/>
    <w:rsid w:val="6773722F"/>
    <w:rsid w:val="6788860A"/>
    <w:rsid w:val="67BCDB16"/>
    <w:rsid w:val="67EA7AA8"/>
    <w:rsid w:val="68058C75"/>
    <w:rsid w:val="680C24A0"/>
    <w:rsid w:val="68152F8F"/>
    <w:rsid w:val="68160BD1"/>
    <w:rsid w:val="6820C4A1"/>
    <w:rsid w:val="6822BC86"/>
    <w:rsid w:val="6842D77D"/>
    <w:rsid w:val="684A1DAF"/>
    <w:rsid w:val="684EACD3"/>
    <w:rsid w:val="68579215"/>
    <w:rsid w:val="6863F6FD"/>
    <w:rsid w:val="68A4F49A"/>
    <w:rsid w:val="68BB3BD9"/>
    <w:rsid w:val="68CDF17B"/>
    <w:rsid w:val="68DCEDB8"/>
    <w:rsid w:val="68E6E16E"/>
    <w:rsid w:val="68EF89D9"/>
    <w:rsid w:val="6912B25D"/>
    <w:rsid w:val="691E6236"/>
    <w:rsid w:val="694C502C"/>
    <w:rsid w:val="69522F33"/>
    <w:rsid w:val="696C4EC6"/>
    <w:rsid w:val="6978B656"/>
    <w:rsid w:val="6991FD3E"/>
    <w:rsid w:val="6992B916"/>
    <w:rsid w:val="6994ABB2"/>
    <w:rsid w:val="699E58E7"/>
    <w:rsid w:val="69A0FE9B"/>
    <w:rsid w:val="69A3745A"/>
    <w:rsid w:val="69A39CAC"/>
    <w:rsid w:val="69B3F9DE"/>
    <w:rsid w:val="69BF1339"/>
    <w:rsid w:val="6A242D99"/>
    <w:rsid w:val="6A278798"/>
    <w:rsid w:val="6A35A176"/>
    <w:rsid w:val="6A7CE66B"/>
    <w:rsid w:val="6AC9E690"/>
    <w:rsid w:val="6AEBAF15"/>
    <w:rsid w:val="6AED6333"/>
    <w:rsid w:val="6B11F105"/>
    <w:rsid w:val="6B2CEA1D"/>
    <w:rsid w:val="6B3D50B4"/>
    <w:rsid w:val="6B406333"/>
    <w:rsid w:val="6B4E09AE"/>
    <w:rsid w:val="6B4ECF9C"/>
    <w:rsid w:val="6B7F0BC6"/>
    <w:rsid w:val="6BA0D594"/>
    <w:rsid w:val="6BC357F9"/>
    <w:rsid w:val="6BD91EED"/>
    <w:rsid w:val="6BDE9AE9"/>
    <w:rsid w:val="6BDF7E61"/>
    <w:rsid w:val="6C014894"/>
    <w:rsid w:val="6C732651"/>
    <w:rsid w:val="6C821057"/>
    <w:rsid w:val="6C977A0E"/>
    <w:rsid w:val="6C9D79BF"/>
    <w:rsid w:val="6CA7CE7C"/>
    <w:rsid w:val="6CC96C2A"/>
    <w:rsid w:val="6CDD9285"/>
    <w:rsid w:val="6CE36169"/>
    <w:rsid w:val="6CE4467A"/>
    <w:rsid w:val="6CE97F0E"/>
    <w:rsid w:val="6CED9EC5"/>
    <w:rsid w:val="6CF7FB6C"/>
    <w:rsid w:val="6D0240AA"/>
    <w:rsid w:val="6D2DCE5E"/>
    <w:rsid w:val="6D75D3D3"/>
    <w:rsid w:val="6D836AA5"/>
    <w:rsid w:val="6DA19C3F"/>
    <w:rsid w:val="6DC0F157"/>
    <w:rsid w:val="6DD5FCB3"/>
    <w:rsid w:val="6DEE88E2"/>
    <w:rsid w:val="6E0A5893"/>
    <w:rsid w:val="6E0BC94F"/>
    <w:rsid w:val="6E14B5BD"/>
    <w:rsid w:val="6E2B35FC"/>
    <w:rsid w:val="6E45D73E"/>
    <w:rsid w:val="6E535CF9"/>
    <w:rsid w:val="6E666005"/>
    <w:rsid w:val="6E72BB04"/>
    <w:rsid w:val="6E7AD9ED"/>
    <w:rsid w:val="6EB50BE2"/>
    <w:rsid w:val="6ED5AC5D"/>
    <w:rsid w:val="6EEF8D1E"/>
    <w:rsid w:val="6F048FF1"/>
    <w:rsid w:val="6F1CA896"/>
    <w:rsid w:val="6F4D01D6"/>
    <w:rsid w:val="6F5EC697"/>
    <w:rsid w:val="6F8E7153"/>
    <w:rsid w:val="6F90E277"/>
    <w:rsid w:val="6FADD00B"/>
    <w:rsid w:val="6FAFCC50"/>
    <w:rsid w:val="6FC8E91A"/>
    <w:rsid w:val="6FD85175"/>
    <w:rsid w:val="6FE3A297"/>
    <w:rsid w:val="6FEA35CA"/>
    <w:rsid w:val="6FF2104F"/>
    <w:rsid w:val="6FFBB3AB"/>
    <w:rsid w:val="6FFE114D"/>
    <w:rsid w:val="70397C6B"/>
    <w:rsid w:val="703B65FD"/>
    <w:rsid w:val="705D1D2D"/>
    <w:rsid w:val="7067707A"/>
    <w:rsid w:val="70B5E068"/>
    <w:rsid w:val="70C04B20"/>
    <w:rsid w:val="70C35870"/>
    <w:rsid w:val="70C7B194"/>
    <w:rsid w:val="70D14F42"/>
    <w:rsid w:val="710F1CB1"/>
    <w:rsid w:val="710FB6A5"/>
    <w:rsid w:val="7121C27B"/>
    <w:rsid w:val="7128447B"/>
    <w:rsid w:val="713D5637"/>
    <w:rsid w:val="7157205D"/>
    <w:rsid w:val="71856745"/>
    <w:rsid w:val="71879FF1"/>
    <w:rsid w:val="7193465E"/>
    <w:rsid w:val="719EE9A9"/>
    <w:rsid w:val="71D524ED"/>
    <w:rsid w:val="71D571ED"/>
    <w:rsid w:val="71E8E13F"/>
    <w:rsid w:val="71FAE78B"/>
    <w:rsid w:val="7233AFE4"/>
    <w:rsid w:val="727022B7"/>
    <w:rsid w:val="72814994"/>
    <w:rsid w:val="72873DC0"/>
    <w:rsid w:val="72A79BC5"/>
    <w:rsid w:val="72C11584"/>
    <w:rsid w:val="72FEE936"/>
    <w:rsid w:val="732C0D88"/>
    <w:rsid w:val="73323AF8"/>
    <w:rsid w:val="734B25C1"/>
    <w:rsid w:val="735AE80B"/>
    <w:rsid w:val="737B27A8"/>
    <w:rsid w:val="7387F14D"/>
    <w:rsid w:val="738EC0C9"/>
    <w:rsid w:val="73B24D24"/>
    <w:rsid w:val="73C141D8"/>
    <w:rsid w:val="73CF8045"/>
    <w:rsid w:val="73FC60D6"/>
    <w:rsid w:val="73FD7DE7"/>
    <w:rsid w:val="73FEF96A"/>
    <w:rsid w:val="7402DE45"/>
    <w:rsid w:val="740DDF0D"/>
    <w:rsid w:val="741289D1"/>
    <w:rsid w:val="741776B7"/>
    <w:rsid w:val="7428AC68"/>
    <w:rsid w:val="743658FE"/>
    <w:rsid w:val="743D7C3B"/>
    <w:rsid w:val="746C3B33"/>
    <w:rsid w:val="7476FB4D"/>
    <w:rsid w:val="748C4C46"/>
    <w:rsid w:val="74936484"/>
    <w:rsid w:val="749680AB"/>
    <w:rsid w:val="74F48ED9"/>
    <w:rsid w:val="750270ED"/>
    <w:rsid w:val="750A0328"/>
    <w:rsid w:val="75112046"/>
    <w:rsid w:val="752F2F49"/>
    <w:rsid w:val="753D3EE9"/>
    <w:rsid w:val="756DB58A"/>
    <w:rsid w:val="757ED13A"/>
    <w:rsid w:val="7587C4CE"/>
    <w:rsid w:val="7594887E"/>
    <w:rsid w:val="75957A05"/>
    <w:rsid w:val="75A74F0B"/>
    <w:rsid w:val="75B2F609"/>
    <w:rsid w:val="75B46C5F"/>
    <w:rsid w:val="75C3AFC0"/>
    <w:rsid w:val="75C4AD2B"/>
    <w:rsid w:val="75E18B85"/>
    <w:rsid w:val="75EEDC32"/>
    <w:rsid w:val="760F26B4"/>
    <w:rsid w:val="7649B9D5"/>
    <w:rsid w:val="76509A4E"/>
    <w:rsid w:val="76695D09"/>
    <w:rsid w:val="7669712F"/>
    <w:rsid w:val="767FFDBD"/>
    <w:rsid w:val="76822453"/>
    <w:rsid w:val="768EE799"/>
    <w:rsid w:val="76997BB0"/>
    <w:rsid w:val="76B2758A"/>
    <w:rsid w:val="76C684D9"/>
    <w:rsid w:val="76CB0039"/>
    <w:rsid w:val="76CF22F7"/>
    <w:rsid w:val="76DCC9D3"/>
    <w:rsid w:val="76E68AA2"/>
    <w:rsid w:val="76EBE002"/>
    <w:rsid w:val="76F40A66"/>
    <w:rsid w:val="7715EAE6"/>
    <w:rsid w:val="77291D27"/>
    <w:rsid w:val="7743B1B6"/>
    <w:rsid w:val="774536F5"/>
    <w:rsid w:val="7766D77E"/>
    <w:rsid w:val="777052D4"/>
    <w:rsid w:val="7776D8CD"/>
    <w:rsid w:val="778A7C1C"/>
    <w:rsid w:val="77D9856E"/>
    <w:rsid w:val="782517F1"/>
    <w:rsid w:val="782F98AB"/>
    <w:rsid w:val="785C60A9"/>
    <w:rsid w:val="785DBBBD"/>
    <w:rsid w:val="78601175"/>
    <w:rsid w:val="786605C2"/>
    <w:rsid w:val="788B082B"/>
    <w:rsid w:val="78B6DAB3"/>
    <w:rsid w:val="78C9F70D"/>
    <w:rsid w:val="78D07B7E"/>
    <w:rsid w:val="78D26A8D"/>
    <w:rsid w:val="78D5985F"/>
    <w:rsid w:val="78EA0B0B"/>
    <w:rsid w:val="78F454DF"/>
    <w:rsid w:val="790E5214"/>
    <w:rsid w:val="79115300"/>
    <w:rsid w:val="791802BE"/>
    <w:rsid w:val="792C9862"/>
    <w:rsid w:val="793310B6"/>
    <w:rsid w:val="79332375"/>
    <w:rsid w:val="793B4D11"/>
    <w:rsid w:val="79403E28"/>
    <w:rsid w:val="796443B1"/>
    <w:rsid w:val="796FA422"/>
    <w:rsid w:val="7976985C"/>
    <w:rsid w:val="7998DF39"/>
    <w:rsid w:val="79A9A022"/>
    <w:rsid w:val="79AFC68C"/>
    <w:rsid w:val="79BD20C0"/>
    <w:rsid w:val="79C7ADA9"/>
    <w:rsid w:val="79C8AA4E"/>
    <w:rsid w:val="79DF4248"/>
    <w:rsid w:val="79EADF58"/>
    <w:rsid w:val="7A0B5FC1"/>
    <w:rsid w:val="7A101CB4"/>
    <w:rsid w:val="7A25996C"/>
    <w:rsid w:val="7A3EC1C9"/>
    <w:rsid w:val="7A6717B1"/>
    <w:rsid w:val="7A691B82"/>
    <w:rsid w:val="7A8B51AC"/>
    <w:rsid w:val="7AA4F5E2"/>
    <w:rsid w:val="7AB6B398"/>
    <w:rsid w:val="7ABA2249"/>
    <w:rsid w:val="7AC707FD"/>
    <w:rsid w:val="7AD24E87"/>
    <w:rsid w:val="7AE6E75A"/>
    <w:rsid w:val="7B06541C"/>
    <w:rsid w:val="7B2E58E9"/>
    <w:rsid w:val="7BA4CCF3"/>
    <w:rsid w:val="7BA628C8"/>
    <w:rsid w:val="7BAEBB99"/>
    <w:rsid w:val="7BC29900"/>
    <w:rsid w:val="7BFB79E7"/>
    <w:rsid w:val="7BFDC8A6"/>
    <w:rsid w:val="7C186E6F"/>
    <w:rsid w:val="7C4C99C6"/>
    <w:rsid w:val="7C7B6848"/>
    <w:rsid w:val="7C7EDF61"/>
    <w:rsid w:val="7C7F0CBF"/>
    <w:rsid w:val="7C92FF29"/>
    <w:rsid w:val="7CF15FF1"/>
    <w:rsid w:val="7CFF5576"/>
    <w:rsid w:val="7D062277"/>
    <w:rsid w:val="7D0FB838"/>
    <w:rsid w:val="7D1C5B1C"/>
    <w:rsid w:val="7D1C9E00"/>
    <w:rsid w:val="7D226E5E"/>
    <w:rsid w:val="7D26E1E1"/>
    <w:rsid w:val="7D51D4F9"/>
    <w:rsid w:val="7D532009"/>
    <w:rsid w:val="7D5D802A"/>
    <w:rsid w:val="7D69E60D"/>
    <w:rsid w:val="7D7D3149"/>
    <w:rsid w:val="7D9B89D7"/>
    <w:rsid w:val="7DBBDCDF"/>
    <w:rsid w:val="7DC86BDA"/>
    <w:rsid w:val="7E5CDEB7"/>
    <w:rsid w:val="7E5DBB22"/>
    <w:rsid w:val="7E5F027E"/>
    <w:rsid w:val="7E89B9FA"/>
    <w:rsid w:val="7E8B5951"/>
    <w:rsid w:val="7E9C4EC1"/>
    <w:rsid w:val="7EC3B4D7"/>
    <w:rsid w:val="7EC6C10D"/>
    <w:rsid w:val="7ED0E3BD"/>
    <w:rsid w:val="7ED3F710"/>
    <w:rsid w:val="7EE1792C"/>
    <w:rsid w:val="7EE66936"/>
    <w:rsid w:val="7F168C20"/>
    <w:rsid w:val="7F45D288"/>
    <w:rsid w:val="7F536431"/>
    <w:rsid w:val="7F730B44"/>
    <w:rsid w:val="7FA82437"/>
    <w:rsid w:val="7FAC9237"/>
    <w:rsid w:val="7FD464D6"/>
    <w:rsid w:val="7FD56512"/>
    <w:rsid w:val="7FDF931A"/>
    <w:rsid w:val="7FE7FD06"/>
    <w:rsid w:val="7FF28C73"/>
    <w:rsid w:val="7FF951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6A20E8"/>
  <w15:docId w15:val="{3F4F1D32-B1F8-4307-9FAB-AD7F98BB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A350BF"/>
    <w:pPr>
      <w:spacing w:before="240" w:after="12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uiPriority w:val="59"/>
    <w:rsid w:val="0033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37A4C"/>
    <w:pPr>
      <w:tabs>
        <w:tab w:val="clear" w:pos="794"/>
        <w:tab w:val="clear" w:pos="1191"/>
        <w:tab w:val="left" w:pos="1134"/>
      </w:tabs>
    </w:pPr>
  </w:style>
  <w:style w:type="character" w:styleId="Hyperlink">
    <w:name w:val="Hyperlink"/>
    <w:basedOn w:val="DefaultParagraphFont"/>
    <w:uiPriority w:val="99"/>
    <w:unhideWhenUsed/>
    <w:rsid w:val="00337A4C"/>
    <w:rPr>
      <w:color w:val="0000FF" w:themeColor="hyperlink"/>
      <w:u w:val="single"/>
    </w:rPr>
  </w:style>
  <w:style w:type="character" w:customStyle="1" w:styleId="Heading1Char">
    <w:name w:val="Heading 1 Char"/>
    <w:basedOn w:val="DefaultParagraphFont"/>
    <w:link w:val="Heading1"/>
    <w:rsid w:val="00713AFE"/>
    <w:rPr>
      <w:rFonts w:ascii="Times New Roman" w:hAnsi="Times New Roman"/>
      <w:b/>
      <w:sz w:val="24"/>
      <w:lang w:val="en-GB" w:eastAsia="en-US"/>
    </w:rPr>
  </w:style>
  <w:style w:type="character" w:customStyle="1" w:styleId="Heading2Char">
    <w:name w:val="Heading 2 Char"/>
    <w:basedOn w:val="DefaultParagraphFont"/>
    <w:link w:val="Heading2"/>
    <w:rsid w:val="00713AFE"/>
    <w:rPr>
      <w:rFonts w:ascii="Times New Roman" w:hAnsi="Times New Roman"/>
      <w:b/>
      <w:sz w:val="24"/>
      <w:lang w:val="en-GB" w:eastAsia="en-US"/>
    </w:rPr>
  </w:style>
  <w:style w:type="character" w:customStyle="1" w:styleId="Heading3Char">
    <w:name w:val="Heading 3 Char"/>
    <w:basedOn w:val="DefaultParagraphFont"/>
    <w:link w:val="Heading3"/>
    <w:rsid w:val="00713AFE"/>
    <w:rPr>
      <w:rFonts w:ascii="Times New Roman" w:hAnsi="Times New Roman"/>
      <w:b/>
      <w:sz w:val="24"/>
      <w:lang w:val="en-GB" w:eastAsia="en-US"/>
    </w:rPr>
  </w:style>
  <w:style w:type="character" w:customStyle="1" w:styleId="Heading4Char">
    <w:name w:val="Heading 4 Char"/>
    <w:basedOn w:val="DefaultParagraphFont"/>
    <w:link w:val="Heading4"/>
    <w:rsid w:val="00713AFE"/>
    <w:rPr>
      <w:rFonts w:ascii="Times New Roman" w:hAnsi="Times New Roman"/>
      <w:b/>
      <w:sz w:val="24"/>
      <w:lang w:val="en-GB" w:eastAsia="en-US"/>
    </w:rPr>
  </w:style>
  <w:style w:type="character" w:customStyle="1" w:styleId="Heading5Char">
    <w:name w:val="Heading 5 Char"/>
    <w:basedOn w:val="DefaultParagraphFont"/>
    <w:link w:val="Heading5"/>
    <w:rsid w:val="00713AFE"/>
    <w:rPr>
      <w:rFonts w:ascii="Times New Roman" w:hAnsi="Times New Roman"/>
      <w:b/>
      <w:sz w:val="24"/>
      <w:lang w:val="en-GB" w:eastAsia="en-US"/>
    </w:rPr>
  </w:style>
  <w:style w:type="character" w:customStyle="1" w:styleId="Heading6Char">
    <w:name w:val="Heading 6 Char"/>
    <w:basedOn w:val="DefaultParagraphFont"/>
    <w:link w:val="Heading6"/>
    <w:rsid w:val="00713AFE"/>
    <w:rPr>
      <w:rFonts w:ascii="Times New Roman" w:hAnsi="Times New Roman"/>
      <w:b/>
      <w:sz w:val="24"/>
      <w:lang w:val="en-GB" w:eastAsia="en-US"/>
    </w:rPr>
  </w:style>
  <w:style w:type="character" w:customStyle="1" w:styleId="Heading7Char">
    <w:name w:val="Heading 7 Char"/>
    <w:basedOn w:val="DefaultParagraphFont"/>
    <w:link w:val="Heading7"/>
    <w:rsid w:val="00713AFE"/>
    <w:rPr>
      <w:rFonts w:ascii="Times New Roman" w:hAnsi="Times New Roman"/>
      <w:b/>
      <w:sz w:val="24"/>
      <w:lang w:val="en-GB" w:eastAsia="en-US"/>
    </w:rPr>
  </w:style>
  <w:style w:type="character" w:customStyle="1" w:styleId="Heading8Char">
    <w:name w:val="Heading 8 Char"/>
    <w:basedOn w:val="DefaultParagraphFont"/>
    <w:link w:val="Heading8"/>
    <w:rsid w:val="00713AFE"/>
    <w:rPr>
      <w:rFonts w:ascii="Times New Roman" w:hAnsi="Times New Roman"/>
      <w:b/>
      <w:sz w:val="24"/>
      <w:lang w:val="en-GB" w:eastAsia="en-US"/>
    </w:rPr>
  </w:style>
  <w:style w:type="character" w:customStyle="1" w:styleId="Heading9Char">
    <w:name w:val="Heading 9 Char"/>
    <w:basedOn w:val="DefaultParagraphFont"/>
    <w:link w:val="Heading9"/>
    <w:rsid w:val="00713AFE"/>
    <w:rPr>
      <w:rFonts w:ascii="Times New Roman" w:hAnsi="Times New Roman"/>
      <w:b/>
      <w:sz w:val="24"/>
      <w:lang w:val="en-GB" w:eastAsia="en-US"/>
    </w:rPr>
  </w:style>
  <w:style w:type="paragraph" w:customStyle="1" w:styleId="ASN1">
    <w:name w:val="ASN.1"/>
    <w:basedOn w:val="Normal"/>
    <w:rsid w:val="00713AF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713AFE"/>
    <w:rPr>
      <w:vertAlign w:val="superscript"/>
    </w:rPr>
  </w:style>
  <w:style w:type="paragraph" w:customStyle="1" w:styleId="FooterQP">
    <w:name w:val="Footer_QP"/>
    <w:basedOn w:val="Normal"/>
    <w:rsid w:val="00713AFE"/>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713AFE"/>
    <w:pPr>
      <w:spacing w:before="0"/>
    </w:pPr>
    <w:rPr>
      <w:rFonts w:ascii="Tahoma" w:hAnsi="Tahoma" w:cs="Tahoma"/>
      <w:sz w:val="16"/>
      <w:szCs w:val="16"/>
    </w:rPr>
  </w:style>
  <w:style w:type="character" w:customStyle="1" w:styleId="BalloonTextChar">
    <w:name w:val="Balloon Text Char"/>
    <w:basedOn w:val="DefaultParagraphFont"/>
    <w:link w:val="BalloonText"/>
    <w:rsid w:val="00713AFE"/>
    <w:rPr>
      <w:rFonts w:ascii="Tahoma" w:hAnsi="Tahoma" w:cs="Tahoma"/>
      <w:sz w:val="16"/>
      <w:szCs w:val="16"/>
      <w:lang w:val="en-GB" w:eastAsia="en-US"/>
    </w:rPr>
  </w:style>
  <w:style w:type="paragraph" w:styleId="ListParagraph">
    <w:name w:val="List Paragraph"/>
    <w:basedOn w:val="Normal"/>
    <w:uiPriority w:val="34"/>
    <w:qFormat/>
    <w:rsid w:val="00713AF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paragraph" w:customStyle="1" w:styleId="Normalaftertitle0">
    <w:name w:val="Normal after title"/>
    <w:basedOn w:val="Normal"/>
    <w:next w:val="Normal"/>
    <w:rsid w:val="00713AFE"/>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713AFE"/>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713AFE"/>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13AFE"/>
    <w:rPr>
      <w:rFonts w:ascii="Consolas" w:eastAsiaTheme="minorEastAsia" w:hAnsi="Consolas" w:cstheme="minorBidi"/>
      <w:sz w:val="21"/>
      <w:szCs w:val="21"/>
    </w:rPr>
  </w:style>
  <w:style w:type="paragraph" w:styleId="NoSpacing">
    <w:name w:val="No Spacing"/>
    <w:uiPriority w:val="1"/>
    <w:qFormat/>
    <w:rsid w:val="00713AFE"/>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713AFE"/>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713AFE"/>
    <w:rPr>
      <w:rFonts w:ascii="Times New Roman" w:hAnsi="Times New Roman"/>
      <w:sz w:val="24"/>
      <w:lang w:val="en-GB" w:eastAsia="en-US"/>
    </w:rPr>
  </w:style>
  <w:style w:type="character" w:customStyle="1" w:styleId="apple-converted-space">
    <w:name w:val="apple-converted-space"/>
    <w:basedOn w:val="DefaultParagraphFont"/>
    <w:rsid w:val="00713AFE"/>
  </w:style>
  <w:style w:type="table" w:customStyle="1" w:styleId="TableGrid1">
    <w:name w:val="Table Grid1"/>
    <w:basedOn w:val="TableNormal"/>
    <w:next w:val="TableGrid"/>
    <w:rsid w:val="00713AF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3AFE"/>
    <w:rPr>
      <w:b/>
      <w:bCs/>
    </w:rPr>
  </w:style>
  <w:style w:type="paragraph" w:customStyle="1" w:styleId="Annextitle">
    <w:name w:val="Annex_title"/>
    <w:basedOn w:val="Normal"/>
    <w:next w:val="Normal"/>
    <w:rsid w:val="00713AF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713AF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713AFE"/>
    <w:rPr>
      <w:rFonts w:ascii="Times New Roman" w:hAnsi="Times New Roman"/>
      <w:i/>
      <w:sz w:val="24"/>
      <w:lang w:val="en-GB" w:eastAsia="en-US"/>
    </w:rPr>
  </w:style>
  <w:style w:type="character" w:customStyle="1" w:styleId="HeadingbChar">
    <w:name w:val="Heading_b Char"/>
    <w:link w:val="Headingb"/>
    <w:locked/>
    <w:rsid w:val="00713AFE"/>
    <w:rPr>
      <w:rFonts w:ascii="Times New Roman" w:hAnsi="Times New Roman"/>
      <w:b/>
      <w:sz w:val="24"/>
      <w:lang w:val="en-GB" w:eastAsia="en-US"/>
    </w:rPr>
  </w:style>
  <w:style w:type="character" w:customStyle="1" w:styleId="RestitleChar">
    <w:name w:val="Res_title Char"/>
    <w:basedOn w:val="DefaultParagraphFont"/>
    <w:link w:val="Restitle"/>
    <w:locked/>
    <w:rsid w:val="00713AFE"/>
    <w:rPr>
      <w:rFonts w:ascii="Times New Roman" w:hAnsi="Times New Roman"/>
      <w:b/>
      <w:sz w:val="28"/>
      <w:lang w:val="en-GB" w:eastAsia="en-US"/>
    </w:rPr>
  </w:style>
  <w:style w:type="character" w:styleId="FollowedHyperlink">
    <w:name w:val="FollowedHyperlink"/>
    <w:basedOn w:val="DefaultParagraphFont"/>
    <w:unhideWhenUsed/>
    <w:rsid w:val="00713AFE"/>
    <w:rPr>
      <w:color w:val="606420"/>
      <w:u w:val="single"/>
    </w:rPr>
  </w:style>
  <w:style w:type="paragraph" w:styleId="NormalWeb">
    <w:name w:val="Normal (Web)"/>
    <w:basedOn w:val="Normal"/>
    <w:uiPriority w:val="99"/>
    <w:unhideWhenUsed/>
    <w:rsid w:val="00713AF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713AFE"/>
    <w:pPr>
      <w:spacing w:before="0"/>
      <w:textAlignment w:val="auto"/>
    </w:pPr>
    <w:rPr>
      <w:sz w:val="20"/>
    </w:rPr>
  </w:style>
  <w:style w:type="character" w:customStyle="1" w:styleId="EndnoteTextChar">
    <w:name w:val="Endnote Text Char"/>
    <w:basedOn w:val="DefaultParagraphFont"/>
    <w:link w:val="EndnoteText"/>
    <w:uiPriority w:val="99"/>
    <w:rsid w:val="00713AFE"/>
    <w:rPr>
      <w:rFonts w:ascii="Times New Roman" w:hAnsi="Times New Roman"/>
      <w:lang w:val="en-GB" w:eastAsia="en-US"/>
    </w:rPr>
  </w:style>
  <w:style w:type="paragraph" w:styleId="Title">
    <w:name w:val="Title"/>
    <w:basedOn w:val="Normal"/>
    <w:next w:val="Normal"/>
    <w:link w:val="TitleChar"/>
    <w:qFormat/>
    <w:rsid w:val="00713AFE"/>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3AF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713AFE"/>
    <w:pPr>
      <w:textAlignment w:val="auto"/>
    </w:pPr>
    <w:rPr>
      <w:b/>
      <w:bCs/>
      <w:i/>
      <w:iCs/>
      <w:szCs w:val="24"/>
    </w:rPr>
  </w:style>
  <w:style w:type="character" w:customStyle="1" w:styleId="BodyTextChar">
    <w:name w:val="Body Text Char"/>
    <w:basedOn w:val="DefaultParagraphFont"/>
    <w:link w:val="BodyText"/>
    <w:rsid w:val="00713AF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713AFE"/>
    <w:pPr>
      <w:spacing w:after="120"/>
      <w:ind w:left="360"/>
      <w:textAlignment w:val="auto"/>
    </w:pPr>
  </w:style>
  <w:style w:type="character" w:customStyle="1" w:styleId="BodyTextIndentChar">
    <w:name w:val="Body Text Indent Char"/>
    <w:basedOn w:val="DefaultParagraphFont"/>
    <w:link w:val="BodyTextIndent"/>
    <w:rsid w:val="00713AFE"/>
    <w:rPr>
      <w:rFonts w:ascii="Times New Roman" w:hAnsi="Times New Roman"/>
      <w:sz w:val="24"/>
      <w:lang w:val="en-GB" w:eastAsia="en-US"/>
    </w:rPr>
  </w:style>
  <w:style w:type="paragraph" w:styleId="Subtitle">
    <w:name w:val="Subtitle"/>
    <w:basedOn w:val="Normal"/>
    <w:next w:val="Normal"/>
    <w:link w:val="SubtitleChar"/>
    <w:uiPriority w:val="11"/>
    <w:qFormat/>
    <w:rsid w:val="00713AFE"/>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713AFE"/>
    <w:rPr>
      <w:rFonts w:ascii="Cambria" w:eastAsia="SimSun" w:hAnsi="Cambria"/>
      <w:i/>
      <w:iCs/>
      <w:color w:val="4F81BD"/>
      <w:spacing w:val="15"/>
      <w:sz w:val="24"/>
      <w:szCs w:val="24"/>
    </w:rPr>
  </w:style>
  <w:style w:type="paragraph" w:styleId="BodyText2">
    <w:name w:val="Body Text 2"/>
    <w:basedOn w:val="Normal"/>
    <w:link w:val="BodyText2Char"/>
    <w:unhideWhenUsed/>
    <w:rsid w:val="00713AFE"/>
    <w:pPr>
      <w:spacing w:after="120" w:line="480" w:lineRule="auto"/>
      <w:textAlignment w:val="auto"/>
    </w:pPr>
  </w:style>
  <w:style w:type="character" w:customStyle="1" w:styleId="BodyText2Char">
    <w:name w:val="Body Text 2 Char"/>
    <w:basedOn w:val="DefaultParagraphFont"/>
    <w:link w:val="BodyText2"/>
    <w:rsid w:val="00713AFE"/>
    <w:rPr>
      <w:rFonts w:ascii="Times New Roman" w:hAnsi="Times New Roman"/>
      <w:sz w:val="24"/>
      <w:lang w:val="en-GB" w:eastAsia="en-US"/>
    </w:rPr>
  </w:style>
  <w:style w:type="paragraph" w:styleId="Revision">
    <w:name w:val="Revision"/>
    <w:uiPriority w:val="99"/>
    <w:semiHidden/>
    <w:rsid w:val="00713AFE"/>
    <w:rPr>
      <w:rFonts w:ascii="Times New Roman" w:hAnsi="Times New Roman"/>
      <w:sz w:val="24"/>
      <w:lang w:val="en-GB" w:eastAsia="en-US"/>
    </w:rPr>
  </w:style>
  <w:style w:type="character" w:styleId="CommentReference">
    <w:name w:val="annotation reference"/>
    <w:basedOn w:val="DefaultParagraphFont"/>
    <w:semiHidden/>
    <w:unhideWhenUsed/>
    <w:rsid w:val="00713AFE"/>
    <w:rPr>
      <w:sz w:val="16"/>
      <w:szCs w:val="16"/>
    </w:rPr>
  </w:style>
  <w:style w:type="paragraph" w:styleId="CommentText">
    <w:name w:val="annotation text"/>
    <w:basedOn w:val="Normal"/>
    <w:link w:val="CommentTextChar"/>
    <w:semiHidden/>
    <w:unhideWhenUsed/>
    <w:rsid w:val="00713AFE"/>
    <w:rPr>
      <w:sz w:val="20"/>
    </w:rPr>
  </w:style>
  <w:style w:type="character" w:customStyle="1" w:styleId="CommentTextChar">
    <w:name w:val="Comment Text Char"/>
    <w:basedOn w:val="DefaultParagraphFont"/>
    <w:link w:val="CommentText"/>
    <w:semiHidden/>
    <w:rsid w:val="00713AF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13AFE"/>
    <w:rPr>
      <w:b/>
      <w:bCs/>
    </w:rPr>
  </w:style>
  <w:style w:type="character" w:customStyle="1" w:styleId="CommentSubjectChar">
    <w:name w:val="Comment Subject Char"/>
    <w:basedOn w:val="CommentTextChar"/>
    <w:link w:val="CommentSubject"/>
    <w:semiHidden/>
    <w:rsid w:val="00713AFE"/>
    <w:rPr>
      <w:rFonts w:ascii="Times New Roman" w:hAnsi="Times New Roman"/>
      <w:b/>
      <w:bCs/>
      <w:lang w:val="en-GB" w:eastAsia="en-US"/>
    </w:rPr>
  </w:style>
  <w:style w:type="table" w:customStyle="1" w:styleId="GridTable1Light-Accent512">
    <w:name w:val="Grid Table 1 Light - Accent 512"/>
    <w:basedOn w:val="TableNormal"/>
    <w:uiPriority w:val="46"/>
    <w:rsid w:val="00713AF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713AFE"/>
    <w:rPr>
      <w:rFonts w:ascii="Times New Roman" w:hAnsi="Times New Roman"/>
      <w:b/>
      <w:sz w:val="22"/>
      <w:lang w:val="en-GB" w:eastAsia="en-US"/>
    </w:rPr>
  </w:style>
  <w:style w:type="paragraph" w:customStyle="1" w:styleId="TableNo">
    <w:name w:val="Table_No"/>
    <w:basedOn w:val="Normal"/>
    <w:next w:val="Normal"/>
    <w:uiPriority w:val="99"/>
    <w:rsid w:val="00713AFE"/>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713AF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713AFE"/>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713AFE"/>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713AFE"/>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13AF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713AF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713A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713AF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713AFE"/>
  </w:style>
  <w:style w:type="character" w:customStyle="1" w:styleId="DateChar">
    <w:name w:val="Date Char"/>
    <w:basedOn w:val="DefaultParagraphFont"/>
    <w:link w:val="Date"/>
    <w:rsid w:val="00713AFE"/>
    <w:rPr>
      <w:rFonts w:ascii="Times New Roman" w:hAnsi="Times New Roman"/>
      <w:sz w:val="24"/>
      <w:lang w:val="en-GB" w:eastAsia="en-US"/>
    </w:rPr>
  </w:style>
  <w:style w:type="paragraph" w:customStyle="1" w:styleId="Tablefin">
    <w:name w:val="Table_fin"/>
    <w:basedOn w:val="Tabletext"/>
    <w:rsid w:val="00713AFE"/>
    <w:rPr>
      <w:sz w:val="20"/>
    </w:rPr>
  </w:style>
  <w:style w:type="table" w:customStyle="1" w:styleId="ListTable1Light-Accent11">
    <w:name w:val="List Table 1 Light - Accent 11"/>
    <w:basedOn w:val="TableNormal"/>
    <w:next w:val="ListTable1Light-Accent1"/>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35544B"/>
    <w:rPr>
      <w:color w:val="605E5C"/>
      <w:shd w:val="clear" w:color="auto" w:fill="E1DFDD"/>
    </w:rPr>
  </w:style>
  <w:style w:type="paragraph" w:customStyle="1" w:styleId="paragraph">
    <w:name w:val="paragraph"/>
    <w:basedOn w:val="Normal"/>
    <w:rsid w:val="007732B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7732BA"/>
  </w:style>
  <w:style w:type="character" w:customStyle="1" w:styleId="eop">
    <w:name w:val="eop"/>
    <w:basedOn w:val="DefaultParagraphFont"/>
    <w:rsid w:val="00773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396762">
      <w:bodyDiv w:val="1"/>
      <w:marLeft w:val="0"/>
      <w:marRight w:val="0"/>
      <w:marTop w:val="0"/>
      <w:marBottom w:val="0"/>
      <w:divBdr>
        <w:top w:val="none" w:sz="0" w:space="0" w:color="auto"/>
        <w:left w:val="none" w:sz="0" w:space="0" w:color="auto"/>
        <w:bottom w:val="none" w:sz="0" w:space="0" w:color="auto"/>
        <w:right w:val="none" w:sz="0" w:space="0" w:color="auto"/>
      </w:divBdr>
    </w:div>
    <w:div w:id="95028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pub/itu-s/md/20/sg/cir/S20-SG-CIR-0033!!PDF-E.pdf" TargetMode="External"/><Relationship Id="rId21" Type="http://schemas.openxmlformats.org/officeDocument/2006/relationships/hyperlink" Target="https://www.itu.int/md/S14-CL-INF-0004/en" TargetMode="External"/><Relationship Id="rId34" Type="http://schemas.openxmlformats.org/officeDocument/2006/relationships/hyperlink" Target="https://www.itu.int/md/S20-CL-C-0061/en" TargetMode="External"/><Relationship Id="rId42" Type="http://schemas.openxmlformats.org/officeDocument/2006/relationships/header" Target="header6.xml"/><Relationship Id="rId47" Type="http://schemas.openxmlformats.org/officeDocument/2006/relationships/image" Target="media/image4.png"/><Relationship Id="rId50" Type="http://schemas.openxmlformats.org/officeDocument/2006/relationships/hyperlink" Target="http://www.itu.int/en/ITU-R" TargetMode="External"/><Relationship Id="rId55" Type="http://schemas.openxmlformats.org/officeDocument/2006/relationships/hyperlink" Target="https://www.itu.int/en/mediacentre/backgrounders/Pages/5G-fifth-generation-of-mobile-technologies.aspx" TargetMode="External"/><Relationship Id="rId63" Type="http://schemas.openxmlformats.org/officeDocument/2006/relationships/hyperlink" Target="https://www.itu.int/en/mediacentre/backgrounders/Pages/non-GSO-satellite-systems-with-short-duration-missions.aspx" TargetMode="External"/><Relationship Id="rId68" Type="http://schemas.openxmlformats.org/officeDocument/2006/relationships/hyperlink" Target="https://news.itu.int/heres-how-the-diversity-of-radio-services-improves-lives-worldwide/" TargetMode="External"/><Relationship Id="rId76" Type="http://schemas.openxmlformats.org/officeDocument/2006/relationships/hyperlink" Target="https://www.itu.int/en/myitu/News/2020/10/15/09/12/Rising-sound-broadcasting-demand-Africa-FM-stations-John-Omo" TargetMode="External"/><Relationship Id="rId84" Type="http://schemas.openxmlformats.org/officeDocument/2006/relationships/hyperlink" Target="https://www.itu.int/ITU-R/go/disabilities-divide/en" TargetMode="External"/><Relationship Id="rId89" Type="http://schemas.openxmlformats.org/officeDocument/2006/relationships/hyperlink" Target="https://www.itu.int/en/myitu/Publications/2020/09/02/14/38/List-V---List-of-Ship-Stations-and-Maritime-Mobile-Service-Identity-Assignments-2020" TargetMode="External"/><Relationship Id="rId97" Type="http://schemas.openxmlformats.org/officeDocument/2006/relationships/header" Target="header9.xml"/><Relationship Id="rId7" Type="http://schemas.openxmlformats.org/officeDocument/2006/relationships/settings" Target="settings.xml"/><Relationship Id="rId71" Type="http://schemas.openxmlformats.org/officeDocument/2006/relationships/hyperlink" Target="https://www.itu.int/en/myitu/News/2021/02/12/10/47/Celebrating-resilience-radio-World-Radio-Day-2021-Mario-Maniewicz" TargetMode="External"/><Relationship Id="rId92" Type="http://schemas.openxmlformats.org/officeDocument/2006/relationships/hyperlink" Target="https://www.itu.int/md/R00-CA-CIR-0252/en" TargetMode="External"/><Relationship Id="rId2" Type="http://schemas.openxmlformats.org/officeDocument/2006/relationships/customXml" Target="../customXml/item2.xml"/><Relationship Id="rId16" Type="http://schemas.openxmlformats.org/officeDocument/2006/relationships/hyperlink" Target="https://www.itu.int/md/S20-DM-CIR-01011/en" TargetMode="External"/><Relationship Id="rId29" Type="http://schemas.openxmlformats.org/officeDocument/2006/relationships/hyperlink" Target="https://www.itu.int/md/R00-CA-CIR-0251/en" TargetMode="External"/><Relationship Id="rId11" Type="http://schemas.openxmlformats.org/officeDocument/2006/relationships/image" Target="media/image1.jpg"/><Relationship Id="rId24" Type="http://schemas.openxmlformats.org/officeDocument/2006/relationships/hyperlink" Target="https://www.itu.int/md/S20-CL-C-0056/en" TargetMode="External"/><Relationship Id="rId32" Type="http://schemas.openxmlformats.org/officeDocument/2006/relationships/hyperlink" Target="http://www.itu.int/en/ITU-R/study-groups/rcpm/Pages/wrc-27-preliminary-studies.aspx" TargetMode="External"/><Relationship Id="rId37" Type="http://schemas.openxmlformats.org/officeDocument/2006/relationships/footer" Target="footer1.xml"/><Relationship Id="rId40" Type="http://schemas.openxmlformats.org/officeDocument/2006/relationships/footer" Target="footer2.xml"/><Relationship Id="rId45" Type="http://schemas.openxmlformats.org/officeDocument/2006/relationships/footer" Target="footer4.xml"/><Relationship Id="rId53" Type="http://schemas.openxmlformats.org/officeDocument/2006/relationships/hyperlink" Target="https://www.itu.int/en/ITU-R/Documents/ITU-R-FAQ-DD-DSO.pdf" TargetMode="External"/><Relationship Id="rId58" Type="http://schemas.openxmlformats.org/officeDocument/2006/relationships/hyperlink" Target="https://www.itu.int/en/mediacentre/backgrounders/Pages/Radiocommunications-for-keeping-ships-and-people-safe-at-sea.aspx" TargetMode="External"/><Relationship Id="rId66" Type="http://schemas.openxmlformats.org/officeDocument/2006/relationships/hyperlink" Target="https://www.itu.int/en/myitu/News/2020/11/27/17/53/World-Radiocommunication-Seminar-WRS-20-plenary-open-to-all-Mario-Maniewicz" TargetMode="External"/><Relationship Id="rId74" Type="http://schemas.openxmlformats.org/officeDocument/2006/relationships/hyperlink" Target="https://www.itu.int/en/myitu/News/2020/05/23/12/02/How-ITUs-Radiocommunication-Sector-is-working-towards-the-Connect-2030-Agenda" TargetMode="External"/><Relationship Id="rId79" Type="http://schemas.openxmlformats.org/officeDocument/2006/relationships/hyperlink" Target="http://www.itu.int/oth/R040200003F/en" TargetMode="External"/><Relationship Id="rId87" Type="http://schemas.openxmlformats.org/officeDocument/2006/relationships/hyperlink" Target="https://www.itu.int/en/myitu/Publications/2020/09/02/14/28/Maritime-Manual-2020" TargetMode="External"/><Relationship Id="rId5" Type="http://schemas.openxmlformats.org/officeDocument/2006/relationships/numbering" Target="numbering.xml"/><Relationship Id="rId61" Type="http://schemas.openxmlformats.org/officeDocument/2006/relationships/hyperlink" Target="https://www.itu.int/en/mediacentre/backgrounders/Pages/Earth-stations-in-motion-satellite-issues.aspx" TargetMode="External"/><Relationship Id="rId82" Type="http://schemas.openxmlformats.org/officeDocument/2006/relationships/hyperlink" Target="https://www.itu.int/en/ITU-R/information/Pages/climate-change.aspx" TargetMode="External"/><Relationship Id="rId90" Type="http://schemas.openxmlformats.org/officeDocument/2006/relationships/hyperlink" Target="https://www.itu.int/en/ITU-R/conferences/rag/cg-gender/Pages/default.aspx" TargetMode="External"/><Relationship Id="rId95" Type="http://schemas.openxmlformats.org/officeDocument/2006/relationships/hyperlink" Target="https://www.itu.int/md/R00-CR-CIR-0456/en" TargetMode="External"/><Relationship Id="rId19" Type="http://schemas.openxmlformats.org/officeDocument/2006/relationships/hyperlink" Target="https://www.itu.int/md/S14-CL-INF-0004/en" TargetMode="External"/><Relationship Id="rId14" Type="http://schemas.openxmlformats.org/officeDocument/2006/relationships/hyperlink" Target="https://www.itu.int/md/S20-CL-C-0016/en" TargetMode="External"/><Relationship Id="rId22" Type="http://schemas.openxmlformats.org/officeDocument/2006/relationships/hyperlink" Target="https://www.itu.int/md/S21-RCLCWGLANG11-C-0002/en" TargetMode="External"/><Relationship Id="rId27" Type="http://schemas.openxmlformats.org/officeDocument/2006/relationships/hyperlink" Target="https://www.itu.int/md/S20-CL-C-0055/en" TargetMode="External"/><Relationship Id="rId30" Type="http://schemas.openxmlformats.org/officeDocument/2006/relationships/hyperlink" Target="https://www.itu.int/md/R00-CA-CIR-0251/en" TargetMode="External"/><Relationship Id="rId35" Type="http://schemas.openxmlformats.org/officeDocument/2006/relationships/header" Target="header1.xml"/><Relationship Id="rId43" Type="http://schemas.openxmlformats.org/officeDocument/2006/relationships/footer" Target="footer3.xml"/><Relationship Id="rId48" Type="http://schemas.openxmlformats.org/officeDocument/2006/relationships/image" Target="media/image5.png"/><Relationship Id="rId56" Type="http://schemas.openxmlformats.org/officeDocument/2006/relationships/hyperlink" Target="https://www.itu.int/en/mediacentre/backgrounders/Pages/5G-EMF-health.aspx" TargetMode="External"/><Relationship Id="rId64" Type="http://schemas.openxmlformats.org/officeDocument/2006/relationships/hyperlink" Target="https://www.itu.int/en/myitu/News/2020/07/24/18/15/Ham-radio-emergency-comms-Filling-USGS-donut-hole" TargetMode="External"/><Relationship Id="rId69" Type="http://schemas.openxmlformats.org/officeDocument/2006/relationships/hyperlink" Target="https://news.itu.int/heres-how-the-diversity-of-radio-services-improves-lives-worldwide/" TargetMode="External"/><Relationship Id="rId77" Type="http://schemas.openxmlformats.org/officeDocument/2006/relationships/hyperlink" Target="https://news.itu.int/?s=By+Mario+Maniewicz%2c+Director"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en/ITU-R/Documents/ITU-R-FAQ-UTC.pdf" TargetMode="External"/><Relationship Id="rId72" Type="http://schemas.openxmlformats.org/officeDocument/2006/relationships/hyperlink" Target="https://www.itu.int/en/myitu/News/2020/11/16/08/16/10-things-rely-on-ITU-Radio-Regulations" TargetMode="External"/><Relationship Id="rId80" Type="http://schemas.openxmlformats.org/officeDocument/2006/relationships/hyperlink" Target="https://www.itu.int/en/action/ai/emerging-radio-technologies/Pages/default.aspx" TargetMode="External"/><Relationship Id="rId85" Type="http://schemas.openxmlformats.org/officeDocument/2006/relationships/hyperlink" Target="https://www.itu.int/en/myitu/Publications/2020/06/25/16/38/Final-Acts-of-WRC-19" TargetMode="External"/><Relationship Id="rId93" Type="http://schemas.openxmlformats.org/officeDocument/2006/relationships/hyperlink" Target="https://www.itu.int/en/ITU-R/conferences/RRB/Documents/ai%204_1_compendium%20to%20be%20published%20as%20special%20topics_English.docx"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tu.int/md/R00-CA-CIR-0250/en" TargetMode="External"/><Relationship Id="rId17" Type="http://schemas.openxmlformats.org/officeDocument/2006/relationships/image" Target="media/image2.emf"/><Relationship Id="rId25" Type="http://schemas.openxmlformats.org/officeDocument/2006/relationships/hyperlink" Target="https://www.itu.int/md/S20-DM-CIR-01011/en" TargetMode="External"/><Relationship Id="rId33" Type="http://schemas.openxmlformats.org/officeDocument/2006/relationships/hyperlink" Target="http://www.itu.int/go/wrc-23-regional" TargetMode="External"/><Relationship Id="rId38" Type="http://schemas.openxmlformats.org/officeDocument/2006/relationships/header" Target="header3.xml"/><Relationship Id="rId46" Type="http://schemas.openxmlformats.org/officeDocument/2006/relationships/image" Target="media/image3.png"/><Relationship Id="rId59" Type="http://schemas.openxmlformats.org/officeDocument/2006/relationships/hyperlink" Target="https://www.itu.int/en/mediacentre/backgrounders/Pages/itu-study-groups.aspx" TargetMode="External"/><Relationship Id="rId67" Type="http://schemas.openxmlformats.org/officeDocument/2006/relationships/hyperlink" Target="https://www.itu.int/en/myitu/News/2020/10/13/07/22/Satellite-innovation-Space-technology-to-reach-the-unconnected" TargetMode="External"/><Relationship Id="rId20" Type="http://schemas.openxmlformats.org/officeDocument/2006/relationships/hyperlink" Target="https://www.itu.int/md/S14-CL-INF-0004/en" TargetMode="External"/><Relationship Id="rId41" Type="http://schemas.openxmlformats.org/officeDocument/2006/relationships/header" Target="header5.xml"/><Relationship Id="rId54" Type="http://schemas.openxmlformats.org/officeDocument/2006/relationships/hyperlink" Target="https://www.itu.int/en/ITU-R/terrestrial/Pages/by-categories-faq.aspx?maincategorizedby=1" TargetMode="External"/><Relationship Id="rId62" Type="http://schemas.openxmlformats.org/officeDocument/2006/relationships/hyperlink" Target="https://www.itu.int/en/mediacentre/backgrounders/Pages/Non-geostationary-satellite-systems.aspx" TargetMode="External"/><Relationship Id="rId70" Type="http://schemas.openxmlformats.org/officeDocument/2006/relationships/hyperlink" Target="https://www.itu.int/en/myitu/News/2021/02/12/10/47/Celebrating-resilience-radio-World-Radio-Day-2021-Mario-Maniewicz" TargetMode="External"/><Relationship Id="rId75" Type="http://schemas.openxmlformats.org/officeDocument/2006/relationships/hyperlink" Target="https://www.itu.int/en/myitu/News/2020/09/01/07/19/Reducing-digital-exclusion-Africa-Region-Roadmap-to-WRC-23-Mario-Maniewicz" TargetMode="External"/><Relationship Id="rId83" Type="http://schemas.openxmlformats.org/officeDocument/2006/relationships/hyperlink" Target="https://www.itu.int/en/ITU-R/information/Pages/emergency.aspx" TargetMode="External"/><Relationship Id="rId88" Type="http://schemas.openxmlformats.org/officeDocument/2006/relationships/hyperlink" Target="https://www.itu.int/en/myitu/Publications/2020/10/30/17/09/The-RR5-Table-of-Frequency-Allocations-software" TargetMode="External"/><Relationship Id="rId91" Type="http://schemas.openxmlformats.org/officeDocument/2006/relationships/hyperlink" Target="https://www.itu.int/en/mediacentre/Pages/cm08-2020-Radiocommunication-Sector-gender-equality-equity-parity.aspx" TargetMode="External"/><Relationship Id="rId9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20-DM-CIR-01009/en" TargetMode="External"/><Relationship Id="rId23" Type="http://schemas.openxmlformats.org/officeDocument/2006/relationships/hyperlink" Target="https://www.itu.int/md/S14-CL-INF-0004/en" TargetMode="External"/><Relationship Id="rId28" Type="http://schemas.openxmlformats.org/officeDocument/2006/relationships/hyperlink" Target="https://euc-word-edit.officeapps.live.com/we/wordeditorframe.aspx?ui=en-us&amp;rs=en-us&amp;wopisrc=https%3A%2F%2Fituint.sharepoint.com%2Fsites%2FRAG2021%2F_vti_bin%2Fwopi.ashx%2Ffiles%2F0b76ce913e034045a2fd7b96636be9dc&amp;wdenableroaming=1&amp;mscc=1&amp;hid=-2452&amp;uiembed=1&amp;uih=teams&amp;hhdr=1&amp;dchat=1&amp;sc=%7B%22pmo%22%3A%22https%3A%2F%2Fteams.microsoft.com%22%2C%22pmshare%22%3Atrue%2C%22surl%22%3A%22%22%2C%22curl%22%3A%22%22%2C%22vurl%22%3A%22%22%2C%22eurl%22%3A%22https%3A%2F%2Fteams.microsoft.com%2Ffiles%2Fapps%2Fcom.microsoft.teams.files%2Ffiles%2F1672087694%2Fopen%3Fagent%3Dpostmessage%26objectUrl%3Dhttps%253A%252F%252Fituint.sharepoint.com%252Fsites%252FRAG2021%252FShared%2520Documents%252FGeneral%252F1.%2520Input%2520Contributions%2520(C)%2520from%2520BR%252FR20-RAG-C-0026_DirectorReport_draft.docx%26fileId%3D0b76ce91-3e03-4045-a2fd-7b96636be9dc%26fileType%3Ddocx%26ctx%3Dfiles%26scenarioId%3D2452%26locale%3Den-us%26theme%3Ddefault%26version%3D20201217029%26setting%3Dring.id%3Ageneral%26setting%3DcreatedTime%3A1612806394748%22%7D&amp;wdorigin=TEAMS-ELECTRON.teams.files&amp;wdhostclicktime=1612806394682&amp;jsapi=1&amp;jsapiver=v1&amp;newsession=1&amp;corrid=f904d8bb-3270-46ed-be7d-1e9e8275f744&amp;usid=f904d8bb-3270-46ed-be7d-1e9e8275f744&amp;sftc=1&amp;sams=1&amp;accloop=1&amp;sdr=6&amp;scnd=1&amp;hbcv=1&amp;htv=1&amp;hodflp=1&amp;instantedit=1&amp;wopicomplete=1&amp;wdredirectionreason=Unified_SingleFlush&amp;rct=Medium&amp;ctp=LeastProtected" TargetMode="External"/><Relationship Id="rId36" Type="http://schemas.openxmlformats.org/officeDocument/2006/relationships/header" Target="header2.xml"/><Relationship Id="rId49" Type="http://schemas.openxmlformats.org/officeDocument/2006/relationships/hyperlink" Target="http://www.itu.int/en/ITU-R" TargetMode="External"/><Relationship Id="rId57" Type="http://schemas.openxmlformats.org/officeDocument/2006/relationships/hyperlink" Target="https://www.itu.int/en/mediacentre/backgrounders/Pages/High-altitude-platform-systems.aspx" TargetMode="External"/><Relationship Id="rId10" Type="http://schemas.openxmlformats.org/officeDocument/2006/relationships/endnotes" Target="endnotes.xml"/><Relationship Id="rId31" Type="http://schemas.openxmlformats.org/officeDocument/2006/relationships/hyperlink" Target="http://www.itu.int/go/rcpm-wrc-23-studies" TargetMode="External"/><Relationship Id="rId44" Type="http://schemas.openxmlformats.org/officeDocument/2006/relationships/header" Target="header7.xml"/><Relationship Id="rId52" Type="http://schemas.openxmlformats.org/officeDocument/2006/relationships/hyperlink" Target="https://www.itu.int/en/ITU-R/Documents/ITU-R-FAQ-IMT.pdf" TargetMode="External"/><Relationship Id="rId60" Type="http://schemas.openxmlformats.org/officeDocument/2006/relationships/hyperlink" Target="https://www.itu.int/en/mediacentre/backgrounders/Pages/itu-r-managing-the-radio-frequency-spectrum-for-the-world.aspx" TargetMode="External"/><Relationship Id="rId65" Type="http://schemas.openxmlformats.org/officeDocument/2006/relationships/hyperlink" Target="https://www.itu.int/en/myitu/News/2020/08/18/07/51/Uncertainties-high-speed-Internet-low-earth-orbit-LEO-satellite-broadband" TargetMode="External"/><Relationship Id="rId73" Type="http://schemas.openxmlformats.org/officeDocument/2006/relationships/hyperlink" Target="https://www.itu.int/en/myitu/News/2020/09/14/14/08/ITU-Radio-Regulations-updated-2020-Edition" TargetMode="External"/><Relationship Id="rId78" Type="http://schemas.openxmlformats.org/officeDocument/2006/relationships/hyperlink" Target="https://www.itu.int/en/myitu/Publications/2021/01/15/13/00/ITU-News-Magazine-no-6-2020" TargetMode="External"/><Relationship Id="rId81" Type="http://schemas.openxmlformats.org/officeDocument/2006/relationships/hyperlink" Target="https://www.itu.int/en/ITU-R/study-groups/rsg5/rwp5d/imt-2020/Pages/default.aspx" TargetMode="External"/><Relationship Id="rId86" Type="http://schemas.openxmlformats.org/officeDocument/2006/relationships/hyperlink" Target="https://www.itu.int/en/myitu/Publications/2020/09/02/14/23/Radio-Regulations-2020" TargetMode="External"/><Relationship Id="rId94" Type="http://schemas.openxmlformats.org/officeDocument/2006/relationships/hyperlink" Target="https://www.itu.int/md/R00-CR-CIR-0389/en"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2020/Pages/default.aspx" TargetMode="External"/><Relationship Id="rId18" Type="http://schemas.openxmlformats.org/officeDocument/2006/relationships/hyperlink" Target="https://www.itu.int/md/S08-CL-C-0056/en" TargetMode="External"/><Relationship Id="rId3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75CE8-6CC8-4A62-B513-0261580EB08E}">
  <ds:schemaRefs>
    <ds:schemaRef ds:uri="http://purl.org/dc/dcmitype/"/>
    <ds:schemaRef ds:uri="http://schemas.microsoft.com/office/infopath/2007/PartnerControls"/>
    <ds:schemaRef ds:uri="http://purl.org/dc/elements/1.1/"/>
    <ds:schemaRef ds:uri="http://schemas.microsoft.com/office/2006/metadata/properties"/>
    <ds:schemaRef ds:uri="b793da9a-8d8a-4824-945d-2346bcf27de4"/>
    <ds:schemaRef ds:uri="http://schemas.microsoft.com/office/2006/documentManagement/types"/>
    <ds:schemaRef ds:uri="http://purl.org/dc/terms/"/>
    <ds:schemaRef ds:uri="http://schemas.openxmlformats.org/package/2006/metadata/core-properties"/>
    <ds:schemaRef ds:uri="ad0d4407-0c86-4168-aef5-7e5ed32f9eb2"/>
    <ds:schemaRef ds:uri="http://www.w3.org/XML/1998/namespace"/>
  </ds:schemaRefs>
</ds:datastoreItem>
</file>

<file path=customXml/itemProps2.xml><?xml version="1.0" encoding="utf-8"?>
<ds:datastoreItem xmlns:ds="http://schemas.openxmlformats.org/officeDocument/2006/customXml" ds:itemID="{78BAD595-AF66-41F8-B043-DBCC9E9E3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F39AB-E84D-4EF6-AA6D-B15D22755686}">
  <ds:schemaRefs>
    <ds:schemaRef ds:uri="http://schemas.microsoft.com/sharepoint/v3/contenttype/forms"/>
  </ds:schemaRefs>
</ds:datastoreItem>
</file>

<file path=customXml/itemProps4.xml><?xml version="1.0" encoding="utf-8"?>
<ds:datastoreItem xmlns:ds="http://schemas.openxmlformats.org/officeDocument/2006/customXml" ds:itemID="{9C3C06FD-484C-488D-923D-014DADCF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12553</Words>
  <Characters>75905</Characters>
  <Application>Microsoft Office Word</Application>
  <DocSecurity>0</DocSecurity>
  <Lines>632</Lines>
  <Paragraphs>176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88282</CharactersWithSpaces>
  <SharedDoc>false</SharedDoc>
  <HLinks>
    <vt:vector size="414" baseType="variant">
      <vt:variant>
        <vt:i4>1572951</vt:i4>
      </vt:variant>
      <vt:variant>
        <vt:i4>207</vt:i4>
      </vt:variant>
      <vt:variant>
        <vt:i4>0</vt:i4>
      </vt:variant>
      <vt:variant>
        <vt:i4>5</vt:i4>
      </vt:variant>
      <vt:variant>
        <vt:lpwstr>https://www.itu.int/md/R00-CR-CIR-0456/en</vt:lpwstr>
      </vt:variant>
      <vt:variant>
        <vt:lpwstr/>
      </vt:variant>
      <vt:variant>
        <vt:i4>1048666</vt:i4>
      </vt:variant>
      <vt:variant>
        <vt:i4>204</vt:i4>
      </vt:variant>
      <vt:variant>
        <vt:i4>0</vt:i4>
      </vt:variant>
      <vt:variant>
        <vt:i4>5</vt:i4>
      </vt:variant>
      <vt:variant>
        <vt:lpwstr>https://www.itu.int/md/R00-CR-CIR-0389/en</vt:lpwstr>
      </vt:variant>
      <vt:variant>
        <vt:lpwstr/>
      </vt:variant>
      <vt:variant>
        <vt:i4>3735559</vt:i4>
      </vt:variant>
      <vt:variant>
        <vt:i4>201</vt:i4>
      </vt:variant>
      <vt:variant>
        <vt:i4>0</vt:i4>
      </vt:variant>
      <vt:variant>
        <vt:i4>5</vt:i4>
      </vt:variant>
      <vt:variant>
        <vt:lpwstr>https://www.itu.int/en/ITU-R/conferences/RRB/Documents/ai 4_1_compendium to be published as special topics_English.docx</vt:lpwstr>
      </vt:variant>
      <vt:variant>
        <vt:lpwstr/>
      </vt:variant>
      <vt:variant>
        <vt:i4>1704004</vt:i4>
      </vt:variant>
      <vt:variant>
        <vt:i4>198</vt:i4>
      </vt:variant>
      <vt:variant>
        <vt:i4>0</vt:i4>
      </vt:variant>
      <vt:variant>
        <vt:i4>5</vt:i4>
      </vt:variant>
      <vt:variant>
        <vt:lpwstr>https://www.itu.int/md/R00-CA-CIR-0252/en</vt:lpwstr>
      </vt:variant>
      <vt:variant>
        <vt:lpwstr/>
      </vt:variant>
      <vt:variant>
        <vt:i4>7340086</vt:i4>
      </vt:variant>
      <vt:variant>
        <vt:i4>195</vt:i4>
      </vt:variant>
      <vt:variant>
        <vt:i4>0</vt:i4>
      </vt:variant>
      <vt:variant>
        <vt:i4>5</vt:i4>
      </vt:variant>
      <vt:variant>
        <vt:lpwstr>https://www.itu.int/en/mediacentre/Pages/cm08-2020-Radiocommunication-Sector-gender-equality-equity-parity.aspx</vt:lpwstr>
      </vt:variant>
      <vt:variant>
        <vt:lpwstr/>
      </vt:variant>
      <vt:variant>
        <vt:i4>1048662</vt:i4>
      </vt:variant>
      <vt:variant>
        <vt:i4>192</vt:i4>
      </vt:variant>
      <vt:variant>
        <vt:i4>0</vt:i4>
      </vt:variant>
      <vt:variant>
        <vt:i4>5</vt:i4>
      </vt:variant>
      <vt:variant>
        <vt:lpwstr>https://www.itu.int/en/ITU-R/conferences/rag/cg-gender/Pages/default.aspx</vt:lpwstr>
      </vt:variant>
      <vt:variant>
        <vt:lpwstr/>
      </vt:variant>
      <vt:variant>
        <vt:i4>7536698</vt:i4>
      </vt:variant>
      <vt:variant>
        <vt:i4>189</vt:i4>
      </vt:variant>
      <vt:variant>
        <vt:i4>0</vt:i4>
      </vt:variant>
      <vt:variant>
        <vt:i4>5</vt:i4>
      </vt:variant>
      <vt:variant>
        <vt:lpwstr>https://www.itu.int/en/myitu/Publications/2020/09/02/14/38/List-V---List-of-Ship-Stations-and-Maritime-Mobile-Service-Identity-Assignments-2020</vt:lpwstr>
      </vt:variant>
      <vt:variant>
        <vt:lpwstr/>
      </vt:variant>
      <vt:variant>
        <vt:i4>7274555</vt:i4>
      </vt:variant>
      <vt:variant>
        <vt:i4>186</vt:i4>
      </vt:variant>
      <vt:variant>
        <vt:i4>0</vt:i4>
      </vt:variant>
      <vt:variant>
        <vt:i4>5</vt:i4>
      </vt:variant>
      <vt:variant>
        <vt:lpwstr>https://www.itu.int/en/myitu/Publications/2020/10/30/17/09/The-RR5-Table-of-Frequency-Allocations-software</vt:lpwstr>
      </vt:variant>
      <vt:variant>
        <vt:lpwstr/>
      </vt:variant>
      <vt:variant>
        <vt:i4>2490464</vt:i4>
      </vt:variant>
      <vt:variant>
        <vt:i4>183</vt:i4>
      </vt:variant>
      <vt:variant>
        <vt:i4>0</vt:i4>
      </vt:variant>
      <vt:variant>
        <vt:i4>5</vt:i4>
      </vt:variant>
      <vt:variant>
        <vt:lpwstr>https://www.itu.int/en/myitu/Publications/2020/09/02/14/28/Maritime-Manual-2020</vt:lpwstr>
      </vt:variant>
      <vt:variant>
        <vt:lpwstr/>
      </vt:variant>
      <vt:variant>
        <vt:i4>1441877</vt:i4>
      </vt:variant>
      <vt:variant>
        <vt:i4>180</vt:i4>
      </vt:variant>
      <vt:variant>
        <vt:i4>0</vt:i4>
      </vt:variant>
      <vt:variant>
        <vt:i4>5</vt:i4>
      </vt:variant>
      <vt:variant>
        <vt:lpwstr>https://www.itu.int/en/myitu/Publications/2020/09/02/14/23/Radio-Regulations-2020</vt:lpwstr>
      </vt:variant>
      <vt:variant>
        <vt:lpwstr/>
      </vt:variant>
      <vt:variant>
        <vt:i4>7143485</vt:i4>
      </vt:variant>
      <vt:variant>
        <vt:i4>177</vt:i4>
      </vt:variant>
      <vt:variant>
        <vt:i4>0</vt:i4>
      </vt:variant>
      <vt:variant>
        <vt:i4>5</vt:i4>
      </vt:variant>
      <vt:variant>
        <vt:lpwstr>https://www.itu.int/en/myitu/Publications/2020/06/25/16/38/Final-Acts-of-WRC-19</vt:lpwstr>
      </vt:variant>
      <vt:variant>
        <vt:lpwstr/>
      </vt:variant>
      <vt:variant>
        <vt:i4>7274540</vt:i4>
      </vt:variant>
      <vt:variant>
        <vt:i4>174</vt:i4>
      </vt:variant>
      <vt:variant>
        <vt:i4>0</vt:i4>
      </vt:variant>
      <vt:variant>
        <vt:i4>5</vt:i4>
      </vt:variant>
      <vt:variant>
        <vt:lpwstr>https://www.itu.int/ITU-R/go/disabilities-divide/en</vt:lpwstr>
      </vt:variant>
      <vt:variant>
        <vt:lpwstr/>
      </vt:variant>
      <vt:variant>
        <vt:i4>5046346</vt:i4>
      </vt:variant>
      <vt:variant>
        <vt:i4>171</vt:i4>
      </vt:variant>
      <vt:variant>
        <vt:i4>0</vt:i4>
      </vt:variant>
      <vt:variant>
        <vt:i4>5</vt:i4>
      </vt:variant>
      <vt:variant>
        <vt:lpwstr>https://www.itu.int/en/ITU-R/information/Pages/emergency.aspx</vt:lpwstr>
      </vt:variant>
      <vt:variant>
        <vt:lpwstr/>
      </vt:variant>
      <vt:variant>
        <vt:i4>6422564</vt:i4>
      </vt:variant>
      <vt:variant>
        <vt:i4>168</vt:i4>
      </vt:variant>
      <vt:variant>
        <vt:i4>0</vt:i4>
      </vt:variant>
      <vt:variant>
        <vt:i4>5</vt:i4>
      </vt:variant>
      <vt:variant>
        <vt:lpwstr>https://www.itu.int/en/ITU-R/information/Pages/climate-change.aspx</vt:lpwstr>
      </vt:variant>
      <vt:variant>
        <vt:lpwstr/>
      </vt:variant>
      <vt:variant>
        <vt:i4>983125</vt:i4>
      </vt:variant>
      <vt:variant>
        <vt:i4>165</vt:i4>
      </vt:variant>
      <vt:variant>
        <vt:i4>0</vt:i4>
      </vt:variant>
      <vt:variant>
        <vt:i4>5</vt:i4>
      </vt:variant>
      <vt:variant>
        <vt:lpwstr>https://www.itu.int/en/ITU-R/study-groups/rsg5/rwp5d/imt-2020/Pages/default.aspx</vt:lpwstr>
      </vt:variant>
      <vt:variant>
        <vt:lpwstr/>
      </vt:variant>
      <vt:variant>
        <vt:i4>6357103</vt:i4>
      </vt:variant>
      <vt:variant>
        <vt:i4>162</vt:i4>
      </vt:variant>
      <vt:variant>
        <vt:i4>0</vt:i4>
      </vt:variant>
      <vt:variant>
        <vt:i4>5</vt:i4>
      </vt:variant>
      <vt:variant>
        <vt:lpwstr>https://www.itu.int/en/action/ai/emerging-radio-technologies/Pages/default.aspx</vt:lpwstr>
      </vt:variant>
      <vt:variant>
        <vt:lpwstr/>
      </vt:variant>
      <vt:variant>
        <vt:i4>5898252</vt:i4>
      </vt:variant>
      <vt:variant>
        <vt:i4>159</vt:i4>
      </vt:variant>
      <vt:variant>
        <vt:i4>0</vt:i4>
      </vt:variant>
      <vt:variant>
        <vt:i4>5</vt:i4>
      </vt:variant>
      <vt:variant>
        <vt:lpwstr>http://www.itu.int/oth/R040200003F/en</vt:lpwstr>
      </vt:variant>
      <vt:variant>
        <vt:lpwstr/>
      </vt:variant>
      <vt:variant>
        <vt:i4>3211314</vt:i4>
      </vt:variant>
      <vt:variant>
        <vt:i4>156</vt:i4>
      </vt:variant>
      <vt:variant>
        <vt:i4>0</vt:i4>
      </vt:variant>
      <vt:variant>
        <vt:i4>5</vt:i4>
      </vt:variant>
      <vt:variant>
        <vt:lpwstr>https://www.itu.int/en/myitu/Publications/2021/01/15/13/00/ITU-News-Magazine-no-6-2020</vt:lpwstr>
      </vt:variant>
      <vt:variant>
        <vt:lpwstr/>
      </vt:variant>
      <vt:variant>
        <vt:i4>7012405</vt:i4>
      </vt:variant>
      <vt:variant>
        <vt:i4>153</vt:i4>
      </vt:variant>
      <vt:variant>
        <vt:i4>0</vt:i4>
      </vt:variant>
      <vt:variant>
        <vt:i4>5</vt:i4>
      </vt:variant>
      <vt:variant>
        <vt:lpwstr>https://news.itu.int/?s=By+Mario+Maniewicz%2c+Director</vt:lpwstr>
      </vt:variant>
      <vt:variant>
        <vt:lpwstr/>
      </vt:variant>
      <vt:variant>
        <vt:i4>3014693</vt:i4>
      </vt:variant>
      <vt:variant>
        <vt:i4>150</vt:i4>
      </vt:variant>
      <vt:variant>
        <vt:i4>0</vt:i4>
      </vt:variant>
      <vt:variant>
        <vt:i4>5</vt:i4>
      </vt:variant>
      <vt:variant>
        <vt:lpwstr>https://www.itu.int/en/myitu/News/2020/10/15/09/12/Rising-sound-broadcasting-demand-Africa-FM-stations-John-Omo</vt:lpwstr>
      </vt:variant>
      <vt:variant>
        <vt:lpwstr/>
      </vt:variant>
      <vt:variant>
        <vt:i4>917525</vt:i4>
      </vt:variant>
      <vt:variant>
        <vt:i4>147</vt:i4>
      </vt:variant>
      <vt:variant>
        <vt:i4>0</vt:i4>
      </vt:variant>
      <vt:variant>
        <vt:i4>5</vt:i4>
      </vt:variant>
      <vt:variant>
        <vt:lpwstr>https://www.itu.int/en/myitu/News/2020/09/01/07/19/Reducing-digital-exclusion-Africa-Region-Roadmap-to-WRC-23-Mario-Maniewicz</vt:lpwstr>
      </vt:variant>
      <vt:variant>
        <vt:lpwstr/>
      </vt:variant>
      <vt:variant>
        <vt:i4>4784221</vt:i4>
      </vt:variant>
      <vt:variant>
        <vt:i4>144</vt:i4>
      </vt:variant>
      <vt:variant>
        <vt:i4>0</vt:i4>
      </vt:variant>
      <vt:variant>
        <vt:i4>5</vt:i4>
      </vt:variant>
      <vt:variant>
        <vt:lpwstr>https://www.itu.int/en/myitu/News/2020/05/23/12/02/How-ITUs-Radiocommunication-Sector-is-working-towards-the-Connect-2030-Agenda</vt:lpwstr>
      </vt:variant>
      <vt:variant>
        <vt:lpwstr/>
      </vt:variant>
      <vt:variant>
        <vt:i4>5242887</vt:i4>
      </vt:variant>
      <vt:variant>
        <vt:i4>141</vt:i4>
      </vt:variant>
      <vt:variant>
        <vt:i4>0</vt:i4>
      </vt:variant>
      <vt:variant>
        <vt:i4>5</vt:i4>
      </vt:variant>
      <vt:variant>
        <vt:lpwstr>https://www.itu.int/en/myitu/News/2020/09/14/14/08/ITU-Radio-Regulations-updated-2020-Edition</vt:lpwstr>
      </vt:variant>
      <vt:variant>
        <vt:lpwstr/>
      </vt:variant>
      <vt:variant>
        <vt:i4>3866666</vt:i4>
      </vt:variant>
      <vt:variant>
        <vt:i4>138</vt:i4>
      </vt:variant>
      <vt:variant>
        <vt:i4>0</vt:i4>
      </vt:variant>
      <vt:variant>
        <vt:i4>5</vt:i4>
      </vt:variant>
      <vt:variant>
        <vt:lpwstr>https://www.itu.int/en/myitu/News/2020/11/16/08/16/10-things-rely-on-ITU-Radio-Regulations</vt:lpwstr>
      </vt:variant>
      <vt:variant>
        <vt:lpwstr/>
      </vt:variant>
      <vt:variant>
        <vt:i4>6094932</vt:i4>
      </vt:variant>
      <vt:variant>
        <vt:i4>135</vt:i4>
      </vt:variant>
      <vt:variant>
        <vt:i4>0</vt:i4>
      </vt:variant>
      <vt:variant>
        <vt:i4>5</vt:i4>
      </vt:variant>
      <vt:variant>
        <vt:lpwstr>https://www.itu.int/en/myitu/News/2021/02/12/10/47/Celebrating-resilience-radio-World-Radio-Day-2021-Mario-Maniewicz</vt:lpwstr>
      </vt:variant>
      <vt:variant>
        <vt:lpwstr/>
      </vt:variant>
      <vt:variant>
        <vt:i4>6094932</vt:i4>
      </vt:variant>
      <vt:variant>
        <vt:i4>132</vt:i4>
      </vt:variant>
      <vt:variant>
        <vt:i4>0</vt:i4>
      </vt:variant>
      <vt:variant>
        <vt:i4>5</vt:i4>
      </vt:variant>
      <vt:variant>
        <vt:lpwstr>https://www.itu.int/en/myitu/News/2021/02/12/10/47/Celebrating-resilience-radio-World-Radio-Day-2021-Mario-Maniewicz</vt:lpwstr>
      </vt:variant>
      <vt:variant>
        <vt:lpwstr/>
      </vt:variant>
      <vt:variant>
        <vt:i4>5570625</vt:i4>
      </vt:variant>
      <vt:variant>
        <vt:i4>129</vt:i4>
      </vt:variant>
      <vt:variant>
        <vt:i4>0</vt:i4>
      </vt:variant>
      <vt:variant>
        <vt:i4>5</vt:i4>
      </vt:variant>
      <vt:variant>
        <vt:lpwstr>https://news.itu.int/heres-how-the-diversity-of-radio-services-improves-lives-worldwide/</vt:lpwstr>
      </vt:variant>
      <vt:variant>
        <vt:lpwstr/>
      </vt:variant>
      <vt:variant>
        <vt:i4>5570625</vt:i4>
      </vt:variant>
      <vt:variant>
        <vt:i4>126</vt:i4>
      </vt:variant>
      <vt:variant>
        <vt:i4>0</vt:i4>
      </vt:variant>
      <vt:variant>
        <vt:i4>5</vt:i4>
      </vt:variant>
      <vt:variant>
        <vt:lpwstr>https://news.itu.int/heres-how-the-diversity-of-radio-services-improves-lives-worldwide/</vt:lpwstr>
      </vt:variant>
      <vt:variant>
        <vt:lpwstr/>
      </vt:variant>
      <vt:variant>
        <vt:i4>5111814</vt:i4>
      </vt:variant>
      <vt:variant>
        <vt:i4>123</vt:i4>
      </vt:variant>
      <vt:variant>
        <vt:i4>0</vt:i4>
      </vt:variant>
      <vt:variant>
        <vt:i4>5</vt:i4>
      </vt:variant>
      <vt:variant>
        <vt:lpwstr>https://www.itu.int/en/myitu/News/2020/10/13/07/22/Satellite-innovation-Space-technology-to-reach-the-unconnected</vt:lpwstr>
      </vt:variant>
      <vt:variant>
        <vt:lpwstr/>
      </vt:variant>
      <vt:variant>
        <vt:i4>3997752</vt:i4>
      </vt:variant>
      <vt:variant>
        <vt:i4>120</vt:i4>
      </vt:variant>
      <vt:variant>
        <vt:i4>0</vt:i4>
      </vt:variant>
      <vt:variant>
        <vt:i4>5</vt:i4>
      </vt:variant>
      <vt:variant>
        <vt:lpwstr>https://www.itu.int/en/myitu/News/2020/11/27/17/53/World-Radiocommunication-Seminar-WRS-20-plenary-open-to-all-Mario-Maniewicz</vt:lpwstr>
      </vt:variant>
      <vt:variant>
        <vt:lpwstr/>
      </vt:variant>
      <vt:variant>
        <vt:i4>1835087</vt:i4>
      </vt:variant>
      <vt:variant>
        <vt:i4>117</vt:i4>
      </vt:variant>
      <vt:variant>
        <vt:i4>0</vt:i4>
      </vt:variant>
      <vt:variant>
        <vt:i4>5</vt:i4>
      </vt:variant>
      <vt:variant>
        <vt:lpwstr>https://www.itu.int/en/myitu/News/2020/08/18/07/51/Uncertainties-high-speed-Internet-low-earth-orbit-LEO-satellite-broadband</vt:lpwstr>
      </vt:variant>
      <vt:variant>
        <vt:lpwstr/>
      </vt:variant>
      <vt:variant>
        <vt:i4>852050</vt:i4>
      </vt:variant>
      <vt:variant>
        <vt:i4>114</vt:i4>
      </vt:variant>
      <vt:variant>
        <vt:i4>0</vt:i4>
      </vt:variant>
      <vt:variant>
        <vt:i4>5</vt:i4>
      </vt:variant>
      <vt:variant>
        <vt:lpwstr>https://www.itu.int/en/myitu/News/2020/07/24/18/15/Ham-radio-emergency-comms-Filling-USGS-donut-hole</vt:lpwstr>
      </vt:variant>
      <vt:variant>
        <vt:lpwstr/>
      </vt:variant>
      <vt:variant>
        <vt:i4>8061046</vt:i4>
      </vt:variant>
      <vt:variant>
        <vt:i4>111</vt:i4>
      </vt:variant>
      <vt:variant>
        <vt:i4>0</vt:i4>
      </vt:variant>
      <vt:variant>
        <vt:i4>5</vt:i4>
      </vt:variant>
      <vt:variant>
        <vt:lpwstr>https://www.itu.int/en/mediacentre/backgrounders/Pages/non-GSO-satellite-systems-with-short-duration-missions.aspx</vt:lpwstr>
      </vt:variant>
      <vt:variant>
        <vt:lpwstr/>
      </vt:variant>
      <vt:variant>
        <vt:i4>2818089</vt:i4>
      </vt:variant>
      <vt:variant>
        <vt:i4>108</vt:i4>
      </vt:variant>
      <vt:variant>
        <vt:i4>0</vt:i4>
      </vt:variant>
      <vt:variant>
        <vt:i4>5</vt:i4>
      </vt:variant>
      <vt:variant>
        <vt:lpwstr>https://www.itu.int/en/mediacentre/backgrounders/Pages/Non-geostationary-satellite-systems.aspx</vt:lpwstr>
      </vt:variant>
      <vt:variant>
        <vt:lpwstr/>
      </vt:variant>
      <vt:variant>
        <vt:i4>1245189</vt:i4>
      </vt:variant>
      <vt:variant>
        <vt:i4>105</vt:i4>
      </vt:variant>
      <vt:variant>
        <vt:i4>0</vt:i4>
      </vt:variant>
      <vt:variant>
        <vt:i4>5</vt:i4>
      </vt:variant>
      <vt:variant>
        <vt:lpwstr>https://www.itu.int/en/mediacentre/backgrounders/Pages/Earth-stations-in-motion-satellite-issues.aspx</vt:lpwstr>
      </vt:variant>
      <vt:variant>
        <vt:lpwstr/>
      </vt:variant>
      <vt:variant>
        <vt:i4>4980824</vt:i4>
      </vt:variant>
      <vt:variant>
        <vt:i4>102</vt:i4>
      </vt:variant>
      <vt:variant>
        <vt:i4>0</vt:i4>
      </vt:variant>
      <vt:variant>
        <vt:i4>5</vt:i4>
      </vt:variant>
      <vt:variant>
        <vt:lpwstr>https://www.itu.int/en/mediacentre/backgrounders/Pages/itu-r-managing-the-radio-frequency-spectrum-for-the-world.aspx</vt:lpwstr>
      </vt:variant>
      <vt:variant>
        <vt:lpwstr/>
      </vt:variant>
      <vt:variant>
        <vt:i4>655433</vt:i4>
      </vt:variant>
      <vt:variant>
        <vt:i4>99</vt:i4>
      </vt:variant>
      <vt:variant>
        <vt:i4>0</vt:i4>
      </vt:variant>
      <vt:variant>
        <vt:i4>5</vt:i4>
      </vt:variant>
      <vt:variant>
        <vt:lpwstr>https://www.itu.int/en/mediacentre/backgrounders/Pages/itu-study-groups.aspx</vt:lpwstr>
      </vt:variant>
      <vt:variant>
        <vt:lpwstr/>
      </vt:variant>
      <vt:variant>
        <vt:i4>262212</vt:i4>
      </vt:variant>
      <vt:variant>
        <vt:i4>96</vt:i4>
      </vt:variant>
      <vt:variant>
        <vt:i4>0</vt:i4>
      </vt:variant>
      <vt:variant>
        <vt:i4>5</vt:i4>
      </vt:variant>
      <vt:variant>
        <vt:lpwstr>https://www.itu.int/en/mediacentre/backgrounders/Pages/Radiocommunications-for-keeping-ships-and-people-safe-at-sea.aspx</vt:lpwstr>
      </vt:variant>
      <vt:variant>
        <vt:lpwstr/>
      </vt:variant>
      <vt:variant>
        <vt:i4>7209084</vt:i4>
      </vt:variant>
      <vt:variant>
        <vt:i4>93</vt:i4>
      </vt:variant>
      <vt:variant>
        <vt:i4>0</vt:i4>
      </vt:variant>
      <vt:variant>
        <vt:i4>5</vt:i4>
      </vt:variant>
      <vt:variant>
        <vt:lpwstr>https://www.itu.int/en/mediacentre/backgrounders/Pages/High-altitude-platform-systems.aspx</vt:lpwstr>
      </vt:variant>
      <vt:variant>
        <vt:lpwstr/>
      </vt:variant>
      <vt:variant>
        <vt:i4>1835020</vt:i4>
      </vt:variant>
      <vt:variant>
        <vt:i4>90</vt:i4>
      </vt:variant>
      <vt:variant>
        <vt:i4>0</vt:i4>
      </vt:variant>
      <vt:variant>
        <vt:i4>5</vt:i4>
      </vt:variant>
      <vt:variant>
        <vt:lpwstr>https://www.itu.int/en/mediacentre/backgrounders/Pages/5G-EMF-health.aspx</vt:lpwstr>
      </vt:variant>
      <vt:variant>
        <vt:lpwstr/>
      </vt:variant>
      <vt:variant>
        <vt:i4>6881316</vt:i4>
      </vt:variant>
      <vt:variant>
        <vt:i4>87</vt:i4>
      </vt:variant>
      <vt:variant>
        <vt:i4>0</vt:i4>
      </vt:variant>
      <vt:variant>
        <vt:i4>5</vt:i4>
      </vt:variant>
      <vt:variant>
        <vt:lpwstr>https://www.itu.int/en/mediacentre/backgrounders/Pages/5G-fifth-generation-of-mobile-technologies.aspx</vt:lpwstr>
      </vt:variant>
      <vt:variant>
        <vt:lpwstr/>
      </vt:variant>
      <vt:variant>
        <vt:i4>1376280</vt:i4>
      </vt:variant>
      <vt:variant>
        <vt:i4>84</vt:i4>
      </vt:variant>
      <vt:variant>
        <vt:i4>0</vt:i4>
      </vt:variant>
      <vt:variant>
        <vt:i4>5</vt:i4>
      </vt:variant>
      <vt:variant>
        <vt:lpwstr>https://www.itu.int/en/ITU-R/terrestrial/Pages/by-categories-faq.aspx?maincategorizedby=1</vt:lpwstr>
      </vt:variant>
      <vt:variant>
        <vt:lpwstr/>
      </vt:variant>
      <vt:variant>
        <vt:i4>2949246</vt:i4>
      </vt:variant>
      <vt:variant>
        <vt:i4>81</vt:i4>
      </vt:variant>
      <vt:variant>
        <vt:i4>0</vt:i4>
      </vt:variant>
      <vt:variant>
        <vt:i4>5</vt:i4>
      </vt:variant>
      <vt:variant>
        <vt:lpwstr>https://www.itu.int/en/ITU-R/Documents/ITU-R-FAQ-DD-DSO.pdf</vt:lpwstr>
      </vt:variant>
      <vt:variant>
        <vt:lpwstr/>
      </vt:variant>
      <vt:variant>
        <vt:i4>5636166</vt:i4>
      </vt:variant>
      <vt:variant>
        <vt:i4>78</vt:i4>
      </vt:variant>
      <vt:variant>
        <vt:i4>0</vt:i4>
      </vt:variant>
      <vt:variant>
        <vt:i4>5</vt:i4>
      </vt:variant>
      <vt:variant>
        <vt:lpwstr>https://www.itu.int/en/ITU-R/Documents/ITU-R-FAQ-IMT.pdf</vt:lpwstr>
      </vt:variant>
      <vt:variant>
        <vt:lpwstr/>
      </vt:variant>
      <vt:variant>
        <vt:i4>6094943</vt:i4>
      </vt:variant>
      <vt:variant>
        <vt:i4>75</vt:i4>
      </vt:variant>
      <vt:variant>
        <vt:i4>0</vt:i4>
      </vt:variant>
      <vt:variant>
        <vt:i4>5</vt:i4>
      </vt:variant>
      <vt:variant>
        <vt:lpwstr>https://www.itu.int/en/ITU-R/Documents/ITU-R-FAQ-UTC.pdf</vt:lpwstr>
      </vt:variant>
      <vt:variant>
        <vt:lpwstr/>
      </vt:variant>
      <vt:variant>
        <vt:i4>3735609</vt:i4>
      </vt:variant>
      <vt:variant>
        <vt:i4>72</vt:i4>
      </vt:variant>
      <vt:variant>
        <vt:i4>0</vt:i4>
      </vt:variant>
      <vt:variant>
        <vt:i4>5</vt:i4>
      </vt:variant>
      <vt:variant>
        <vt:lpwstr>http://www.itu.int/en/ITU-R</vt:lpwstr>
      </vt:variant>
      <vt:variant>
        <vt:lpwstr/>
      </vt:variant>
      <vt:variant>
        <vt:i4>3735609</vt:i4>
      </vt:variant>
      <vt:variant>
        <vt:i4>69</vt:i4>
      </vt:variant>
      <vt:variant>
        <vt:i4>0</vt:i4>
      </vt:variant>
      <vt:variant>
        <vt:i4>5</vt:i4>
      </vt:variant>
      <vt:variant>
        <vt:lpwstr>http://www.itu.int/en/ITU-R</vt:lpwstr>
      </vt:variant>
      <vt:variant>
        <vt:lpwstr/>
      </vt:variant>
      <vt:variant>
        <vt:i4>7536698</vt:i4>
      </vt:variant>
      <vt:variant>
        <vt:i4>66</vt:i4>
      </vt:variant>
      <vt:variant>
        <vt:i4>0</vt:i4>
      </vt:variant>
      <vt:variant>
        <vt:i4>5</vt:i4>
      </vt:variant>
      <vt:variant>
        <vt:lpwstr>https://www.itu.int/md/S20-CL-C-0061/en</vt:lpwstr>
      </vt:variant>
      <vt:variant>
        <vt:lpwstr/>
      </vt:variant>
      <vt:variant>
        <vt:i4>1376333</vt:i4>
      </vt:variant>
      <vt:variant>
        <vt:i4>63</vt:i4>
      </vt:variant>
      <vt:variant>
        <vt:i4>0</vt:i4>
      </vt:variant>
      <vt:variant>
        <vt:i4>5</vt:i4>
      </vt:variant>
      <vt:variant>
        <vt:lpwstr>http://www.itu.int/go/wrc-23-regional</vt:lpwstr>
      </vt:variant>
      <vt:variant>
        <vt:lpwstr/>
      </vt:variant>
      <vt:variant>
        <vt:i4>3211368</vt:i4>
      </vt:variant>
      <vt:variant>
        <vt:i4>60</vt:i4>
      </vt:variant>
      <vt:variant>
        <vt:i4>0</vt:i4>
      </vt:variant>
      <vt:variant>
        <vt:i4>5</vt:i4>
      </vt:variant>
      <vt:variant>
        <vt:lpwstr>http://www.itu.int/en/ITU-R/study-groups/rcpm/Pages/wrc-27-preliminary-studies.aspx</vt:lpwstr>
      </vt:variant>
      <vt:variant>
        <vt:lpwstr/>
      </vt:variant>
      <vt:variant>
        <vt:i4>1179656</vt:i4>
      </vt:variant>
      <vt:variant>
        <vt:i4>57</vt:i4>
      </vt:variant>
      <vt:variant>
        <vt:i4>0</vt:i4>
      </vt:variant>
      <vt:variant>
        <vt:i4>5</vt:i4>
      </vt:variant>
      <vt:variant>
        <vt:lpwstr>http://www.itu.int/go/rcpm-wrc-23-studies</vt:lpwstr>
      </vt:variant>
      <vt:variant>
        <vt:lpwstr/>
      </vt:variant>
      <vt:variant>
        <vt:i4>1638468</vt:i4>
      </vt:variant>
      <vt:variant>
        <vt:i4>54</vt:i4>
      </vt:variant>
      <vt:variant>
        <vt:i4>0</vt:i4>
      </vt:variant>
      <vt:variant>
        <vt:i4>5</vt:i4>
      </vt:variant>
      <vt:variant>
        <vt:lpwstr>https://www.itu.int/md/R00-CA-CIR-0251/en</vt:lpwstr>
      </vt:variant>
      <vt:variant>
        <vt:lpwstr/>
      </vt:variant>
      <vt:variant>
        <vt:i4>1638468</vt:i4>
      </vt:variant>
      <vt:variant>
        <vt:i4>51</vt:i4>
      </vt:variant>
      <vt:variant>
        <vt:i4>0</vt:i4>
      </vt:variant>
      <vt:variant>
        <vt:i4>5</vt:i4>
      </vt:variant>
      <vt:variant>
        <vt:lpwstr>https://www.itu.int/md/R00-CA-CIR-0251/en</vt:lpwstr>
      </vt:variant>
      <vt:variant>
        <vt:lpwstr/>
      </vt:variant>
      <vt:variant>
        <vt:i4>7471180</vt:i4>
      </vt:variant>
      <vt:variant>
        <vt:i4>48</vt:i4>
      </vt:variant>
      <vt:variant>
        <vt:i4>0</vt:i4>
      </vt:variant>
      <vt:variant>
        <vt:i4>5</vt:i4>
      </vt:variant>
      <vt:variant>
        <vt:lpwstr>https://euc-word-edit.officeapps.live.com/we/wordeditorframe.aspx?ui=en-us&amp;rs=en-us&amp;wopisrc=https%3A%2F%2Fituint.sharepoint.com%2Fsites%2FRAG2021%2F_vti_bin%2Fwopi.ashx%2Ffiles%2F0b76ce913e034045a2fd7b96636be9dc&amp;wdenableroaming=1&amp;mscc=1&amp;hid=-2452&amp;uiembed=1&amp;uih=teams&amp;hhdr=1&amp;dchat=1&amp;sc=%7B%22pmo%22%3A%22https%3A%2F%2Fteams.microsoft.com%22%2C%22pmshare%22%3Atrue%2C%22surl%22%3A%22%22%2C%22curl%22%3A%22%22%2C%22vurl%22%3A%22%22%2C%22eurl%22%3A%22https%3A%2F%2Fteams.microsoft.com%2Ffiles%2Fapps%2Fcom.microsoft.teams.files%2Ffiles%2F1672087694%2Fopen%3Fagent%3Dpostmessage%26objectUrl%3Dhttps%253A%252F%252Fituint.sharepoint.com%252Fsites%252FRAG2021%252FShared%2520Documents%252FGeneral%252F1.%2520Input%2520Contributions%2520(C)%2520from%2520BR%252FR20-RAG-C-0026_DirectorReport_draft.docx%26fileId%3D0b76ce91-3e03-4045-a2fd-7b96636be9dc%26fileType%3Ddocx%26ctx%3Dfiles%26scenarioId%3D2452%26locale%3Den-us%26theme%3Ddefault%26version%3D20201217029%26setting%3Dring.id%3Ageneral%26setting%3DcreatedTime%3A1612806394748%22%7D&amp;wdorigin=TEAMS-ELECTRON.teams.files&amp;wdhostclicktime=1612806394682&amp;jsapi=1&amp;jsapiver=v1&amp;newsession=1&amp;corrid=f904d8bb-3270-46ed-be7d-1e9e8275f744&amp;usid=f904d8bb-3270-46ed-be7d-1e9e8275f744&amp;sftc=1&amp;sams=1&amp;accloop=1&amp;sdr=6&amp;scnd=1&amp;hbcv=1&amp;htv=1&amp;hodflp=1&amp;instantedit=1&amp;wopicomplete=1&amp;wdredirectionreason=Unified_SingleFlush&amp;rct=Medium&amp;ctp=LeastProtected</vt:lpwstr>
      </vt:variant>
      <vt:variant>
        <vt:lpwstr>_ftn1</vt:lpwstr>
      </vt:variant>
      <vt:variant>
        <vt:i4>7798841</vt:i4>
      </vt:variant>
      <vt:variant>
        <vt:i4>45</vt:i4>
      </vt:variant>
      <vt:variant>
        <vt:i4>0</vt:i4>
      </vt:variant>
      <vt:variant>
        <vt:i4>5</vt:i4>
      </vt:variant>
      <vt:variant>
        <vt:lpwstr>https://www.itu.int/md/S20-CL-C-0055/en</vt:lpwstr>
      </vt:variant>
      <vt:variant>
        <vt:lpwstr/>
      </vt:variant>
      <vt:variant>
        <vt:i4>3801099</vt:i4>
      </vt:variant>
      <vt:variant>
        <vt:i4>42</vt:i4>
      </vt:variant>
      <vt:variant>
        <vt:i4>0</vt:i4>
      </vt:variant>
      <vt:variant>
        <vt:i4>5</vt:i4>
      </vt:variant>
      <vt:variant>
        <vt:lpwstr>https://www.itu.int/dms_pub/itu-s/md/20/sg/cir/S20-SG-CIR-0033!!PDF-E.pdf</vt:lpwstr>
      </vt:variant>
      <vt:variant>
        <vt:lpwstr/>
      </vt:variant>
      <vt:variant>
        <vt:i4>3670068</vt:i4>
      </vt:variant>
      <vt:variant>
        <vt:i4>39</vt:i4>
      </vt:variant>
      <vt:variant>
        <vt:i4>0</vt:i4>
      </vt:variant>
      <vt:variant>
        <vt:i4>5</vt:i4>
      </vt:variant>
      <vt:variant>
        <vt:lpwstr>https://www.itu.int/md/S20-DM-CIR-01011/en</vt:lpwstr>
      </vt:variant>
      <vt:variant>
        <vt:lpwstr/>
      </vt:variant>
      <vt:variant>
        <vt:i4>7602233</vt:i4>
      </vt:variant>
      <vt:variant>
        <vt:i4>36</vt:i4>
      </vt:variant>
      <vt:variant>
        <vt:i4>0</vt:i4>
      </vt:variant>
      <vt:variant>
        <vt:i4>5</vt:i4>
      </vt:variant>
      <vt:variant>
        <vt:lpwstr>https://www.itu.int/md/S20-CL-C-0056/en</vt:lpwstr>
      </vt:variant>
      <vt:variant>
        <vt:lpwstr/>
      </vt:variant>
      <vt:variant>
        <vt:i4>1835091</vt:i4>
      </vt:variant>
      <vt:variant>
        <vt:i4>33</vt:i4>
      </vt:variant>
      <vt:variant>
        <vt:i4>0</vt:i4>
      </vt:variant>
      <vt:variant>
        <vt:i4>5</vt:i4>
      </vt:variant>
      <vt:variant>
        <vt:lpwstr>https://www.itu.int/md/S14-CL-INF-0004/en</vt:lpwstr>
      </vt:variant>
      <vt:variant>
        <vt:lpwstr/>
      </vt:variant>
      <vt:variant>
        <vt:i4>4718592</vt:i4>
      </vt:variant>
      <vt:variant>
        <vt:i4>27</vt:i4>
      </vt:variant>
      <vt:variant>
        <vt:i4>0</vt:i4>
      </vt:variant>
      <vt:variant>
        <vt:i4>5</vt:i4>
      </vt:variant>
      <vt:variant>
        <vt:lpwstr>https://www.itu.int/md/S21-RCLCWGLANG11-C-0002/en</vt:lpwstr>
      </vt:variant>
      <vt:variant>
        <vt:lpwstr/>
      </vt:variant>
      <vt:variant>
        <vt:i4>1835091</vt:i4>
      </vt:variant>
      <vt:variant>
        <vt:i4>24</vt:i4>
      </vt:variant>
      <vt:variant>
        <vt:i4>0</vt:i4>
      </vt:variant>
      <vt:variant>
        <vt:i4>5</vt:i4>
      </vt:variant>
      <vt:variant>
        <vt:lpwstr>https://www.itu.int/md/S14-CL-INF-0004/en</vt:lpwstr>
      </vt:variant>
      <vt:variant>
        <vt:lpwstr/>
      </vt:variant>
      <vt:variant>
        <vt:i4>1835091</vt:i4>
      </vt:variant>
      <vt:variant>
        <vt:i4>21</vt:i4>
      </vt:variant>
      <vt:variant>
        <vt:i4>0</vt:i4>
      </vt:variant>
      <vt:variant>
        <vt:i4>5</vt:i4>
      </vt:variant>
      <vt:variant>
        <vt:lpwstr>https://www.itu.int/md/S14-CL-INF-0004/en</vt:lpwstr>
      </vt:variant>
      <vt:variant>
        <vt:lpwstr/>
      </vt:variant>
      <vt:variant>
        <vt:i4>1835091</vt:i4>
      </vt:variant>
      <vt:variant>
        <vt:i4>18</vt:i4>
      </vt:variant>
      <vt:variant>
        <vt:i4>0</vt:i4>
      </vt:variant>
      <vt:variant>
        <vt:i4>5</vt:i4>
      </vt:variant>
      <vt:variant>
        <vt:lpwstr>https://www.itu.int/md/S14-CL-INF-0004/en</vt:lpwstr>
      </vt:variant>
      <vt:variant>
        <vt:lpwstr/>
      </vt:variant>
      <vt:variant>
        <vt:i4>8126523</vt:i4>
      </vt:variant>
      <vt:variant>
        <vt:i4>15</vt:i4>
      </vt:variant>
      <vt:variant>
        <vt:i4>0</vt:i4>
      </vt:variant>
      <vt:variant>
        <vt:i4>5</vt:i4>
      </vt:variant>
      <vt:variant>
        <vt:lpwstr>https://www.itu.int/md/S08-CL-C-0056/en</vt:lpwstr>
      </vt:variant>
      <vt:variant>
        <vt:lpwstr/>
      </vt:variant>
      <vt:variant>
        <vt:i4>3670068</vt:i4>
      </vt:variant>
      <vt:variant>
        <vt:i4>12</vt:i4>
      </vt:variant>
      <vt:variant>
        <vt:i4>0</vt:i4>
      </vt:variant>
      <vt:variant>
        <vt:i4>5</vt:i4>
      </vt:variant>
      <vt:variant>
        <vt:lpwstr>https://www.itu.int/md/S20-DM-CIR-01011/en</vt:lpwstr>
      </vt:variant>
      <vt:variant>
        <vt:lpwstr/>
      </vt:variant>
      <vt:variant>
        <vt:i4>3735612</vt:i4>
      </vt:variant>
      <vt:variant>
        <vt:i4>9</vt:i4>
      </vt:variant>
      <vt:variant>
        <vt:i4>0</vt:i4>
      </vt:variant>
      <vt:variant>
        <vt:i4>5</vt:i4>
      </vt:variant>
      <vt:variant>
        <vt:lpwstr>https://www.itu.int/md/S20-DM-CIR-01009/en</vt:lpwstr>
      </vt:variant>
      <vt:variant>
        <vt:lpwstr/>
      </vt:variant>
      <vt:variant>
        <vt:i4>7602237</vt:i4>
      </vt:variant>
      <vt:variant>
        <vt:i4>6</vt:i4>
      </vt:variant>
      <vt:variant>
        <vt:i4>0</vt:i4>
      </vt:variant>
      <vt:variant>
        <vt:i4>5</vt:i4>
      </vt:variant>
      <vt:variant>
        <vt:lpwstr>https://www.itu.int/md/S20-CL-C-0016/en</vt:lpwstr>
      </vt:variant>
      <vt:variant>
        <vt:lpwstr/>
      </vt:variant>
      <vt:variant>
        <vt:i4>7143482</vt:i4>
      </vt:variant>
      <vt:variant>
        <vt:i4>3</vt:i4>
      </vt:variant>
      <vt:variant>
        <vt:i4>0</vt:i4>
      </vt:variant>
      <vt:variant>
        <vt:i4>5</vt:i4>
      </vt:variant>
      <vt:variant>
        <vt:lpwstr>https://www.itu.int/en/council/2020/Pages/default.aspx</vt:lpwstr>
      </vt:variant>
      <vt:variant>
        <vt:lpwstr/>
      </vt:variant>
      <vt:variant>
        <vt:i4>1572932</vt:i4>
      </vt:variant>
      <vt:variant>
        <vt:i4>0</vt:i4>
      </vt:variant>
      <vt:variant>
        <vt:i4>0</vt:i4>
      </vt:variant>
      <vt:variant>
        <vt:i4>5</vt:i4>
      </vt:variant>
      <vt:variant>
        <vt:lpwstr>https://www.itu.int/md/R00-CA-CIR-0250/en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RAG21</dc:description>
  <cp:lastModifiedBy>GF</cp:lastModifiedBy>
  <cp:revision>6</cp:revision>
  <cp:lastPrinted>1999-09-30T15:03:00Z</cp:lastPrinted>
  <dcterms:created xsi:type="dcterms:W3CDTF">2021-03-09T16:24:00Z</dcterms:created>
  <dcterms:modified xsi:type="dcterms:W3CDTF">2021-03-10T07:49:00Z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ies>
</file>