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894" w:type="dxa"/>
        <w:tblLayout w:type="fixed"/>
        <w:tblLook w:val="04A0" w:firstRow="1" w:lastRow="0" w:firstColumn="1" w:lastColumn="0" w:noHBand="0" w:noVBand="1"/>
      </w:tblPr>
      <w:tblGrid>
        <w:gridCol w:w="9894"/>
      </w:tblGrid>
      <w:tr w:rsidR="00FE5279" w14:paraId="2CFA3831" w14:textId="77777777" w:rsidTr="008A40BD">
        <w:trPr>
          <w:cantSplit/>
        </w:trPr>
        <w:tc>
          <w:tcPr>
            <w:tcW w:w="9894" w:type="dxa"/>
          </w:tcPr>
          <w:tbl>
            <w:tblPr>
              <w:tblpPr w:leftFromText="180" w:rightFromText="180" w:horzAnchor="margin" w:tblpY="-810"/>
              <w:tblW w:w="10030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6663"/>
              <w:gridCol w:w="3123"/>
              <w:gridCol w:w="28"/>
              <w:gridCol w:w="108"/>
            </w:tblGrid>
            <w:tr w:rsidR="008A40BD" w:rsidRPr="00432D7F" w14:paraId="3B0C6A6D" w14:textId="77777777" w:rsidTr="008A40BD">
              <w:trPr>
                <w:gridAfter w:val="1"/>
                <w:wAfter w:w="108" w:type="dxa"/>
                <w:cantSplit/>
              </w:trPr>
              <w:tc>
                <w:tcPr>
                  <w:tcW w:w="6771" w:type="dxa"/>
                  <w:gridSpan w:val="2"/>
                  <w:vAlign w:val="center"/>
                </w:tcPr>
                <w:p w14:paraId="31DA8857" w14:textId="77777777" w:rsidR="008A40BD" w:rsidRPr="00D872CB" w:rsidRDefault="008A40BD" w:rsidP="008A40BD">
                  <w:pPr>
                    <w:shd w:val="solid" w:color="FFFFFF" w:fill="FFFFFF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2160"/>
                    </w:tabs>
                    <w:spacing w:before="360" w:after="240"/>
                    <w:rPr>
                      <w:rFonts w:ascii="Verdana" w:hAnsi="Verdana" w:cs="Times New Roman Bold"/>
                      <w:b/>
                      <w:bCs/>
                      <w:lang w:eastAsia="zh-CN"/>
                    </w:rPr>
                  </w:pPr>
                  <w:r>
                    <w:rPr>
                      <w:rFonts w:ascii="Verdana" w:hAnsi="Verdana" w:cs="Times New Roman Bold" w:hint="eastAsia"/>
                      <w:b/>
                      <w:sz w:val="26"/>
                      <w:szCs w:val="26"/>
                      <w:lang w:eastAsia="zh-CN"/>
                    </w:rPr>
                    <w:t>无线电通信顾问组</w:t>
                  </w:r>
                  <w:r>
                    <w:rPr>
                      <w:rFonts w:ascii="Verdana" w:hAnsi="Verdana" w:cs="Times New Roman Bold"/>
                      <w:b/>
                      <w:sz w:val="26"/>
                      <w:szCs w:val="26"/>
                      <w:lang w:eastAsia="zh-CN"/>
                    </w:rPr>
                    <w:br/>
                  </w:r>
                  <w:r w:rsidRPr="00B41DCB"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20</w:t>
                  </w:r>
                  <w:r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20</w:t>
                  </w:r>
                  <w:r w:rsidRPr="00B41DCB">
                    <w:rPr>
                      <w:rFonts w:ascii="Verdana" w:hAnsi="Verdana" w:cs="Times New Roman Bold" w:hint="eastAsia"/>
                      <w:b/>
                      <w:bCs/>
                      <w:sz w:val="20"/>
                      <w:lang w:eastAsia="zh-CN"/>
                    </w:rPr>
                    <w:t>年</w:t>
                  </w:r>
                  <w:r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5</w:t>
                  </w:r>
                  <w:r w:rsidRPr="00B41DCB">
                    <w:rPr>
                      <w:rFonts w:ascii="Verdana" w:hAnsi="Verdana" w:cs="Times New Roman Bold" w:hint="eastAsia"/>
                      <w:b/>
                      <w:bCs/>
                      <w:sz w:val="20"/>
                      <w:lang w:eastAsia="zh-CN"/>
                    </w:rPr>
                    <w:t>月</w:t>
                  </w:r>
                  <w:r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25</w:t>
                  </w:r>
                  <w:r w:rsidRPr="00B41DCB"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-</w:t>
                  </w:r>
                  <w:r>
                    <w:rPr>
                      <w:rFonts w:ascii="Verdana" w:hAnsi="Verdana" w:cs="Times New Roman Bold"/>
                      <w:b/>
                      <w:bCs/>
                      <w:sz w:val="20"/>
                      <w:lang w:eastAsia="zh-CN"/>
                    </w:rPr>
                    <w:t>27</w:t>
                  </w:r>
                  <w:r w:rsidRPr="00B41DCB">
                    <w:rPr>
                      <w:rFonts w:ascii="Verdana" w:hAnsi="Verdana" w:cs="Times New Roman Bold" w:hint="eastAsia"/>
                      <w:b/>
                      <w:bCs/>
                      <w:sz w:val="20"/>
                      <w:lang w:eastAsia="zh-CN"/>
                    </w:rPr>
                    <w:t>日，日内瓦</w:t>
                  </w:r>
                </w:p>
              </w:tc>
              <w:tc>
                <w:tcPr>
                  <w:tcW w:w="3151" w:type="dxa"/>
                  <w:gridSpan w:val="2"/>
                  <w:vAlign w:val="center"/>
                </w:tcPr>
                <w:p w14:paraId="27AD3664" w14:textId="77777777" w:rsidR="008A40BD" w:rsidRPr="00432D7F" w:rsidRDefault="008A40BD" w:rsidP="008A40BD">
                  <w:pPr>
                    <w:shd w:val="solid" w:color="FFFFFF" w:fill="FFFFFF"/>
                    <w:spacing w:before="0"/>
                    <w:rPr>
                      <w:lang w:val="en-US"/>
                    </w:rPr>
                  </w:pPr>
                  <w:r w:rsidRPr="00C126C1">
                    <w:rPr>
                      <w:noProof/>
                      <w:lang w:val="en-US" w:eastAsia="zh-CN"/>
                    </w:rPr>
                    <w:drawing>
                      <wp:inline distT="0" distB="0" distL="0" distR="0" wp14:anchorId="514EA8EA" wp14:editId="51B2F95D">
                        <wp:extent cx="844492" cy="844492"/>
                        <wp:effectExtent l="0" t="0" r="0" b="0"/>
                        <wp:docPr id="2" name="Picture 2" descr="C:\Users\murphy\AppData\Local\Temp\Temp1_ITU logo Entire package.zip\jpg\ITU official logo_blue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urphy\AppData\Local\Temp\Temp1_ITU logo Entire package.zip\jpg\ITU official logo_blue_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233" cy="850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40BD" w:rsidRPr="00D872CB" w14:paraId="4EDD5E14" w14:textId="77777777" w:rsidTr="008A40BD">
              <w:trPr>
                <w:gridAfter w:val="2"/>
                <w:wAfter w:w="136" w:type="dxa"/>
                <w:cantSplit/>
              </w:trPr>
              <w:tc>
                <w:tcPr>
                  <w:tcW w:w="6771" w:type="dxa"/>
                  <w:gridSpan w:val="2"/>
                  <w:tcBorders>
                    <w:bottom w:val="single" w:sz="12" w:space="0" w:color="auto"/>
                  </w:tcBorders>
                </w:tcPr>
                <w:p w14:paraId="665BB81A" w14:textId="77777777" w:rsidR="008A40BD" w:rsidRPr="00D872CB" w:rsidRDefault="008A40BD" w:rsidP="008A40BD">
                  <w:pPr>
                    <w:shd w:val="solid" w:color="FFFFFF" w:fill="FFFFFF"/>
                    <w:spacing w:before="0" w:after="48"/>
                    <w:rPr>
                      <w:rFonts w:ascii="Verdana" w:hAnsi="Verdana" w:cs="Times New Roman Bol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23" w:type="dxa"/>
                  <w:tcBorders>
                    <w:bottom w:val="single" w:sz="12" w:space="0" w:color="auto"/>
                  </w:tcBorders>
                </w:tcPr>
                <w:p w14:paraId="67B2BBD9" w14:textId="77777777" w:rsidR="008A40BD" w:rsidRPr="00D872CB" w:rsidRDefault="008A40BD" w:rsidP="008A40BD">
                  <w:pPr>
                    <w:shd w:val="solid" w:color="FFFFFF" w:fill="FFFFFF"/>
                    <w:spacing w:before="0" w:after="48"/>
                    <w:rPr>
                      <w:sz w:val="22"/>
                      <w:szCs w:val="22"/>
                    </w:rPr>
                  </w:pPr>
                </w:p>
              </w:tc>
            </w:tr>
            <w:tr w:rsidR="008A40BD" w:rsidRPr="00D872CB" w14:paraId="2C3ABC5E" w14:textId="77777777" w:rsidTr="008A40BD">
              <w:trPr>
                <w:gridAfter w:val="2"/>
                <w:wAfter w:w="136" w:type="dxa"/>
                <w:cantSplit/>
              </w:trPr>
              <w:tc>
                <w:tcPr>
                  <w:tcW w:w="6771" w:type="dxa"/>
                  <w:gridSpan w:val="2"/>
                  <w:tcBorders>
                    <w:top w:val="single" w:sz="12" w:space="0" w:color="auto"/>
                  </w:tcBorders>
                </w:tcPr>
                <w:p w14:paraId="1D6F14D6" w14:textId="77777777" w:rsidR="008A40BD" w:rsidRPr="00D872CB" w:rsidRDefault="008A40BD" w:rsidP="008A40BD">
                  <w:pPr>
                    <w:shd w:val="solid" w:color="FFFFFF" w:fill="FFFFFF"/>
                    <w:spacing w:before="0" w:after="48"/>
                    <w:rPr>
                      <w:rFonts w:ascii="Verdana" w:hAnsi="Verdana" w:cs="Times New Roman Bold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23" w:type="dxa"/>
                  <w:tcBorders>
                    <w:top w:val="single" w:sz="12" w:space="0" w:color="auto"/>
                  </w:tcBorders>
                </w:tcPr>
                <w:p w14:paraId="497F1AFA" w14:textId="77777777" w:rsidR="008A40BD" w:rsidRPr="00D872CB" w:rsidRDefault="008A40BD" w:rsidP="008A40BD">
                  <w:pPr>
                    <w:shd w:val="solid" w:color="FFFFFF" w:fill="FFFFFF"/>
                    <w:spacing w:before="0" w:after="48"/>
                  </w:pPr>
                </w:p>
              </w:tc>
            </w:tr>
            <w:tr w:rsidR="008A40BD" w:rsidRPr="000A4F34" w14:paraId="63A7BFDE" w14:textId="77777777" w:rsidTr="008A40BD">
              <w:trPr>
                <w:gridAfter w:val="2"/>
                <w:wAfter w:w="136" w:type="dxa"/>
                <w:cantSplit/>
              </w:trPr>
              <w:tc>
                <w:tcPr>
                  <w:tcW w:w="6771" w:type="dxa"/>
                  <w:gridSpan w:val="2"/>
                  <w:vMerge w:val="restart"/>
                </w:tcPr>
                <w:p w14:paraId="645929EE" w14:textId="77777777" w:rsidR="008A40BD" w:rsidRPr="00D872CB" w:rsidRDefault="008A40BD" w:rsidP="008A40BD">
                  <w:pPr>
                    <w:shd w:val="solid" w:color="FFFFFF" w:fill="FFFFFF"/>
                    <w:spacing w:after="240"/>
                    <w:rPr>
                      <w:sz w:val="20"/>
                    </w:rPr>
                  </w:pPr>
                </w:p>
              </w:tc>
              <w:tc>
                <w:tcPr>
                  <w:tcW w:w="3123" w:type="dxa"/>
                </w:tcPr>
                <w:p w14:paraId="4BAA69C0" w14:textId="77777777" w:rsidR="008A40BD" w:rsidRPr="000A4F34" w:rsidRDefault="008A40BD" w:rsidP="008A40BD">
                  <w:pPr>
                    <w:shd w:val="solid" w:color="FFFFFF" w:fill="FFFFFF"/>
                    <w:spacing w:before="0"/>
                    <w:rPr>
                      <w:rFonts w:ascii="Verdana" w:hAnsi="Verdana"/>
                      <w:sz w:val="20"/>
                      <w:lang w:eastAsia="zh-CN"/>
                    </w:rPr>
                  </w:pP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文件</w:t>
                  </w:r>
                  <w:r w:rsidRPr="000A4F34">
                    <w:rPr>
                      <w:rFonts w:ascii="Verdana" w:hAnsi="Verdana"/>
                      <w:b/>
                      <w:sz w:val="20"/>
                      <w:lang w:eastAsia="zh-CN"/>
                    </w:rPr>
                    <w:t xml:space="preserve"> RAG</w:t>
                  </w: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>20</w:t>
                  </w:r>
                  <w:r w:rsidRPr="000A4F34">
                    <w:rPr>
                      <w:rFonts w:ascii="Verdana" w:hAnsi="Verdana"/>
                      <w:b/>
                      <w:sz w:val="20"/>
                      <w:lang w:eastAsia="zh-CN"/>
                    </w:rPr>
                    <w:t>/</w:t>
                  </w: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 xml:space="preserve">  </w:t>
                  </w:r>
                  <w:r w:rsidRPr="000A4F34">
                    <w:rPr>
                      <w:rFonts w:ascii="Verdana" w:hAnsi="Verdana"/>
                      <w:b/>
                      <w:sz w:val="20"/>
                      <w:lang w:eastAsia="zh-CN"/>
                    </w:rPr>
                    <w:t>-C</w:t>
                  </w:r>
                </w:p>
              </w:tc>
            </w:tr>
            <w:tr w:rsidR="008A40BD" w:rsidRPr="000A4F34" w14:paraId="26B74DC7" w14:textId="77777777" w:rsidTr="008A40BD">
              <w:trPr>
                <w:gridAfter w:val="2"/>
                <w:wAfter w:w="136" w:type="dxa"/>
                <w:cantSplit/>
              </w:trPr>
              <w:tc>
                <w:tcPr>
                  <w:tcW w:w="6771" w:type="dxa"/>
                  <w:gridSpan w:val="2"/>
                  <w:vMerge/>
                </w:tcPr>
                <w:p w14:paraId="35788EAD" w14:textId="77777777" w:rsidR="008A40BD" w:rsidRPr="00D872CB" w:rsidRDefault="008A40BD" w:rsidP="008A40BD">
                  <w:pPr>
                    <w:spacing w:before="60"/>
                    <w:jc w:val="center"/>
                    <w:rPr>
                      <w:b/>
                      <w:smallCaps/>
                      <w:sz w:val="32"/>
                      <w:lang w:eastAsia="zh-CN"/>
                    </w:rPr>
                  </w:pPr>
                </w:p>
              </w:tc>
              <w:tc>
                <w:tcPr>
                  <w:tcW w:w="3123" w:type="dxa"/>
                </w:tcPr>
                <w:p w14:paraId="6D065351" w14:textId="77777777" w:rsidR="008A40BD" w:rsidRPr="000A4F34" w:rsidRDefault="008A40BD" w:rsidP="008A40BD">
                  <w:pPr>
                    <w:shd w:val="solid" w:color="FFFFFF" w:fill="FFFFFF"/>
                    <w:spacing w:before="0"/>
                    <w:rPr>
                      <w:rFonts w:ascii="Verdana" w:hAnsi="Verdana"/>
                      <w:sz w:val="20"/>
                      <w:lang w:eastAsia="zh-CN"/>
                    </w:rPr>
                  </w:pPr>
                  <w:r w:rsidRPr="000A4F34">
                    <w:rPr>
                      <w:rFonts w:ascii="Verdana" w:hAnsi="Verdana"/>
                      <w:b/>
                      <w:sz w:val="20"/>
                      <w:lang w:eastAsia="zh-CN"/>
                    </w:rPr>
                    <w:t>20</w:t>
                  </w: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>20</w:t>
                  </w: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年</w:t>
                  </w: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>x</w:t>
                  </w: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月</w:t>
                  </w:r>
                  <w:r>
                    <w:rPr>
                      <w:rFonts w:ascii="Verdana" w:hAnsi="Verdana"/>
                      <w:b/>
                      <w:sz w:val="20"/>
                      <w:lang w:eastAsia="zh-CN"/>
                    </w:rPr>
                    <w:t>x</w:t>
                  </w: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日</w:t>
                  </w:r>
                </w:p>
              </w:tc>
            </w:tr>
            <w:tr w:rsidR="008A40BD" w:rsidRPr="000A4F34" w14:paraId="518E0B27" w14:textId="77777777" w:rsidTr="008A40BD">
              <w:trPr>
                <w:gridAfter w:val="2"/>
                <w:wAfter w:w="136" w:type="dxa"/>
                <w:cantSplit/>
              </w:trPr>
              <w:tc>
                <w:tcPr>
                  <w:tcW w:w="6771" w:type="dxa"/>
                  <w:gridSpan w:val="2"/>
                  <w:vMerge/>
                </w:tcPr>
                <w:p w14:paraId="612F8ECD" w14:textId="77777777" w:rsidR="008A40BD" w:rsidRPr="00D872CB" w:rsidRDefault="008A40BD" w:rsidP="008A40BD">
                  <w:pPr>
                    <w:spacing w:before="60"/>
                    <w:jc w:val="center"/>
                    <w:rPr>
                      <w:b/>
                      <w:smallCaps/>
                      <w:sz w:val="32"/>
                      <w:lang w:eastAsia="zh-CN"/>
                    </w:rPr>
                  </w:pPr>
                </w:p>
              </w:tc>
              <w:tc>
                <w:tcPr>
                  <w:tcW w:w="3123" w:type="dxa"/>
                </w:tcPr>
                <w:p w14:paraId="7886418F" w14:textId="77777777" w:rsidR="008A40BD" w:rsidRPr="000A4F34" w:rsidRDefault="008A40BD" w:rsidP="008A40BD">
                  <w:pPr>
                    <w:shd w:val="solid" w:color="FFFFFF" w:fill="FFFFFF"/>
                    <w:spacing w:before="0" w:after="120"/>
                    <w:rPr>
                      <w:rFonts w:ascii="Verdana" w:hAnsi="Verdana"/>
                      <w:sz w:val="20"/>
                      <w:lang w:eastAsia="zh-CN"/>
                    </w:rPr>
                  </w:pP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原文</w:t>
                  </w:r>
                  <w:r w:rsidRPr="000A4F34">
                    <w:rPr>
                      <w:rFonts w:ascii="Verdana" w:hAnsi="Verdana" w:hint="eastAsia"/>
                      <w:b/>
                      <w:sz w:val="20"/>
                      <w:lang w:eastAsia="zh-CN"/>
                    </w:rPr>
                    <w:t>：</w:t>
                  </w:r>
                  <w:r>
                    <w:rPr>
                      <w:rFonts w:ascii="Verdana" w:hAnsi="SimSun" w:hint="eastAsia"/>
                      <w:b/>
                      <w:sz w:val="20"/>
                      <w:lang w:eastAsia="zh-CN"/>
                    </w:rPr>
                    <w:t>中</w:t>
                  </w:r>
                  <w:r w:rsidRPr="000A4F34">
                    <w:rPr>
                      <w:rFonts w:ascii="Verdana" w:hAnsi="SimSun"/>
                      <w:b/>
                      <w:sz w:val="20"/>
                      <w:lang w:eastAsia="zh-CN"/>
                    </w:rPr>
                    <w:t>文</w:t>
                  </w:r>
                </w:p>
              </w:tc>
            </w:tr>
            <w:tr w:rsidR="00FE5279" w14:paraId="6C4546DB" w14:textId="77777777" w:rsidTr="008A40BD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108" w:type="dxa"/>
                <w:cantSplit/>
              </w:trPr>
              <w:tc>
                <w:tcPr>
                  <w:tcW w:w="9922" w:type="dxa"/>
                  <w:gridSpan w:val="4"/>
                </w:tcPr>
                <w:p w14:paraId="1E2AD54A" w14:textId="5819327D" w:rsidR="00FE5279" w:rsidRDefault="00EF003E" w:rsidP="008A40BD">
                  <w:pPr>
                    <w:pStyle w:val="Source"/>
                    <w:rPr>
                      <w:lang w:eastAsia="zh-CN"/>
                    </w:rPr>
                  </w:pPr>
                  <w:bookmarkStart w:id="0" w:name="dsource" w:colFirst="0" w:colLast="0"/>
                  <w:r>
                    <w:rPr>
                      <w:rFonts w:hint="eastAsia"/>
                      <w:lang w:eastAsia="zh-CN"/>
                    </w:rPr>
                    <w:t>中华人民共和国</w:t>
                  </w:r>
                </w:p>
              </w:tc>
            </w:tr>
            <w:tr w:rsidR="00FE5279" w14:paraId="25BC520F" w14:textId="77777777" w:rsidTr="008A40BD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108" w:type="dxa"/>
                <w:cantSplit/>
              </w:trPr>
              <w:tc>
                <w:tcPr>
                  <w:tcW w:w="9922" w:type="dxa"/>
                  <w:gridSpan w:val="4"/>
                </w:tcPr>
                <w:p w14:paraId="38BC2AA2" w14:textId="77777777" w:rsidR="00FE5279" w:rsidRDefault="00EF003E" w:rsidP="008A40BD">
                  <w:pPr>
                    <w:tabs>
                      <w:tab w:val="left" w:pos="851"/>
                      <w:tab w:val="left" w:pos="5670"/>
                    </w:tabs>
                    <w:spacing w:before="240" w:after="240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关于对</w:t>
                  </w:r>
                  <w:r>
                    <w:rPr>
                      <w:sz w:val="28"/>
                      <w:szCs w:val="28"/>
                      <w:lang w:eastAsia="zh-CN"/>
                    </w:rPr>
                    <w:t>新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任命</w:t>
                  </w:r>
                  <w:r>
                    <w:rPr>
                      <w:sz w:val="28"/>
                      <w:szCs w:val="28"/>
                      <w:lang w:eastAsia="zh-CN"/>
                    </w:rPr>
                    <w:t>的研究组副主席开展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系统性培训的建议</w:t>
                  </w:r>
                </w:p>
              </w:tc>
            </w:tr>
          </w:tbl>
          <w:p w14:paraId="44A4CEAF" w14:textId="77777777" w:rsidR="00FE5279" w:rsidRDefault="00EF0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360"/>
              <w:ind w:firstLineChars="200" w:firstLine="48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RA-19</w:t>
            </w:r>
            <w:r>
              <w:rPr>
                <w:rFonts w:hint="eastAsia"/>
                <w:lang w:eastAsia="zh-CN"/>
              </w:rPr>
              <w:t>会议上</w:t>
            </w:r>
            <w:r>
              <w:rPr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lang w:eastAsia="zh-CN"/>
              </w:rPr>
              <w:t>协商选举产生了新的一届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主席和副主席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主席和副主席</w:t>
            </w:r>
            <w:r>
              <w:rPr>
                <w:rFonts w:hint="eastAsia"/>
                <w:lang w:eastAsia="zh-CN"/>
              </w:rPr>
              <w:t>人员</w:t>
            </w:r>
            <w:r>
              <w:rPr>
                <w:lang w:eastAsia="zh-CN"/>
              </w:rPr>
              <w:t>名单见</w:t>
            </w: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4-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号决议“无线电</w:t>
            </w:r>
            <w:r>
              <w:rPr>
                <w:lang w:eastAsia="zh-CN"/>
              </w:rPr>
              <w:t>通信组的研究结构</w:t>
            </w:r>
            <w:r>
              <w:rPr>
                <w:lang w:eastAsia="zh-CN"/>
              </w:rPr>
              <w:t xml:space="preserve">”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“无线电</w:t>
            </w:r>
            <w:r>
              <w:rPr>
                <w:lang w:eastAsia="zh-CN"/>
              </w:rPr>
              <w:t>通信研究组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。</w:t>
            </w:r>
          </w:p>
          <w:p w14:paraId="0199E320" w14:textId="77777777" w:rsidR="00FE5279" w:rsidRDefault="00EF0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360"/>
              <w:ind w:firstLineChars="200" w:firstLine="480"/>
              <w:textAlignment w:val="auto"/>
              <w:rPr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随着无线电通信</w:t>
            </w:r>
            <w:r>
              <w:rPr>
                <w:lang w:eastAsia="zh-CN"/>
              </w:rPr>
              <w:t>业务的</w:t>
            </w:r>
            <w:r>
              <w:rPr>
                <w:rFonts w:hint="eastAsia"/>
                <w:lang w:eastAsia="zh-CN"/>
              </w:rPr>
              <w:t>快速</w:t>
            </w:r>
            <w:r>
              <w:rPr>
                <w:rFonts w:hint="eastAsia"/>
                <w:szCs w:val="22"/>
                <w:lang w:eastAsia="zh-CN"/>
              </w:rPr>
              <w:t>发展和广泛</w:t>
            </w:r>
            <w:r>
              <w:rPr>
                <w:szCs w:val="22"/>
                <w:lang w:eastAsia="zh-CN"/>
              </w:rPr>
              <w:t>应用</w:t>
            </w:r>
            <w:r>
              <w:rPr>
                <w:rFonts w:hint="eastAsia"/>
                <w:szCs w:val="22"/>
                <w:lang w:eastAsia="zh-CN"/>
              </w:rPr>
              <w:t>，各国</w:t>
            </w:r>
            <w:r>
              <w:rPr>
                <w:szCs w:val="22"/>
                <w:lang w:eastAsia="zh-CN"/>
              </w:rPr>
              <w:t>主管机关和</w:t>
            </w:r>
            <w:r>
              <w:rPr>
                <w:rFonts w:hint="eastAsia"/>
                <w:szCs w:val="22"/>
                <w:lang w:eastAsia="zh-CN"/>
              </w:rPr>
              <w:t>产业界</w:t>
            </w:r>
            <w:r>
              <w:rPr>
                <w:szCs w:val="22"/>
                <w:lang w:eastAsia="zh-CN"/>
              </w:rPr>
              <w:t>投入到无线电</w:t>
            </w:r>
            <w:r>
              <w:rPr>
                <w:rFonts w:hint="eastAsia"/>
                <w:szCs w:val="22"/>
                <w:lang w:eastAsia="zh-CN"/>
              </w:rPr>
              <w:t>通信研究的人员</w:t>
            </w:r>
            <w:r>
              <w:rPr>
                <w:szCs w:val="22"/>
                <w:lang w:eastAsia="zh-CN"/>
              </w:rPr>
              <w:t>也随之增加。</w:t>
            </w:r>
            <w:r>
              <w:rPr>
                <w:rFonts w:hint="eastAsia"/>
                <w:szCs w:val="22"/>
                <w:lang w:eastAsia="zh-CN"/>
              </w:rPr>
              <w:t>RA</w:t>
            </w:r>
            <w:r>
              <w:rPr>
                <w:rFonts w:hint="eastAsia"/>
                <w:szCs w:val="22"/>
                <w:lang w:eastAsia="zh-CN"/>
              </w:rPr>
              <w:t>任命</w:t>
            </w:r>
            <w:r>
              <w:rPr>
                <w:szCs w:val="22"/>
                <w:lang w:eastAsia="zh-CN"/>
              </w:rPr>
              <w:t>的研究组副主席也在逐届增加，</w:t>
            </w: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A-19</w:t>
            </w:r>
            <w:r>
              <w:rPr>
                <w:rFonts w:hint="eastAsia"/>
                <w:szCs w:val="22"/>
                <w:lang w:eastAsia="zh-CN"/>
              </w:rPr>
              <w:t>任命</w:t>
            </w:r>
            <w:r>
              <w:rPr>
                <w:szCs w:val="22"/>
                <w:lang w:eastAsia="zh-CN"/>
              </w:rPr>
              <w:t>的</w:t>
            </w:r>
            <w:r>
              <w:rPr>
                <w:rFonts w:hint="eastAsia"/>
                <w:szCs w:val="22"/>
                <w:lang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个无线电</w:t>
            </w:r>
            <w:r>
              <w:rPr>
                <w:szCs w:val="22"/>
                <w:lang w:eastAsia="zh-CN"/>
              </w:rPr>
              <w:t>通信研究组</w:t>
            </w:r>
            <w:r>
              <w:rPr>
                <w:rFonts w:hint="eastAsia"/>
                <w:szCs w:val="22"/>
                <w:lang w:eastAsia="zh-CN"/>
              </w:rPr>
              <w:t>副主席的</w:t>
            </w:r>
            <w:r>
              <w:rPr>
                <w:szCs w:val="22"/>
                <w:lang w:eastAsia="zh-CN"/>
              </w:rPr>
              <w:t>总人数</w:t>
            </w:r>
            <w:r>
              <w:rPr>
                <w:rFonts w:hint="eastAsia"/>
                <w:szCs w:val="22"/>
                <w:lang w:eastAsia="zh-CN"/>
              </w:rPr>
              <w:t>相比</w:t>
            </w:r>
            <w:r>
              <w:rPr>
                <w:szCs w:val="22"/>
                <w:lang w:eastAsia="zh-CN"/>
              </w:rPr>
              <w:t>上届（</w:t>
            </w:r>
            <w:r>
              <w:rPr>
                <w:rFonts w:hint="eastAsia"/>
                <w:szCs w:val="22"/>
                <w:lang w:eastAsia="zh-CN"/>
              </w:rPr>
              <w:t>RA-15</w:t>
            </w:r>
            <w:r>
              <w:rPr>
                <w:szCs w:val="22"/>
                <w:lang w:eastAsia="zh-CN"/>
              </w:rPr>
              <w:t>）</w:t>
            </w:r>
            <w:r>
              <w:rPr>
                <w:rFonts w:hint="eastAsia"/>
                <w:szCs w:val="22"/>
                <w:lang w:eastAsia="zh-CN"/>
              </w:rPr>
              <w:t>净</w:t>
            </w:r>
            <w:r>
              <w:rPr>
                <w:szCs w:val="22"/>
                <w:lang w:eastAsia="zh-CN"/>
              </w:rPr>
              <w:t>增加</w:t>
            </w:r>
            <w:r>
              <w:rPr>
                <w:rFonts w:hint="eastAsia"/>
                <w:szCs w:val="22"/>
                <w:lang w:eastAsia="zh-CN"/>
              </w:rPr>
              <w:t>11</w:t>
            </w:r>
            <w:r>
              <w:rPr>
                <w:rFonts w:hint="eastAsia"/>
                <w:szCs w:val="22"/>
                <w:lang w:eastAsia="zh-CN"/>
              </w:rPr>
              <w:t>人</w:t>
            </w:r>
            <w:r>
              <w:rPr>
                <w:szCs w:val="22"/>
                <w:lang w:eastAsia="zh-CN"/>
              </w:rPr>
              <w:t>。</w:t>
            </w:r>
          </w:p>
          <w:p w14:paraId="07AAE40C" w14:textId="29A93ADF" w:rsidR="00FE5279" w:rsidRDefault="00EF0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360"/>
              <w:ind w:firstLineChars="200" w:firstLine="480"/>
              <w:textAlignment w:val="auto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为了帮助</w:t>
            </w:r>
            <w:r>
              <w:rPr>
                <w:szCs w:val="22"/>
                <w:lang w:eastAsia="zh-CN"/>
              </w:rPr>
              <w:t>这些新当选的副主席尽快发挥其应有的作用，能够更加有效</w:t>
            </w:r>
            <w:r>
              <w:rPr>
                <w:rFonts w:hint="eastAsia"/>
                <w:szCs w:val="22"/>
                <w:lang w:eastAsia="zh-CN"/>
              </w:rPr>
              <w:t>在</w:t>
            </w:r>
            <w:r>
              <w:rPr>
                <w:szCs w:val="22"/>
                <w:lang w:eastAsia="zh-CN"/>
              </w:rPr>
              <w:t>各自研究组开展工作，</w:t>
            </w:r>
            <w:r>
              <w:rPr>
                <w:rFonts w:hint="eastAsia"/>
                <w:szCs w:val="22"/>
                <w:lang w:eastAsia="zh-CN"/>
              </w:rPr>
              <w:t>中国</w:t>
            </w:r>
            <w:r>
              <w:rPr>
                <w:szCs w:val="22"/>
                <w:lang w:eastAsia="zh-CN"/>
              </w:rPr>
              <w:t>认为有必要</w:t>
            </w:r>
            <w:r>
              <w:rPr>
                <w:rFonts w:hint="eastAsia"/>
                <w:szCs w:val="22"/>
                <w:lang w:eastAsia="zh-CN"/>
              </w:rPr>
              <w:t>对新当选</w:t>
            </w:r>
            <w:r>
              <w:rPr>
                <w:szCs w:val="22"/>
                <w:lang w:eastAsia="zh-CN"/>
              </w:rPr>
              <w:t>的研究组副主席</w:t>
            </w:r>
            <w:r>
              <w:rPr>
                <w:rFonts w:hint="eastAsia"/>
                <w:szCs w:val="22"/>
                <w:lang w:eastAsia="zh-CN"/>
              </w:rPr>
              <w:t>提供</w:t>
            </w:r>
            <w:r>
              <w:rPr>
                <w:szCs w:val="22"/>
                <w:lang w:eastAsia="zh-CN"/>
              </w:rPr>
              <w:t>指导</w:t>
            </w:r>
            <w:r>
              <w:rPr>
                <w:rFonts w:hint="eastAsia"/>
                <w:szCs w:val="22"/>
                <w:lang w:eastAsia="zh-CN"/>
              </w:rPr>
              <w:t>手册</w:t>
            </w:r>
            <w:r>
              <w:rPr>
                <w:szCs w:val="22"/>
                <w:lang w:eastAsia="zh-CN"/>
              </w:rPr>
              <w:t>并</w:t>
            </w:r>
            <w:r>
              <w:rPr>
                <w:rFonts w:hint="eastAsia"/>
                <w:szCs w:val="22"/>
                <w:lang w:eastAsia="zh-CN"/>
              </w:rPr>
              <w:t>开展</w:t>
            </w:r>
            <w:r>
              <w:rPr>
                <w:szCs w:val="22"/>
                <w:lang w:eastAsia="zh-CN"/>
              </w:rPr>
              <w:t>培训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 xml:space="preserve"> RA-19</w:t>
            </w:r>
            <w:r>
              <w:rPr>
                <w:rFonts w:hint="eastAsia"/>
                <w:lang w:eastAsia="zh-CN"/>
              </w:rPr>
              <w:t>也就</w:t>
            </w:r>
            <w:r>
              <w:rPr>
                <w:lang w:eastAsia="zh-CN"/>
              </w:rPr>
              <w:t>此事</w:t>
            </w:r>
            <w:r>
              <w:rPr>
                <w:rFonts w:hint="eastAsia"/>
                <w:lang w:eastAsia="zh-CN"/>
              </w:rPr>
              <w:t>责成无线电通信顾问组（</w:t>
            </w:r>
            <w:r>
              <w:rPr>
                <w:rFonts w:hint="eastAsia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）考虑是否需要审查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号决议，包括增加有关培训新当选研究组主席和副主席的条款。</w:t>
            </w:r>
            <w:r w:rsidR="00ED1F9D">
              <w:rPr>
                <w:rFonts w:hint="eastAsia"/>
                <w:lang w:eastAsia="zh-CN"/>
              </w:rPr>
              <w:t xml:space="preserve"> </w:t>
            </w:r>
            <w:r w:rsidR="00ED1F9D" w:rsidRPr="00ED1F9D">
              <w:rPr>
                <w:rFonts w:hint="eastAsia"/>
                <w:lang w:eastAsia="zh-CN"/>
              </w:rPr>
              <w:t>RA-19</w:t>
            </w:r>
            <w:r w:rsidR="00ED1F9D" w:rsidRPr="00ED1F9D">
              <w:rPr>
                <w:rFonts w:hint="eastAsia"/>
                <w:lang w:eastAsia="zh-CN"/>
              </w:rPr>
              <w:t>还建议为新当选的副主席准备一份简报和导则，以便他们熟悉研究组的工作方法。</w:t>
            </w:r>
            <w:r w:rsidR="00B116B5">
              <w:rPr>
                <w:rFonts w:hint="eastAsia"/>
                <w:lang w:eastAsia="zh-CN"/>
              </w:rPr>
              <w:t>同时，</w:t>
            </w:r>
            <w:r w:rsidR="00E25516">
              <w:rPr>
                <w:rFonts w:hint="eastAsia"/>
                <w:lang w:eastAsia="zh-CN"/>
              </w:rPr>
              <w:t>无线电通信局（</w:t>
            </w:r>
            <w:r w:rsidR="00E25516">
              <w:rPr>
                <w:rFonts w:hint="eastAsia"/>
                <w:lang w:eastAsia="zh-CN"/>
              </w:rPr>
              <w:t>B</w:t>
            </w:r>
            <w:r w:rsidR="00E25516">
              <w:rPr>
                <w:lang w:eastAsia="zh-CN"/>
              </w:rPr>
              <w:t>R</w:t>
            </w:r>
            <w:r w:rsidR="00E25516">
              <w:rPr>
                <w:rFonts w:hint="eastAsia"/>
                <w:lang w:eastAsia="zh-CN"/>
              </w:rPr>
              <w:t>）也应在</w:t>
            </w:r>
            <w:r w:rsidR="00E25516">
              <w:rPr>
                <w:rFonts w:hint="eastAsia"/>
                <w:lang w:eastAsia="zh-CN"/>
              </w:rPr>
              <w:t>R</w:t>
            </w:r>
            <w:r w:rsidR="00E25516">
              <w:rPr>
                <w:lang w:eastAsia="zh-CN"/>
              </w:rPr>
              <w:t>A</w:t>
            </w:r>
            <w:r w:rsidR="00E25516">
              <w:rPr>
                <w:rFonts w:hint="eastAsia"/>
                <w:lang w:eastAsia="zh-CN"/>
              </w:rPr>
              <w:t>后对</w:t>
            </w:r>
            <w:r w:rsidR="00E25516" w:rsidRPr="00E25516">
              <w:rPr>
                <w:rFonts w:hint="eastAsia"/>
                <w:lang w:eastAsia="zh-CN"/>
              </w:rPr>
              <w:t>《工作方法的导则</w:t>
            </w:r>
            <w:r w:rsidR="00E25516" w:rsidRPr="00E25516">
              <w:rPr>
                <w:rFonts w:hint="eastAsia"/>
                <w:lang w:eastAsia="zh-CN"/>
              </w:rPr>
              <w:t>Guidelines for the working methods</w:t>
            </w:r>
            <w:r w:rsidR="00E25516" w:rsidRPr="00E25516">
              <w:rPr>
                <w:rFonts w:hint="eastAsia"/>
                <w:lang w:eastAsia="zh-CN"/>
              </w:rPr>
              <w:t>》进行更新</w:t>
            </w:r>
            <w:r w:rsidR="00E25516">
              <w:rPr>
                <w:rFonts w:hint="eastAsia"/>
                <w:lang w:eastAsia="zh-CN"/>
              </w:rPr>
              <w:t>。</w:t>
            </w:r>
          </w:p>
          <w:p w14:paraId="41FB5449" w14:textId="77777777" w:rsidR="00FE5279" w:rsidRDefault="00EF0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360"/>
              <w:ind w:firstLineChars="200" w:firstLine="48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考虑到无线电通信部门每两年举行的</w:t>
            </w:r>
            <w:r>
              <w:rPr>
                <w:lang w:eastAsia="zh-CN"/>
              </w:rPr>
              <w:t>世界无线电通信</w:t>
            </w:r>
            <w:r>
              <w:rPr>
                <w:rFonts w:hint="eastAsia"/>
                <w:lang w:eastAsia="zh-CN"/>
              </w:rPr>
              <w:t>研讨会（</w:t>
            </w: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orld Radiocommunication Seminar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 xml:space="preserve"> WRS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也具有</w:t>
            </w:r>
            <w:r>
              <w:rPr>
                <w:lang w:eastAsia="zh-CN"/>
              </w:rPr>
              <w:t>培训的性质</w:t>
            </w:r>
            <w:r>
              <w:rPr>
                <w:rFonts w:hint="eastAsia"/>
                <w:lang w:eastAsia="zh-CN"/>
              </w:rPr>
              <w:t>，针对</w:t>
            </w:r>
            <w:r>
              <w:rPr>
                <w:lang w:eastAsia="zh-CN"/>
              </w:rPr>
              <w:t>新任命的副主席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培训</w:t>
            </w:r>
            <w:r>
              <w:rPr>
                <w:rFonts w:hint="eastAsia"/>
                <w:lang w:eastAsia="zh-CN"/>
              </w:rPr>
              <w:t>即</w:t>
            </w:r>
            <w:r>
              <w:rPr>
                <w:lang w:eastAsia="zh-CN"/>
              </w:rPr>
              <w:t>可以利用</w:t>
            </w:r>
            <w:r>
              <w:rPr>
                <w:rFonts w:hint="eastAsia"/>
                <w:lang w:eastAsia="zh-CN"/>
              </w:rPr>
              <w:t>已有</w:t>
            </w:r>
            <w:r>
              <w:rPr>
                <w:lang w:eastAsia="zh-CN"/>
              </w:rPr>
              <w:t>的研讨会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Seminar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或者单独</w:t>
            </w:r>
            <w:r>
              <w:rPr>
                <w:lang w:eastAsia="zh-CN"/>
              </w:rPr>
              <w:t>组织研讨会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Workshop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形式尽快</w:t>
            </w:r>
            <w:r>
              <w:rPr>
                <w:lang w:eastAsia="zh-CN"/>
              </w:rPr>
              <w:t>展</w:t>
            </w:r>
            <w:r>
              <w:rPr>
                <w:rFonts w:hint="eastAsia"/>
                <w:lang w:eastAsia="zh-CN"/>
              </w:rPr>
              <w:t>开</w:t>
            </w:r>
            <w:r>
              <w:rPr>
                <w:lang w:eastAsia="zh-CN"/>
              </w:rPr>
              <w:t>。</w:t>
            </w:r>
          </w:p>
          <w:p w14:paraId="61DD5523" w14:textId="77777777" w:rsidR="00FE5279" w:rsidRDefault="00EF00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360"/>
              <w:ind w:firstLineChars="200" w:firstLine="48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综上所述，我们建议：</w:t>
            </w:r>
          </w:p>
          <w:p w14:paraId="0318155B" w14:textId="14BFF48C" w:rsidR="00FE5279" w:rsidRDefault="00EF003E">
            <w:pPr>
              <w:pStyle w:val="enumlev1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</w:t>
            </w:r>
            <w:r>
              <w:rPr>
                <w:lang w:eastAsia="zh-CN"/>
              </w:rPr>
              <w:t>通信</w:t>
            </w:r>
            <w:r w:rsidR="00B116B5">
              <w:rPr>
                <w:rFonts w:hint="eastAsia"/>
                <w:lang w:eastAsia="zh-CN"/>
              </w:rPr>
              <w:t>局（</w:t>
            </w:r>
            <w:r w:rsidR="00B116B5">
              <w:rPr>
                <w:rFonts w:hint="eastAsia"/>
                <w:lang w:eastAsia="zh-CN"/>
              </w:rPr>
              <w:t>B</w:t>
            </w:r>
            <w:r w:rsidR="00B116B5">
              <w:rPr>
                <w:lang w:eastAsia="zh-CN"/>
              </w:rPr>
              <w:t>R</w:t>
            </w:r>
            <w:r w:rsidR="00B116B5">
              <w:rPr>
                <w:rFonts w:hint="eastAsia"/>
                <w:lang w:eastAsia="zh-CN"/>
              </w:rPr>
              <w:t>）根据</w:t>
            </w:r>
            <w:r w:rsidR="00B116B5">
              <w:rPr>
                <w:rFonts w:hint="eastAsia"/>
                <w:lang w:eastAsia="zh-CN"/>
              </w:rPr>
              <w:t>R</w:t>
            </w:r>
            <w:r w:rsidR="00B116B5">
              <w:rPr>
                <w:lang w:eastAsia="zh-CN"/>
              </w:rPr>
              <w:t>A-19</w:t>
            </w:r>
            <w:r w:rsidR="00B116B5">
              <w:rPr>
                <w:rFonts w:hint="eastAsia"/>
                <w:lang w:eastAsia="zh-CN"/>
              </w:rPr>
              <w:t>的输出及时对《工作方法的导则</w:t>
            </w:r>
            <w:r w:rsidR="00B116B5">
              <w:rPr>
                <w:lang w:eastAsia="zh-CN"/>
              </w:rPr>
              <w:t>Guidelines for the working methods</w:t>
            </w:r>
            <w:r w:rsidR="00B116B5">
              <w:rPr>
                <w:rFonts w:hint="eastAsia"/>
                <w:lang w:eastAsia="zh-CN"/>
              </w:rPr>
              <w:t>》进行更新；</w:t>
            </w:r>
          </w:p>
          <w:p w14:paraId="4DF7FE47" w14:textId="5F2E780A" w:rsidR="00FE5279" w:rsidRDefault="00E25516">
            <w:pPr>
              <w:pStyle w:val="enumlev1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应尽快确定对</w:t>
            </w:r>
            <w:r w:rsidRPr="00E25516">
              <w:rPr>
                <w:rFonts w:hint="eastAsia"/>
                <w:lang w:eastAsia="zh-CN"/>
              </w:rPr>
              <w:t>新任命的副主席</w:t>
            </w:r>
            <w:r>
              <w:rPr>
                <w:rFonts w:hint="eastAsia"/>
                <w:lang w:eastAsia="zh-CN"/>
              </w:rPr>
              <w:t>进行</w:t>
            </w:r>
            <w:r w:rsidRPr="00E25516"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  <w:lang w:eastAsia="zh-CN"/>
              </w:rPr>
              <w:t>的</w:t>
            </w:r>
            <w:r w:rsidR="002523D7">
              <w:rPr>
                <w:rFonts w:hint="eastAsia"/>
                <w:lang w:eastAsia="zh-CN"/>
              </w:rPr>
              <w:t>内容</w:t>
            </w:r>
            <w:r>
              <w:rPr>
                <w:rFonts w:hint="eastAsia"/>
                <w:lang w:eastAsia="zh-CN"/>
              </w:rPr>
              <w:t>，考虑</w:t>
            </w:r>
            <w:r w:rsidR="00EF003E">
              <w:rPr>
                <w:rFonts w:hint="eastAsia"/>
                <w:lang w:eastAsia="zh-CN"/>
              </w:rPr>
              <w:t>利用</w:t>
            </w:r>
            <w:r w:rsidR="00EF003E">
              <w:rPr>
                <w:rFonts w:hint="eastAsia"/>
                <w:lang w:eastAsia="zh-CN"/>
              </w:rPr>
              <w:t>WRS2020</w:t>
            </w:r>
            <w:r w:rsidR="00EF003E">
              <w:rPr>
                <w:rFonts w:hint="eastAsia"/>
                <w:lang w:eastAsia="zh-CN"/>
              </w:rPr>
              <w:t>或</w:t>
            </w:r>
            <w:r w:rsidR="00EF003E">
              <w:rPr>
                <w:lang w:eastAsia="zh-CN"/>
              </w:rPr>
              <w:t>其他</w:t>
            </w:r>
            <w:r w:rsidR="00EF003E">
              <w:rPr>
                <w:rFonts w:hint="eastAsia"/>
                <w:lang w:eastAsia="zh-CN"/>
              </w:rPr>
              <w:t>合适</w:t>
            </w:r>
            <w:r w:rsidR="00EF003E">
              <w:rPr>
                <w:lang w:eastAsia="zh-CN"/>
              </w:rPr>
              <w:t>的</w:t>
            </w:r>
            <w:r w:rsidR="00EF003E">
              <w:rPr>
                <w:rFonts w:hint="eastAsia"/>
                <w:lang w:eastAsia="zh-CN"/>
              </w:rPr>
              <w:t>时间开展</w:t>
            </w:r>
            <w:r w:rsidR="00EF003E">
              <w:rPr>
                <w:lang w:eastAsia="zh-CN"/>
              </w:rPr>
              <w:t>培训</w:t>
            </w:r>
            <w:r w:rsidR="00EF003E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并</w:t>
            </w:r>
            <w:r w:rsidR="00EF003E">
              <w:rPr>
                <w:lang w:eastAsia="zh-CN"/>
              </w:rPr>
              <w:t>在</w:t>
            </w:r>
            <w:r w:rsidR="00EF003E">
              <w:rPr>
                <w:rFonts w:hint="eastAsia"/>
                <w:lang w:eastAsia="zh-CN"/>
              </w:rPr>
              <w:t>2022</w:t>
            </w:r>
            <w:r w:rsidR="00EF003E">
              <w:rPr>
                <w:rFonts w:hint="eastAsia"/>
                <w:lang w:eastAsia="zh-CN"/>
              </w:rPr>
              <w:t>年</w:t>
            </w:r>
            <w:r w:rsidR="00EF003E">
              <w:rPr>
                <w:lang w:eastAsia="zh-CN"/>
              </w:rPr>
              <w:t>前</w:t>
            </w:r>
            <w:r w:rsidR="00EF003E">
              <w:rPr>
                <w:rFonts w:hint="eastAsia"/>
                <w:lang w:eastAsia="zh-CN"/>
              </w:rPr>
              <w:t>完成</w:t>
            </w:r>
            <w:r>
              <w:rPr>
                <w:rFonts w:hint="eastAsia"/>
                <w:lang w:eastAsia="zh-CN"/>
              </w:rPr>
              <w:t>此工作</w:t>
            </w:r>
            <w:r w:rsidR="00EF003E">
              <w:rPr>
                <w:rFonts w:hint="eastAsia"/>
                <w:lang w:eastAsia="zh-CN"/>
              </w:rPr>
              <w:t>。</w:t>
            </w:r>
          </w:p>
          <w:p w14:paraId="3DE2C8CE" w14:textId="77777777" w:rsidR="00FE5279" w:rsidRDefault="00FE5279">
            <w:pPr>
              <w:pStyle w:val="Reasons"/>
              <w:rPr>
                <w:lang w:val="en-GB" w:eastAsia="zh-CN"/>
              </w:rPr>
            </w:pPr>
          </w:p>
          <w:p w14:paraId="3399C3D3" w14:textId="5A155540" w:rsidR="00FE5279" w:rsidRDefault="00EF003E" w:rsidP="008A40BD">
            <w:pPr>
              <w:jc w:val="center"/>
              <w:rPr>
                <w:lang w:eastAsia="zh-CN"/>
              </w:rPr>
            </w:pPr>
            <w:r>
              <w:t>______________</w:t>
            </w:r>
          </w:p>
        </w:tc>
      </w:tr>
      <w:tr w:rsidR="00FE5279" w14:paraId="408458CF" w14:textId="77777777" w:rsidTr="008A40BD">
        <w:trPr>
          <w:cantSplit/>
        </w:trPr>
        <w:tc>
          <w:tcPr>
            <w:tcW w:w="9894" w:type="dxa"/>
          </w:tcPr>
          <w:p w14:paraId="164A6EAB" w14:textId="77777777" w:rsidR="00FE5279" w:rsidRDefault="00FE5279">
            <w:pPr>
              <w:tabs>
                <w:tab w:val="left" w:pos="851"/>
                <w:tab w:val="left" w:pos="5670"/>
              </w:tabs>
              <w:spacing w:before="240" w:after="240"/>
              <w:rPr>
                <w:sz w:val="28"/>
                <w:szCs w:val="28"/>
                <w:lang w:val="fr-CH" w:eastAsia="zh-CN"/>
              </w:rPr>
            </w:pPr>
            <w:bookmarkStart w:id="1" w:name="dtitle1" w:colFirst="0" w:colLast="0"/>
            <w:bookmarkEnd w:id="0"/>
          </w:p>
        </w:tc>
      </w:tr>
      <w:bookmarkEnd w:id="1"/>
    </w:tbl>
    <w:p w14:paraId="304FCA01" w14:textId="77777777" w:rsidR="00FE5279" w:rsidRDefault="00FE5279">
      <w:pPr>
        <w:rPr>
          <w:lang w:val="en-US" w:eastAsia="zh-CN"/>
        </w:rPr>
      </w:pPr>
    </w:p>
    <w:sectPr w:rsidR="00FE527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644B" w14:textId="77777777" w:rsidR="00AC79AE" w:rsidRDefault="00AC79AE">
      <w:pPr>
        <w:spacing w:before="0" w:after="0" w:line="240" w:lineRule="auto"/>
      </w:pPr>
      <w:r>
        <w:separator/>
      </w:r>
    </w:p>
  </w:endnote>
  <w:endnote w:type="continuationSeparator" w:id="0">
    <w:p w14:paraId="5C5B2410" w14:textId="77777777" w:rsidR="00AC79AE" w:rsidRDefault="00AC79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E85F" w14:textId="386B1413" w:rsidR="00FE5279" w:rsidRDefault="00AC79AE">
    <w:pPr>
      <w:pStyle w:val="Footer"/>
      <w:rPr>
        <w:lang w:eastAsia="zh-CN"/>
      </w:rPr>
    </w:pPr>
    <w:fldSimple w:instr=" FILENAME \p  \* MERGEFORMAT ">
      <w:r w:rsidR="00EF003E">
        <w:t>P:\CHI\ITU-R\AG\RAG11\RAG-1\000\006C.docx</w:t>
      </w:r>
    </w:fldSimple>
    <w:r w:rsidR="00EF003E">
      <w:rPr>
        <w:rFonts w:hint="eastAsia"/>
        <w:lang w:eastAsia="zh-CN"/>
      </w:rPr>
      <w:t xml:space="preserve"> (301944)</w:t>
    </w:r>
    <w:r w:rsidR="00EF003E">
      <w:tab/>
    </w:r>
    <w:r w:rsidR="00EF003E">
      <w:fldChar w:fldCharType="begin"/>
    </w:r>
    <w:r w:rsidR="00EF003E">
      <w:instrText xml:space="preserve"> SAVEDATE \@ DD.MM.YY </w:instrText>
    </w:r>
    <w:r w:rsidR="00EF003E">
      <w:fldChar w:fldCharType="separate"/>
    </w:r>
    <w:r w:rsidR="009F19D4">
      <w:rPr>
        <w:noProof/>
      </w:rPr>
      <w:t>11.05.20</w:t>
    </w:r>
    <w:r w:rsidR="00EF003E">
      <w:fldChar w:fldCharType="end"/>
    </w:r>
    <w:r w:rsidR="00EF003E">
      <w:tab/>
    </w:r>
    <w:r w:rsidR="00EF003E">
      <w:fldChar w:fldCharType="begin"/>
    </w:r>
    <w:r w:rsidR="00EF003E">
      <w:instrText xml:space="preserve"> PRINTDATE \@ DD.MM.YY </w:instrText>
    </w:r>
    <w:r w:rsidR="00EF003E">
      <w:fldChar w:fldCharType="separate"/>
    </w:r>
    <w:r w:rsidR="00EF003E">
      <w:t>04.05.11</w:t>
    </w:r>
    <w:r w:rsidR="00EF003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1A4D" w14:textId="77777777" w:rsidR="00FE5279" w:rsidRDefault="00AC79AE">
    <w:pPr>
      <w:pStyle w:val="Footer"/>
    </w:pPr>
    <w:fldSimple w:instr=" FILENAME \p  \* MERGEFORMAT ">
      <w:r w:rsidR="00EF003E">
        <w:t>P:\CHI\ITU-R\AG\RAG11\RAG-1\000\006C.docx</w:t>
      </w:r>
    </w:fldSimple>
    <w:r w:rsidR="00EF003E">
      <w:rPr>
        <w:rFonts w:hint="eastAsia"/>
        <w:lang w:eastAsia="zh-CN"/>
      </w:rPr>
      <w:t xml:space="preserve"> ()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86AD" w14:textId="77777777" w:rsidR="00AC79AE" w:rsidRDefault="00AC79AE">
      <w:pPr>
        <w:spacing w:before="0" w:after="0" w:line="240" w:lineRule="auto"/>
      </w:pPr>
      <w:r>
        <w:separator/>
      </w:r>
    </w:p>
  </w:footnote>
  <w:footnote w:type="continuationSeparator" w:id="0">
    <w:p w14:paraId="58EFC066" w14:textId="77777777" w:rsidR="00AC79AE" w:rsidRDefault="00AC79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011A" w14:textId="77777777" w:rsidR="00FE5279" w:rsidRDefault="00EF003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40BD">
      <w:rPr>
        <w:noProof/>
      </w:rPr>
      <w:t>2</w:t>
    </w:r>
    <w:r>
      <w:fldChar w:fldCharType="end"/>
    </w:r>
  </w:p>
  <w:p w14:paraId="566615FD" w14:textId="77777777" w:rsidR="00FE5279" w:rsidRDefault="00EF003E">
    <w:pPr>
      <w:pStyle w:val="Header"/>
      <w:rPr>
        <w:lang w:eastAsia="zh-CN"/>
      </w:rPr>
    </w:pPr>
    <w:r>
      <w:t>RAG</w:t>
    </w:r>
    <w:r>
      <w:rPr>
        <w:lang w:eastAsia="zh-CN"/>
      </w:rPr>
      <w:t>20</w:t>
    </w:r>
    <w:r>
      <w:t>/</w:t>
    </w:r>
    <w:r>
      <w:rPr>
        <w:lang w:eastAsia="zh-CN"/>
      </w:rPr>
      <w:t>xx</w:t>
    </w:r>
    <w:r>
      <w:t>-</w:t>
    </w:r>
    <w:r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1480"/>
    <w:multiLevelType w:val="multilevel"/>
    <w:tmpl w:val="7BA71480"/>
    <w:lvl w:ilvl="0">
      <w:start w:val="1"/>
      <w:numFmt w:val="decimal"/>
      <w:lvlText w:val="%1)"/>
      <w:lvlJc w:val="left"/>
      <w:pPr>
        <w:ind w:left="79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C"/>
    <w:rsid w:val="00013CF3"/>
    <w:rsid w:val="00020106"/>
    <w:rsid w:val="00021007"/>
    <w:rsid w:val="00034C59"/>
    <w:rsid w:val="00062FA4"/>
    <w:rsid w:val="0006614B"/>
    <w:rsid w:val="0007331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D3752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0425"/>
    <w:rsid w:val="002523D7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A7A24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1D95"/>
    <w:rsid w:val="0046370D"/>
    <w:rsid w:val="00465D72"/>
    <w:rsid w:val="00474CCC"/>
    <w:rsid w:val="00491D13"/>
    <w:rsid w:val="00492483"/>
    <w:rsid w:val="00497274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97D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0432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5510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6FA8"/>
    <w:rsid w:val="0075704C"/>
    <w:rsid w:val="00757BB1"/>
    <w:rsid w:val="007669B2"/>
    <w:rsid w:val="00767544"/>
    <w:rsid w:val="00777351"/>
    <w:rsid w:val="00790AC6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0CD0"/>
    <w:rsid w:val="0088263F"/>
    <w:rsid w:val="0088755C"/>
    <w:rsid w:val="008954AA"/>
    <w:rsid w:val="008A40BD"/>
    <w:rsid w:val="008A56A5"/>
    <w:rsid w:val="008B06FC"/>
    <w:rsid w:val="008C1346"/>
    <w:rsid w:val="008C34A4"/>
    <w:rsid w:val="008C7B07"/>
    <w:rsid w:val="008D06A4"/>
    <w:rsid w:val="008E11BE"/>
    <w:rsid w:val="008E67CF"/>
    <w:rsid w:val="008F1F07"/>
    <w:rsid w:val="008F50C1"/>
    <w:rsid w:val="008F60D1"/>
    <w:rsid w:val="00903039"/>
    <w:rsid w:val="0091120B"/>
    <w:rsid w:val="00912356"/>
    <w:rsid w:val="00915949"/>
    <w:rsid w:val="00916A81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208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19D4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C79AE"/>
    <w:rsid w:val="00AD21E9"/>
    <w:rsid w:val="00AD3A14"/>
    <w:rsid w:val="00AD5D1A"/>
    <w:rsid w:val="00AE3B65"/>
    <w:rsid w:val="00AE40E0"/>
    <w:rsid w:val="00AF0B82"/>
    <w:rsid w:val="00B116B5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2B6D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37813"/>
    <w:rsid w:val="00C53641"/>
    <w:rsid w:val="00C60AC9"/>
    <w:rsid w:val="00C77784"/>
    <w:rsid w:val="00C94697"/>
    <w:rsid w:val="00CB2BE8"/>
    <w:rsid w:val="00CB7F4E"/>
    <w:rsid w:val="00CC1C81"/>
    <w:rsid w:val="00CD5803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A4E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5516"/>
    <w:rsid w:val="00E27750"/>
    <w:rsid w:val="00E301FE"/>
    <w:rsid w:val="00E310C8"/>
    <w:rsid w:val="00E32DE7"/>
    <w:rsid w:val="00E331B2"/>
    <w:rsid w:val="00E37220"/>
    <w:rsid w:val="00E37793"/>
    <w:rsid w:val="00E52897"/>
    <w:rsid w:val="00E55989"/>
    <w:rsid w:val="00E56657"/>
    <w:rsid w:val="00E62C6E"/>
    <w:rsid w:val="00E631E0"/>
    <w:rsid w:val="00E85EC6"/>
    <w:rsid w:val="00E91301"/>
    <w:rsid w:val="00E96E00"/>
    <w:rsid w:val="00E979BD"/>
    <w:rsid w:val="00EA1892"/>
    <w:rsid w:val="00EB0ED5"/>
    <w:rsid w:val="00EC640E"/>
    <w:rsid w:val="00ED13A2"/>
    <w:rsid w:val="00ED1F9D"/>
    <w:rsid w:val="00ED5D07"/>
    <w:rsid w:val="00ED70DA"/>
    <w:rsid w:val="00EE44D4"/>
    <w:rsid w:val="00EF003E"/>
    <w:rsid w:val="00EF0218"/>
    <w:rsid w:val="00EF42D3"/>
    <w:rsid w:val="00EF6A54"/>
    <w:rsid w:val="00F1110E"/>
    <w:rsid w:val="00F20743"/>
    <w:rsid w:val="00F349E0"/>
    <w:rsid w:val="00F36311"/>
    <w:rsid w:val="00F36576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73563"/>
    <w:rsid w:val="00F83718"/>
    <w:rsid w:val="00F9582A"/>
    <w:rsid w:val="00FB1E59"/>
    <w:rsid w:val="00FB29A3"/>
    <w:rsid w:val="00FB630E"/>
    <w:rsid w:val="00FC36D2"/>
    <w:rsid w:val="00FC3D94"/>
    <w:rsid w:val="00FD4917"/>
    <w:rsid w:val="00FD4EF3"/>
    <w:rsid w:val="00FD5088"/>
    <w:rsid w:val="00FE5279"/>
    <w:rsid w:val="00FE59D4"/>
    <w:rsid w:val="00FF492C"/>
    <w:rsid w:val="00FF5B6E"/>
    <w:rsid w:val="00FF66BB"/>
    <w:rsid w:val="00FF74E4"/>
    <w:rsid w:val="020F399E"/>
    <w:rsid w:val="6F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20F86"/>
  <w15:docId w15:val="{F43573D7-6D1E-4055-A865-B5F2816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semiHidden/>
  </w:style>
  <w:style w:type="paragraph" w:styleId="TOC2">
    <w:name w:val="toc 2"/>
    <w:basedOn w:val="TOC1"/>
    <w:next w:val="Normal"/>
    <w:semiHidden/>
    <w:pPr>
      <w:spacing w:before="80"/>
      <w:ind w:left="1531" w:hanging="851"/>
    </w:pPr>
  </w:style>
  <w:style w:type="paragraph" w:styleId="TOC1">
    <w:name w:val="toc 1"/>
    <w:basedOn w:val="Normal"/>
    <w:next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TOC6">
    <w:name w:val="toc 6"/>
    <w:basedOn w:val="TOC4"/>
    <w:next w:val="Normal"/>
    <w:semiHidden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60642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qFormat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AnnexNotitle">
    <w:name w:val="Annex_No &amp; title"/>
    <w:basedOn w:val="Normal"/>
    <w:next w:val="Normal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paragraph" w:customStyle="1" w:styleId="Figure">
    <w:name w:val="Figure"/>
    <w:basedOn w:val="Normal"/>
    <w:next w:val="FigureNotitle"/>
    <w:qFormat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qFormat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qFormat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qFormat/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Equation">
    <w:name w:val="Equation"/>
    <w:basedOn w:val="Normal"/>
    <w:qFormat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date">
    <w:name w:val="Rep_date"/>
    <w:basedOn w:val="Recdate"/>
    <w:next w:val="Normal"/>
    <w:qFormat/>
  </w:style>
  <w:style w:type="paragraph" w:customStyle="1" w:styleId="ResNoBR">
    <w:name w:val="Res_No_BR"/>
    <w:basedOn w:val="RecNoBR"/>
    <w:next w:val="Restitle"/>
    <w:qFormat/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link w:val="ResrefChar"/>
    <w:qFormat/>
  </w:style>
  <w:style w:type="paragraph" w:customStyle="1" w:styleId="Resdate">
    <w:name w:val="Res_date"/>
    <w:basedOn w:val="Recdate"/>
    <w:next w:val="Normal"/>
    <w:qFormat/>
  </w:style>
  <w:style w:type="paragraph" w:customStyle="1" w:styleId="Section1">
    <w:name w:val="Section_1"/>
    <w:basedOn w:val="Normal"/>
    <w:next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qFormat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qFormat/>
    <w:rPr>
      <w:b/>
    </w:rPr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</w:style>
  <w:style w:type="paragraph" w:customStyle="1" w:styleId="SectionNo">
    <w:name w:val="Section_No"/>
    <w:basedOn w:val="Normal"/>
    <w:next w:val="Sectiontitle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qFormat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</w:rPr>
  </w:style>
  <w:style w:type="paragraph" w:customStyle="1" w:styleId="Tablelegend">
    <w:name w:val="Table_legend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qFormat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qFormat/>
  </w:style>
  <w:style w:type="paragraph" w:customStyle="1" w:styleId="Title3">
    <w:name w:val="Title 3"/>
    <w:basedOn w:val="Title2"/>
    <w:next w:val="Title4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FiguretitleBR">
    <w:name w:val="Figure_title_BR"/>
    <w:basedOn w:val="TabletitleBR"/>
    <w:next w:val="Figurewithouttitle"/>
    <w:qFormat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qFormat/>
    <w:pPr>
      <w:keepNext/>
      <w:keepLines/>
      <w:spacing w:before="48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qFormat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Heading3Char">
    <w:name w:val="Heading 3 Char"/>
    <w:basedOn w:val="DefaultParagraphFont"/>
    <w:link w:val="Heading3"/>
    <w:semiHidden/>
    <w:qFormat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qFormat/>
    <w:rPr>
      <w:rFonts w:ascii="Courier New" w:hAnsi="Courier New" w:cs="Courier New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qFormat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qFormat/>
    <w:locked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qFormat/>
    <w:locked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qFormat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qFormat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qFormat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Bonnici, Adrienne</cp:lastModifiedBy>
  <cp:revision>2</cp:revision>
  <cp:lastPrinted>2011-05-04T08:20:00Z</cp:lastPrinted>
  <dcterms:created xsi:type="dcterms:W3CDTF">2020-05-11T08:13:00Z</dcterms:created>
  <dcterms:modified xsi:type="dcterms:W3CDTF">2020-05-11T08:13:00Z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KSOProductBuildVer">
    <vt:lpwstr>2052-11.8.2.8411</vt:lpwstr>
  </property>
</Properties>
</file>