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9BD8BC1" w14:textId="77777777" w:rsidTr="00553F66">
        <w:trPr>
          <w:cantSplit/>
          <w:trHeight w:val="20"/>
        </w:trPr>
        <w:tc>
          <w:tcPr>
            <w:tcW w:w="6619" w:type="dxa"/>
          </w:tcPr>
          <w:p w14:paraId="658190C0" w14:textId="77777777" w:rsidR="00A375BD" w:rsidRPr="00136B82" w:rsidRDefault="0057610B" w:rsidP="00136B8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الفريق الاستشاري للاتصالات الراديوية</w:t>
            </w:r>
          </w:p>
          <w:p w14:paraId="369B06AB" w14:textId="77777777" w:rsidR="00280E04" w:rsidRPr="00136B82" w:rsidRDefault="00553F66" w:rsidP="002F3031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553F66">
              <w:rPr>
                <w:rFonts w:hint="cs"/>
                <w:sz w:val="24"/>
                <w:szCs w:val="24"/>
                <w:rtl/>
              </w:rPr>
              <w:t xml:space="preserve">جنيف، </w:t>
            </w:r>
            <w:r w:rsidR="00E26732">
              <w:rPr>
                <w:sz w:val="24"/>
                <w:szCs w:val="24"/>
              </w:rPr>
              <w:t>27-25</w:t>
            </w:r>
            <w:r w:rsidRPr="00553F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26732">
              <w:rPr>
                <w:rFonts w:hint="cs"/>
                <w:sz w:val="24"/>
                <w:szCs w:val="24"/>
                <w:rtl/>
              </w:rPr>
              <w:t>مايو</w:t>
            </w:r>
            <w:r w:rsidRPr="00553F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53F66">
              <w:rPr>
                <w:sz w:val="24"/>
                <w:szCs w:val="24"/>
              </w:rPr>
              <w:t>2020</w:t>
            </w:r>
          </w:p>
        </w:tc>
        <w:tc>
          <w:tcPr>
            <w:tcW w:w="3053" w:type="dxa"/>
          </w:tcPr>
          <w:p w14:paraId="745B9DB1" w14:textId="77777777" w:rsidR="00280E04" w:rsidRDefault="00553F66" w:rsidP="002F3031">
            <w:pPr>
              <w:spacing w:before="0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34267F65" wp14:editId="43F220E1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BB270D1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7A76013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B1DA792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2483085D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79EE79B" w14:textId="77777777" w:rsidR="00280E04" w:rsidRPr="00BD6EF3" w:rsidRDefault="00280E04" w:rsidP="002C02A1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627EB84" w14:textId="77777777" w:rsidR="00280E04" w:rsidRPr="00BD6EF3" w:rsidRDefault="00280E04" w:rsidP="002C02A1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A809E8" w14:paraId="5DC77C0B" w14:textId="77777777" w:rsidTr="00553F66">
        <w:trPr>
          <w:cantSplit/>
        </w:trPr>
        <w:tc>
          <w:tcPr>
            <w:tcW w:w="6619" w:type="dxa"/>
          </w:tcPr>
          <w:p w14:paraId="51E4905B" w14:textId="77777777" w:rsidR="00A809E8" w:rsidRPr="0012545F" w:rsidRDefault="00A809E8" w:rsidP="002C02A1">
            <w:pPr>
              <w:pStyle w:val="Committee"/>
              <w:framePr w:hSpace="0" w:wrap="auto" w:hAnchor="text" w:yAlign="inline"/>
              <w:bidi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882D238" w14:textId="01835BF7" w:rsidR="00A809E8" w:rsidRPr="0012545F" w:rsidRDefault="00A809E8" w:rsidP="002C02A1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 w:rsidR="00553F66">
              <w:t>R</w:t>
            </w:r>
            <w:r w:rsidR="0057610B">
              <w:t>AG</w:t>
            </w:r>
            <w:r w:rsidR="00553F66">
              <w:t>20/</w:t>
            </w:r>
            <w:r w:rsidR="00850A95">
              <w:t>17</w:t>
            </w:r>
            <w:r w:rsidRPr="0012545F">
              <w:t>-A</w:t>
            </w:r>
          </w:p>
        </w:tc>
      </w:tr>
      <w:tr w:rsidR="00A809E8" w14:paraId="69E9DBAB" w14:textId="77777777" w:rsidTr="00553F66">
        <w:trPr>
          <w:cantSplit/>
        </w:trPr>
        <w:tc>
          <w:tcPr>
            <w:tcW w:w="6619" w:type="dxa"/>
          </w:tcPr>
          <w:p w14:paraId="48EE99B2" w14:textId="77777777" w:rsidR="00A809E8" w:rsidRPr="0012545F" w:rsidRDefault="00A809E8" w:rsidP="002C02A1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48B2A7E" w14:textId="3334D821" w:rsidR="00A809E8" w:rsidRPr="0012545F" w:rsidRDefault="00850A95" w:rsidP="002C02A1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>
              <w:t>11</w:t>
            </w:r>
            <w:r w:rsidR="00A809E8" w:rsidRPr="0012545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مايو</w:t>
            </w:r>
            <w:r w:rsidR="00A809E8" w:rsidRPr="0012545F">
              <w:rPr>
                <w:rFonts w:hint="cs"/>
                <w:rtl/>
              </w:rPr>
              <w:t xml:space="preserve"> </w:t>
            </w:r>
            <w:r w:rsidR="002F3031">
              <w:t>2020</w:t>
            </w:r>
          </w:p>
        </w:tc>
      </w:tr>
      <w:tr w:rsidR="00A809E8" w14:paraId="443EEBD0" w14:textId="77777777" w:rsidTr="00553F66">
        <w:trPr>
          <w:cantSplit/>
        </w:trPr>
        <w:tc>
          <w:tcPr>
            <w:tcW w:w="6619" w:type="dxa"/>
          </w:tcPr>
          <w:p w14:paraId="4B9D1C4B" w14:textId="77777777" w:rsidR="00A809E8" w:rsidRPr="0012545F" w:rsidRDefault="00A809E8" w:rsidP="002C02A1">
            <w:pPr>
              <w:pStyle w:val="Adress"/>
              <w:framePr w:hSpace="0" w:wrap="auto" w:xAlign="left" w:yAlign="inline"/>
              <w:spacing w:before="0" w:after="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655335AC" w14:textId="77777777" w:rsidR="00A809E8" w:rsidRPr="0012545F" w:rsidRDefault="00A809E8" w:rsidP="002C02A1">
            <w:pPr>
              <w:pStyle w:val="Adress"/>
              <w:framePr w:hSpace="0" w:wrap="auto" w:xAlign="left" w:yAlign="inline"/>
              <w:spacing w:before="0" w:after="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61FCA6BC" w14:textId="77777777" w:rsidTr="00553F66">
        <w:trPr>
          <w:cantSplit/>
        </w:trPr>
        <w:tc>
          <w:tcPr>
            <w:tcW w:w="9672" w:type="dxa"/>
            <w:gridSpan w:val="2"/>
          </w:tcPr>
          <w:p w14:paraId="3CE96CB8" w14:textId="742AA096" w:rsidR="00764079" w:rsidRPr="00E621A3" w:rsidRDefault="00850A95" w:rsidP="00034B65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اليابان</w:t>
            </w:r>
          </w:p>
        </w:tc>
      </w:tr>
      <w:tr w:rsidR="00764079" w14:paraId="6028701E" w14:textId="77777777" w:rsidTr="00553F66">
        <w:trPr>
          <w:cantSplit/>
        </w:trPr>
        <w:tc>
          <w:tcPr>
            <w:tcW w:w="9672" w:type="dxa"/>
            <w:gridSpan w:val="2"/>
          </w:tcPr>
          <w:p w14:paraId="3495569C" w14:textId="4CF084D6" w:rsidR="00764079" w:rsidRPr="00BD6EF3" w:rsidRDefault="00DC23F7" w:rsidP="0076153A">
            <w:pPr>
              <w:pStyle w:val="Title1"/>
            </w:pPr>
            <w:r>
              <w:rPr>
                <w:rFonts w:hint="cs"/>
                <w:rtl/>
              </w:rPr>
              <w:t>مزي</w:t>
            </w:r>
            <w:r w:rsidR="0062351F">
              <w:rPr>
                <w:rFonts w:hint="cs"/>
                <w:rtl/>
              </w:rPr>
              <w:t>د من التطوير</w:t>
            </w:r>
            <w:r w:rsidR="0076153A" w:rsidRPr="0076153A">
              <w:rPr>
                <w:rtl/>
              </w:rPr>
              <w:t xml:space="preserve"> </w:t>
            </w:r>
            <w:r w:rsidR="00850A95" w:rsidRPr="00651EBF">
              <w:rPr>
                <w:rFonts w:hint="cs"/>
                <w:rtl/>
              </w:rPr>
              <w:t>بموجب</w:t>
            </w:r>
            <w:r w:rsidR="00850A95">
              <w:rPr>
                <w:rFonts w:hint="cs"/>
                <w:rtl/>
              </w:rPr>
              <w:t xml:space="preserve"> القرار </w:t>
            </w:r>
            <w:r w:rsidR="00850A95">
              <w:t>908 (Rev.WRC-15)</w:t>
            </w:r>
          </w:p>
        </w:tc>
      </w:tr>
      <w:tr w:rsidR="0012545F" w14:paraId="70828EF9" w14:textId="77777777" w:rsidTr="00553F66">
        <w:trPr>
          <w:cantSplit/>
        </w:trPr>
        <w:tc>
          <w:tcPr>
            <w:tcW w:w="9672" w:type="dxa"/>
            <w:gridSpan w:val="2"/>
          </w:tcPr>
          <w:p w14:paraId="0A6219C0" w14:textId="572029EF" w:rsidR="0012545F" w:rsidRDefault="00850A95" w:rsidP="00850A95">
            <w:pPr>
              <w:pStyle w:val="Title2"/>
              <w:rPr>
                <w:rtl/>
              </w:rPr>
            </w:pPr>
            <w:r w:rsidRPr="00850A95">
              <w:rPr>
                <w:rtl/>
              </w:rPr>
              <w:t>تقديم بطاقات التبليغ عن الشبكات الساتلية</w:t>
            </w:r>
            <w:r w:rsidR="00783CB6">
              <w:rPr>
                <w:rFonts w:hint="cs"/>
                <w:rtl/>
              </w:rPr>
              <w:t xml:space="preserve"> </w:t>
            </w:r>
            <w:r w:rsidR="00783CB6" w:rsidRPr="00850A95">
              <w:rPr>
                <w:rtl/>
              </w:rPr>
              <w:t xml:space="preserve">إلكترونياً </w:t>
            </w:r>
            <w:r w:rsidRPr="00850A95">
              <w:rPr>
                <w:rtl/>
              </w:rPr>
              <w:t>ونشرها</w:t>
            </w:r>
          </w:p>
        </w:tc>
      </w:tr>
    </w:tbl>
    <w:p w14:paraId="5BB3D773" w14:textId="72420901" w:rsidR="00EE60E9" w:rsidRDefault="00850A95" w:rsidP="00850A95">
      <w:pPr>
        <w:pStyle w:val="Heading1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خلفية</w:t>
      </w:r>
    </w:p>
    <w:p w14:paraId="5946CED8" w14:textId="72925E8E" w:rsidR="0076153A" w:rsidRPr="0076153A" w:rsidRDefault="00850A95" w:rsidP="0076153A">
      <w:pPr>
        <w:rPr>
          <w:rtl/>
          <w:lang w:bidi="ar-EG"/>
        </w:rPr>
      </w:pPr>
      <w:r w:rsidRPr="00EF7330">
        <w:rPr>
          <w:rFonts w:hint="cs"/>
          <w:rtl/>
          <w:lang w:bidi="ar-EG"/>
        </w:rPr>
        <w:t xml:space="preserve">يكلِّف القرار </w:t>
      </w:r>
      <w:r w:rsidRPr="00EF7330">
        <w:rPr>
          <w:lang w:val="fr-CH" w:bidi="ar-EG"/>
        </w:rPr>
        <w:t>908</w:t>
      </w:r>
      <w:r w:rsidRPr="00EF7330">
        <w:rPr>
          <w:lang w:bidi="ar-EG"/>
        </w:rPr>
        <w:t> (</w:t>
      </w:r>
      <w:r w:rsidRPr="00EF7330">
        <w:rPr>
          <w:lang w:val="fr-CH" w:bidi="ar-EG"/>
        </w:rPr>
        <w:t>Rev.WRC-15)</w:t>
      </w:r>
      <w:r w:rsidRPr="00EF7330">
        <w:rPr>
          <w:rFonts w:hint="cs"/>
          <w:rtl/>
          <w:lang w:bidi="ar-EG"/>
        </w:rPr>
        <w:t xml:space="preserve"> مدير مكتب الاتصالات الراديوية بتنفيذ نهج إلكتروني غير ورقي آمن من أجل تقديم بطاقات التبليغ عن الشبكات الساتلية والتعليقات</w:t>
      </w:r>
      <w:r w:rsidR="00783CB6" w:rsidRPr="00783CB6">
        <w:rPr>
          <w:rtl/>
        </w:rPr>
        <w:t xml:space="preserve"> </w:t>
      </w:r>
      <w:r w:rsidR="00783CB6" w:rsidRPr="00850A95">
        <w:rPr>
          <w:rtl/>
        </w:rPr>
        <w:t>إلكترونياً</w:t>
      </w:r>
      <w:r w:rsidR="00783CB6">
        <w:rPr>
          <w:rFonts w:hint="cs"/>
          <w:rtl/>
        </w:rPr>
        <w:t xml:space="preserve"> ونشرها</w:t>
      </w:r>
      <w:r w:rsidRPr="00EF7330">
        <w:rPr>
          <w:rFonts w:hint="cs"/>
          <w:rtl/>
          <w:lang w:bidi="ar-EG"/>
        </w:rPr>
        <w:t>.</w:t>
      </w:r>
      <w:r w:rsidR="004D58EC">
        <w:rPr>
          <w:rFonts w:hint="cs"/>
          <w:rtl/>
          <w:lang w:bidi="ar-EG"/>
        </w:rPr>
        <w:t xml:space="preserve"> وتم الإبقاء على القرار </w:t>
      </w:r>
      <w:r w:rsidR="0062351F">
        <w:rPr>
          <w:rFonts w:hint="cs"/>
          <w:rtl/>
          <w:lang w:bidi="ar-EG"/>
        </w:rPr>
        <w:t>كما كان</w:t>
      </w:r>
      <w:r w:rsidR="0076153A">
        <w:rPr>
          <w:rFonts w:hint="cs"/>
          <w:rtl/>
          <w:lang w:bidi="ar-EG"/>
        </w:rPr>
        <w:t xml:space="preserve"> </w:t>
      </w:r>
      <w:r w:rsidR="0062351F">
        <w:rPr>
          <w:rFonts w:hint="cs"/>
          <w:rtl/>
          <w:lang w:bidi="ar-EG"/>
        </w:rPr>
        <w:t>بعد اختتام</w:t>
      </w:r>
      <w:r w:rsidR="0076153A">
        <w:rPr>
          <w:rFonts w:hint="cs"/>
          <w:rtl/>
          <w:lang w:bidi="ar-EG"/>
        </w:rPr>
        <w:t xml:space="preserve"> المؤتمر العالمي للاتصالات الراديوية لعام </w:t>
      </w:r>
      <w:r w:rsidR="0076153A">
        <w:rPr>
          <w:lang w:val="fr-FR" w:bidi="ar-EG"/>
        </w:rPr>
        <w:t>2019</w:t>
      </w:r>
      <w:r w:rsidR="0076153A">
        <w:rPr>
          <w:rFonts w:hint="cs"/>
          <w:rtl/>
          <w:lang w:bidi="ar-EG"/>
        </w:rPr>
        <w:t xml:space="preserve"> </w:t>
      </w:r>
      <w:r w:rsidR="0076153A">
        <w:rPr>
          <w:lang w:val="fr-FR" w:bidi="ar-EG"/>
        </w:rPr>
        <w:t>(WRC-19)</w:t>
      </w:r>
      <w:r w:rsidR="0076153A">
        <w:rPr>
          <w:rFonts w:hint="cs"/>
          <w:rtl/>
          <w:lang w:bidi="ar-EG"/>
        </w:rPr>
        <w:t>.</w:t>
      </w:r>
    </w:p>
    <w:p w14:paraId="614597C3" w14:textId="27A06610" w:rsidR="00F34262" w:rsidRPr="00F34262" w:rsidRDefault="00F34262" w:rsidP="00F34262">
      <w:pPr>
        <w:rPr>
          <w:rtl/>
          <w:lang w:bidi="ar"/>
        </w:rPr>
      </w:pPr>
      <w:r>
        <w:rPr>
          <w:rFonts w:hint="cs"/>
          <w:rtl/>
          <w:lang w:bidi="ar-EG"/>
        </w:rPr>
        <w:t>و</w:t>
      </w:r>
      <w:r w:rsidR="00850A95" w:rsidRPr="001E344F">
        <w:rPr>
          <w:rFonts w:hint="cs"/>
          <w:rtl/>
          <w:lang w:bidi="ar-EG"/>
        </w:rPr>
        <w:t xml:space="preserve">تدعم إدارة اليابان نشاط مكتب الاتصالات الراديوية من خلال مساهمة طوعية قُدمت منذ مايو </w:t>
      </w:r>
      <w:r w:rsidR="00850A95" w:rsidRPr="001E344F">
        <w:rPr>
          <w:lang w:bidi="ar-EG"/>
        </w:rPr>
        <w:t>2017</w:t>
      </w:r>
      <w:r w:rsidR="00850A95" w:rsidRPr="001E344F">
        <w:rPr>
          <w:rFonts w:hint="cs"/>
          <w:rtl/>
          <w:lang w:bidi="ar-EG"/>
        </w:rPr>
        <w:t xml:space="preserve"> </w:t>
      </w:r>
      <w:r w:rsidR="00850A95">
        <w:rPr>
          <w:rFonts w:hint="cs"/>
          <w:rtl/>
          <w:lang w:bidi="ar-EG"/>
        </w:rPr>
        <w:t>من أجل تنفيذ</w:t>
      </w:r>
      <w:r w:rsidR="00850A95" w:rsidRPr="001E344F">
        <w:rPr>
          <w:rFonts w:hint="cs"/>
          <w:rtl/>
          <w:lang w:bidi="ar-EG"/>
        </w:rPr>
        <w:t xml:space="preserve"> القرار</w:t>
      </w:r>
      <w:r w:rsidR="00850A95">
        <w:rPr>
          <w:rFonts w:hint="eastAsia"/>
          <w:rtl/>
          <w:lang w:bidi="ar-EG"/>
        </w:rPr>
        <w:t> </w:t>
      </w:r>
      <w:r w:rsidR="00850A95" w:rsidRPr="001E344F">
        <w:rPr>
          <w:lang w:val="fr-CH" w:bidi="ar-EG"/>
        </w:rPr>
        <w:t>908</w:t>
      </w:r>
      <w:r w:rsidR="00850A95" w:rsidRPr="001E344F">
        <w:rPr>
          <w:lang w:bidi="ar-EG"/>
        </w:rPr>
        <w:t> (</w:t>
      </w:r>
      <w:r w:rsidR="00850A95" w:rsidRPr="001E344F">
        <w:rPr>
          <w:lang w:val="fr-CH" w:bidi="ar-EG"/>
        </w:rPr>
        <w:t>Rev.WRC</w:t>
      </w:r>
      <w:r w:rsidR="00850A95" w:rsidRPr="001E344F">
        <w:rPr>
          <w:lang w:val="fr-CH" w:bidi="ar-EG"/>
        </w:rPr>
        <w:noBreakHyphen/>
        <w:t>15)</w:t>
      </w:r>
      <w:r w:rsidR="00850A95" w:rsidRPr="001E344F">
        <w:rPr>
          <w:rFonts w:hint="cs"/>
          <w:rtl/>
          <w:lang w:bidi="ar-EG"/>
        </w:rPr>
        <w:t>.</w:t>
      </w:r>
      <w:r w:rsidR="00850A95">
        <w:rPr>
          <w:rFonts w:hint="cs"/>
          <w:rtl/>
          <w:lang w:bidi="ar-EG"/>
        </w:rPr>
        <w:t xml:space="preserve"> </w:t>
      </w:r>
      <w:r w:rsidR="00D0682D">
        <w:rPr>
          <w:rFonts w:hint="cs"/>
          <w:rtl/>
          <w:lang w:bidi="ar"/>
        </w:rPr>
        <w:t>وتُقر</w:t>
      </w:r>
      <w:r w:rsidRPr="00F34262">
        <w:rPr>
          <w:rFonts w:hint="cs"/>
          <w:rtl/>
          <w:lang w:bidi="ar"/>
        </w:rPr>
        <w:t xml:space="preserve"> اليابان ب</w:t>
      </w:r>
      <w:r w:rsidR="00D0682D">
        <w:rPr>
          <w:rFonts w:hint="cs"/>
          <w:rtl/>
          <w:lang w:bidi="ar"/>
        </w:rPr>
        <w:t>ال</w:t>
      </w:r>
      <w:r w:rsidRPr="00F34262">
        <w:rPr>
          <w:rFonts w:hint="cs"/>
          <w:rtl/>
          <w:lang w:bidi="ar"/>
        </w:rPr>
        <w:t xml:space="preserve">تحسينات </w:t>
      </w:r>
      <w:r w:rsidR="00D0682D">
        <w:rPr>
          <w:rFonts w:hint="cs"/>
          <w:rtl/>
          <w:lang w:bidi="ar"/>
        </w:rPr>
        <w:t>ال</w:t>
      </w:r>
      <w:r w:rsidRPr="00F34262">
        <w:rPr>
          <w:rFonts w:hint="cs"/>
          <w:rtl/>
          <w:lang w:bidi="ar"/>
        </w:rPr>
        <w:t xml:space="preserve">كبيرة </w:t>
      </w:r>
      <w:r w:rsidR="00731033">
        <w:rPr>
          <w:rFonts w:hint="cs"/>
          <w:rtl/>
          <w:lang w:bidi="ar"/>
        </w:rPr>
        <w:t xml:space="preserve">التي أُجريت </w:t>
      </w:r>
      <w:r w:rsidR="00D0682D">
        <w:rPr>
          <w:rFonts w:hint="cs"/>
          <w:rtl/>
          <w:lang w:bidi="ar"/>
        </w:rPr>
        <w:t xml:space="preserve">على </w:t>
      </w:r>
      <w:r w:rsidRPr="00F34262">
        <w:rPr>
          <w:rFonts w:hint="cs"/>
          <w:rtl/>
          <w:lang w:bidi="ar"/>
        </w:rPr>
        <w:t xml:space="preserve">مشروع تنفيذ القرار، </w:t>
      </w:r>
      <w:r w:rsidR="00731033">
        <w:rPr>
          <w:rFonts w:hint="cs"/>
          <w:rtl/>
          <w:lang w:bidi="ar"/>
        </w:rPr>
        <w:t>ويرجع ذلك إلى</w:t>
      </w:r>
      <w:r w:rsidRPr="00F34262">
        <w:rPr>
          <w:rFonts w:hint="cs"/>
          <w:rtl/>
          <w:lang w:bidi="ar"/>
        </w:rPr>
        <w:t xml:space="preserve"> الجهود التي يبذلها مكتب الاتصالات الراديوية.</w:t>
      </w:r>
    </w:p>
    <w:p w14:paraId="45DC0A14" w14:textId="340789B8" w:rsidR="00F34262" w:rsidRPr="00F34262" w:rsidRDefault="00D0682D" w:rsidP="00F34262">
      <w:pPr>
        <w:rPr>
          <w:lang w:val="fr-FR" w:bidi="ar-EG"/>
        </w:rPr>
      </w:pPr>
      <w:r>
        <w:rPr>
          <w:rFonts w:hint="cs"/>
          <w:rtl/>
          <w:lang w:bidi="ar"/>
        </w:rPr>
        <w:t>و</w:t>
      </w:r>
      <w:r w:rsidR="00F34262" w:rsidRPr="00F34262">
        <w:rPr>
          <w:rFonts w:hint="cs"/>
          <w:rtl/>
          <w:lang w:bidi="ar"/>
        </w:rPr>
        <w:t xml:space="preserve">في الاجتماع السادس والعشرين للفريق الاستشاري للاتصالات الراديوية في عام 2019، اقترحت اليابان تسهيل </w:t>
      </w:r>
      <w:r>
        <w:rPr>
          <w:rFonts w:hint="cs"/>
          <w:rtl/>
          <w:lang w:bidi="ar"/>
        </w:rPr>
        <w:t>عملية وضع</w:t>
      </w:r>
      <w:r w:rsidR="00F34262" w:rsidRPr="00F34262">
        <w:rPr>
          <w:rFonts w:hint="cs"/>
          <w:rtl/>
          <w:lang w:bidi="ar"/>
        </w:rPr>
        <w:t xml:space="preserve"> نظام أكثر كفاءة</w:t>
      </w:r>
      <w:r>
        <w:rPr>
          <w:rFonts w:hint="cs"/>
          <w:rtl/>
          <w:lang w:bidi="ar"/>
        </w:rPr>
        <w:t>ً</w:t>
      </w:r>
      <w:r w:rsidR="00F34262" w:rsidRPr="00F34262">
        <w:rPr>
          <w:rFonts w:hint="cs"/>
          <w:rtl/>
          <w:lang w:bidi="ar"/>
        </w:rPr>
        <w:t xml:space="preserve">. وفيما يتعلق </w:t>
      </w:r>
      <w:r>
        <w:rPr>
          <w:rFonts w:hint="cs"/>
          <w:rtl/>
          <w:lang w:bidi="ar"/>
        </w:rPr>
        <w:t>بالمقترح</w:t>
      </w:r>
      <w:r w:rsidR="00F34262" w:rsidRPr="00F34262">
        <w:rPr>
          <w:rFonts w:hint="cs"/>
          <w:rtl/>
          <w:lang w:bidi="ar"/>
        </w:rPr>
        <w:t xml:space="preserve"> الذي قدمته اليابان في الاجتماع الأخير للفريق الاستشاري للاتصالات الراديوية، </w:t>
      </w:r>
      <w:r>
        <w:rPr>
          <w:rFonts w:hint="cs"/>
          <w:rtl/>
          <w:lang w:bidi="ar"/>
        </w:rPr>
        <w:t>اُطلق</w:t>
      </w:r>
      <w:r w:rsidR="00F34262" w:rsidRPr="00F34262">
        <w:rPr>
          <w:rFonts w:hint="cs"/>
          <w:rtl/>
          <w:lang w:bidi="ar"/>
        </w:rPr>
        <w:t xml:space="preserve"> نظام جديد للاتصال </w:t>
      </w:r>
      <w:r>
        <w:rPr>
          <w:rFonts w:hint="cs"/>
          <w:rtl/>
          <w:lang w:bidi="ar"/>
        </w:rPr>
        <w:t>الإلكتروني</w:t>
      </w:r>
      <w:r w:rsidR="00F34262" w:rsidRPr="00F34262">
        <w:rPr>
          <w:rFonts w:hint="cs"/>
          <w:rtl/>
          <w:lang w:bidi="ar"/>
        </w:rPr>
        <w:t xml:space="preserve"> </w:t>
      </w:r>
      <w:r w:rsidR="00EE563E">
        <w:rPr>
          <w:rFonts w:hint="cs"/>
          <w:rtl/>
          <w:lang w:bidi="ar"/>
        </w:rPr>
        <w:t>لإتاحة</w:t>
      </w:r>
      <w:r w:rsidR="00EE563E" w:rsidRPr="00F3426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التواصل</w:t>
      </w:r>
      <w:r w:rsidR="00EE563E">
        <w:rPr>
          <w:rFonts w:hint="cs"/>
          <w:rtl/>
          <w:lang w:bidi="ar"/>
        </w:rPr>
        <w:t xml:space="preserve"> الإلكتروني</w:t>
      </w:r>
      <w:r>
        <w:rPr>
          <w:rFonts w:hint="cs"/>
          <w:rtl/>
          <w:lang w:bidi="ar"/>
        </w:rPr>
        <w:t xml:space="preserve"> </w:t>
      </w:r>
      <w:r w:rsidR="00F34262" w:rsidRPr="00F34262">
        <w:rPr>
          <w:rFonts w:hint="cs"/>
          <w:rtl/>
          <w:lang w:bidi="ar"/>
        </w:rPr>
        <w:t>بين الإدارات ومكتب الاتصالات الراديوية، وبين الإدارات</w:t>
      </w:r>
      <w:r w:rsidR="00731033">
        <w:rPr>
          <w:rFonts w:hint="cs"/>
          <w:rtl/>
          <w:lang w:bidi="ar"/>
        </w:rPr>
        <w:t xml:space="preserve"> فيما بينها</w:t>
      </w:r>
      <w:r w:rsidR="00F34262" w:rsidRPr="00F34262">
        <w:rPr>
          <w:rFonts w:hint="cs"/>
          <w:rtl/>
          <w:lang w:bidi="ar"/>
        </w:rPr>
        <w:t>.</w:t>
      </w:r>
    </w:p>
    <w:p w14:paraId="516F0614" w14:textId="198241BE" w:rsidR="00850A95" w:rsidRDefault="00821CE9" w:rsidP="00850A95">
      <w:pPr>
        <w:pStyle w:val="Heading1"/>
        <w:rPr>
          <w:rtl/>
        </w:rPr>
      </w:pPr>
      <w:r>
        <w:t>2</w:t>
      </w:r>
      <w:r w:rsidR="00850A95">
        <w:rPr>
          <w:rtl/>
        </w:rPr>
        <w:tab/>
      </w:r>
      <w:r w:rsidR="00850A95">
        <w:rPr>
          <w:rFonts w:hint="cs"/>
          <w:rtl/>
        </w:rPr>
        <w:t>المقترحات</w:t>
      </w:r>
    </w:p>
    <w:p w14:paraId="32A5DE14" w14:textId="5116AC91" w:rsidR="00AB7D06" w:rsidRPr="002C02A1" w:rsidRDefault="00B14876" w:rsidP="00156417">
      <w:pPr>
        <w:rPr>
          <w:spacing w:val="-4"/>
          <w:rtl/>
          <w:lang w:bidi="ar"/>
        </w:rPr>
      </w:pPr>
      <w:r w:rsidRPr="002C02A1">
        <w:rPr>
          <w:rFonts w:hint="cs"/>
          <w:spacing w:val="-4"/>
          <w:rtl/>
          <w:lang w:bidi="ar"/>
        </w:rPr>
        <w:t>وعلى الرغم من</w:t>
      </w:r>
      <w:r w:rsidR="00AB7D06" w:rsidRPr="002C02A1">
        <w:rPr>
          <w:rFonts w:hint="cs"/>
          <w:spacing w:val="-4"/>
          <w:rtl/>
          <w:lang w:bidi="ar"/>
        </w:rPr>
        <w:t xml:space="preserve"> أن اليابان تُقدر هذه </w:t>
      </w:r>
      <w:r w:rsidR="008C6974" w:rsidRPr="002C02A1">
        <w:rPr>
          <w:rFonts w:hint="cs"/>
          <w:spacing w:val="-4"/>
          <w:rtl/>
          <w:lang w:bidi="ar"/>
        </w:rPr>
        <w:t>التحسينات،</w:t>
      </w:r>
      <w:r w:rsidR="00AB7D06" w:rsidRPr="002C02A1">
        <w:rPr>
          <w:rFonts w:hint="cs"/>
          <w:spacing w:val="-4"/>
          <w:rtl/>
          <w:lang w:bidi="ar"/>
        </w:rPr>
        <w:t xml:space="preserve"> فإن </w:t>
      </w:r>
      <w:r w:rsidR="003229F6" w:rsidRPr="002C02A1">
        <w:rPr>
          <w:rFonts w:hint="cs"/>
          <w:spacing w:val="-4"/>
          <w:rtl/>
          <w:lang w:bidi="ar"/>
        </w:rPr>
        <w:t xml:space="preserve">عملية </w:t>
      </w:r>
      <w:r w:rsidR="00AB7D06" w:rsidRPr="002C02A1">
        <w:rPr>
          <w:rFonts w:hint="cs"/>
          <w:spacing w:val="-4"/>
          <w:rtl/>
          <w:lang w:bidi="ar"/>
        </w:rPr>
        <w:t xml:space="preserve">التطوير ينبغي أن </w:t>
      </w:r>
      <w:r w:rsidR="003229F6" w:rsidRPr="002C02A1">
        <w:rPr>
          <w:rFonts w:hint="cs"/>
          <w:spacing w:val="-4"/>
          <w:rtl/>
          <w:lang w:bidi="ar"/>
        </w:rPr>
        <w:t>ت</w:t>
      </w:r>
      <w:r w:rsidR="00AB7D06" w:rsidRPr="002C02A1">
        <w:rPr>
          <w:rFonts w:hint="cs"/>
          <w:spacing w:val="-4"/>
          <w:rtl/>
          <w:lang w:bidi="ar"/>
        </w:rPr>
        <w:t xml:space="preserve">ستمر إذ </w:t>
      </w:r>
      <w:r w:rsidR="003229F6" w:rsidRPr="002C02A1">
        <w:rPr>
          <w:rFonts w:hint="cs"/>
          <w:spacing w:val="-4"/>
          <w:rtl/>
          <w:lang w:bidi="ar"/>
        </w:rPr>
        <w:t>من المتوقع أن</w:t>
      </w:r>
      <w:r w:rsidR="00AB7D06" w:rsidRPr="002C02A1">
        <w:rPr>
          <w:rFonts w:hint="cs"/>
          <w:spacing w:val="-4"/>
          <w:rtl/>
          <w:lang w:bidi="ar"/>
        </w:rPr>
        <w:t xml:space="preserve"> </w:t>
      </w:r>
      <w:r w:rsidR="00DF0407" w:rsidRPr="002C02A1">
        <w:rPr>
          <w:rFonts w:hint="cs"/>
          <w:spacing w:val="-4"/>
          <w:rtl/>
          <w:lang w:bidi="ar"/>
        </w:rPr>
        <w:t xml:space="preserve">تكون </w:t>
      </w:r>
      <w:r w:rsidR="00AB7D06" w:rsidRPr="002C02A1">
        <w:rPr>
          <w:rFonts w:hint="cs"/>
          <w:spacing w:val="-4"/>
          <w:rtl/>
          <w:lang w:bidi="ar"/>
        </w:rPr>
        <w:t xml:space="preserve">هناك </w:t>
      </w:r>
      <w:r w:rsidR="003229F6" w:rsidRPr="002C02A1">
        <w:rPr>
          <w:rFonts w:hint="cs"/>
          <w:spacing w:val="-4"/>
          <w:rtl/>
          <w:lang w:bidi="ar"/>
        </w:rPr>
        <w:t xml:space="preserve">حاجة إلى إدخال </w:t>
      </w:r>
      <w:r w:rsidR="00AB7D06" w:rsidRPr="002C02A1">
        <w:rPr>
          <w:rFonts w:hint="cs"/>
          <w:spacing w:val="-4"/>
          <w:rtl/>
          <w:lang w:bidi="ar"/>
        </w:rPr>
        <w:t xml:space="preserve">المزيد من التحسينات </w:t>
      </w:r>
      <w:r w:rsidR="00EA470F" w:rsidRPr="002C02A1">
        <w:rPr>
          <w:rFonts w:hint="cs"/>
          <w:spacing w:val="-4"/>
          <w:rtl/>
          <w:lang w:bidi="ar"/>
        </w:rPr>
        <w:t xml:space="preserve">بسرعة </w:t>
      </w:r>
      <w:r w:rsidR="003229F6" w:rsidRPr="002C02A1">
        <w:rPr>
          <w:rFonts w:hint="cs"/>
          <w:spacing w:val="-4"/>
          <w:rtl/>
          <w:lang w:bidi="ar"/>
        </w:rPr>
        <w:t>على</w:t>
      </w:r>
      <w:r w:rsidR="00AB7D06" w:rsidRPr="002C02A1">
        <w:rPr>
          <w:rFonts w:hint="cs"/>
          <w:spacing w:val="-4"/>
          <w:rtl/>
          <w:lang w:bidi="ar"/>
        </w:rPr>
        <w:t xml:space="preserve"> </w:t>
      </w:r>
      <w:r w:rsidR="003229F6" w:rsidRPr="002C02A1">
        <w:rPr>
          <w:rFonts w:hint="cs"/>
          <w:spacing w:val="-4"/>
          <w:rtl/>
          <w:lang w:bidi="ar"/>
        </w:rPr>
        <w:t xml:space="preserve">بعض المجالات </w:t>
      </w:r>
      <w:r w:rsidR="00651EBF" w:rsidRPr="002C02A1">
        <w:rPr>
          <w:rFonts w:hint="cs"/>
          <w:spacing w:val="-4"/>
          <w:rtl/>
          <w:lang w:bidi="ar"/>
        </w:rPr>
        <w:t>بموجب</w:t>
      </w:r>
      <w:r w:rsidR="00AB7D06" w:rsidRPr="002C02A1">
        <w:rPr>
          <w:rFonts w:hint="cs"/>
          <w:spacing w:val="-4"/>
          <w:rtl/>
          <w:lang w:bidi="ar"/>
        </w:rPr>
        <w:t xml:space="preserve"> القرار 908. </w:t>
      </w:r>
      <w:r w:rsidR="001A67E5" w:rsidRPr="002C02A1">
        <w:rPr>
          <w:rFonts w:hint="cs"/>
          <w:spacing w:val="-4"/>
          <w:rtl/>
          <w:lang w:bidi="ar"/>
        </w:rPr>
        <w:t>و</w:t>
      </w:r>
      <w:r w:rsidR="00AB7D06" w:rsidRPr="002C02A1">
        <w:rPr>
          <w:rFonts w:hint="cs"/>
          <w:spacing w:val="-4"/>
          <w:rtl/>
          <w:lang w:bidi="ar"/>
        </w:rPr>
        <w:t xml:space="preserve">على سبيل المثال، اقترحنا </w:t>
      </w:r>
      <w:r w:rsidR="001A67E5" w:rsidRPr="002C02A1">
        <w:rPr>
          <w:rFonts w:hint="cs"/>
          <w:spacing w:val="-4"/>
          <w:rtl/>
          <w:lang w:bidi="ar"/>
        </w:rPr>
        <w:t xml:space="preserve">في الاجتماع الأخير </w:t>
      </w:r>
      <w:r w:rsidR="00156417" w:rsidRPr="002C02A1">
        <w:rPr>
          <w:spacing w:val="-4"/>
          <w:rtl/>
        </w:rPr>
        <w:t>تنفيذ موقع إلكتروني</w:t>
      </w:r>
      <w:r w:rsidR="00DB2D7C" w:rsidRPr="002C02A1">
        <w:rPr>
          <w:rFonts w:hint="cs"/>
          <w:spacing w:val="-4"/>
          <w:rtl/>
        </w:rPr>
        <w:t xml:space="preserve"> حديث</w:t>
      </w:r>
      <w:r w:rsidR="00156417" w:rsidRPr="002C02A1">
        <w:rPr>
          <w:spacing w:val="-4"/>
          <w:rtl/>
        </w:rPr>
        <w:t xml:space="preserve"> للاتحاد يتسم بسهولة الاستعمال فيما يتعلق بالخدمات الفضائية</w:t>
      </w:r>
      <w:r w:rsidR="00AB7D06" w:rsidRPr="002C02A1">
        <w:rPr>
          <w:rFonts w:hint="cs"/>
          <w:spacing w:val="-4"/>
          <w:rtl/>
          <w:lang w:bidi="ar"/>
        </w:rPr>
        <w:t xml:space="preserve">. </w:t>
      </w:r>
      <w:r w:rsidR="00DB2D7C" w:rsidRPr="002C02A1">
        <w:rPr>
          <w:rFonts w:hint="cs"/>
          <w:spacing w:val="-4"/>
          <w:rtl/>
          <w:lang w:bidi="ar"/>
        </w:rPr>
        <w:t>ويتعين</w:t>
      </w:r>
      <w:r w:rsidR="007D5129" w:rsidRPr="002C02A1">
        <w:rPr>
          <w:rFonts w:hint="cs"/>
          <w:spacing w:val="-4"/>
          <w:rtl/>
          <w:lang w:bidi="ar"/>
        </w:rPr>
        <w:t xml:space="preserve"> تنفيذ</w:t>
      </w:r>
      <w:r w:rsidR="00DB2D7C" w:rsidRPr="002C02A1">
        <w:rPr>
          <w:rFonts w:hint="cs"/>
          <w:spacing w:val="-4"/>
          <w:rtl/>
          <w:lang w:bidi="ar"/>
        </w:rPr>
        <w:t xml:space="preserve"> </w:t>
      </w:r>
      <w:r w:rsidR="00AB7D06" w:rsidRPr="002C02A1">
        <w:rPr>
          <w:rFonts w:hint="cs"/>
          <w:spacing w:val="-4"/>
          <w:rtl/>
          <w:lang w:bidi="ar"/>
        </w:rPr>
        <w:t xml:space="preserve">هذا </w:t>
      </w:r>
      <w:r w:rsidR="007D5129" w:rsidRPr="002C02A1">
        <w:rPr>
          <w:rFonts w:hint="cs"/>
          <w:spacing w:val="-4"/>
          <w:rtl/>
          <w:lang w:bidi="ar"/>
        </w:rPr>
        <w:t xml:space="preserve">الموقع </w:t>
      </w:r>
      <w:r w:rsidR="00AB7D06" w:rsidRPr="002C02A1">
        <w:rPr>
          <w:rFonts w:hint="cs"/>
          <w:spacing w:val="-4"/>
          <w:rtl/>
          <w:lang w:bidi="ar"/>
        </w:rPr>
        <w:t xml:space="preserve">على </w:t>
      </w:r>
      <w:r w:rsidR="00156417" w:rsidRPr="002C02A1">
        <w:rPr>
          <w:rFonts w:hint="cs"/>
          <w:spacing w:val="-4"/>
          <w:rtl/>
          <w:lang w:bidi="ar"/>
        </w:rPr>
        <w:t>وجه السرعة</w:t>
      </w:r>
      <w:r w:rsidR="00DF0407" w:rsidRPr="002C02A1">
        <w:rPr>
          <w:rFonts w:hint="cs"/>
          <w:spacing w:val="-4"/>
          <w:rtl/>
          <w:lang w:bidi="ar"/>
        </w:rPr>
        <w:t>.</w:t>
      </w:r>
    </w:p>
    <w:p w14:paraId="204585ED" w14:textId="57C54986" w:rsidR="00AB7D06" w:rsidRPr="00AB7D06" w:rsidRDefault="00156417" w:rsidP="00AB7D06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="00AB7D06" w:rsidRPr="00AB7D06">
        <w:rPr>
          <w:rFonts w:hint="cs"/>
          <w:rtl/>
          <w:lang w:bidi="ar"/>
        </w:rPr>
        <w:t xml:space="preserve">بالإضافة إلى ذلك، تود اليابان أن تشير إلى أن توسيع </w:t>
      </w:r>
      <w:r>
        <w:rPr>
          <w:rFonts w:hint="cs"/>
          <w:rtl/>
          <w:lang w:bidi="ar"/>
        </w:rPr>
        <w:t xml:space="preserve">نطاق </w:t>
      </w:r>
      <w:r w:rsidR="00AB7D06" w:rsidRPr="00AB7D06">
        <w:rPr>
          <w:rFonts w:hint="cs"/>
          <w:rtl/>
          <w:lang w:bidi="ar"/>
        </w:rPr>
        <w:t xml:space="preserve">نظام التقديم </w:t>
      </w:r>
      <w:r>
        <w:rPr>
          <w:rFonts w:hint="cs"/>
          <w:rtl/>
          <w:lang w:bidi="ar"/>
        </w:rPr>
        <w:t>الإلكتروني</w:t>
      </w:r>
      <w:r w:rsidR="00AB7D06" w:rsidRPr="00AB7D06">
        <w:rPr>
          <w:rFonts w:hint="cs"/>
          <w:rtl/>
          <w:lang w:bidi="ar"/>
        </w:rPr>
        <w:t xml:space="preserve"> </w:t>
      </w:r>
      <w:r w:rsidR="00DF0407">
        <w:rPr>
          <w:rFonts w:hint="cs"/>
          <w:rtl/>
          <w:lang w:bidi="ar"/>
        </w:rPr>
        <w:t>المُطور</w:t>
      </w:r>
      <w:r>
        <w:rPr>
          <w:rFonts w:hint="cs"/>
          <w:rtl/>
          <w:lang w:bidi="ar"/>
        </w:rPr>
        <w:t xml:space="preserve"> </w:t>
      </w:r>
      <w:r w:rsidR="007D5129">
        <w:rPr>
          <w:rFonts w:hint="cs"/>
          <w:rtl/>
          <w:lang w:bidi="ar"/>
        </w:rPr>
        <w:t xml:space="preserve">ومواصلة </w:t>
      </w:r>
      <w:r w:rsidR="00AB7D06" w:rsidRPr="00AB7D06">
        <w:rPr>
          <w:rFonts w:hint="cs"/>
          <w:rtl/>
          <w:lang w:bidi="ar"/>
        </w:rPr>
        <w:t xml:space="preserve">تطوير أدوات تكنولوجيا المعلومات </w:t>
      </w:r>
      <w:r>
        <w:rPr>
          <w:rFonts w:hint="cs"/>
          <w:rtl/>
          <w:lang w:bidi="ar"/>
        </w:rPr>
        <w:t>أم</w:t>
      </w:r>
      <w:r w:rsidR="00DF0407">
        <w:rPr>
          <w:rFonts w:hint="cs"/>
          <w:rtl/>
          <w:lang w:bidi="ar"/>
        </w:rPr>
        <w:t>ران</w:t>
      </w:r>
      <w:r>
        <w:rPr>
          <w:rFonts w:hint="cs"/>
          <w:rtl/>
          <w:lang w:bidi="ar"/>
        </w:rPr>
        <w:t xml:space="preserve"> </w:t>
      </w:r>
      <w:r w:rsidR="00AB7D06" w:rsidRPr="00AB7D06">
        <w:rPr>
          <w:rFonts w:hint="cs"/>
          <w:rtl/>
          <w:lang w:bidi="ar"/>
        </w:rPr>
        <w:t>فع</w:t>
      </w:r>
      <w:r w:rsidR="003645DE">
        <w:rPr>
          <w:rFonts w:hint="cs"/>
          <w:rtl/>
          <w:lang w:bidi="ar"/>
        </w:rPr>
        <w:t>ّ</w:t>
      </w:r>
      <w:r w:rsidR="00AB7D06" w:rsidRPr="00AB7D06">
        <w:rPr>
          <w:rFonts w:hint="cs"/>
          <w:rtl/>
          <w:lang w:bidi="ar"/>
        </w:rPr>
        <w:t>ال</w:t>
      </w:r>
      <w:r w:rsidR="00DF0407">
        <w:rPr>
          <w:rFonts w:hint="cs"/>
          <w:rtl/>
          <w:lang w:bidi="ar"/>
        </w:rPr>
        <w:t>ان</w:t>
      </w:r>
      <w:r w:rsidR="00AB7D06" w:rsidRPr="00AB7D06">
        <w:rPr>
          <w:rFonts w:hint="cs"/>
          <w:rtl/>
          <w:lang w:bidi="ar"/>
        </w:rPr>
        <w:t xml:space="preserve"> لجعل عملية التنسيق الساتلي بأكملها، بما في ذلك عمليات ال</w:t>
      </w:r>
      <w:r>
        <w:rPr>
          <w:rFonts w:hint="cs"/>
          <w:rtl/>
          <w:lang w:bidi="ar"/>
        </w:rPr>
        <w:t>ت</w:t>
      </w:r>
      <w:r w:rsidR="00AB7D06" w:rsidRPr="00AB7D06">
        <w:rPr>
          <w:rFonts w:hint="cs"/>
          <w:rtl/>
          <w:lang w:bidi="ar"/>
        </w:rPr>
        <w:t xml:space="preserve">فحص والنشر التي يجريها مكتب الاتصالات </w:t>
      </w:r>
      <w:r w:rsidR="00651EBF" w:rsidRPr="00AB7D06">
        <w:rPr>
          <w:rFonts w:hint="cs"/>
          <w:rtl/>
          <w:lang w:bidi="ar"/>
        </w:rPr>
        <w:t>الراديوية،</w:t>
      </w:r>
      <w:r w:rsidR="00AB7D06" w:rsidRPr="00AB7D06">
        <w:rPr>
          <w:rFonts w:hint="cs"/>
          <w:rtl/>
          <w:lang w:bidi="ar"/>
        </w:rPr>
        <w:t xml:space="preserve"> أكثر كفاءة</w:t>
      </w:r>
      <w:r>
        <w:rPr>
          <w:rFonts w:hint="cs"/>
          <w:rtl/>
          <w:lang w:bidi="ar"/>
        </w:rPr>
        <w:t>ً</w:t>
      </w:r>
      <w:r w:rsidR="00AB7D06" w:rsidRPr="00AB7D06">
        <w:rPr>
          <w:rFonts w:hint="cs"/>
          <w:rtl/>
          <w:lang w:bidi="ar"/>
        </w:rPr>
        <w:t xml:space="preserve"> وسرعة</w:t>
      </w:r>
      <w:r>
        <w:rPr>
          <w:rFonts w:hint="cs"/>
          <w:rtl/>
          <w:lang w:bidi="ar"/>
        </w:rPr>
        <w:t>ً</w:t>
      </w:r>
      <w:r w:rsidR="00AB7D06" w:rsidRPr="00AB7D06">
        <w:rPr>
          <w:rFonts w:hint="cs"/>
          <w:rtl/>
          <w:lang w:bidi="ar"/>
        </w:rPr>
        <w:t>.</w:t>
      </w:r>
    </w:p>
    <w:p w14:paraId="262F94B7" w14:textId="41168103" w:rsidR="00AB7D06" w:rsidRPr="00AB7D06" w:rsidRDefault="00156417" w:rsidP="00651EBF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="00AB7D06" w:rsidRPr="00AB7D06">
        <w:rPr>
          <w:rFonts w:hint="cs"/>
          <w:rtl/>
          <w:lang w:bidi="ar"/>
        </w:rPr>
        <w:t xml:space="preserve">نود </w:t>
      </w:r>
      <w:r>
        <w:rPr>
          <w:rFonts w:hint="cs"/>
          <w:rtl/>
          <w:lang w:bidi="ar"/>
        </w:rPr>
        <w:t xml:space="preserve">أيضاً </w:t>
      </w:r>
      <w:r w:rsidR="00AB7D06" w:rsidRPr="00AB7D06">
        <w:rPr>
          <w:rFonts w:hint="cs"/>
          <w:rtl/>
          <w:lang w:bidi="ar"/>
        </w:rPr>
        <w:t xml:space="preserve">أن نسترعي انتباه مكتب الاتصالات الراديوية إلى أهمية الربط بين نظام التقديم </w:t>
      </w:r>
      <w:r>
        <w:rPr>
          <w:rFonts w:hint="cs"/>
          <w:rtl/>
          <w:lang w:bidi="ar"/>
        </w:rPr>
        <w:t>الإلكتروني</w:t>
      </w:r>
      <w:r w:rsidR="00AB7D06" w:rsidRPr="00AB7D06">
        <w:rPr>
          <w:rFonts w:hint="cs"/>
          <w:rtl/>
          <w:lang w:bidi="ar"/>
        </w:rPr>
        <w:t xml:space="preserve"> الذي </w:t>
      </w:r>
      <w:r w:rsidR="00467B49">
        <w:rPr>
          <w:rFonts w:hint="cs"/>
          <w:rtl/>
          <w:lang w:bidi="ar"/>
        </w:rPr>
        <w:t>وضع</w:t>
      </w:r>
      <w:r w:rsidR="00AB7D06" w:rsidRPr="00AB7D06">
        <w:rPr>
          <w:rFonts w:hint="cs"/>
          <w:rtl/>
          <w:lang w:bidi="ar"/>
        </w:rPr>
        <w:t xml:space="preserve"> بموجب القرار</w:t>
      </w:r>
      <w:r w:rsidR="00BA31BB">
        <w:rPr>
          <w:rFonts w:hint="eastAsia"/>
          <w:rtl/>
          <w:lang w:bidi="ar"/>
        </w:rPr>
        <w:t> </w:t>
      </w:r>
      <w:r w:rsidR="00AB7D06" w:rsidRPr="00AB7D06">
        <w:rPr>
          <w:rFonts w:hint="cs"/>
          <w:rtl/>
          <w:lang w:bidi="ar"/>
        </w:rPr>
        <w:t xml:space="preserve">908 ونظام الاتصال </w:t>
      </w:r>
      <w:r>
        <w:rPr>
          <w:rFonts w:hint="cs"/>
          <w:rtl/>
          <w:lang w:bidi="ar"/>
        </w:rPr>
        <w:t>الإلكتروني</w:t>
      </w:r>
      <w:r w:rsidR="00AB7D06" w:rsidRPr="00AB7D06">
        <w:rPr>
          <w:rFonts w:hint="cs"/>
          <w:rtl/>
          <w:lang w:bidi="ar"/>
        </w:rPr>
        <w:t xml:space="preserve"> الذي </w:t>
      </w:r>
      <w:r w:rsidR="00467B49">
        <w:rPr>
          <w:rFonts w:hint="cs"/>
          <w:rtl/>
          <w:lang w:bidi="ar"/>
        </w:rPr>
        <w:t>وضع</w:t>
      </w:r>
      <w:r w:rsidRPr="00AB7D06">
        <w:rPr>
          <w:rFonts w:hint="cs"/>
          <w:rtl/>
          <w:lang w:bidi="ar"/>
        </w:rPr>
        <w:t xml:space="preserve"> </w:t>
      </w:r>
      <w:r w:rsidR="00AB7D06" w:rsidRPr="00AB7D06">
        <w:rPr>
          <w:rFonts w:hint="cs"/>
          <w:rtl/>
          <w:lang w:bidi="ar"/>
        </w:rPr>
        <w:t>بموجب القرار (</w:t>
      </w:r>
      <w:r w:rsidR="00AB7D06" w:rsidRPr="00AB7D06">
        <w:rPr>
          <w:rFonts w:hint="cs"/>
          <w:lang w:val="fr-FR" w:bidi="ar-EG"/>
        </w:rPr>
        <w:t>Rev.WRC-15</w:t>
      </w:r>
      <w:r w:rsidR="00AB7D06" w:rsidRPr="00AB7D06">
        <w:rPr>
          <w:rFonts w:hint="cs"/>
          <w:rtl/>
          <w:lang w:bidi="ar"/>
        </w:rPr>
        <w:t xml:space="preserve">) </w:t>
      </w:r>
      <w:r w:rsidRPr="00AB7D06">
        <w:rPr>
          <w:rFonts w:hint="cs"/>
          <w:rtl/>
          <w:lang w:bidi="ar"/>
        </w:rPr>
        <w:t xml:space="preserve">907 </w:t>
      </w:r>
      <w:r w:rsidR="00AB7D06" w:rsidRPr="00AB7D06">
        <w:rPr>
          <w:rFonts w:hint="cs"/>
          <w:rtl/>
          <w:lang w:bidi="ar"/>
        </w:rPr>
        <w:t xml:space="preserve">والذي </w:t>
      </w:r>
      <w:r>
        <w:rPr>
          <w:rFonts w:hint="cs"/>
          <w:rtl/>
          <w:lang w:bidi="ar"/>
        </w:rPr>
        <w:t>يكلف</w:t>
      </w:r>
      <w:r w:rsidR="00AB7D06" w:rsidRPr="00AB7D06">
        <w:rPr>
          <w:rFonts w:hint="cs"/>
          <w:rtl/>
          <w:lang w:bidi="ar"/>
        </w:rPr>
        <w:t xml:space="preserve"> مكتب الاتصالات الراديوية </w:t>
      </w:r>
      <w:r w:rsidRPr="00156417">
        <w:rPr>
          <w:rtl/>
        </w:rPr>
        <w:t>بتزويد الإدارات بالوسائل التقنية اللازمة لضمان أن تكون المراسلات الإلكترونية حديثة</w:t>
      </w:r>
      <w:r w:rsidR="00651EBF">
        <w:rPr>
          <w:rFonts w:hint="cs"/>
          <w:rtl/>
        </w:rPr>
        <w:t>ً ومأمونةً</w:t>
      </w:r>
      <w:r w:rsidR="00AB7D06" w:rsidRPr="00AB7D06">
        <w:rPr>
          <w:rFonts w:hint="cs"/>
          <w:rtl/>
          <w:lang w:bidi="ar"/>
        </w:rPr>
        <w:t>. وت</w:t>
      </w:r>
      <w:r w:rsidR="00651EBF">
        <w:rPr>
          <w:rFonts w:hint="cs"/>
          <w:rtl/>
          <w:lang w:bidi="ar"/>
        </w:rPr>
        <w:t>رى</w:t>
      </w:r>
      <w:r w:rsidR="00AB7D06" w:rsidRPr="00AB7D06">
        <w:rPr>
          <w:rFonts w:hint="cs"/>
          <w:rtl/>
          <w:lang w:bidi="ar"/>
        </w:rPr>
        <w:t xml:space="preserve"> اليابان أن النظام الإلكتروني المتكامل </w:t>
      </w:r>
      <w:r w:rsidR="00651EBF">
        <w:rPr>
          <w:rFonts w:hint="cs"/>
          <w:rtl/>
          <w:lang w:bidi="ar"/>
        </w:rPr>
        <w:t>المرتبط</w:t>
      </w:r>
      <w:r w:rsidR="00AB7D06" w:rsidRPr="00AB7D06">
        <w:rPr>
          <w:rFonts w:hint="cs"/>
          <w:rtl/>
          <w:lang w:bidi="ar"/>
        </w:rPr>
        <w:t xml:space="preserve"> بالخدمات الفضائية بموجب القرارين سيسه</w:t>
      </w:r>
      <w:r w:rsidR="00651EBF">
        <w:rPr>
          <w:rFonts w:hint="cs"/>
          <w:rtl/>
          <w:lang w:bidi="ar"/>
        </w:rPr>
        <w:t>ّ</w:t>
      </w:r>
      <w:r w:rsidR="00AB7D06" w:rsidRPr="00AB7D06">
        <w:rPr>
          <w:rFonts w:hint="cs"/>
          <w:rtl/>
          <w:lang w:bidi="ar"/>
        </w:rPr>
        <w:t xml:space="preserve">ل عملية التنسيق الساتلي </w:t>
      </w:r>
      <w:r w:rsidR="00651EBF" w:rsidRPr="00651EBF">
        <w:rPr>
          <w:rtl/>
        </w:rPr>
        <w:t>على نحو أسرع وأكثر كفاءة</w:t>
      </w:r>
      <w:r w:rsidR="00467B49">
        <w:rPr>
          <w:rFonts w:hint="cs"/>
          <w:rtl/>
        </w:rPr>
        <w:t>ً</w:t>
      </w:r>
      <w:r w:rsidR="00651EBF">
        <w:rPr>
          <w:rFonts w:hint="cs"/>
          <w:rtl/>
        </w:rPr>
        <w:t xml:space="preserve"> </w:t>
      </w:r>
      <w:r w:rsidR="00AB7D06" w:rsidRPr="00AB7D06">
        <w:rPr>
          <w:rFonts w:hint="cs"/>
          <w:rtl/>
          <w:lang w:bidi="ar"/>
        </w:rPr>
        <w:t>للإدارات ومكتب الاتصالات الراديوية</w:t>
      </w:r>
      <w:r w:rsidR="00651EBF">
        <w:rPr>
          <w:rFonts w:hint="cs"/>
          <w:rtl/>
          <w:lang w:bidi="ar"/>
        </w:rPr>
        <w:t xml:space="preserve"> على السواء</w:t>
      </w:r>
      <w:r w:rsidR="00AB7D06" w:rsidRPr="00AB7D06">
        <w:rPr>
          <w:rFonts w:hint="cs"/>
          <w:rtl/>
          <w:lang w:bidi="ar"/>
        </w:rPr>
        <w:t>.</w:t>
      </w:r>
    </w:p>
    <w:p w14:paraId="0A68EC21" w14:textId="1CD9BF39" w:rsidR="00AB7D06" w:rsidRPr="002C02A1" w:rsidRDefault="00651EBF" w:rsidP="00AB7D06">
      <w:pPr>
        <w:rPr>
          <w:lang w:val="fr-FR" w:bidi="ar-EG"/>
        </w:rPr>
      </w:pPr>
      <w:r w:rsidRPr="002C02A1">
        <w:rPr>
          <w:rFonts w:hint="cs"/>
          <w:rtl/>
          <w:lang w:bidi="ar"/>
        </w:rPr>
        <w:t>و</w:t>
      </w:r>
      <w:r w:rsidR="00AB7D06" w:rsidRPr="002C02A1">
        <w:rPr>
          <w:rFonts w:hint="cs"/>
          <w:rtl/>
          <w:lang w:bidi="ar"/>
        </w:rPr>
        <w:t xml:space="preserve">في </w:t>
      </w:r>
      <w:r w:rsidRPr="002C02A1">
        <w:rPr>
          <w:rFonts w:hint="cs"/>
          <w:rtl/>
          <w:lang w:bidi="ar"/>
        </w:rPr>
        <w:t>الختام،</w:t>
      </w:r>
      <w:r w:rsidR="00AB7D06" w:rsidRPr="002C02A1">
        <w:rPr>
          <w:rFonts w:hint="cs"/>
          <w:rtl/>
          <w:lang w:bidi="ar"/>
        </w:rPr>
        <w:t xml:space="preserve"> تطلب اليابان من مكتب الاتصالات الراديوية مواصلة </w:t>
      </w:r>
      <w:r w:rsidRPr="002C02A1">
        <w:rPr>
          <w:rFonts w:hint="cs"/>
          <w:rtl/>
          <w:lang w:bidi="ar"/>
        </w:rPr>
        <w:t xml:space="preserve">إجراء </w:t>
      </w:r>
      <w:r w:rsidR="00AB7D06" w:rsidRPr="002C02A1">
        <w:rPr>
          <w:rFonts w:hint="cs"/>
          <w:rtl/>
          <w:lang w:bidi="ar"/>
        </w:rPr>
        <w:t>عمليات</w:t>
      </w:r>
      <w:r w:rsidR="00D35938" w:rsidRPr="002C02A1">
        <w:rPr>
          <w:rFonts w:hint="cs"/>
          <w:rtl/>
        </w:rPr>
        <w:t xml:space="preserve"> مستقرة</w:t>
      </w:r>
      <w:r w:rsidR="00AB7D06" w:rsidRPr="002C02A1">
        <w:rPr>
          <w:rFonts w:hint="cs"/>
          <w:rtl/>
          <w:lang w:bidi="ar"/>
        </w:rPr>
        <w:t xml:space="preserve"> و</w:t>
      </w:r>
      <w:r w:rsidR="00D35938" w:rsidRPr="002C02A1">
        <w:rPr>
          <w:rFonts w:hint="cs"/>
          <w:rtl/>
          <w:lang w:bidi="ar"/>
        </w:rPr>
        <w:t>مواصلة ال</w:t>
      </w:r>
      <w:r w:rsidR="00AB7D06" w:rsidRPr="002C02A1">
        <w:rPr>
          <w:rFonts w:hint="cs"/>
          <w:rtl/>
          <w:lang w:bidi="ar"/>
        </w:rPr>
        <w:t>تحسين</w:t>
      </w:r>
      <w:r w:rsidR="00D35938" w:rsidRPr="002C02A1">
        <w:rPr>
          <w:rFonts w:hint="cs"/>
          <w:rtl/>
          <w:lang w:bidi="ar"/>
        </w:rPr>
        <w:t xml:space="preserve"> والتطوير </w:t>
      </w:r>
      <w:r w:rsidR="00AB7D06" w:rsidRPr="002C02A1">
        <w:rPr>
          <w:rFonts w:hint="cs"/>
          <w:rtl/>
          <w:lang w:bidi="ar"/>
        </w:rPr>
        <w:t>بموجب القرار</w:t>
      </w:r>
      <w:r w:rsidR="002C02A1" w:rsidRPr="002C02A1">
        <w:rPr>
          <w:rFonts w:hint="eastAsia"/>
          <w:rtl/>
          <w:lang w:bidi="ar"/>
        </w:rPr>
        <w:t> </w:t>
      </w:r>
      <w:r w:rsidR="00AB7D06" w:rsidRPr="002C02A1">
        <w:rPr>
          <w:rFonts w:hint="cs"/>
          <w:rtl/>
          <w:lang w:bidi="ar"/>
        </w:rPr>
        <w:t>908، مع مراعاة الطلبات التي اقترحناها أعلاه حتى تتمكن الدول الأعضاء من استخدام المدارات الساتلية والترددات الراديوية بكفاءة.</w:t>
      </w:r>
    </w:p>
    <w:p w14:paraId="27138D75" w14:textId="77777777" w:rsidR="0039465C" w:rsidRPr="0039465C" w:rsidRDefault="0039465C" w:rsidP="002C02A1">
      <w:pPr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E3B6A" w14:textId="77777777" w:rsidR="00C46741" w:rsidRDefault="00C46741" w:rsidP="002919E1">
      <w:r>
        <w:separator/>
      </w:r>
    </w:p>
    <w:p w14:paraId="764A0235" w14:textId="77777777" w:rsidR="00C46741" w:rsidRDefault="00C46741" w:rsidP="002919E1"/>
    <w:p w14:paraId="1043AE02" w14:textId="77777777" w:rsidR="00C46741" w:rsidRDefault="00C46741" w:rsidP="002919E1"/>
    <w:p w14:paraId="0F7734DB" w14:textId="77777777" w:rsidR="00C46741" w:rsidRDefault="00C46741"/>
  </w:endnote>
  <w:endnote w:type="continuationSeparator" w:id="0">
    <w:p w14:paraId="314B0DAC" w14:textId="77777777" w:rsidR="00C46741" w:rsidRDefault="00C46741" w:rsidP="002919E1">
      <w:r>
        <w:continuationSeparator/>
      </w:r>
    </w:p>
    <w:p w14:paraId="2758470B" w14:textId="77777777" w:rsidR="00C46741" w:rsidRDefault="00C46741" w:rsidP="002919E1"/>
    <w:p w14:paraId="00AA3662" w14:textId="77777777" w:rsidR="00C46741" w:rsidRDefault="00C46741" w:rsidP="002919E1"/>
    <w:p w14:paraId="1CF508B9" w14:textId="77777777" w:rsidR="00C46741" w:rsidRDefault="00C46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41DDC" w14:textId="71451B00" w:rsidR="00281F5F" w:rsidRPr="0012545F" w:rsidRDefault="0012545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C02A1">
      <w:rPr>
        <w:noProof/>
      </w:rPr>
      <w:t>P:\ARA\ITU-R\AG\RAG\RAG20\000\017A.docx</w:t>
    </w:r>
    <w:r>
      <w:fldChar w:fldCharType="end"/>
    </w:r>
    <w:proofErr w:type="gramStart"/>
    <w:r w:rsidRPr="00A809E8">
      <w:t xml:space="preserve">   (</w:t>
    </w:r>
    <w:proofErr w:type="gramEnd"/>
    <w:r w:rsidR="00E34920">
      <w:t>471064</w:t>
    </w:r>
    <w:r w:rsidRPr="00A809E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401D5" w14:textId="1BA351AF" w:rsidR="00281F5F" w:rsidRPr="00A809E8" w:rsidRDefault="00281F5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C02A1">
      <w:rPr>
        <w:noProof/>
      </w:rPr>
      <w:t>P:\ARA\ITU-R\AG\RAG\RAG20\000\017A.docx</w:t>
    </w:r>
    <w:r>
      <w:fldChar w:fldCharType="end"/>
    </w:r>
    <w:proofErr w:type="gramStart"/>
    <w:r w:rsidRPr="00A809E8">
      <w:t xml:space="preserve">   (</w:t>
    </w:r>
    <w:proofErr w:type="gramEnd"/>
    <w:r w:rsidR="00850A95">
      <w:t>471064</w:t>
    </w:r>
    <w:r w:rsidRPr="00A80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433C0" w14:textId="77777777" w:rsidR="00C46741" w:rsidRDefault="00C46741" w:rsidP="002919E1">
      <w:r>
        <w:t>___________________</w:t>
      </w:r>
    </w:p>
  </w:footnote>
  <w:footnote w:type="continuationSeparator" w:id="0">
    <w:p w14:paraId="6AFFBCE7" w14:textId="77777777" w:rsidR="00C46741" w:rsidRDefault="00C46741" w:rsidP="002919E1">
      <w:r>
        <w:continuationSeparator/>
      </w:r>
    </w:p>
    <w:p w14:paraId="6FFEE95E" w14:textId="77777777" w:rsidR="00C46741" w:rsidRDefault="00C46741" w:rsidP="002919E1"/>
    <w:p w14:paraId="214BBA4E" w14:textId="77777777" w:rsidR="00C46741" w:rsidRDefault="00C46741" w:rsidP="002919E1"/>
    <w:p w14:paraId="7136FF40" w14:textId="77777777" w:rsidR="00C46741" w:rsidRDefault="00C467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865EE" w14:textId="77777777" w:rsidR="00281F5F" w:rsidRDefault="00281F5F" w:rsidP="002919E1"/>
  <w:p w14:paraId="756B11EE" w14:textId="77777777" w:rsidR="00281F5F" w:rsidRDefault="00281F5F" w:rsidP="002919E1"/>
  <w:p w14:paraId="279BD9B0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24E23" w14:textId="6A0EE4D1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</w:t>
    </w:r>
    <w:r w:rsidR="0057610B">
      <w:rPr>
        <w:rStyle w:val="PageNumber"/>
      </w:rPr>
      <w:t>AG</w:t>
    </w:r>
    <w:r w:rsidR="002F3031">
      <w:rPr>
        <w:rStyle w:val="PageNumber"/>
      </w:rPr>
      <w:t>20</w:t>
    </w:r>
    <w:r w:rsidR="00A809E8">
      <w:rPr>
        <w:rStyle w:val="PageNumber"/>
      </w:rPr>
      <w:t>/</w:t>
    </w:r>
    <w:r w:rsidR="00E34920">
      <w:rPr>
        <w:rStyle w:val="PageNumber"/>
      </w:rPr>
      <w:t>17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DC9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2E06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1495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6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4CA5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41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56417"/>
    <w:rsid w:val="00167364"/>
    <w:rsid w:val="001903B2"/>
    <w:rsid w:val="001A67E5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C02A1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229F6"/>
    <w:rsid w:val="0033737F"/>
    <w:rsid w:val="00351436"/>
    <w:rsid w:val="00353652"/>
    <w:rsid w:val="003569E1"/>
    <w:rsid w:val="003645DE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425F3"/>
    <w:rsid w:val="004636E2"/>
    <w:rsid w:val="00467B49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D58EC"/>
    <w:rsid w:val="004F0BED"/>
    <w:rsid w:val="00505FCA"/>
    <w:rsid w:val="00510C2D"/>
    <w:rsid w:val="00516042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67F38"/>
    <w:rsid w:val="005730DF"/>
    <w:rsid w:val="0057610B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2351F"/>
    <w:rsid w:val="00630905"/>
    <w:rsid w:val="006315B5"/>
    <w:rsid w:val="00651EBF"/>
    <w:rsid w:val="0065562F"/>
    <w:rsid w:val="006577C0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1FCE"/>
    <w:rsid w:val="006D2674"/>
    <w:rsid w:val="006E38D0"/>
    <w:rsid w:val="006E465B"/>
    <w:rsid w:val="006F70BF"/>
    <w:rsid w:val="00716B1D"/>
    <w:rsid w:val="007248EC"/>
    <w:rsid w:val="00726744"/>
    <w:rsid w:val="00731033"/>
    <w:rsid w:val="00731150"/>
    <w:rsid w:val="007315F6"/>
    <w:rsid w:val="00734E41"/>
    <w:rsid w:val="007351CE"/>
    <w:rsid w:val="00736DCC"/>
    <w:rsid w:val="00741855"/>
    <w:rsid w:val="00741DFC"/>
    <w:rsid w:val="00742B73"/>
    <w:rsid w:val="00751251"/>
    <w:rsid w:val="007610E7"/>
    <w:rsid w:val="0076153A"/>
    <w:rsid w:val="00764079"/>
    <w:rsid w:val="00770AA0"/>
    <w:rsid w:val="00771F7E"/>
    <w:rsid w:val="00773E9C"/>
    <w:rsid w:val="00776F6B"/>
    <w:rsid w:val="00777694"/>
    <w:rsid w:val="00783CB6"/>
    <w:rsid w:val="00786A7E"/>
    <w:rsid w:val="007A0802"/>
    <w:rsid w:val="007B1FCA"/>
    <w:rsid w:val="007C2C12"/>
    <w:rsid w:val="007C3CFA"/>
    <w:rsid w:val="007D5129"/>
    <w:rsid w:val="007E0E8B"/>
    <w:rsid w:val="007E6847"/>
    <w:rsid w:val="007E6B0A"/>
    <w:rsid w:val="007F08CA"/>
    <w:rsid w:val="007F7FC3"/>
    <w:rsid w:val="00805FCB"/>
    <w:rsid w:val="00810482"/>
    <w:rsid w:val="00817568"/>
    <w:rsid w:val="008204AC"/>
    <w:rsid w:val="00821CE9"/>
    <w:rsid w:val="008261C2"/>
    <w:rsid w:val="00830D96"/>
    <w:rsid w:val="00850A95"/>
    <w:rsid w:val="00853524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C6974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B7D06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4876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31BB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46741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1574"/>
    <w:rsid w:val="00CE0E68"/>
    <w:rsid w:val="00CE5BA4"/>
    <w:rsid w:val="00D0682D"/>
    <w:rsid w:val="00D25120"/>
    <w:rsid w:val="00D35938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2D7C"/>
    <w:rsid w:val="00DC23F7"/>
    <w:rsid w:val="00DC29DD"/>
    <w:rsid w:val="00DC7C0E"/>
    <w:rsid w:val="00DE7387"/>
    <w:rsid w:val="00DF0407"/>
    <w:rsid w:val="00DF2A6A"/>
    <w:rsid w:val="00DF3B72"/>
    <w:rsid w:val="00E10821"/>
    <w:rsid w:val="00E2489D"/>
    <w:rsid w:val="00E26520"/>
    <w:rsid w:val="00E26732"/>
    <w:rsid w:val="00E343A3"/>
    <w:rsid w:val="00E34920"/>
    <w:rsid w:val="00E47277"/>
    <w:rsid w:val="00E51BFA"/>
    <w:rsid w:val="00E621A3"/>
    <w:rsid w:val="00E833BC"/>
    <w:rsid w:val="00E8580E"/>
    <w:rsid w:val="00E97E21"/>
    <w:rsid w:val="00EA1B76"/>
    <w:rsid w:val="00EA470F"/>
    <w:rsid w:val="00EA77D7"/>
    <w:rsid w:val="00EC09B9"/>
    <w:rsid w:val="00ED048C"/>
    <w:rsid w:val="00EE563E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4262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65719AF"/>
  <w15:docId w15:val="{5DDED18B-23A5-4396-806D-C7A9602A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semiHidden/>
    <w:unhideWhenUsed/>
    <w:rsid w:val="00F34262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4262"/>
    <w:rPr>
      <w:rFonts w:ascii="Consolas" w:hAnsi="Consolas" w:cs="Duba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FB5F332-F5D8-44FD-947F-9DF26FA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</dc:creator>
  <cp:keywords>WRC-12</cp:keywords>
  <cp:lastModifiedBy>Arabic</cp:lastModifiedBy>
  <cp:revision>6</cp:revision>
  <cp:lastPrinted>2019-06-26T10:10:00Z</cp:lastPrinted>
  <dcterms:created xsi:type="dcterms:W3CDTF">2020-05-18T06:13:00Z</dcterms:created>
  <dcterms:modified xsi:type="dcterms:W3CDTF">2020-05-18T06:30:00Z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