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RPr="00B11960" w14:paraId="6655F8F5" w14:textId="77777777" w:rsidTr="00443261">
        <w:trPr>
          <w:cantSplit/>
        </w:trPr>
        <w:tc>
          <w:tcPr>
            <w:tcW w:w="6771" w:type="dxa"/>
            <w:vAlign w:val="center"/>
          </w:tcPr>
          <w:p w14:paraId="5C1A7207" w14:textId="77777777" w:rsidR="00443261" w:rsidRPr="00B11960" w:rsidRDefault="00443261" w:rsidP="005A425F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B11960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B11960">
              <w:rPr>
                <w:rFonts w:ascii="Verdana" w:hAnsi="Verdana"/>
                <w:b/>
                <w:sz w:val="25"/>
                <w:szCs w:val="25"/>
              </w:rPr>
              <w:br/>
            </w:r>
            <w:r w:rsidRPr="00B11960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B11960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4E76DF" w:rsidRPr="00B11960">
              <w:rPr>
                <w:rFonts w:ascii="Verdana" w:hAnsi="Verdana"/>
                <w:b/>
                <w:bCs/>
                <w:sz w:val="20"/>
              </w:rPr>
              <w:t>25</w:t>
            </w:r>
            <w:r w:rsidRPr="00B11960">
              <w:rPr>
                <w:rFonts w:ascii="Verdana" w:hAnsi="Verdana"/>
                <w:b/>
                <w:bCs/>
                <w:sz w:val="20"/>
              </w:rPr>
              <w:t>-</w:t>
            </w:r>
            <w:r w:rsidR="004E76DF" w:rsidRPr="00B11960">
              <w:rPr>
                <w:rFonts w:ascii="Verdana" w:hAnsi="Verdana"/>
                <w:b/>
                <w:bCs/>
                <w:sz w:val="20"/>
              </w:rPr>
              <w:t>27</w:t>
            </w:r>
            <w:r w:rsidRPr="00B11960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4E76DF" w:rsidRPr="00B11960">
              <w:rPr>
                <w:rFonts w:ascii="Verdana" w:hAnsi="Verdana"/>
                <w:b/>
                <w:bCs/>
                <w:sz w:val="20"/>
              </w:rPr>
              <w:t>mai</w:t>
            </w:r>
            <w:r w:rsidRPr="00B11960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 w:rsidR="007711EA" w:rsidRPr="00B11960">
              <w:rPr>
                <w:rFonts w:ascii="Verdana" w:hAnsi="Verdana"/>
                <w:b/>
                <w:bCs/>
                <w:sz w:val="20"/>
              </w:rPr>
              <w:t>20</w:t>
            </w:r>
          </w:p>
        </w:tc>
        <w:tc>
          <w:tcPr>
            <w:tcW w:w="3118" w:type="dxa"/>
          </w:tcPr>
          <w:p w14:paraId="7D955E77" w14:textId="77777777" w:rsidR="00443261" w:rsidRPr="00B11960" w:rsidRDefault="007711EA" w:rsidP="005A425F">
            <w:pPr>
              <w:shd w:val="solid" w:color="FFFFFF" w:fill="FFFFFF"/>
              <w:spacing w:before="0"/>
            </w:pPr>
            <w:r w:rsidRPr="00B11960">
              <w:rPr>
                <w:noProof/>
                <w:lang w:val="en-US"/>
              </w:rPr>
              <w:drawing>
                <wp:inline distT="0" distB="0" distL="0" distR="0" wp14:anchorId="03344BE8" wp14:editId="0850B39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B11960" w14:paraId="627D59DB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B3CC76B" w14:textId="77777777" w:rsidR="002D238A" w:rsidRPr="00B11960" w:rsidRDefault="002D238A" w:rsidP="005A425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5BB0360" w14:textId="77777777" w:rsidR="002D238A" w:rsidRPr="00B11960" w:rsidRDefault="002D238A" w:rsidP="005A425F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2D238A" w:rsidRPr="00B11960" w14:paraId="4E4D86E0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DED1A8B" w14:textId="77777777" w:rsidR="002D238A" w:rsidRPr="00B11960" w:rsidRDefault="002D238A" w:rsidP="005A425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C204D98" w14:textId="77777777" w:rsidR="002D238A" w:rsidRPr="00B11960" w:rsidRDefault="002D238A" w:rsidP="005A425F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2D238A" w:rsidRPr="00B11960" w14:paraId="6019C1FC" w14:textId="77777777">
        <w:trPr>
          <w:cantSplit/>
        </w:trPr>
        <w:tc>
          <w:tcPr>
            <w:tcW w:w="6771" w:type="dxa"/>
            <w:vMerge w:val="restart"/>
          </w:tcPr>
          <w:p w14:paraId="0F3C243B" w14:textId="77777777" w:rsidR="002D238A" w:rsidRPr="00B11960" w:rsidRDefault="002D238A" w:rsidP="005A425F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1146B1A5" w14:textId="3BAFD363" w:rsidR="002D238A" w:rsidRPr="00B11960" w:rsidRDefault="005A425F" w:rsidP="005A425F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B11960">
              <w:rPr>
                <w:rFonts w:ascii="Verdana" w:hAnsi="Verdana"/>
                <w:b/>
                <w:sz w:val="20"/>
              </w:rPr>
              <w:t>Document RAG20/14-F</w:t>
            </w:r>
          </w:p>
        </w:tc>
      </w:tr>
      <w:tr w:rsidR="002D238A" w:rsidRPr="00B11960" w14:paraId="479E1C2B" w14:textId="77777777">
        <w:trPr>
          <w:cantSplit/>
        </w:trPr>
        <w:tc>
          <w:tcPr>
            <w:tcW w:w="6771" w:type="dxa"/>
            <w:vMerge/>
          </w:tcPr>
          <w:p w14:paraId="5733BF7B" w14:textId="77777777" w:rsidR="002D238A" w:rsidRPr="00B11960" w:rsidRDefault="002D238A" w:rsidP="005A425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7745B0D7" w14:textId="32FF6FD3" w:rsidR="002D238A" w:rsidRPr="00B11960" w:rsidRDefault="005A425F" w:rsidP="005A425F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B11960">
              <w:rPr>
                <w:rFonts w:ascii="Verdana" w:hAnsi="Verdana"/>
                <w:b/>
                <w:sz w:val="20"/>
              </w:rPr>
              <w:t>6 mai 2020</w:t>
            </w:r>
          </w:p>
        </w:tc>
      </w:tr>
      <w:tr w:rsidR="002D238A" w:rsidRPr="00B11960" w14:paraId="10DA6630" w14:textId="77777777">
        <w:trPr>
          <w:cantSplit/>
        </w:trPr>
        <w:tc>
          <w:tcPr>
            <w:tcW w:w="6771" w:type="dxa"/>
            <w:vMerge/>
          </w:tcPr>
          <w:p w14:paraId="17AB8566" w14:textId="77777777" w:rsidR="002D238A" w:rsidRPr="00B11960" w:rsidRDefault="002D238A" w:rsidP="005A425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2A29637C" w14:textId="77706E3D" w:rsidR="002D238A" w:rsidRPr="00B11960" w:rsidRDefault="005A425F" w:rsidP="005A425F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B11960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:rsidRPr="00B11960" w14:paraId="7AFDCAAA" w14:textId="77777777">
        <w:trPr>
          <w:cantSplit/>
        </w:trPr>
        <w:tc>
          <w:tcPr>
            <w:tcW w:w="9889" w:type="dxa"/>
            <w:gridSpan w:val="2"/>
          </w:tcPr>
          <w:p w14:paraId="258F069F" w14:textId="775DCC53" w:rsidR="002D238A" w:rsidRPr="00B11960" w:rsidRDefault="005A425F" w:rsidP="005A425F">
            <w:pPr>
              <w:pStyle w:val="Source"/>
            </w:pPr>
            <w:bookmarkStart w:id="3" w:name="dsource" w:colFirst="0" w:colLast="0"/>
            <w:bookmarkEnd w:id="2"/>
            <w:r w:rsidRPr="00B11960">
              <w:t>Iran (République islamique d</w:t>
            </w:r>
            <w:r w:rsidR="00BA0A70" w:rsidRPr="00B11960">
              <w:t>'</w:t>
            </w:r>
            <w:r w:rsidRPr="00B11960">
              <w:t>)</w:t>
            </w:r>
          </w:p>
        </w:tc>
      </w:tr>
      <w:tr w:rsidR="002D238A" w:rsidRPr="00B11960" w14:paraId="52032F7F" w14:textId="77777777">
        <w:trPr>
          <w:cantSplit/>
        </w:trPr>
        <w:tc>
          <w:tcPr>
            <w:tcW w:w="9889" w:type="dxa"/>
            <w:gridSpan w:val="2"/>
          </w:tcPr>
          <w:p w14:paraId="7554D1D8" w14:textId="58FA09BD" w:rsidR="002D238A" w:rsidRPr="00B11960" w:rsidRDefault="005A425F" w:rsidP="005A425F">
            <w:pPr>
              <w:pStyle w:val="Title1"/>
            </w:pPr>
            <w:bookmarkStart w:id="4" w:name="dtitle1" w:colFirst="0" w:colLast="0"/>
            <w:bookmarkEnd w:id="3"/>
            <w:r w:rsidRPr="00B11960">
              <w:rPr>
                <w:bCs/>
              </w:rPr>
              <w:t>CONTRIBUTION DE LA RÉPUBLIQUE ISLAMIQUE D</w:t>
            </w:r>
            <w:r w:rsidR="00BA0A70" w:rsidRPr="00B11960">
              <w:rPr>
                <w:bCs/>
              </w:rPr>
              <w:t>'</w:t>
            </w:r>
            <w:r w:rsidRPr="00B11960">
              <w:rPr>
                <w:bCs/>
              </w:rPr>
              <w:t xml:space="preserve">IRAN </w:t>
            </w:r>
            <w:r w:rsidR="00BA0A70" w:rsidRPr="00B11960">
              <w:rPr>
                <w:bCs/>
              </w:rPr>
              <w:br/>
            </w:r>
            <w:r w:rsidRPr="00B11960">
              <w:rPr>
                <w:bCs/>
              </w:rPr>
              <w:t>AU</w:t>
            </w:r>
            <w:r w:rsidR="00BA0A70" w:rsidRPr="00B11960">
              <w:rPr>
                <w:bCs/>
              </w:rPr>
              <w:t xml:space="preserve"> </w:t>
            </w:r>
            <w:r w:rsidRPr="00B11960">
              <w:rPr>
                <w:bCs/>
              </w:rPr>
              <w:t>GCR À SA R</w:t>
            </w:r>
            <w:r w:rsidR="007D4A14" w:rsidRPr="00B11960">
              <w:rPr>
                <w:bCs/>
              </w:rPr>
              <w:t>É</w:t>
            </w:r>
            <w:r w:rsidRPr="00B11960">
              <w:rPr>
                <w:bCs/>
              </w:rPr>
              <w:t>UNION DE</w:t>
            </w:r>
            <w:r w:rsidR="00BA0A70" w:rsidRPr="00B11960">
              <w:rPr>
                <w:bCs/>
              </w:rPr>
              <w:t xml:space="preserve"> </w:t>
            </w:r>
            <w:r w:rsidRPr="00B11960">
              <w:rPr>
                <w:bCs/>
              </w:rPr>
              <w:t>2020</w:t>
            </w:r>
          </w:p>
        </w:tc>
      </w:tr>
    </w:tbl>
    <w:bookmarkEnd w:id="4"/>
    <w:p w14:paraId="6ED5837F" w14:textId="76E4A74D" w:rsidR="005A425F" w:rsidRPr="00B11960" w:rsidRDefault="005A425F" w:rsidP="007D4A14">
      <w:pPr>
        <w:pStyle w:val="Heading1"/>
        <w:spacing w:before="600"/>
      </w:pPr>
      <w:r w:rsidRPr="00B11960">
        <w:t>I</w:t>
      </w:r>
      <w:r w:rsidRPr="00B11960">
        <w:tab/>
        <w:t>Introduction</w:t>
      </w:r>
    </w:p>
    <w:p w14:paraId="1022827F" w14:textId="08AF2310" w:rsidR="005A425F" w:rsidRPr="00B11960" w:rsidRDefault="005A425F" w:rsidP="00BA0A70">
      <w:r w:rsidRPr="00B11960">
        <w:t>La RPC23-1 a identifié</w:t>
      </w:r>
      <w:r w:rsidR="00BA0A70" w:rsidRPr="00B11960">
        <w:t xml:space="preserve"> </w:t>
      </w:r>
      <w:r w:rsidRPr="00B11960">
        <w:t>les groupes responsables et les</w:t>
      </w:r>
      <w:r w:rsidR="00BA0A70" w:rsidRPr="00B11960">
        <w:t xml:space="preserve"> </w:t>
      </w:r>
      <w:r w:rsidRPr="00B11960">
        <w:t>groupes contributeurs participant aux études relatives aux points</w:t>
      </w:r>
      <w:r w:rsidR="00BA0A70" w:rsidRPr="00B11960">
        <w:t xml:space="preserve"> </w:t>
      </w:r>
      <w:r w:rsidRPr="00B11960">
        <w:t>de l</w:t>
      </w:r>
      <w:r w:rsidR="00BA0A70" w:rsidRPr="00B11960">
        <w:t>'</w:t>
      </w:r>
      <w:r w:rsidRPr="00B11960">
        <w:t>ordre du jour de la</w:t>
      </w:r>
      <w:r w:rsidR="00BA0A70" w:rsidRPr="00B11960">
        <w:t xml:space="preserve"> </w:t>
      </w:r>
      <w:r w:rsidRPr="00B11960">
        <w:t>CMR-23.</w:t>
      </w:r>
    </w:p>
    <w:p w14:paraId="16F4F038" w14:textId="6B6C587B" w:rsidR="005A425F" w:rsidRPr="00B11960" w:rsidRDefault="005A425F" w:rsidP="00BA0A70">
      <w:r w:rsidRPr="00B11960">
        <w:t>Certains de ces groupes</w:t>
      </w:r>
      <w:r w:rsidR="00BA0A70" w:rsidRPr="00B11960">
        <w:t xml:space="preserve"> </w:t>
      </w:r>
      <w:r w:rsidRPr="00B11960">
        <w:t>ont tenu leur réunion (virtuelle ou physique) et ont déjà envoyé les notes de liaison nécessaires aux groupes responsables ou aux groupes contributeurs, afin qu</w:t>
      </w:r>
      <w:r w:rsidR="00BA0A70" w:rsidRPr="00B11960">
        <w:t>'</w:t>
      </w:r>
      <w:r w:rsidRPr="00B11960">
        <w:t>ils prennent les mesures requises à cet égard.</w:t>
      </w:r>
    </w:p>
    <w:p w14:paraId="4DB06305" w14:textId="5CD4BCCE" w:rsidR="005A425F" w:rsidRPr="00B11960" w:rsidRDefault="005A425F" w:rsidP="00BA0A70">
      <w:r w:rsidRPr="00B11960">
        <w:t xml:space="preserve">Les autres groupes responsables concernés, qui doivent encore tenir leur réunion </w:t>
      </w:r>
      <w:r w:rsidR="00BA0A70" w:rsidRPr="00B11960">
        <w:t xml:space="preserve">– </w:t>
      </w:r>
      <w:r w:rsidRPr="00B11960">
        <w:t>virtuelle ou physique</w:t>
      </w:r>
      <w:r w:rsidR="00BA0A70" w:rsidRPr="00B11960">
        <w:t xml:space="preserve"> – </w:t>
      </w:r>
      <w:r w:rsidRPr="00B11960">
        <w:t>,</w:t>
      </w:r>
      <w:r w:rsidR="00BA0A70" w:rsidRPr="00B11960">
        <w:t xml:space="preserve"> </w:t>
      </w:r>
      <w:r w:rsidRPr="00B11960">
        <w:t>élaborent actuellement des projets de notes de liaison à l</w:t>
      </w:r>
      <w:r w:rsidR="00BA0A70" w:rsidRPr="00B11960">
        <w:t>'</w:t>
      </w:r>
      <w:r w:rsidRPr="00B11960">
        <w:t>intention des groupes contributeurs, pour leur demander de communiquer les caractéristiques techniques ainsi que les rapports de protection/informations concernant les services qui devraient bénéficier d</w:t>
      </w:r>
      <w:r w:rsidR="00BA0A70" w:rsidRPr="00B11960">
        <w:t>'</w:t>
      </w:r>
      <w:r w:rsidRPr="00B11960">
        <w:t>une protection, conformément au libellé/texte employé dans les Résolutions associées aux points de l</w:t>
      </w:r>
      <w:r w:rsidR="00BA0A70" w:rsidRPr="00B11960">
        <w:t>'</w:t>
      </w:r>
      <w:r w:rsidRPr="00B11960">
        <w:t>ordre du jour de la CMR-23.</w:t>
      </w:r>
    </w:p>
    <w:p w14:paraId="02D38605" w14:textId="7DCB1C32" w:rsidR="005A425F" w:rsidRPr="00B11960" w:rsidRDefault="005A425F" w:rsidP="00BA0A70">
      <w:pPr>
        <w:rPr>
          <w:rFonts w:asciiTheme="majorBidi" w:hAnsiTheme="majorBidi" w:cstheme="majorBidi"/>
          <w:szCs w:val="24"/>
        </w:rPr>
      </w:pPr>
      <w:r w:rsidRPr="00B11960">
        <w:t>Les groupes de travail</w:t>
      </w:r>
      <w:r w:rsidR="00BA0A70" w:rsidRPr="00B11960">
        <w:t>/</w:t>
      </w:r>
      <w:r w:rsidRPr="00B11960">
        <w:t>commissions d</w:t>
      </w:r>
      <w:r w:rsidR="00BA0A70" w:rsidRPr="00B11960">
        <w:t>'</w:t>
      </w:r>
      <w:r w:rsidRPr="00B11960">
        <w:t>études destinataires doivent prendre immédiatement les mesures requises, afin de fournir les renseignements nécessaires aux groupes de travail/commissions d</w:t>
      </w:r>
      <w:r w:rsidR="00BA0A70" w:rsidRPr="00B11960">
        <w:t>'</w:t>
      </w:r>
      <w:r w:rsidRPr="00B11960">
        <w:t>études à l</w:t>
      </w:r>
      <w:r w:rsidR="00BA0A70" w:rsidRPr="00B11960">
        <w:t>'</w:t>
      </w:r>
      <w:r w:rsidRPr="00B11960">
        <w:t>origine de la demande.</w:t>
      </w:r>
    </w:p>
    <w:p w14:paraId="07C92112" w14:textId="1BDC8B9C" w:rsidR="005A425F" w:rsidRPr="00B11960" w:rsidRDefault="005A425F" w:rsidP="00BA0A70">
      <w:pPr>
        <w:pStyle w:val="Heading1"/>
      </w:pPr>
      <w:r w:rsidRPr="00B11960">
        <w:t>II</w:t>
      </w:r>
      <w:r w:rsidRPr="00B11960">
        <w:tab/>
        <w:t>Examen</w:t>
      </w:r>
    </w:p>
    <w:p w14:paraId="4A066C4F" w14:textId="2FE6A5FE" w:rsidR="005A425F" w:rsidRPr="00B11960" w:rsidRDefault="005A425F" w:rsidP="00BA0A70">
      <w:r w:rsidRPr="00B11960">
        <w:t>Le libellé/texte employé dans les Résolutions associées aux points de l</w:t>
      </w:r>
      <w:r w:rsidR="00BA0A70" w:rsidRPr="00B11960">
        <w:t>'</w:t>
      </w:r>
      <w:r w:rsidRPr="00B11960">
        <w:t>ordre du jour de la CMR-23</w:t>
      </w:r>
      <w:r w:rsidR="00BA0A70" w:rsidRPr="00B11960">
        <w:t xml:space="preserve"> </w:t>
      </w:r>
      <w:r w:rsidRPr="00B11960">
        <w:t>fait presque toujours mention de la protection des services auxquels la ou les</w:t>
      </w:r>
      <w:r w:rsidR="00BA0A70" w:rsidRPr="00B11960">
        <w:t xml:space="preserve"> </w:t>
      </w:r>
      <w:r w:rsidRPr="00B11960">
        <w:t>bandes sont attribuées</w:t>
      </w:r>
      <w:r w:rsidR="00BA0A70" w:rsidRPr="00B11960">
        <w:t xml:space="preserve"> </w:t>
      </w:r>
      <w:r w:rsidRPr="00B11960">
        <w:t>et fait également état</w:t>
      </w:r>
      <w:r w:rsidR="00BA0A70" w:rsidRPr="00B11960">
        <w:t xml:space="preserve">, </w:t>
      </w:r>
      <w:r w:rsidRPr="00B11960">
        <w:t>dans la plupart des cas,</w:t>
      </w:r>
      <w:r w:rsidR="00BA0A70" w:rsidRPr="00B11960">
        <w:t xml:space="preserve"> </w:t>
      </w:r>
      <w:r w:rsidRPr="00B11960">
        <w:t>de la protection des services auxquels la ou les</w:t>
      </w:r>
      <w:r w:rsidR="00BA0A70" w:rsidRPr="00B11960">
        <w:t xml:space="preserve"> </w:t>
      </w:r>
      <w:r w:rsidRPr="00B11960">
        <w:t>bandes</w:t>
      </w:r>
      <w:r w:rsidR="00BA0A70" w:rsidRPr="00B11960">
        <w:t xml:space="preserve"> </w:t>
      </w:r>
      <w:r w:rsidRPr="00B11960">
        <w:t>sont attribuées dans la ou les bandes adjacentes. À cet égard, la question importante</w:t>
      </w:r>
      <w:r w:rsidR="00BA0A70" w:rsidRPr="00B11960">
        <w:t xml:space="preserve"> </w:t>
      </w:r>
      <w:r w:rsidRPr="00B11960">
        <w:t>est de savoir comment les caractéristiques de ces services sont obtenues.</w:t>
      </w:r>
    </w:p>
    <w:p w14:paraId="7375E914" w14:textId="48157CC4" w:rsidR="005A425F" w:rsidRPr="00B11960" w:rsidRDefault="005A425F" w:rsidP="00BA0A70">
      <w:r w:rsidRPr="00B11960">
        <w:t>Dans certains cas, les caractéristiques sont insérées dans une ou plusieurs Recommandations UIT-R. Toutefois, il est essentiel de veiller</w:t>
      </w:r>
      <w:r w:rsidR="00BA0A70" w:rsidRPr="00B11960">
        <w:t xml:space="preserve"> </w:t>
      </w:r>
      <w:r w:rsidRPr="00B11960">
        <w:t>a) à ce que,</w:t>
      </w:r>
      <w:r w:rsidR="00BA0A70" w:rsidRPr="00B11960">
        <w:t xml:space="preserve"> </w:t>
      </w:r>
      <w:r w:rsidRPr="00B11960">
        <w:t>une fois qu</w:t>
      </w:r>
      <w:r w:rsidR="00BA0A70" w:rsidRPr="00B11960">
        <w:t>'</w:t>
      </w:r>
      <w:r w:rsidRPr="00B11960">
        <w:t>une ou plusieurs Recommandations sont identifiées,</w:t>
      </w:r>
      <w:r w:rsidR="00BA0A70" w:rsidRPr="00B11960">
        <w:t xml:space="preserve"> </w:t>
      </w:r>
      <w:r w:rsidRPr="00B11960">
        <w:t>ces caractéristiques reflètent avec précision les caractéristiques réelles et</w:t>
      </w:r>
      <w:r w:rsidR="00BA0A70" w:rsidRPr="00B11960">
        <w:t xml:space="preserve"> </w:t>
      </w:r>
      <w:r w:rsidRPr="00B11960">
        <w:t>b)</w:t>
      </w:r>
      <w:r w:rsidR="00BA0A70" w:rsidRPr="00B11960">
        <w:t xml:space="preserve"> </w:t>
      </w:r>
      <w:r w:rsidRPr="00B11960">
        <w:t>à ce que ces caractéristiques tiennent également compte des services existants et du développement des services en question.</w:t>
      </w:r>
    </w:p>
    <w:p w14:paraId="02C964D3" w14:textId="77777777" w:rsidR="007D4A14" w:rsidRDefault="007D4A14" w:rsidP="00BA0A70">
      <w:r>
        <w:br w:type="page"/>
      </w:r>
    </w:p>
    <w:p w14:paraId="0D7BA5BF" w14:textId="6CE0AFE9" w:rsidR="005A425F" w:rsidRPr="00B11960" w:rsidRDefault="005A425F" w:rsidP="00BA0A70">
      <w:r w:rsidRPr="00B11960">
        <w:t>Très souvent, au cours des périodes d</w:t>
      </w:r>
      <w:r w:rsidR="00BA0A70" w:rsidRPr="00B11960">
        <w:t>'</w:t>
      </w:r>
      <w:r w:rsidRPr="00B11960">
        <w:t>études précédentes, les groupes de travail/commissions d</w:t>
      </w:r>
      <w:r w:rsidR="00BA0A70" w:rsidRPr="00B11960">
        <w:t>'</w:t>
      </w:r>
      <w:r w:rsidRPr="00B11960">
        <w:t>études n</w:t>
      </w:r>
      <w:r w:rsidR="00BA0A70" w:rsidRPr="00B11960">
        <w:t>'</w:t>
      </w:r>
      <w:r w:rsidRPr="00B11960">
        <w:t>ont tenu compte que des caractéristiques</w:t>
      </w:r>
      <w:r w:rsidR="00BA0A70" w:rsidRPr="00B11960">
        <w:t xml:space="preserve"> </w:t>
      </w:r>
      <w:r w:rsidRPr="00B11960">
        <w:t>inscrites dans le Fichier de référence international</w:t>
      </w:r>
      <w:r w:rsidR="00BA0A70" w:rsidRPr="00B11960">
        <w:t xml:space="preserve"> </w:t>
      </w:r>
      <w:r w:rsidRPr="00B11960">
        <w:t>des fréquences, ou</w:t>
      </w:r>
      <w:r w:rsidR="00BA0A70" w:rsidRPr="00B11960">
        <w:t xml:space="preserve"> </w:t>
      </w:r>
      <w:r w:rsidRPr="00B11960">
        <w:t>en cours d</w:t>
      </w:r>
      <w:r w:rsidR="00BA0A70" w:rsidRPr="00B11960">
        <w:t>'</w:t>
      </w:r>
      <w:r w:rsidRPr="00B11960">
        <w:t xml:space="preserve">inscription dans ledit Fichier. Or, il convient de noter </w:t>
      </w:r>
      <w:r w:rsidRPr="00B11960">
        <w:lastRenderedPageBreak/>
        <w:t>qu</w:t>
      </w:r>
      <w:r w:rsidR="00BA0A70" w:rsidRPr="00B11960">
        <w:t>'</w:t>
      </w:r>
      <w:r w:rsidRPr="00B11960">
        <w:t>il ne faut pas prendre en considération uniquement les informations figurant dans le Fichier de référence international</w:t>
      </w:r>
      <w:r w:rsidR="00BA0A70" w:rsidRPr="00B11960">
        <w:t xml:space="preserve"> </w:t>
      </w:r>
      <w:r w:rsidRPr="00B11960">
        <w:t>des fréquences,</w:t>
      </w:r>
      <w:r w:rsidR="00BA0A70" w:rsidRPr="00B11960">
        <w:t xml:space="preserve"> </w:t>
      </w:r>
      <w:r w:rsidRPr="00B11960">
        <w:t>dans la mesure</w:t>
      </w:r>
      <w:r w:rsidR="00BA0A70" w:rsidRPr="00B11960">
        <w:t xml:space="preserve"> </w:t>
      </w:r>
      <w:r w:rsidRPr="00B11960">
        <w:t>où les services en question évoluent et où l</w:t>
      </w:r>
      <w:r w:rsidR="00BA0A70" w:rsidRPr="00B11960">
        <w:t>'</w:t>
      </w:r>
      <w:r w:rsidRPr="00B11960">
        <w:t>examen des points de l</w:t>
      </w:r>
      <w:r w:rsidR="00BA0A70" w:rsidRPr="00B11960">
        <w:t>'</w:t>
      </w:r>
      <w:r w:rsidRPr="00B11960">
        <w:t>ordre du jour ne devrait ni gêner, ni</w:t>
      </w:r>
      <w:r w:rsidR="00BA0A70" w:rsidRPr="00B11960">
        <w:t xml:space="preserve"> </w:t>
      </w:r>
      <w:r w:rsidRPr="00B11960">
        <w:t>entraver le développement de ces services.</w:t>
      </w:r>
    </w:p>
    <w:p w14:paraId="148A4F3D" w14:textId="2FB3F0F2" w:rsidR="005A425F" w:rsidRPr="00B11960" w:rsidRDefault="005A425F" w:rsidP="00BA0A70">
      <w:r w:rsidRPr="00B11960">
        <w:t>En outre, dans certains cas, il se peut qu</w:t>
      </w:r>
      <w:r w:rsidR="00BA0A70" w:rsidRPr="00B11960">
        <w:t>'</w:t>
      </w:r>
      <w:r w:rsidRPr="00B11960">
        <w:t xml:space="preserve">il ne soit pas forcément nécessaire de notifier certains services en exploitation </w:t>
      </w:r>
      <w:r w:rsidR="00BA0A70" w:rsidRPr="00B11960">
        <w:t xml:space="preserve">– </w:t>
      </w:r>
      <w:r w:rsidRPr="00B11960">
        <w:t xml:space="preserve">ou appelés à être exploités </w:t>
      </w:r>
      <w:r w:rsidR="00BA0A70" w:rsidRPr="00B11960">
        <w:t>–</w:t>
      </w:r>
      <w:r w:rsidRPr="00B11960">
        <w:t xml:space="preserve"> au titre de l</w:t>
      </w:r>
      <w:r w:rsidR="00BA0A70" w:rsidRPr="00B11960">
        <w:t>'</w:t>
      </w:r>
      <w:r w:rsidRPr="00B11960">
        <w:t>Article 11 du Règlement des radiocommunications, étant donné que parfois, les critères de notification peuvent ne pas prévaloir et que dans d</w:t>
      </w:r>
      <w:r w:rsidR="00BA0A70" w:rsidRPr="00B11960">
        <w:t>'</w:t>
      </w:r>
      <w:r w:rsidRPr="00B11960">
        <w:t>autres cas/occasions, en raison de la nature même du service, l'administration responsable ne les notifiera pas.</w:t>
      </w:r>
      <w:bookmarkStart w:id="5" w:name="_Hlk39742186"/>
    </w:p>
    <w:bookmarkEnd w:id="5"/>
    <w:p w14:paraId="190E8565" w14:textId="2E5FA6A5" w:rsidR="005A425F" w:rsidRPr="00B11960" w:rsidRDefault="005A425F" w:rsidP="00BA0A70">
      <w:pPr>
        <w:pStyle w:val="Heading1"/>
      </w:pPr>
      <w:r w:rsidRPr="00B11960">
        <w:t>III</w:t>
      </w:r>
      <w:r w:rsidRPr="00B11960">
        <w:tab/>
        <w:t>Mesures à prendre</w:t>
      </w:r>
    </w:p>
    <w:p w14:paraId="5D2029F0" w14:textId="018621B6" w:rsidR="005A425F" w:rsidRPr="00B11960" w:rsidRDefault="005A425F" w:rsidP="00BA0A70">
      <w:bookmarkStart w:id="6" w:name="_Hlk39742810"/>
      <w:r w:rsidRPr="00B11960">
        <w:t>Les groupes de travail/commissions d</w:t>
      </w:r>
      <w:r w:rsidR="00BA0A70" w:rsidRPr="00B11960">
        <w:t>'</w:t>
      </w:r>
      <w:r w:rsidRPr="00B11960">
        <w:t>études auxquels s</w:t>
      </w:r>
      <w:r w:rsidR="00BA0A70" w:rsidRPr="00B11960">
        <w:t>'</w:t>
      </w:r>
      <w:r w:rsidRPr="00B11960">
        <w:t>adressent les notes de liaison susmentionnées, lors de l</w:t>
      </w:r>
      <w:r w:rsidR="00BA0A70" w:rsidRPr="00B11960">
        <w:t>'</w:t>
      </w:r>
      <w:r w:rsidRPr="00B11960">
        <w:t>examen de ces documents, devraient non seulement tenir compte de</w:t>
      </w:r>
      <w:r w:rsidR="00BA0A70" w:rsidRPr="00B11960">
        <w:t xml:space="preserve"> </w:t>
      </w:r>
      <w:r w:rsidRPr="00B11960">
        <w:t>Recommandations qui ne se contredisent pas entre elles et des assignations inscrites dans le Fichier de référence international des fréquences – ou en cours d</w:t>
      </w:r>
      <w:r w:rsidR="00BA0A70" w:rsidRPr="00B11960">
        <w:t>'</w:t>
      </w:r>
      <w:r w:rsidRPr="00B11960">
        <w:t>inscription dans ledit Fichier – , mais aussi demander à toutes les administrations de fournir les caractéristiques des assignations/services qui n</w:t>
      </w:r>
      <w:r w:rsidR="00BA0A70" w:rsidRPr="00B11960">
        <w:t>'</w:t>
      </w:r>
      <w:r w:rsidRPr="00B11960">
        <w:t>ont pas été notifiés au Bureau au titre de l</w:t>
      </w:r>
      <w:r w:rsidR="00BA0A70" w:rsidRPr="00B11960">
        <w:t>'</w:t>
      </w:r>
      <w:r w:rsidRPr="00B11960">
        <w:t>Article 11 du Règlement des radiocommunications, mais doivent cependant bénéficier d</w:t>
      </w:r>
      <w:r w:rsidR="00BA0A70" w:rsidRPr="00B11960">
        <w:t>'</w:t>
      </w:r>
      <w:r w:rsidRPr="00B11960">
        <w:t>une protection en vertu du point de l</w:t>
      </w:r>
      <w:r w:rsidR="00BA0A70" w:rsidRPr="00B11960">
        <w:t>'</w:t>
      </w:r>
      <w:r w:rsidRPr="00B11960">
        <w:t>ordre du jour considéré.</w:t>
      </w:r>
      <w:bookmarkEnd w:id="6"/>
    </w:p>
    <w:p w14:paraId="35F5C982" w14:textId="096E5E4B" w:rsidR="005A425F" w:rsidRDefault="005A425F" w:rsidP="00BA0A70">
      <w:r w:rsidRPr="00B11960">
        <w:t>Compte tenu de ce qui précède, nous prions le</w:t>
      </w:r>
      <w:r w:rsidR="00BA0A70" w:rsidRPr="00B11960">
        <w:t xml:space="preserve"> </w:t>
      </w:r>
      <w:r w:rsidRPr="00B11960">
        <w:t>GCR de bien vouloir porter cette question à l</w:t>
      </w:r>
      <w:r w:rsidR="00BA0A70" w:rsidRPr="00B11960">
        <w:t>'</w:t>
      </w:r>
      <w:r w:rsidRPr="00B11960">
        <w:t>attention des groupes de travail/commissions d</w:t>
      </w:r>
      <w:r w:rsidR="00BA0A70" w:rsidRPr="00B11960">
        <w:t>'</w:t>
      </w:r>
      <w:r w:rsidRPr="00B11960">
        <w:t>études participant aux études qui doivent être effectuées au titre des différents points de l</w:t>
      </w:r>
      <w:r w:rsidR="00BA0A70" w:rsidRPr="00B11960">
        <w:t>'</w:t>
      </w:r>
      <w:r w:rsidRPr="00B11960">
        <w:t>ordre du jour de la CMR-23.</w:t>
      </w:r>
    </w:p>
    <w:p w14:paraId="6A2420D6" w14:textId="77777777" w:rsidR="00737C03" w:rsidRPr="00B11960" w:rsidRDefault="00737C03" w:rsidP="00BA0A70">
      <w:bookmarkStart w:id="7" w:name="_GoBack"/>
      <w:bookmarkEnd w:id="7"/>
    </w:p>
    <w:p w14:paraId="651C1475" w14:textId="77777777" w:rsidR="005A425F" w:rsidRPr="00B11960" w:rsidRDefault="005A425F" w:rsidP="005A425F">
      <w:pPr>
        <w:spacing w:before="360"/>
        <w:jc w:val="center"/>
      </w:pPr>
      <w:r w:rsidRPr="00B11960">
        <w:t>______________</w:t>
      </w:r>
    </w:p>
    <w:sectPr w:rsidR="005A425F" w:rsidRPr="00B1196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5EC3D" w14:textId="77777777" w:rsidR="005A425F" w:rsidRDefault="005A425F">
      <w:r>
        <w:separator/>
      </w:r>
    </w:p>
  </w:endnote>
  <w:endnote w:type="continuationSeparator" w:id="0">
    <w:p w14:paraId="790467CF" w14:textId="77777777" w:rsidR="005A425F" w:rsidRDefault="005A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47CD" w14:textId="0A618E29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C21CA9">
      <w:rPr>
        <w:lang w:val="en-US"/>
      </w:rPr>
      <w:t>P:\FRA\ITU-R\AG\RAG\RAG20\000\014F.docx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7D4A14">
      <w:t>07.05.20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C21CA9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2190" w14:textId="77969B11" w:rsidR="00847AAC" w:rsidRPr="00740F90" w:rsidRDefault="00A9055C">
    <w:pPr>
      <w:pStyle w:val="Footer"/>
      <w:rPr>
        <w:lang w:val="en-GB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C21CA9">
      <w:rPr>
        <w:lang w:val="en-US"/>
      </w:rPr>
      <w:t>P:\FRA\ITU-R\AG\RAG\RAG20\000\014F.docx</w:t>
    </w:r>
    <w:r>
      <w:rPr>
        <w:lang w:val="en-US"/>
      </w:rPr>
      <w:fldChar w:fldCharType="end"/>
    </w:r>
    <w:r w:rsidR="00740F90" w:rsidRPr="00740F90">
      <w:rPr>
        <w:lang w:val="en-GB"/>
      </w:rPr>
      <w:t xml:space="preserve"> </w:t>
    </w:r>
    <w:r w:rsidR="00740F90">
      <w:rPr>
        <w:lang w:val="en-GB"/>
      </w:rPr>
      <w:t>(471008)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BEC0" w14:textId="7AA4F9A2" w:rsidR="00847AAC" w:rsidRDefault="00A9055C" w:rsidP="007711EA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C21CA9">
      <w:rPr>
        <w:lang w:val="en-US"/>
      </w:rPr>
      <w:t>P:\FRA\ITU-R\AG\RAG\RAG20\000\014F.docx</w:t>
    </w:r>
    <w:r>
      <w:rPr>
        <w:lang w:val="en-US"/>
      </w:rPr>
      <w:fldChar w:fldCharType="end"/>
    </w:r>
    <w:r w:rsidR="00740F90">
      <w:rPr>
        <w:lang w:val="en-US"/>
      </w:rPr>
      <w:t xml:space="preserve"> (471008)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FCC9" w14:textId="77777777" w:rsidR="005A425F" w:rsidRDefault="005A425F">
      <w:r>
        <w:t>____________________</w:t>
      </w:r>
    </w:p>
  </w:footnote>
  <w:footnote w:type="continuationSeparator" w:id="0">
    <w:p w14:paraId="6746C6C3" w14:textId="77777777" w:rsidR="005A425F" w:rsidRDefault="005A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AD730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33E4" w14:textId="5760DD8C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37C03">
      <w:rPr>
        <w:noProof/>
      </w:rPr>
      <w:t>2</w:t>
    </w:r>
    <w:r>
      <w:rPr>
        <w:noProof/>
      </w:rPr>
      <w:fldChar w:fldCharType="end"/>
    </w:r>
  </w:p>
  <w:p w14:paraId="3B1D7D82" w14:textId="704FC495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7711EA">
      <w:rPr>
        <w:lang w:val="es-ES"/>
      </w:rPr>
      <w:t>20</w:t>
    </w:r>
    <w:r w:rsidR="00847AAC">
      <w:rPr>
        <w:lang w:val="es-ES"/>
      </w:rPr>
      <w:t>/</w:t>
    </w:r>
    <w:r w:rsidR="00740F90">
      <w:rPr>
        <w:lang w:val="es-ES"/>
      </w:rPr>
      <w:t>14</w:t>
    </w:r>
    <w:r w:rsidR="00847AAC">
      <w:rPr>
        <w:lang w:val="es-ES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5F"/>
    <w:rsid w:val="000C06D8"/>
    <w:rsid w:val="00140AE6"/>
    <w:rsid w:val="00222A1C"/>
    <w:rsid w:val="002D238A"/>
    <w:rsid w:val="003A6CEE"/>
    <w:rsid w:val="00405FBE"/>
    <w:rsid w:val="00443261"/>
    <w:rsid w:val="004E1CCF"/>
    <w:rsid w:val="004E76DF"/>
    <w:rsid w:val="005031C8"/>
    <w:rsid w:val="005207F5"/>
    <w:rsid w:val="005430E4"/>
    <w:rsid w:val="005A425F"/>
    <w:rsid w:val="0067019B"/>
    <w:rsid w:val="00677EE5"/>
    <w:rsid w:val="00694DEF"/>
    <w:rsid w:val="00737C03"/>
    <w:rsid w:val="00740F90"/>
    <w:rsid w:val="007711EA"/>
    <w:rsid w:val="00773E5E"/>
    <w:rsid w:val="007D4A14"/>
    <w:rsid w:val="008069E9"/>
    <w:rsid w:val="00847AAC"/>
    <w:rsid w:val="00902253"/>
    <w:rsid w:val="00925627"/>
    <w:rsid w:val="0093101F"/>
    <w:rsid w:val="0097156E"/>
    <w:rsid w:val="00992FA1"/>
    <w:rsid w:val="00A9055C"/>
    <w:rsid w:val="00AB7F92"/>
    <w:rsid w:val="00AC39EE"/>
    <w:rsid w:val="00B11960"/>
    <w:rsid w:val="00B41D84"/>
    <w:rsid w:val="00BA0A70"/>
    <w:rsid w:val="00BA0C7B"/>
    <w:rsid w:val="00BC4591"/>
    <w:rsid w:val="00C21CA9"/>
    <w:rsid w:val="00C72A86"/>
    <w:rsid w:val="00CC5B9E"/>
    <w:rsid w:val="00CC7208"/>
    <w:rsid w:val="00CE6184"/>
    <w:rsid w:val="00D228F7"/>
    <w:rsid w:val="00D34E1C"/>
    <w:rsid w:val="00D95965"/>
    <w:rsid w:val="00DD55EB"/>
    <w:rsid w:val="00E2659D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42ED0"/>
  <w15:docId w15:val="{BC7CE0C9-9420-4671-897C-78214F44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5A42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PF_RAG20.dotm</Template>
  <TotalTime>35</TotalTime>
  <Pages>2</Pages>
  <Words>622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RÉPUBLIQUE ISLAMIQUE D'IRAN AU GCR À SA REUNION DE 2020</dc:title>
  <dc:subject>GROUPE CONSULTATIF DES RADIOCOMMUNICATIONS</dc:subject>
  <dc:creator>Iran (République islamique d')</dc:creator>
  <cp:keywords>RAG03-1</cp:keywords>
  <dc:description>Document RAG20/14-F  For: _x000d_Document date: 6 mai 2020_x000d_Saved by ITU51014352 at 15:21:28 on 07.05.2020</dc:description>
  <cp:lastModifiedBy>Royer, Veronique</cp:lastModifiedBy>
  <cp:revision>6</cp:revision>
  <cp:lastPrinted>1999-10-11T14:58:00Z</cp:lastPrinted>
  <dcterms:created xsi:type="dcterms:W3CDTF">2020-05-07T12:58:00Z</dcterms:created>
  <dcterms:modified xsi:type="dcterms:W3CDTF">2020-05-07T13:43:00Z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RAG20/14-F</vt:lpwstr>
  </property>
  <property fmtid="{D5CDD505-2E9C-101B-9397-08002B2CF9AE}" pid="3" name="Docdate">
    <vt:lpwstr>6 mai 2020</vt:lpwstr>
  </property>
  <property fmtid="{D5CDD505-2E9C-101B-9397-08002B2CF9AE}" pid="4" name="Docorlang">
    <vt:lpwstr>Original: anglais</vt:lpwstr>
  </property>
  <property fmtid="{D5CDD505-2E9C-101B-9397-08002B2CF9AE}" pid="5" name="Docauthor">
    <vt:lpwstr>Iran (République islamique d')</vt:lpwstr>
  </property>
</Properties>
</file>