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D166105" w14:textId="77777777" w:rsidTr="00553F66">
        <w:trPr>
          <w:cantSplit/>
          <w:trHeight w:val="20"/>
        </w:trPr>
        <w:tc>
          <w:tcPr>
            <w:tcW w:w="6619" w:type="dxa"/>
          </w:tcPr>
          <w:p w14:paraId="61FBAA15"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0EB8C7B1"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E26732">
              <w:rPr>
                <w:sz w:val="24"/>
                <w:szCs w:val="24"/>
              </w:rPr>
              <w:t>27-25</w:t>
            </w:r>
            <w:r w:rsidRPr="00553F66">
              <w:rPr>
                <w:rFonts w:hint="cs"/>
                <w:sz w:val="24"/>
                <w:szCs w:val="24"/>
                <w:rtl/>
              </w:rPr>
              <w:t xml:space="preserve"> </w:t>
            </w:r>
            <w:r w:rsidR="00E26732">
              <w:rPr>
                <w:rFonts w:hint="cs"/>
                <w:sz w:val="24"/>
                <w:szCs w:val="24"/>
                <w:rtl/>
              </w:rPr>
              <w:t>مايو</w:t>
            </w:r>
            <w:r w:rsidRPr="00553F66">
              <w:rPr>
                <w:rFonts w:hint="cs"/>
                <w:sz w:val="24"/>
                <w:szCs w:val="24"/>
                <w:rtl/>
              </w:rPr>
              <w:t xml:space="preserve"> </w:t>
            </w:r>
            <w:r w:rsidRPr="00553F66">
              <w:rPr>
                <w:sz w:val="24"/>
                <w:szCs w:val="24"/>
              </w:rPr>
              <w:t>2020</w:t>
            </w:r>
          </w:p>
        </w:tc>
        <w:tc>
          <w:tcPr>
            <w:tcW w:w="3053" w:type="dxa"/>
          </w:tcPr>
          <w:p w14:paraId="61D17F88"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6EC78548" wp14:editId="77511776">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D32E256" w14:textId="77777777" w:rsidTr="00553F66">
        <w:trPr>
          <w:cantSplit/>
          <w:trHeight w:val="20"/>
        </w:trPr>
        <w:tc>
          <w:tcPr>
            <w:tcW w:w="6619" w:type="dxa"/>
            <w:tcBorders>
              <w:bottom w:val="single" w:sz="12" w:space="0" w:color="auto"/>
            </w:tcBorders>
          </w:tcPr>
          <w:p w14:paraId="1E94C3C7"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4C275D4B" w14:textId="77777777" w:rsidR="00280E04" w:rsidRPr="00A9645C" w:rsidRDefault="00280E04" w:rsidP="002F3031">
            <w:pPr>
              <w:spacing w:before="0" w:line="120" w:lineRule="auto"/>
              <w:rPr>
                <w:lang w:bidi="ar-EG"/>
              </w:rPr>
            </w:pPr>
          </w:p>
        </w:tc>
      </w:tr>
      <w:tr w:rsidR="00280E04" w14:paraId="4450321D" w14:textId="77777777" w:rsidTr="00553F66">
        <w:trPr>
          <w:cantSplit/>
          <w:trHeight w:val="20"/>
        </w:trPr>
        <w:tc>
          <w:tcPr>
            <w:tcW w:w="6619" w:type="dxa"/>
            <w:tcBorders>
              <w:top w:val="single" w:sz="12" w:space="0" w:color="auto"/>
            </w:tcBorders>
          </w:tcPr>
          <w:p w14:paraId="4421B9C9"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CE124DE" w14:textId="77777777" w:rsidR="00280E04" w:rsidRPr="00BD6EF3" w:rsidRDefault="00280E04" w:rsidP="00D44350">
            <w:pPr>
              <w:pStyle w:val="Adress"/>
              <w:framePr w:hSpace="0" w:wrap="auto" w:xAlign="left" w:yAlign="inline"/>
            </w:pPr>
          </w:p>
        </w:tc>
      </w:tr>
      <w:tr w:rsidR="00A809E8" w14:paraId="3BB94F07" w14:textId="77777777" w:rsidTr="00553F66">
        <w:trPr>
          <w:cantSplit/>
        </w:trPr>
        <w:tc>
          <w:tcPr>
            <w:tcW w:w="6619" w:type="dxa"/>
          </w:tcPr>
          <w:p w14:paraId="539F57BA" w14:textId="77777777" w:rsidR="00A809E8" w:rsidRPr="0012545F" w:rsidRDefault="00A809E8" w:rsidP="00C34E09">
            <w:pPr>
              <w:pStyle w:val="Committee"/>
              <w:framePr w:hSpace="0" w:wrap="auto" w:hAnchor="text" w:yAlign="inline"/>
              <w:bidi/>
              <w:spacing w:before="40" w:after="40"/>
              <w:rPr>
                <w:rtl/>
              </w:rPr>
            </w:pPr>
          </w:p>
        </w:tc>
        <w:tc>
          <w:tcPr>
            <w:tcW w:w="3053" w:type="dxa"/>
            <w:vAlign w:val="center"/>
          </w:tcPr>
          <w:p w14:paraId="22F56891" w14:textId="77777777"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553F66">
              <w:t>R</w:t>
            </w:r>
            <w:r w:rsidR="0057610B">
              <w:t>AG</w:t>
            </w:r>
            <w:r w:rsidR="00553F66">
              <w:t>20/</w:t>
            </w:r>
            <w:r w:rsidR="0000694C">
              <w:t>13</w:t>
            </w:r>
            <w:r w:rsidRPr="0012545F">
              <w:t>-A</w:t>
            </w:r>
          </w:p>
        </w:tc>
      </w:tr>
      <w:tr w:rsidR="00A809E8" w14:paraId="7036C5AD" w14:textId="77777777" w:rsidTr="00553F66">
        <w:trPr>
          <w:cantSplit/>
        </w:trPr>
        <w:tc>
          <w:tcPr>
            <w:tcW w:w="6619" w:type="dxa"/>
          </w:tcPr>
          <w:p w14:paraId="4F199CE7"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24A53032" w14:textId="5C5252F4" w:rsidR="00A809E8" w:rsidRPr="0012545F" w:rsidRDefault="0000694C" w:rsidP="00C34E09">
            <w:pPr>
              <w:pStyle w:val="Adress"/>
              <w:framePr w:hSpace="0" w:wrap="auto" w:xAlign="left" w:yAlign="inline"/>
              <w:spacing w:before="40" w:after="40"/>
              <w:rPr>
                <w:rtl/>
              </w:rPr>
            </w:pPr>
            <w:r>
              <w:t>6</w:t>
            </w:r>
            <w:r w:rsidR="00A809E8" w:rsidRPr="0012545F">
              <w:rPr>
                <w:rFonts w:hint="cs"/>
                <w:rtl/>
              </w:rPr>
              <w:t xml:space="preserve"> </w:t>
            </w:r>
            <w:r>
              <w:rPr>
                <w:rFonts w:hint="cs"/>
                <w:rtl/>
              </w:rPr>
              <w:t>مايو</w:t>
            </w:r>
            <w:r w:rsidR="00A809E8" w:rsidRPr="0012545F">
              <w:rPr>
                <w:rFonts w:hint="cs"/>
                <w:rtl/>
              </w:rPr>
              <w:t xml:space="preserve"> </w:t>
            </w:r>
            <w:r w:rsidR="002F3031">
              <w:t>2020</w:t>
            </w:r>
          </w:p>
        </w:tc>
      </w:tr>
      <w:tr w:rsidR="00A809E8" w14:paraId="52181535" w14:textId="77777777" w:rsidTr="00553F66">
        <w:trPr>
          <w:cantSplit/>
        </w:trPr>
        <w:tc>
          <w:tcPr>
            <w:tcW w:w="6619" w:type="dxa"/>
          </w:tcPr>
          <w:p w14:paraId="004A840C"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45B88020"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6DB3F733" w14:textId="77777777" w:rsidTr="00553F66">
        <w:trPr>
          <w:cantSplit/>
        </w:trPr>
        <w:tc>
          <w:tcPr>
            <w:tcW w:w="9672" w:type="dxa"/>
            <w:gridSpan w:val="2"/>
          </w:tcPr>
          <w:p w14:paraId="00F2625B" w14:textId="1A5E9A98" w:rsidR="00764079" w:rsidRPr="00E621A3" w:rsidRDefault="0000694C" w:rsidP="00034B65">
            <w:pPr>
              <w:pStyle w:val="Source"/>
              <w:rPr>
                <w:rtl/>
              </w:rPr>
            </w:pPr>
            <w:r>
              <w:rPr>
                <w:rFonts w:hint="cs"/>
                <w:rtl/>
              </w:rPr>
              <w:t>الولايات المتحدة الأمريكية</w:t>
            </w:r>
          </w:p>
        </w:tc>
      </w:tr>
      <w:tr w:rsidR="00764079" w14:paraId="4A636953" w14:textId="77777777" w:rsidTr="00553F66">
        <w:trPr>
          <w:cantSplit/>
        </w:trPr>
        <w:tc>
          <w:tcPr>
            <w:tcW w:w="9672" w:type="dxa"/>
            <w:gridSpan w:val="2"/>
          </w:tcPr>
          <w:p w14:paraId="2C1F5DEF" w14:textId="3B6C1D45" w:rsidR="00764079" w:rsidRPr="00E63583" w:rsidRDefault="00EC4652" w:rsidP="009C6ABC">
            <w:pPr>
              <w:pStyle w:val="Title1"/>
              <w:spacing w:before="240"/>
              <w:rPr>
                <w:rtl/>
              </w:rPr>
            </w:pPr>
            <w:r>
              <w:rPr>
                <w:rFonts w:hint="cs"/>
                <w:rtl/>
              </w:rPr>
              <w:t xml:space="preserve">تكليفات </w:t>
            </w:r>
            <w:r w:rsidR="00E63583">
              <w:rPr>
                <w:rFonts w:hint="cs"/>
                <w:rtl/>
              </w:rPr>
              <w:t xml:space="preserve">جمعية الاتصالات الراديوية لعام </w:t>
            </w:r>
            <w:r w:rsidR="00E63583">
              <w:t>2019</w:t>
            </w:r>
            <w:r w:rsidR="009C6ABC">
              <w:rPr>
                <w:rtl/>
              </w:rPr>
              <w:br/>
            </w:r>
            <w:r w:rsidR="00E63583">
              <w:rPr>
                <w:rFonts w:hint="cs"/>
                <w:rtl/>
              </w:rPr>
              <w:t>بشأن</w:t>
            </w:r>
            <w:r w:rsidR="00520C35">
              <w:rPr>
                <w:rFonts w:hint="cs"/>
                <w:rtl/>
              </w:rPr>
              <w:t xml:space="preserve"> </w:t>
            </w:r>
            <w:r w:rsidR="00B10868" w:rsidRPr="00080758">
              <w:rPr>
                <w:rFonts w:hint="cs"/>
                <w:rtl/>
              </w:rPr>
              <w:t>مُدد</w:t>
            </w:r>
            <w:r w:rsidR="00520C35" w:rsidRPr="00080758">
              <w:rPr>
                <w:rFonts w:hint="cs"/>
                <w:rtl/>
              </w:rPr>
              <w:t xml:space="preserve"> </w:t>
            </w:r>
            <w:r w:rsidR="004E7BBD" w:rsidRPr="00080758">
              <w:rPr>
                <w:rFonts w:hint="cs"/>
                <w:rtl/>
              </w:rPr>
              <w:t>ا</w:t>
            </w:r>
            <w:r w:rsidR="005B3825" w:rsidRPr="00080758">
              <w:rPr>
                <w:rFonts w:hint="cs"/>
                <w:rtl/>
              </w:rPr>
              <w:t>لولاية</w:t>
            </w:r>
            <w:r w:rsidR="00080758">
              <w:rPr>
                <w:rFonts w:hint="cs"/>
                <w:rtl/>
              </w:rPr>
              <w:t xml:space="preserve"> القصوى</w:t>
            </w:r>
            <w:r w:rsidR="00F01BBC" w:rsidRPr="00B10868">
              <w:rPr>
                <w:rFonts w:hint="cs"/>
                <w:rtl/>
              </w:rPr>
              <w:t xml:space="preserve"> </w:t>
            </w:r>
            <w:r w:rsidR="00A56D17" w:rsidRPr="00F01BBC">
              <w:rPr>
                <w:rFonts w:hint="cs"/>
                <w:rtl/>
              </w:rPr>
              <w:t>والتدريب</w:t>
            </w:r>
          </w:p>
        </w:tc>
      </w:tr>
      <w:tr w:rsidR="0012545F" w14:paraId="562FCA70" w14:textId="77777777" w:rsidTr="00553F66">
        <w:trPr>
          <w:cantSplit/>
        </w:trPr>
        <w:tc>
          <w:tcPr>
            <w:tcW w:w="9672" w:type="dxa"/>
            <w:gridSpan w:val="2"/>
          </w:tcPr>
          <w:p w14:paraId="62CC6446" w14:textId="77777777" w:rsidR="0012545F" w:rsidRDefault="0012545F" w:rsidP="0012545F">
            <w:pPr>
              <w:rPr>
                <w:rtl/>
              </w:rPr>
            </w:pPr>
          </w:p>
        </w:tc>
      </w:tr>
    </w:tbl>
    <w:p w14:paraId="027611F1" w14:textId="2FAC403F" w:rsidR="00EE60E9" w:rsidRPr="0019235A" w:rsidRDefault="0000694C" w:rsidP="008614B8">
      <w:pPr>
        <w:rPr>
          <w:rtl/>
          <w:lang w:bidi="ar-EG"/>
        </w:rPr>
      </w:pPr>
      <w:r w:rsidRPr="0000694C">
        <w:rPr>
          <w:rFonts w:hint="cs"/>
          <w:b/>
          <w:bCs/>
          <w:rtl/>
          <w:lang w:bidi="ar-EG"/>
        </w:rPr>
        <w:t>خلفية</w:t>
      </w:r>
      <w:r>
        <w:rPr>
          <w:rFonts w:hint="cs"/>
          <w:rtl/>
          <w:lang w:bidi="ar-EG"/>
        </w:rPr>
        <w:t xml:space="preserve">: </w:t>
      </w:r>
      <w:r w:rsidR="00A56D17">
        <w:rPr>
          <w:rFonts w:hint="cs"/>
          <w:rtl/>
          <w:lang w:bidi="ar-EG"/>
        </w:rPr>
        <w:t xml:space="preserve">ترغب الولايات المتحدة من خلال هذه المساهمة </w:t>
      </w:r>
      <w:r w:rsidR="001F153A">
        <w:rPr>
          <w:rFonts w:hint="cs"/>
          <w:rtl/>
          <w:lang w:bidi="ar-EG"/>
        </w:rPr>
        <w:t xml:space="preserve">في فتح حوار بشأن تنفيذ </w:t>
      </w:r>
      <w:r w:rsidR="00EC4652">
        <w:rPr>
          <w:rFonts w:hint="cs"/>
          <w:rtl/>
          <w:lang w:bidi="ar-EG"/>
        </w:rPr>
        <w:t xml:space="preserve">تكليفات </w:t>
      </w:r>
      <w:r w:rsidR="0019235A">
        <w:rPr>
          <w:rFonts w:hint="cs"/>
          <w:rtl/>
          <w:lang w:bidi="ar-EG"/>
        </w:rPr>
        <w:t>جمعية الاتصالات الراديوية لعام</w:t>
      </w:r>
      <w:r w:rsidR="000E4889">
        <w:rPr>
          <w:rFonts w:hint="eastAsia"/>
          <w:rtl/>
          <w:lang w:bidi="ar-EG"/>
        </w:rPr>
        <w:t> </w:t>
      </w:r>
      <w:r w:rsidR="0019235A">
        <w:rPr>
          <w:lang w:bidi="ar-EG"/>
        </w:rPr>
        <w:t>2019</w:t>
      </w:r>
      <w:r w:rsidR="0019235A">
        <w:rPr>
          <w:rFonts w:hint="cs"/>
          <w:rtl/>
          <w:lang w:bidi="ar-EG"/>
        </w:rPr>
        <w:t xml:space="preserve"> </w:t>
      </w:r>
      <w:r w:rsidR="0019235A">
        <w:rPr>
          <w:lang w:bidi="ar-EG"/>
        </w:rPr>
        <w:t>(RA-19)</w:t>
      </w:r>
      <w:r w:rsidR="0019235A">
        <w:rPr>
          <w:rFonts w:hint="cs"/>
          <w:rtl/>
          <w:lang w:bidi="ar-EG"/>
        </w:rPr>
        <w:t xml:space="preserve"> الموجهة إلى الفريق الاستشاري للاتصالات الراديوية. وترد هذه </w:t>
      </w:r>
      <w:r w:rsidR="00EC4652">
        <w:rPr>
          <w:rFonts w:hint="cs"/>
          <w:rtl/>
          <w:lang w:bidi="ar-EG"/>
        </w:rPr>
        <w:t xml:space="preserve">التكليفات </w:t>
      </w:r>
      <w:r w:rsidR="0019235A">
        <w:rPr>
          <w:rFonts w:hint="cs"/>
          <w:rtl/>
          <w:lang w:bidi="ar-EG"/>
        </w:rPr>
        <w:t xml:space="preserve">في الوثيقة </w:t>
      </w:r>
      <w:hyperlink r:id="rId13" w:history="1">
        <w:r w:rsidR="0019235A">
          <w:rPr>
            <w:rStyle w:val="Hyperlink"/>
            <w:szCs w:val="24"/>
          </w:rPr>
          <w:t>RA19/PLE</w:t>
        </w:r>
        <w:r w:rsidR="0019235A">
          <w:rPr>
            <w:rStyle w:val="Hyperlink"/>
            <w:szCs w:val="24"/>
          </w:rPr>
          <w:t>N</w:t>
        </w:r>
        <w:r w:rsidR="0019235A">
          <w:rPr>
            <w:rStyle w:val="Hyperlink"/>
            <w:szCs w:val="24"/>
          </w:rPr>
          <w:t>/84</w:t>
        </w:r>
      </w:hyperlink>
      <w:r w:rsidR="0019235A">
        <w:rPr>
          <w:rFonts w:hint="cs"/>
          <w:rtl/>
          <w:lang w:bidi="ar-EG"/>
        </w:rPr>
        <w:t xml:space="preserve"> (الصفحة</w:t>
      </w:r>
      <w:r w:rsidR="00AD3567">
        <w:rPr>
          <w:rFonts w:hint="eastAsia"/>
          <w:rtl/>
          <w:lang w:bidi="ar-EG"/>
        </w:rPr>
        <w:t> </w:t>
      </w:r>
      <w:r w:rsidR="0019235A">
        <w:rPr>
          <w:lang w:bidi="ar-EG"/>
        </w:rPr>
        <w:t>2</w:t>
      </w:r>
      <w:r w:rsidR="0019235A">
        <w:rPr>
          <w:rFonts w:hint="cs"/>
          <w:rtl/>
          <w:lang w:bidi="ar-EG"/>
        </w:rPr>
        <w:t xml:space="preserve">) </w:t>
      </w:r>
      <w:r w:rsidR="004A1365">
        <w:rPr>
          <w:rFonts w:hint="cs"/>
          <w:rtl/>
          <w:lang w:bidi="ar-EG"/>
        </w:rPr>
        <w:t xml:space="preserve">ويمكن اعتبارها </w:t>
      </w:r>
      <w:r w:rsidR="004A1365" w:rsidRPr="00EF2679">
        <w:rPr>
          <w:rFonts w:hint="cs"/>
          <w:rtl/>
          <w:lang w:bidi="ar-EG"/>
        </w:rPr>
        <w:t xml:space="preserve">موضوعين </w:t>
      </w:r>
      <w:r w:rsidR="00EC4652" w:rsidRPr="00EF2679">
        <w:rPr>
          <w:rFonts w:hint="eastAsia"/>
          <w:rtl/>
          <w:lang w:bidi="ar-EG"/>
        </w:rPr>
        <w:t>مترابطين</w:t>
      </w:r>
      <w:r w:rsidR="00187A11">
        <w:rPr>
          <w:rFonts w:hint="cs"/>
          <w:rtl/>
          <w:lang w:bidi="ar-EG"/>
        </w:rPr>
        <w:t xml:space="preserve">. وترد </w:t>
      </w:r>
      <w:r w:rsidR="00EC4652">
        <w:rPr>
          <w:rFonts w:hint="cs"/>
          <w:rtl/>
          <w:lang w:bidi="ar-EG"/>
        </w:rPr>
        <w:t xml:space="preserve">التكليفات </w:t>
      </w:r>
      <w:r w:rsidR="00187A11">
        <w:rPr>
          <w:rFonts w:hint="cs"/>
          <w:rtl/>
          <w:lang w:bidi="ar-EG"/>
        </w:rPr>
        <w:t>على النحو التالي:</w:t>
      </w:r>
    </w:p>
    <w:p w14:paraId="7B61B580" w14:textId="68F1E867" w:rsidR="0000694C" w:rsidRPr="0000694C" w:rsidRDefault="0000694C" w:rsidP="00695196">
      <w:pPr>
        <w:ind w:left="794"/>
        <w:rPr>
          <w:rtl/>
          <w:lang w:bidi="ar-EG"/>
        </w:rPr>
      </w:pPr>
      <w:r w:rsidRPr="0000694C">
        <w:rPr>
          <w:rFonts w:hint="cs"/>
          <w:rtl/>
          <w:lang w:bidi="ar-EG"/>
        </w:rPr>
        <w:t xml:space="preserve">تكلف جمعية الاتصالات الراديوية لعام </w:t>
      </w:r>
      <w:r w:rsidRPr="0000694C">
        <w:t>2019</w:t>
      </w:r>
      <w:r w:rsidRPr="0000694C">
        <w:rPr>
          <w:rFonts w:hint="cs"/>
          <w:rtl/>
          <w:lang w:bidi="ar-EG"/>
        </w:rPr>
        <w:t xml:space="preserve"> الفريق الاستشاري للاتصالات الراديوية </w:t>
      </w:r>
      <w:r w:rsidRPr="0000694C">
        <w:t>(RAG)</w:t>
      </w:r>
      <w:r w:rsidRPr="0000694C">
        <w:rPr>
          <w:rFonts w:hint="cs"/>
          <w:rtl/>
          <w:lang w:bidi="ar-EG"/>
        </w:rPr>
        <w:t xml:space="preserve">، استناداً إلى المقترحات المقدمة من الدول الأعضاء وأعضاء القطاعات وبالتشاور مع رؤساء لجان الدراسات، باستعراض المدة القصوى </w:t>
      </w:r>
      <w:r w:rsidR="00EC4652">
        <w:rPr>
          <w:rFonts w:hint="cs"/>
          <w:rtl/>
          <w:lang w:bidi="ar-EG"/>
        </w:rPr>
        <w:t>لولاية</w:t>
      </w:r>
      <w:r w:rsidR="00EC4652" w:rsidRPr="0000694C">
        <w:rPr>
          <w:rFonts w:hint="cs"/>
          <w:rtl/>
          <w:lang w:bidi="ar-EG"/>
        </w:rPr>
        <w:t xml:space="preserve"> </w:t>
      </w:r>
      <w:r w:rsidRPr="0000694C">
        <w:rPr>
          <w:rFonts w:hint="cs"/>
          <w:rtl/>
          <w:lang w:bidi="ar-EG"/>
        </w:rPr>
        <w:t xml:space="preserve">رؤساء فرق عمل الاتصالات الراديوية ورفع تقرير بنتائج هذا الاستعراض إلى جمعية الاتصالات الراديوية لعام </w:t>
      </w:r>
      <w:r w:rsidRPr="0000694C">
        <w:t>2023</w:t>
      </w:r>
      <w:r w:rsidRPr="0000694C">
        <w:rPr>
          <w:rFonts w:hint="cs"/>
          <w:rtl/>
          <w:lang w:bidi="ar-EG"/>
        </w:rPr>
        <w:t>.</w:t>
      </w:r>
    </w:p>
    <w:p w14:paraId="6E7CE7E8" w14:textId="2B940949" w:rsidR="0000694C" w:rsidRPr="008C13D0" w:rsidRDefault="0000694C" w:rsidP="00695196">
      <w:pPr>
        <w:ind w:left="794"/>
        <w:rPr>
          <w:spacing w:val="-2"/>
          <w:rtl/>
          <w:lang w:bidi="ar-EG"/>
        </w:rPr>
      </w:pPr>
      <w:r w:rsidRPr="008C13D0">
        <w:rPr>
          <w:rFonts w:hint="cs"/>
          <w:spacing w:val="-2"/>
          <w:rtl/>
          <w:lang w:bidi="ar-EG"/>
        </w:rPr>
        <w:t xml:space="preserve">كما تكلف جمعية الاتصالات الراديوية لعام </w:t>
      </w:r>
      <w:r w:rsidRPr="008C13D0">
        <w:rPr>
          <w:spacing w:val="-2"/>
        </w:rPr>
        <w:t>2019</w:t>
      </w:r>
      <w:r w:rsidRPr="008C13D0">
        <w:rPr>
          <w:rFonts w:hint="cs"/>
          <w:spacing w:val="-2"/>
          <w:rtl/>
          <w:lang w:bidi="ar-EG"/>
        </w:rPr>
        <w:t xml:space="preserve"> الفريق الاستشاري للاتصالات الراديوية</w:t>
      </w:r>
      <w:r w:rsidRPr="008C13D0">
        <w:rPr>
          <w:rFonts w:hint="eastAsia"/>
          <w:spacing w:val="-2"/>
          <w:rtl/>
          <w:lang w:bidi="ar-EG"/>
        </w:rPr>
        <w:t> </w:t>
      </w:r>
      <w:r w:rsidRPr="008C13D0">
        <w:rPr>
          <w:spacing w:val="-2"/>
        </w:rPr>
        <w:t>(RAG)</w:t>
      </w:r>
      <w:r w:rsidRPr="008C13D0">
        <w:rPr>
          <w:rFonts w:hint="cs"/>
          <w:spacing w:val="-2"/>
          <w:rtl/>
          <w:lang w:bidi="ar-EG"/>
        </w:rPr>
        <w:t>، استناداً إلى المقترحات المقدمة من الدول الأعضاء وأعضاء القطاعات وبالتشاور مع رؤساء لجان الدراسات، بالنظر في مدى الحاجة إلى مراجعة القرار</w:t>
      </w:r>
      <w:r w:rsidRPr="008C13D0">
        <w:rPr>
          <w:rFonts w:hint="eastAsia"/>
          <w:spacing w:val="-2"/>
          <w:rtl/>
          <w:lang w:bidi="ar-EG"/>
        </w:rPr>
        <w:t> </w:t>
      </w:r>
      <w:r w:rsidRPr="008C13D0">
        <w:rPr>
          <w:spacing w:val="-2"/>
        </w:rPr>
        <w:t>ITU</w:t>
      </w:r>
      <w:r w:rsidRPr="008C13D0">
        <w:rPr>
          <w:spacing w:val="-2"/>
        </w:rPr>
        <w:noBreakHyphen/>
        <w:t>R 1</w:t>
      </w:r>
      <w:r w:rsidRPr="008C13D0">
        <w:rPr>
          <w:rFonts w:hint="cs"/>
          <w:spacing w:val="-2"/>
          <w:rtl/>
          <w:lang w:bidi="ar-EG"/>
        </w:rPr>
        <w:t>، بما في ذلك إضافة أحكام بشأن تدريب رؤساء ونواب رؤساء لجان الدراسات المنتخبين</w:t>
      </w:r>
      <w:r w:rsidR="00410079" w:rsidRPr="008C13D0">
        <w:rPr>
          <w:rFonts w:hint="eastAsia"/>
          <w:spacing w:val="-2"/>
          <w:rtl/>
          <w:lang w:bidi="ar-EG"/>
        </w:rPr>
        <w:t> </w:t>
      </w:r>
      <w:r w:rsidRPr="008C13D0">
        <w:rPr>
          <w:rFonts w:hint="cs"/>
          <w:spacing w:val="-2"/>
          <w:rtl/>
          <w:lang w:bidi="ar-EG"/>
        </w:rPr>
        <w:t>حديثاً.</w:t>
      </w:r>
    </w:p>
    <w:p w14:paraId="5113B05D" w14:textId="70D39ADE" w:rsidR="0000694C" w:rsidRPr="008C13D0" w:rsidRDefault="000D50E4" w:rsidP="0000694C">
      <w:pPr>
        <w:rPr>
          <w:spacing w:val="-6"/>
          <w:rtl/>
          <w:lang w:bidi="ar-SY"/>
        </w:rPr>
      </w:pPr>
      <w:r w:rsidRPr="008C13D0">
        <w:rPr>
          <w:rFonts w:hint="cs"/>
          <w:spacing w:val="-6"/>
          <w:rtl/>
        </w:rPr>
        <w:t>وفي إطار هذا الحوار، يذكَّر الفريق الاستشاري بالمساهمة المقدمة من الولايات المتحدة إلى</w:t>
      </w:r>
      <w:r w:rsidR="00B71852" w:rsidRPr="008C13D0">
        <w:rPr>
          <w:rFonts w:hint="cs"/>
          <w:spacing w:val="-6"/>
          <w:rtl/>
        </w:rPr>
        <w:t xml:space="preserve"> </w:t>
      </w:r>
      <w:r w:rsidRPr="008C13D0">
        <w:rPr>
          <w:rFonts w:hint="cs"/>
          <w:spacing w:val="-6"/>
          <w:rtl/>
        </w:rPr>
        <w:t xml:space="preserve">جمعية </w:t>
      </w:r>
      <w:r w:rsidR="00B71852" w:rsidRPr="008C13D0">
        <w:rPr>
          <w:rFonts w:hint="cs"/>
          <w:spacing w:val="-6"/>
          <w:rtl/>
        </w:rPr>
        <w:t>الاتصالات الراديوية لعام</w:t>
      </w:r>
      <w:r w:rsidR="00B10BC7" w:rsidRPr="008C13D0">
        <w:rPr>
          <w:rFonts w:hint="eastAsia"/>
          <w:spacing w:val="-6"/>
          <w:rtl/>
        </w:rPr>
        <w:t> </w:t>
      </w:r>
      <w:r w:rsidR="00B71852" w:rsidRPr="008C13D0">
        <w:rPr>
          <w:spacing w:val="-6"/>
        </w:rPr>
        <w:t>2019</w:t>
      </w:r>
      <w:r w:rsidR="00B71852" w:rsidRPr="008C13D0">
        <w:rPr>
          <w:rFonts w:hint="cs"/>
          <w:spacing w:val="-6"/>
          <w:rtl/>
          <w:lang w:bidi="ar-EG"/>
        </w:rPr>
        <w:t xml:space="preserve"> الواردة </w:t>
      </w:r>
      <w:r w:rsidR="00695196" w:rsidRPr="008C13D0">
        <w:rPr>
          <w:rFonts w:hint="cs"/>
          <w:spacing w:val="-6"/>
          <w:rtl/>
          <w:lang w:bidi="ar-EG"/>
        </w:rPr>
        <w:t xml:space="preserve">في الوثيقة </w:t>
      </w:r>
      <w:hyperlink r:id="rId14" w:history="1">
        <w:r w:rsidR="00695196" w:rsidRPr="008C13D0">
          <w:rPr>
            <w:color w:val="0000FF" w:themeColor="hyperlink"/>
            <w:spacing w:val="-6"/>
            <w:szCs w:val="24"/>
            <w:u w:val="single"/>
          </w:rPr>
          <w:t>RA19/PLEN/14</w:t>
        </w:r>
      </w:hyperlink>
      <w:r w:rsidR="00695196" w:rsidRPr="008C13D0">
        <w:rPr>
          <w:rFonts w:hint="cs"/>
          <w:spacing w:val="-6"/>
          <w:rtl/>
        </w:rPr>
        <w:t xml:space="preserve"> </w:t>
      </w:r>
      <w:r w:rsidR="00B71852" w:rsidRPr="008C13D0">
        <w:rPr>
          <w:rFonts w:hint="cs"/>
          <w:spacing w:val="-6"/>
          <w:rtl/>
        </w:rPr>
        <w:t>و</w:t>
      </w:r>
      <w:r w:rsidR="00695196" w:rsidRPr="008C13D0">
        <w:rPr>
          <w:rFonts w:hint="cs"/>
          <w:spacing w:val="-6"/>
          <w:rtl/>
        </w:rPr>
        <w:t>التي تتضمن</w:t>
      </w:r>
      <w:r w:rsidR="0000694C" w:rsidRPr="008C13D0">
        <w:rPr>
          <w:rFonts w:hint="cs"/>
          <w:spacing w:val="-6"/>
          <w:rtl/>
        </w:rPr>
        <w:t xml:space="preserve"> "</w:t>
      </w:r>
      <w:r w:rsidR="0000694C" w:rsidRPr="008C13D0">
        <w:rPr>
          <w:rFonts w:hint="cs"/>
          <w:spacing w:val="-6"/>
          <w:rtl/>
          <w:lang w:bidi="ar-EG"/>
        </w:rPr>
        <w:t xml:space="preserve">الأساس المنطقي والمبررات" </w:t>
      </w:r>
      <w:r w:rsidR="00B71852" w:rsidRPr="008C13D0">
        <w:rPr>
          <w:rFonts w:hint="cs"/>
          <w:spacing w:val="-6"/>
          <w:rtl/>
          <w:lang w:bidi="ar-EG"/>
        </w:rPr>
        <w:t>ل</w:t>
      </w:r>
      <w:r w:rsidR="00695196" w:rsidRPr="008C13D0">
        <w:rPr>
          <w:rFonts w:hint="cs"/>
          <w:spacing w:val="-6"/>
          <w:rtl/>
          <w:lang w:bidi="ar-EG"/>
        </w:rPr>
        <w:t xml:space="preserve">مراجعة </w:t>
      </w:r>
      <w:r w:rsidR="0000694C" w:rsidRPr="008C13D0">
        <w:rPr>
          <w:rFonts w:hint="cs"/>
          <w:spacing w:val="-6"/>
          <w:rtl/>
          <w:lang w:bidi="ar-EG"/>
        </w:rPr>
        <w:t xml:space="preserve">القرار </w:t>
      </w:r>
      <w:r w:rsidR="0000694C" w:rsidRPr="008C13D0">
        <w:rPr>
          <w:spacing w:val="-6"/>
          <w:lang w:bidi="ar-EG"/>
        </w:rPr>
        <w:t>ITU-R 15-6</w:t>
      </w:r>
      <w:r w:rsidR="0000694C" w:rsidRPr="008C13D0">
        <w:rPr>
          <w:rFonts w:hint="cs"/>
          <w:spacing w:val="-6"/>
          <w:rtl/>
          <w:lang w:bidi="ar-EG"/>
        </w:rPr>
        <w:t xml:space="preserve"> - "</w:t>
      </w:r>
      <w:r w:rsidR="0000694C" w:rsidRPr="008C13D0">
        <w:rPr>
          <w:rFonts w:hint="cs"/>
          <w:spacing w:val="-6"/>
          <w:rtl/>
          <w:lang w:bidi="ar-SY"/>
        </w:rPr>
        <w:t>تعيين رؤساء لجان دراسات الاتصالات الراديوية ولجنة تنسيق المفردات والفريق الاستشاري للاتصالات الراديوية ونوابهم، وأقصى مدة لشغلهم مناصبهم".</w:t>
      </w:r>
    </w:p>
    <w:p w14:paraId="0C309408" w14:textId="0EDF08E2" w:rsidR="0000694C" w:rsidRPr="008C13D0" w:rsidRDefault="00FA2FFE" w:rsidP="0000694C">
      <w:pPr>
        <w:rPr>
          <w:spacing w:val="-6"/>
          <w:rtl/>
        </w:rPr>
      </w:pPr>
      <w:r w:rsidRPr="008C13D0">
        <w:rPr>
          <w:rFonts w:hint="cs"/>
          <w:spacing w:val="-6"/>
          <w:rtl/>
          <w:lang w:bidi="ar-SY"/>
        </w:rPr>
        <w:t>وينبغي أيضاً اعتبار</w:t>
      </w:r>
      <w:r w:rsidR="0000694C" w:rsidRPr="008C13D0">
        <w:rPr>
          <w:rFonts w:hint="cs"/>
          <w:spacing w:val="-6"/>
          <w:rtl/>
          <w:lang w:bidi="ar-SY"/>
        </w:rPr>
        <w:t xml:space="preserve"> الوثيقة </w:t>
      </w:r>
      <w:hyperlink r:id="rId15" w:history="1">
        <w:r w:rsidR="0000694C" w:rsidRPr="008C13D0">
          <w:rPr>
            <w:color w:val="0000FF" w:themeColor="hyperlink"/>
            <w:spacing w:val="-6"/>
            <w:szCs w:val="24"/>
            <w:u w:val="single"/>
          </w:rPr>
          <w:t>RA19/PLEN/14</w:t>
        </w:r>
      </w:hyperlink>
      <w:r w:rsidR="0000694C" w:rsidRPr="008C13D0">
        <w:rPr>
          <w:rFonts w:hint="cs"/>
          <w:spacing w:val="-6"/>
          <w:rtl/>
        </w:rPr>
        <w:t xml:space="preserve"> </w:t>
      </w:r>
      <w:r w:rsidR="0016487C" w:rsidRPr="008C13D0">
        <w:rPr>
          <w:rFonts w:hint="cs"/>
          <w:spacing w:val="-6"/>
          <w:rtl/>
        </w:rPr>
        <w:t>جزءاً من هذه المساهمة</w:t>
      </w:r>
      <w:r w:rsidR="00483A6C" w:rsidRPr="008C13D0">
        <w:rPr>
          <w:rFonts w:hint="cs"/>
          <w:spacing w:val="-6"/>
          <w:rtl/>
        </w:rPr>
        <w:t>، مع ما يرد أدناه من مبررات إضافية بما فيها الحاجة إلى</w:t>
      </w:r>
      <w:r w:rsidR="000E4889" w:rsidRPr="008C13D0">
        <w:rPr>
          <w:rFonts w:hint="eastAsia"/>
          <w:spacing w:val="-6"/>
          <w:rtl/>
        </w:rPr>
        <w:t> </w:t>
      </w:r>
      <w:r w:rsidR="00483A6C" w:rsidRPr="008C13D0">
        <w:rPr>
          <w:rFonts w:hint="cs"/>
          <w:spacing w:val="-6"/>
          <w:rtl/>
        </w:rPr>
        <w:t>التدريب.</w:t>
      </w:r>
    </w:p>
    <w:p w14:paraId="5E5AB678" w14:textId="0CC2DE01" w:rsidR="0000694C" w:rsidRDefault="00483A6C" w:rsidP="0000694C">
      <w:pPr>
        <w:rPr>
          <w:rtl/>
          <w:lang w:bidi="ar-EG"/>
        </w:rPr>
      </w:pPr>
      <w:r>
        <w:rPr>
          <w:rFonts w:hint="cs"/>
          <w:b/>
          <w:bCs/>
          <w:rtl/>
        </w:rPr>
        <w:t>مناقشة ومبررات إضافية</w:t>
      </w:r>
      <w:r w:rsidR="0000694C" w:rsidRPr="00695196">
        <w:rPr>
          <w:rFonts w:hint="cs"/>
          <w:b/>
          <w:bCs/>
          <w:rtl/>
        </w:rPr>
        <w:t>:</w:t>
      </w:r>
      <w:r w:rsidR="0000694C">
        <w:rPr>
          <w:rFonts w:hint="cs"/>
          <w:rtl/>
        </w:rPr>
        <w:t xml:space="preserve"> </w:t>
      </w:r>
      <w:r>
        <w:rPr>
          <w:rFonts w:hint="cs"/>
          <w:rtl/>
        </w:rPr>
        <w:t>أولاً وقبل كل ش</w:t>
      </w:r>
      <w:r w:rsidR="005E10EB">
        <w:rPr>
          <w:rFonts w:hint="cs"/>
          <w:rtl/>
        </w:rPr>
        <w:t>يء، لا تقترح الولايات المتحدة أي آلية من شأنها أن تؤثر على حق أي لجنة دراسات في الاضطلاع بأعمالها ووظائفها.</w:t>
      </w:r>
    </w:p>
    <w:p w14:paraId="1C9E0B45" w14:textId="1E84B4A5" w:rsidR="0000694C" w:rsidRPr="009C6ABC" w:rsidRDefault="005E10EB" w:rsidP="0000694C">
      <w:pPr>
        <w:rPr>
          <w:spacing w:val="2"/>
          <w:rtl/>
        </w:rPr>
      </w:pPr>
      <w:r w:rsidRPr="009C6ABC">
        <w:rPr>
          <w:rFonts w:hint="cs"/>
          <w:spacing w:val="2"/>
          <w:rtl/>
        </w:rPr>
        <w:t xml:space="preserve">وحتى الآن، لا </w:t>
      </w:r>
      <w:r w:rsidR="00B10868" w:rsidRPr="009C6ABC">
        <w:rPr>
          <w:rFonts w:hint="cs"/>
          <w:spacing w:val="2"/>
          <w:rtl/>
        </w:rPr>
        <w:t>ت</w:t>
      </w:r>
      <w:r w:rsidRPr="009C6ABC">
        <w:rPr>
          <w:rFonts w:hint="cs"/>
          <w:spacing w:val="2"/>
          <w:rtl/>
        </w:rPr>
        <w:t xml:space="preserve">وجد </w:t>
      </w:r>
      <w:r w:rsidR="00B10868" w:rsidRPr="009C6ABC">
        <w:rPr>
          <w:rFonts w:hint="cs"/>
          <w:spacing w:val="2"/>
          <w:rtl/>
        </w:rPr>
        <w:t>مدة</w:t>
      </w:r>
      <w:r w:rsidR="00520C35" w:rsidRPr="009C6ABC">
        <w:rPr>
          <w:rFonts w:hint="cs"/>
          <w:spacing w:val="2"/>
          <w:rtl/>
        </w:rPr>
        <w:t xml:space="preserve"> </w:t>
      </w:r>
      <w:r w:rsidR="00B10868" w:rsidRPr="009C6ABC">
        <w:rPr>
          <w:rFonts w:hint="cs"/>
          <w:spacing w:val="2"/>
          <w:rtl/>
        </w:rPr>
        <w:t>قصوى</w:t>
      </w:r>
      <w:r w:rsidR="00520C35" w:rsidRPr="009C6ABC">
        <w:rPr>
          <w:rFonts w:hint="cs"/>
          <w:spacing w:val="2"/>
          <w:rtl/>
        </w:rPr>
        <w:t xml:space="preserve"> معر</w:t>
      </w:r>
      <w:r w:rsidR="00FF1609" w:rsidRPr="009C6ABC">
        <w:rPr>
          <w:rFonts w:hint="cs"/>
          <w:spacing w:val="2"/>
          <w:rtl/>
        </w:rPr>
        <w:t>َّ</w:t>
      </w:r>
      <w:r w:rsidR="00520C35" w:rsidRPr="009C6ABC">
        <w:rPr>
          <w:rFonts w:hint="cs"/>
          <w:spacing w:val="2"/>
          <w:rtl/>
        </w:rPr>
        <w:t>ف</w:t>
      </w:r>
      <w:r w:rsidR="00B10868" w:rsidRPr="009C6ABC">
        <w:rPr>
          <w:rFonts w:hint="cs"/>
          <w:spacing w:val="2"/>
          <w:rtl/>
        </w:rPr>
        <w:t>ة</w:t>
      </w:r>
      <w:r w:rsidR="00520C35" w:rsidRPr="009C6ABC">
        <w:rPr>
          <w:rFonts w:hint="cs"/>
          <w:spacing w:val="2"/>
          <w:rtl/>
        </w:rPr>
        <w:t xml:space="preserve"> لولاية </w:t>
      </w:r>
      <w:r w:rsidR="00B04399" w:rsidRPr="009C6ABC">
        <w:rPr>
          <w:rFonts w:hint="cs"/>
          <w:spacing w:val="2"/>
          <w:rtl/>
        </w:rPr>
        <w:t>رؤساء فرق عمل قطاع الاتصالات الراديوية ونوابهم</w:t>
      </w:r>
      <w:r w:rsidR="00FF1609" w:rsidRPr="009C6ABC">
        <w:rPr>
          <w:rFonts w:hint="cs"/>
          <w:spacing w:val="2"/>
          <w:rtl/>
        </w:rPr>
        <w:t xml:space="preserve">، </w:t>
      </w:r>
      <w:r w:rsidR="00B04399" w:rsidRPr="009C6ABC">
        <w:rPr>
          <w:rFonts w:hint="cs"/>
          <w:spacing w:val="2"/>
          <w:rtl/>
        </w:rPr>
        <w:t xml:space="preserve">ما يتيح لشاغلي هذه المناصب فرصة الاستمرار في هذه الأدوار </w:t>
      </w:r>
      <w:r w:rsidR="00FF1609" w:rsidRPr="009C6ABC">
        <w:rPr>
          <w:rFonts w:hint="cs"/>
          <w:spacing w:val="2"/>
          <w:rtl/>
        </w:rPr>
        <w:t xml:space="preserve">إلى أجل غير </w:t>
      </w:r>
      <w:r w:rsidR="00994308" w:rsidRPr="009C6ABC">
        <w:rPr>
          <w:rFonts w:hint="cs"/>
          <w:spacing w:val="2"/>
          <w:rtl/>
        </w:rPr>
        <w:t>محدد، على أن يحص</w:t>
      </w:r>
      <w:r w:rsidR="00ED5089" w:rsidRPr="009C6ABC">
        <w:rPr>
          <w:rFonts w:hint="cs"/>
          <w:spacing w:val="2"/>
          <w:rtl/>
        </w:rPr>
        <w:t>ل</w:t>
      </w:r>
      <w:r w:rsidR="00994308" w:rsidRPr="009C6ABC">
        <w:rPr>
          <w:rFonts w:hint="cs"/>
          <w:spacing w:val="2"/>
          <w:rtl/>
        </w:rPr>
        <w:t xml:space="preserve">وا على دعم </w:t>
      </w:r>
      <w:r w:rsidR="00ED5089" w:rsidRPr="009C6ABC">
        <w:rPr>
          <w:rFonts w:hint="cs"/>
          <w:spacing w:val="2"/>
          <w:rtl/>
        </w:rPr>
        <w:t>مستمر</w:t>
      </w:r>
      <w:r w:rsidR="00994308" w:rsidRPr="009C6ABC">
        <w:rPr>
          <w:rFonts w:hint="cs"/>
          <w:spacing w:val="2"/>
          <w:rtl/>
        </w:rPr>
        <w:t xml:space="preserve"> من الوكالة </w:t>
      </w:r>
      <w:r w:rsidR="00ED5089" w:rsidRPr="009C6ABC">
        <w:rPr>
          <w:rFonts w:hint="cs"/>
          <w:spacing w:val="2"/>
          <w:rtl/>
        </w:rPr>
        <w:t>الراعية</w:t>
      </w:r>
      <w:r w:rsidR="00994308" w:rsidRPr="009C6ABC">
        <w:rPr>
          <w:rFonts w:hint="cs"/>
          <w:spacing w:val="2"/>
          <w:rtl/>
        </w:rPr>
        <w:t xml:space="preserve"> لهم والإدارة التي </w:t>
      </w:r>
      <w:r w:rsidR="00ED5089" w:rsidRPr="009C6ABC">
        <w:rPr>
          <w:rFonts w:hint="cs"/>
          <w:spacing w:val="2"/>
          <w:rtl/>
        </w:rPr>
        <w:t>ينتمون إليها</w:t>
      </w:r>
      <w:r w:rsidR="0000694C" w:rsidRPr="009C6ABC">
        <w:rPr>
          <w:rFonts w:hint="cs"/>
          <w:spacing w:val="2"/>
          <w:rtl/>
        </w:rPr>
        <w:t>.</w:t>
      </w:r>
    </w:p>
    <w:p w14:paraId="391DCC13" w14:textId="3F0ED7EE" w:rsidR="0000694C" w:rsidRDefault="00ED5089" w:rsidP="0000694C">
      <w:pPr>
        <w:rPr>
          <w:rtl/>
        </w:rPr>
      </w:pPr>
      <w:r>
        <w:rPr>
          <w:rFonts w:hint="cs"/>
          <w:rtl/>
        </w:rPr>
        <w:t xml:space="preserve">ولا </w:t>
      </w:r>
      <w:r w:rsidR="00905900">
        <w:rPr>
          <w:rFonts w:hint="cs"/>
          <w:rtl/>
        </w:rPr>
        <w:t>ت</w:t>
      </w:r>
      <w:r w:rsidR="00685AE2">
        <w:rPr>
          <w:rFonts w:hint="cs"/>
          <w:rtl/>
        </w:rPr>
        <w:t xml:space="preserve">تيح </w:t>
      </w:r>
      <w:r w:rsidR="00905900">
        <w:rPr>
          <w:rFonts w:hint="cs"/>
          <w:rtl/>
        </w:rPr>
        <w:t>روح الزمالة في العمل داخل قطاع الاتصالات الراديوية بالاتحاد أي فرصة</w:t>
      </w:r>
      <w:r w:rsidR="0047284A">
        <w:t xml:space="preserve"> </w:t>
      </w:r>
      <w:r w:rsidR="00C40684">
        <w:rPr>
          <w:rFonts w:hint="cs"/>
          <w:rtl/>
        </w:rPr>
        <w:t xml:space="preserve">للاختلاف </w:t>
      </w:r>
      <w:r w:rsidR="00905900">
        <w:rPr>
          <w:rFonts w:hint="cs"/>
          <w:rtl/>
        </w:rPr>
        <w:t xml:space="preserve">مع </w:t>
      </w:r>
      <w:r w:rsidR="0090409C">
        <w:rPr>
          <w:rFonts w:hint="cs"/>
          <w:rtl/>
        </w:rPr>
        <w:t>رئيس حالي لفرقة عمل</w:t>
      </w:r>
      <w:r w:rsidR="003A204A">
        <w:rPr>
          <w:rFonts w:hint="cs"/>
          <w:rtl/>
        </w:rPr>
        <w:t xml:space="preserve"> </w:t>
      </w:r>
      <w:r w:rsidR="003A204A">
        <w:rPr>
          <w:rtl/>
        </w:rPr>
        <w:t>–</w:t>
      </w:r>
      <w:r w:rsidR="003A204A">
        <w:rPr>
          <w:rFonts w:hint="cs"/>
          <w:rtl/>
        </w:rPr>
        <w:t xml:space="preserve"> فبعض هؤلاء الرؤساء يشغلون المن</w:t>
      </w:r>
      <w:r w:rsidR="00EB70B1">
        <w:rPr>
          <w:rFonts w:hint="cs"/>
          <w:rtl/>
        </w:rPr>
        <w:t xml:space="preserve">صب منذ أكثر من </w:t>
      </w:r>
      <w:r w:rsidR="00EB70B1">
        <w:t>20</w:t>
      </w:r>
      <w:r w:rsidR="00EB70B1">
        <w:rPr>
          <w:rFonts w:hint="cs"/>
          <w:rtl/>
          <w:lang w:bidi="ar-EG"/>
        </w:rPr>
        <w:t xml:space="preserve"> عاماً</w:t>
      </w:r>
      <w:r w:rsidR="0000694C">
        <w:rPr>
          <w:rFonts w:hint="cs"/>
          <w:rtl/>
        </w:rPr>
        <w:t>.</w:t>
      </w:r>
    </w:p>
    <w:p w14:paraId="4ECEB1C4" w14:textId="0B3C80FD" w:rsidR="0000694C" w:rsidRDefault="00EB70B1" w:rsidP="0000694C">
      <w:pPr>
        <w:rPr>
          <w:rtl/>
        </w:rPr>
      </w:pPr>
      <w:r>
        <w:rPr>
          <w:rFonts w:hint="cs"/>
          <w:rtl/>
        </w:rPr>
        <w:t xml:space="preserve">وتتمتع لجان دراسات قطاع الاتصالات الراديوية بالاستقلالية </w:t>
      </w:r>
      <w:r w:rsidR="000E4CC8">
        <w:rPr>
          <w:rFonts w:hint="cs"/>
          <w:rtl/>
        </w:rPr>
        <w:t>في تحديد هيكلها الداخلي (بما يشمل فرق العمل) وتعيين قياداتها</w:t>
      </w:r>
      <w:r w:rsidR="0000694C">
        <w:rPr>
          <w:rFonts w:hint="cs"/>
          <w:rtl/>
        </w:rPr>
        <w:t>.</w:t>
      </w:r>
      <w:r w:rsidR="005A51E9">
        <w:rPr>
          <w:rFonts w:hint="cs"/>
          <w:rtl/>
        </w:rPr>
        <w:t xml:space="preserve"> </w:t>
      </w:r>
      <w:r w:rsidR="004D521D">
        <w:rPr>
          <w:rFonts w:hint="cs"/>
          <w:rtl/>
        </w:rPr>
        <w:t>و</w:t>
      </w:r>
      <w:r w:rsidR="003E5943">
        <w:rPr>
          <w:rFonts w:hint="cs"/>
          <w:rtl/>
        </w:rPr>
        <w:t xml:space="preserve">لا يتغير </w:t>
      </w:r>
      <w:r w:rsidR="004D521D">
        <w:rPr>
          <w:rFonts w:hint="cs"/>
          <w:rtl/>
        </w:rPr>
        <w:t>هذا الهيكل</w:t>
      </w:r>
      <w:r w:rsidR="003E5943">
        <w:rPr>
          <w:rFonts w:hint="cs"/>
          <w:rtl/>
        </w:rPr>
        <w:t xml:space="preserve"> إلاّ نادراً، إن تغير أصلاً.</w:t>
      </w:r>
    </w:p>
    <w:p w14:paraId="46C85A8C" w14:textId="3FE4AF8D" w:rsidR="0000694C" w:rsidRDefault="0000694C" w:rsidP="00A52F4A">
      <w:pPr>
        <w:pStyle w:val="enumlev1"/>
        <w:rPr>
          <w:rtl/>
        </w:rPr>
      </w:pPr>
      <w:r>
        <w:sym w:font="Symbol" w:char="F0B7"/>
      </w:r>
      <w:r>
        <w:rPr>
          <w:rtl/>
        </w:rPr>
        <w:tab/>
      </w:r>
      <w:r w:rsidR="00793FCC" w:rsidRPr="00793FCC">
        <w:rPr>
          <w:rFonts w:hint="cs"/>
          <w:b/>
          <w:bCs/>
          <w:rtl/>
        </w:rPr>
        <w:t>عدم وجود فرص للارتقاء الوظيفي</w:t>
      </w:r>
      <w:r>
        <w:rPr>
          <w:rFonts w:hint="cs"/>
          <w:rtl/>
        </w:rPr>
        <w:t xml:space="preserve">: </w:t>
      </w:r>
      <w:r w:rsidR="00793FCC">
        <w:rPr>
          <w:rFonts w:hint="cs"/>
          <w:rtl/>
        </w:rPr>
        <w:t xml:space="preserve">يؤدي استمرار الوضع الراهن إلى </w:t>
      </w:r>
      <w:r w:rsidR="0015717E">
        <w:rPr>
          <w:rFonts w:hint="cs"/>
          <w:rtl/>
        </w:rPr>
        <w:t xml:space="preserve">الحد من فرص القادة الناشئين في مجال تكنولوجيا المعلومات والاتصالات في </w:t>
      </w:r>
      <w:r w:rsidR="00BB538F">
        <w:rPr>
          <w:rFonts w:hint="cs"/>
          <w:rtl/>
        </w:rPr>
        <w:t>تولي</w:t>
      </w:r>
      <w:r w:rsidR="0015717E">
        <w:rPr>
          <w:rFonts w:hint="cs"/>
          <w:rtl/>
        </w:rPr>
        <w:t xml:space="preserve"> </w:t>
      </w:r>
      <w:r w:rsidR="00BB538F">
        <w:rPr>
          <w:rFonts w:hint="cs"/>
          <w:rtl/>
        </w:rPr>
        <w:t>مناصب قيادية داخل هيكل لجان دراسات قطاع الاتصالات الراديوية.</w:t>
      </w:r>
      <w:r w:rsidR="0015717E">
        <w:rPr>
          <w:rFonts w:hint="cs"/>
          <w:rtl/>
        </w:rPr>
        <w:t xml:space="preserve"> </w:t>
      </w:r>
      <w:r w:rsidR="004E14B1">
        <w:rPr>
          <w:rFonts w:hint="cs"/>
          <w:rtl/>
        </w:rPr>
        <w:t>و</w:t>
      </w:r>
      <w:r w:rsidRPr="0000694C">
        <w:rPr>
          <w:rFonts w:hint="cs"/>
          <w:rtl/>
        </w:rPr>
        <w:t>تتاح حالياً تسع فرص محدودة المدة فيما يتعلق بتولي منصب الرئيس في</w:t>
      </w:r>
      <w:r w:rsidRPr="0000694C">
        <w:rPr>
          <w:rFonts w:hint="eastAsia"/>
          <w:rtl/>
        </w:rPr>
        <w:t> </w:t>
      </w:r>
      <w:r w:rsidRPr="0000694C">
        <w:rPr>
          <w:rFonts w:hint="cs"/>
          <w:rtl/>
        </w:rPr>
        <w:t>لجان الدراسات ولجنة تنسيق المفردات والفريق الاستشاري للاتصالات الراديوية والاجتماع التحضيري للمؤتمر</w:t>
      </w:r>
      <w:r>
        <w:rPr>
          <w:rFonts w:hint="cs"/>
          <w:rtl/>
        </w:rPr>
        <w:t xml:space="preserve">. </w:t>
      </w:r>
      <w:r w:rsidRPr="0000694C">
        <w:rPr>
          <w:rFonts w:hint="cs"/>
          <w:rtl/>
        </w:rPr>
        <w:t xml:space="preserve">وستتاح </w:t>
      </w:r>
      <w:r w:rsidRPr="0000694C">
        <w:t>21</w:t>
      </w:r>
      <w:r w:rsidRPr="0000694C">
        <w:rPr>
          <w:rFonts w:hint="cs"/>
          <w:rtl/>
        </w:rPr>
        <w:t xml:space="preserve"> وظيفة قيادية إضافية، إذا </w:t>
      </w:r>
      <w:r w:rsidR="0047284A">
        <w:rPr>
          <w:rFonts w:hint="cs"/>
          <w:rtl/>
        </w:rPr>
        <w:t>فُ</w:t>
      </w:r>
      <w:r w:rsidR="00B52452">
        <w:rPr>
          <w:rFonts w:hint="cs"/>
          <w:rtl/>
        </w:rPr>
        <w:t>رضت على</w:t>
      </w:r>
      <w:r w:rsidRPr="0000694C">
        <w:rPr>
          <w:rFonts w:hint="cs"/>
          <w:rtl/>
        </w:rPr>
        <w:t xml:space="preserve"> رؤساء فرق العمل</w:t>
      </w:r>
      <w:r w:rsidR="00B52452">
        <w:rPr>
          <w:rFonts w:hint="cs"/>
          <w:rtl/>
        </w:rPr>
        <w:t xml:space="preserve"> مُدد محددة لتولي مناصبهم</w:t>
      </w:r>
      <w:r>
        <w:rPr>
          <w:rFonts w:hint="cs"/>
          <w:rtl/>
        </w:rPr>
        <w:t>.</w:t>
      </w:r>
    </w:p>
    <w:p w14:paraId="7E439B7B" w14:textId="69D4F8B1" w:rsidR="0000694C" w:rsidRPr="004C722A" w:rsidRDefault="00B52452" w:rsidP="0000694C">
      <w:pPr>
        <w:rPr>
          <w:rtl/>
          <w:lang w:bidi="ar-EG"/>
        </w:rPr>
      </w:pPr>
      <w:r>
        <w:rPr>
          <w:rFonts w:hint="cs"/>
          <w:rtl/>
        </w:rPr>
        <w:lastRenderedPageBreak/>
        <w:t>ونتيجة</w:t>
      </w:r>
      <w:r w:rsidR="00133C69">
        <w:rPr>
          <w:rFonts w:hint="cs"/>
          <w:rtl/>
        </w:rPr>
        <w:t>ً</w:t>
      </w:r>
      <w:r>
        <w:rPr>
          <w:rFonts w:hint="cs"/>
          <w:rtl/>
        </w:rPr>
        <w:t xml:space="preserve"> لذلك، </w:t>
      </w:r>
      <w:r w:rsidR="00E175BF">
        <w:rPr>
          <w:rFonts w:hint="cs"/>
          <w:rtl/>
        </w:rPr>
        <w:t xml:space="preserve">يمكن </w:t>
      </w:r>
      <w:r w:rsidR="0047284A">
        <w:rPr>
          <w:rFonts w:hint="cs"/>
          <w:rtl/>
        </w:rPr>
        <w:t xml:space="preserve">إبداء </w:t>
      </w:r>
      <w:r w:rsidR="00E175BF">
        <w:rPr>
          <w:rFonts w:hint="cs"/>
          <w:rtl/>
        </w:rPr>
        <w:t>ملاحظتين: أولاً، مجموع</w:t>
      </w:r>
      <w:r w:rsidR="00BC2ECB">
        <w:rPr>
          <w:rFonts w:hint="cs"/>
          <w:rtl/>
        </w:rPr>
        <w:t>ة</w:t>
      </w:r>
      <w:r w:rsidR="00E175BF">
        <w:rPr>
          <w:rFonts w:hint="cs"/>
          <w:rtl/>
        </w:rPr>
        <w:t xml:space="preserve"> الرؤساء المؤهلين و</w:t>
      </w:r>
      <w:r w:rsidR="00BC2ECB">
        <w:rPr>
          <w:rFonts w:hint="cs"/>
          <w:rtl/>
        </w:rPr>
        <w:t xml:space="preserve">ذوي الخبرة في مؤتمر </w:t>
      </w:r>
      <w:r w:rsidR="00B871A8">
        <w:rPr>
          <w:rFonts w:hint="cs"/>
          <w:rtl/>
        </w:rPr>
        <w:t xml:space="preserve">عالمي </w:t>
      </w:r>
      <w:r w:rsidR="00BC2ECB">
        <w:rPr>
          <w:rFonts w:hint="cs"/>
          <w:rtl/>
        </w:rPr>
        <w:t>للاتصالات الراديوية، على سبيل المثال، محدودة</w:t>
      </w:r>
      <w:r w:rsidR="0000694C" w:rsidRPr="0000694C">
        <w:rPr>
          <w:rFonts w:hint="cs"/>
          <w:rtl/>
        </w:rPr>
        <w:t>.</w:t>
      </w:r>
      <w:r w:rsidR="00BC2ECB">
        <w:rPr>
          <w:rFonts w:hint="cs"/>
          <w:rtl/>
        </w:rPr>
        <w:t xml:space="preserve"> و</w:t>
      </w:r>
      <w:r w:rsidR="000137D4">
        <w:rPr>
          <w:rFonts w:hint="cs"/>
          <w:rtl/>
        </w:rPr>
        <w:t xml:space="preserve">قد يكون لدى </w:t>
      </w:r>
      <w:r w:rsidR="00BC2ECB">
        <w:rPr>
          <w:rFonts w:hint="cs"/>
          <w:rtl/>
        </w:rPr>
        <w:t>المندوب</w:t>
      </w:r>
      <w:r w:rsidR="000137D4">
        <w:rPr>
          <w:rFonts w:hint="cs"/>
          <w:rtl/>
        </w:rPr>
        <w:t>ي</w:t>
      </w:r>
      <w:r w:rsidR="00BC2ECB">
        <w:rPr>
          <w:rFonts w:hint="cs"/>
          <w:rtl/>
        </w:rPr>
        <w:t xml:space="preserve">ن </w:t>
      </w:r>
      <w:r w:rsidR="004C722A">
        <w:rPr>
          <w:rFonts w:hint="cs"/>
          <w:rtl/>
        </w:rPr>
        <w:t xml:space="preserve">الذين يُطلب منهم العمل كرؤساء للجان </w:t>
      </w:r>
      <w:r w:rsidR="004C722A">
        <w:t>(COM)</w:t>
      </w:r>
      <w:r w:rsidR="004C722A">
        <w:rPr>
          <w:rFonts w:hint="cs"/>
          <w:rtl/>
          <w:lang w:bidi="ar-EG"/>
        </w:rPr>
        <w:t xml:space="preserve"> وأفرقة العمل وأفرقة العمل الفرعية، إلخ.</w:t>
      </w:r>
      <w:r w:rsidR="000137D4">
        <w:rPr>
          <w:rFonts w:hint="cs"/>
          <w:rtl/>
          <w:lang w:bidi="ar-EG"/>
        </w:rPr>
        <w:t xml:space="preserve"> في بعض الأحيان خبرة محدودة </w:t>
      </w:r>
      <w:r w:rsidR="00E05C61">
        <w:rPr>
          <w:rFonts w:hint="cs"/>
          <w:rtl/>
          <w:lang w:bidi="ar-EG"/>
        </w:rPr>
        <w:t xml:space="preserve">في شؤون الرئاسة داخل قطاع الاتصالات الراديوية، وقد لا يكونون قد حصلوا على التدريب اللازم </w:t>
      </w:r>
      <w:r w:rsidR="00AF1485">
        <w:rPr>
          <w:rFonts w:hint="cs"/>
          <w:rtl/>
          <w:lang w:bidi="ar-EG"/>
        </w:rPr>
        <w:t>لتولي</w:t>
      </w:r>
      <w:r w:rsidR="00B871A8">
        <w:rPr>
          <w:rFonts w:hint="cs"/>
          <w:rtl/>
          <w:lang w:bidi="ar-EG"/>
        </w:rPr>
        <w:t xml:space="preserve"> هذه المناصب، خاصة في مؤتمر عالمي للاتصالات الراديوية.</w:t>
      </w:r>
    </w:p>
    <w:p w14:paraId="45A71B08" w14:textId="5CC45B19" w:rsidR="0000694C" w:rsidRPr="00E76AAA" w:rsidRDefault="00AF1485" w:rsidP="0000694C">
      <w:pPr>
        <w:rPr>
          <w:rtl/>
          <w:lang w:bidi="ar-EG"/>
        </w:rPr>
      </w:pPr>
      <w:r>
        <w:rPr>
          <w:rFonts w:hint="cs"/>
          <w:rtl/>
        </w:rPr>
        <w:t>وتتمثل الملاحظة الثانية في العلاقة بين عدد نواب رئيس لجنة الدراسات، المرتفع جداً، و</w:t>
      </w:r>
      <w:r w:rsidR="00E76AAA">
        <w:rPr>
          <w:rFonts w:hint="cs"/>
          <w:rtl/>
        </w:rPr>
        <w:t xml:space="preserve">انعدام التجدد بين رؤساء فرق العمل البالغ عددهم </w:t>
      </w:r>
      <w:r w:rsidR="00E76AAA">
        <w:t>21</w:t>
      </w:r>
      <w:r w:rsidR="00E76AAA">
        <w:rPr>
          <w:rFonts w:hint="cs"/>
          <w:rtl/>
          <w:lang w:bidi="ar-EG"/>
        </w:rPr>
        <w:t xml:space="preserve"> رئيساً.</w:t>
      </w:r>
      <w:r w:rsidR="00DA3DEB">
        <w:rPr>
          <w:rFonts w:hint="cs"/>
          <w:rtl/>
          <w:lang w:bidi="ar-EG"/>
        </w:rPr>
        <w:t xml:space="preserve"> ونظراً لعدم وجود أي فرص محددة مسبقاً لتولي </w:t>
      </w:r>
      <w:r w:rsidR="0094176A">
        <w:rPr>
          <w:rFonts w:hint="cs"/>
          <w:rtl/>
          <w:lang w:bidi="ar-EG"/>
        </w:rPr>
        <w:t xml:space="preserve">وخلافة </w:t>
      </w:r>
      <w:r w:rsidR="00DA3DEB">
        <w:rPr>
          <w:rFonts w:hint="cs"/>
          <w:rtl/>
          <w:lang w:bidi="ar-EG"/>
        </w:rPr>
        <w:t xml:space="preserve">مناصب </w:t>
      </w:r>
      <w:r w:rsidR="0094176A">
        <w:rPr>
          <w:rFonts w:hint="cs"/>
          <w:rtl/>
          <w:lang w:bidi="ar-EG"/>
        </w:rPr>
        <w:t>قيادية في إطار</w:t>
      </w:r>
      <w:r w:rsidR="00405696">
        <w:rPr>
          <w:rFonts w:hint="cs"/>
          <w:rtl/>
          <w:lang w:bidi="ar-EG"/>
        </w:rPr>
        <w:t xml:space="preserve"> مناصب</w:t>
      </w:r>
      <w:r w:rsidR="0094176A">
        <w:rPr>
          <w:rFonts w:hint="cs"/>
          <w:rtl/>
          <w:lang w:bidi="ar-EG"/>
        </w:rPr>
        <w:t xml:space="preserve"> </w:t>
      </w:r>
      <w:r w:rsidR="00BE0702">
        <w:rPr>
          <w:rFonts w:hint="cs"/>
          <w:rtl/>
          <w:lang w:bidi="ar-EG"/>
        </w:rPr>
        <w:t>رؤساء فرق العمل و</w:t>
      </w:r>
      <w:r w:rsidR="003A3929">
        <w:rPr>
          <w:rFonts w:hint="cs"/>
          <w:rtl/>
          <w:lang w:bidi="ar-EG"/>
        </w:rPr>
        <w:t>نوابهم</w:t>
      </w:r>
      <w:r w:rsidR="0094176A">
        <w:rPr>
          <w:rFonts w:hint="cs"/>
          <w:rtl/>
          <w:lang w:bidi="ar-EG"/>
        </w:rPr>
        <w:t xml:space="preserve">، فإن </w:t>
      </w:r>
      <w:r w:rsidR="0037765C">
        <w:rPr>
          <w:rFonts w:hint="cs"/>
          <w:rtl/>
          <w:lang w:bidi="ar-EG"/>
        </w:rPr>
        <w:t xml:space="preserve">أحد الخيارات </w:t>
      </w:r>
      <w:r w:rsidR="00BB16C9">
        <w:rPr>
          <w:rFonts w:hint="cs"/>
          <w:rtl/>
          <w:lang w:bidi="ar-EG"/>
        </w:rPr>
        <w:t>القليلة المتبق</w:t>
      </w:r>
      <w:r w:rsidR="0052341E">
        <w:rPr>
          <w:rFonts w:hint="cs"/>
          <w:rtl/>
          <w:lang w:bidi="ar-EG"/>
        </w:rPr>
        <w:t>ي</w:t>
      </w:r>
      <w:r w:rsidR="00BB16C9">
        <w:rPr>
          <w:rFonts w:hint="cs"/>
          <w:rtl/>
          <w:lang w:bidi="ar-EG"/>
        </w:rPr>
        <w:t xml:space="preserve">ة يتمثل في تقديم ترشيح لمنصب نائب الرئيس </w:t>
      </w:r>
      <w:r w:rsidR="007B2062">
        <w:rPr>
          <w:rFonts w:hint="cs"/>
          <w:rtl/>
          <w:lang w:bidi="ar-EG"/>
        </w:rPr>
        <w:t>في لجنة</w:t>
      </w:r>
      <w:r w:rsidR="009D02C0">
        <w:rPr>
          <w:rFonts w:hint="cs"/>
          <w:rtl/>
          <w:lang w:bidi="ar-EG"/>
        </w:rPr>
        <w:t xml:space="preserve"> من لجان</w:t>
      </w:r>
      <w:r w:rsidR="007B2062">
        <w:rPr>
          <w:rFonts w:hint="cs"/>
          <w:rtl/>
          <w:lang w:bidi="ar-EG"/>
        </w:rPr>
        <w:t xml:space="preserve"> الدراسات.</w:t>
      </w:r>
      <w:r w:rsidR="00B63E72">
        <w:rPr>
          <w:rFonts w:hint="cs"/>
          <w:rtl/>
          <w:lang w:bidi="ar-EG"/>
        </w:rPr>
        <w:t xml:space="preserve"> وقد يفسر هذا الأمر الارتفاع النسبي </w:t>
      </w:r>
      <w:r w:rsidR="001A3A11">
        <w:rPr>
          <w:rFonts w:hint="cs"/>
          <w:rtl/>
          <w:lang w:bidi="ar-EG"/>
        </w:rPr>
        <w:t xml:space="preserve">المسجل </w:t>
      </w:r>
      <w:r w:rsidR="00B63E72">
        <w:rPr>
          <w:rFonts w:hint="cs"/>
          <w:rtl/>
          <w:lang w:bidi="ar-EG"/>
        </w:rPr>
        <w:t>مؤخراً في عدد نواب رؤساء لجان الدراسات.</w:t>
      </w:r>
    </w:p>
    <w:p w14:paraId="0DF1B3AE" w14:textId="24FA3030" w:rsidR="0000694C" w:rsidRPr="00BB7BDE" w:rsidRDefault="0000694C" w:rsidP="0000694C">
      <w:pPr>
        <w:pStyle w:val="enumlev1"/>
        <w:rPr>
          <w:spacing w:val="-2"/>
          <w:rtl/>
          <w:lang w:bidi="ar-EG"/>
        </w:rPr>
      </w:pPr>
      <w:r w:rsidRPr="00BB7BDE">
        <w:rPr>
          <w:spacing w:val="-2"/>
        </w:rPr>
        <w:sym w:font="Symbol" w:char="F0B7"/>
      </w:r>
      <w:r w:rsidRPr="00BB7BDE">
        <w:rPr>
          <w:spacing w:val="-2"/>
          <w:rtl/>
        </w:rPr>
        <w:tab/>
      </w:r>
      <w:r w:rsidRPr="00BB7BDE">
        <w:rPr>
          <w:rFonts w:hint="cs"/>
          <w:b/>
          <w:bCs/>
          <w:spacing w:val="-2"/>
          <w:rtl/>
        </w:rPr>
        <w:t xml:space="preserve">إمكانية الإعفاء: </w:t>
      </w:r>
      <w:r w:rsidR="00305D52" w:rsidRPr="00BB7BDE">
        <w:rPr>
          <w:rFonts w:hint="cs"/>
          <w:spacing w:val="-2"/>
          <w:rtl/>
          <w:lang w:bidi="ar-EG"/>
        </w:rPr>
        <w:t xml:space="preserve">ينبغي أن يشمل أي قرار أو سبيل للمضي قدماً بشأن </w:t>
      </w:r>
      <w:r w:rsidR="009A3E33" w:rsidRPr="00BB7BDE">
        <w:rPr>
          <w:rFonts w:hint="cs"/>
          <w:spacing w:val="-2"/>
          <w:rtl/>
          <w:lang w:bidi="ar-EG"/>
        </w:rPr>
        <w:t>ال</w:t>
      </w:r>
      <w:r w:rsidR="00AF0893" w:rsidRPr="00BB7BDE">
        <w:rPr>
          <w:rFonts w:hint="cs"/>
          <w:spacing w:val="-2"/>
          <w:rtl/>
          <w:lang w:bidi="ar-EG"/>
        </w:rPr>
        <w:t>حدود</w:t>
      </w:r>
      <w:r w:rsidR="009A3E33" w:rsidRPr="00BB7BDE">
        <w:rPr>
          <w:rFonts w:hint="cs"/>
          <w:spacing w:val="-2"/>
          <w:rtl/>
          <w:lang w:bidi="ar-EG"/>
        </w:rPr>
        <w:t xml:space="preserve"> القصوى</w:t>
      </w:r>
      <w:r w:rsidR="00AF0893" w:rsidRPr="00BB7BDE">
        <w:rPr>
          <w:rFonts w:hint="cs"/>
          <w:spacing w:val="-2"/>
          <w:rtl/>
          <w:lang w:bidi="ar-EG"/>
        </w:rPr>
        <w:t xml:space="preserve"> </w:t>
      </w:r>
      <w:r w:rsidR="003951DB" w:rsidRPr="00BB7BDE">
        <w:rPr>
          <w:rFonts w:hint="cs"/>
          <w:spacing w:val="-2"/>
          <w:rtl/>
          <w:lang w:bidi="ar-EG"/>
        </w:rPr>
        <w:t>لولاية</w:t>
      </w:r>
      <w:r w:rsidR="0060694F" w:rsidRPr="00BB7BDE">
        <w:rPr>
          <w:rFonts w:hint="cs"/>
          <w:spacing w:val="-2"/>
          <w:rtl/>
          <w:lang w:bidi="ar-EG"/>
        </w:rPr>
        <w:t xml:space="preserve"> رؤساء فرق العمل ونوابهم إمكانية </w:t>
      </w:r>
      <w:r w:rsidR="00327076" w:rsidRPr="00BB7BDE">
        <w:rPr>
          <w:rFonts w:hint="cs"/>
          <w:spacing w:val="-2"/>
          <w:rtl/>
          <w:lang w:bidi="ar-EG"/>
        </w:rPr>
        <w:t>أن تقوم</w:t>
      </w:r>
      <w:r w:rsidR="00664BEC" w:rsidRPr="00BB7BDE">
        <w:rPr>
          <w:rFonts w:hint="cs"/>
          <w:spacing w:val="-2"/>
          <w:rtl/>
          <w:lang w:bidi="ar-EG"/>
        </w:rPr>
        <w:t xml:space="preserve"> أي لجنة دراسات </w:t>
      </w:r>
      <w:r w:rsidR="00327076" w:rsidRPr="00BB7BDE">
        <w:rPr>
          <w:rFonts w:hint="cs"/>
          <w:spacing w:val="-2"/>
          <w:rtl/>
          <w:lang w:bidi="ar-EG"/>
        </w:rPr>
        <w:t xml:space="preserve">بالإعفاء </w:t>
      </w:r>
      <w:r w:rsidR="00664BEC" w:rsidRPr="00BB7BDE">
        <w:rPr>
          <w:rFonts w:hint="cs"/>
          <w:spacing w:val="-2"/>
          <w:rtl/>
          <w:lang w:bidi="ar-EG"/>
        </w:rPr>
        <w:t xml:space="preserve">من الحد الأقصى </w:t>
      </w:r>
      <w:r w:rsidR="00327076" w:rsidRPr="00BB7BDE">
        <w:rPr>
          <w:rFonts w:hint="cs"/>
          <w:spacing w:val="-2"/>
          <w:rtl/>
          <w:lang w:bidi="ar-EG"/>
        </w:rPr>
        <w:t>للولاية</w:t>
      </w:r>
      <w:r w:rsidR="00664BEC" w:rsidRPr="00BB7BDE">
        <w:rPr>
          <w:rFonts w:hint="cs"/>
          <w:spacing w:val="-2"/>
          <w:rtl/>
          <w:lang w:bidi="ar-EG"/>
        </w:rPr>
        <w:t xml:space="preserve"> أو </w:t>
      </w:r>
      <w:r w:rsidR="00327076" w:rsidRPr="00BB7BDE">
        <w:rPr>
          <w:rFonts w:hint="cs"/>
          <w:spacing w:val="-2"/>
          <w:rtl/>
          <w:lang w:bidi="ar-EG"/>
        </w:rPr>
        <w:t>إلغائه</w:t>
      </w:r>
      <w:r w:rsidR="00664BEC" w:rsidRPr="00BB7BDE">
        <w:rPr>
          <w:rFonts w:hint="cs"/>
          <w:spacing w:val="-2"/>
          <w:rtl/>
          <w:lang w:bidi="ar-EG"/>
        </w:rPr>
        <w:t xml:space="preserve"> لسبب يتعلق بخبرة معينة أو مؤهلات مطلوبة </w:t>
      </w:r>
      <w:r w:rsidR="007508DA" w:rsidRPr="00BB7BDE">
        <w:rPr>
          <w:rFonts w:hint="cs"/>
          <w:spacing w:val="-2"/>
          <w:rtl/>
          <w:lang w:bidi="ar-EG"/>
        </w:rPr>
        <w:t>لمنصب رئيس فرقة العمل وعدم وجود رؤساء بديلين</w:t>
      </w:r>
      <w:r w:rsidRPr="00BB7BDE">
        <w:rPr>
          <w:rFonts w:hint="cs"/>
          <w:spacing w:val="-2"/>
          <w:rtl/>
          <w:lang w:bidi="ar-EG"/>
        </w:rPr>
        <w:t>.</w:t>
      </w:r>
      <w:r w:rsidR="007508DA" w:rsidRPr="00BB7BDE">
        <w:rPr>
          <w:rFonts w:hint="cs"/>
          <w:spacing w:val="-2"/>
          <w:rtl/>
          <w:lang w:bidi="ar-EG"/>
        </w:rPr>
        <w:t xml:space="preserve"> ويجب مع ذلك تبرير نهج الإعفاء هذا</w:t>
      </w:r>
      <w:r w:rsidR="009D02C0" w:rsidRPr="00BB7BDE">
        <w:rPr>
          <w:rFonts w:hint="cs"/>
          <w:spacing w:val="-2"/>
          <w:rtl/>
          <w:lang w:bidi="ar-EG"/>
        </w:rPr>
        <w:t xml:space="preserve"> أيضاً</w:t>
      </w:r>
      <w:r w:rsidR="007508DA" w:rsidRPr="00BB7BDE">
        <w:rPr>
          <w:rFonts w:hint="cs"/>
          <w:spacing w:val="-2"/>
          <w:rtl/>
          <w:lang w:bidi="ar-EG"/>
        </w:rPr>
        <w:t>.</w:t>
      </w:r>
    </w:p>
    <w:p w14:paraId="6E3125DD" w14:textId="6C7F2C1F" w:rsidR="0000694C" w:rsidRDefault="0000694C" w:rsidP="0000694C">
      <w:pPr>
        <w:pStyle w:val="enumlev1"/>
        <w:rPr>
          <w:rtl/>
        </w:rPr>
      </w:pPr>
      <w:r>
        <w:sym w:font="Symbol" w:char="F0B7"/>
      </w:r>
      <w:r>
        <w:rPr>
          <w:rtl/>
        </w:rPr>
        <w:tab/>
      </w:r>
      <w:r w:rsidR="005A0BE2">
        <w:rPr>
          <w:rFonts w:hint="cs"/>
          <w:rtl/>
        </w:rPr>
        <w:t>و</w:t>
      </w:r>
      <w:r w:rsidR="00C06D51">
        <w:rPr>
          <w:rFonts w:hint="cs"/>
          <w:rtl/>
        </w:rPr>
        <w:t>كما ذُكر سابقاً،</w:t>
      </w:r>
      <w:r>
        <w:rPr>
          <w:rFonts w:hint="cs"/>
          <w:rtl/>
        </w:rPr>
        <w:t xml:space="preserve"> </w:t>
      </w:r>
      <w:r w:rsidR="00C06D51">
        <w:rPr>
          <w:rFonts w:hint="cs"/>
          <w:rtl/>
          <w:lang w:bidi="ar-SY"/>
        </w:rPr>
        <w:t>تعترف</w:t>
      </w:r>
      <w:r w:rsidRPr="0000694C">
        <w:rPr>
          <w:rFonts w:hint="cs"/>
          <w:rtl/>
          <w:lang w:bidi="ar-SY"/>
        </w:rPr>
        <w:t xml:space="preserve"> الولايات المتحدة تماماً </w:t>
      </w:r>
      <w:r w:rsidR="00826C3E">
        <w:rPr>
          <w:rFonts w:hint="cs"/>
          <w:rtl/>
          <w:lang w:bidi="ar-SY"/>
        </w:rPr>
        <w:t xml:space="preserve">بحق أي لجنة دراسات في إدارة هيكلها الداخلي وقراراتها. </w:t>
      </w:r>
      <w:r w:rsidR="005A0BE2">
        <w:rPr>
          <w:rFonts w:hint="cs"/>
          <w:rtl/>
          <w:lang w:bidi="ar-SY"/>
        </w:rPr>
        <w:t xml:space="preserve">ومن الواضح </w:t>
      </w:r>
      <w:r w:rsidRPr="0000694C">
        <w:rPr>
          <w:rFonts w:hint="cs"/>
          <w:rtl/>
          <w:lang w:bidi="ar-SY"/>
        </w:rPr>
        <w:t>أن بعض المهارات الخاصة قد تكون مطلوبة ل</w:t>
      </w:r>
      <w:r w:rsidR="00D97B91">
        <w:rPr>
          <w:rFonts w:hint="cs"/>
          <w:rtl/>
          <w:lang w:bidi="ar-SY"/>
        </w:rPr>
        <w:t>رئاسة</w:t>
      </w:r>
      <w:r w:rsidR="00F91CF8">
        <w:rPr>
          <w:rFonts w:hint="cs"/>
          <w:rtl/>
          <w:lang w:bidi="ar-SY"/>
        </w:rPr>
        <w:t xml:space="preserve"> </w:t>
      </w:r>
      <w:r w:rsidRPr="0000694C">
        <w:rPr>
          <w:rFonts w:hint="cs"/>
          <w:rtl/>
          <w:lang w:bidi="ar-SY"/>
        </w:rPr>
        <w:t xml:space="preserve">بعض فرق العمل. وفي بعض الحالات، قد يكون عدد الخبراء المؤهلين محدوداً، أو قد يكون من الضروري الاستعانة بخبرة معيّنة قد لا تكون متاحة بسهولة. </w:t>
      </w:r>
    </w:p>
    <w:p w14:paraId="6E867124" w14:textId="7A1B3C55" w:rsidR="0000694C" w:rsidRDefault="0000694C" w:rsidP="0000694C">
      <w:pPr>
        <w:pStyle w:val="enumlev1"/>
        <w:rPr>
          <w:rtl/>
        </w:rPr>
      </w:pPr>
      <w:r>
        <w:sym w:font="Symbol" w:char="F0B7"/>
      </w:r>
      <w:r>
        <w:rPr>
          <w:rtl/>
        </w:rPr>
        <w:tab/>
      </w:r>
      <w:r w:rsidRPr="0000694C">
        <w:rPr>
          <w:rFonts w:hint="cs"/>
          <w:rtl/>
          <w:lang w:bidi="ar-SY"/>
        </w:rPr>
        <w:t>وتقترح الولايات المتحدة</w:t>
      </w:r>
      <w:r w:rsidR="009E380E">
        <w:rPr>
          <w:rFonts w:hint="cs"/>
          <w:rtl/>
          <w:lang w:bidi="ar-SY"/>
        </w:rPr>
        <w:t xml:space="preserve"> </w:t>
      </w:r>
      <w:r w:rsidR="00A43371">
        <w:rPr>
          <w:rFonts w:hint="cs"/>
          <w:rtl/>
          <w:lang w:bidi="ar-SY"/>
        </w:rPr>
        <w:t>إجراء</w:t>
      </w:r>
      <w:r w:rsidR="00A43371" w:rsidRPr="0000694C">
        <w:rPr>
          <w:rFonts w:hint="cs"/>
          <w:rtl/>
          <w:lang w:bidi="ar-SY"/>
        </w:rPr>
        <w:t xml:space="preserve"> </w:t>
      </w:r>
      <w:r w:rsidRPr="0000694C">
        <w:rPr>
          <w:rFonts w:hint="cs"/>
          <w:rtl/>
          <w:lang w:bidi="ar-SY"/>
        </w:rPr>
        <w:t xml:space="preserve">مناقشة لإدراج نهج "إعفاء" يمكن من خلاله أن تقوم لجنة دراسات بإعفاء واحدة (أو أكثر) من فرق العمل التابعة لها من مدة الولاية القصوى المقترحة مع تقديم تبرير مناسب. وتدرك الولايات المتحدة أن إجراء الإعفاء سيتيح للجان الدراسات إمكانية مواصلة إدارة </w:t>
      </w:r>
      <w:r w:rsidR="00794367">
        <w:rPr>
          <w:rFonts w:hint="cs"/>
          <w:rtl/>
          <w:lang w:bidi="ar-SY"/>
        </w:rPr>
        <w:t>هيكلها</w:t>
      </w:r>
      <w:r w:rsidRPr="0000694C">
        <w:rPr>
          <w:rFonts w:hint="cs"/>
          <w:rtl/>
          <w:lang w:bidi="ar-SY"/>
        </w:rPr>
        <w:t xml:space="preserve"> الداخلي بشكل مناسب.</w:t>
      </w:r>
    </w:p>
    <w:p w14:paraId="36AF549C" w14:textId="2B8241C6" w:rsidR="0000694C" w:rsidRPr="008F08B4" w:rsidRDefault="0000694C" w:rsidP="0000694C">
      <w:pPr>
        <w:pStyle w:val="enumlev1"/>
        <w:rPr>
          <w:rtl/>
          <w:lang w:bidi="ar-EG"/>
        </w:rPr>
      </w:pPr>
      <w:r>
        <w:sym w:font="Symbol" w:char="F0B7"/>
      </w:r>
      <w:r>
        <w:rPr>
          <w:rtl/>
        </w:rPr>
        <w:tab/>
      </w:r>
      <w:r w:rsidR="00794367">
        <w:rPr>
          <w:rFonts w:hint="cs"/>
          <w:rtl/>
        </w:rPr>
        <w:t xml:space="preserve">فعلى سبيل المثال، يمكن للجنة الدراسات إبلاغ مدير مكتب الاتصالات الراديوية </w:t>
      </w:r>
      <w:r w:rsidR="003568B5">
        <w:rPr>
          <w:rFonts w:hint="cs"/>
          <w:rtl/>
        </w:rPr>
        <w:t xml:space="preserve">بأنها تعتزم الاحتفاظ </w:t>
      </w:r>
      <w:r w:rsidR="007D587A">
        <w:rPr>
          <w:rFonts w:hint="cs"/>
          <w:rtl/>
        </w:rPr>
        <w:t xml:space="preserve">بواحد أو أكثر من </w:t>
      </w:r>
      <w:r w:rsidR="003568B5">
        <w:rPr>
          <w:rFonts w:hint="cs"/>
          <w:rtl/>
        </w:rPr>
        <w:t>رؤساء فِرق العمل التابعة</w:t>
      </w:r>
      <w:r w:rsidR="005050B1">
        <w:rPr>
          <w:rFonts w:hint="cs"/>
          <w:rtl/>
        </w:rPr>
        <w:t xml:space="preserve"> لها</w:t>
      </w:r>
      <w:r w:rsidR="003568B5">
        <w:rPr>
          <w:rFonts w:hint="cs"/>
          <w:rtl/>
        </w:rPr>
        <w:t xml:space="preserve"> في فترة الدراسات </w:t>
      </w:r>
      <w:r w:rsidR="005050B1">
        <w:rPr>
          <w:rFonts w:hint="cs"/>
          <w:rtl/>
        </w:rPr>
        <w:t>التالية</w:t>
      </w:r>
      <w:r w:rsidRPr="0000694C">
        <w:rPr>
          <w:rFonts w:hint="cs"/>
          <w:rtl/>
        </w:rPr>
        <w:t>.</w:t>
      </w:r>
      <w:r w:rsidR="00E640FA">
        <w:rPr>
          <w:rFonts w:hint="cs"/>
          <w:rtl/>
        </w:rPr>
        <w:t xml:space="preserve"> ويمكن إدراج هذه المعلومات في الرسالة الإدارية</w:t>
      </w:r>
      <w:r w:rsidR="007D587A">
        <w:rPr>
          <w:rFonts w:hint="cs"/>
          <w:rtl/>
        </w:rPr>
        <w:t xml:space="preserve"> المعممة</w:t>
      </w:r>
      <w:r w:rsidR="00E640FA">
        <w:rPr>
          <w:rFonts w:hint="cs"/>
          <w:rtl/>
        </w:rPr>
        <w:t xml:space="preserve"> </w:t>
      </w:r>
      <w:r w:rsidR="00E640FA">
        <w:t>(CACE)</w:t>
      </w:r>
      <w:r w:rsidR="00E640FA">
        <w:rPr>
          <w:rFonts w:hint="cs"/>
          <w:rtl/>
          <w:lang w:bidi="ar-EG"/>
        </w:rPr>
        <w:t xml:space="preserve"> </w:t>
      </w:r>
      <w:r w:rsidR="008F08B4">
        <w:rPr>
          <w:rFonts w:hint="cs"/>
          <w:rtl/>
          <w:lang w:bidi="ar-EG"/>
        </w:rPr>
        <w:t>المتعلقة بتعيين رؤساء لجان دراسات قطاع الاتصالات الراديوية ونوابهم، التي تصدر عادة</w:t>
      </w:r>
      <w:r w:rsidR="00A67588">
        <w:rPr>
          <w:rFonts w:hint="cs"/>
          <w:rtl/>
          <w:lang w:bidi="ar-EG"/>
        </w:rPr>
        <w:t>ً</w:t>
      </w:r>
      <w:r w:rsidR="008F08B4">
        <w:rPr>
          <w:rFonts w:hint="cs"/>
          <w:rtl/>
          <w:lang w:bidi="ar-EG"/>
        </w:rPr>
        <w:t xml:space="preserve"> قبل انعقاد جمعية الاتصالات الراديوية بمدة </w:t>
      </w:r>
      <w:r w:rsidR="008F08B4">
        <w:rPr>
          <w:lang w:bidi="ar-EG"/>
        </w:rPr>
        <w:t>9</w:t>
      </w:r>
      <w:r w:rsidR="008F08B4">
        <w:rPr>
          <w:rFonts w:hint="cs"/>
          <w:rtl/>
          <w:lang w:bidi="ar-EG"/>
        </w:rPr>
        <w:t xml:space="preserve"> أشهر. </w:t>
      </w:r>
    </w:p>
    <w:p w14:paraId="7F4DB91D" w14:textId="1FA3F507" w:rsidR="0000694C" w:rsidRDefault="0000694C" w:rsidP="0053043D">
      <w:pPr>
        <w:pStyle w:val="enumlev1"/>
        <w:rPr>
          <w:rtl/>
        </w:rPr>
      </w:pPr>
      <w:r>
        <w:sym w:font="Symbol" w:char="F0B7"/>
      </w:r>
      <w:r>
        <w:rPr>
          <w:rtl/>
        </w:rPr>
        <w:tab/>
      </w:r>
      <w:r w:rsidR="003313F8">
        <w:rPr>
          <w:rFonts w:hint="cs"/>
          <w:b/>
          <w:bCs/>
          <w:rtl/>
        </w:rPr>
        <w:t>التوجيه</w:t>
      </w:r>
      <w:r w:rsidR="00627B8F">
        <w:rPr>
          <w:rFonts w:hint="cs"/>
          <w:rtl/>
        </w:rPr>
        <w:t>: يتيح تحديد</w:t>
      </w:r>
      <w:r w:rsidR="0053043D" w:rsidRPr="0053043D">
        <w:rPr>
          <w:rFonts w:hint="cs"/>
          <w:rtl/>
        </w:rPr>
        <w:t xml:space="preserve"> </w:t>
      </w:r>
      <w:r w:rsidR="00627B8F">
        <w:rPr>
          <w:rFonts w:hint="cs"/>
          <w:rtl/>
        </w:rPr>
        <w:t>مدة قصوى للولاية</w:t>
      </w:r>
      <w:r w:rsidR="0053043D" w:rsidRPr="0053043D">
        <w:rPr>
          <w:rFonts w:hint="cs"/>
          <w:rtl/>
        </w:rPr>
        <w:t xml:space="preserve"> فرصاً أمام القادة الحاليين </w:t>
      </w:r>
      <w:r w:rsidR="00E51620">
        <w:rPr>
          <w:rFonts w:hint="cs"/>
          <w:rtl/>
        </w:rPr>
        <w:t>للعمل ك</w:t>
      </w:r>
      <w:r w:rsidR="0053043D" w:rsidRPr="0053043D">
        <w:rPr>
          <w:rFonts w:hint="cs"/>
          <w:rtl/>
        </w:rPr>
        <w:t>رؤساء سابقين "نشطين" بأدوار توجيهية ومسؤوليات أخرى.</w:t>
      </w:r>
    </w:p>
    <w:p w14:paraId="1E3A6341" w14:textId="755A09AD" w:rsidR="0000694C" w:rsidRDefault="008C3959" w:rsidP="0000694C">
      <w:pPr>
        <w:rPr>
          <w:rtl/>
        </w:rPr>
      </w:pPr>
      <w:r>
        <w:rPr>
          <w:rFonts w:hint="cs"/>
          <w:rtl/>
        </w:rPr>
        <w:t xml:space="preserve">فأعباء </w:t>
      </w:r>
      <w:r w:rsidR="009A6591">
        <w:rPr>
          <w:rFonts w:hint="cs"/>
          <w:rtl/>
        </w:rPr>
        <w:t>أ</w:t>
      </w:r>
      <w:r>
        <w:rPr>
          <w:rFonts w:hint="cs"/>
          <w:rtl/>
        </w:rPr>
        <w:t>عم</w:t>
      </w:r>
      <w:r w:rsidR="009A6591">
        <w:rPr>
          <w:rFonts w:hint="cs"/>
          <w:rtl/>
        </w:rPr>
        <w:t>ا</w:t>
      </w:r>
      <w:r>
        <w:rPr>
          <w:rFonts w:hint="cs"/>
          <w:rtl/>
        </w:rPr>
        <w:t xml:space="preserve">ل </w:t>
      </w:r>
      <w:r w:rsidR="00C63BE4">
        <w:rPr>
          <w:rFonts w:hint="cs"/>
          <w:rtl/>
        </w:rPr>
        <w:t>فرق العمل ونواتجها لا تتيح لر</w:t>
      </w:r>
      <w:r w:rsidR="00B501C3">
        <w:rPr>
          <w:rFonts w:hint="cs"/>
          <w:rtl/>
        </w:rPr>
        <w:t>ؤسائ</w:t>
      </w:r>
      <w:r w:rsidR="00C63BE4">
        <w:rPr>
          <w:rFonts w:hint="cs"/>
          <w:rtl/>
        </w:rPr>
        <w:t>ها الحالي</w:t>
      </w:r>
      <w:r w:rsidR="00B501C3">
        <w:rPr>
          <w:rFonts w:hint="cs"/>
          <w:rtl/>
        </w:rPr>
        <w:t>ين</w:t>
      </w:r>
      <w:r w:rsidR="00C63BE4">
        <w:rPr>
          <w:rFonts w:hint="cs"/>
          <w:rtl/>
        </w:rPr>
        <w:t xml:space="preserve"> (القائم</w:t>
      </w:r>
      <w:r w:rsidR="00B501C3">
        <w:rPr>
          <w:rFonts w:hint="cs"/>
          <w:rtl/>
        </w:rPr>
        <w:t>ين</w:t>
      </w:r>
      <w:r w:rsidR="00C63BE4">
        <w:rPr>
          <w:rFonts w:hint="cs"/>
          <w:rtl/>
        </w:rPr>
        <w:t>) أي</w:t>
      </w:r>
      <w:r w:rsidR="00E51620">
        <w:rPr>
          <w:rFonts w:hint="cs"/>
          <w:rtl/>
        </w:rPr>
        <w:t xml:space="preserve"> متسع</w:t>
      </w:r>
      <w:r w:rsidR="00C63BE4">
        <w:rPr>
          <w:rFonts w:hint="cs"/>
          <w:rtl/>
        </w:rPr>
        <w:t xml:space="preserve"> </w:t>
      </w:r>
      <w:r w:rsidR="00E51620">
        <w:rPr>
          <w:rFonts w:hint="cs"/>
          <w:rtl/>
        </w:rPr>
        <w:t>من ال</w:t>
      </w:r>
      <w:r w:rsidR="00C63BE4">
        <w:rPr>
          <w:rFonts w:hint="cs"/>
          <w:rtl/>
        </w:rPr>
        <w:t xml:space="preserve">وقت </w:t>
      </w:r>
      <w:r w:rsidR="00A17888">
        <w:rPr>
          <w:rFonts w:hint="cs"/>
          <w:rtl/>
        </w:rPr>
        <w:t>للاضطلاع بمهام توجيهية</w:t>
      </w:r>
      <w:r w:rsidR="0053043D">
        <w:rPr>
          <w:rFonts w:hint="cs"/>
          <w:rtl/>
        </w:rPr>
        <w:t>.</w:t>
      </w:r>
      <w:r w:rsidR="00A17888">
        <w:rPr>
          <w:rFonts w:hint="cs"/>
          <w:rtl/>
        </w:rPr>
        <w:t xml:space="preserve"> وينبغي دعوة الر</w:t>
      </w:r>
      <w:r w:rsidR="00B501C3">
        <w:rPr>
          <w:rFonts w:hint="cs"/>
          <w:rtl/>
        </w:rPr>
        <w:t>ؤساء</w:t>
      </w:r>
      <w:r w:rsidR="00A17888">
        <w:rPr>
          <w:rFonts w:hint="cs"/>
          <w:rtl/>
        </w:rPr>
        <w:t xml:space="preserve"> السابق</w:t>
      </w:r>
      <w:r w:rsidR="00B501C3">
        <w:rPr>
          <w:rFonts w:hint="cs"/>
          <w:rtl/>
        </w:rPr>
        <w:t>ين</w:t>
      </w:r>
      <w:r w:rsidR="00A17888">
        <w:rPr>
          <w:rFonts w:hint="cs"/>
          <w:rtl/>
        </w:rPr>
        <w:t xml:space="preserve"> المباشر</w:t>
      </w:r>
      <w:r w:rsidR="00B501C3">
        <w:rPr>
          <w:rFonts w:hint="cs"/>
          <w:rtl/>
        </w:rPr>
        <w:t>ين</w:t>
      </w:r>
      <w:r w:rsidR="00A17888">
        <w:rPr>
          <w:rFonts w:hint="cs"/>
          <w:rtl/>
        </w:rPr>
        <w:t xml:space="preserve"> (والنشط</w:t>
      </w:r>
      <w:r w:rsidR="00B501C3">
        <w:rPr>
          <w:rFonts w:hint="cs"/>
          <w:rtl/>
        </w:rPr>
        <w:t>ين</w:t>
      </w:r>
      <w:r w:rsidR="00A17888">
        <w:rPr>
          <w:rFonts w:hint="cs"/>
          <w:rtl/>
        </w:rPr>
        <w:t xml:space="preserve">) </w:t>
      </w:r>
      <w:r w:rsidR="00E51620">
        <w:rPr>
          <w:rFonts w:hint="cs"/>
          <w:rtl/>
        </w:rPr>
        <w:t xml:space="preserve">بإتاحة </w:t>
      </w:r>
      <w:r w:rsidR="00B501C3">
        <w:rPr>
          <w:rFonts w:hint="cs"/>
          <w:rtl/>
        </w:rPr>
        <w:t xml:space="preserve">خبراتهم من </w:t>
      </w:r>
      <w:r w:rsidR="00E51620">
        <w:rPr>
          <w:rFonts w:hint="cs"/>
          <w:rtl/>
        </w:rPr>
        <w:t xml:space="preserve">خلال </w:t>
      </w:r>
      <w:r w:rsidR="00B501C3">
        <w:rPr>
          <w:rFonts w:hint="cs"/>
          <w:rtl/>
        </w:rPr>
        <w:t>فرص التوجيه والتدريب</w:t>
      </w:r>
      <w:r w:rsidR="00F90045">
        <w:rPr>
          <w:rFonts w:hint="cs"/>
          <w:rtl/>
        </w:rPr>
        <w:t xml:space="preserve"> وتوجيهها خاصة </w:t>
      </w:r>
      <w:r w:rsidR="00D21B2D">
        <w:rPr>
          <w:rFonts w:hint="cs"/>
          <w:rtl/>
        </w:rPr>
        <w:t>نحو القادة الناشئين في مجال تكنولوجيا المعلومات والاتصالات.</w:t>
      </w:r>
    </w:p>
    <w:p w14:paraId="1C772A38" w14:textId="584D9CC7" w:rsidR="0053043D" w:rsidRPr="00D21B2D" w:rsidRDefault="0053043D" w:rsidP="0053043D">
      <w:pPr>
        <w:pStyle w:val="enumlev1"/>
        <w:rPr>
          <w:rtl/>
        </w:rPr>
      </w:pPr>
      <w:r>
        <w:sym w:font="Symbol" w:char="F0B7"/>
      </w:r>
      <w:r>
        <w:rPr>
          <w:rtl/>
        </w:rPr>
        <w:tab/>
      </w:r>
      <w:r w:rsidR="00D21B2D" w:rsidRPr="00D21B2D">
        <w:rPr>
          <w:rFonts w:hint="cs"/>
          <w:b/>
          <w:bCs/>
          <w:rtl/>
        </w:rPr>
        <w:t>التدريب</w:t>
      </w:r>
      <w:r w:rsidR="00D21B2D">
        <w:rPr>
          <w:rFonts w:hint="cs"/>
          <w:rtl/>
        </w:rPr>
        <w:t xml:space="preserve">: طبقاً </w:t>
      </w:r>
      <w:r w:rsidR="003F0E90">
        <w:rPr>
          <w:rFonts w:hint="cs"/>
          <w:rtl/>
        </w:rPr>
        <w:t xml:space="preserve">لتكليفات </w:t>
      </w:r>
      <w:r w:rsidR="00D21B2D">
        <w:rPr>
          <w:rFonts w:hint="cs"/>
          <w:rtl/>
        </w:rPr>
        <w:t xml:space="preserve">جمعية الاتصالات الراديوية لعام </w:t>
      </w:r>
      <w:r w:rsidR="00D21B2D">
        <w:t>2019</w:t>
      </w:r>
      <w:r w:rsidR="00D21B2D">
        <w:rPr>
          <w:rFonts w:hint="cs"/>
          <w:rtl/>
          <w:lang w:bidi="ar-EG"/>
        </w:rPr>
        <w:t xml:space="preserve">، ينبغي </w:t>
      </w:r>
      <w:r w:rsidR="00625619">
        <w:rPr>
          <w:rFonts w:hint="cs"/>
          <w:rtl/>
          <w:lang w:bidi="ar-EG"/>
        </w:rPr>
        <w:t xml:space="preserve">إدراج الأحكام المتعلقة بالتدريب في إطار استعراض </w:t>
      </w:r>
      <w:r w:rsidR="00625619">
        <w:rPr>
          <w:rFonts w:hint="cs"/>
          <w:rtl/>
        </w:rPr>
        <w:t xml:space="preserve">القرار </w:t>
      </w:r>
      <w:r w:rsidR="00625619">
        <w:t>ITU-R 1</w:t>
      </w:r>
      <w:r w:rsidR="00625619">
        <w:rPr>
          <w:rFonts w:hint="cs"/>
          <w:rtl/>
        </w:rPr>
        <w:t>.</w:t>
      </w:r>
    </w:p>
    <w:p w14:paraId="6E906BE1" w14:textId="61DB613C" w:rsidR="0053043D" w:rsidRPr="00B15EFD" w:rsidRDefault="0087566C" w:rsidP="0087566C">
      <w:pPr>
        <w:rPr>
          <w:spacing w:val="-2"/>
          <w:rtl/>
        </w:rPr>
      </w:pPr>
      <w:r w:rsidRPr="00B15EFD">
        <w:rPr>
          <w:rFonts w:hint="cs"/>
          <w:spacing w:val="-2"/>
          <w:rtl/>
        </w:rPr>
        <w:t xml:space="preserve">ويمكن إدراج الأحكام المتعلقة بتدريب الرؤساء ونواب الرؤساء المنتخبين حديثاً في القرار </w:t>
      </w:r>
      <w:r w:rsidRPr="00B15EFD">
        <w:rPr>
          <w:spacing w:val="-2"/>
        </w:rPr>
        <w:t>ITU-R 1</w:t>
      </w:r>
      <w:r w:rsidRPr="00B15EFD">
        <w:rPr>
          <w:rFonts w:hint="cs"/>
          <w:spacing w:val="-2"/>
          <w:rtl/>
        </w:rPr>
        <w:t xml:space="preserve"> أو في قرار آخر، حسب الاقتضاء</w:t>
      </w:r>
      <w:r w:rsidR="0053043D" w:rsidRPr="00B15EFD">
        <w:rPr>
          <w:rFonts w:hint="cs"/>
          <w:spacing w:val="-2"/>
          <w:rtl/>
        </w:rPr>
        <w:t>.</w:t>
      </w:r>
    </w:p>
    <w:p w14:paraId="79286831" w14:textId="4967B242" w:rsidR="0053043D" w:rsidRPr="0053043D" w:rsidRDefault="00BC5A48" w:rsidP="0053043D">
      <w:pPr>
        <w:rPr>
          <w:rtl/>
        </w:rPr>
      </w:pPr>
      <w:r>
        <w:rPr>
          <w:rFonts w:hint="cs"/>
          <w:rtl/>
        </w:rPr>
        <w:t xml:space="preserve">وتلاحظ الولايات المتحدة أن </w:t>
      </w:r>
      <w:r w:rsidR="00E544CD">
        <w:rPr>
          <w:rFonts w:hint="cs"/>
          <w:rtl/>
        </w:rPr>
        <w:t xml:space="preserve">هذه الفرصة منصوص عليها بالفعل في القرار </w:t>
      </w:r>
      <w:r w:rsidR="00E544CD">
        <w:t>1</w:t>
      </w:r>
      <w:r w:rsidR="00E544CD">
        <w:rPr>
          <w:rFonts w:hint="cs"/>
          <w:rtl/>
          <w:lang w:bidi="ar-EG"/>
        </w:rPr>
        <w:t xml:space="preserve">، تحديداً في الفقرة </w:t>
      </w:r>
      <w:r w:rsidR="00E544CD">
        <w:rPr>
          <w:lang w:bidi="ar-EG"/>
        </w:rPr>
        <w:t>1.1.6.A1</w:t>
      </w:r>
      <w:r w:rsidR="00E544CD">
        <w:rPr>
          <w:rFonts w:hint="cs"/>
          <w:rtl/>
          <w:lang w:bidi="ar-EG"/>
        </w:rPr>
        <w:t xml:space="preserve"> </w:t>
      </w:r>
      <w:r w:rsidR="00E544CD">
        <w:rPr>
          <w:rtl/>
          <w:lang w:bidi="ar-EG"/>
        </w:rPr>
        <w:t>–</w:t>
      </w:r>
      <w:r w:rsidR="00E544CD">
        <w:rPr>
          <w:rFonts w:hint="cs"/>
          <w:rtl/>
          <w:lang w:bidi="ar-EG"/>
        </w:rPr>
        <w:t xml:space="preserve"> اجتماعات رؤساء </w:t>
      </w:r>
      <w:r w:rsidR="00B832E1">
        <w:rPr>
          <w:rFonts w:hint="cs"/>
          <w:rtl/>
          <w:lang w:bidi="ar-EG"/>
        </w:rPr>
        <w:t>لجان الدراسات ونواب رؤسائها، التي تنص على ما يلي:</w:t>
      </w:r>
      <w:r w:rsidR="0053043D">
        <w:rPr>
          <w:rFonts w:hint="cs"/>
          <w:rtl/>
        </w:rPr>
        <w:t xml:space="preserve"> </w:t>
      </w:r>
      <w:r w:rsidR="00B832E1">
        <w:rPr>
          <w:rFonts w:hint="cs"/>
          <w:rtl/>
        </w:rPr>
        <w:t>"</w:t>
      </w:r>
      <w:r w:rsidR="0053043D" w:rsidRPr="0053043D">
        <w:rPr>
          <w:rFonts w:hint="cs"/>
          <w:rtl/>
        </w:rPr>
        <w:t>بعد كل جمعية للاتصالات الراديوية</w:t>
      </w:r>
      <w:r w:rsidR="0053043D" w:rsidRPr="0053043D">
        <w:rPr>
          <w:rFonts w:hint="cs"/>
          <w:rtl/>
          <w:lang w:bidi="ar-EG"/>
        </w:rPr>
        <w:t>، وفي أقرب وقت ممكن،</w:t>
      </w:r>
      <w:r w:rsidR="0053043D" w:rsidRPr="0053043D">
        <w:rPr>
          <w:rFonts w:hint="cs"/>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w:t>
      </w:r>
      <w:r w:rsidR="00B832E1">
        <w:rPr>
          <w:rFonts w:hint="cs"/>
          <w:rtl/>
        </w:rPr>
        <w:t>"</w:t>
      </w:r>
      <w:r w:rsidR="0053043D" w:rsidRPr="0053043D">
        <w:rPr>
          <w:rFonts w:hint="cs"/>
          <w:rtl/>
        </w:rPr>
        <w:t>.</w:t>
      </w:r>
      <w:r w:rsidR="00695196">
        <w:rPr>
          <w:rFonts w:hint="cs"/>
          <w:rtl/>
        </w:rPr>
        <w:t xml:space="preserve"> </w:t>
      </w:r>
      <w:r w:rsidR="008A7FC4">
        <w:rPr>
          <w:rFonts w:hint="cs"/>
          <w:rtl/>
        </w:rPr>
        <w:t xml:space="preserve">وعلى الرغم من أن الهدف من </w:t>
      </w:r>
      <w:r w:rsidR="005050B1">
        <w:rPr>
          <w:rFonts w:hint="cs"/>
          <w:rtl/>
        </w:rPr>
        <w:t>هذا الاجتماع (المقترح عقده بع</w:t>
      </w:r>
      <w:r w:rsidR="00BD5F17">
        <w:rPr>
          <w:rFonts w:hint="cs"/>
          <w:rtl/>
        </w:rPr>
        <w:t>د</w:t>
      </w:r>
      <w:r w:rsidR="005050B1">
        <w:rPr>
          <w:rFonts w:hint="cs"/>
          <w:rtl/>
        </w:rPr>
        <w:t xml:space="preserve"> كل جمعية للاتصالات الراديوية) هو التنسيق بين لجان الدراسات فيما يتعلق بفترة الدراسات التالية، فإن </w:t>
      </w:r>
      <w:r w:rsidR="00316F1D">
        <w:rPr>
          <w:rFonts w:hint="cs"/>
          <w:rtl/>
        </w:rPr>
        <w:t>من الممكن إدراج وحدة تدريبية في إطار هذا الاجتماع الذي يدعو المدير إلى عقده</w:t>
      </w:r>
      <w:r w:rsidR="00695196">
        <w:rPr>
          <w:rFonts w:hint="cs"/>
          <w:rtl/>
        </w:rPr>
        <w:t>.</w:t>
      </w:r>
    </w:p>
    <w:p w14:paraId="4152296C" w14:textId="067A2AC0" w:rsidR="0053043D" w:rsidRPr="0053043D" w:rsidRDefault="00033925" w:rsidP="0053043D">
      <w:pPr>
        <w:rPr>
          <w:rtl/>
        </w:rPr>
      </w:pPr>
      <w:r>
        <w:rPr>
          <w:rFonts w:hint="cs"/>
          <w:rtl/>
        </w:rPr>
        <w:t xml:space="preserve">وتطلب الولايات المتحدة توضيحات من الفريق الاستشاري فيما يتعلق بتنفيذ هذا </w:t>
      </w:r>
      <w:r w:rsidR="00AD21F7">
        <w:rPr>
          <w:rFonts w:hint="cs"/>
          <w:rtl/>
        </w:rPr>
        <w:t>البند</w:t>
      </w:r>
      <w:r>
        <w:rPr>
          <w:rFonts w:hint="cs"/>
          <w:rtl/>
        </w:rPr>
        <w:t xml:space="preserve"> (أي الفقرة </w:t>
      </w:r>
      <w:r>
        <w:rPr>
          <w:lang w:bidi="ar-EG"/>
        </w:rPr>
        <w:t>1.1.6.A1</w:t>
      </w:r>
      <w:r>
        <w:rPr>
          <w:rFonts w:hint="cs"/>
          <w:rtl/>
        </w:rPr>
        <w:t>)</w:t>
      </w:r>
      <w:r w:rsidR="0053043D" w:rsidRPr="0053043D">
        <w:rPr>
          <w:rFonts w:hint="cs"/>
          <w:rtl/>
        </w:rPr>
        <w:t>.</w:t>
      </w:r>
    </w:p>
    <w:p w14:paraId="2D96CEA6" w14:textId="2EEAEEC3" w:rsidR="0053043D" w:rsidRDefault="0053043D" w:rsidP="0053043D">
      <w:pPr>
        <w:pStyle w:val="Headingb"/>
      </w:pPr>
      <w:r>
        <w:rPr>
          <w:rFonts w:hint="cs"/>
          <w:rtl/>
        </w:rPr>
        <w:t>المقترح</w:t>
      </w:r>
    </w:p>
    <w:p w14:paraId="601B0413" w14:textId="49145E0E" w:rsidR="0053043D" w:rsidRDefault="0053043D" w:rsidP="0053043D">
      <w:pPr>
        <w:pStyle w:val="enumlev1"/>
        <w:rPr>
          <w:lang w:bidi="ar-EG"/>
        </w:rPr>
      </w:pPr>
      <w:r>
        <w:rPr>
          <w:lang w:bidi="ar-EG"/>
        </w:rPr>
        <w:t>1</w:t>
      </w:r>
      <w:r>
        <w:rPr>
          <w:lang w:bidi="ar-EG"/>
        </w:rPr>
        <w:tab/>
      </w:r>
      <w:r w:rsidR="00AD21F7">
        <w:rPr>
          <w:rFonts w:hint="cs"/>
          <w:rtl/>
          <w:lang w:bidi="ar-EG"/>
        </w:rPr>
        <w:t xml:space="preserve">فيما يتعلق بالمُدد القصوى لولاية رؤساء فرق العمل ونوابهم وصلتها بالقرار </w:t>
      </w:r>
      <w:r w:rsidR="00AD21F7" w:rsidRPr="00AD21F7">
        <w:rPr>
          <w:lang w:bidi="ar-EG"/>
        </w:rPr>
        <w:t>ITU-R 15-6</w:t>
      </w:r>
      <w:r w:rsidR="00AD21F7">
        <w:rPr>
          <w:rFonts w:hint="cs"/>
          <w:rtl/>
          <w:lang w:bidi="ar-EG"/>
        </w:rPr>
        <w:t>،</w:t>
      </w:r>
      <w:r w:rsidR="003A7A8E">
        <w:rPr>
          <w:rFonts w:hint="cs"/>
          <w:rtl/>
          <w:lang w:bidi="ar-EG"/>
        </w:rPr>
        <w:t xml:space="preserve"> لا تقدم الولايات المتحدة مقترحاً محدداً في هذه المساهمة. وفي المقابل، ت</w:t>
      </w:r>
      <w:r w:rsidR="00BB5404">
        <w:rPr>
          <w:rFonts w:hint="cs"/>
          <w:rtl/>
          <w:lang w:bidi="ar-EG"/>
        </w:rPr>
        <w:t>لتمس</w:t>
      </w:r>
      <w:r w:rsidR="003A7A8E">
        <w:rPr>
          <w:rFonts w:hint="cs"/>
          <w:rtl/>
          <w:lang w:bidi="ar-EG"/>
        </w:rPr>
        <w:t xml:space="preserve"> الولايات المتحدة </w:t>
      </w:r>
      <w:r w:rsidR="004843AD">
        <w:rPr>
          <w:rFonts w:hint="cs"/>
          <w:rtl/>
          <w:lang w:bidi="ar-EG"/>
        </w:rPr>
        <w:t xml:space="preserve">وجهة </w:t>
      </w:r>
      <w:r w:rsidR="00BB5404">
        <w:rPr>
          <w:rFonts w:hint="cs"/>
          <w:rtl/>
          <w:lang w:bidi="ar-EG"/>
        </w:rPr>
        <w:t xml:space="preserve">النظر الجماعية للفريق الاستشاري من حيث أفضل السبل للمضي قدماً: </w:t>
      </w:r>
    </w:p>
    <w:p w14:paraId="2BBAA869" w14:textId="35236B9C" w:rsidR="0053043D" w:rsidRPr="00B64240" w:rsidRDefault="0053043D" w:rsidP="0053043D">
      <w:pPr>
        <w:pStyle w:val="enumlev2"/>
        <w:rPr>
          <w:rFonts w:hint="cs"/>
          <w:rtl/>
          <w:lang w:bidi="ar-EG"/>
        </w:rPr>
      </w:pPr>
      <w:r>
        <w:rPr>
          <w:rFonts w:hint="eastAsia"/>
          <w:i/>
          <w:iCs/>
          <w:rtl/>
          <w:lang w:bidi="ar-EG"/>
        </w:rPr>
        <w:t> </w:t>
      </w:r>
      <w:proofErr w:type="gramStart"/>
      <w:r>
        <w:rPr>
          <w:rFonts w:hint="cs"/>
          <w:i/>
          <w:iCs/>
          <w:rtl/>
          <w:lang w:bidi="ar-EG"/>
        </w:rPr>
        <w:t>أ</w:t>
      </w:r>
      <w:r w:rsidRPr="0053043D">
        <w:rPr>
          <w:rFonts w:hint="eastAsia"/>
          <w:i/>
          <w:iCs/>
          <w:rtl/>
          <w:lang w:bidi="ar-EG"/>
        </w:rPr>
        <w:t> </w:t>
      </w:r>
      <w:r w:rsidRPr="0053043D">
        <w:rPr>
          <w:rFonts w:hint="cs"/>
          <w:i/>
          <w:iCs/>
          <w:rtl/>
          <w:lang w:bidi="ar-EG"/>
        </w:rPr>
        <w:t>)</w:t>
      </w:r>
      <w:proofErr w:type="gramEnd"/>
      <w:r w:rsidRPr="0053043D">
        <w:rPr>
          <w:i/>
          <w:iCs/>
          <w:rtl/>
          <w:lang w:bidi="ar-EG"/>
        </w:rPr>
        <w:tab/>
      </w:r>
      <w:r w:rsidR="00BB5404">
        <w:rPr>
          <w:rFonts w:hint="cs"/>
          <w:rtl/>
          <w:lang w:bidi="ar-EG"/>
        </w:rPr>
        <w:t xml:space="preserve">هل ينبغي إلغاء </w:t>
      </w:r>
      <w:r w:rsidR="00304A00">
        <w:rPr>
          <w:rFonts w:hint="cs"/>
          <w:rtl/>
          <w:lang w:bidi="ar-EG"/>
        </w:rPr>
        <w:t xml:space="preserve">القرار </w:t>
      </w:r>
      <w:r w:rsidR="00304A00" w:rsidRPr="00AD21F7">
        <w:rPr>
          <w:lang w:bidi="ar-EG"/>
        </w:rPr>
        <w:t>ITU-R 15-6</w:t>
      </w:r>
      <w:r w:rsidR="00304A00">
        <w:rPr>
          <w:rFonts w:hint="cs"/>
          <w:rtl/>
          <w:lang w:bidi="ar-EG"/>
        </w:rPr>
        <w:t xml:space="preserve"> في جمعية الاتصالات الراديوية لعام </w:t>
      </w:r>
      <w:r w:rsidR="00304A00">
        <w:rPr>
          <w:lang w:bidi="ar-EG"/>
        </w:rPr>
        <w:t>2023</w:t>
      </w:r>
      <w:r w:rsidR="00304A00">
        <w:rPr>
          <w:rFonts w:hint="cs"/>
          <w:rtl/>
          <w:lang w:bidi="ar-EG"/>
        </w:rPr>
        <w:t xml:space="preserve"> والاستعاضة عنه بقرار جديد؟ (قُدم في جمعية الاتصالات الراديوية لعام </w:t>
      </w:r>
      <w:r w:rsidR="00304A00">
        <w:rPr>
          <w:lang w:bidi="ar-EG"/>
        </w:rPr>
        <w:t>20</w:t>
      </w:r>
      <w:r w:rsidR="006A1BBC">
        <w:rPr>
          <w:lang w:bidi="ar-EG"/>
        </w:rPr>
        <w:t>19</w:t>
      </w:r>
      <w:r w:rsidR="003E7EFC">
        <w:rPr>
          <w:rFonts w:hint="cs"/>
          <w:rtl/>
          <w:lang w:bidi="ar-EG"/>
        </w:rPr>
        <w:t xml:space="preserve"> مقترح بإلغاء القرار </w:t>
      </w:r>
      <w:r w:rsidR="003E7EFC" w:rsidRPr="00AD21F7">
        <w:rPr>
          <w:lang w:bidi="ar-EG"/>
        </w:rPr>
        <w:t>ITU-R 15-6</w:t>
      </w:r>
      <w:r w:rsidR="00B2718C">
        <w:rPr>
          <w:rFonts w:hint="cs"/>
          <w:rtl/>
          <w:lang w:bidi="ar-EG"/>
        </w:rPr>
        <w:t xml:space="preserve"> و</w:t>
      </w:r>
      <w:r w:rsidR="00511CC3">
        <w:rPr>
          <w:rFonts w:hint="cs"/>
          <w:rtl/>
          <w:lang w:bidi="ar-EG"/>
        </w:rPr>
        <w:t xml:space="preserve">أُجل النظر فيه ريثما يقوم الفريق الاستشاري بتقييم المُدد القصوى للولاية خلال فترة الدراسة </w:t>
      </w:r>
      <w:r w:rsidR="00B84E11">
        <w:rPr>
          <w:rFonts w:hint="cs"/>
          <w:rtl/>
          <w:lang w:bidi="ar-EG"/>
        </w:rPr>
        <w:t>الحالية</w:t>
      </w:r>
      <w:r w:rsidR="00304A00">
        <w:rPr>
          <w:rFonts w:hint="cs"/>
          <w:rtl/>
          <w:lang w:bidi="ar-EG"/>
        </w:rPr>
        <w:t>)</w:t>
      </w:r>
    </w:p>
    <w:p w14:paraId="32DB7DB1" w14:textId="14DA032D" w:rsidR="0053043D" w:rsidRPr="00684386" w:rsidRDefault="0053043D" w:rsidP="0053043D">
      <w:pPr>
        <w:pStyle w:val="enumlev2"/>
      </w:pPr>
      <w:r>
        <w:rPr>
          <w:rFonts w:hint="cs"/>
          <w:i/>
          <w:iCs/>
          <w:rtl/>
          <w:lang w:bidi="ar-EG"/>
        </w:rPr>
        <w:lastRenderedPageBreak/>
        <w:t>ب</w:t>
      </w:r>
      <w:r w:rsidRPr="0053043D">
        <w:rPr>
          <w:rFonts w:hint="cs"/>
          <w:i/>
          <w:iCs/>
          <w:rtl/>
          <w:lang w:bidi="ar-EG"/>
        </w:rPr>
        <w:t>)</w:t>
      </w:r>
      <w:r w:rsidRPr="0053043D">
        <w:rPr>
          <w:i/>
          <w:iCs/>
          <w:rtl/>
          <w:lang w:bidi="ar-EG"/>
        </w:rPr>
        <w:tab/>
      </w:r>
      <w:r w:rsidR="00511CC3">
        <w:rPr>
          <w:rFonts w:hint="cs"/>
          <w:rtl/>
          <w:lang w:bidi="ar-EG"/>
        </w:rPr>
        <w:t xml:space="preserve">هل ينبغي مراجعة القرار </w:t>
      </w:r>
      <w:r w:rsidR="00511CC3" w:rsidRPr="00AD21F7">
        <w:rPr>
          <w:lang w:bidi="ar-EG"/>
        </w:rPr>
        <w:t>ITU-R 15-6</w:t>
      </w:r>
      <w:r w:rsidR="00511CC3">
        <w:rPr>
          <w:rFonts w:hint="cs"/>
          <w:rtl/>
          <w:lang w:bidi="ar-EG"/>
        </w:rPr>
        <w:t>؟ وما هي القرارات الأخر</w:t>
      </w:r>
      <w:r w:rsidR="002A701B">
        <w:rPr>
          <w:rFonts w:hint="cs"/>
          <w:rtl/>
          <w:lang w:bidi="ar-EG"/>
        </w:rPr>
        <w:t xml:space="preserve">ى (أي القرار </w:t>
      </w:r>
      <w:r w:rsidR="002A701B" w:rsidRPr="002A701B">
        <w:rPr>
          <w:lang w:bidi="ar-EG"/>
        </w:rPr>
        <w:t>ITU-R 1</w:t>
      </w:r>
      <w:r w:rsidR="002A701B" w:rsidRPr="002A701B">
        <w:rPr>
          <w:rFonts w:hint="cs"/>
          <w:rtl/>
          <w:lang w:bidi="ar-EG"/>
        </w:rPr>
        <w:t xml:space="preserve"> وغيره</w:t>
      </w:r>
      <w:r w:rsidR="002A701B">
        <w:rPr>
          <w:rFonts w:hint="cs"/>
          <w:rtl/>
          <w:lang w:bidi="ar-EG"/>
        </w:rPr>
        <w:t>) التي قد</w:t>
      </w:r>
      <w:r w:rsidR="00000A4C">
        <w:rPr>
          <w:rFonts w:hint="eastAsia"/>
          <w:rtl/>
          <w:lang w:bidi="ar-EG"/>
        </w:rPr>
        <w:t> </w:t>
      </w:r>
      <w:r w:rsidR="002A701B">
        <w:rPr>
          <w:rFonts w:hint="cs"/>
          <w:rtl/>
          <w:lang w:bidi="ar-EG"/>
        </w:rPr>
        <w:t>تدعو الحاجة إلى مراجعتها أيضاً؟</w:t>
      </w:r>
    </w:p>
    <w:p w14:paraId="2971B5F6" w14:textId="2EA9FC75" w:rsidR="0053043D" w:rsidRPr="00684386" w:rsidRDefault="0053043D" w:rsidP="0053043D">
      <w:pPr>
        <w:pStyle w:val="enumlev2"/>
      </w:pPr>
      <w:r>
        <w:rPr>
          <w:rFonts w:hint="cs"/>
          <w:i/>
          <w:iCs/>
          <w:rtl/>
          <w:lang w:bidi="ar-EG"/>
        </w:rPr>
        <w:t>ج</w:t>
      </w:r>
      <w:r w:rsidRPr="0053043D">
        <w:rPr>
          <w:rFonts w:hint="cs"/>
          <w:i/>
          <w:iCs/>
          <w:rtl/>
          <w:lang w:bidi="ar-EG"/>
        </w:rPr>
        <w:t>)</w:t>
      </w:r>
      <w:r w:rsidRPr="0053043D">
        <w:rPr>
          <w:i/>
          <w:iCs/>
          <w:rtl/>
          <w:lang w:bidi="ar-EG"/>
        </w:rPr>
        <w:tab/>
      </w:r>
      <w:r w:rsidR="002631ED">
        <w:rPr>
          <w:rFonts w:hint="cs"/>
          <w:rtl/>
          <w:lang w:bidi="ar-EG"/>
        </w:rPr>
        <w:t>هل يوجد بديل مختلف يُغني عن الحاجة إلى قرار صريح؟</w:t>
      </w:r>
    </w:p>
    <w:p w14:paraId="0A5E5CDC" w14:textId="753FD012" w:rsidR="0053043D" w:rsidRPr="00684386" w:rsidRDefault="0053043D" w:rsidP="0053043D">
      <w:pPr>
        <w:pStyle w:val="enumlev2"/>
      </w:pPr>
      <w:proofErr w:type="gramStart"/>
      <w:r>
        <w:rPr>
          <w:rFonts w:hint="cs"/>
          <w:i/>
          <w:iCs/>
          <w:rtl/>
          <w:lang w:bidi="ar-EG"/>
        </w:rPr>
        <w:t>د</w:t>
      </w:r>
      <w:r w:rsidRPr="0053043D">
        <w:rPr>
          <w:rFonts w:hint="cs"/>
          <w:i/>
          <w:iCs/>
          <w:rtl/>
          <w:lang w:bidi="ar-EG"/>
        </w:rPr>
        <w:t> )</w:t>
      </w:r>
      <w:proofErr w:type="gramEnd"/>
      <w:r w:rsidRPr="0053043D">
        <w:rPr>
          <w:i/>
          <w:iCs/>
          <w:rtl/>
          <w:lang w:bidi="ar-EG"/>
        </w:rPr>
        <w:tab/>
      </w:r>
      <w:r w:rsidR="002631ED">
        <w:rPr>
          <w:rFonts w:hint="cs"/>
          <w:rtl/>
          <w:lang w:bidi="ar-EG"/>
        </w:rPr>
        <w:t xml:space="preserve">هي ينغي </w:t>
      </w:r>
      <w:r w:rsidR="00B84E11">
        <w:rPr>
          <w:rFonts w:hint="cs"/>
          <w:rtl/>
          <w:lang w:bidi="ar-EG"/>
        </w:rPr>
        <w:t>أن يستمر</w:t>
      </w:r>
      <w:r w:rsidR="002631ED">
        <w:rPr>
          <w:rFonts w:hint="cs"/>
          <w:rtl/>
          <w:lang w:bidi="ar-EG"/>
        </w:rPr>
        <w:t xml:space="preserve"> الوضع الراهن </w:t>
      </w:r>
      <w:r w:rsidR="00B84E11">
        <w:rPr>
          <w:rFonts w:hint="cs"/>
          <w:rtl/>
          <w:lang w:bidi="ar-EG"/>
        </w:rPr>
        <w:t>استناداً إلى نتائج التقييم خلال فترة الدراسة الحالية؟</w:t>
      </w:r>
    </w:p>
    <w:p w14:paraId="611D2A21" w14:textId="16802091" w:rsidR="0053043D" w:rsidRPr="009E671D" w:rsidRDefault="0053043D" w:rsidP="0053043D">
      <w:pPr>
        <w:pStyle w:val="enumlev2"/>
      </w:pPr>
      <w:proofErr w:type="gramStart"/>
      <w:r w:rsidRPr="0053043D">
        <w:rPr>
          <w:i/>
          <w:iCs/>
          <w:rtl/>
          <w:lang w:bidi="ar-EG"/>
        </w:rPr>
        <w:t>ﻫ</w:t>
      </w:r>
      <w:r w:rsidRPr="0053043D">
        <w:rPr>
          <w:rFonts w:hint="cs"/>
          <w:i/>
          <w:iCs/>
          <w:rtl/>
          <w:lang w:bidi="ar-EG"/>
        </w:rPr>
        <w:t> )</w:t>
      </w:r>
      <w:proofErr w:type="gramEnd"/>
      <w:r w:rsidRPr="0053043D">
        <w:rPr>
          <w:i/>
          <w:iCs/>
          <w:rtl/>
          <w:lang w:bidi="ar-EG"/>
        </w:rPr>
        <w:tab/>
      </w:r>
      <w:r w:rsidR="00B84E11">
        <w:rPr>
          <w:rFonts w:hint="cs"/>
          <w:rtl/>
          <w:lang w:bidi="ar-EG"/>
        </w:rPr>
        <w:t xml:space="preserve">نظراً لعدم وجود </w:t>
      </w:r>
      <w:r w:rsidR="001442EE">
        <w:rPr>
          <w:rFonts w:hint="cs"/>
          <w:rtl/>
          <w:lang w:bidi="ar-EG"/>
        </w:rPr>
        <w:t xml:space="preserve">مدة معرَّفة </w:t>
      </w:r>
      <w:r w:rsidR="001442EE">
        <w:rPr>
          <w:rFonts w:hint="cs"/>
          <w:rtl/>
        </w:rPr>
        <w:t>لولاية رؤساء فرق عمل قطاع الاتصالات الراديوية ونوابهم</w:t>
      </w:r>
      <w:r w:rsidR="004E7BBD">
        <w:rPr>
          <w:rFonts w:hint="cs"/>
          <w:rtl/>
        </w:rPr>
        <w:t xml:space="preserve">، هل ينبغي </w:t>
      </w:r>
      <w:r w:rsidR="00A26E92">
        <w:rPr>
          <w:rFonts w:hint="cs"/>
          <w:rtl/>
        </w:rPr>
        <w:t xml:space="preserve">وضع </w:t>
      </w:r>
      <w:r w:rsidR="004E7BBD">
        <w:rPr>
          <w:rFonts w:hint="cs"/>
          <w:rtl/>
        </w:rPr>
        <w:t>"</w:t>
      </w:r>
      <w:r w:rsidR="00A26E92">
        <w:rPr>
          <w:rFonts w:hint="cs"/>
          <w:rtl/>
        </w:rPr>
        <w:t>حد أقصى</w:t>
      </w:r>
      <w:r w:rsidR="004E7BBD">
        <w:rPr>
          <w:rFonts w:hint="cs"/>
          <w:rtl/>
        </w:rPr>
        <w:t xml:space="preserve">" </w:t>
      </w:r>
      <w:r w:rsidR="00A26E92">
        <w:rPr>
          <w:rFonts w:hint="cs"/>
          <w:rtl/>
        </w:rPr>
        <w:t>بدون</w:t>
      </w:r>
      <w:r w:rsidR="004E7BBD">
        <w:rPr>
          <w:rFonts w:hint="cs"/>
          <w:rtl/>
        </w:rPr>
        <w:t xml:space="preserve"> </w:t>
      </w:r>
      <w:r w:rsidR="00833F90">
        <w:rPr>
          <w:rFonts w:hint="cs"/>
          <w:rtl/>
        </w:rPr>
        <w:t xml:space="preserve">الحاجة إلى قرار صريح؟ مثلاً، أربع ولايات كحد أقصى، ما </w:t>
      </w:r>
      <w:r w:rsidR="006A7800">
        <w:rPr>
          <w:rFonts w:hint="cs"/>
          <w:rtl/>
        </w:rPr>
        <w:t xml:space="preserve">من شأنه أن يغطي </w:t>
      </w:r>
      <w:r w:rsidR="0017229C">
        <w:rPr>
          <w:rFonts w:hint="cs"/>
          <w:rtl/>
        </w:rPr>
        <w:t>أربع دورات للمؤتمر العالمي للاتصالات الراديوية</w:t>
      </w:r>
      <w:r w:rsidRPr="0053043D">
        <w:rPr>
          <w:rFonts w:hint="cs"/>
          <w:rtl/>
          <w:lang w:bidi="ar-EG"/>
        </w:rPr>
        <w:t>.</w:t>
      </w:r>
    </w:p>
    <w:p w14:paraId="1DA37001" w14:textId="7F80E016" w:rsidR="0053043D" w:rsidRPr="0053043D" w:rsidRDefault="0053043D" w:rsidP="0053043D">
      <w:r>
        <w:t>2</w:t>
      </w:r>
      <w:r w:rsidRPr="0053043D">
        <w:tab/>
      </w:r>
      <w:r w:rsidR="0017229C">
        <w:rPr>
          <w:rFonts w:hint="cs"/>
          <w:rtl/>
          <w:lang w:bidi="ar-EG"/>
        </w:rPr>
        <w:t xml:space="preserve">وفيما يتعلق بالتدريب، تقترح الولايات المتحدة </w:t>
      </w:r>
      <w:r w:rsidR="001D023B">
        <w:rPr>
          <w:rFonts w:hint="cs"/>
          <w:rtl/>
          <w:lang w:bidi="ar-EG"/>
        </w:rPr>
        <w:t>أن يقوم مكتب الاتصالات الراديوية، من خلال دائرة لجان الدراسات</w:t>
      </w:r>
      <w:r w:rsidR="008A32D0">
        <w:rPr>
          <w:rFonts w:hint="eastAsia"/>
          <w:rtl/>
          <w:lang w:bidi="ar-EG"/>
        </w:rPr>
        <w:t> </w:t>
      </w:r>
      <w:r w:rsidR="001D023B">
        <w:rPr>
          <w:lang w:bidi="ar-EG"/>
        </w:rPr>
        <w:t>(SGD)</w:t>
      </w:r>
      <w:r w:rsidR="001D023B">
        <w:rPr>
          <w:rFonts w:hint="cs"/>
          <w:rtl/>
          <w:lang w:bidi="ar-EG"/>
        </w:rPr>
        <w:t xml:space="preserve">، بإعداد وحدة تدريبية لفائدة جميع الرؤساء ونواب الرؤساء الوافدين مع التركيز بوجه خاص </w:t>
      </w:r>
      <w:r w:rsidR="00512B40">
        <w:rPr>
          <w:rFonts w:hint="cs"/>
          <w:rtl/>
          <w:lang w:bidi="ar-EG"/>
        </w:rPr>
        <w:t>على أساليب العمل وتيسير التوصل إلى توافق الآراء وإدارة فرق العمل، وما إلى ذلك</w:t>
      </w:r>
      <w:r w:rsidRPr="0053043D">
        <w:rPr>
          <w:rFonts w:hint="cs"/>
          <w:rtl/>
          <w:lang w:bidi="ar-EG"/>
        </w:rPr>
        <w:t>.</w:t>
      </w:r>
    </w:p>
    <w:p w14:paraId="2B24CE26" w14:textId="7C6C86EE" w:rsidR="0053043D" w:rsidRDefault="00512B40" w:rsidP="0000694C">
      <w:pPr>
        <w:rPr>
          <w:rtl/>
          <w:lang w:bidi="ar-EG"/>
        </w:rPr>
      </w:pPr>
      <w:r>
        <w:rPr>
          <w:rFonts w:hint="cs"/>
          <w:rtl/>
          <w:lang w:bidi="ar-EG"/>
        </w:rPr>
        <w:t xml:space="preserve">وفي إطار </w:t>
      </w:r>
      <w:r w:rsidR="00A26E92">
        <w:rPr>
          <w:rFonts w:hint="cs"/>
          <w:rtl/>
          <w:lang w:bidi="ar-EG"/>
        </w:rPr>
        <w:t xml:space="preserve">التكليفات </w:t>
      </w:r>
      <w:r>
        <w:rPr>
          <w:rFonts w:hint="cs"/>
          <w:rtl/>
          <w:lang w:bidi="ar-EG"/>
        </w:rPr>
        <w:t xml:space="preserve">التي وجهتها جمعية الاتصالات الراديوية لعام </w:t>
      </w:r>
      <w:r>
        <w:rPr>
          <w:lang w:bidi="ar-EG"/>
        </w:rPr>
        <w:t>2019</w:t>
      </w:r>
      <w:r>
        <w:rPr>
          <w:rFonts w:hint="cs"/>
          <w:rtl/>
          <w:lang w:bidi="ar-EG"/>
        </w:rPr>
        <w:t xml:space="preserve"> إلى الفريق الاستشاري للاتصالات الراديوية </w:t>
      </w:r>
      <w:r w:rsidR="00E426A2">
        <w:rPr>
          <w:rFonts w:hint="cs"/>
          <w:rtl/>
          <w:lang w:bidi="ar-EG"/>
        </w:rPr>
        <w:t xml:space="preserve">بشأن استعراض القرار </w:t>
      </w:r>
      <w:r w:rsidR="00E426A2">
        <w:rPr>
          <w:szCs w:val="24"/>
        </w:rPr>
        <w:t>ITU-R 1</w:t>
      </w:r>
      <w:r w:rsidR="00E426A2">
        <w:rPr>
          <w:rFonts w:hint="cs"/>
          <w:szCs w:val="24"/>
          <w:rtl/>
        </w:rPr>
        <w:t xml:space="preserve">، </w:t>
      </w:r>
      <w:r w:rsidR="00E426A2">
        <w:rPr>
          <w:rFonts w:hint="cs"/>
          <w:rtl/>
          <w:lang w:bidi="ar-EG"/>
        </w:rPr>
        <w:t xml:space="preserve">تقترح الولايات المتحدة إدراج وحدة تدريبية في إطار الفقرة </w:t>
      </w:r>
      <w:r w:rsidR="00E426A2">
        <w:rPr>
          <w:lang w:bidi="ar-EG"/>
        </w:rPr>
        <w:t>1.1.6.A1</w:t>
      </w:r>
      <w:r w:rsidR="00E426A2">
        <w:rPr>
          <w:rFonts w:hint="cs"/>
          <w:rtl/>
          <w:lang w:bidi="ar-EG"/>
        </w:rPr>
        <w:t xml:space="preserve"> التي </w:t>
      </w:r>
      <w:r w:rsidR="006C4A1B">
        <w:rPr>
          <w:rFonts w:hint="cs"/>
          <w:rtl/>
          <w:lang w:bidi="ar-EG"/>
        </w:rPr>
        <w:t>تنص</w:t>
      </w:r>
      <w:r w:rsidR="00E426A2">
        <w:rPr>
          <w:rFonts w:hint="cs"/>
          <w:rtl/>
          <w:lang w:bidi="ar-EG"/>
        </w:rPr>
        <w:t xml:space="preserve"> بالفعل </w:t>
      </w:r>
      <w:r w:rsidR="006C4A1B">
        <w:rPr>
          <w:rFonts w:hint="cs"/>
          <w:rtl/>
          <w:lang w:bidi="ar-EG"/>
        </w:rPr>
        <w:t xml:space="preserve">على أن </w:t>
      </w:r>
      <w:r w:rsidR="006C4A1B" w:rsidRPr="0053043D">
        <w:rPr>
          <w:rFonts w:hint="cs"/>
          <w:rtl/>
        </w:rPr>
        <w:t>يدعو مدير</w:t>
      </w:r>
      <w:r w:rsidR="006C4A1B">
        <w:rPr>
          <w:rFonts w:hint="cs"/>
          <w:rtl/>
        </w:rPr>
        <w:t xml:space="preserve"> مكتب الاتصالات</w:t>
      </w:r>
      <w:r w:rsidR="006C4A1B" w:rsidRPr="0053043D">
        <w:rPr>
          <w:rFonts w:hint="cs"/>
          <w:rtl/>
        </w:rPr>
        <w:t xml:space="preserve"> إلى عقد اجتماع ل</w:t>
      </w:r>
      <w:r w:rsidR="006C4A1B">
        <w:rPr>
          <w:rFonts w:hint="cs"/>
          <w:rtl/>
        </w:rPr>
        <w:t>جميع ال</w:t>
      </w:r>
      <w:r w:rsidR="006C4A1B" w:rsidRPr="0053043D">
        <w:rPr>
          <w:rFonts w:hint="cs"/>
          <w:rtl/>
        </w:rPr>
        <w:t xml:space="preserve">رؤساء ونواب </w:t>
      </w:r>
      <w:r w:rsidR="006C4A1B">
        <w:rPr>
          <w:rFonts w:hint="cs"/>
          <w:rtl/>
        </w:rPr>
        <w:t>ال</w:t>
      </w:r>
      <w:r w:rsidR="006C4A1B" w:rsidRPr="0053043D">
        <w:rPr>
          <w:rFonts w:hint="cs"/>
          <w:rtl/>
        </w:rPr>
        <w:t>رؤسا</w:t>
      </w:r>
      <w:r w:rsidR="006C4A1B">
        <w:rPr>
          <w:rFonts w:hint="cs"/>
          <w:rtl/>
        </w:rPr>
        <w:t>ء</w:t>
      </w:r>
      <w:r w:rsidR="0053043D">
        <w:rPr>
          <w:rFonts w:hint="cs"/>
          <w:rtl/>
          <w:lang w:bidi="ar-EG"/>
        </w:rPr>
        <w:t>.</w:t>
      </w:r>
    </w:p>
    <w:p w14:paraId="7ADC4171"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36AF4" w14:textId="77777777" w:rsidR="0000694C" w:rsidRDefault="0000694C" w:rsidP="002919E1">
      <w:r>
        <w:separator/>
      </w:r>
    </w:p>
    <w:p w14:paraId="63FAF9D1" w14:textId="77777777" w:rsidR="0000694C" w:rsidRDefault="0000694C" w:rsidP="002919E1"/>
    <w:p w14:paraId="2E4EA556" w14:textId="77777777" w:rsidR="0000694C" w:rsidRDefault="0000694C" w:rsidP="002919E1"/>
    <w:p w14:paraId="1A29A8FD" w14:textId="77777777" w:rsidR="0000694C" w:rsidRDefault="0000694C"/>
  </w:endnote>
  <w:endnote w:type="continuationSeparator" w:id="0">
    <w:p w14:paraId="260A9BCD" w14:textId="77777777" w:rsidR="0000694C" w:rsidRDefault="0000694C" w:rsidP="002919E1">
      <w:r>
        <w:continuationSeparator/>
      </w:r>
    </w:p>
    <w:p w14:paraId="0007BC3A" w14:textId="77777777" w:rsidR="0000694C" w:rsidRDefault="0000694C" w:rsidP="002919E1"/>
    <w:p w14:paraId="43CCABC0" w14:textId="77777777" w:rsidR="0000694C" w:rsidRDefault="0000694C" w:rsidP="002919E1"/>
    <w:p w14:paraId="1DE5C4D0" w14:textId="77777777" w:rsidR="0000694C" w:rsidRDefault="00006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7AB0" w14:textId="4ACEF4D0"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8B57CE">
      <w:rPr>
        <w:noProof/>
      </w:rPr>
      <w:t>P:\ARA\ITU-R\AG\RAG\RAG20\013A.docx</w:t>
    </w:r>
    <w:r>
      <w:fldChar w:fldCharType="end"/>
    </w:r>
    <w:proofErr w:type="gramStart"/>
    <w:r w:rsidRPr="00A809E8">
      <w:t xml:space="preserve">   (</w:t>
    </w:r>
    <w:proofErr w:type="gramEnd"/>
    <w:r w:rsidR="00695196" w:rsidRPr="00695196">
      <w:t>470970</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6FB1" w14:textId="5D590E77" w:rsidR="00281F5F" w:rsidRPr="00A809E8" w:rsidRDefault="006E6E5A" w:rsidP="00695196">
    <w:pPr>
      <w:pStyle w:val="Footer"/>
    </w:pPr>
    <w:r>
      <w:fldChar w:fldCharType="begin"/>
    </w:r>
    <w:r>
      <w:instrText xml:space="preserve"> FILENAME \p \* MERGEFORMAT </w:instrText>
    </w:r>
    <w:r>
      <w:fldChar w:fldCharType="separate"/>
    </w:r>
    <w:r w:rsidR="008B57CE">
      <w:rPr>
        <w:noProof/>
      </w:rPr>
      <w:t>P:\ARA\ITU-R\AG\RAG\RAG20\013A.docx</w:t>
    </w:r>
    <w:r>
      <w:fldChar w:fldCharType="end"/>
    </w:r>
    <w:proofErr w:type="gramStart"/>
    <w:r w:rsidR="00695196" w:rsidRPr="00695196">
      <w:t xml:space="preserve">   (</w:t>
    </w:r>
    <w:proofErr w:type="gramEnd"/>
    <w:r w:rsidR="00695196" w:rsidRPr="00695196">
      <w:t>470970)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F51BE" w14:textId="77777777" w:rsidR="0000694C" w:rsidRDefault="0000694C" w:rsidP="002919E1">
      <w:r>
        <w:t>___________________</w:t>
      </w:r>
    </w:p>
  </w:footnote>
  <w:footnote w:type="continuationSeparator" w:id="0">
    <w:p w14:paraId="7DF78394" w14:textId="77777777" w:rsidR="0000694C" w:rsidRDefault="0000694C" w:rsidP="002919E1">
      <w:r>
        <w:continuationSeparator/>
      </w:r>
    </w:p>
    <w:p w14:paraId="1B7FD382" w14:textId="77777777" w:rsidR="0000694C" w:rsidRDefault="0000694C" w:rsidP="002919E1"/>
    <w:p w14:paraId="11E1D6C1" w14:textId="77777777" w:rsidR="0000694C" w:rsidRDefault="0000694C" w:rsidP="002919E1"/>
    <w:p w14:paraId="1FF86A41" w14:textId="77777777" w:rsidR="0000694C" w:rsidRDefault="00006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29D2" w14:textId="77777777" w:rsidR="00281F5F" w:rsidRDefault="00281F5F" w:rsidP="002919E1"/>
  <w:p w14:paraId="0AD2357C" w14:textId="77777777" w:rsidR="00281F5F" w:rsidRDefault="00281F5F" w:rsidP="002919E1"/>
  <w:p w14:paraId="3D5A818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32C8" w14:textId="5DD7B60B"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2F3031">
      <w:rPr>
        <w:rStyle w:val="PageNumber"/>
      </w:rPr>
      <w:t>20</w:t>
    </w:r>
    <w:r w:rsidR="00A809E8">
      <w:rPr>
        <w:rStyle w:val="PageNumber"/>
      </w:rPr>
      <w:t>/</w:t>
    </w:r>
    <w:r w:rsidR="00695196">
      <w:rPr>
        <w:rStyle w:val="PageNumber"/>
      </w:rPr>
      <w:t>13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6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8F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2AA7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2EF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926E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C"/>
    <w:rsid w:val="00000A4C"/>
    <w:rsid w:val="0000694C"/>
    <w:rsid w:val="00011021"/>
    <w:rsid w:val="000114EC"/>
    <w:rsid w:val="00011F8C"/>
    <w:rsid w:val="000137D4"/>
    <w:rsid w:val="00022B74"/>
    <w:rsid w:val="0002327C"/>
    <w:rsid w:val="00033925"/>
    <w:rsid w:val="00034B65"/>
    <w:rsid w:val="00040C94"/>
    <w:rsid w:val="000425FC"/>
    <w:rsid w:val="00044D43"/>
    <w:rsid w:val="00051907"/>
    <w:rsid w:val="00075A3F"/>
    <w:rsid w:val="00080758"/>
    <w:rsid w:val="000A1B16"/>
    <w:rsid w:val="000B3896"/>
    <w:rsid w:val="000B5404"/>
    <w:rsid w:val="000C67A8"/>
    <w:rsid w:val="000D1708"/>
    <w:rsid w:val="000D50E4"/>
    <w:rsid w:val="000E2AFC"/>
    <w:rsid w:val="000E4889"/>
    <w:rsid w:val="000E4CC8"/>
    <w:rsid w:val="000E6D30"/>
    <w:rsid w:val="000F05F5"/>
    <w:rsid w:val="000F518F"/>
    <w:rsid w:val="0010081C"/>
    <w:rsid w:val="001013E3"/>
    <w:rsid w:val="00102DA2"/>
    <w:rsid w:val="0010363F"/>
    <w:rsid w:val="00113442"/>
    <w:rsid w:val="00123AA6"/>
    <w:rsid w:val="0012545F"/>
    <w:rsid w:val="00133C69"/>
    <w:rsid w:val="00136B82"/>
    <w:rsid w:val="001442EE"/>
    <w:rsid w:val="001464F2"/>
    <w:rsid w:val="0015717E"/>
    <w:rsid w:val="00162BE8"/>
    <w:rsid w:val="0016487C"/>
    <w:rsid w:val="00167364"/>
    <w:rsid w:val="0017229C"/>
    <w:rsid w:val="00187A11"/>
    <w:rsid w:val="001903B2"/>
    <w:rsid w:val="0019235A"/>
    <w:rsid w:val="00195239"/>
    <w:rsid w:val="001A3A11"/>
    <w:rsid w:val="001B5953"/>
    <w:rsid w:val="001D023B"/>
    <w:rsid w:val="001D746E"/>
    <w:rsid w:val="001E190C"/>
    <w:rsid w:val="001E51EE"/>
    <w:rsid w:val="001E54F6"/>
    <w:rsid w:val="001E5A8C"/>
    <w:rsid w:val="001F153A"/>
    <w:rsid w:val="00201A0A"/>
    <w:rsid w:val="002075D4"/>
    <w:rsid w:val="00211B2A"/>
    <w:rsid w:val="00223C6C"/>
    <w:rsid w:val="002333A0"/>
    <w:rsid w:val="002543CF"/>
    <w:rsid w:val="0026062E"/>
    <w:rsid w:val="00260F50"/>
    <w:rsid w:val="00261EF7"/>
    <w:rsid w:val="002631ED"/>
    <w:rsid w:val="0027069F"/>
    <w:rsid w:val="00280E04"/>
    <w:rsid w:val="00281F5F"/>
    <w:rsid w:val="002843E4"/>
    <w:rsid w:val="002919E1"/>
    <w:rsid w:val="00295917"/>
    <w:rsid w:val="00296071"/>
    <w:rsid w:val="002A4572"/>
    <w:rsid w:val="002A701B"/>
    <w:rsid w:val="002A7E2E"/>
    <w:rsid w:val="002B12C5"/>
    <w:rsid w:val="002B16D8"/>
    <w:rsid w:val="002C7736"/>
    <w:rsid w:val="002D5F64"/>
    <w:rsid w:val="002D6BB4"/>
    <w:rsid w:val="002D6FBF"/>
    <w:rsid w:val="002E48BF"/>
    <w:rsid w:val="002E61C2"/>
    <w:rsid w:val="002F3031"/>
    <w:rsid w:val="002F3E46"/>
    <w:rsid w:val="00304A00"/>
    <w:rsid w:val="00305D52"/>
    <w:rsid w:val="00311E3F"/>
    <w:rsid w:val="00314B1E"/>
    <w:rsid w:val="00316F1D"/>
    <w:rsid w:val="00326016"/>
    <w:rsid w:val="00327076"/>
    <w:rsid w:val="003313F8"/>
    <w:rsid w:val="0033737F"/>
    <w:rsid w:val="00353652"/>
    <w:rsid w:val="003568B5"/>
    <w:rsid w:val="003569E1"/>
    <w:rsid w:val="0037765C"/>
    <w:rsid w:val="003815E2"/>
    <w:rsid w:val="00381FAD"/>
    <w:rsid w:val="00382A66"/>
    <w:rsid w:val="003923B1"/>
    <w:rsid w:val="0039465C"/>
    <w:rsid w:val="003951DB"/>
    <w:rsid w:val="003965FE"/>
    <w:rsid w:val="003A204A"/>
    <w:rsid w:val="003A3929"/>
    <w:rsid w:val="003A7A8E"/>
    <w:rsid w:val="003B27AD"/>
    <w:rsid w:val="003B4F23"/>
    <w:rsid w:val="003C12F6"/>
    <w:rsid w:val="003C3A13"/>
    <w:rsid w:val="003E02EF"/>
    <w:rsid w:val="003E1D90"/>
    <w:rsid w:val="003E5943"/>
    <w:rsid w:val="003E7EFC"/>
    <w:rsid w:val="003F0E90"/>
    <w:rsid w:val="00400CD4"/>
    <w:rsid w:val="00405696"/>
    <w:rsid w:val="0040581B"/>
    <w:rsid w:val="00410079"/>
    <w:rsid w:val="004147B9"/>
    <w:rsid w:val="00422C04"/>
    <w:rsid w:val="00423A40"/>
    <w:rsid w:val="00426144"/>
    <w:rsid w:val="004636E2"/>
    <w:rsid w:val="00470CBD"/>
    <w:rsid w:val="0047284A"/>
    <w:rsid w:val="0047407D"/>
    <w:rsid w:val="00483A6C"/>
    <w:rsid w:val="004843AD"/>
    <w:rsid w:val="004909DD"/>
    <w:rsid w:val="004A05E6"/>
    <w:rsid w:val="004A1365"/>
    <w:rsid w:val="004A6230"/>
    <w:rsid w:val="004A6C66"/>
    <w:rsid w:val="004A7AA0"/>
    <w:rsid w:val="004C11BC"/>
    <w:rsid w:val="004C5C04"/>
    <w:rsid w:val="004C722A"/>
    <w:rsid w:val="004D0448"/>
    <w:rsid w:val="004D4AE6"/>
    <w:rsid w:val="004D521D"/>
    <w:rsid w:val="004E14B1"/>
    <w:rsid w:val="004E7BBD"/>
    <w:rsid w:val="004F0BED"/>
    <w:rsid w:val="005050B1"/>
    <w:rsid w:val="00505FCA"/>
    <w:rsid w:val="00510C2D"/>
    <w:rsid w:val="00511CC3"/>
    <w:rsid w:val="00512B40"/>
    <w:rsid w:val="00516042"/>
    <w:rsid w:val="005166A4"/>
    <w:rsid w:val="005169F4"/>
    <w:rsid w:val="00520C35"/>
    <w:rsid w:val="005210D1"/>
    <w:rsid w:val="00523146"/>
    <w:rsid w:val="00523275"/>
    <w:rsid w:val="0052341E"/>
    <w:rsid w:val="0053043D"/>
    <w:rsid w:val="00531DC7"/>
    <w:rsid w:val="005350B0"/>
    <w:rsid w:val="005431B5"/>
    <w:rsid w:val="00546A99"/>
    <w:rsid w:val="00553411"/>
    <w:rsid w:val="00553F66"/>
    <w:rsid w:val="00554AE7"/>
    <w:rsid w:val="00555771"/>
    <w:rsid w:val="00564746"/>
    <w:rsid w:val="0056512C"/>
    <w:rsid w:val="00567F38"/>
    <w:rsid w:val="005730DF"/>
    <w:rsid w:val="0057610B"/>
    <w:rsid w:val="00576D0A"/>
    <w:rsid w:val="00576FCC"/>
    <w:rsid w:val="00584333"/>
    <w:rsid w:val="005953EC"/>
    <w:rsid w:val="005A0BE2"/>
    <w:rsid w:val="005A51E9"/>
    <w:rsid w:val="005B00A1"/>
    <w:rsid w:val="005B3825"/>
    <w:rsid w:val="005C29C8"/>
    <w:rsid w:val="005C5D25"/>
    <w:rsid w:val="005D2606"/>
    <w:rsid w:val="005D552C"/>
    <w:rsid w:val="005D6D48"/>
    <w:rsid w:val="005D72A4"/>
    <w:rsid w:val="005E10EB"/>
    <w:rsid w:val="005E2DCE"/>
    <w:rsid w:val="005F05CC"/>
    <w:rsid w:val="005F65DE"/>
    <w:rsid w:val="00603C3C"/>
    <w:rsid w:val="0060694F"/>
    <w:rsid w:val="00613492"/>
    <w:rsid w:val="00625619"/>
    <w:rsid w:val="00627B8F"/>
    <w:rsid w:val="00630905"/>
    <w:rsid w:val="006315B5"/>
    <w:rsid w:val="0065562F"/>
    <w:rsid w:val="006577C0"/>
    <w:rsid w:val="00664BEC"/>
    <w:rsid w:val="00671FC3"/>
    <w:rsid w:val="006779A4"/>
    <w:rsid w:val="00680A66"/>
    <w:rsid w:val="00681391"/>
    <w:rsid w:val="00683511"/>
    <w:rsid w:val="00684386"/>
    <w:rsid w:val="00685AE2"/>
    <w:rsid w:val="00694690"/>
    <w:rsid w:val="00695196"/>
    <w:rsid w:val="0069526C"/>
    <w:rsid w:val="006A12AC"/>
    <w:rsid w:val="006A1BBC"/>
    <w:rsid w:val="006A2162"/>
    <w:rsid w:val="006A7800"/>
    <w:rsid w:val="006B4B90"/>
    <w:rsid w:val="006B658C"/>
    <w:rsid w:val="006C4A1B"/>
    <w:rsid w:val="006D2674"/>
    <w:rsid w:val="006E38D0"/>
    <w:rsid w:val="006E465B"/>
    <w:rsid w:val="006E6E5A"/>
    <w:rsid w:val="006F70BF"/>
    <w:rsid w:val="00716B1D"/>
    <w:rsid w:val="007247F4"/>
    <w:rsid w:val="007248EC"/>
    <w:rsid w:val="00726744"/>
    <w:rsid w:val="00731150"/>
    <w:rsid w:val="00734E41"/>
    <w:rsid w:val="007351CE"/>
    <w:rsid w:val="00736DCC"/>
    <w:rsid w:val="00741855"/>
    <w:rsid w:val="00742B73"/>
    <w:rsid w:val="007508DA"/>
    <w:rsid w:val="00751251"/>
    <w:rsid w:val="007610E7"/>
    <w:rsid w:val="00764079"/>
    <w:rsid w:val="00770AA0"/>
    <w:rsid w:val="00771F7E"/>
    <w:rsid w:val="00773E9C"/>
    <w:rsid w:val="00776F6B"/>
    <w:rsid w:val="00777694"/>
    <w:rsid w:val="00786A7E"/>
    <w:rsid w:val="00793FCC"/>
    <w:rsid w:val="00794367"/>
    <w:rsid w:val="007A0802"/>
    <w:rsid w:val="007B1FCA"/>
    <w:rsid w:val="007B2062"/>
    <w:rsid w:val="007C2C12"/>
    <w:rsid w:val="007C3CFA"/>
    <w:rsid w:val="007D587A"/>
    <w:rsid w:val="007E0E8B"/>
    <w:rsid w:val="007E6847"/>
    <w:rsid w:val="007E6B0A"/>
    <w:rsid w:val="007F08CA"/>
    <w:rsid w:val="007F7FC3"/>
    <w:rsid w:val="00810482"/>
    <w:rsid w:val="00810ACE"/>
    <w:rsid w:val="00817568"/>
    <w:rsid w:val="008204AC"/>
    <w:rsid w:val="008261C2"/>
    <w:rsid w:val="00826C3E"/>
    <w:rsid w:val="00830D96"/>
    <w:rsid w:val="00833F90"/>
    <w:rsid w:val="0085569D"/>
    <w:rsid w:val="00855B59"/>
    <w:rsid w:val="0085774F"/>
    <w:rsid w:val="008614B8"/>
    <w:rsid w:val="008657CB"/>
    <w:rsid w:val="00873A6F"/>
    <w:rsid w:val="0087566C"/>
    <w:rsid w:val="0088384B"/>
    <w:rsid w:val="00893E53"/>
    <w:rsid w:val="008A1137"/>
    <w:rsid w:val="008A1788"/>
    <w:rsid w:val="008A32D0"/>
    <w:rsid w:val="008A3E57"/>
    <w:rsid w:val="008A4185"/>
    <w:rsid w:val="008A6552"/>
    <w:rsid w:val="008A7FC4"/>
    <w:rsid w:val="008B4E93"/>
    <w:rsid w:val="008B52B7"/>
    <w:rsid w:val="008B57CE"/>
    <w:rsid w:val="008C13D0"/>
    <w:rsid w:val="008C3818"/>
    <w:rsid w:val="008C3959"/>
    <w:rsid w:val="008D6ACC"/>
    <w:rsid w:val="008D7AF0"/>
    <w:rsid w:val="008E2CBE"/>
    <w:rsid w:val="008E32DD"/>
    <w:rsid w:val="008F08B4"/>
    <w:rsid w:val="008F4626"/>
    <w:rsid w:val="009004DF"/>
    <w:rsid w:val="0090409C"/>
    <w:rsid w:val="00904AA5"/>
    <w:rsid w:val="00905900"/>
    <w:rsid w:val="0094176A"/>
    <w:rsid w:val="00951718"/>
    <w:rsid w:val="00960962"/>
    <w:rsid w:val="00972CE0"/>
    <w:rsid w:val="00994308"/>
    <w:rsid w:val="009A3D30"/>
    <w:rsid w:val="009A3E33"/>
    <w:rsid w:val="009A6591"/>
    <w:rsid w:val="009C6ABC"/>
    <w:rsid w:val="009D02C0"/>
    <w:rsid w:val="009D6348"/>
    <w:rsid w:val="009E380E"/>
    <w:rsid w:val="009E5007"/>
    <w:rsid w:val="009E613F"/>
    <w:rsid w:val="009E671D"/>
    <w:rsid w:val="009F042B"/>
    <w:rsid w:val="00A03FD6"/>
    <w:rsid w:val="00A04CF4"/>
    <w:rsid w:val="00A116A8"/>
    <w:rsid w:val="00A17888"/>
    <w:rsid w:val="00A17E61"/>
    <w:rsid w:val="00A22AE9"/>
    <w:rsid w:val="00A26758"/>
    <w:rsid w:val="00A26D0E"/>
    <w:rsid w:val="00A26E92"/>
    <w:rsid w:val="00A27205"/>
    <w:rsid w:val="00A278E9"/>
    <w:rsid w:val="00A3451F"/>
    <w:rsid w:val="00A3584A"/>
    <w:rsid w:val="00A35E1F"/>
    <w:rsid w:val="00A36268"/>
    <w:rsid w:val="00A375BD"/>
    <w:rsid w:val="00A40B2C"/>
    <w:rsid w:val="00A42ADC"/>
    <w:rsid w:val="00A43371"/>
    <w:rsid w:val="00A51FE1"/>
    <w:rsid w:val="00A52F4A"/>
    <w:rsid w:val="00A56D17"/>
    <w:rsid w:val="00A66D2B"/>
    <w:rsid w:val="00A67588"/>
    <w:rsid w:val="00A67898"/>
    <w:rsid w:val="00A809E8"/>
    <w:rsid w:val="00A870AD"/>
    <w:rsid w:val="00A90843"/>
    <w:rsid w:val="00A9645C"/>
    <w:rsid w:val="00AB2A33"/>
    <w:rsid w:val="00AC1275"/>
    <w:rsid w:val="00AC7395"/>
    <w:rsid w:val="00AD162B"/>
    <w:rsid w:val="00AD21F7"/>
    <w:rsid w:val="00AD3567"/>
    <w:rsid w:val="00AD690F"/>
    <w:rsid w:val="00AD69DD"/>
    <w:rsid w:val="00AE6B26"/>
    <w:rsid w:val="00AF0893"/>
    <w:rsid w:val="00AF1485"/>
    <w:rsid w:val="00AF22C1"/>
    <w:rsid w:val="00AF3EFA"/>
    <w:rsid w:val="00AF41D1"/>
    <w:rsid w:val="00B01623"/>
    <w:rsid w:val="00B033DF"/>
    <w:rsid w:val="00B039AD"/>
    <w:rsid w:val="00B04399"/>
    <w:rsid w:val="00B07CEE"/>
    <w:rsid w:val="00B10868"/>
    <w:rsid w:val="00B10BC7"/>
    <w:rsid w:val="00B12661"/>
    <w:rsid w:val="00B15EFD"/>
    <w:rsid w:val="00B16045"/>
    <w:rsid w:val="00B1667D"/>
    <w:rsid w:val="00B1714C"/>
    <w:rsid w:val="00B2718C"/>
    <w:rsid w:val="00B357E9"/>
    <w:rsid w:val="00B4164D"/>
    <w:rsid w:val="00B425C1"/>
    <w:rsid w:val="00B501C3"/>
    <w:rsid w:val="00B52452"/>
    <w:rsid w:val="00B606BA"/>
    <w:rsid w:val="00B63E72"/>
    <w:rsid w:val="00B64240"/>
    <w:rsid w:val="00B66817"/>
    <w:rsid w:val="00B71852"/>
    <w:rsid w:val="00B71E3B"/>
    <w:rsid w:val="00B721D5"/>
    <w:rsid w:val="00B81CB5"/>
    <w:rsid w:val="00B832E1"/>
    <w:rsid w:val="00B8351F"/>
    <w:rsid w:val="00B83800"/>
    <w:rsid w:val="00B84E11"/>
    <w:rsid w:val="00B86C44"/>
    <w:rsid w:val="00B871A8"/>
    <w:rsid w:val="00B9727C"/>
    <w:rsid w:val="00BA7D44"/>
    <w:rsid w:val="00BB16C9"/>
    <w:rsid w:val="00BB538F"/>
    <w:rsid w:val="00BB5404"/>
    <w:rsid w:val="00BB7BDE"/>
    <w:rsid w:val="00BC2ECB"/>
    <w:rsid w:val="00BC5A48"/>
    <w:rsid w:val="00BD5F17"/>
    <w:rsid w:val="00BD6291"/>
    <w:rsid w:val="00BD6EF3"/>
    <w:rsid w:val="00BE0702"/>
    <w:rsid w:val="00BE69C3"/>
    <w:rsid w:val="00C06D51"/>
    <w:rsid w:val="00C113A9"/>
    <w:rsid w:val="00C1165E"/>
    <w:rsid w:val="00C22074"/>
    <w:rsid w:val="00C233EB"/>
    <w:rsid w:val="00C2377B"/>
    <w:rsid w:val="00C34E09"/>
    <w:rsid w:val="00C3693C"/>
    <w:rsid w:val="00C40684"/>
    <w:rsid w:val="00C44473"/>
    <w:rsid w:val="00C449F7"/>
    <w:rsid w:val="00C53F6F"/>
    <w:rsid w:val="00C5489D"/>
    <w:rsid w:val="00C63BE4"/>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1B2D"/>
    <w:rsid w:val="00D25120"/>
    <w:rsid w:val="00D419CB"/>
    <w:rsid w:val="00D44350"/>
    <w:rsid w:val="00D44E3F"/>
    <w:rsid w:val="00D51BB8"/>
    <w:rsid w:val="00D525F5"/>
    <w:rsid w:val="00D535D0"/>
    <w:rsid w:val="00D558C2"/>
    <w:rsid w:val="00D577D8"/>
    <w:rsid w:val="00D62C78"/>
    <w:rsid w:val="00D81703"/>
    <w:rsid w:val="00D82929"/>
    <w:rsid w:val="00D84214"/>
    <w:rsid w:val="00D943E5"/>
    <w:rsid w:val="00D97B91"/>
    <w:rsid w:val="00DA1AE0"/>
    <w:rsid w:val="00DA3DEB"/>
    <w:rsid w:val="00DC29DD"/>
    <w:rsid w:val="00DC7C0E"/>
    <w:rsid w:val="00DE7387"/>
    <w:rsid w:val="00DF2A6A"/>
    <w:rsid w:val="00DF3B72"/>
    <w:rsid w:val="00DF60D5"/>
    <w:rsid w:val="00E05C61"/>
    <w:rsid w:val="00E10821"/>
    <w:rsid w:val="00E175BF"/>
    <w:rsid w:val="00E2489D"/>
    <w:rsid w:val="00E26520"/>
    <w:rsid w:val="00E26732"/>
    <w:rsid w:val="00E343A3"/>
    <w:rsid w:val="00E426A2"/>
    <w:rsid w:val="00E47277"/>
    <w:rsid w:val="00E51620"/>
    <w:rsid w:val="00E51BFA"/>
    <w:rsid w:val="00E544CD"/>
    <w:rsid w:val="00E621A3"/>
    <w:rsid w:val="00E63583"/>
    <w:rsid w:val="00E640FA"/>
    <w:rsid w:val="00E67428"/>
    <w:rsid w:val="00E76AAA"/>
    <w:rsid w:val="00E833BC"/>
    <w:rsid w:val="00E8580E"/>
    <w:rsid w:val="00E87989"/>
    <w:rsid w:val="00E90025"/>
    <w:rsid w:val="00E97E21"/>
    <w:rsid w:val="00EA1B76"/>
    <w:rsid w:val="00EA77D7"/>
    <w:rsid w:val="00EB254D"/>
    <w:rsid w:val="00EB70B1"/>
    <w:rsid w:val="00EC09B9"/>
    <w:rsid w:val="00EC4652"/>
    <w:rsid w:val="00ED048C"/>
    <w:rsid w:val="00ED5089"/>
    <w:rsid w:val="00EE60E9"/>
    <w:rsid w:val="00EF2679"/>
    <w:rsid w:val="00EF38AF"/>
    <w:rsid w:val="00F00143"/>
    <w:rsid w:val="00F01BBC"/>
    <w:rsid w:val="00F055F8"/>
    <w:rsid w:val="00F10CB4"/>
    <w:rsid w:val="00F11B3D"/>
    <w:rsid w:val="00F146AC"/>
    <w:rsid w:val="00F14763"/>
    <w:rsid w:val="00F16212"/>
    <w:rsid w:val="00F16602"/>
    <w:rsid w:val="00F25B80"/>
    <w:rsid w:val="00F2685F"/>
    <w:rsid w:val="00F33A34"/>
    <w:rsid w:val="00F350C8"/>
    <w:rsid w:val="00F84613"/>
    <w:rsid w:val="00F8654D"/>
    <w:rsid w:val="00F90045"/>
    <w:rsid w:val="00F900C9"/>
    <w:rsid w:val="00F91CF8"/>
    <w:rsid w:val="00F92C96"/>
    <w:rsid w:val="00F97D1C"/>
    <w:rsid w:val="00FA0D4E"/>
    <w:rsid w:val="00FA2FFE"/>
    <w:rsid w:val="00FB0753"/>
    <w:rsid w:val="00FB5CC8"/>
    <w:rsid w:val="00FC2CD0"/>
    <w:rsid w:val="00FD0594"/>
    <w:rsid w:val="00FF160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0B4513"/>
  <w15:docId w15:val="{A7CA524B-B99C-40C7-9FB9-9C5CF462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9-RA19-C-008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9-RA19-C-0014/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RA19-C-001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B4A36FE-3210-429A-8778-698EA21B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1262</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Arabic</cp:lastModifiedBy>
  <cp:revision>33</cp:revision>
  <cp:lastPrinted>2019-06-26T10:10:00Z</cp:lastPrinted>
  <dcterms:created xsi:type="dcterms:W3CDTF">2020-05-12T07:24:00Z</dcterms:created>
  <dcterms:modified xsi:type="dcterms:W3CDTF">2020-05-12T08:55:00Z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