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EFE16A6" w14:textId="77777777" w:rsidTr="00553F66">
        <w:trPr>
          <w:cantSplit/>
          <w:trHeight w:val="20"/>
        </w:trPr>
        <w:tc>
          <w:tcPr>
            <w:tcW w:w="6619" w:type="dxa"/>
          </w:tcPr>
          <w:p w14:paraId="1D0D2551" w14:textId="77777777" w:rsidR="00A375BD" w:rsidRPr="00136B82" w:rsidRDefault="0057610B" w:rsidP="00136B82">
            <w:pPr>
              <w:pStyle w:val="LOGO"/>
              <w:framePr w:hSpace="0" w:wrap="auto" w:xAlign="left" w:yAlign="inline"/>
              <w:rPr>
                <w:rtl/>
              </w:rPr>
            </w:pPr>
            <w:r>
              <w:rPr>
                <w:rFonts w:hint="cs"/>
                <w:rtl/>
              </w:rPr>
              <w:t>الفريق الاستشاري للاتصالات الراديوية</w:t>
            </w:r>
          </w:p>
          <w:p w14:paraId="1C5D5D8F"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00E26732">
              <w:rPr>
                <w:sz w:val="24"/>
                <w:szCs w:val="24"/>
              </w:rPr>
              <w:t>27-25</w:t>
            </w:r>
            <w:r w:rsidRPr="00553F66">
              <w:rPr>
                <w:rFonts w:hint="cs"/>
                <w:sz w:val="24"/>
                <w:szCs w:val="24"/>
                <w:rtl/>
              </w:rPr>
              <w:t xml:space="preserve"> </w:t>
            </w:r>
            <w:r w:rsidR="00E26732">
              <w:rPr>
                <w:rFonts w:hint="cs"/>
                <w:sz w:val="24"/>
                <w:szCs w:val="24"/>
                <w:rtl/>
              </w:rPr>
              <w:t>مايو</w:t>
            </w:r>
            <w:r w:rsidRPr="00553F66">
              <w:rPr>
                <w:rFonts w:hint="cs"/>
                <w:sz w:val="24"/>
                <w:szCs w:val="24"/>
                <w:rtl/>
              </w:rPr>
              <w:t xml:space="preserve"> </w:t>
            </w:r>
            <w:r w:rsidRPr="00553F66">
              <w:rPr>
                <w:sz w:val="24"/>
                <w:szCs w:val="24"/>
              </w:rPr>
              <w:t>2020</w:t>
            </w:r>
          </w:p>
        </w:tc>
        <w:tc>
          <w:tcPr>
            <w:tcW w:w="3053" w:type="dxa"/>
          </w:tcPr>
          <w:p w14:paraId="44DAF537" w14:textId="77777777" w:rsidR="00280E04" w:rsidRDefault="00553F66" w:rsidP="002F3031">
            <w:pPr>
              <w:spacing w:before="0"/>
              <w:jc w:val="right"/>
              <w:rPr>
                <w:rtl/>
                <w:lang w:bidi="ar-EG"/>
              </w:rPr>
            </w:pPr>
            <w:bookmarkStart w:id="0" w:name="ditulogo"/>
            <w:bookmarkEnd w:id="0"/>
            <w:r w:rsidRPr="00C126C1">
              <w:rPr>
                <w:noProof/>
              </w:rPr>
              <w:drawing>
                <wp:inline distT="0" distB="0" distL="0" distR="0" wp14:anchorId="73BE642E" wp14:editId="6A162B0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61F8B1D2" w14:textId="77777777" w:rsidTr="00553F66">
        <w:trPr>
          <w:cantSplit/>
          <w:trHeight w:val="20"/>
        </w:trPr>
        <w:tc>
          <w:tcPr>
            <w:tcW w:w="6619" w:type="dxa"/>
            <w:tcBorders>
              <w:bottom w:val="single" w:sz="12" w:space="0" w:color="auto"/>
            </w:tcBorders>
          </w:tcPr>
          <w:p w14:paraId="14B7A5B7"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645D14ED" w14:textId="77777777" w:rsidR="00280E04" w:rsidRPr="00A9645C" w:rsidRDefault="00280E04" w:rsidP="002F3031">
            <w:pPr>
              <w:spacing w:before="0" w:line="120" w:lineRule="auto"/>
              <w:rPr>
                <w:lang w:bidi="ar-EG"/>
              </w:rPr>
            </w:pPr>
          </w:p>
        </w:tc>
      </w:tr>
      <w:tr w:rsidR="00280E04" w14:paraId="728E5045" w14:textId="77777777" w:rsidTr="00553F66">
        <w:trPr>
          <w:cantSplit/>
          <w:trHeight w:val="20"/>
        </w:trPr>
        <w:tc>
          <w:tcPr>
            <w:tcW w:w="6619" w:type="dxa"/>
            <w:tcBorders>
              <w:top w:val="single" w:sz="12" w:space="0" w:color="auto"/>
            </w:tcBorders>
          </w:tcPr>
          <w:p w14:paraId="1CCAAA72"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25F99322" w14:textId="77777777" w:rsidR="00280E04" w:rsidRPr="00BD6EF3" w:rsidRDefault="00280E04" w:rsidP="00D44350">
            <w:pPr>
              <w:pStyle w:val="Adress"/>
              <w:framePr w:hSpace="0" w:wrap="auto" w:xAlign="left" w:yAlign="inline"/>
            </w:pPr>
          </w:p>
        </w:tc>
      </w:tr>
      <w:tr w:rsidR="00C93120" w14:paraId="0F8FD94D" w14:textId="77777777" w:rsidTr="00553F66">
        <w:trPr>
          <w:cantSplit/>
        </w:trPr>
        <w:tc>
          <w:tcPr>
            <w:tcW w:w="6619" w:type="dxa"/>
            <w:vMerge w:val="restart"/>
          </w:tcPr>
          <w:p w14:paraId="58AA6DDC" w14:textId="412A38E7" w:rsidR="00C93120" w:rsidRPr="0012545F" w:rsidRDefault="00C93120" w:rsidP="00C93120">
            <w:pPr>
              <w:pStyle w:val="Committee"/>
              <w:framePr w:hSpace="0" w:wrap="auto" w:hAnchor="text" w:yAlign="inline"/>
              <w:bidi/>
              <w:spacing w:before="40" w:after="40"/>
              <w:ind w:left="851" w:hanging="851"/>
              <w:rPr>
                <w:rtl/>
              </w:rPr>
            </w:pPr>
          </w:p>
        </w:tc>
        <w:tc>
          <w:tcPr>
            <w:tcW w:w="3053" w:type="dxa"/>
            <w:vAlign w:val="center"/>
          </w:tcPr>
          <w:p w14:paraId="1D45886F" w14:textId="7D3FF065" w:rsidR="00C93120" w:rsidRPr="0012545F" w:rsidRDefault="002D0011" w:rsidP="00C34E09">
            <w:pPr>
              <w:pStyle w:val="Adress"/>
              <w:framePr w:hSpace="0" w:wrap="auto" w:xAlign="left" w:yAlign="inline"/>
              <w:spacing w:before="40" w:after="40"/>
              <w:rPr>
                <w:rtl/>
              </w:rPr>
            </w:pPr>
            <w:r>
              <w:rPr>
                <w:rFonts w:hint="cs"/>
                <w:rtl/>
              </w:rPr>
              <w:t xml:space="preserve">المراجعة </w:t>
            </w:r>
            <w:r>
              <w:t>1</w:t>
            </w:r>
            <w:r>
              <w:br/>
            </w:r>
            <w:r>
              <w:rPr>
                <w:rFonts w:hint="cs"/>
                <w:rtl/>
              </w:rPr>
              <w:t>ل</w:t>
            </w:r>
            <w:r w:rsidR="00C93120" w:rsidRPr="0012545F">
              <w:rPr>
                <w:rFonts w:hint="cs"/>
                <w:rtl/>
              </w:rPr>
              <w:t>ل</w:t>
            </w:r>
            <w:r w:rsidR="00C93120" w:rsidRPr="0012545F">
              <w:rPr>
                <w:rtl/>
              </w:rPr>
              <w:t>و</w:t>
            </w:r>
            <w:r w:rsidR="00C93120" w:rsidRPr="0012545F">
              <w:rPr>
                <w:rFonts w:hint="cs"/>
                <w:rtl/>
              </w:rPr>
              <w:t xml:space="preserve">ثيقة </w:t>
            </w:r>
            <w:r w:rsidR="00C93120">
              <w:t>RAG20/12</w:t>
            </w:r>
            <w:r w:rsidR="00C93120" w:rsidRPr="0012545F">
              <w:t>-A</w:t>
            </w:r>
          </w:p>
        </w:tc>
      </w:tr>
      <w:tr w:rsidR="00C93120" w14:paraId="36A21305" w14:textId="77777777" w:rsidTr="00553F66">
        <w:trPr>
          <w:cantSplit/>
        </w:trPr>
        <w:tc>
          <w:tcPr>
            <w:tcW w:w="6619" w:type="dxa"/>
            <w:vMerge/>
          </w:tcPr>
          <w:p w14:paraId="1C9023AF" w14:textId="77777777" w:rsidR="00C93120" w:rsidRPr="0012545F" w:rsidRDefault="00C93120" w:rsidP="00C34E09">
            <w:pPr>
              <w:pStyle w:val="Adress"/>
              <w:framePr w:hSpace="0" w:wrap="auto" w:xAlign="left" w:yAlign="inline"/>
              <w:spacing w:before="40" w:after="40"/>
              <w:rPr>
                <w:rtl/>
              </w:rPr>
            </w:pPr>
          </w:p>
        </w:tc>
        <w:tc>
          <w:tcPr>
            <w:tcW w:w="3053" w:type="dxa"/>
            <w:vAlign w:val="center"/>
          </w:tcPr>
          <w:p w14:paraId="60B5B9B4" w14:textId="623B48E2" w:rsidR="00C93120" w:rsidRPr="0012545F" w:rsidRDefault="002D0011" w:rsidP="00C34E09">
            <w:pPr>
              <w:pStyle w:val="Adress"/>
              <w:framePr w:hSpace="0" w:wrap="auto" w:xAlign="left" w:yAlign="inline"/>
              <w:spacing w:before="40" w:after="40"/>
              <w:rPr>
                <w:rtl/>
              </w:rPr>
            </w:pPr>
            <w:r>
              <w:rPr>
                <w:rFonts w:hint="cs"/>
                <w:rtl/>
              </w:rPr>
              <w:t>4</w:t>
            </w:r>
            <w:r w:rsidR="00C93120" w:rsidRPr="0012545F">
              <w:rPr>
                <w:rFonts w:hint="cs"/>
                <w:rtl/>
              </w:rPr>
              <w:t xml:space="preserve"> </w:t>
            </w:r>
            <w:r>
              <w:rPr>
                <w:rFonts w:hint="cs"/>
                <w:rtl/>
              </w:rPr>
              <w:t>مايو</w:t>
            </w:r>
            <w:r w:rsidR="00C93120" w:rsidRPr="0012545F">
              <w:rPr>
                <w:rFonts w:hint="cs"/>
                <w:rtl/>
              </w:rPr>
              <w:t xml:space="preserve"> </w:t>
            </w:r>
            <w:r w:rsidR="00C93120">
              <w:t>2020</w:t>
            </w:r>
          </w:p>
        </w:tc>
      </w:tr>
      <w:tr w:rsidR="00C93120" w14:paraId="655399F4" w14:textId="77777777" w:rsidTr="00553F66">
        <w:trPr>
          <w:cantSplit/>
        </w:trPr>
        <w:tc>
          <w:tcPr>
            <w:tcW w:w="6619" w:type="dxa"/>
            <w:vMerge/>
          </w:tcPr>
          <w:p w14:paraId="02C07E7D" w14:textId="77777777" w:rsidR="00C93120" w:rsidRPr="0012545F" w:rsidRDefault="00C93120" w:rsidP="00C34E09">
            <w:pPr>
              <w:pStyle w:val="Adress"/>
              <w:framePr w:hSpace="0" w:wrap="auto" w:xAlign="left" w:yAlign="inline"/>
              <w:spacing w:before="40" w:after="40"/>
              <w:rPr>
                <w:rFonts w:eastAsia="SimSun"/>
                <w:rtl/>
              </w:rPr>
            </w:pPr>
          </w:p>
        </w:tc>
        <w:tc>
          <w:tcPr>
            <w:tcW w:w="3053" w:type="dxa"/>
            <w:vAlign w:val="center"/>
          </w:tcPr>
          <w:p w14:paraId="2DC12274" w14:textId="77777777" w:rsidR="00C93120" w:rsidRPr="0012545F" w:rsidRDefault="00C93120" w:rsidP="00C34E09">
            <w:pPr>
              <w:pStyle w:val="Adress"/>
              <w:framePr w:hSpace="0" w:wrap="auto" w:xAlign="left" w:yAlign="inline"/>
              <w:spacing w:before="40" w:after="40"/>
              <w:rPr>
                <w:rFonts w:eastAsia="SimSun"/>
              </w:rPr>
            </w:pPr>
            <w:r w:rsidRPr="0012545F">
              <w:rPr>
                <w:rFonts w:hint="cs"/>
                <w:rtl/>
              </w:rPr>
              <w:t>الأصل: بالإنكليزية</w:t>
            </w:r>
          </w:p>
        </w:tc>
      </w:tr>
      <w:tr w:rsidR="00764079" w14:paraId="3F7B0273" w14:textId="77777777" w:rsidTr="00553F66">
        <w:trPr>
          <w:cantSplit/>
        </w:trPr>
        <w:tc>
          <w:tcPr>
            <w:tcW w:w="9672" w:type="dxa"/>
            <w:gridSpan w:val="2"/>
          </w:tcPr>
          <w:p w14:paraId="53460001" w14:textId="1209776B" w:rsidR="00764079" w:rsidRPr="00E621A3" w:rsidRDefault="005066FC" w:rsidP="00034B65">
            <w:pPr>
              <w:pStyle w:val="Source"/>
              <w:rPr>
                <w:rtl/>
              </w:rPr>
            </w:pPr>
            <w:r>
              <w:rPr>
                <w:rFonts w:hint="cs"/>
                <w:rtl/>
              </w:rPr>
              <w:t>جمهورية إيران الإسلامية</w:t>
            </w:r>
          </w:p>
        </w:tc>
      </w:tr>
      <w:tr w:rsidR="00764079" w14:paraId="139A826D" w14:textId="77777777" w:rsidTr="00553F66">
        <w:trPr>
          <w:cantSplit/>
        </w:trPr>
        <w:tc>
          <w:tcPr>
            <w:tcW w:w="9672" w:type="dxa"/>
            <w:gridSpan w:val="2"/>
          </w:tcPr>
          <w:p w14:paraId="6D19D8AE" w14:textId="02FADB41" w:rsidR="00764079" w:rsidRPr="005066FC" w:rsidRDefault="005066FC" w:rsidP="005066FC">
            <w:pPr>
              <w:pStyle w:val="Title1"/>
              <w:spacing w:before="240"/>
              <w:rPr>
                <w:rtl/>
                <w:lang w:val="es-ES"/>
              </w:rPr>
            </w:pPr>
            <w:r>
              <w:rPr>
                <w:rFonts w:hint="cs"/>
                <w:rtl/>
              </w:rPr>
              <w:t xml:space="preserve">مساهمة بشأن المبادئ التوجيهية/الإطار المتعلقين ببنود </w:t>
            </w:r>
            <w:r w:rsidR="00C93120">
              <w:rPr>
                <w:rtl/>
              </w:rPr>
              <w:br/>
            </w:r>
            <w:r>
              <w:rPr>
                <w:rFonts w:hint="cs"/>
                <w:rtl/>
              </w:rPr>
              <w:t xml:space="preserve">جدول أعمال المؤتمر العالمي للاتصالات الراديوية لعام </w:t>
            </w:r>
            <w:r>
              <w:rPr>
                <w:lang w:val="es-ES"/>
              </w:rPr>
              <w:t>2023</w:t>
            </w:r>
          </w:p>
        </w:tc>
      </w:tr>
      <w:tr w:rsidR="0012545F" w14:paraId="38308218" w14:textId="77777777" w:rsidTr="00553F66">
        <w:trPr>
          <w:cantSplit/>
        </w:trPr>
        <w:tc>
          <w:tcPr>
            <w:tcW w:w="9672" w:type="dxa"/>
            <w:gridSpan w:val="2"/>
          </w:tcPr>
          <w:p w14:paraId="298A42C6" w14:textId="77777777" w:rsidR="0012545F" w:rsidRDefault="0012545F" w:rsidP="0012545F">
            <w:pPr>
              <w:rPr>
                <w:rtl/>
              </w:rPr>
            </w:pPr>
          </w:p>
        </w:tc>
      </w:tr>
    </w:tbl>
    <w:p w14:paraId="1A22A3EF" w14:textId="47229BD2" w:rsidR="005066FC" w:rsidRDefault="005066FC" w:rsidP="0036216B">
      <w:pPr>
        <w:spacing w:before="240"/>
        <w:rPr>
          <w:rtl/>
          <w:lang w:bidi="ar-EG"/>
        </w:rPr>
      </w:pPr>
      <w:r>
        <w:rPr>
          <w:rFonts w:hint="cs"/>
          <w:rtl/>
          <w:lang w:bidi="ar-EG"/>
        </w:rPr>
        <w:t xml:space="preserve">تتضمن هذه المساهمة المبادئ التوجيهية/الإطار المقدمين من إدارة جمهورية إيران الإسلامية بشأن بنود جدول أعمال المؤتمر العالمي للاتصالات الراديوية لعام </w:t>
      </w:r>
      <w:r>
        <w:rPr>
          <w:lang w:val="es-ES" w:bidi="ar-EG"/>
        </w:rPr>
        <w:t>2023</w:t>
      </w:r>
      <w:r>
        <w:rPr>
          <w:rFonts w:hint="cs"/>
          <w:rtl/>
          <w:lang w:bidi="ar-EG"/>
        </w:rPr>
        <w:t xml:space="preserve"> </w:t>
      </w:r>
      <w:r>
        <w:rPr>
          <w:lang w:val="es-ES" w:bidi="ar-EG"/>
        </w:rPr>
        <w:t>(WRC-23)</w:t>
      </w:r>
      <w:r>
        <w:rPr>
          <w:rFonts w:hint="cs"/>
          <w:rtl/>
          <w:lang w:bidi="ar-EG"/>
        </w:rPr>
        <w:t xml:space="preserve"> المدروسة تحت ولاية</w:t>
      </w:r>
      <w:r w:rsidR="0036216B">
        <w:rPr>
          <w:rFonts w:hint="cs"/>
          <w:rtl/>
          <w:lang w:bidi="ar-EG"/>
        </w:rPr>
        <w:t xml:space="preserve"> عدة لجان دراسات/فرق عمل</w:t>
      </w:r>
      <w:r>
        <w:rPr>
          <w:rFonts w:hint="cs"/>
          <w:rtl/>
          <w:lang w:bidi="ar-EG"/>
        </w:rPr>
        <w:t xml:space="preserve">، لتنظر هذه </w:t>
      </w:r>
      <w:r w:rsidR="0036216B">
        <w:rPr>
          <w:rFonts w:hint="cs"/>
          <w:rtl/>
          <w:lang w:bidi="ar-EG"/>
        </w:rPr>
        <w:t>اللجان/الفرق</w:t>
      </w:r>
      <w:r>
        <w:rPr>
          <w:rFonts w:hint="cs"/>
          <w:rtl/>
          <w:lang w:bidi="ar-EG"/>
        </w:rPr>
        <w:t xml:space="preserve"> فيهما وتتخذ بشأنهما ما يلزم من إجراءات في اجتماعاتها المقبلة المتعلقة بالدراسات التي ينبغي</w:t>
      </w:r>
      <w:r w:rsidR="0036216B">
        <w:rPr>
          <w:rFonts w:hint="cs"/>
          <w:rtl/>
          <w:lang w:bidi="ar-EG"/>
        </w:rPr>
        <w:t xml:space="preserve"> لها</w:t>
      </w:r>
      <w:r>
        <w:rPr>
          <w:rFonts w:hint="cs"/>
          <w:rtl/>
          <w:lang w:bidi="ar-EG"/>
        </w:rPr>
        <w:t xml:space="preserve"> إجراؤها بشأن البنود ذات</w:t>
      </w:r>
      <w:r w:rsidR="000642E1">
        <w:rPr>
          <w:rFonts w:hint="eastAsia"/>
          <w:rtl/>
          <w:lang w:bidi="ar-EG"/>
        </w:rPr>
        <w:t> </w:t>
      </w:r>
      <w:r>
        <w:rPr>
          <w:rFonts w:hint="cs"/>
          <w:rtl/>
          <w:lang w:bidi="ar-EG"/>
        </w:rPr>
        <w:t>الصلة من جدول الأعمال.</w:t>
      </w:r>
    </w:p>
    <w:p w14:paraId="0A6B0B2B" w14:textId="450E1104" w:rsidR="002D0011" w:rsidRPr="000678E7" w:rsidRDefault="00346680" w:rsidP="00346680">
      <w:pPr>
        <w:rPr>
          <w:spacing w:val="4"/>
          <w:rtl/>
          <w:lang w:bidi="ar-EG"/>
        </w:rPr>
      </w:pPr>
      <w:r w:rsidRPr="000678E7">
        <w:rPr>
          <w:rFonts w:hint="cs"/>
          <w:spacing w:val="4"/>
          <w:rtl/>
          <w:lang w:bidi="ar-EG"/>
        </w:rPr>
        <w:t xml:space="preserve">وقد سبق أن قُدّمت المبادئ/الأُطر الواردة في الملحق بهذه الوثيقة/المساهمة إلى فرق العمل </w:t>
      </w:r>
      <w:r w:rsidRPr="000678E7">
        <w:rPr>
          <w:spacing w:val="4"/>
          <w:lang w:val="es-ES" w:bidi="ar-EG"/>
        </w:rPr>
        <w:t>5D</w:t>
      </w:r>
      <w:r w:rsidRPr="000678E7">
        <w:rPr>
          <w:rFonts w:hint="cs"/>
          <w:spacing w:val="4"/>
          <w:rtl/>
          <w:lang w:bidi="ar-EG"/>
        </w:rPr>
        <w:t xml:space="preserve"> و</w:t>
      </w:r>
      <w:r w:rsidRPr="000678E7">
        <w:rPr>
          <w:spacing w:val="4"/>
          <w:lang w:val="es-ES" w:bidi="ar-EG"/>
        </w:rPr>
        <w:t>7A</w:t>
      </w:r>
      <w:r w:rsidRPr="000678E7">
        <w:rPr>
          <w:rFonts w:hint="cs"/>
          <w:spacing w:val="4"/>
          <w:rtl/>
          <w:lang w:bidi="ar-EG"/>
        </w:rPr>
        <w:t xml:space="preserve"> و</w:t>
      </w:r>
      <w:r w:rsidRPr="000678E7">
        <w:rPr>
          <w:spacing w:val="4"/>
          <w:lang w:val="es-ES" w:bidi="ar-EG"/>
        </w:rPr>
        <w:t>7B</w:t>
      </w:r>
      <w:r w:rsidRPr="000678E7">
        <w:rPr>
          <w:rFonts w:hint="cs"/>
          <w:spacing w:val="4"/>
          <w:rtl/>
          <w:lang w:bidi="ar-EG"/>
        </w:rPr>
        <w:t xml:space="preserve"> و</w:t>
      </w:r>
      <w:r w:rsidRPr="000678E7">
        <w:rPr>
          <w:spacing w:val="4"/>
          <w:lang w:val="es-ES" w:bidi="ar-EG"/>
        </w:rPr>
        <w:t>7C</w:t>
      </w:r>
      <w:r w:rsidRPr="000678E7">
        <w:rPr>
          <w:rFonts w:hint="cs"/>
          <w:spacing w:val="4"/>
          <w:rtl/>
          <w:lang w:bidi="ar-EG"/>
        </w:rPr>
        <w:t xml:space="preserve"> و</w:t>
      </w:r>
      <w:r w:rsidRPr="000678E7">
        <w:rPr>
          <w:spacing w:val="4"/>
          <w:lang w:val="es-ES" w:bidi="ar-EG"/>
        </w:rPr>
        <w:t>7D</w:t>
      </w:r>
      <w:r w:rsidRPr="000678E7">
        <w:rPr>
          <w:rFonts w:hint="cs"/>
          <w:spacing w:val="4"/>
          <w:rtl/>
          <w:lang w:val="es-ES" w:bidi="ar-EG"/>
        </w:rPr>
        <w:t xml:space="preserve">. وقد نظرت فيها فرق العمل </w:t>
      </w:r>
      <w:r w:rsidRPr="000678E7">
        <w:rPr>
          <w:spacing w:val="4"/>
          <w:lang w:val="es-ES" w:bidi="ar-EG"/>
        </w:rPr>
        <w:t>5D</w:t>
      </w:r>
      <w:r w:rsidRPr="000678E7">
        <w:rPr>
          <w:rFonts w:hint="cs"/>
          <w:spacing w:val="4"/>
          <w:rtl/>
          <w:lang w:bidi="ar-EG"/>
        </w:rPr>
        <w:t xml:space="preserve"> و</w:t>
      </w:r>
      <w:r w:rsidRPr="000678E7">
        <w:rPr>
          <w:spacing w:val="4"/>
          <w:lang w:val="es-ES" w:bidi="ar-EG"/>
        </w:rPr>
        <w:t>7B</w:t>
      </w:r>
      <w:r w:rsidRPr="000678E7">
        <w:rPr>
          <w:rFonts w:hint="cs"/>
          <w:spacing w:val="4"/>
          <w:rtl/>
          <w:lang w:bidi="ar-EG"/>
        </w:rPr>
        <w:t xml:space="preserve"> و</w:t>
      </w:r>
      <w:r w:rsidRPr="000678E7">
        <w:rPr>
          <w:spacing w:val="4"/>
          <w:lang w:bidi="ar-EG"/>
        </w:rPr>
        <w:t>7C</w:t>
      </w:r>
      <w:r w:rsidR="009736AA" w:rsidRPr="000678E7">
        <w:rPr>
          <w:rFonts w:hint="cs"/>
          <w:spacing w:val="4"/>
          <w:rtl/>
          <w:lang w:bidi="ar-EG"/>
        </w:rPr>
        <w:t xml:space="preserve">، </w:t>
      </w:r>
      <w:r w:rsidRPr="000678E7">
        <w:rPr>
          <w:rFonts w:hint="cs"/>
          <w:spacing w:val="4"/>
          <w:rtl/>
          <w:lang w:bidi="ar-EG"/>
        </w:rPr>
        <w:t>التي عقدت اجتماعاتها بعد انعقاد المؤتمر العالمي للاتصالات الراديوية لعام</w:t>
      </w:r>
      <w:r w:rsidR="00C16A5F">
        <w:rPr>
          <w:rFonts w:hint="cs"/>
          <w:spacing w:val="4"/>
          <w:rtl/>
          <w:lang w:bidi="ar-EG"/>
        </w:rPr>
        <w:t> </w:t>
      </w:r>
      <w:r w:rsidRPr="000678E7">
        <w:rPr>
          <w:spacing w:val="4"/>
          <w:lang w:val="es-ES" w:bidi="ar-EG"/>
        </w:rPr>
        <w:t>2019</w:t>
      </w:r>
      <w:r w:rsidRPr="000678E7">
        <w:rPr>
          <w:rFonts w:hint="cs"/>
          <w:spacing w:val="4"/>
          <w:rtl/>
          <w:lang w:val="es-ES" w:bidi="ar-EG"/>
        </w:rPr>
        <w:t xml:space="preserve"> </w:t>
      </w:r>
      <w:r w:rsidRPr="000678E7">
        <w:rPr>
          <w:spacing w:val="4"/>
          <w:lang w:val="es-ES" w:bidi="ar-EG"/>
        </w:rPr>
        <w:t>(WRC-19)</w:t>
      </w:r>
      <w:r w:rsidRPr="000678E7">
        <w:rPr>
          <w:rFonts w:hint="cs"/>
          <w:spacing w:val="4"/>
          <w:rtl/>
          <w:lang w:bidi="ar-EG"/>
        </w:rPr>
        <w:t xml:space="preserve"> </w:t>
      </w:r>
      <w:r w:rsidRPr="000678E7">
        <w:rPr>
          <w:rFonts w:hint="cs"/>
          <w:spacing w:val="4"/>
          <w:rtl/>
          <w:lang w:val="es-ES" w:bidi="ar-EG"/>
        </w:rPr>
        <w:t xml:space="preserve">وجمعية الاتصالات الراديوية لعام </w:t>
      </w:r>
      <w:r w:rsidRPr="000678E7">
        <w:rPr>
          <w:spacing w:val="4"/>
          <w:lang w:val="es-ES" w:bidi="ar-EG"/>
        </w:rPr>
        <w:t>2019</w:t>
      </w:r>
      <w:r w:rsidRPr="000678E7">
        <w:rPr>
          <w:rFonts w:hint="cs"/>
          <w:spacing w:val="4"/>
          <w:rtl/>
          <w:lang w:bidi="ar-EG"/>
        </w:rPr>
        <w:t xml:space="preserve"> </w:t>
      </w:r>
      <w:r w:rsidRPr="000678E7">
        <w:rPr>
          <w:spacing w:val="4"/>
          <w:lang w:val="es-ES" w:bidi="ar-EG"/>
        </w:rPr>
        <w:t>(RA-19)</w:t>
      </w:r>
      <w:r w:rsidRPr="000678E7">
        <w:rPr>
          <w:rFonts w:hint="cs"/>
          <w:spacing w:val="4"/>
          <w:rtl/>
          <w:lang w:bidi="ar-EG"/>
        </w:rPr>
        <w:t xml:space="preserve">، </w:t>
      </w:r>
      <w:r w:rsidR="009736AA" w:rsidRPr="000678E7">
        <w:rPr>
          <w:rFonts w:hint="cs"/>
          <w:spacing w:val="4"/>
          <w:rtl/>
          <w:lang w:bidi="ar-EG"/>
        </w:rPr>
        <w:t xml:space="preserve">وأرفقتها للنظر فيها وتنفيذها، حسب الاقتضاء. </w:t>
      </w:r>
    </w:p>
    <w:p w14:paraId="2E3667F9" w14:textId="7C375A17" w:rsidR="002D0011" w:rsidRPr="00317330" w:rsidRDefault="009736AA" w:rsidP="00757582">
      <w:pPr>
        <w:rPr>
          <w:rtl/>
          <w:lang w:val="es-ES" w:bidi="ar-EG"/>
        </w:rPr>
      </w:pPr>
      <w:r>
        <w:rPr>
          <w:rFonts w:hint="cs"/>
          <w:rtl/>
          <w:lang w:bidi="ar-EG"/>
        </w:rPr>
        <w:t xml:space="preserve">وبالنظر إلى إمكانية تطبيق المبادئ ذاتها على جميع </w:t>
      </w:r>
      <w:r w:rsidR="008327BF">
        <w:rPr>
          <w:rFonts w:hint="cs"/>
          <w:rtl/>
          <w:lang w:bidi="ar-EG"/>
        </w:rPr>
        <w:t xml:space="preserve">لجان الدراسات/فرق العمل المعنية بإجراء دراسات بشأن بنود جدول أعمال المؤتمر </w:t>
      </w:r>
      <w:r w:rsidR="008327BF">
        <w:rPr>
          <w:lang w:val="es-ES" w:bidi="ar-EG"/>
        </w:rPr>
        <w:t>WRC-23</w:t>
      </w:r>
      <w:r w:rsidR="008327BF">
        <w:rPr>
          <w:rFonts w:hint="cs"/>
          <w:rtl/>
          <w:lang w:bidi="ar-EG"/>
        </w:rPr>
        <w:t>، تُرسَل هذه المساهمة كذلك إلى جميع لجان الدراسات/فرق العمل</w:t>
      </w:r>
      <w:r w:rsidR="00E75735">
        <w:rPr>
          <w:rFonts w:hint="cs"/>
          <w:rtl/>
          <w:lang w:bidi="ar-EG"/>
        </w:rPr>
        <w:t xml:space="preserve"> المعنية</w:t>
      </w:r>
      <w:r w:rsidR="008327BF">
        <w:rPr>
          <w:rFonts w:hint="cs"/>
          <w:rtl/>
          <w:lang w:bidi="ar-EG"/>
        </w:rPr>
        <w:t>.</w:t>
      </w:r>
      <w:r w:rsidR="00757582">
        <w:rPr>
          <w:rFonts w:hint="cs"/>
          <w:rtl/>
          <w:lang w:bidi="ar-EG"/>
        </w:rPr>
        <w:t xml:space="preserve"> </w:t>
      </w:r>
      <w:r w:rsidR="000A7C46">
        <w:rPr>
          <w:rFonts w:hint="cs"/>
          <w:rtl/>
          <w:lang w:bidi="ar-EG"/>
        </w:rPr>
        <w:t xml:space="preserve">فضلاً عن ذلك، </w:t>
      </w:r>
      <w:r w:rsidR="00317330">
        <w:rPr>
          <w:rFonts w:hint="cs"/>
          <w:rtl/>
          <w:lang w:bidi="ar-EG"/>
        </w:rPr>
        <w:t xml:space="preserve">تقدَّم هذه المساهمة إلى الفريق الاستشاري للاتصالات الراديوية </w:t>
      </w:r>
      <w:r w:rsidR="00317330">
        <w:rPr>
          <w:lang w:val="es-ES" w:bidi="ar-EG"/>
        </w:rPr>
        <w:t>(RAG)</w:t>
      </w:r>
      <w:r w:rsidR="00317330">
        <w:rPr>
          <w:rFonts w:hint="cs"/>
          <w:rtl/>
          <w:lang w:val="es-ES" w:bidi="ar-EG"/>
        </w:rPr>
        <w:t xml:space="preserve"> ليستعرضها ويوعِز </w:t>
      </w:r>
      <w:r w:rsidR="001C1B46">
        <w:rPr>
          <w:rFonts w:hint="cs"/>
          <w:rtl/>
          <w:lang w:val="es-ES"/>
        </w:rPr>
        <w:t xml:space="preserve">إلى </w:t>
      </w:r>
      <w:r w:rsidR="00317330">
        <w:rPr>
          <w:rFonts w:hint="cs"/>
          <w:rtl/>
          <w:lang w:val="es-ES" w:bidi="ar-EG"/>
        </w:rPr>
        <w:t>لجان الدراسات/فرق العمل المذكورة أعلاه بالنظر فيها أيضاً وأخذها في حسبانها، حسب الاقتضاء.</w:t>
      </w:r>
    </w:p>
    <w:p w14:paraId="783F7560" w14:textId="060CEF14" w:rsidR="002D0011" w:rsidRDefault="00317330" w:rsidP="00E75735">
      <w:pPr>
        <w:rPr>
          <w:rtl/>
          <w:lang w:bidi="ar-EG"/>
        </w:rPr>
      </w:pPr>
      <w:r w:rsidRPr="00DA6271">
        <w:rPr>
          <w:rFonts w:hint="cs"/>
          <w:rtl/>
          <w:lang w:bidi="ar-EG"/>
        </w:rPr>
        <w:t xml:space="preserve">وتكشف المناقشات التي أُجريت في فرقتي العمل </w:t>
      </w:r>
      <w:r w:rsidRPr="00DA6271">
        <w:rPr>
          <w:lang w:val="es-ES" w:bidi="ar-EG"/>
        </w:rPr>
        <w:t>7B</w:t>
      </w:r>
      <w:r w:rsidRPr="00DA6271">
        <w:rPr>
          <w:rFonts w:hint="cs"/>
          <w:rtl/>
          <w:lang w:bidi="ar-EG"/>
        </w:rPr>
        <w:t xml:space="preserve"> و</w:t>
      </w:r>
      <w:r w:rsidRPr="00DA6271">
        <w:rPr>
          <w:lang w:val="es-ES" w:bidi="ar-EG"/>
        </w:rPr>
        <w:t>7C</w:t>
      </w:r>
      <w:r w:rsidRPr="00DA6271">
        <w:rPr>
          <w:rFonts w:hint="cs"/>
          <w:rtl/>
          <w:lang w:bidi="ar-EG"/>
        </w:rPr>
        <w:t>، وكذلك المشاورات غير الرسيمة التي أُجريت مع بعض الاستشاريين التابعين لمكتب الاتصالات الراديوية</w:t>
      </w:r>
      <w:r w:rsidR="00E75735" w:rsidRPr="00DA6271">
        <w:rPr>
          <w:rFonts w:hint="cs"/>
          <w:rtl/>
          <w:lang w:bidi="ar-EG"/>
        </w:rPr>
        <w:t>،</w:t>
      </w:r>
      <w:r w:rsidRPr="00DA6271">
        <w:rPr>
          <w:rFonts w:hint="cs"/>
          <w:rtl/>
          <w:lang w:bidi="ar-EG"/>
        </w:rPr>
        <w:t xml:space="preserve"> عن </w:t>
      </w:r>
      <w:r w:rsidR="00E75735" w:rsidRPr="00DA6271">
        <w:rPr>
          <w:rFonts w:hint="cs"/>
          <w:rtl/>
          <w:lang w:bidi="ar-EG"/>
        </w:rPr>
        <w:t>احتمال لزوم بعض التوضيحات لل</w:t>
      </w:r>
      <w:r w:rsidRPr="00DA6271">
        <w:rPr>
          <w:rFonts w:hint="cs"/>
          <w:rtl/>
          <w:lang w:bidi="ar-EG"/>
        </w:rPr>
        <w:t>مساعدة على فهم</w:t>
      </w:r>
      <w:r w:rsidR="00E75735" w:rsidRPr="00DA6271">
        <w:rPr>
          <w:rFonts w:hint="cs"/>
          <w:rtl/>
          <w:lang w:bidi="ar-EG"/>
        </w:rPr>
        <w:t xml:space="preserve"> كل من هذه المبادئ وهدفه/الغرض منه وتيسير ذلك.</w:t>
      </w:r>
    </w:p>
    <w:p w14:paraId="393C7C3A" w14:textId="3EEA4CF1" w:rsidR="00E75735" w:rsidRPr="00317330" w:rsidRDefault="00E75735" w:rsidP="00E75735">
      <w:pPr>
        <w:rPr>
          <w:rtl/>
          <w:lang w:bidi="ar-EG"/>
        </w:rPr>
      </w:pPr>
      <w:r>
        <w:rPr>
          <w:rFonts w:hint="cs"/>
          <w:rtl/>
          <w:lang w:bidi="ar-EG"/>
        </w:rPr>
        <w:t>وقد أُضيفت هذه التوضيحات إلى المبادئ بصيغتها الواردة في ملحق هذه المساهمة.</w:t>
      </w:r>
    </w:p>
    <w:p w14:paraId="3DF7C0EC" w14:textId="77777777" w:rsidR="005066FC" w:rsidRDefault="005066FC" w:rsidP="005066FC">
      <w:pPr>
        <w:pStyle w:val="Headingb"/>
        <w:rPr>
          <w:rtl/>
        </w:rPr>
      </w:pPr>
      <w:r>
        <w:rPr>
          <w:rFonts w:hint="cs"/>
          <w:rtl/>
        </w:rPr>
        <w:t>مقدمة</w:t>
      </w:r>
    </w:p>
    <w:p w14:paraId="64B0E0F1" w14:textId="28BAF272" w:rsidR="005066FC" w:rsidRDefault="005066FC" w:rsidP="005319E6">
      <w:pPr>
        <w:rPr>
          <w:rtl/>
          <w:lang w:bidi="ar-EG"/>
        </w:rPr>
      </w:pPr>
      <w:r>
        <w:rPr>
          <w:rFonts w:hint="cs"/>
          <w:rtl/>
          <w:lang w:bidi="ar-EG"/>
        </w:rPr>
        <w:t xml:space="preserve">لتنظيم الدراسات التي </w:t>
      </w:r>
      <w:r w:rsidR="001C1B46">
        <w:rPr>
          <w:rFonts w:hint="cs"/>
          <w:rtl/>
          <w:lang w:bidi="ar-EG"/>
        </w:rPr>
        <w:t xml:space="preserve">يتعين </w:t>
      </w:r>
      <w:r>
        <w:rPr>
          <w:rFonts w:hint="cs"/>
          <w:rtl/>
          <w:lang w:bidi="ar-EG"/>
        </w:rPr>
        <w:t>على</w:t>
      </w:r>
      <w:r w:rsidR="00E75735">
        <w:rPr>
          <w:rFonts w:hint="cs"/>
          <w:rtl/>
          <w:lang w:bidi="ar-EG"/>
        </w:rPr>
        <w:t xml:space="preserve"> لجان الدراسات/</w:t>
      </w:r>
      <w:r>
        <w:rPr>
          <w:rFonts w:hint="cs"/>
          <w:rtl/>
          <w:lang w:bidi="ar-EG"/>
        </w:rPr>
        <w:t>فرق العمل</w:t>
      </w:r>
      <w:r w:rsidR="00E75735">
        <w:rPr>
          <w:rFonts w:hint="cs"/>
          <w:rtl/>
          <w:lang w:bidi="ar-EG"/>
        </w:rPr>
        <w:t xml:space="preserve"> المعنية</w:t>
      </w:r>
      <w:r>
        <w:rPr>
          <w:rFonts w:hint="cs"/>
          <w:rtl/>
          <w:lang w:bidi="ar-EG"/>
        </w:rPr>
        <w:t xml:space="preserve"> </w:t>
      </w:r>
      <w:r>
        <w:rPr>
          <w:rFonts w:hint="cs"/>
          <w:rtl/>
          <w:lang w:val="es-ES" w:bidi="ar-EG"/>
        </w:rPr>
        <w:t>إجرا</w:t>
      </w:r>
      <w:r w:rsidR="00E75735">
        <w:rPr>
          <w:rFonts w:hint="cs"/>
          <w:rtl/>
          <w:lang w:val="es-ES" w:bidi="ar-EG"/>
        </w:rPr>
        <w:t>ؤها بشأن البنود المتصلة بولاية كل منها</w:t>
      </w:r>
      <w:r>
        <w:rPr>
          <w:rFonts w:hint="cs"/>
          <w:rtl/>
          <w:lang w:val="es-ES" w:bidi="ar-EG"/>
        </w:rPr>
        <w:t xml:space="preserve"> من جدول أعمال المؤتمر العالمي للاتصالات الراديوية لعام </w:t>
      </w:r>
      <w:r>
        <w:rPr>
          <w:lang w:val="es-ES" w:bidi="ar-EG"/>
        </w:rPr>
        <w:t>2023</w:t>
      </w:r>
      <w:r>
        <w:rPr>
          <w:rFonts w:hint="cs"/>
          <w:rtl/>
          <w:lang w:bidi="ar-EG"/>
        </w:rPr>
        <w:t xml:space="preserve"> </w:t>
      </w:r>
      <w:r>
        <w:rPr>
          <w:lang w:val="es-ES" w:bidi="ar-EG"/>
        </w:rPr>
        <w:t>(WRC-23)</w:t>
      </w:r>
      <w:r>
        <w:rPr>
          <w:rFonts w:hint="cs"/>
          <w:rtl/>
          <w:lang w:bidi="ar-EG"/>
        </w:rPr>
        <w:t xml:space="preserve">، </w:t>
      </w:r>
      <w:r w:rsidR="005319E6">
        <w:rPr>
          <w:rFonts w:hint="cs"/>
          <w:rtl/>
          <w:lang w:bidi="ar-EG"/>
        </w:rPr>
        <w:t>يلزم أساساً</w:t>
      </w:r>
      <w:r>
        <w:rPr>
          <w:rFonts w:hint="cs"/>
          <w:rtl/>
          <w:lang w:bidi="ar-EG"/>
        </w:rPr>
        <w:t xml:space="preserve"> أن تراعي </w:t>
      </w:r>
      <w:r w:rsidR="005319E6">
        <w:rPr>
          <w:rFonts w:hint="cs"/>
          <w:rtl/>
          <w:lang w:bidi="ar-EG"/>
        </w:rPr>
        <w:t>الكيانات</w:t>
      </w:r>
      <w:r>
        <w:rPr>
          <w:rFonts w:hint="cs"/>
          <w:rtl/>
          <w:lang w:bidi="ar-EG"/>
        </w:rPr>
        <w:t xml:space="preserve"> المذكورة أعلاه المبادئ التوجيهية العامة التالية في الدراسات التي ينبغي لها إجراؤها بشأن بنود جدول الأعمال ذات الصلة </w:t>
      </w:r>
      <w:r w:rsidR="001C1B46">
        <w:rPr>
          <w:rFonts w:hint="cs"/>
          <w:rtl/>
          <w:lang w:bidi="ar-EG"/>
        </w:rPr>
        <w:t xml:space="preserve">التي أسندتها </w:t>
      </w:r>
      <w:r>
        <w:rPr>
          <w:rFonts w:hint="cs"/>
          <w:rtl/>
          <w:lang w:bidi="ar-EG"/>
        </w:rPr>
        <w:t xml:space="preserve">إليها الدورة الأولى للاجتماع التحضيري للمؤتمر </w:t>
      </w:r>
      <w:r>
        <w:rPr>
          <w:lang w:bidi="ar-EG"/>
        </w:rPr>
        <w:t>(CPM23-1)</w:t>
      </w:r>
      <w:r>
        <w:rPr>
          <w:rFonts w:hint="cs"/>
          <w:rtl/>
          <w:lang w:bidi="ar-EG"/>
        </w:rPr>
        <w:t>.</w:t>
      </w:r>
    </w:p>
    <w:p w14:paraId="6AC5A951" w14:textId="0D31654C" w:rsidR="002D0011" w:rsidRPr="005319E6" w:rsidRDefault="005319E6" w:rsidP="005319E6">
      <w:pPr>
        <w:rPr>
          <w:lang w:val="es-ES" w:bidi="ar-EG"/>
        </w:rPr>
      </w:pPr>
      <w:r>
        <w:rPr>
          <w:rFonts w:hint="cs"/>
          <w:rtl/>
          <w:lang w:bidi="ar-EG"/>
        </w:rPr>
        <w:t xml:space="preserve">فالغرض من هذه الوثيقة والملحق المرفق بها </w:t>
      </w:r>
      <w:r w:rsidRPr="00DA6271">
        <w:rPr>
          <w:rFonts w:hint="cs"/>
          <w:rtl/>
          <w:lang w:bidi="ar-EG"/>
        </w:rPr>
        <w:t>تنظيم</w:t>
      </w:r>
      <w:r>
        <w:rPr>
          <w:rFonts w:hint="cs"/>
          <w:rtl/>
          <w:lang w:bidi="ar-EG"/>
        </w:rPr>
        <w:t xml:space="preserve"> مهام لجان الدراسات/فرق العمل المعنية وتيسيرها لدى إجراء الدراسات اللازمة المتعلقة ببنود جدول أعمال المؤتمر </w:t>
      </w:r>
      <w:r>
        <w:rPr>
          <w:lang w:val="es-ES" w:bidi="ar-EG"/>
        </w:rPr>
        <w:t>WRC-23</w:t>
      </w:r>
      <w:r>
        <w:rPr>
          <w:rFonts w:hint="cs"/>
          <w:rtl/>
          <w:lang w:val="es-ES" w:bidi="ar-EG"/>
        </w:rPr>
        <w:t xml:space="preserve"> تحت ولاية كل من فرق العمل المعنية.</w:t>
      </w:r>
    </w:p>
    <w:p w14:paraId="690CBC03" w14:textId="6069F92A" w:rsidR="002D0011" w:rsidRPr="00AB3950" w:rsidRDefault="005319E6" w:rsidP="005319E6">
      <w:pPr>
        <w:rPr>
          <w:rtl/>
          <w:lang w:bidi="ar-EG"/>
        </w:rPr>
      </w:pPr>
      <w:r>
        <w:rPr>
          <w:rFonts w:hint="cs"/>
          <w:rtl/>
          <w:lang w:bidi="ar-EG"/>
        </w:rPr>
        <w:t>لذا، تُشجَّع لجنة الدراسات/فرقة العمل المعنية على أن تنظر في المبادئ/البنود التالية الواردة في الملحق وتراعيها، حسب</w:t>
      </w:r>
      <w:r w:rsidR="003F184E">
        <w:rPr>
          <w:rFonts w:hint="eastAsia"/>
          <w:rtl/>
          <w:lang w:bidi="ar-EG"/>
        </w:rPr>
        <w:t> </w:t>
      </w:r>
      <w:r>
        <w:rPr>
          <w:rFonts w:hint="cs"/>
          <w:rtl/>
          <w:lang w:bidi="ar-EG"/>
        </w:rPr>
        <w:t xml:space="preserve">الاقتضاء، في مرحلة مبكرة من إجراء/تنفيذ الدراسات المتعلقة </w:t>
      </w:r>
      <w:r w:rsidR="00B5627D">
        <w:rPr>
          <w:rFonts w:hint="cs"/>
          <w:rtl/>
          <w:lang w:bidi="ar-EG"/>
        </w:rPr>
        <w:t>ب</w:t>
      </w:r>
      <w:r w:rsidR="00AB3950">
        <w:rPr>
          <w:rFonts w:hint="cs"/>
          <w:rtl/>
          <w:lang w:bidi="ar-EG"/>
        </w:rPr>
        <w:t xml:space="preserve">بنود جدول أعمال المؤتمر </w:t>
      </w:r>
      <w:r w:rsidR="00AB3950">
        <w:rPr>
          <w:lang w:val="es-ES" w:bidi="ar-EG"/>
        </w:rPr>
        <w:t>WRC-23</w:t>
      </w:r>
      <w:r w:rsidR="00AB3950">
        <w:rPr>
          <w:rFonts w:hint="cs"/>
          <w:rtl/>
          <w:lang w:bidi="ar-EG"/>
        </w:rPr>
        <w:t>.</w:t>
      </w:r>
    </w:p>
    <w:p w14:paraId="77C2128A" w14:textId="6B4E27D9" w:rsidR="002D0011" w:rsidRDefault="002D0011">
      <w:pPr>
        <w:tabs>
          <w:tab w:val="clear" w:pos="1134"/>
          <w:tab w:val="clear" w:pos="1871"/>
          <w:tab w:val="clear" w:pos="2268"/>
        </w:tabs>
        <w:bidi w:val="0"/>
        <w:spacing w:before="0" w:line="240" w:lineRule="auto"/>
        <w:jc w:val="left"/>
        <w:rPr>
          <w:lang w:bidi="ar-EG"/>
        </w:rPr>
      </w:pPr>
      <w:r>
        <w:rPr>
          <w:rtl/>
          <w:lang w:bidi="ar-EG"/>
        </w:rPr>
        <w:br w:type="page"/>
      </w:r>
    </w:p>
    <w:p w14:paraId="305BA971" w14:textId="3FF9B411" w:rsidR="002D0011" w:rsidRDefault="002D0011" w:rsidP="002D0011">
      <w:pPr>
        <w:pStyle w:val="AnnexNo"/>
        <w:rPr>
          <w:lang w:val="en-US"/>
        </w:rPr>
      </w:pPr>
      <w:r>
        <w:rPr>
          <w:rFonts w:hint="cs"/>
          <w:rtl/>
        </w:rPr>
        <w:lastRenderedPageBreak/>
        <w:t>الملحق</w:t>
      </w:r>
    </w:p>
    <w:p w14:paraId="476CD7E5" w14:textId="30B6003D" w:rsidR="006D346F" w:rsidRPr="006D346F" w:rsidRDefault="006D346F" w:rsidP="006D346F">
      <w:pPr>
        <w:pStyle w:val="Heading1"/>
        <w:tabs>
          <w:tab w:val="clear" w:pos="1134"/>
          <w:tab w:val="left" w:pos="9"/>
        </w:tabs>
        <w:ind w:left="9" w:hanging="9"/>
        <w:jc w:val="center"/>
        <w:rPr>
          <w:lang w:val="es-ES"/>
        </w:rPr>
      </w:pPr>
      <w:r>
        <w:rPr>
          <w:rFonts w:hint="cs"/>
          <w:rtl/>
        </w:rPr>
        <w:t>المبادئ التي ينبغي مراعاتها وأخذها في الاعتبار في الدراسات المتعلقة ببنود</w:t>
      </w:r>
      <w:r w:rsidR="00691630">
        <w:rPr>
          <w:rtl/>
        </w:rPr>
        <w:br/>
      </w:r>
      <w:r>
        <w:rPr>
          <w:rFonts w:hint="cs"/>
          <w:rtl/>
        </w:rPr>
        <w:t xml:space="preserve">جدول أعمال المؤتمر العالمي للاتصالات الرايوية لعام </w:t>
      </w:r>
      <w:r>
        <w:rPr>
          <w:lang w:val="es-ES"/>
        </w:rPr>
        <w:t>2023</w:t>
      </w:r>
      <w:r>
        <w:rPr>
          <w:rFonts w:hint="cs"/>
          <w:rtl/>
        </w:rPr>
        <w:t xml:space="preserve"> </w:t>
      </w:r>
      <w:r>
        <w:rPr>
          <w:lang w:val="es-ES"/>
        </w:rPr>
        <w:t>(WRC-23)</w:t>
      </w:r>
    </w:p>
    <w:p w14:paraId="70B27B21" w14:textId="77777777" w:rsidR="005066FC" w:rsidRDefault="005066FC" w:rsidP="005066FC">
      <w:pPr>
        <w:pStyle w:val="Heading1"/>
        <w:rPr>
          <w:rtl/>
        </w:rPr>
      </w:pPr>
      <w:r>
        <w:t>1</w:t>
      </w:r>
      <w:r>
        <w:rPr>
          <w:rtl/>
        </w:rPr>
        <w:tab/>
      </w:r>
      <w:r>
        <w:rPr>
          <w:rFonts w:hint="cs"/>
          <w:rtl/>
        </w:rPr>
        <w:t>تحديد النطاقات غير الموزَّعة بعد لخدمة/خدمات اتصالات راديوية قيد الدراسة</w:t>
      </w:r>
    </w:p>
    <w:p w14:paraId="0A2A8B51" w14:textId="7CD4C861" w:rsidR="005066FC" w:rsidRDefault="005066FC" w:rsidP="00C6644B">
      <w:pPr>
        <w:rPr>
          <w:rtl/>
          <w:lang w:bidi="ar-EG"/>
        </w:rPr>
      </w:pPr>
      <w:r>
        <w:rPr>
          <w:rFonts w:hint="cs"/>
          <w:rtl/>
          <w:lang w:bidi="ar-EG"/>
        </w:rPr>
        <w:t>المبادئ التي تطبق عند دراسة نطاق أو نطاقات تردد في إقليم معين أو أقاليم/بلدان معينة إن لم يكن النطاق ذو الصلة موزَّعاً/لم تكن النطاقات ذات الصلة موزَّعة لتلك الخدمة في ذلك الإقليم أو في تلك الأقاليم/البلدان</w:t>
      </w:r>
      <w:r w:rsidR="00A2641B">
        <w:rPr>
          <w:rFonts w:hint="cs"/>
          <w:rtl/>
          <w:lang w:bidi="ar-EG"/>
        </w:rPr>
        <w:t>.</w:t>
      </w:r>
    </w:p>
    <w:p w14:paraId="59E3448F" w14:textId="22FBEA2D" w:rsidR="002D0011" w:rsidRPr="00B553DF" w:rsidRDefault="00C6644B" w:rsidP="00B553DF">
      <w:pPr>
        <w:rPr>
          <w:rtl/>
          <w:lang w:bidi="ar-EG"/>
        </w:rPr>
      </w:pPr>
      <w:r>
        <w:rPr>
          <w:rFonts w:hint="cs"/>
          <w:rtl/>
          <w:lang w:bidi="ar-EG"/>
        </w:rPr>
        <w:t>و</w:t>
      </w:r>
      <w:r w:rsidR="00B553DF">
        <w:rPr>
          <w:rFonts w:hint="cs"/>
          <w:rtl/>
          <w:lang w:bidi="ar-EG"/>
        </w:rPr>
        <w:t xml:space="preserve">ينطبق هذا المبدأ أساساً على بنود جدول الأعمال المتعلقة بأيٍّ من أنماط أنظمة الاتصالات المتنقلة الدولية </w:t>
      </w:r>
      <w:r w:rsidR="00B553DF">
        <w:rPr>
          <w:lang w:val="es-ES" w:bidi="ar-EG"/>
        </w:rPr>
        <w:t>(IMT)</w:t>
      </w:r>
      <w:r w:rsidR="00B553DF">
        <w:rPr>
          <w:rFonts w:hint="cs"/>
          <w:rtl/>
          <w:lang w:bidi="ar-EG"/>
        </w:rPr>
        <w:t xml:space="preserve"> ومحطات المنصات عالية الارتفاع </w:t>
      </w:r>
      <w:r w:rsidR="00B553DF">
        <w:rPr>
          <w:lang w:val="es-ES" w:bidi="ar-EG"/>
        </w:rPr>
        <w:t>(HAPS)</w:t>
      </w:r>
      <w:r w:rsidR="00B553DF">
        <w:rPr>
          <w:rFonts w:hint="cs"/>
          <w:rtl/>
          <w:lang w:bidi="ar-EG"/>
        </w:rPr>
        <w:t>.</w:t>
      </w:r>
    </w:p>
    <w:p w14:paraId="1D2F4C50" w14:textId="77777777" w:rsidR="005066FC" w:rsidRDefault="005066FC" w:rsidP="005066FC">
      <w:pPr>
        <w:pStyle w:val="Heading1"/>
        <w:rPr>
          <w:rtl/>
        </w:rPr>
      </w:pPr>
      <w:r>
        <w:t>2</w:t>
      </w:r>
      <w:r>
        <w:rPr>
          <w:rtl/>
        </w:rPr>
        <w:tab/>
      </w:r>
      <w:r>
        <w:rPr>
          <w:rFonts w:hint="cs"/>
          <w:rtl/>
        </w:rPr>
        <w:t>تحديد النطاقات الموزَّعة بالفعل لخدمة/خدمات اتصالات راديوية قيد الدراسة</w:t>
      </w:r>
    </w:p>
    <w:p w14:paraId="3A8F6125" w14:textId="5ACC2937" w:rsidR="005066FC" w:rsidRDefault="005066FC" w:rsidP="005066FC">
      <w:pPr>
        <w:rPr>
          <w:rtl/>
          <w:lang w:bidi="ar-EG"/>
        </w:rPr>
      </w:pPr>
      <w:r>
        <w:rPr>
          <w:rFonts w:hint="cs"/>
          <w:rtl/>
          <w:lang w:bidi="ar-EG"/>
        </w:rPr>
        <w:t>المبادئ التي تطبق عند دراسة نطاق أو نطاقات تردد موزعة لخدمة/خدمات اتصالات راديوية قيد الدراسة في إقليم معين أو أقاليم/بلدان معينة إذا كان النطاق ذو الصلة موزعاً/كانت النطاقات ذات الصلة موزعة بالفعل لتلك الخدمة في ذلك الإ</w:t>
      </w:r>
      <w:r w:rsidR="00C6644B">
        <w:rPr>
          <w:rFonts w:hint="cs"/>
          <w:rtl/>
          <w:lang w:bidi="ar-EG"/>
        </w:rPr>
        <w:t>قليم أو في تلك الأقاليم/البلدان</w:t>
      </w:r>
      <w:r w:rsidR="00A2641B">
        <w:rPr>
          <w:rFonts w:hint="cs"/>
          <w:rtl/>
          <w:lang w:bidi="ar-EG"/>
        </w:rPr>
        <w:t>.</w:t>
      </w:r>
    </w:p>
    <w:p w14:paraId="6644303E" w14:textId="2A3088C6" w:rsidR="002D0011" w:rsidRPr="0084080F" w:rsidRDefault="00C6644B" w:rsidP="0084080F">
      <w:pPr>
        <w:rPr>
          <w:lang w:val="es-ES" w:bidi="ar-EG"/>
        </w:rPr>
      </w:pPr>
      <w:r>
        <w:rPr>
          <w:rFonts w:hint="cs"/>
          <w:rtl/>
          <w:lang w:bidi="ar-EG"/>
        </w:rPr>
        <w:t>و</w:t>
      </w:r>
      <w:r w:rsidR="0084080F">
        <w:rPr>
          <w:rFonts w:hint="cs"/>
          <w:rtl/>
          <w:lang w:bidi="ar-EG"/>
        </w:rPr>
        <w:t xml:space="preserve">ينطبق هذا المبدأ أساساً على بنود جدول الأعمال المتعلقة بأيٍّ من أنماط أنظمة الاتصالات المتنقلة الدولية </w:t>
      </w:r>
      <w:r w:rsidR="0084080F">
        <w:rPr>
          <w:lang w:val="es-ES" w:bidi="ar-EG"/>
        </w:rPr>
        <w:t>(IMT)</w:t>
      </w:r>
      <w:r w:rsidR="0084080F">
        <w:rPr>
          <w:rFonts w:hint="cs"/>
          <w:rtl/>
          <w:lang w:bidi="ar-EG"/>
        </w:rPr>
        <w:t xml:space="preserve"> ومحطات المنصات عالية الارتفاع </w:t>
      </w:r>
      <w:r w:rsidR="0084080F">
        <w:rPr>
          <w:lang w:val="es-ES" w:bidi="ar-EG"/>
        </w:rPr>
        <w:t>(HAPS)</w:t>
      </w:r>
      <w:r w:rsidR="0084080F">
        <w:rPr>
          <w:rFonts w:hint="cs"/>
          <w:rtl/>
          <w:lang w:bidi="ar-EG"/>
        </w:rPr>
        <w:t>.</w:t>
      </w:r>
    </w:p>
    <w:p w14:paraId="298E983E" w14:textId="76D88578" w:rsidR="005066FC" w:rsidRDefault="005066FC" w:rsidP="00C6644B">
      <w:pPr>
        <w:pStyle w:val="Heading1"/>
        <w:rPr>
          <w:rtl/>
        </w:rPr>
      </w:pPr>
      <w:r>
        <w:rPr>
          <w:rFonts w:hint="cs"/>
          <w:rtl/>
        </w:rPr>
        <w:t>3</w:t>
      </w:r>
      <w:r>
        <w:rPr>
          <w:rtl/>
        </w:rPr>
        <w:tab/>
      </w:r>
      <w:r>
        <w:rPr>
          <w:rFonts w:hint="cs"/>
          <w:rtl/>
        </w:rPr>
        <w:t>تحديد الخدمات في</w:t>
      </w:r>
      <w:r w:rsidR="00C6644B">
        <w:rPr>
          <w:rFonts w:hint="cs"/>
          <w:rtl/>
        </w:rPr>
        <w:t xml:space="preserve"> نفس </w:t>
      </w:r>
      <w:r>
        <w:rPr>
          <w:rFonts w:hint="cs"/>
          <w:rtl/>
        </w:rPr>
        <w:t>النطاق</w:t>
      </w:r>
      <w:r w:rsidR="00826E89">
        <w:rPr>
          <w:rFonts w:hint="cs"/>
          <w:rtl/>
        </w:rPr>
        <w:t xml:space="preserve"> و</w:t>
      </w:r>
      <w:r>
        <w:rPr>
          <w:rFonts w:hint="cs"/>
          <w:rtl/>
        </w:rPr>
        <w:t>في النطاقات المجاورة</w:t>
      </w:r>
      <w:r w:rsidR="0084080F">
        <w:rPr>
          <w:rFonts w:hint="cs"/>
          <w:rtl/>
        </w:rPr>
        <w:t xml:space="preserve"> له</w:t>
      </w:r>
    </w:p>
    <w:p w14:paraId="5E734728" w14:textId="2E7D79B6" w:rsidR="005066FC" w:rsidRDefault="005066FC" w:rsidP="005066FC">
      <w:pPr>
        <w:rPr>
          <w:rtl/>
          <w:lang w:bidi="ar-EG"/>
        </w:rPr>
      </w:pPr>
      <w:r>
        <w:rPr>
          <w:rFonts w:hint="cs"/>
          <w:rtl/>
          <w:lang w:bidi="ar-EG"/>
        </w:rPr>
        <w:t xml:space="preserve">تحديد جميع الخدمات </w:t>
      </w:r>
      <w:r w:rsidR="00520F89">
        <w:rPr>
          <w:rFonts w:hint="cs"/>
          <w:rtl/>
          <w:lang w:bidi="ar-EG"/>
        </w:rPr>
        <w:t>غير</w:t>
      </w:r>
      <w:r>
        <w:rPr>
          <w:rFonts w:hint="cs"/>
          <w:rtl/>
          <w:lang w:bidi="ar-EG"/>
        </w:rPr>
        <w:t xml:space="preserve"> الخدمة المعنية في النطاقات المقرر دراستها وجميع الخدمات في النطاقات المجاور</w:t>
      </w:r>
      <w:r w:rsidR="001C7D78">
        <w:rPr>
          <w:rFonts w:hint="cs"/>
          <w:rtl/>
          <w:lang w:bidi="ar-EG"/>
        </w:rPr>
        <w:t>ة</w:t>
      </w:r>
      <w:r w:rsidR="00C6644B">
        <w:rPr>
          <w:rFonts w:hint="cs"/>
          <w:rtl/>
          <w:lang w:bidi="ar-EG"/>
        </w:rPr>
        <w:t>، حسب الاقتضاء</w:t>
      </w:r>
      <w:r w:rsidR="00A2641B">
        <w:rPr>
          <w:rFonts w:hint="cs"/>
          <w:rtl/>
          <w:lang w:bidi="ar-EG"/>
        </w:rPr>
        <w:t>.</w:t>
      </w:r>
    </w:p>
    <w:p w14:paraId="6DFAA88F" w14:textId="512EC320" w:rsidR="002D0011" w:rsidRDefault="00826E89" w:rsidP="00953E2E">
      <w:pPr>
        <w:rPr>
          <w:rtl/>
          <w:lang w:bidi="ar-EG"/>
        </w:rPr>
      </w:pPr>
      <w:r>
        <w:rPr>
          <w:rFonts w:hint="cs"/>
          <w:rtl/>
          <w:lang w:bidi="ar-EG"/>
        </w:rPr>
        <w:t>و</w:t>
      </w:r>
      <w:r w:rsidR="00D92DFA">
        <w:rPr>
          <w:rFonts w:hint="cs"/>
          <w:rtl/>
          <w:lang w:bidi="ar-EG"/>
        </w:rPr>
        <w:t>هذا المبدأ مهم لتحديد جميع الخدمات</w:t>
      </w:r>
      <w:r w:rsidR="00953E2E">
        <w:rPr>
          <w:rFonts w:hint="cs"/>
          <w:rtl/>
          <w:lang w:bidi="ar-EG"/>
        </w:rPr>
        <w:t xml:space="preserve"> العاملة</w:t>
      </w:r>
      <w:r>
        <w:rPr>
          <w:rFonts w:hint="cs"/>
          <w:rtl/>
          <w:lang w:bidi="ar-EG"/>
        </w:rPr>
        <w:t xml:space="preserve"> في النطاق قيد الدراسة.</w:t>
      </w:r>
    </w:p>
    <w:p w14:paraId="077DB20F" w14:textId="77777777" w:rsidR="005066FC" w:rsidRDefault="005066FC" w:rsidP="005066FC">
      <w:pPr>
        <w:pStyle w:val="Heading1"/>
        <w:rPr>
          <w:rtl/>
        </w:rPr>
      </w:pPr>
      <w:r>
        <w:rPr>
          <w:rFonts w:hint="cs"/>
          <w:rtl/>
        </w:rPr>
        <w:t>4</w:t>
      </w:r>
      <w:r>
        <w:rPr>
          <w:rtl/>
        </w:rPr>
        <w:tab/>
      </w:r>
      <w:r>
        <w:rPr>
          <w:rFonts w:hint="cs"/>
          <w:rtl/>
        </w:rPr>
        <w:t>دراسات التقاسم والتوافق السابقة</w:t>
      </w:r>
    </w:p>
    <w:p w14:paraId="7C24ABD5" w14:textId="17C95D81" w:rsidR="005066FC" w:rsidRDefault="005066FC" w:rsidP="005066FC">
      <w:pPr>
        <w:rPr>
          <w:rtl/>
          <w:lang w:bidi="ar-EG"/>
        </w:rPr>
      </w:pPr>
      <w:r>
        <w:rPr>
          <w:rFonts w:hint="cs"/>
          <w:rtl/>
          <w:lang w:bidi="ar-EG"/>
        </w:rPr>
        <w:t>يُستعان، قدر المستطاع عملياً ووفقاً لما هو متاح، بأي دراسات تقاسم وتوافق أُج</w:t>
      </w:r>
      <w:r w:rsidR="00C6644B">
        <w:rPr>
          <w:rFonts w:hint="cs"/>
          <w:rtl/>
          <w:lang w:bidi="ar-EG"/>
        </w:rPr>
        <w:t>ريت في الدورات السابقة حتى الآن</w:t>
      </w:r>
      <w:r w:rsidR="00EB63D6">
        <w:rPr>
          <w:rFonts w:hint="cs"/>
          <w:rtl/>
          <w:lang w:bidi="ar-EG"/>
        </w:rPr>
        <w:t>.</w:t>
      </w:r>
    </w:p>
    <w:p w14:paraId="1DEFF012" w14:textId="66EDA072" w:rsidR="002D0011" w:rsidRDefault="00C6644B" w:rsidP="0073434D">
      <w:pPr>
        <w:rPr>
          <w:rtl/>
          <w:lang w:bidi="ar-EG"/>
        </w:rPr>
      </w:pPr>
      <w:r>
        <w:rPr>
          <w:rFonts w:hint="cs"/>
          <w:rtl/>
          <w:lang w:bidi="ar-EG"/>
        </w:rPr>
        <w:t>و</w:t>
      </w:r>
      <w:r w:rsidR="0073434D">
        <w:rPr>
          <w:rFonts w:hint="cs"/>
          <w:rtl/>
          <w:lang w:bidi="ar-EG"/>
        </w:rPr>
        <w:t xml:space="preserve">هو </w:t>
      </w:r>
      <w:r w:rsidR="00826E89">
        <w:rPr>
          <w:rFonts w:hint="cs"/>
          <w:rtl/>
          <w:lang w:bidi="ar-EG"/>
        </w:rPr>
        <w:t xml:space="preserve">مبدأ لازم لتجنب تكرار ما سبق إجراؤه من دراسات. إلا أنه في ضوء ما يُحرَز من تقدم، قد يلزم النظر في تلك الدراسات </w:t>
      </w:r>
      <w:r>
        <w:rPr>
          <w:rFonts w:hint="cs"/>
          <w:rtl/>
          <w:lang w:bidi="ar-EG"/>
        </w:rPr>
        <w:t>لتحديد مدى ضرورة مراجعة ما تتضمنه من مواد أو مواصلة تعديلها.</w:t>
      </w:r>
    </w:p>
    <w:p w14:paraId="25E10809" w14:textId="69193A00" w:rsidR="005066FC" w:rsidRDefault="005066FC" w:rsidP="005066FC">
      <w:pPr>
        <w:pStyle w:val="Heading1"/>
      </w:pPr>
      <w:r>
        <w:rPr>
          <w:rFonts w:hint="cs"/>
          <w:rtl/>
        </w:rPr>
        <w:t>5</w:t>
      </w:r>
      <w:r>
        <w:rPr>
          <w:rtl/>
        </w:rPr>
        <w:tab/>
      </w:r>
      <w:r>
        <w:rPr>
          <w:rFonts w:hint="cs"/>
          <w:rtl/>
        </w:rPr>
        <w:t>أخذ القرارات الصادرة عن المؤتمرات العالمية السابقة للاتصالات الراديوية في هذا الصدد في</w:t>
      </w:r>
      <w:r w:rsidR="001863F7">
        <w:rPr>
          <w:rFonts w:hint="eastAsia"/>
          <w:rtl/>
        </w:rPr>
        <w:t> </w:t>
      </w:r>
      <w:r>
        <w:rPr>
          <w:rFonts w:hint="cs"/>
          <w:rtl/>
        </w:rPr>
        <w:t>الحسبان بأكبر قدر ممكن</w:t>
      </w:r>
    </w:p>
    <w:p w14:paraId="44FE0C46" w14:textId="57D025D2" w:rsidR="005066FC" w:rsidRDefault="005066FC" w:rsidP="005066FC">
      <w:pPr>
        <w:rPr>
          <w:lang w:bidi="ar-EG"/>
        </w:rPr>
      </w:pPr>
      <w:r w:rsidRPr="000A3C34">
        <w:rPr>
          <w:rFonts w:hint="cs"/>
          <w:rtl/>
          <w:lang w:bidi="ar-EG"/>
        </w:rPr>
        <w:t xml:space="preserve">خضعت الدراسات التي أجريت في السابق في نطاقات تردد معينة لدراسات مكثفة بعد المؤتمرات العالمية السابقة للاتصالات الراديوية. ويُحتمل ألا يكون قد طرأ على استعمال النطاقات قيد الدراسة من جانب خدمات أخرى أي تغييرات جذرية، وبالتالي، لا تزال الغالبية العظمى من الاستنتاجات التي تم </w:t>
      </w:r>
      <w:r w:rsidR="00D01302" w:rsidRPr="000A3C34">
        <w:rPr>
          <w:rFonts w:hint="cs"/>
          <w:rtl/>
          <w:lang w:bidi="ar-EG"/>
        </w:rPr>
        <w:t xml:space="preserve">التوصل </w:t>
      </w:r>
      <w:r w:rsidRPr="000A3C34">
        <w:rPr>
          <w:rFonts w:hint="cs"/>
          <w:rtl/>
          <w:lang w:bidi="ar-EG"/>
        </w:rPr>
        <w:t>إليها ف</w:t>
      </w:r>
      <w:r w:rsidR="00C6644B">
        <w:rPr>
          <w:rFonts w:hint="cs"/>
          <w:rtl/>
          <w:lang w:bidi="ar-EG"/>
        </w:rPr>
        <w:t>ي الدراسات السابقة سارية ونافذة</w:t>
      </w:r>
      <w:r w:rsidR="00A2641B">
        <w:rPr>
          <w:rFonts w:hint="cs"/>
          <w:rtl/>
          <w:lang w:bidi="ar-EG"/>
        </w:rPr>
        <w:t>.</w:t>
      </w:r>
    </w:p>
    <w:p w14:paraId="6129AC73" w14:textId="508D971D" w:rsidR="005066FC" w:rsidRDefault="005066FC" w:rsidP="005066FC">
      <w:pPr>
        <w:pStyle w:val="Heading1"/>
        <w:rPr>
          <w:rtl/>
        </w:rPr>
      </w:pPr>
      <w:r w:rsidRPr="000A3C34">
        <w:rPr>
          <w:rFonts w:hint="cs"/>
          <w:rtl/>
        </w:rPr>
        <w:t>6</w:t>
      </w:r>
      <w:r w:rsidRPr="000A3C34">
        <w:rPr>
          <w:rtl/>
        </w:rPr>
        <w:tab/>
      </w:r>
      <w:r w:rsidR="00D01302" w:rsidRPr="000A3C34">
        <w:rPr>
          <w:rFonts w:hint="cs"/>
          <w:rtl/>
        </w:rPr>
        <w:t>ال</w:t>
      </w:r>
      <w:r w:rsidRPr="000A3C34">
        <w:rPr>
          <w:rFonts w:hint="cs"/>
          <w:rtl/>
        </w:rPr>
        <w:t>دراسات</w:t>
      </w:r>
      <w:r w:rsidR="00D01302" w:rsidRPr="000A3C34">
        <w:rPr>
          <w:rFonts w:hint="cs"/>
          <w:rtl/>
        </w:rPr>
        <w:t xml:space="preserve"> الواجب إجراؤها بشأن</w:t>
      </w:r>
      <w:r w:rsidRPr="000A3C34">
        <w:rPr>
          <w:rFonts w:hint="cs"/>
          <w:rtl/>
        </w:rPr>
        <w:t xml:space="preserve"> التقاسم والتوافق في نفس النطاق</w:t>
      </w:r>
    </w:p>
    <w:p w14:paraId="16C99B82" w14:textId="48C7A722" w:rsidR="005066FC" w:rsidRDefault="005066FC" w:rsidP="005066FC">
      <w:pPr>
        <w:rPr>
          <w:rtl/>
          <w:lang w:bidi="ar-EG"/>
        </w:rPr>
      </w:pPr>
      <w:r>
        <w:rPr>
          <w:rFonts w:hint="cs"/>
          <w:rtl/>
          <w:lang w:bidi="ar-EG"/>
        </w:rPr>
        <w:t xml:space="preserve">لا بُد من بحث نطاق الدراسات المقرر إجراؤها، أي ما إذا كان ينبغي أن تقتصر الدراسات على الخدمات </w:t>
      </w:r>
      <w:r w:rsidR="00D01302">
        <w:rPr>
          <w:rFonts w:hint="cs"/>
          <w:rtl/>
          <w:lang w:bidi="ar-EG"/>
        </w:rPr>
        <w:t xml:space="preserve">التي لها توزيعات </w:t>
      </w:r>
      <w:r>
        <w:rPr>
          <w:rFonts w:hint="cs"/>
          <w:rtl/>
          <w:lang w:bidi="ar-EG"/>
        </w:rPr>
        <w:t xml:space="preserve">على أساس أولي، أم ينبغي أن تشمل أيضاً الخدمات الأخرى </w:t>
      </w:r>
      <w:r w:rsidR="00D01302">
        <w:rPr>
          <w:rFonts w:hint="cs"/>
          <w:rtl/>
          <w:lang w:bidi="ar-EG"/>
        </w:rPr>
        <w:t xml:space="preserve">التي لها توزيعات </w:t>
      </w:r>
      <w:r w:rsidR="00C6644B">
        <w:rPr>
          <w:rFonts w:hint="cs"/>
          <w:rtl/>
          <w:lang w:bidi="ar-EG"/>
        </w:rPr>
        <w:t>على أساس ثانوي</w:t>
      </w:r>
      <w:r w:rsidR="00A2641B">
        <w:rPr>
          <w:rFonts w:hint="cs"/>
          <w:rtl/>
          <w:lang w:bidi="ar-EG"/>
        </w:rPr>
        <w:t>.</w:t>
      </w:r>
    </w:p>
    <w:p w14:paraId="1971E6B0" w14:textId="6C8CDA64" w:rsidR="002D0011" w:rsidRDefault="00CC376F" w:rsidP="00193114">
      <w:pPr>
        <w:rPr>
          <w:rtl/>
          <w:lang w:bidi="ar-EG"/>
        </w:rPr>
      </w:pPr>
      <w:r>
        <w:rPr>
          <w:rFonts w:hint="cs"/>
          <w:rtl/>
          <w:lang w:bidi="ar-EG"/>
        </w:rPr>
        <w:t>ويشكل هذا المبدأ عنصراً مهماً أيضاً ينبغي النظر فيه وفقاً للغة المستخدمة في القرار الداعم ل</w:t>
      </w:r>
      <w:r w:rsidR="00193114">
        <w:rPr>
          <w:rFonts w:hint="cs"/>
          <w:rtl/>
          <w:lang w:bidi="ar-EG"/>
        </w:rPr>
        <w:t>ل</w:t>
      </w:r>
      <w:r>
        <w:rPr>
          <w:rFonts w:hint="cs"/>
          <w:rtl/>
          <w:lang w:bidi="ar-EG"/>
        </w:rPr>
        <w:t xml:space="preserve">بند </w:t>
      </w:r>
      <w:r w:rsidR="00193114">
        <w:rPr>
          <w:rFonts w:hint="cs"/>
          <w:rtl/>
          <w:lang w:bidi="ar-EG"/>
        </w:rPr>
        <w:t>ذي الصلة من جدول الأعمال</w:t>
      </w:r>
      <w:r>
        <w:rPr>
          <w:rFonts w:hint="cs"/>
          <w:rtl/>
          <w:lang w:bidi="ar-EG"/>
        </w:rPr>
        <w:t>، أي ما إذا كان منطوق القرار يشير إلى "حماية الخدمات الموزَّ</w:t>
      </w:r>
      <w:r w:rsidR="00123A97">
        <w:rPr>
          <w:rFonts w:hint="cs"/>
          <w:rtl/>
          <w:lang w:bidi="ar-EG"/>
        </w:rPr>
        <w:t>ع لها النطاق</w:t>
      </w:r>
      <w:r>
        <w:rPr>
          <w:rFonts w:hint="cs"/>
          <w:rtl/>
          <w:lang w:bidi="ar-EG"/>
        </w:rPr>
        <w:t xml:space="preserve">" أم لا يشير إلى ذلك، أو ما إذا كان يشير فقط إلى حماية الخدمات الموزَّع لها النطاق </w:t>
      </w:r>
      <w:r w:rsidR="00123A97">
        <w:rPr>
          <w:rFonts w:hint="cs"/>
          <w:rtl/>
          <w:lang w:bidi="ar-EG"/>
        </w:rPr>
        <w:t>على أساس أولي أم</w:t>
      </w:r>
      <w:r w:rsidR="00A339C7">
        <w:rPr>
          <w:rFonts w:hint="cs"/>
          <w:rtl/>
          <w:lang w:bidi="ar-EG"/>
        </w:rPr>
        <w:t xml:space="preserve"> لم يتطرق إلى</w:t>
      </w:r>
      <w:r w:rsidR="00953E2E">
        <w:rPr>
          <w:rFonts w:hint="cs"/>
          <w:rtl/>
          <w:lang w:bidi="ar-EG"/>
        </w:rPr>
        <w:t xml:space="preserve"> هذه المسألة.</w:t>
      </w:r>
    </w:p>
    <w:p w14:paraId="740B06C2" w14:textId="660F373C" w:rsidR="002D0011" w:rsidRDefault="002D0011">
      <w:pPr>
        <w:tabs>
          <w:tab w:val="clear" w:pos="1134"/>
          <w:tab w:val="clear" w:pos="1871"/>
          <w:tab w:val="clear" w:pos="2268"/>
        </w:tabs>
        <w:bidi w:val="0"/>
        <w:spacing w:before="0" w:line="240" w:lineRule="auto"/>
        <w:jc w:val="left"/>
        <w:rPr>
          <w:rtl/>
          <w:lang w:bidi="ar-EG"/>
        </w:rPr>
      </w:pPr>
      <w:r>
        <w:rPr>
          <w:rtl/>
          <w:lang w:bidi="ar-EG"/>
        </w:rPr>
        <w:br w:type="page"/>
      </w:r>
    </w:p>
    <w:p w14:paraId="4F5F9B00" w14:textId="74B48994" w:rsidR="005066FC" w:rsidRDefault="005066FC" w:rsidP="005066FC">
      <w:pPr>
        <w:pStyle w:val="Heading1"/>
      </w:pPr>
      <w:r>
        <w:rPr>
          <w:rFonts w:hint="cs"/>
          <w:rtl/>
        </w:rPr>
        <w:lastRenderedPageBreak/>
        <w:t>7</w:t>
      </w:r>
      <w:r>
        <w:rPr>
          <w:rtl/>
        </w:rPr>
        <w:tab/>
      </w:r>
      <w:r w:rsidR="00D01302">
        <w:rPr>
          <w:rFonts w:hint="cs"/>
          <w:rtl/>
        </w:rPr>
        <w:t>ال</w:t>
      </w:r>
      <w:r>
        <w:rPr>
          <w:rFonts w:hint="cs"/>
          <w:rtl/>
        </w:rPr>
        <w:t>دراسات</w:t>
      </w:r>
      <w:r w:rsidR="00D01302" w:rsidRPr="00D01302">
        <w:rPr>
          <w:rFonts w:hint="cs"/>
          <w:rtl/>
        </w:rPr>
        <w:t xml:space="preserve"> </w:t>
      </w:r>
      <w:r w:rsidR="00D01302">
        <w:rPr>
          <w:rFonts w:hint="cs"/>
          <w:rtl/>
        </w:rPr>
        <w:t>الواجب إجراؤها بشأن</w:t>
      </w:r>
      <w:r>
        <w:rPr>
          <w:rFonts w:hint="cs"/>
          <w:rtl/>
        </w:rPr>
        <w:t xml:space="preserve"> التقاسم والتوافق في النطاقات المجاورة</w:t>
      </w:r>
    </w:p>
    <w:p w14:paraId="21CA2180" w14:textId="5101791E" w:rsidR="005066FC" w:rsidRDefault="005066FC" w:rsidP="005066FC">
      <w:pPr>
        <w:rPr>
          <w:rtl/>
          <w:lang w:bidi="ar-EG"/>
        </w:rPr>
      </w:pPr>
      <w:r>
        <w:rPr>
          <w:rFonts w:hint="cs"/>
          <w:rtl/>
          <w:lang w:bidi="ar-EG"/>
        </w:rPr>
        <w:t xml:space="preserve">لا بُد من بحث نطاق الدراسات المقرر إجراؤها، أي ما إذا كان ينبغي أن تقتصر الدراسات على بحث بعض الخدمات الحساسة </w:t>
      </w:r>
      <w:r w:rsidR="00D01302">
        <w:rPr>
          <w:rFonts w:hint="cs"/>
          <w:rtl/>
          <w:lang w:bidi="ar-EG"/>
        </w:rPr>
        <w:t xml:space="preserve">التي لها توزيعات </w:t>
      </w:r>
      <w:r>
        <w:rPr>
          <w:rFonts w:hint="cs"/>
          <w:rtl/>
          <w:lang w:bidi="ar-EG"/>
        </w:rPr>
        <w:t>على أساس أولي، أم ينبغي أن تشمل أيضاً سائر الخ</w:t>
      </w:r>
      <w:r w:rsidR="00953E2E">
        <w:rPr>
          <w:rFonts w:hint="cs"/>
          <w:rtl/>
          <w:lang w:bidi="ar-EG"/>
        </w:rPr>
        <w:t>دمات بصرف النظر عن مدى حساسيتها</w:t>
      </w:r>
      <w:r w:rsidR="00A2641B">
        <w:rPr>
          <w:rFonts w:hint="cs"/>
          <w:rtl/>
          <w:lang w:bidi="ar-EG"/>
        </w:rPr>
        <w:t>.</w:t>
      </w:r>
    </w:p>
    <w:p w14:paraId="05225F58" w14:textId="773A6039" w:rsidR="002D0011" w:rsidRDefault="00193114" w:rsidP="002F666E">
      <w:pPr>
        <w:rPr>
          <w:lang w:bidi="ar-EG"/>
        </w:rPr>
      </w:pPr>
      <w:r>
        <w:rPr>
          <w:rFonts w:hint="cs"/>
          <w:rtl/>
          <w:lang w:bidi="ar-EG"/>
        </w:rPr>
        <w:t>وهذا المبدأ مهم أيضاً نظراً إلى أن</w:t>
      </w:r>
      <w:r w:rsidR="002F666E">
        <w:rPr>
          <w:rFonts w:hint="cs"/>
          <w:rtl/>
          <w:lang w:bidi="ar-EG"/>
        </w:rPr>
        <w:t>ه ربما تكون</w:t>
      </w:r>
      <w:r>
        <w:rPr>
          <w:rFonts w:hint="cs"/>
          <w:rtl/>
          <w:lang w:bidi="ar-EG"/>
        </w:rPr>
        <w:t xml:space="preserve"> اللغة المستخدمة في منطوق القرار الداعم للبند ذي الصلة قد ذكرت بوضوح حماية النطاق المجاور أو ربما </w:t>
      </w:r>
      <w:r w:rsidR="00A339C7">
        <w:rPr>
          <w:rFonts w:hint="cs"/>
          <w:rtl/>
          <w:lang w:bidi="ar-EG"/>
        </w:rPr>
        <w:t xml:space="preserve">لم يتطرق </w:t>
      </w:r>
      <w:r>
        <w:rPr>
          <w:rFonts w:hint="cs"/>
          <w:rtl/>
          <w:lang w:bidi="ar-EG"/>
        </w:rPr>
        <w:t xml:space="preserve">منطوق القرار </w:t>
      </w:r>
      <w:r w:rsidR="00A339C7">
        <w:rPr>
          <w:rFonts w:hint="cs"/>
          <w:rtl/>
          <w:lang w:bidi="ar-EG"/>
        </w:rPr>
        <w:t xml:space="preserve">إلى </w:t>
      </w:r>
      <w:r>
        <w:rPr>
          <w:rFonts w:hint="cs"/>
          <w:rtl/>
          <w:lang w:bidi="ar-EG"/>
        </w:rPr>
        <w:t>هذه المسألة.</w:t>
      </w:r>
    </w:p>
    <w:p w14:paraId="6273DE73" w14:textId="534711AA" w:rsidR="005066FC" w:rsidRDefault="005066FC" w:rsidP="005066FC">
      <w:pPr>
        <w:pStyle w:val="Heading1"/>
        <w:rPr>
          <w:rtl/>
        </w:rPr>
      </w:pPr>
      <w:r w:rsidRPr="000A3C34">
        <w:rPr>
          <w:rFonts w:hint="cs"/>
          <w:rtl/>
        </w:rPr>
        <w:t>8</w:t>
      </w:r>
      <w:r w:rsidRPr="000A3C34">
        <w:rPr>
          <w:rtl/>
        </w:rPr>
        <w:tab/>
      </w:r>
      <w:r w:rsidRPr="000A3C34">
        <w:rPr>
          <w:rFonts w:hint="cs"/>
          <w:rtl/>
        </w:rPr>
        <w:t xml:space="preserve">دراسات التقاسم والتوافق في نفس النطاق وفي النطاقات المجاورة </w:t>
      </w:r>
      <w:r w:rsidR="002F666E">
        <w:rPr>
          <w:rFonts w:hint="cs"/>
          <w:rtl/>
        </w:rPr>
        <w:t xml:space="preserve">له </w:t>
      </w:r>
      <w:r w:rsidRPr="000A3C34">
        <w:rPr>
          <w:rFonts w:hint="cs"/>
          <w:rtl/>
        </w:rPr>
        <w:t>في الإقليم المجاور</w:t>
      </w:r>
    </w:p>
    <w:p w14:paraId="1229CF67" w14:textId="0596FCB8" w:rsidR="005066FC" w:rsidRDefault="005066FC" w:rsidP="005066FC">
      <w:pPr>
        <w:rPr>
          <w:rtl/>
          <w:lang w:bidi="ar-EG"/>
        </w:rPr>
      </w:pPr>
      <w:r w:rsidRPr="000A3C34">
        <w:rPr>
          <w:rFonts w:hint="cs"/>
          <w:rtl/>
          <w:lang w:bidi="ar-EG"/>
        </w:rPr>
        <w:t>من المهم الإشارة إلى أنه عند التعامل مع دراسات التقاسم والتوافق في نفس النطاق وفي النطاقات المجاورة في إقليم معين، ينبغي أن تُراع</w:t>
      </w:r>
      <w:r w:rsidR="006C7A43" w:rsidRPr="000A3C34">
        <w:rPr>
          <w:rFonts w:hint="cs"/>
          <w:rtl/>
          <w:lang w:bidi="ar-EG"/>
        </w:rPr>
        <w:t>ى</w:t>
      </w:r>
      <w:r w:rsidRPr="000A3C34">
        <w:rPr>
          <w:rFonts w:hint="cs"/>
          <w:rtl/>
          <w:lang w:bidi="ar-EG"/>
        </w:rPr>
        <w:t xml:space="preserve"> بعناية آثار تلك الدراسات في الأقاليم الأخرى المجاورة</w:t>
      </w:r>
      <w:r w:rsidR="002F666E">
        <w:rPr>
          <w:rFonts w:hint="cs"/>
          <w:rtl/>
          <w:lang w:bidi="ar-EG"/>
        </w:rPr>
        <w:t xml:space="preserve"> للإقليم الذي تجرى فيه الدراسات</w:t>
      </w:r>
      <w:r w:rsidR="00A2641B">
        <w:rPr>
          <w:rFonts w:hint="cs"/>
          <w:rtl/>
          <w:lang w:bidi="ar-EG"/>
        </w:rPr>
        <w:t>.</w:t>
      </w:r>
    </w:p>
    <w:p w14:paraId="3A609547" w14:textId="7B762FE7" w:rsidR="002D0011" w:rsidRDefault="00193114" w:rsidP="0073434D">
      <w:pPr>
        <w:rPr>
          <w:rtl/>
          <w:lang w:bidi="ar-EG"/>
        </w:rPr>
      </w:pPr>
      <w:r>
        <w:rPr>
          <w:rFonts w:hint="cs"/>
          <w:rtl/>
          <w:lang w:bidi="ar-EG"/>
        </w:rPr>
        <w:t>وه</w:t>
      </w:r>
      <w:r w:rsidR="0073434D">
        <w:rPr>
          <w:rFonts w:hint="cs"/>
          <w:rtl/>
          <w:lang w:bidi="ar-EG"/>
        </w:rPr>
        <w:t>ي</w:t>
      </w:r>
      <w:r>
        <w:rPr>
          <w:rFonts w:hint="cs"/>
          <w:rtl/>
          <w:lang w:bidi="ar-EG"/>
        </w:rPr>
        <w:t xml:space="preserve"> مسألة مهمة نظراً إلى اقتصار الإجراء اللازم اتخاذه في بعض بنود جدول الأعمال على إقليم محدد أو منطقة محددة دون إقليمية. غير </w:t>
      </w:r>
      <w:r w:rsidR="002F666E">
        <w:rPr>
          <w:rFonts w:hint="cs"/>
          <w:rtl/>
          <w:lang w:bidi="ar-EG"/>
        </w:rPr>
        <w:t xml:space="preserve">أن لتأثير الدراسة وضرورة حماية الخدمات </w:t>
      </w:r>
      <w:r w:rsidR="00D442D3">
        <w:rPr>
          <w:rFonts w:hint="cs"/>
          <w:rtl/>
          <w:lang w:bidi="ar-EG"/>
        </w:rPr>
        <w:t xml:space="preserve">التي لها توزيعات في إقليم </w:t>
      </w:r>
      <w:r w:rsidR="002F666E">
        <w:rPr>
          <w:rFonts w:hint="cs"/>
          <w:rtl/>
          <w:lang w:bidi="ar-EG"/>
        </w:rPr>
        <w:t xml:space="preserve">آخر أهمية حيوية، ولا سيما في حال تلاصق الإقليمين جغرافياً. </w:t>
      </w:r>
    </w:p>
    <w:p w14:paraId="69064BED" w14:textId="77777777" w:rsidR="005066FC" w:rsidRDefault="005066FC" w:rsidP="005066FC">
      <w:pPr>
        <w:pStyle w:val="Heading1"/>
        <w:rPr>
          <w:rtl/>
        </w:rPr>
      </w:pPr>
      <w:r>
        <w:rPr>
          <w:rFonts w:hint="cs"/>
          <w:rtl/>
        </w:rPr>
        <w:t>9</w:t>
      </w:r>
      <w:r>
        <w:rPr>
          <w:rtl/>
        </w:rPr>
        <w:tab/>
      </w:r>
      <w:r>
        <w:rPr>
          <w:rFonts w:hint="cs"/>
          <w:rtl/>
        </w:rPr>
        <w:t>التقاسم والتوافق</w:t>
      </w:r>
    </w:p>
    <w:p w14:paraId="319BB511" w14:textId="77777777" w:rsidR="005066FC" w:rsidRDefault="005066FC" w:rsidP="005066FC">
      <w:pPr>
        <w:rPr>
          <w:rtl/>
          <w:lang w:bidi="ar-EG"/>
        </w:rPr>
      </w:pPr>
      <w:r>
        <w:rPr>
          <w:rFonts w:hint="cs"/>
          <w:rtl/>
          <w:lang w:bidi="ar-EG"/>
        </w:rPr>
        <w:t>معايير التقاسم، والافتراضات، وعملية المحاكاة، وتقنيات التخفيف الواجب استخدامها في الدراسات المطلوبة:</w:t>
      </w:r>
    </w:p>
    <w:p w14:paraId="3D7E0B38" w14:textId="1801B902" w:rsidR="005066FC" w:rsidRDefault="005066FC" w:rsidP="002F666E">
      <w:pPr>
        <w:rPr>
          <w:rtl/>
          <w:lang w:bidi="ar-EG"/>
        </w:rPr>
      </w:pPr>
      <w:r>
        <w:rPr>
          <w:rFonts w:hint="cs"/>
          <w:rtl/>
          <w:lang w:bidi="ar-EG"/>
        </w:rPr>
        <w:t>1.9</w:t>
      </w:r>
      <w:r>
        <w:rPr>
          <w:rtl/>
          <w:lang w:bidi="ar-EG"/>
        </w:rPr>
        <w:tab/>
      </w:r>
      <w:r>
        <w:rPr>
          <w:rFonts w:hint="cs"/>
          <w:rtl/>
          <w:lang w:bidi="ar-EG"/>
        </w:rPr>
        <w:t>تقتضي الضرورة المطلقة الاتفاق على معايير التقاسم، والافتراضات، وعملية المحاكاة، وتقنيات التخفيف</w:t>
      </w:r>
      <w:r w:rsidR="002F666E">
        <w:rPr>
          <w:rFonts w:hint="cs"/>
          <w:rtl/>
          <w:lang w:bidi="ar-EG"/>
        </w:rPr>
        <w:t>، في</w:t>
      </w:r>
      <w:r w:rsidR="006F1F2A">
        <w:rPr>
          <w:rFonts w:hint="eastAsia"/>
          <w:rtl/>
          <w:lang w:bidi="ar-EG"/>
        </w:rPr>
        <w:t> </w:t>
      </w:r>
      <w:r w:rsidR="002F666E">
        <w:rPr>
          <w:rFonts w:hint="cs"/>
          <w:rtl/>
          <w:lang w:bidi="ar-EG"/>
        </w:rPr>
        <w:t>المراحل المبكرة من تلك الدراسات</w:t>
      </w:r>
      <w:r>
        <w:rPr>
          <w:rFonts w:hint="cs"/>
          <w:rtl/>
          <w:lang w:bidi="ar-EG"/>
        </w:rPr>
        <w:t xml:space="preserve"> </w:t>
      </w:r>
      <w:r w:rsidR="002F666E">
        <w:rPr>
          <w:rFonts w:hint="cs"/>
          <w:rtl/>
          <w:lang w:bidi="ar-EG"/>
        </w:rPr>
        <w:t>قبل أن يشرع الأعضاء المهتمون في إجرائها</w:t>
      </w:r>
      <w:r w:rsidR="00A2641B">
        <w:rPr>
          <w:rFonts w:hint="cs"/>
          <w:rtl/>
          <w:lang w:bidi="ar-EG"/>
        </w:rPr>
        <w:t>.</w:t>
      </w:r>
      <w:r>
        <w:rPr>
          <w:rFonts w:hint="cs"/>
          <w:rtl/>
          <w:lang w:bidi="ar-EG"/>
        </w:rPr>
        <w:t xml:space="preserve"> </w:t>
      </w:r>
    </w:p>
    <w:p w14:paraId="31D1F720" w14:textId="288FB720" w:rsidR="002D0011" w:rsidRPr="00C5512D" w:rsidRDefault="0073434D" w:rsidP="0073434D">
      <w:pPr>
        <w:rPr>
          <w:rtl/>
          <w:lang w:bidi="ar-EG"/>
        </w:rPr>
      </w:pPr>
      <w:r>
        <w:rPr>
          <w:rFonts w:hint="cs"/>
          <w:rtl/>
          <w:lang w:bidi="ar-EG"/>
        </w:rPr>
        <w:t>وهو مبدأ أساسي لتجنب تكرار إجراء الدراسات لاحقاً، إذ لا يرغب بعض الأعضاء، أو قد لا يرغب بعضهم</w:t>
      </w:r>
      <w:r w:rsidR="00055D66">
        <w:rPr>
          <w:rFonts w:hint="cs"/>
          <w:rtl/>
          <w:lang w:bidi="ar-EG"/>
        </w:rPr>
        <w:t>،</w:t>
      </w:r>
      <w:r>
        <w:rPr>
          <w:rFonts w:hint="cs"/>
          <w:rtl/>
          <w:lang w:bidi="ar-EG"/>
        </w:rPr>
        <w:t xml:space="preserve"> في تكرار بعض الدراسات لاعتبارهم ذلك إهداراً</w:t>
      </w:r>
      <w:r w:rsidR="004E2D43">
        <w:rPr>
          <w:rFonts w:hint="cs"/>
          <w:rtl/>
          <w:lang w:bidi="ar-EG"/>
        </w:rPr>
        <w:t xml:space="preserve"> محتملاً</w:t>
      </w:r>
      <w:r>
        <w:rPr>
          <w:rFonts w:hint="cs"/>
          <w:rtl/>
          <w:lang w:bidi="ar-EG"/>
        </w:rPr>
        <w:t xml:space="preserve"> للوقت والموارد. </w:t>
      </w:r>
    </w:p>
    <w:p w14:paraId="2781261B" w14:textId="056F4980" w:rsidR="005066FC" w:rsidRPr="001E723A" w:rsidRDefault="005066FC" w:rsidP="006C45A1">
      <w:pPr>
        <w:rPr>
          <w:rtl/>
          <w:lang w:bidi="ar-EG"/>
        </w:rPr>
      </w:pPr>
      <w:r w:rsidRPr="001E723A">
        <w:rPr>
          <w:rFonts w:hint="cs"/>
          <w:rtl/>
          <w:lang w:bidi="ar-EG"/>
        </w:rPr>
        <w:t>2.9</w:t>
      </w:r>
      <w:r w:rsidRPr="001E723A">
        <w:rPr>
          <w:rtl/>
          <w:lang w:bidi="ar-EG"/>
        </w:rPr>
        <w:tab/>
      </w:r>
      <w:r w:rsidRPr="001E723A">
        <w:rPr>
          <w:rFonts w:hint="cs"/>
          <w:rtl/>
          <w:lang w:bidi="ar-EG"/>
        </w:rPr>
        <w:t>اعتما</w:t>
      </w:r>
      <w:r w:rsidR="004F1258" w:rsidRPr="001E723A">
        <w:rPr>
          <w:rFonts w:hint="cs"/>
          <w:rtl/>
          <w:lang w:bidi="ar-EG"/>
        </w:rPr>
        <w:t xml:space="preserve">د أي نهج مغاير لنهج منسق وموحد قد </w:t>
      </w:r>
      <w:r w:rsidRPr="001E723A">
        <w:rPr>
          <w:rFonts w:hint="cs"/>
          <w:rtl/>
          <w:lang w:bidi="ar-EG"/>
        </w:rPr>
        <w:t>يؤدي إلى اختلاف الاستنتاجات المتوص</w:t>
      </w:r>
      <w:r w:rsidR="004F1258" w:rsidRPr="001E723A">
        <w:rPr>
          <w:rFonts w:hint="cs"/>
          <w:rtl/>
          <w:lang w:bidi="ar-EG"/>
        </w:rPr>
        <w:t xml:space="preserve">َّل إليها في كل دراسة، ومن ثم، </w:t>
      </w:r>
      <w:r w:rsidRPr="001E723A">
        <w:rPr>
          <w:rFonts w:hint="cs"/>
          <w:rtl/>
          <w:lang w:bidi="ar-EG"/>
        </w:rPr>
        <w:t>يكون من الصعب جداً، إن لم يكن مستحيلاً، استخلاص استنتاج عام</w:t>
      </w:r>
      <w:r w:rsidR="004F1258" w:rsidRPr="001E723A">
        <w:rPr>
          <w:rFonts w:hint="cs"/>
          <w:rtl/>
          <w:lang w:bidi="ar-EG"/>
        </w:rPr>
        <w:t>، وهو عنصر أساسي</w:t>
      </w:r>
      <w:r w:rsidR="00644BAA" w:rsidRPr="001E723A">
        <w:rPr>
          <w:rFonts w:hint="cs"/>
          <w:rtl/>
          <w:lang w:bidi="ar-EG"/>
        </w:rPr>
        <w:t xml:space="preserve"> </w:t>
      </w:r>
      <w:r w:rsidR="002E712D" w:rsidRPr="001E723A">
        <w:rPr>
          <w:rFonts w:hint="cs"/>
          <w:rtl/>
          <w:lang w:bidi="ar-EG"/>
        </w:rPr>
        <w:t xml:space="preserve">لاستخلاص استنتاجات </w:t>
      </w:r>
      <w:r w:rsidR="00F57A25" w:rsidRPr="001E723A">
        <w:rPr>
          <w:rFonts w:hint="cs"/>
          <w:rtl/>
          <w:lang w:bidi="ar-EG"/>
        </w:rPr>
        <w:t>من نتائج دراسات التوافق والتقاسم</w:t>
      </w:r>
      <w:r w:rsidRPr="001E723A">
        <w:rPr>
          <w:rFonts w:hint="cs"/>
          <w:rtl/>
          <w:lang w:bidi="ar-EG"/>
        </w:rPr>
        <w:t xml:space="preserve">. وقد </w:t>
      </w:r>
      <w:r w:rsidR="0073434D" w:rsidRPr="001E723A">
        <w:rPr>
          <w:rFonts w:hint="cs"/>
          <w:rtl/>
          <w:lang w:bidi="ar-EG"/>
        </w:rPr>
        <w:t>ظهرت</w:t>
      </w:r>
      <w:r w:rsidRPr="001E723A">
        <w:rPr>
          <w:rFonts w:hint="cs"/>
          <w:rtl/>
          <w:lang w:bidi="ar-EG"/>
        </w:rPr>
        <w:t xml:space="preserve"> هذه المشكلة خلال الدراسات التي أ</w:t>
      </w:r>
      <w:r w:rsidR="004F1258" w:rsidRPr="001E723A">
        <w:rPr>
          <w:rFonts w:hint="cs"/>
          <w:rtl/>
          <w:lang w:bidi="ar-EG"/>
        </w:rPr>
        <w:t>ُجريت في فترات الدراسة السابقة</w:t>
      </w:r>
      <w:r w:rsidR="00A2641B">
        <w:rPr>
          <w:rFonts w:hint="cs"/>
          <w:rtl/>
          <w:lang w:bidi="ar-EG"/>
        </w:rPr>
        <w:t>.</w:t>
      </w:r>
    </w:p>
    <w:p w14:paraId="209FAD95" w14:textId="0018B672" w:rsidR="005066FC" w:rsidRPr="00B0202E" w:rsidRDefault="005066FC" w:rsidP="005066FC">
      <w:pPr>
        <w:pStyle w:val="Heading1"/>
        <w:rPr>
          <w:spacing w:val="-4"/>
          <w:rtl/>
        </w:rPr>
      </w:pPr>
      <w:r w:rsidRPr="00B0202E">
        <w:rPr>
          <w:rFonts w:hint="cs"/>
          <w:spacing w:val="-4"/>
          <w:rtl/>
        </w:rPr>
        <w:t>10</w:t>
      </w:r>
      <w:r w:rsidRPr="00B0202E">
        <w:rPr>
          <w:spacing w:val="-4"/>
          <w:rtl/>
        </w:rPr>
        <w:tab/>
      </w:r>
      <w:r w:rsidRPr="00B0202E">
        <w:rPr>
          <w:rFonts w:hint="cs"/>
          <w:spacing w:val="-4"/>
          <w:rtl/>
        </w:rPr>
        <w:t xml:space="preserve">النظر في مدى الحاجة إلى إعداد تقرير جديد أو توصية جديدة لقطاع الاتصالات الراديوية </w:t>
      </w:r>
    </w:p>
    <w:p w14:paraId="28D2E374" w14:textId="6EE7B3AC" w:rsidR="005066FC" w:rsidRDefault="005066FC" w:rsidP="005066FC">
      <w:pPr>
        <w:rPr>
          <w:rtl/>
          <w:lang w:bidi="ar-EG"/>
        </w:rPr>
      </w:pPr>
      <w:r>
        <w:rPr>
          <w:rFonts w:hint="cs"/>
          <w:rtl/>
          <w:lang w:bidi="ar-EG"/>
        </w:rPr>
        <w:t>1.10</w:t>
      </w:r>
      <w:r>
        <w:rPr>
          <w:rtl/>
          <w:lang w:bidi="ar-EG"/>
        </w:rPr>
        <w:tab/>
      </w:r>
      <w:r>
        <w:rPr>
          <w:rFonts w:hint="cs"/>
          <w:rtl/>
          <w:lang w:bidi="ar-EG"/>
        </w:rPr>
        <w:t>لا</w:t>
      </w:r>
      <w:r w:rsidR="00460516">
        <w:rPr>
          <w:rFonts w:hint="eastAsia"/>
          <w:rtl/>
          <w:lang w:bidi="ar-EG"/>
        </w:rPr>
        <w:t> </w:t>
      </w:r>
      <w:r>
        <w:rPr>
          <w:rFonts w:hint="cs"/>
          <w:rtl/>
          <w:lang w:bidi="ar-EG"/>
        </w:rPr>
        <w:t>بُد من مناقشة مدى الحاجة إلى إعداد تقرير جديد أو توصية جديدة لقطاع الاتصالات الراديوية، نظراً لوجود العديد من التقارير والتوصيات بالفعل في هذا الشأن. والمسألة الوحيدة التي ينبغي التحقق منها هي مدى الحاجة إلى إجراء أي تعديلات/مراجعات لهذه التقارير والتوصيات. انظر</w:t>
      </w:r>
      <w:r w:rsidR="002F666E">
        <w:rPr>
          <w:rFonts w:hint="cs"/>
          <w:rtl/>
          <w:lang w:bidi="ar-EG"/>
        </w:rPr>
        <w:t xml:space="preserve"> الفقرة </w:t>
      </w:r>
      <w:r w:rsidR="001B620F" w:rsidRPr="00D65D7F">
        <w:rPr>
          <w:lang w:bidi="ar-EG"/>
        </w:rPr>
        <w:t>5.1.3.</w:t>
      </w:r>
      <w:r w:rsidR="001B620F">
        <w:rPr>
          <w:lang w:bidi="ar-EG"/>
        </w:rPr>
        <w:t>A1</w:t>
      </w:r>
      <w:r w:rsidR="001B620F" w:rsidRPr="004E0875">
        <w:rPr>
          <w:sz w:val="8"/>
          <w:szCs w:val="16"/>
          <w:rtl/>
          <w:lang w:bidi="ar-EG"/>
        </w:rPr>
        <w:t> </w:t>
      </w:r>
      <w:r w:rsidR="001B620F" w:rsidRPr="001B620F">
        <w:rPr>
          <w:rFonts w:hint="cs"/>
          <w:rtl/>
          <w:lang w:bidi="ar-EG"/>
        </w:rPr>
        <w:t>مكرراً من</w:t>
      </w:r>
      <w:r>
        <w:rPr>
          <w:rFonts w:hint="cs"/>
          <w:rtl/>
          <w:lang w:bidi="ar-EG"/>
        </w:rPr>
        <w:t xml:space="preserve"> القرار </w:t>
      </w:r>
      <w:r w:rsidRPr="00387B8C">
        <w:rPr>
          <w:rFonts w:eastAsia="Calibri"/>
        </w:rPr>
        <w:t>ITU-R 1-8</w:t>
      </w:r>
      <w:r w:rsidR="00465683">
        <w:rPr>
          <w:rFonts w:hint="cs"/>
          <w:rtl/>
          <w:lang w:bidi="ar-EG"/>
        </w:rPr>
        <w:t>.</w:t>
      </w:r>
    </w:p>
    <w:p w14:paraId="3D6CA711" w14:textId="65471DA3" w:rsidR="005066FC" w:rsidRDefault="005066FC" w:rsidP="004E2D43">
      <w:pPr>
        <w:rPr>
          <w:rtl/>
          <w:lang w:bidi="ar-EG"/>
        </w:rPr>
      </w:pPr>
      <w:r>
        <w:rPr>
          <w:rFonts w:hint="cs"/>
          <w:rtl/>
          <w:lang w:bidi="ar-EG"/>
        </w:rPr>
        <w:t>2.10</w:t>
      </w:r>
      <w:r>
        <w:rPr>
          <w:rtl/>
          <w:lang w:bidi="ar-EG"/>
        </w:rPr>
        <w:tab/>
      </w:r>
      <w:r>
        <w:rPr>
          <w:rFonts w:hint="cs"/>
          <w:rtl/>
          <w:lang w:bidi="ar-EG"/>
        </w:rPr>
        <w:t xml:space="preserve">فضلاً عن ذلك، من الجدير بالذكر أن هناك اختلافاً بين الوثيقة التقنية والتشغيلية و/أو التنظيمية الداعمة والتقرير أو التوصية الرسمية الصادرة عن القطاع، إذ إنه عقب انعقاد المؤتمر </w:t>
      </w:r>
      <w:r>
        <w:rPr>
          <w:lang w:val="es-ES" w:bidi="ar-EG"/>
        </w:rPr>
        <w:t>WRC-23</w:t>
      </w:r>
      <w:r>
        <w:rPr>
          <w:rFonts w:hint="cs"/>
          <w:rtl/>
          <w:lang w:bidi="ar-EG"/>
        </w:rPr>
        <w:t xml:space="preserve"> ومعالجة جدول أعماله، </w:t>
      </w:r>
      <w:r w:rsidR="007723EF">
        <w:rPr>
          <w:rFonts w:hint="cs"/>
          <w:rtl/>
          <w:lang w:bidi="ar-EG"/>
        </w:rPr>
        <w:t xml:space="preserve">قد </w:t>
      </w:r>
      <w:r>
        <w:rPr>
          <w:rFonts w:hint="cs"/>
          <w:rtl/>
          <w:lang w:bidi="ar-EG"/>
        </w:rPr>
        <w:t>ت</w:t>
      </w:r>
      <w:r w:rsidR="004E2D43">
        <w:rPr>
          <w:rFonts w:hint="cs"/>
          <w:rtl/>
          <w:lang w:bidi="ar-EG"/>
        </w:rPr>
        <w:t>تضاءل</w:t>
      </w:r>
      <w:r w:rsidR="007723EF">
        <w:rPr>
          <w:rFonts w:hint="cs"/>
          <w:rtl/>
          <w:lang w:bidi="ar-EG"/>
        </w:rPr>
        <w:t xml:space="preserve"> القيمة الإضافية</w:t>
      </w:r>
      <w:r w:rsidR="004E2D43">
        <w:rPr>
          <w:rFonts w:hint="cs"/>
          <w:rtl/>
          <w:lang w:bidi="ar-EG"/>
        </w:rPr>
        <w:t xml:space="preserve"> لهذه التقارير بحيث </w:t>
      </w:r>
      <w:r w:rsidR="007723EF">
        <w:rPr>
          <w:rFonts w:hint="cs"/>
          <w:rtl/>
          <w:lang w:bidi="ar-EG"/>
        </w:rPr>
        <w:t>لا تعدو</w:t>
      </w:r>
      <w:r>
        <w:rPr>
          <w:rFonts w:hint="cs"/>
          <w:rtl/>
          <w:lang w:bidi="ar-EG"/>
        </w:rPr>
        <w:t xml:space="preserve"> كونها </w:t>
      </w:r>
      <w:r w:rsidR="00410938">
        <w:rPr>
          <w:rFonts w:hint="cs"/>
          <w:rtl/>
          <w:lang w:bidi="ar-EG"/>
        </w:rPr>
        <w:t xml:space="preserve">توفر </w:t>
      </w:r>
      <w:r>
        <w:rPr>
          <w:rFonts w:hint="cs"/>
          <w:rtl/>
          <w:lang w:bidi="ar-EG"/>
        </w:rPr>
        <w:t>عناصر تُدرج في نواتج/نتائج المؤ</w:t>
      </w:r>
      <w:r w:rsidR="002F666E">
        <w:rPr>
          <w:rFonts w:hint="cs"/>
          <w:rtl/>
          <w:lang w:bidi="ar-EG"/>
        </w:rPr>
        <w:t>تمر المتعلقة بجدول الأعمال ذاك</w:t>
      </w:r>
      <w:r w:rsidR="00465683">
        <w:rPr>
          <w:rFonts w:hint="cs"/>
          <w:rtl/>
          <w:lang w:bidi="ar-EG"/>
        </w:rPr>
        <w:t>.</w:t>
      </w:r>
    </w:p>
    <w:p w14:paraId="3C777797" w14:textId="4A92AA9C" w:rsidR="002D0011" w:rsidRDefault="00BA3D9E" w:rsidP="006E345A">
      <w:pPr>
        <w:rPr>
          <w:rtl/>
          <w:lang w:bidi="ar-EG"/>
        </w:rPr>
      </w:pPr>
      <w:r>
        <w:rPr>
          <w:rFonts w:hint="cs"/>
          <w:rtl/>
          <w:lang w:bidi="ar-EG"/>
        </w:rPr>
        <w:t xml:space="preserve">وبعبارة أخرى، من اللازم قبل الشروع في </w:t>
      </w:r>
      <w:r w:rsidR="00410938">
        <w:rPr>
          <w:rFonts w:hint="cs"/>
          <w:rtl/>
          <w:lang w:bidi="ar-EG"/>
        </w:rPr>
        <w:t xml:space="preserve">النظر في مدى </w:t>
      </w:r>
      <w:r>
        <w:rPr>
          <w:rFonts w:hint="cs"/>
          <w:rtl/>
          <w:lang w:bidi="ar-EG"/>
        </w:rPr>
        <w:t>الحاجة إلى صياغة توصية جديدة أو تقرير جديد أو كليهما</w:t>
      </w:r>
      <w:r w:rsidR="0083451C">
        <w:rPr>
          <w:rFonts w:hint="cs"/>
          <w:rtl/>
          <w:lang w:bidi="ar-EG"/>
        </w:rPr>
        <w:t xml:space="preserve"> التحقق من سبب عدم كفاية التوصية (التوصيات) القائمة أو التقرير القائم (التقارير القائمة). فعوضاً عن بدء صياغة توصية جديدة أو تقرير جديد أو كليهما، ربما تكون مراجعة إحد</w:t>
      </w:r>
      <w:r w:rsidR="006E345A">
        <w:rPr>
          <w:rFonts w:hint="cs"/>
          <w:rtl/>
          <w:lang w:bidi="ar-EG"/>
        </w:rPr>
        <w:t>ى التوصيات/</w:t>
      </w:r>
      <w:r w:rsidR="0083451C">
        <w:rPr>
          <w:rFonts w:hint="cs"/>
          <w:rtl/>
          <w:lang w:bidi="ar-EG"/>
        </w:rPr>
        <w:t>أحد التقارير القائمة أو بعضها كافية.</w:t>
      </w:r>
    </w:p>
    <w:p w14:paraId="0C520D6C" w14:textId="77777777" w:rsidR="005066FC" w:rsidRDefault="005066FC" w:rsidP="005A59F5">
      <w:pPr>
        <w:pStyle w:val="Heading1"/>
        <w:keepNext w:val="0"/>
        <w:rPr>
          <w:rtl/>
        </w:rPr>
      </w:pPr>
      <w:r>
        <w:rPr>
          <w:rFonts w:hint="cs"/>
          <w:rtl/>
        </w:rPr>
        <w:t>11</w:t>
      </w:r>
      <w:r>
        <w:rPr>
          <w:rtl/>
        </w:rPr>
        <w:tab/>
      </w:r>
      <w:r>
        <w:rPr>
          <w:rFonts w:hint="cs"/>
          <w:rtl/>
        </w:rPr>
        <w:t>برنامج الدراسة أو المبادئ التوجيهية بشأن الدراسة</w:t>
      </w:r>
    </w:p>
    <w:p w14:paraId="42D99E55" w14:textId="01ED1E13" w:rsidR="005066FC" w:rsidRDefault="005066FC" w:rsidP="005066FC">
      <w:pPr>
        <w:rPr>
          <w:rtl/>
          <w:lang w:bidi="ar-EG"/>
        </w:rPr>
      </w:pPr>
      <w:r>
        <w:rPr>
          <w:rFonts w:hint="cs"/>
          <w:rtl/>
          <w:lang w:bidi="ar-EG"/>
        </w:rPr>
        <w:t>بالنظر إلى ما سبق، من الضروري إعداد/إنشاء ما يلزم من برامج للدراسات أو مبادئ توجيهية</w:t>
      </w:r>
      <w:r w:rsidR="007723EF">
        <w:rPr>
          <w:rFonts w:hint="cs"/>
          <w:rtl/>
          <w:lang w:bidi="ar-EG"/>
        </w:rPr>
        <w:t>/إطار</w:t>
      </w:r>
      <w:r>
        <w:rPr>
          <w:rFonts w:hint="cs"/>
          <w:rtl/>
          <w:lang w:bidi="ar-EG"/>
        </w:rPr>
        <w:t xml:space="preserve"> بشأن الدراسة كي تتّبعها الأطراف التي تعتزم تقديم مساهمات بشأن الدراسات المقرر إجراؤها بخصوص</w:t>
      </w:r>
      <w:r w:rsidR="007723EF">
        <w:rPr>
          <w:rFonts w:hint="cs"/>
          <w:rtl/>
          <w:lang w:bidi="ar-EG"/>
        </w:rPr>
        <w:t xml:space="preserve"> البند ذي الصلة من جدول الأعمال</w:t>
      </w:r>
      <w:r w:rsidR="00C737BB">
        <w:rPr>
          <w:rFonts w:hint="cs"/>
          <w:rtl/>
          <w:lang w:bidi="ar-EG"/>
        </w:rPr>
        <w:t>.</w:t>
      </w:r>
    </w:p>
    <w:p w14:paraId="319C0244" w14:textId="77777777" w:rsidR="005066FC" w:rsidRDefault="005066FC" w:rsidP="005066FC">
      <w:pPr>
        <w:pStyle w:val="Heading1"/>
        <w:rPr>
          <w:rtl/>
        </w:rPr>
      </w:pPr>
      <w:r>
        <w:rPr>
          <w:rFonts w:hint="cs"/>
          <w:rtl/>
        </w:rPr>
        <w:lastRenderedPageBreak/>
        <w:t>12</w:t>
      </w:r>
      <w:r>
        <w:rPr>
          <w:rtl/>
        </w:rPr>
        <w:tab/>
      </w:r>
      <w:r>
        <w:rPr>
          <w:rFonts w:hint="cs"/>
          <w:rtl/>
        </w:rPr>
        <w:t>التنسيق مع فرق العمل الأخرى المحددة بوصفها كيانات مساهِمة</w:t>
      </w:r>
    </w:p>
    <w:p w14:paraId="490FA6F2" w14:textId="4F1BDAE7" w:rsidR="005066FC" w:rsidRDefault="005066FC" w:rsidP="005A59F5">
      <w:pPr>
        <w:keepNext/>
        <w:keepLines/>
        <w:rPr>
          <w:rtl/>
        </w:rPr>
      </w:pPr>
      <w:r w:rsidRPr="000A3C34">
        <w:rPr>
          <w:rFonts w:hint="cs"/>
          <w:rtl/>
          <w:lang w:bidi="ar-EG"/>
        </w:rPr>
        <w:t xml:space="preserve">يشكل هذا الأمر عنصراً مهماً يجب أخذه في الاعتبار ومراعاته بعناية. بعبارة أخرى، بالإضافة إلى بيانات الاتصال الموجهة إلى فرق العمل المساهمة تلك، ينبغي وضع ترتيبات بحيث يتم تبادل أي </w:t>
      </w:r>
      <w:r w:rsidR="000E4F40">
        <w:rPr>
          <w:rFonts w:hint="cs"/>
          <w:rtl/>
          <w:lang w:bidi="ar-EG"/>
        </w:rPr>
        <w:t>وثائق</w:t>
      </w:r>
      <w:r w:rsidR="000E4F40" w:rsidRPr="000A3C34">
        <w:rPr>
          <w:rFonts w:hint="cs"/>
          <w:rtl/>
          <w:lang w:bidi="ar-EG"/>
        </w:rPr>
        <w:t xml:space="preserve"> </w:t>
      </w:r>
      <w:r w:rsidRPr="000A3C34">
        <w:rPr>
          <w:rFonts w:hint="cs"/>
          <w:rtl/>
          <w:lang w:bidi="ar-EG"/>
        </w:rPr>
        <w:t xml:space="preserve">مع فرق العمل المساهمة هذه، ولا سيما قبل ارتقاء الوثيقة إلى مستوى المشروع لدى فرق العمل المسؤولة. فضلاً عن ذلك، حينما توشك الدراسة على الانتهاء، ولزيادة مستوى السلامة والفعالية والكفاءة، ينبغي أن تبذل دائرة لجان الدراسات جهوداً من أجل التخطيط لتنظيم اجتماعات مشتركة، أو على الأقل اجتماعات بالتعاقب، قدر المستطاع عملياً، مع فرق العمل </w:t>
      </w:r>
      <w:r w:rsidR="00D01302" w:rsidRPr="000A3C34">
        <w:rPr>
          <w:rFonts w:hint="cs"/>
          <w:rtl/>
          <w:lang w:bidi="ar-EG"/>
        </w:rPr>
        <w:t>التي تشارك مشاركة مكثفة</w:t>
      </w:r>
      <w:r w:rsidRPr="000A3C34">
        <w:rPr>
          <w:rFonts w:hint="cs"/>
          <w:rtl/>
          <w:lang w:bidi="ar-EG"/>
        </w:rPr>
        <w:t xml:space="preserve"> في الدراسات.</w:t>
      </w:r>
    </w:p>
    <w:p w14:paraId="553BD745"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22AB0" w14:textId="77777777" w:rsidR="004225F1" w:rsidRDefault="004225F1" w:rsidP="002919E1">
      <w:r>
        <w:separator/>
      </w:r>
    </w:p>
    <w:p w14:paraId="202C8ED0" w14:textId="77777777" w:rsidR="004225F1" w:rsidRDefault="004225F1" w:rsidP="002919E1"/>
    <w:p w14:paraId="686F721D" w14:textId="77777777" w:rsidR="004225F1" w:rsidRDefault="004225F1" w:rsidP="002919E1"/>
    <w:p w14:paraId="1679B75A" w14:textId="77777777" w:rsidR="004225F1" w:rsidRDefault="004225F1"/>
  </w:endnote>
  <w:endnote w:type="continuationSeparator" w:id="0">
    <w:p w14:paraId="62681CE3" w14:textId="77777777" w:rsidR="004225F1" w:rsidRDefault="004225F1" w:rsidP="002919E1">
      <w:r>
        <w:continuationSeparator/>
      </w:r>
    </w:p>
    <w:p w14:paraId="4F291278" w14:textId="77777777" w:rsidR="004225F1" w:rsidRDefault="004225F1" w:rsidP="002919E1"/>
    <w:p w14:paraId="75B675E9" w14:textId="77777777" w:rsidR="004225F1" w:rsidRDefault="004225F1" w:rsidP="002919E1"/>
    <w:p w14:paraId="73D65032" w14:textId="77777777" w:rsidR="004225F1" w:rsidRDefault="00422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2318C" w14:textId="60062AC6" w:rsidR="00281F5F" w:rsidRPr="0012545F" w:rsidRDefault="0012545F" w:rsidP="00B0202E">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CA0D87">
      <w:rPr>
        <w:noProof/>
      </w:rPr>
      <w:t>P:\ARA\ITU-R\AG\RAG\RAG20\000\012REV1A.docx</w:t>
    </w:r>
    <w:r>
      <w:fldChar w:fldCharType="end"/>
    </w:r>
    <w:r w:rsidRPr="00A809E8">
      <w:t xml:space="preserve">   (</w:t>
    </w:r>
    <w:r w:rsidR="002D0011" w:rsidRPr="002D0011">
      <w:t>470944</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E337E" w14:textId="2C2163DB" w:rsidR="00281F5F" w:rsidRPr="002D0011" w:rsidRDefault="00EB63D6" w:rsidP="002D0011">
    <w:pPr>
      <w:pStyle w:val="Footer"/>
    </w:pPr>
    <w:r>
      <w:fldChar w:fldCharType="begin"/>
    </w:r>
    <w:r>
      <w:instrText xml:space="preserve"> FILENAME \p \* MERGEFORMAT </w:instrText>
    </w:r>
    <w:r>
      <w:fldChar w:fldCharType="separate"/>
    </w:r>
    <w:r w:rsidR="00B60A2E">
      <w:rPr>
        <w:noProof/>
      </w:rPr>
      <w:t>P:\ARA\ITU-R\AG\RAG\RAG20\000\012REV1A.docx</w:t>
    </w:r>
    <w:r>
      <w:rPr>
        <w:noProof/>
      </w:rPr>
      <w:fldChar w:fldCharType="end"/>
    </w:r>
    <w:r w:rsidR="002D0011" w:rsidRPr="002D0011">
      <w:t xml:space="preserve">   (470944)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0E2A4" w14:textId="77777777" w:rsidR="004225F1" w:rsidRDefault="004225F1" w:rsidP="002919E1">
      <w:r>
        <w:separator/>
      </w:r>
    </w:p>
  </w:footnote>
  <w:footnote w:type="continuationSeparator" w:id="0">
    <w:p w14:paraId="562395D2" w14:textId="77777777" w:rsidR="004225F1" w:rsidRDefault="004225F1" w:rsidP="002919E1">
      <w:r>
        <w:continuationSeparator/>
      </w:r>
    </w:p>
    <w:p w14:paraId="2E37808B" w14:textId="77777777" w:rsidR="004225F1" w:rsidRDefault="004225F1" w:rsidP="002919E1"/>
    <w:p w14:paraId="224B1383" w14:textId="77777777" w:rsidR="004225F1" w:rsidRDefault="004225F1" w:rsidP="002919E1"/>
    <w:p w14:paraId="35385937" w14:textId="77777777" w:rsidR="004225F1" w:rsidRDefault="004225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68638" w14:textId="77777777" w:rsidR="00281F5F" w:rsidRDefault="00281F5F" w:rsidP="002919E1"/>
  <w:p w14:paraId="1F27FADF" w14:textId="77777777" w:rsidR="00281F5F" w:rsidRDefault="00281F5F" w:rsidP="002919E1"/>
  <w:p w14:paraId="5BCFFF7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A6226" w14:textId="25689B89"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E345A">
      <w:rPr>
        <w:rStyle w:val="PageNumber"/>
        <w:noProof/>
      </w:rPr>
      <w:t>3</w:t>
    </w:r>
    <w:r w:rsidRPr="0088384B">
      <w:rPr>
        <w:rStyle w:val="PageNumber"/>
      </w:rPr>
      <w:fldChar w:fldCharType="end"/>
    </w:r>
    <w:r>
      <w:rPr>
        <w:rStyle w:val="PageNumber"/>
        <w:rtl/>
      </w:rPr>
      <w:br/>
    </w:r>
    <w:r w:rsidR="002F3031">
      <w:rPr>
        <w:rStyle w:val="PageNumber"/>
      </w:rPr>
      <w:t>R</w:t>
    </w:r>
    <w:r w:rsidR="0057610B">
      <w:rPr>
        <w:rStyle w:val="PageNumber"/>
      </w:rPr>
      <w:t>AG</w:t>
    </w:r>
    <w:r w:rsidR="002F3031">
      <w:rPr>
        <w:rStyle w:val="PageNumber"/>
      </w:rPr>
      <w:t>20</w:t>
    </w:r>
    <w:r w:rsidR="00A809E8">
      <w:rPr>
        <w:rStyle w:val="PageNumber"/>
      </w:rPr>
      <w:t>/</w:t>
    </w:r>
    <w:r w:rsidR="00B0202E">
      <w:rPr>
        <w:rStyle w:val="PageNumber"/>
      </w:rPr>
      <w:t>12</w:t>
    </w:r>
    <w:r w:rsidR="002D0011">
      <w:rPr>
        <w:rStyle w:val="PageNumber"/>
      </w:rPr>
      <w:t>(Rev.1)</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FC"/>
    <w:rsid w:val="00011021"/>
    <w:rsid w:val="000114EC"/>
    <w:rsid w:val="00011F8C"/>
    <w:rsid w:val="00022B74"/>
    <w:rsid w:val="0002327C"/>
    <w:rsid w:val="00034B65"/>
    <w:rsid w:val="00040C94"/>
    <w:rsid w:val="000425FC"/>
    <w:rsid w:val="00044D43"/>
    <w:rsid w:val="00051907"/>
    <w:rsid w:val="00055D66"/>
    <w:rsid w:val="000642E1"/>
    <w:rsid w:val="000678E7"/>
    <w:rsid w:val="00075A3F"/>
    <w:rsid w:val="000A1B16"/>
    <w:rsid w:val="000A3C34"/>
    <w:rsid w:val="000A7C46"/>
    <w:rsid w:val="000B3896"/>
    <w:rsid w:val="000B5404"/>
    <w:rsid w:val="000D1708"/>
    <w:rsid w:val="000E2AFC"/>
    <w:rsid w:val="000E4F40"/>
    <w:rsid w:val="000E6D30"/>
    <w:rsid w:val="000F05F5"/>
    <w:rsid w:val="000F518F"/>
    <w:rsid w:val="0010081C"/>
    <w:rsid w:val="001013E3"/>
    <w:rsid w:val="0010363F"/>
    <w:rsid w:val="00123A97"/>
    <w:rsid w:val="00123AA6"/>
    <w:rsid w:val="0012545F"/>
    <w:rsid w:val="00136B82"/>
    <w:rsid w:val="001464F2"/>
    <w:rsid w:val="00167364"/>
    <w:rsid w:val="001863F7"/>
    <w:rsid w:val="001903B2"/>
    <w:rsid w:val="00193114"/>
    <w:rsid w:val="001B5953"/>
    <w:rsid w:val="001B620F"/>
    <w:rsid w:val="001C1B46"/>
    <w:rsid w:val="001C7D78"/>
    <w:rsid w:val="001D746E"/>
    <w:rsid w:val="001E190C"/>
    <w:rsid w:val="001E51EE"/>
    <w:rsid w:val="001E54F6"/>
    <w:rsid w:val="001E5A8C"/>
    <w:rsid w:val="001E723A"/>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0011"/>
    <w:rsid w:val="002D5F64"/>
    <w:rsid w:val="002D6BB4"/>
    <w:rsid w:val="002D6FBF"/>
    <w:rsid w:val="002E48BF"/>
    <w:rsid w:val="002E61C2"/>
    <w:rsid w:val="002E712D"/>
    <w:rsid w:val="002F3031"/>
    <w:rsid w:val="002F3E46"/>
    <w:rsid w:val="002F666E"/>
    <w:rsid w:val="00311E3F"/>
    <w:rsid w:val="00314B1E"/>
    <w:rsid w:val="00317330"/>
    <w:rsid w:val="0033737F"/>
    <w:rsid w:val="00346680"/>
    <w:rsid w:val="00353652"/>
    <w:rsid w:val="003569E1"/>
    <w:rsid w:val="0036216B"/>
    <w:rsid w:val="003815E2"/>
    <w:rsid w:val="00381FAD"/>
    <w:rsid w:val="00382A66"/>
    <w:rsid w:val="003923B1"/>
    <w:rsid w:val="0039465C"/>
    <w:rsid w:val="003965FE"/>
    <w:rsid w:val="003B27AD"/>
    <w:rsid w:val="003B4F23"/>
    <w:rsid w:val="003C12F6"/>
    <w:rsid w:val="003C3A13"/>
    <w:rsid w:val="003E02EF"/>
    <w:rsid w:val="003E1D90"/>
    <w:rsid w:val="003F184E"/>
    <w:rsid w:val="00400CD4"/>
    <w:rsid w:val="00410938"/>
    <w:rsid w:val="004147B9"/>
    <w:rsid w:val="004203CE"/>
    <w:rsid w:val="004225F1"/>
    <w:rsid w:val="00422C04"/>
    <w:rsid w:val="00423A40"/>
    <w:rsid w:val="00426144"/>
    <w:rsid w:val="00460516"/>
    <w:rsid w:val="004636E2"/>
    <w:rsid w:val="00465683"/>
    <w:rsid w:val="00470CBD"/>
    <w:rsid w:val="0047407D"/>
    <w:rsid w:val="004909DD"/>
    <w:rsid w:val="004A05E6"/>
    <w:rsid w:val="004A6230"/>
    <w:rsid w:val="004A6C66"/>
    <w:rsid w:val="004A7AA0"/>
    <w:rsid w:val="004C11BC"/>
    <w:rsid w:val="004C5C04"/>
    <w:rsid w:val="004D0448"/>
    <w:rsid w:val="004D1F00"/>
    <w:rsid w:val="004D4AE6"/>
    <w:rsid w:val="004E2D43"/>
    <w:rsid w:val="004F0BED"/>
    <w:rsid w:val="004F1258"/>
    <w:rsid w:val="00505FCA"/>
    <w:rsid w:val="005066FC"/>
    <w:rsid w:val="00510C2D"/>
    <w:rsid w:val="00516042"/>
    <w:rsid w:val="005166A4"/>
    <w:rsid w:val="005169F4"/>
    <w:rsid w:val="00520F89"/>
    <w:rsid w:val="005210D1"/>
    <w:rsid w:val="00523146"/>
    <w:rsid w:val="00523275"/>
    <w:rsid w:val="005319E6"/>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A59F5"/>
    <w:rsid w:val="005B00A1"/>
    <w:rsid w:val="005C29C8"/>
    <w:rsid w:val="005C5D25"/>
    <w:rsid w:val="005D2606"/>
    <w:rsid w:val="005D6D48"/>
    <w:rsid w:val="005D72A4"/>
    <w:rsid w:val="005F05CC"/>
    <w:rsid w:val="005F65DE"/>
    <w:rsid w:val="00613492"/>
    <w:rsid w:val="00630905"/>
    <w:rsid w:val="006315B5"/>
    <w:rsid w:val="0063497F"/>
    <w:rsid w:val="00644BAA"/>
    <w:rsid w:val="0065562F"/>
    <w:rsid w:val="006577C0"/>
    <w:rsid w:val="006779A4"/>
    <w:rsid w:val="00680A66"/>
    <w:rsid w:val="00681391"/>
    <w:rsid w:val="00687FE1"/>
    <w:rsid w:val="00691630"/>
    <w:rsid w:val="00694690"/>
    <w:rsid w:val="0069526C"/>
    <w:rsid w:val="006A12AC"/>
    <w:rsid w:val="006A2162"/>
    <w:rsid w:val="006B4B90"/>
    <w:rsid w:val="006B658C"/>
    <w:rsid w:val="006C1A14"/>
    <w:rsid w:val="006C45A1"/>
    <w:rsid w:val="006C7A43"/>
    <w:rsid w:val="006D2674"/>
    <w:rsid w:val="006D346F"/>
    <w:rsid w:val="006E345A"/>
    <w:rsid w:val="006E38D0"/>
    <w:rsid w:val="006E465B"/>
    <w:rsid w:val="006F1F2A"/>
    <w:rsid w:val="006F70BF"/>
    <w:rsid w:val="00716B1D"/>
    <w:rsid w:val="007248EC"/>
    <w:rsid w:val="00726744"/>
    <w:rsid w:val="00731150"/>
    <w:rsid w:val="0073434D"/>
    <w:rsid w:val="00734E41"/>
    <w:rsid w:val="007351CE"/>
    <w:rsid w:val="00736DCC"/>
    <w:rsid w:val="00741855"/>
    <w:rsid w:val="00742B73"/>
    <w:rsid w:val="00751251"/>
    <w:rsid w:val="00757582"/>
    <w:rsid w:val="007610E7"/>
    <w:rsid w:val="00764079"/>
    <w:rsid w:val="00770AA0"/>
    <w:rsid w:val="00771F7E"/>
    <w:rsid w:val="007723EF"/>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61C2"/>
    <w:rsid w:val="00826E89"/>
    <w:rsid w:val="00830D96"/>
    <w:rsid w:val="008327BF"/>
    <w:rsid w:val="0083451C"/>
    <w:rsid w:val="0084080F"/>
    <w:rsid w:val="0085569D"/>
    <w:rsid w:val="00855B59"/>
    <w:rsid w:val="0085774F"/>
    <w:rsid w:val="008614B8"/>
    <w:rsid w:val="008657CB"/>
    <w:rsid w:val="00873A6F"/>
    <w:rsid w:val="0088384B"/>
    <w:rsid w:val="00893E53"/>
    <w:rsid w:val="008A1137"/>
    <w:rsid w:val="008A1788"/>
    <w:rsid w:val="008A3E57"/>
    <w:rsid w:val="008A4185"/>
    <w:rsid w:val="008A4441"/>
    <w:rsid w:val="008A6552"/>
    <w:rsid w:val="008B4E93"/>
    <w:rsid w:val="008B52B7"/>
    <w:rsid w:val="008C3818"/>
    <w:rsid w:val="008D6ACC"/>
    <w:rsid w:val="008D7AF0"/>
    <w:rsid w:val="008E2CBE"/>
    <w:rsid w:val="008E32DD"/>
    <w:rsid w:val="008E5615"/>
    <w:rsid w:val="008F4626"/>
    <w:rsid w:val="009004DF"/>
    <w:rsid w:val="00904AA5"/>
    <w:rsid w:val="00943F07"/>
    <w:rsid w:val="00951718"/>
    <w:rsid w:val="00953E2E"/>
    <w:rsid w:val="00960962"/>
    <w:rsid w:val="00972CE0"/>
    <w:rsid w:val="009736AA"/>
    <w:rsid w:val="009A3D30"/>
    <w:rsid w:val="009D6348"/>
    <w:rsid w:val="009E5007"/>
    <w:rsid w:val="009E613F"/>
    <w:rsid w:val="009F042B"/>
    <w:rsid w:val="00A03FD6"/>
    <w:rsid w:val="00A04CF4"/>
    <w:rsid w:val="00A116A8"/>
    <w:rsid w:val="00A17E61"/>
    <w:rsid w:val="00A22AE9"/>
    <w:rsid w:val="00A2641B"/>
    <w:rsid w:val="00A26758"/>
    <w:rsid w:val="00A26D0E"/>
    <w:rsid w:val="00A27205"/>
    <w:rsid w:val="00A278E9"/>
    <w:rsid w:val="00A339C7"/>
    <w:rsid w:val="00A3451F"/>
    <w:rsid w:val="00A3584A"/>
    <w:rsid w:val="00A35E1F"/>
    <w:rsid w:val="00A36268"/>
    <w:rsid w:val="00A375BD"/>
    <w:rsid w:val="00A40B2C"/>
    <w:rsid w:val="00A42ADC"/>
    <w:rsid w:val="00A66D2B"/>
    <w:rsid w:val="00A8061A"/>
    <w:rsid w:val="00A809E8"/>
    <w:rsid w:val="00A870AD"/>
    <w:rsid w:val="00A90843"/>
    <w:rsid w:val="00A9645C"/>
    <w:rsid w:val="00AB2A33"/>
    <w:rsid w:val="00AB3950"/>
    <w:rsid w:val="00AB5B2E"/>
    <w:rsid w:val="00AC1275"/>
    <w:rsid w:val="00AC7395"/>
    <w:rsid w:val="00AD162B"/>
    <w:rsid w:val="00AD690F"/>
    <w:rsid w:val="00AD69DD"/>
    <w:rsid w:val="00AE6B26"/>
    <w:rsid w:val="00AF22C1"/>
    <w:rsid w:val="00AF3EFA"/>
    <w:rsid w:val="00AF41D1"/>
    <w:rsid w:val="00B01623"/>
    <w:rsid w:val="00B0202E"/>
    <w:rsid w:val="00B033DF"/>
    <w:rsid w:val="00B039AD"/>
    <w:rsid w:val="00B07CEE"/>
    <w:rsid w:val="00B12661"/>
    <w:rsid w:val="00B16045"/>
    <w:rsid w:val="00B1667D"/>
    <w:rsid w:val="00B1714C"/>
    <w:rsid w:val="00B357E9"/>
    <w:rsid w:val="00B4164D"/>
    <w:rsid w:val="00B425C1"/>
    <w:rsid w:val="00B553DF"/>
    <w:rsid w:val="00B5627D"/>
    <w:rsid w:val="00B606BA"/>
    <w:rsid w:val="00B60A2E"/>
    <w:rsid w:val="00B66817"/>
    <w:rsid w:val="00B71E3B"/>
    <w:rsid w:val="00B721D5"/>
    <w:rsid w:val="00B81CB5"/>
    <w:rsid w:val="00B8351F"/>
    <w:rsid w:val="00B86C44"/>
    <w:rsid w:val="00B9727C"/>
    <w:rsid w:val="00BA3D9E"/>
    <w:rsid w:val="00BA7D44"/>
    <w:rsid w:val="00BD6291"/>
    <w:rsid w:val="00BD6EF3"/>
    <w:rsid w:val="00BD7A7C"/>
    <w:rsid w:val="00BE69C3"/>
    <w:rsid w:val="00C1165E"/>
    <w:rsid w:val="00C16A5F"/>
    <w:rsid w:val="00C22074"/>
    <w:rsid w:val="00C2377B"/>
    <w:rsid w:val="00C34E09"/>
    <w:rsid w:val="00C3693C"/>
    <w:rsid w:val="00C449F7"/>
    <w:rsid w:val="00C53F6F"/>
    <w:rsid w:val="00C5489D"/>
    <w:rsid w:val="00C6644B"/>
    <w:rsid w:val="00C71759"/>
    <w:rsid w:val="00C737BB"/>
    <w:rsid w:val="00C8199C"/>
    <w:rsid w:val="00C84112"/>
    <w:rsid w:val="00C841EB"/>
    <w:rsid w:val="00C8665F"/>
    <w:rsid w:val="00C917B5"/>
    <w:rsid w:val="00C93120"/>
    <w:rsid w:val="00C94DFA"/>
    <w:rsid w:val="00CA0D87"/>
    <w:rsid w:val="00CA298C"/>
    <w:rsid w:val="00CB2BF9"/>
    <w:rsid w:val="00CB4300"/>
    <w:rsid w:val="00CB454E"/>
    <w:rsid w:val="00CC030E"/>
    <w:rsid w:val="00CC376F"/>
    <w:rsid w:val="00CC68C4"/>
    <w:rsid w:val="00CC79A4"/>
    <w:rsid w:val="00CD0D3B"/>
    <w:rsid w:val="00CD0FDE"/>
    <w:rsid w:val="00CD1574"/>
    <w:rsid w:val="00CE0E68"/>
    <w:rsid w:val="00CE5BA4"/>
    <w:rsid w:val="00D01302"/>
    <w:rsid w:val="00D25120"/>
    <w:rsid w:val="00D419CB"/>
    <w:rsid w:val="00D442D3"/>
    <w:rsid w:val="00D44350"/>
    <w:rsid w:val="00D44E3F"/>
    <w:rsid w:val="00D51BB8"/>
    <w:rsid w:val="00D525F5"/>
    <w:rsid w:val="00D535D0"/>
    <w:rsid w:val="00D577D8"/>
    <w:rsid w:val="00D62C78"/>
    <w:rsid w:val="00D81703"/>
    <w:rsid w:val="00D82929"/>
    <w:rsid w:val="00D84214"/>
    <w:rsid w:val="00D92DFA"/>
    <w:rsid w:val="00D943E5"/>
    <w:rsid w:val="00DA1AE0"/>
    <w:rsid w:val="00DA6271"/>
    <w:rsid w:val="00DC29DD"/>
    <w:rsid w:val="00DC7C0E"/>
    <w:rsid w:val="00DE12A0"/>
    <w:rsid w:val="00DE7387"/>
    <w:rsid w:val="00DF2A6A"/>
    <w:rsid w:val="00DF3B72"/>
    <w:rsid w:val="00DF6317"/>
    <w:rsid w:val="00E10821"/>
    <w:rsid w:val="00E2489D"/>
    <w:rsid w:val="00E26520"/>
    <w:rsid w:val="00E26732"/>
    <w:rsid w:val="00E343A3"/>
    <w:rsid w:val="00E47277"/>
    <w:rsid w:val="00E51BFA"/>
    <w:rsid w:val="00E621A3"/>
    <w:rsid w:val="00E65D31"/>
    <w:rsid w:val="00E75735"/>
    <w:rsid w:val="00E833BC"/>
    <w:rsid w:val="00E8580E"/>
    <w:rsid w:val="00E97E21"/>
    <w:rsid w:val="00EA1B76"/>
    <w:rsid w:val="00EA77D7"/>
    <w:rsid w:val="00EB63D6"/>
    <w:rsid w:val="00EC09B9"/>
    <w:rsid w:val="00ED048C"/>
    <w:rsid w:val="00EE2366"/>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57A25"/>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CDACF2"/>
  <w15:docId w15:val="{C93C8CE9-AA51-4DBA-83BF-97D90BCD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668253D2-F2BF-469F-A1EB-452AF8A2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1418</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Arabic</cp:lastModifiedBy>
  <cp:revision>21</cp:revision>
  <cp:lastPrinted>2019-06-26T10:10:00Z</cp:lastPrinted>
  <dcterms:created xsi:type="dcterms:W3CDTF">2020-05-06T12:53:00Z</dcterms:created>
  <dcterms:modified xsi:type="dcterms:W3CDTF">2020-05-06T15:48:00Z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