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14:paraId="69B5D9AB" w14:textId="77777777" w:rsidTr="0057336B">
        <w:trPr>
          <w:cantSplit/>
        </w:trPr>
        <w:tc>
          <w:tcPr>
            <w:tcW w:w="6775" w:type="dxa"/>
            <w:vAlign w:val="center"/>
          </w:tcPr>
          <w:p w14:paraId="16738662" w14:textId="77777777" w:rsidR="0057336B" w:rsidRPr="008F0106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A7663C">
              <w:rPr>
                <w:rFonts w:ascii="Verdana" w:hAnsi="Verdana" w:cs="Times New Roman Bold"/>
                <w:b/>
                <w:bCs/>
                <w:sz w:val="20"/>
              </w:rPr>
              <w:t xml:space="preserve">mayo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de 20</w:t>
            </w:r>
            <w:r w:rsidR="00AB4BAD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114" w:type="dxa"/>
            <w:vAlign w:val="center"/>
          </w:tcPr>
          <w:p w14:paraId="68F7138C" w14:textId="77777777" w:rsidR="0057336B" w:rsidRDefault="00AB4BAD" w:rsidP="00A7663C">
            <w:pPr>
              <w:shd w:val="solid" w:color="FFFFFF" w:fill="FFFFFF"/>
              <w:spacing w:before="0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1BE3C901" wp14:editId="0CA2E729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 w14:paraId="21240F35" w14:textId="77777777" w:rsidTr="008F0106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006C5FF9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58AA87AE" w14:textId="77777777"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 w14:paraId="079453DC" w14:textId="77777777" w:rsidTr="008F010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F681FE5" w14:textId="77777777"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89C8482" w14:textId="77777777"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 w14:paraId="35180E22" w14:textId="77777777" w:rsidTr="008F0106">
        <w:trPr>
          <w:cantSplit/>
        </w:trPr>
        <w:tc>
          <w:tcPr>
            <w:tcW w:w="6771" w:type="dxa"/>
            <w:vMerge w:val="restart"/>
          </w:tcPr>
          <w:p w14:paraId="6061D039" w14:textId="77777777"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237E087B" w14:textId="77777777" w:rsidR="006E291F" w:rsidRPr="00263173" w:rsidRDefault="00263173" w:rsidP="002631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RAG20/11-S</w:t>
            </w:r>
          </w:p>
        </w:tc>
      </w:tr>
      <w:tr w:rsidR="006E291F" w:rsidRPr="002A127E" w14:paraId="222D114D" w14:textId="77777777" w:rsidTr="008F0106">
        <w:trPr>
          <w:cantSplit/>
        </w:trPr>
        <w:tc>
          <w:tcPr>
            <w:tcW w:w="6771" w:type="dxa"/>
            <w:vMerge/>
          </w:tcPr>
          <w:p w14:paraId="76E2F1B6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7B5FB844" w14:textId="77777777" w:rsidR="006E291F" w:rsidRPr="00263173" w:rsidRDefault="00263173" w:rsidP="002631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 de abril de 2020</w:t>
            </w:r>
          </w:p>
        </w:tc>
      </w:tr>
      <w:tr w:rsidR="006E291F" w:rsidRPr="002A127E" w14:paraId="46E528BB" w14:textId="77777777" w:rsidTr="008F0106">
        <w:trPr>
          <w:cantSplit/>
        </w:trPr>
        <w:tc>
          <w:tcPr>
            <w:tcW w:w="6771" w:type="dxa"/>
            <w:vMerge/>
          </w:tcPr>
          <w:p w14:paraId="35FD6F8B" w14:textId="77777777"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56AD06A7" w14:textId="77777777" w:rsidR="006E291F" w:rsidRPr="00263173" w:rsidRDefault="00263173" w:rsidP="0026317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14:paraId="3CA5B0AD" w14:textId="77777777" w:rsidTr="008F0106">
        <w:trPr>
          <w:cantSplit/>
        </w:trPr>
        <w:tc>
          <w:tcPr>
            <w:tcW w:w="9889" w:type="dxa"/>
            <w:gridSpan w:val="2"/>
          </w:tcPr>
          <w:p w14:paraId="605875A2" w14:textId="2490C99E" w:rsidR="006E291F" w:rsidRDefault="00263173" w:rsidP="00CB7A43">
            <w:pPr>
              <w:pStyle w:val="Source"/>
            </w:pPr>
            <w:bookmarkStart w:id="3" w:name="dsource" w:colFirst="0" w:colLast="0"/>
            <w:bookmarkEnd w:id="2"/>
            <w:r w:rsidRPr="00263173">
              <w:t>Irán (República Islámica del)</w:t>
            </w:r>
          </w:p>
        </w:tc>
      </w:tr>
      <w:tr w:rsidR="006E291F" w14:paraId="7B51E7FA" w14:textId="77777777" w:rsidTr="008F0106">
        <w:trPr>
          <w:cantSplit/>
        </w:trPr>
        <w:tc>
          <w:tcPr>
            <w:tcW w:w="9889" w:type="dxa"/>
            <w:gridSpan w:val="2"/>
          </w:tcPr>
          <w:p w14:paraId="3B77BB1C" w14:textId="77BEB5AB" w:rsidR="006E291F" w:rsidRDefault="00263173" w:rsidP="00CB7A43">
            <w:pPr>
              <w:pStyle w:val="Title1"/>
            </w:pPr>
            <w:bookmarkStart w:id="4" w:name="dtitle1" w:colFirst="0" w:colLast="0"/>
            <w:bookmarkEnd w:id="3"/>
            <w:r w:rsidRPr="00263173">
              <w:t>IMPLEMENTACIÓN DE LAS RESOLUCIONES DE LA CMR-19</w:t>
            </w:r>
          </w:p>
        </w:tc>
      </w:tr>
    </w:tbl>
    <w:bookmarkEnd w:id="4"/>
    <w:p w14:paraId="076FA6FE" w14:textId="77777777" w:rsidR="00263173" w:rsidRPr="00263173" w:rsidRDefault="00263173" w:rsidP="00263173">
      <w:pPr>
        <w:pStyle w:val="Heading1"/>
        <w:rPr>
          <w:lang w:val="es-ES"/>
        </w:rPr>
      </w:pPr>
      <w:r w:rsidRPr="00263173">
        <w:rPr>
          <w:lang w:val="es-ES"/>
        </w:rPr>
        <w:t>1</w:t>
      </w:r>
      <w:r w:rsidRPr="00263173">
        <w:rPr>
          <w:lang w:val="es-ES"/>
        </w:rPr>
        <w:tab/>
        <w:t>Introducción</w:t>
      </w:r>
    </w:p>
    <w:p w14:paraId="6166150B" w14:textId="4C10FADB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Cada CMR, aparte de las enmiendas al Reglamento de Radiocomunicaciones, modifica/revisa las Resoluciones existentes o adopta varios tipos de Resoluciones por diferentes razones y con diferentes propósitos, como se resume a continuación.</w:t>
      </w:r>
    </w:p>
    <w:p w14:paraId="24423EBC" w14:textId="44419F80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Los objetivos de esta contribución no son discutir la situación legal de estas Resoluciones sino los aspectos relativos a la implementación de las mismas.</w:t>
      </w:r>
    </w:p>
    <w:p w14:paraId="1C6D6FD1" w14:textId="77777777" w:rsidR="00263173" w:rsidRPr="00263173" w:rsidRDefault="00263173" w:rsidP="00263173">
      <w:pPr>
        <w:pStyle w:val="Heading1"/>
        <w:rPr>
          <w:lang w:val="es-ES"/>
        </w:rPr>
      </w:pPr>
      <w:r w:rsidRPr="00263173">
        <w:rPr>
          <w:lang w:val="es-ES"/>
        </w:rPr>
        <w:t>2</w:t>
      </w:r>
      <w:r w:rsidRPr="00263173">
        <w:rPr>
          <w:lang w:val="es-ES"/>
        </w:rPr>
        <w:tab/>
        <w:t>Discusiones</w:t>
      </w:r>
    </w:p>
    <w:p w14:paraId="2D675D46" w14:textId="73244DA7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Las Resoluciones arriba citadas se integran en las siguientes categorías:</w:t>
      </w:r>
    </w:p>
    <w:p w14:paraId="717210AE" w14:textId="77777777" w:rsidR="00263173" w:rsidRPr="00263173" w:rsidRDefault="00263173" w:rsidP="00263173">
      <w:pPr>
        <w:pStyle w:val="Headingb"/>
        <w:rPr>
          <w:lang w:val="es-ES"/>
        </w:rPr>
      </w:pPr>
      <w:r w:rsidRPr="00263173">
        <w:rPr>
          <w:lang w:val="es-ES"/>
        </w:rPr>
        <w:t>Categoría 1</w:t>
      </w:r>
    </w:p>
    <w:p w14:paraId="3FF6E3A3" w14:textId="5A4DBBA3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Resoluciones que están directa y exclusivamente asociadas a los temas del orden del día de la siguiente CMR. Esta categoría se menciona en el punto del orden del día de la siguiente CMR</w:t>
      </w:r>
      <w:r>
        <w:rPr>
          <w:lang w:val="es-ES"/>
        </w:rPr>
        <w:t>.</w:t>
      </w:r>
    </w:p>
    <w:p w14:paraId="7D87CAF0" w14:textId="77777777" w:rsidR="00263173" w:rsidRPr="00263173" w:rsidRDefault="00263173" w:rsidP="00263173">
      <w:pPr>
        <w:pStyle w:val="Headingb"/>
        <w:rPr>
          <w:lang w:val="es-ES"/>
        </w:rPr>
      </w:pPr>
      <w:r w:rsidRPr="00263173">
        <w:rPr>
          <w:lang w:val="es-ES"/>
        </w:rPr>
        <w:t>Categoría 2</w:t>
      </w:r>
    </w:p>
    <w:p w14:paraId="5D815A83" w14:textId="5D39080C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Resoluciones que no son de categoría 1 y que se han remitido al Sector UIT-R para su estudio como resultado de las deliberaciones de la CMR</w:t>
      </w:r>
      <w:r>
        <w:rPr>
          <w:lang w:val="es-ES"/>
        </w:rPr>
        <w:t>.</w:t>
      </w:r>
    </w:p>
    <w:p w14:paraId="467A4136" w14:textId="77777777" w:rsidR="00263173" w:rsidRPr="00263173" w:rsidRDefault="00263173" w:rsidP="00263173">
      <w:pPr>
        <w:pStyle w:val="Headingb"/>
        <w:rPr>
          <w:lang w:val="es-ES"/>
        </w:rPr>
      </w:pPr>
      <w:r w:rsidRPr="00263173">
        <w:rPr>
          <w:lang w:val="es-ES"/>
        </w:rPr>
        <w:t>Categoría 3</w:t>
      </w:r>
    </w:p>
    <w:p w14:paraId="5B24847D" w14:textId="0F575FCD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Resoluciones que, entre otros destinatarios, se dirigen también a la Oficina de Radiocomunicaciones para su aplicación y la presentación de informes sobre los resultados de dicha aplicación a la siguiente/próximas CMR</w:t>
      </w:r>
      <w:r>
        <w:rPr>
          <w:lang w:val="es-ES"/>
        </w:rPr>
        <w:t>.</w:t>
      </w:r>
    </w:p>
    <w:p w14:paraId="22FBA161" w14:textId="77777777" w:rsidR="00263173" w:rsidRPr="00263173" w:rsidRDefault="00263173" w:rsidP="00263173">
      <w:pPr>
        <w:pStyle w:val="Headingb"/>
        <w:rPr>
          <w:lang w:val="es-ES"/>
        </w:rPr>
      </w:pPr>
      <w:r w:rsidRPr="00263173">
        <w:rPr>
          <w:lang w:val="es-ES"/>
        </w:rPr>
        <w:t>Categoría 4</w:t>
      </w:r>
    </w:p>
    <w:p w14:paraId="2A6AC448" w14:textId="52E9CB2A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 xml:space="preserve">Resoluciones en las que se pide la colaboración/cooperación de otros </w:t>
      </w:r>
      <w:r w:rsidR="00502687" w:rsidRPr="00263173">
        <w:rPr>
          <w:lang w:val="es-ES"/>
        </w:rPr>
        <w:t xml:space="preserve">Sectores </w:t>
      </w:r>
      <w:r w:rsidRPr="00263173">
        <w:rPr>
          <w:lang w:val="es-ES"/>
        </w:rPr>
        <w:t>del UIT-R u otras organizaciones internacionales en determinadas actividades a las que se hace referencia en dichas Resoluciones</w:t>
      </w:r>
      <w:r>
        <w:rPr>
          <w:lang w:val="es-ES"/>
        </w:rPr>
        <w:t>.</w:t>
      </w:r>
    </w:p>
    <w:p w14:paraId="5CF8C0EA" w14:textId="77777777" w:rsidR="00263173" w:rsidRPr="00263173" w:rsidRDefault="00263173" w:rsidP="00263173">
      <w:pPr>
        <w:pStyle w:val="Headingb"/>
        <w:rPr>
          <w:lang w:val="es-ES"/>
        </w:rPr>
      </w:pPr>
      <w:r w:rsidRPr="00263173">
        <w:rPr>
          <w:lang w:val="es-ES"/>
        </w:rPr>
        <w:t>Categoría 5</w:t>
      </w:r>
    </w:p>
    <w:p w14:paraId="4E0DCB24" w14:textId="27686D8A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Resoluciones en las que, entre otras medidas, se invita a futuras reuniones de la Conferencia de Plenipotenciarios, CMR o Consejo de la UIT o de la RRB a adoptar las medidas necesarias, según proceda</w:t>
      </w:r>
      <w:r>
        <w:rPr>
          <w:lang w:val="es-ES"/>
        </w:rPr>
        <w:t>.</w:t>
      </w:r>
    </w:p>
    <w:p w14:paraId="023700C5" w14:textId="77777777" w:rsidR="00263173" w:rsidRPr="00263173" w:rsidRDefault="00263173" w:rsidP="00263173">
      <w:pPr>
        <w:pStyle w:val="Headingb"/>
        <w:rPr>
          <w:lang w:val="es-ES"/>
        </w:rPr>
      </w:pPr>
      <w:r w:rsidRPr="00263173">
        <w:rPr>
          <w:lang w:val="es-ES"/>
        </w:rPr>
        <w:lastRenderedPageBreak/>
        <w:t>Categoría 6</w:t>
      </w:r>
    </w:p>
    <w:p w14:paraId="13252D22" w14:textId="6B32C377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 xml:space="preserve">Puede haber otras Resoluciones que no encajen en ninguna de las </w:t>
      </w:r>
      <w:r>
        <w:rPr>
          <w:lang w:val="es-ES"/>
        </w:rPr>
        <w:t>cinco</w:t>
      </w:r>
      <w:r w:rsidRPr="00263173">
        <w:rPr>
          <w:lang w:val="es-ES"/>
        </w:rPr>
        <w:t xml:space="preserve"> categorías mencionadas, pero que podrían tener algunos aspectos de aplicación.</w:t>
      </w:r>
    </w:p>
    <w:p w14:paraId="1441213C" w14:textId="427485DD" w:rsidR="00263173" w:rsidRPr="00263173" w:rsidRDefault="00263173" w:rsidP="00263173">
      <w:pPr>
        <w:pStyle w:val="Heading1"/>
        <w:rPr>
          <w:lang w:val="es-ES"/>
        </w:rPr>
      </w:pPr>
      <w:r w:rsidRPr="00263173">
        <w:rPr>
          <w:lang w:val="es-ES"/>
        </w:rPr>
        <w:t>3</w:t>
      </w:r>
      <w:r w:rsidRPr="00263173">
        <w:rPr>
          <w:lang w:val="es-ES"/>
        </w:rPr>
        <w:tab/>
        <w:t>Propuesta</w:t>
      </w:r>
    </w:p>
    <w:p w14:paraId="21A4C7E6" w14:textId="194037A1" w:rsidR="00263173" w:rsidRPr="00263173" w:rsidRDefault="00263173" w:rsidP="00263173">
      <w:pPr>
        <w:rPr>
          <w:lang w:val="es-ES"/>
        </w:rPr>
      </w:pPr>
      <w:r w:rsidRPr="00263173">
        <w:rPr>
          <w:lang w:val="es-ES"/>
        </w:rPr>
        <w:t>Se debe aconsejar al Director que examine todas las Resoluciones revisadas y nuevas de la</w:t>
      </w:r>
      <w:r>
        <w:rPr>
          <w:lang w:val="es-ES"/>
        </w:rPr>
        <w:t> </w:t>
      </w:r>
      <w:r w:rsidRPr="00263173">
        <w:rPr>
          <w:lang w:val="es-ES"/>
        </w:rPr>
        <w:t>CMR</w:t>
      </w:r>
      <w:r>
        <w:rPr>
          <w:lang w:val="es-ES"/>
        </w:rPr>
        <w:noBreakHyphen/>
      </w:r>
      <w:r w:rsidRPr="00263173">
        <w:rPr>
          <w:lang w:val="es-ES"/>
        </w:rPr>
        <w:t>19, así como las Resoluciones adoptadas por CMR anteriores para identificar las Resoluciones de las categorías 2 y 3 mencionadas anteriormente, a fin de:</w:t>
      </w:r>
    </w:p>
    <w:p w14:paraId="499598DF" w14:textId="2CE64622" w:rsidR="00263173" w:rsidRPr="00263173" w:rsidRDefault="00263173" w:rsidP="00263173">
      <w:pPr>
        <w:pStyle w:val="enumlev1"/>
        <w:rPr>
          <w:lang w:val="es-ES"/>
        </w:rPr>
      </w:pPr>
      <w:r w:rsidRPr="00263173">
        <w:rPr>
          <w:lang w:val="es-ES"/>
        </w:rPr>
        <w:t>1)</w:t>
      </w:r>
      <w:r w:rsidRPr="00263173">
        <w:rPr>
          <w:lang w:val="es-ES"/>
        </w:rPr>
        <w:tab/>
        <w:t>seguir determinando cuáles son las Comisiones de Estudio/Grupos de Trabajo pertinentes/interesados para llevar a cabo los estudios necesarios y sugerir las medidas necesarias, en relación con las Resoluciones de la categoría 2, cuando proceda;</w:t>
      </w:r>
    </w:p>
    <w:p w14:paraId="0B168672" w14:textId="15877A6B" w:rsidR="00263173" w:rsidRPr="00263173" w:rsidRDefault="00263173" w:rsidP="00263173">
      <w:pPr>
        <w:pStyle w:val="enumlev1"/>
        <w:rPr>
          <w:lang w:val="es-ES"/>
        </w:rPr>
      </w:pPr>
      <w:r w:rsidRPr="00263173">
        <w:rPr>
          <w:lang w:val="es-ES"/>
        </w:rPr>
        <w:t>2)</w:t>
      </w:r>
      <w:r w:rsidRPr="00263173">
        <w:rPr>
          <w:lang w:val="es-ES"/>
        </w:rPr>
        <w:tab/>
        <w:t>tomar las medidas necesarias y oportunas con respecto a las Resoluciones de la categoría 3 para cumplir los objetivos de esta categoría de Resoluciones;</w:t>
      </w:r>
    </w:p>
    <w:p w14:paraId="7A30784F" w14:textId="77777777" w:rsidR="00263173" w:rsidRPr="00263173" w:rsidRDefault="00263173" w:rsidP="00263173">
      <w:pPr>
        <w:pStyle w:val="enumlev1"/>
        <w:rPr>
          <w:lang w:val="es-ES"/>
        </w:rPr>
      </w:pPr>
      <w:r w:rsidRPr="00263173">
        <w:rPr>
          <w:lang w:val="es-ES"/>
        </w:rPr>
        <w:t>3)</w:t>
      </w:r>
      <w:r w:rsidRPr="00263173">
        <w:rPr>
          <w:lang w:val="es-ES"/>
        </w:rPr>
        <w:tab/>
        <w:t>tomar las medidas necesarias y oportunas con respecto a las demás categorías de Resoluciones mencionadas anteriormente;</w:t>
      </w:r>
    </w:p>
    <w:p w14:paraId="3084780B" w14:textId="6632AB47" w:rsidR="00263173" w:rsidRPr="00263173" w:rsidRDefault="00263173" w:rsidP="00263173">
      <w:pPr>
        <w:pStyle w:val="enumlev1"/>
        <w:rPr>
          <w:lang w:val="es-ES"/>
        </w:rPr>
      </w:pPr>
      <w:r w:rsidRPr="00263173">
        <w:rPr>
          <w:lang w:val="es-ES"/>
        </w:rPr>
        <w:t>4)</w:t>
      </w:r>
      <w:r w:rsidRPr="00263173">
        <w:rPr>
          <w:lang w:val="es-ES"/>
        </w:rPr>
        <w:tab/>
        <w:t>informar al GAR 2021 de las medidas adoptadas para los puntos 2 y 3, con el fin de que el</w:t>
      </w:r>
      <w:r>
        <w:rPr>
          <w:lang w:val="es-ES"/>
        </w:rPr>
        <w:t> </w:t>
      </w:r>
      <w:r w:rsidRPr="00263173">
        <w:rPr>
          <w:lang w:val="es-ES"/>
        </w:rPr>
        <w:t>GAR 2021 pueda asesorar y hacer un seguimiento de las medidas, según proceda.</w:t>
      </w:r>
    </w:p>
    <w:p w14:paraId="65CBB718" w14:textId="77777777" w:rsidR="00263173" w:rsidRDefault="00263173" w:rsidP="00502687"/>
    <w:p w14:paraId="533C0BAE" w14:textId="77777777" w:rsidR="00263173" w:rsidRDefault="00263173">
      <w:pPr>
        <w:jc w:val="center"/>
      </w:pPr>
      <w:r>
        <w:t>______________</w:t>
      </w:r>
    </w:p>
    <w:sectPr w:rsidR="00263173" w:rsidSect="004D6C09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365C" w14:textId="77777777" w:rsidR="00263173" w:rsidRDefault="00263173">
      <w:r>
        <w:separator/>
      </w:r>
    </w:p>
  </w:endnote>
  <w:endnote w:type="continuationSeparator" w:id="0">
    <w:p w14:paraId="2734FFA0" w14:textId="77777777" w:rsidR="00263173" w:rsidRDefault="0026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0376" w14:textId="05BB0297" w:rsidR="00616601" w:rsidRPr="00B66246" w:rsidRDefault="00B66246" w:rsidP="00B6624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P:\ESP\ITU-R\AG\RAG\RAG20\000\011S.docx</w:t>
    </w:r>
    <w:r>
      <w:fldChar w:fldCharType="end"/>
    </w:r>
    <w:r>
      <w:t xml:space="preserve"> (470511)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739F3" w14:textId="03C98625" w:rsidR="00616601" w:rsidRDefault="00B66246" w:rsidP="00B66246">
    <w:pPr>
      <w:pStyle w:val="Footer"/>
      <w:rPr>
        <w:lang w:val="en-US"/>
      </w:rPr>
    </w:pPr>
    <w:fldSimple w:instr=" FILENAME \p  \* MERGEFORMAT ">
      <w:r>
        <w:t>P:\ESP\ITU-R\AG\RAG\RAG20\000\011S.docx</w:t>
      </w:r>
    </w:fldSimple>
    <w:r>
      <w:t xml:space="preserve"> (470511)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F99B" w14:textId="77777777" w:rsidR="00263173" w:rsidRDefault="00263173">
      <w:r>
        <w:t>____________________</w:t>
      </w:r>
    </w:p>
  </w:footnote>
  <w:footnote w:type="continuationSeparator" w:id="0">
    <w:p w14:paraId="55445C05" w14:textId="77777777" w:rsidR="00263173" w:rsidRDefault="0026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CB33" w14:textId="77777777"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BA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2A33EC" w14:textId="7AC03E55" w:rsidR="00616601" w:rsidRDefault="0034043B" w:rsidP="00AB4BAD">
    <w:pPr>
      <w:pStyle w:val="Header"/>
      <w:rPr>
        <w:lang w:val="es-ES"/>
      </w:rPr>
    </w:pPr>
    <w:r>
      <w:rPr>
        <w:lang w:val="es-ES"/>
      </w:rPr>
      <w:t>RAG</w:t>
    </w:r>
    <w:r w:rsidR="00AB4BAD">
      <w:rPr>
        <w:lang w:val="es-ES"/>
      </w:rPr>
      <w:t>20</w:t>
    </w:r>
    <w:r w:rsidR="00616601">
      <w:rPr>
        <w:lang w:val="es-ES"/>
      </w:rPr>
      <w:t>/</w:t>
    </w:r>
    <w:r w:rsidR="00B66246">
      <w:rPr>
        <w:lang w:val="es-ES"/>
      </w:rPr>
      <w:t>11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3"/>
    <w:rsid w:val="000C62BA"/>
    <w:rsid w:val="000D756D"/>
    <w:rsid w:val="0012592F"/>
    <w:rsid w:val="001F2F50"/>
    <w:rsid w:val="00263173"/>
    <w:rsid w:val="0031432E"/>
    <w:rsid w:val="0034043B"/>
    <w:rsid w:val="00414D8B"/>
    <w:rsid w:val="00482905"/>
    <w:rsid w:val="004D6C09"/>
    <w:rsid w:val="00502687"/>
    <w:rsid w:val="0057336B"/>
    <w:rsid w:val="005A2195"/>
    <w:rsid w:val="005D3E02"/>
    <w:rsid w:val="00610642"/>
    <w:rsid w:val="00616601"/>
    <w:rsid w:val="00646EEF"/>
    <w:rsid w:val="00663829"/>
    <w:rsid w:val="00683845"/>
    <w:rsid w:val="006A42AB"/>
    <w:rsid w:val="006B5313"/>
    <w:rsid w:val="006E291F"/>
    <w:rsid w:val="008506C9"/>
    <w:rsid w:val="008B297D"/>
    <w:rsid w:val="008F0106"/>
    <w:rsid w:val="00924B63"/>
    <w:rsid w:val="00982618"/>
    <w:rsid w:val="009C205E"/>
    <w:rsid w:val="00A0579C"/>
    <w:rsid w:val="00A7663C"/>
    <w:rsid w:val="00AB4BAD"/>
    <w:rsid w:val="00B32E51"/>
    <w:rsid w:val="00B66246"/>
    <w:rsid w:val="00C837F0"/>
    <w:rsid w:val="00CB7A43"/>
    <w:rsid w:val="00CF4CAC"/>
    <w:rsid w:val="00D51E1E"/>
    <w:rsid w:val="00DE77E6"/>
    <w:rsid w:val="00E72EA7"/>
    <w:rsid w:val="00EA4101"/>
    <w:rsid w:val="00F23715"/>
    <w:rsid w:val="00F7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BC057"/>
  <w15:docId w15:val="{FF5E4424-A927-4BE0-8935-6745613D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2631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238C-47F9-40D6-980B-A3B168F2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PS_RAG20.dotm</Template>
  <TotalTime>12</TotalTime>
  <Pages>2</Pages>
  <Words>440</Words>
  <Characters>2407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LAS RESOLUCIONES DE LA CMR-19</dc:title>
  <dc:subject>GRUPO ASESOR DE RADIOCOMUNICACIONES</dc:subject>
  <dc:creator>Irán (República Islámica del)</dc:creator>
  <cp:keywords>RAG03-1</cp:keywords>
  <dc:description>Documento RAG20/11-S  For: _x000d_Document date: 20 de abril de 2020_x000d_Saved by ITU51013423 at 3:36:49 PM on 21-Apr-20</dc:description>
  <cp:lastModifiedBy>Spanish83</cp:lastModifiedBy>
  <cp:revision>4</cp:revision>
  <cp:lastPrinted>1993-02-18T11:12:00Z</cp:lastPrinted>
  <dcterms:created xsi:type="dcterms:W3CDTF">2020-04-21T13:22:00Z</dcterms:created>
  <dcterms:modified xsi:type="dcterms:W3CDTF">2020-04-21T13:36:00Z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RAG20/11-S</vt:lpwstr>
  </property>
  <property fmtid="{D5CDD505-2E9C-101B-9397-08002B2CF9AE}" pid="3" name="Docdate">
    <vt:lpwstr>20 de abril de 2020</vt:lpwstr>
  </property>
  <property fmtid="{D5CDD505-2E9C-101B-9397-08002B2CF9AE}" pid="4" name="Docorlang">
    <vt:lpwstr>Original: inglés</vt:lpwstr>
  </property>
  <property fmtid="{D5CDD505-2E9C-101B-9397-08002B2CF9AE}" pid="5" name="Docauthor">
    <vt:lpwstr>Irán (República Islámica del)</vt:lpwstr>
  </property>
</Properties>
</file>