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5850"/>
        <w:gridCol w:w="4039"/>
      </w:tblGrid>
      <w:tr w:rsidR="009F6520" w:rsidRPr="00970B01" w14:paraId="0C2C742B" w14:textId="77777777" w:rsidTr="00723D80">
        <w:trPr>
          <w:cantSplit/>
        </w:trPr>
        <w:tc>
          <w:tcPr>
            <w:tcW w:w="5850" w:type="dxa"/>
            <w:vAlign w:val="center"/>
          </w:tcPr>
          <w:p w14:paraId="6B2D0451" w14:textId="6C9E4B99" w:rsidR="009F6520" w:rsidRPr="00970B01" w:rsidRDefault="00D9243D"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lang w:val="en-US"/>
              </w:rPr>
              <w:t>1</w:t>
            </w:r>
            <w:r w:rsidRPr="00D9243D">
              <w:rPr>
                <w:rFonts w:ascii="Verdana" w:hAnsi="Verdana" w:cs="Times New Roman Bold"/>
                <w:b/>
                <w:bCs/>
                <w:sz w:val="26"/>
                <w:szCs w:val="26"/>
                <w:vertAlign w:val="superscript"/>
                <w:lang w:val="en-US"/>
              </w:rPr>
              <w:t>st</w:t>
            </w:r>
            <w:r>
              <w:rPr>
                <w:rFonts w:ascii="Verdana" w:hAnsi="Verdana" w:cs="Times New Roman Bold"/>
                <w:b/>
                <w:bCs/>
                <w:sz w:val="26"/>
                <w:szCs w:val="26"/>
                <w:lang w:val="en-US"/>
              </w:rPr>
              <w:t xml:space="preserve"> </w:t>
            </w:r>
            <w:r w:rsidRPr="007F2D7D">
              <w:rPr>
                <w:rFonts w:ascii="Verdana" w:hAnsi="Verdana" w:cs="Times New Roman Bold"/>
                <w:b/>
                <w:bCs/>
                <w:sz w:val="26"/>
                <w:szCs w:val="26"/>
                <w:lang w:val="en-US"/>
              </w:rPr>
              <w:t>ITU INTER-REGIONAL WORKSHOP</w:t>
            </w:r>
            <w:r w:rsidRPr="007F2D7D">
              <w:rPr>
                <w:rFonts w:ascii="Verdana" w:hAnsi="Verdana" w:cs="Times New Roman Bold"/>
                <w:b/>
                <w:bCs/>
                <w:sz w:val="26"/>
                <w:szCs w:val="26"/>
                <w:lang w:val="en-US"/>
              </w:rPr>
              <w:br/>
              <w:t>ON WRC-</w:t>
            </w:r>
            <w:r>
              <w:rPr>
                <w:rFonts w:ascii="Verdana" w:hAnsi="Verdana" w:cs="Times New Roman Bold"/>
                <w:b/>
                <w:bCs/>
                <w:sz w:val="26"/>
                <w:szCs w:val="26"/>
                <w:lang w:val="en-US"/>
              </w:rPr>
              <w:t>23</w:t>
            </w:r>
            <w:r w:rsidRPr="007F2D7D">
              <w:rPr>
                <w:rFonts w:ascii="Verdana" w:hAnsi="Verdana" w:cs="Times New Roman Bold"/>
                <w:b/>
                <w:bCs/>
                <w:sz w:val="26"/>
                <w:szCs w:val="26"/>
                <w:lang w:val="en-US"/>
              </w:rPr>
              <w:t xml:space="preserve"> PREPARATION</w:t>
            </w:r>
            <w:r w:rsidR="007B577D">
              <w:rPr>
                <w:rFonts w:ascii="Verdana" w:hAnsi="Verdana" w:cs="Times New Roman Bold"/>
                <w:b/>
                <w:bCs/>
                <w:sz w:val="26"/>
                <w:szCs w:val="26"/>
                <w:lang w:val="en-US"/>
              </w:rPr>
              <w:br/>
            </w:r>
            <w:r>
              <w:rPr>
                <w:rFonts w:ascii="Verdana" w:hAnsi="Verdana" w:cs="Times New Roman Bold"/>
                <w:b/>
                <w:bCs/>
                <w:sz w:val="20"/>
                <w:lang w:val="en-US"/>
              </w:rPr>
              <w:t>13</w:t>
            </w:r>
            <w:r w:rsidRPr="007F2D7D">
              <w:rPr>
                <w:rFonts w:ascii="Verdana" w:hAnsi="Verdana" w:cs="Times New Roman Bold"/>
                <w:b/>
                <w:bCs/>
                <w:sz w:val="20"/>
                <w:lang w:val="en-US"/>
              </w:rPr>
              <w:t xml:space="preserve"> – </w:t>
            </w:r>
            <w:r>
              <w:rPr>
                <w:rFonts w:ascii="Verdana" w:hAnsi="Verdana" w:cs="Times New Roman Bold"/>
                <w:b/>
                <w:bCs/>
                <w:sz w:val="20"/>
                <w:lang w:val="en-US"/>
              </w:rPr>
              <w:t>15</w:t>
            </w:r>
            <w:r w:rsidRPr="007F2D7D">
              <w:rPr>
                <w:rFonts w:ascii="Verdana" w:hAnsi="Verdana" w:cs="Times New Roman Bold"/>
                <w:b/>
                <w:bCs/>
                <w:sz w:val="20"/>
                <w:lang w:val="en-US"/>
              </w:rPr>
              <w:t xml:space="preserve"> </w:t>
            </w:r>
            <w:r>
              <w:rPr>
                <w:rFonts w:ascii="Verdana" w:hAnsi="Verdana" w:cs="Times New Roman Bold"/>
                <w:b/>
                <w:bCs/>
                <w:sz w:val="20"/>
                <w:lang w:val="en-US"/>
              </w:rPr>
              <w:t xml:space="preserve">December </w:t>
            </w:r>
            <w:r w:rsidRPr="007F2D7D">
              <w:rPr>
                <w:rFonts w:ascii="Verdana" w:hAnsi="Verdana" w:cs="Times New Roman Bold"/>
                <w:b/>
                <w:bCs/>
                <w:sz w:val="20"/>
                <w:lang w:val="en-US"/>
              </w:rPr>
              <w:t>20</w:t>
            </w:r>
            <w:r>
              <w:rPr>
                <w:rFonts w:ascii="Verdana" w:hAnsi="Verdana" w:cs="Times New Roman Bold"/>
                <w:b/>
                <w:bCs/>
                <w:sz w:val="20"/>
                <w:lang w:val="en-US"/>
              </w:rPr>
              <w:t>2</w:t>
            </w:r>
            <w:r w:rsidRPr="007F2D7D">
              <w:rPr>
                <w:rFonts w:ascii="Verdana" w:hAnsi="Verdana" w:cs="Times New Roman Bold"/>
                <w:b/>
                <w:bCs/>
                <w:sz w:val="20"/>
                <w:lang w:val="en-US"/>
              </w:rPr>
              <w:t>1</w:t>
            </w:r>
            <w:r w:rsidR="007B577D">
              <w:rPr>
                <w:rFonts w:ascii="Verdana" w:hAnsi="Verdana" w:cs="Times New Roman Bold"/>
                <w:b/>
                <w:bCs/>
                <w:sz w:val="20"/>
                <w:lang w:val="en-US"/>
              </w:rPr>
              <w:t xml:space="preserve"> (online event)</w:t>
            </w:r>
          </w:p>
        </w:tc>
        <w:tc>
          <w:tcPr>
            <w:tcW w:w="4039" w:type="dxa"/>
          </w:tcPr>
          <w:p w14:paraId="390B93A8" w14:textId="2C4EAF19" w:rsidR="009F6520" w:rsidRPr="00970B01" w:rsidRDefault="00DA5C47" w:rsidP="00DA1373">
            <w:pPr>
              <w:shd w:val="solid" w:color="FFFFFF" w:fill="FFFFFF"/>
              <w:spacing w:before="0" w:line="240" w:lineRule="atLeast"/>
            </w:pPr>
            <w:bookmarkStart w:id="0" w:name="ditulogo"/>
            <w:bookmarkEnd w:id="0"/>
            <w:r w:rsidRPr="00970B01">
              <w:rPr>
                <w:noProof/>
              </w:rPr>
              <w:drawing>
                <wp:inline distT="0" distB="0" distL="0" distR="0" wp14:anchorId="3E147CEC" wp14:editId="0529B699">
                  <wp:extent cx="7620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0069D4" w:rsidRPr="00970B01" w14:paraId="60B8E9FC" w14:textId="77777777" w:rsidTr="00723D80">
        <w:trPr>
          <w:cantSplit/>
        </w:trPr>
        <w:tc>
          <w:tcPr>
            <w:tcW w:w="5850" w:type="dxa"/>
            <w:tcBorders>
              <w:bottom w:val="single" w:sz="12" w:space="0" w:color="auto"/>
            </w:tcBorders>
          </w:tcPr>
          <w:p w14:paraId="20714AD3" w14:textId="77777777" w:rsidR="000069D4" w:rsidRPr="00970B01" w:rsidRDefault="000069D4" w:rsidP="00A5173C">
            <w:pPr>
              <w:shd w:val="solid" w:color="FFFFFF" w:fill="FFFFFF"/>
              <w:spacing w:before="0" w:after="48"/>
              <w:rPr>
                <w:rFonts w:ascii="Verdana" w:hAnsi="Verdana" w:cs="Times New Roman Bold"/>
                <w:b/>
                <w:sz w:val="22"/>
                <w:szCs w:val="22"/>
              </w:rPr>
            </w:pPr>
          </w:p>
        </w:tc>
        <w:tc>
          <w:tcPr>
            <w:tcW w:w="4039" w:type="dxa"/>
            <w:tcBorders>
              <w:bottom w:val="single" w:sz="12" w:space="0" w:color="auto"/>
            </w:tcBorders>
          </w:tcPr>
          <w:p w14:paraId="355032C8" w14:textId="77777777" w:rsidR="000069D4" w:rsidRPr="00970B01" w:rsidRDefault="000069D4" w:rsidP="00A5173C">
            <w:pPr>
              <w:shd w:val="solid" w:color="FFFFFF" w:fill="FFFFFF"/>
              <w:spacing w:before="0" w:after="48" w:line="240" w:lineRule="atLeast"/>
              <w:rPr>
                <w:sz w:val="22"/>
                <w:szCs w:val="22"/>
              </w:rPr>
            </w:pPr>
          </w:p>
        </w:tc>
      </w:tr>
      <w:tr w:rsidR="000069D4" w:rsidRPr="00970B01" w14:paraId="21190000" w14:textId="77777777" w:rsidTr="00723D80">
        <w:trPr>
          <w:cantSplit/>
        </w:trPr>
        <w:tc>
          <w:tcPr>
            <w:tcW w:w="5850" w:type="dxa"/>
            <w:tcBorders>
              <w:top w:val="single" w:sz="12" w:space="0" w:color="auto"/>
            </w:tcBorders>
          </w:tcPr>
          <w:p w14:paraId="30F565C1" w14:textId="77777777" w:rsidR="000069D4" w:rsidRPr="00970B01" w:rsidRDefault="000069D4" w:rsidP="00A5173C">
            <w:pPr>
              <w:shd w:val="solid" w:color="FFFFFF" w:fill="FFFFFF"/>
              <w:spacing w:before="0" w:after="48"/>
              <w:rPr>
                <w:rFonts w:ascii="Verdana" w:hAnsi="Verdana" w:cs="Times New Roman Bold"/>
                <w:bCs/>
                <w:sz w:val="20"/>
              </w:rPr>
            </w:pPr>
          </w:p>
        </w:tc>
        <w:tc>
          <w:tcPr>
            <w:tcW w:w="4039" w:type="dxa"/>
            <w:tcBorders>
              <w:top w:val="single" w:sz="12" w:space="0" w:color="auto"/>
            </w:tcBorders>
          </w:tcPr>
          <w:p w14:paraId="514D6498" w14:textId="77777777" w:rsidR="000069D4" w:rsidRPr="00970B01" w:rsidRDefault="000069D4" w:rsidP="00A5173C">
            <w:pPr>
              <w:shd w:val="solid" w:color="FFFFFF" w:fill="FFFFFF"/>
              <w:spacing w:before="0" w:after="48" w:line="240" w:lineRule="atLeast"/>
            </w:pPr>
          </w:p>
        </w:tc>
      </w:tr>
      <w:tr w:rsidR="000069D4" w:rsidRPr="0009748C" w14:paraId="09683CD2" w14:textId="77777777" w:rsidTr="00723D80">
        <w:trPr>
          <w:cantSplit/>
        </w:trPr>
        <w:tc>
          <w:tcPr>
            <w:tcW w:w="5850" w:type="dxa"/>
            <w:vMerge w:val="restart"/>
          </w:tcPr>
          <w:p w14:paraId="44B26CB0" w14:textId="38D67E9B" w:rsidR="00A73A33" w:rsidRPr="00970B01" w:rsidRDefault="00A73A33" w:rsidP="00A73A33">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p>
        </w:tc>
        <w:tc>
          <w:tcPr>
            <w:tcW w:w="4039" w:type="dxa"/>
          </w:tcPr>
          <w:p w14:paraId="0C007A80" w14:textId="5C3FFB50" w:rsidR="00103160" w:rsidRPr="00D9243D" w:rsidRDefault="00D9243D" w:rsidP="007C44C0">
            <w:pPr>
              <w:shd w:val="solid" w:color="FFFFFF" w:fill="FFFFFF"/>
              <w:spacing w:before="0" w:line="240" w:lineRule="atLeast"/>
              <w:rPr>
                <w:rFonts w:ascii="Verdana" w:hAnsi="Verdana"/>
                <w:b/>
                <w:bCs/>
                <w:sz w:val="20"/>
                <w:lang w:val="fr-FR" w:eastAsia="zh-CN"/>
              </w:rPr>
            </w:pPr>
            <w:r>
              <w:rPr>
                <w:rFonts w:ascii="Verdana" w:eastAsiaTheme="minorEastAsia" w:hAnsi="Verdana" w:cs="Arial"/>
                <w:b/>
                <w:bCs/>
                <w:color w:val="000000"/>
                <w:kern w:val="24"/>
                <w:sz w:val="20"/>
                <w:lang w:val="es-ES_tradnl"/>
              </w:rPr>
              <w:t xml:space="preserve">Document </w:t>
            </w:r>
            <w:r w:rsidRPr="00B6036F">
              <w:rPr>
                <w:rFonts w:ascii="Verdana" w:eastAsiaTheme="minorEastAsia" w:hAnsi="Verdana" w:cs="Arial"/>
                <w:b/>
                <w:bCs/>
                <w:color w:val="000000"/>
                <w:kern w:val="24"/>
                <w:sz w:val="20"/>
                <w:lang w:val="es-ES_tradnl"/>
              </w:rPr>
              <w:t>WRC-</w:t>
            </w:r>
            <w:r>
              <w:rPr>
                <w:rFonts w:ascii="Verdana" w:eastAsiaTheme="minorEastAsia" w:hAnsi="Verdana" w:cs="Arial"/>
                <w:b/>
                <w:bCs/>
                <w:color w:val="000000"/>
                <w:kern w:val="24"/>
                <w:sz w:val="20"/>
                <w:lang w:val="es-ES_tradnl"/>
              </w:rPr>
              <w:t>23</w:t>
            </w:r>
            <w:r w:rsidRPr="00B6036F">
              <w:rPr>
                <w:rFonts w:ascii="Verdana" w:eastAsiaTheme="minorEastAsia" w:hAnsi="Verdana" w:cs="Arial"/>
                <w:b/>
                <w:bCs/>
                <w:color w:val="000000"/>
                <w:kern w:val="24"/>
                <w:sz w:val="20"/>
                <w:lang w:val="es-ES_tradnl"/>
              </w:rPr>
              <w:t>-IRW-</w:t>
            </w:r>
            <w:r>
              <w:rPr>
                <w:rFonts w:ascii="Verdana" w:eastAsiaTheme="minorEastAsia" w:hAnsi="Verdana" w:cs="Arial"/>
                <w:b/>
                <w:bCs/>
                <w:color w:val="000000"/>
                <w:kern w:val="24"/>
                <w:sz w:val="20"/>
                <w:lang w:val="es-ES_tradnl"/>
              </w:rPr>
              <w:t>21/</w:t>
            </w:r>
            <w:r w:rsidR="0009748C">
              <w:rPr>
                <w:rFonts w:ascii="Verdana" w:eastAsiaTheme="minorEastAsia" w:hAnsi="Verdana" w:cs="Arial"/>
                <w:b/>
                <w:bCs/>
                <w:color w:val="000000"/>
                <w:kern w:val="24"/>
                <w:sz w:val="20"/>
                <w:lang w:val="es-ES_tradnl"/>
              </w:rPr>
              <w:t>13</w:t>
            </w:r>
            <w:r w:rsidRPr="00B6036F">
              <w:rPr>
                <w:rFonts w:ascii="Verdana" w:eastAsiaTheme="minorEastAsia" w:hAnsi="Verdana" w:cs="Arial"/>
                <w:b/>
                <w:bCs/>
                <w:color w:val="000000"/>
                <w:kern w:val="24"/>
                <w:sz w:val="20"/>
                <w:lang w:val="es-ES_tradnl"/>
              </w:rPr>
              <w:t>-E</w:t>
            </w:r>
          </w:p>
        </w:tc>
      </w:tr>
      <w:tr w:rsidR="000069D4" w:rsidRPr="00970B01" w14:paraId="020C877D" w14:textId="77777777" w:rsidTr="00723D80">
        <w:trPr>
          <w:cantSplit/>
        </w:trPr>
        <w:tc>
          <w:tcPr>
            <w:tcW w:w="5850" w:type="dxa"/>
            <w:vMerge/>
          </w:tcPr>
          <w:p w14:paraId="7EF2003A" w14:textId="77777777" w:rsidR="000069D4" w:rsidRPr="00D9243D" w:rsidRDefault="000069D4" w:rsidP="00A5173C">
            <w:pPr>
              <w:spacing w:before="60"/>
              <w:jc w:val="center"/>
              <w:rPr>
                <w:b/>
                <w:smallCaps/>
                <w:sz w:val="32"/>
                <w:lang w:val="fr-FR" w:eastAsia="zh-CN"/>
              </w:rPr>
            </w:pPr>
            <w:bookmarkStart w:id="3" w:name="ddate" w:colFirst="1" w:colLast="1"/>
            <w:bookmarkEnd w:id="2"/>
          </w:p>
        </w:tc>
        <w:tc>
          <w:tcPr>
            <w:tcW w:w="4039" w:type="dxa"/>
          </w:tcPr>
          <w:p w14:paraId="24FFBD43" w14:textId="5BC6050D" w:rsidR="000069D4" w:rsidRPr="00970B01" w:rsidRDefault="00FC08E4" w:rsidP="00A5173C">
            <w:pPr>
              <w:shd w:val="solid" w:color="FFFFFF" w:fill="FFFFFF"/>
              <w:spacing w:before="0" w:line="240" w:lineRule="atLeast"/>
              <w:rPr>
                <w:rFonts w:ascii="Verdana" w:hAnsi="Verdana"/>
                <w:sz w:val="20"/>
                <w:lang w:eastAsia="zh-CN"/>
              </w:rPr>
            </w:pPr>
            <w:r w:rsidRPr="00FC08E4">
              <w:rPr>
                <w:rFonts w:ascii="Verdana" w:hAnsi="Verdana"/>
                <w:b/>
                <w:sz w:val="20"/>
                <w:lang w:eastAsia="zh-CN"/>
              </w:rPr>
              <w:t>December 6,</w:t>
            </w:r>
            <w:r w:rsidR="00D9243D">
              <w:rPr>
                <w:rFonts w:ascii="Verdana" w:hAnsi="Verdana"/>
                <w:b/>
                <w:sz w:val="20"/>
                <w:lang w:eastAsia="zh-CN"/>
              </w:rPr>
              <w:t xml:space="preserve"> </w:t>
            </w:r>
            <w:r w:rsidR="00DA1373" w:rsidRPr="00970B01">
              <w:rPr>
                <w:rFonts w:ascii="Verdana" w:hAnsi="Verdana"/>
                <w:b/>
                <w:sz w:val="20"/>
                <w:lang w:eastAsia="zh-CN"/>
              </w:rPr>
              <w:t>202</w:t>
            </w:r>
            <w:r w:rsidR="007C44C0" w:rsidRPr="00970B01">
              <w:rPr>
                <w:rFonts w:ascii="Verdana" w:hAnsi="Verdana"/>
                <w:b/>
                <w:sz w:val="20"/>
                <w:lang w:eastAsia="zh-CN"/>
              </w:rPr>
              <w:t>1</w:t>
            </w:r>
          </w:p>
        </w:tc>
      </w:tr>
      <w:tr w:rsidR="000069D4" w:rsidRPr="00970B01" w14:paraId="38FA3518" w14:textId="77777777" w:rsidTr="00723D80">
        <w:trPr>
          <w:cantSplit/>
        </w:trPr>
        <w:tc>
          <w:tcPr>
            <w:tcW w:w="5850" w:type="dxa"/>
            <w:vMerge/>
          </w:tcPr>
          <w:p w14:paraId="35B67936" w14:textId="77777777" w:rsidR="000069D4" w:rsidRPr="00970B01" w:rsidRDefault="000069D4" w:rsidP="00A5173C">
            <w:pPr>
              <w:spacing w:before="60"/>
              <w:jc w:val="center"/>
              <w:rPr>
                <w:b/>
                <w:smallCaps/>
                <w:sz w:val="32"/>
                <w:lang w:eastAsia="zh-CN"/>
              </w:rPr>
            </w:pPr>
            <w:bookmarkStart w:id="4" w:name="dorlang" w:colFirst="1" w:colLast="1"/>
            <w:bookmarkEnd w:id="3"/>
          </w:p>
        </w:tc>
        <w:tc>
          <w:tcPr>
            <w:tcW w:w="4039" w:type="dxa"/>
          </w:tcPr>
          <w:p w14:paraId="3454EC4E" w14:textId="2A3781AF" w:rsidR="00103160" w:rsidRPr="00970B01" w:rsidRDefault="00DA1373" w:rsidP="00A5173C">
            <w:pPr>
              <w:shd w:val="solid" w:color="FFFFFF" w:fill="FFFFFF"/>
              <w:spacing w:before="0" w:line="240" w:lineRule="atLeast"/>
              <w:rPr>
                <w:rFonts w:ascii="Verdana" w:eastAsia="SimSun" w:hAnsi="Verdana"/>
                <w:b/>
                <w:sz w:val="20"/>
                <w:lang w:eastAsia="zh-CN"/>
              </w:rPr>
            </w:pPr>
            <w:r w:rsidRPr="00970B01">
              <w:rPr>
                <w:rFonts w:ascii="Verdana" w:eastAsia="SimSun" w:hAnsi="Verdana"/>
                <w:b/>
                <w:sz w:val="20"/>
                <w:lang w:eastAsia="zh-CN"/>
              </w:rPr>
              <w:t>English only</w:t>
            </w:r>
          </w:p>
        </w:tc>
      </w:tr>
      <w:tr w:rsidR="000069D4" w:rsidRPr="00970B01" w14:paraId="5E019022" w14:textId="77777777" w:rsidTr="00D046A7">
        <w:trPr>
          <w:cantSplit/>
        </w:trPr>
        <w:tc>
          <w:tcPr>
            <w:tcW w:w="9889" w:type="dxa"/>
            <w:gridSpan w:val="2"/>
          </w:tcPr>
          <w:p w14:paraId="71D39B81" w14:textId="777369B6" w:rsidR="000069D4" w:rsidRPr="00970B01" w:rsidRDefault="00FC08E4" w:rsidP="00F377EE">
            <w:pPr>
              <w:pStyle w:val="AppArtNo"/>
              <w:rPr>
                <w:lang w:eastAsia="zh-CN"/>
              </w:rPr>
            </w:pPr>
            <w:bookmarkStart w:id="5" w:name="dsource" w:colFirst="0" w:colLast="0"/>
            <w:bookmarkEnd w:id="4"/>
            <w:r>
              <w:rPr>
                <w:lang w:eastAsia="zh-CN"/>
              </w:rPr>
              <w:t>World Broadcasting Unions Technical Committee</w:t>
            </w:r>
          </w:p>
        </w:tc>
      </w:tr>
      <w:tr w:rsidR="00D9243D" w:rsidRPr="00970B01" w14:paraId="03C6C42E" w14:textId="77777777" w:rsidTr="00DA1373">
        <w:trPr>
          <w:cantSplit/>
        </w:trPr>
        <w:tc>
          <w:tcPr>
            <w:tcW w:w="9889" w:type="dxa"/>
            <w:gridSpan w:val="2"/>
          </w:tcPr>
          <w:p w14:paraId="7D035452" w14:textId="1BA5C9EE" w:rsidR="00D9243D" w:rsidRPr="00970B01" w:rsidRDefault="004A0CD4" w:rsidP="00F377EE">
            <w:pPr>
              <w:pStyle w:val="AppArttitle"/>
              <w:rPr>
                <w:lang w:eastAsia="zh-CN"/>
              </w:rPr>
            </w:pPr>
            <w:bookmarkStart w:id="6" w:name="drec" w:colFirst="0" w:colLast="0"/>
            <w:bookmarkEnd w:id="5"/>
            <w:r>
              <w:rPr>
                <w:lang w:eastAsia="zh-CN"/>
              </w:rPr>
              <w:t>WBU-TC Positions on WRC-23 Agenda Items</w:t>
            </w:r>
          </w:p>
        </w:tc>
      </w:tr>
      <w:tr w:rsidR="00D9243D" w:rsidRPr="00970B01" w14:paraId="4B7A9FA0" w14:textId="77777777" w:rsidTr="00D046A7">
        <w:trPr>
          <w:cantSplit/>
        </w:trPr>
        <w:tc>
          <w:tcPr>
            <w:tcW w:w="9889" w:type="dxa"/>
            <w:gridSpan w:val="2"/>
          </w:tcPr>
          <w:p w14:paraId="7B60CBE2" w14:textId="77777777" w:rsidR="00D9243D" w:rsidRPr="00970B01" w:rsidRDefault="00D9243D" w:rsidP="00D9243D">
            <w:pPr>
              <w:pStyle w:val="Title1"/>
              <w:spacing w:before="0"/>
              <w:rPr>
                <w:lang w:eastAsia="zh-CN"/>
              </w:rPr>
            </w:pPr>
            <w:bookmarkStart w:id="7" w:name="dtitle1" w:colFirst="0" w:colLast="0"/>
            <w:bookmarkEnd w:id="6"/>
          </w:p>
        </w:tc>
      </w:tr>
    </w:tbl>
    <w:p w14:paraId="1441B074" w14:textId="77777777" w:rsidR="00FD0AC8" w:rsidRPr="00F377EE" w:rsidRDefault="00FD0AC8" w:rsidP="00FD0AC8">
      <w:pPr>
        <w:tabs>
          <w:tab w:val="clear" w:pos="1134"/>
          <w:tab w:val="clear" w:pos="1871"/>
          <w:tab w:val="clear" w:pos="2268"/>
          <w:tab w:val="left" w:pos="340"/>
        </w:tabs>
        <w:overflowPunct/>
        <w:autoSpaceDE/>
        <w:autoSpaceDN/>
        <w:adjustRightInd/>
        <w:spacing w:before="60"/>
        <w:textAlignment w:val="auto"/>
        <w:rPr>
          <w:rFonts w:eastAsia="Calibri"/>
          <w:szCs w:val="24"/>
        </w:rPr>
      </w:pPr>
      <w:bookmarkStart w:id="8" w:name="dbreak"/>
      <w:bookmarkEnd w:id="7"/>
      <w:bookmarkEnd w:id="8"/>
    </w:p>
    <w:p w14:paraId="21DE99A4" w14:textId="3CE6A1EB" w:rsidR="00FD0AC8" w:rsidRPr="00F377EE" w:rsidRDefault="00FD0AC8" w:rsidP="00C67D77">
      <w:pPr>
        <w:pStyle w:val="NoSpacing"/>
        <w:rPr>
          <w:rFonts w:eastAsia="Calibri"/>
        </w:rPr>
      </w:pPr>
      <w:r w:rsidRPr="00F377EE">
        <w:rPr>
          <w:rFonts w:eastAsia="Calibri"/>
        </w:rPr>
        <w:t>The Technical Committee of the World Broadcasting Unions (WBU-TC) draw</w:t>
      </w:r>
      <w:r w:rsidRPr="00D66A6B">
        <w:rPr>
          <w:rFonts w:eastAsia="Calibri"/>
        </w:rPr>
        <w:t>s</w:t>
      </w:r>
      <w:r w:rsidRPr="00F377EE">
        <w:rPr>
          <w:rFonts w:eastAsia="Calibri"/>
        </w:rPr>
        <w:t xml:space="preserve"> the attention of participants in the ITU Inter-</w:t>
      </w:r>
      <w:r w:rsidRPr="00D66A6B">
        <w:rPr>
          <w:rFonts w:eastAsia="Calibri"/>
        </w:rPr>
        <w:t>R</w:t>
      </w:r>
      <w:r w:rsidRPr="00F377EE">
        <w:rPr>
          <w:rFonts w:eastAsia="Calibri"/>
        </w:rPr>
        <w:t>egional Workshop on WRC-23 Preparation to the positions on relevant agenda items, as shown in the Annexes.</w:t>
      </w:r>
    </w:p>
    <w:p w14:paraId="2DA88450" w14:textId="6F9DC977" w:rsidR="00FD0AC8" w:rsidRPr="00F377EE" w:rsidRDefault="00FD0AC8" w:rsidP="00C67D77">
      <w:pPr>
        <w:pStyle w:val="NoSpacing"/>
        <w:rPr>
          <w:rFonts w:eastAsia="Calibri"/>
        </w:rPr>
      </w:pPr>
    </w:p>
    <w:p w14:paraId="03597A86" w14:textId="517BD7EE" w:rsidR="00FD0AC8" w:rsidRPr="00D66A6B" w:rsidRDefault="00A02E07" w:rsidP="00C67D77">
      <w:pPr>
        <w:pStyle w:val="NoSpacing"/>
        <w:rPr>
          <w:rFonts w:eastAsia="Calibri"/>
        </w:rPr>
      </w:pPr>
      <w:r w:rsidRPr="00D66A6B">
        <w:t xml:space="preserve">The WBU-TC is the standing technical body of the World Broadcasting Unions and a sector member of the ITU, whose </w:t>
      </w:r>
      <w:r w:rsidR="00B50B2A" w:rsidRPr="00D66A6B">
        <w:t>m</w:t>
      </w:r>
      <w:r w:rsidRPr="00D66A6B">
        <w:t xml:space="preserve">embers </w:t>
      </w:r>
      <w:proofErr w:type="gramStart"/>
      <w:r w:rsidRPr="00D66A6B">
        <w:t>are:</w:t>
      </w:r>
      <w:proofErr w:type="gramEnd"/>
      <w:r w:rsidRPr="00D66A6B">
        <w:t xml:space="preserve"> Asia-Pacific Broadcasting Union (ABU)</w:t>
      </w:r>
      <w:r w:rsidR="00B50B2A" w:rsidRPr="00BB0281">
        <w:t xml:space="preserve">, </w:t>
      </w:r>
      <w:r w:rsidRPr="00D66A6B">
        <w:t>Arab States Broadcasting Union (ASBU)</w:t>
      </w:r>
      <w:r w:rsidR="00B50B2A" w:rsidRPr="00D66A6B">
        <w:t xml:space="preserve">, </w:t>
      </w:r>
      <w:r w:rsidRPr="00D66A6B">
        <w:t>African Union of Broadcasting (AUB)</w:t>
      </w:r>
      <w:r w:rsidR="00B50B2A" w:rsidRPr="00D66A6B">
        <w:t xml:space="preserve">, </w:t>
      </w:r>
      <w:r w:rsidRPr="00D66A6B">
        <w:t>Caribbean Broadcasting Union (CBU)</w:t>
      </w:r>
      <w:r w:rsidR="00B50B2A" w:rsidRPr="00BB0281">
        <w:t xml:space="preserve">, </w:t>
      </w:r>
      <w:r w:rsidRPr="00D66A6B">
        <w:t>European Broadcasting Union (EBU)</w:t>
      </w:r>
      <w:r w:rsidR="00B50B2A" w:rsidRPr="00D66A6B">
        <w:t xml:space="preserve">, </w:t>
      </w:r>
      <w:r w:rsidRPr="00D66A6B">
        <w:t>International Association of Broadcasting (IAB)</w:t>
      </w:r>
      <w:r w:rsidR="00B50B2A" w:rsidRPr="00BB0281">
        <w:t xml:space="preserve"> and</w:t>
      </w:r>
      <w:r w:rsidR="00D66A6B">
        <w:t xml:space="preserve"> </w:t>
      </w:r>
      <w:r w:rsidRPr="00D66A6B">
        <w:t>North American Broadcasters Association (NABA)</w:t>
      </w:r>
      <w:r w:rsidR="00D66A6B">
        <w:t>.</w:t>
      </w:r>
    </w:p>
    <w:p w14:paraId="0941CB10" w14:textId="77777777" w:rsidR="00C05A3C" w:rsidRDefault="00C05A3C" w:rsidP="00DE17C0">
      <w:pPr>
        <w:pStyle w:val="NoSpacing"/>
        <w:rPr>
          <w:rFonts w:eastAsia="Calibri"/>
        </w:rPr>
      </w:pPr>
    </w:p>
    <w:p w14:paraId="2A4E0DCE" w14:textId="77777777" w:rsidR="00C05A3C" w:rsidRDefault="00C05A3C" w:rsidP="00DE17C0">
      <w:pPr>
        <w:pStyle w:val="NoSpacing"/>
        <w:rPr>
          <w:rFonts w:eastAsia="Calibri"/>
        </w:rPr>
      </w:pPr>
    </w:p>
    <w:p w14:paraId="126CF978" w14:textId="315F2653" w:rsidR="00FC08E4" w:rsidRPr="00C67D77" w:rsidRDefault="00FD0AC8" w:rsidP="00C67D77">
      <w:pPr>
        <w:pStyle w:val="NoSpacing"/>
        <w:rPr>
          <w:rFonts w:eastAsia="Calibri"/>
          <w:b/>
          <w:bCs/>
        </w:rPr>
      </w:pPr>
      <w:r w:rsidRPr="00C67D77">
        <w:rPr>
          <w:rFonts w:eastAsia="Calibri"/>
          <w:b/>
          <w:bCs/>
        </w:rPr>
        <w:t xml:space="preserve">Annex 1: </w:t>
      </w:r>
      <w:r w:rsidR="00FC08E4" w:rsidRPr="00C67D77">
        <w:rPr>
          <w:rFonts w:eastAsia="Calibri"/>
          <w:b/>
          <w:bCs/>
        </w:rPr>
        <w:t xml:space="preserve">WBU-TC Position on WRC-23 Agenda Item 1.2 </w:t>
      </w:r>
    </w:p>
    <w:p w14:paraId="44D0DEFD" w14:textId="77777777" w:rsidR="00DE17C0" w:rsidRDefault="00DE17C0" w:rsidP="00DE17C0">
      <w:pPr>
        <w:pStyle w:val="NoSpacing"/>
        <w:rPr>
          <w:rFonts w:eastAsiaTheme="minorHAnsi"/>
          <w:lang w:val="en-CA"/>
        </w:rPr>
      </w:pPr>
    </w:p>
    <w:p w14:paraId="38DAF273" w14:textId="6EAED93D" w:rsidR="00FC08E4" w:rsidRPr="00C67D77" w:rsidRDefault="00FC08E4" w:rsidP="00C67D77">
      <w:pPr>
        <w:pStyle w:val="NoSpacing"/>
        <w:rPr>
          <w:rFonts w:eastAsiaTheme="minorHAnsi"/>
        </w:rPr>
      </w:pPr>
      <w:r w:rsidRPr="00C67D77">
        <w:rPr>
          <w:rFonts w:eastAsiaTheme="minorHAnsi"/>
        </w:rPr>
        <w:t>To consider identification of the frequency bands 3 300-3 400 MHz, 3 600-3 800 MHz, 6 425-7 025 MHz, 7 025-7 125 MHz and 10.0-10.5 GHz for International Mobile Telecommunications (IMT), including possible additional allocations to the mobile service on a primary basis, in accordance with Resolution 245 (WRC-19)</w:t>
      </w:r>
      <w:r w:rsidR="005415F3" w:rsidRPr="00C67D77">
        <w:rPr>
          <w:rFonts w:eastAsiaTheme="minorHAnsi"/>
        </w:rPr>
        <w:t>.</w:t>
      </w:r>
    </w:p>
    <w:p w14:paraId="4293F13B" w14:textId="77777777" w:rsidR="00FC08E4" w:rsidRPr="00DE17C0" w:rsidRDefault="00FC08E4" w:rsidP="00C67D77">
      <w:pPr>
        <w:pStyle w:val="NoSpacing"/>
        <w:rPr>
          <w:rFonts w:eastAsia="Calibri"/>
        </w:rPr>
      </w:pPr>
      <w:bookmarkStart w:id="9" w:name="_Hlk89625099"/>
    </w:p>
    <w:bookmarkEnd w:id="9"/>
    <w:p w14:paraId="409A3AE7" w14:textId="77777777" w:rsidR="00FC08E4" w:rsidRPr="00DE17C0" w:rsidRDefault="00FC08E4" w:rsidP="00C67D77">
      <w:pPr>
        <w:pStyle w:val="NoSpacing"/>
        <w:rPr>
          <w:rFonts w:eastAsia="Calibri"/>
          <w:b/>
          <w:bCs/>
        </w:rPr>
      </w:pPr>
      <w:r w:rsidRPr="00DE17C0">
        <w:rPr>
          <w:rFonts w:eastAsia="Calibri"/>
          <w:b/>
          <w:bCs/>
        </w:rPr>
        <w:t>Background</w:t>
      </w:r>
    </w:p>
    <w:p w14:paraId="60C282C1" w14:textId="77777777" w:rsidR="00FC08E4" w:rsidRPr="00C67D77" w:rsidRDefault="00FC08E4" w:rsidP="00C67D77">
      <w:pPr>
        <w:pStyle w:val="NoSpacing"/>
        <w:rPr>
          <w:rFonts w:eastAsiaTheme="minorHAnsi"/>
        </w:rPr>
      </w:pPr>
      <w:r w:rsidRPr="00C67D77">
        <w:rPr>
          <w:rFonts w:eastAsiaTheme="minorHAnsi"/>
        </w:rPr>
        <w:t>This agenda item seeks to identify further “mid band” spectrum for IMT. The candidate bands identified in Resolution 245 have different uses in different ITU Regions, and the agenda item has distinct provisos for each:</w:t>
      </w:r>
    </w:p>
    <w:p w14:paraId="211F09D8" w14:textId="77777777" w:rsidR="00FC08E4" w:rsidRPr="00F377EE" w:rsidRDefault="00FC08E4" w:rsidP="00FC08E4">
      <w:pPr>
        <w:numPr>
          <w:ilvl w:val="0"/>
          <w:numId w:val="20"/>
        </w:numPr>
        <w:tabs>
          <w:tab w:val="clear" w:pos="1134"/>
          <w:tab w:val="clear" w:pos="1871"/>
          <w:tab w:val="clear" w:pos="2268"/>
        </w:tabs>
        <w:overflowPunct/>
        <w:autoSpaceDE/>
        <w:autoSpaceDN/>
        <w:adjustRightInd/>
        <w:spacing w:before="0" w:after="160" w:line="259" w:lineRule="auto"/>
        <w:contextualSpacing/>
        <w:textAlignment w:val="auto"/>
        <w:rPr>
          <w:rFonts w:eastAsiaTheme="minorHAnsi"/>
          <w:szCs w:val="24"/>
          <w:lang w:val="en-CA"/>
        </w:rPr>
      </w:pPr>
      <w:r w:rsidRPr="00F377EE">
        <w:rPr>
          <w:rFonts w:eastAsiaTheme="minorHAnsi"/>
          <w:szCs w:val="24"/>
          <w:lang w:val="en-CA"/>
        </w:rPr>
        <w:t>3 300-3 400 MHz and 3 600-3 800 MHz (Region 2</w:t>
      </w:r>
      <w:proofErr w:type="gramStart"/>
      <w:r w:rsidRPr="00F377EE">
        <w:rPr>
          <w:rFonts w:eastAsiaTheme="minorHAnsi"/>
          <w:szCs w:val="24"/>
          <w:lang w:val="en-CA"/>
        </w:rPr>
        <w:t>);</w:t>
      </w:r>
      <w:proofErr w:type="gramEnd"/>
    </w:p>
    <w:p w14:paraId="3EC9743E" w14:textId="77777777" w:rsidR="00FC08E4" w:rsidRPr="00F377EE" w:rsidRDefault="00FC08E4" w:rsidP="00FC08E4">
      <w:pPr>
        <w:numPr>
          <w:ilvl w:val="0"/>
          <w:numId w:val="20"/>
        </w:numPr>
        <w:tabs>
          <w:tab w:val="clear" w:pos="1134"/>
          <w:tab w:val="clear" w:pos="1871"/>
          <w:tab w:val="clear" w:pos="2268"/>
        </w:tabs>
        <w:overflowPunct/>
        <w:autoSpaceDE/>
        <w:autoSpaceDN/>
        <w:adjustRightInd/>
        <w:spacing w:before="0" w:after="160" w:line="259" w:lineRule="auto"/>
        <w:contextualSpacing/>
        <w:textAlignment w:val="auto"/>
        <w:rPr>
          <w:rFonts w:eastAsiaTheme="minorHAnsi"/>
          <w:szCs w:val="24"/>
          <w:lang w:val="en-CA"/>
        </w:rPr>
      </w:pPr>
      <w:r w:rsidRPr="00F377EE">
        <w:rPr>
          <w:rFonts w:eastAsiaTheme="minorHAnsi"/>
          <w:szCs w:val="24"/>
          <w:lang w:val="en-CA"/>
        </w:rPr>
        <w:t>3 300-3 400 MHz (Region 1 – agenda item limited to amending the existing footnote</w:t>
      </w:r>
      <w:proofErr w:type="gramStart"/>
      <w:r w:rsidRPr="00F377EE">
        <w:rPr>
          <w:rFonts w:eastAsiaTheme="minorHAnsi"/>
          <w:szCs w:val="24"/>
          <w:lang w:val="en-CA"/>
        </w:rPr>
        <w:t>);</w:t>
      </w:r>
      <w:proofErr w:type="gramEnd"/>
    </w:p>
    <w:p w14:paraId="517D4105" w14:textId="77777777" w:rsidR="00FC08E4" w:rsidRPr="00F377EE" w:rsidRDefault="00FC08E4" w:rsidP="00FC08E4">
      <w:pPr>
        <w:numPr>
          <w:ilvl w:val="0"/>
          <w:numId w:val="20"/>
        </w:numPr>
        <w:tabs>
          <w:tab w:val="clear" w:pos="1134"/>
          <w:tab w:val="clear" w:pos="1871"/>
          <w:tab w:val="clear" w:pos="2268"/>
        </w:tabs>
        <w:overflowPunct/>
        <w:autoSpaceDE/>
        <w:autoSpaceDN/>
        <w:adjustRightInd/>
        <w:spacing w:before="0" w:after="160" w:line="259" w:lineRule="auto"/>
        <w:contextualSpacing/>
        <w:textAlignment w:val="auto"/>
        <w:rPr>
          <w:rFonts w:eastAsiaTheme="minorHAnsi"/>
          <w:szCs w:val="24"/>
          <w:lang w:val="en-CA"/>
        </w:rPr>
      </w:pPr>
      <w:r w:rsidRPr="00F377EE">
        <w:rPr>
          <w:rFonts w:eastAsiaTheme="minorHAnsi"/>
          <w:szCs w:val="24"/>
          <w:lang w:val="en-CA"/>
        </w:rPr>
        <w:t>6 425-7 025 MHz (Region 1</w:t>
      </w:r>
      <w:proofErr w:type="gramStart"/>
      <w:r w:rsidRPr="00F377EE">
        <w:rPr>
          <w:rFonts w:eastAsiaTheme="minorHAnsi"/>
          <w:szCs w:val="24"/>
          <w:lang w:val="en-CA"/>
        </w:rPr>
        <w:t>);</w:t>
      </w:r>
      <w:proofErr w:type="gramEnd"/>
    </w:p>
    <w:p w14:paraId="4D343621" w14:textId="77777777" w:rsidR="00FC08E4" w:rsidRPr="00F377EE" w:rsidRDefault="00FC08E4" w:rsidP="00FC08E4">
      <w:pPr>
        <w:numPr>
          <w:ilvl w:val="0"/>
          <w:numId w:val="20"/>
        </w:numPr>
        <w:tabs>
          <w:tab w:val="clear" w:pos="1134"/>
          <w:tab w:val="clear" w:pos="1871"/>
          <w:tab w:val="clear" w:pos="2268"/>
        </w:tabs>
        <w:overflowPunct/>
        <w:autoSpaceDE/>
        <w:autoSpaceDN/>
        <w:adjustRightInd/>
        <w:spacing w:before="0" w:after="160" w:line="259" w:lineRule="auto"/>
        <w:contextualSpacing/>
        <w:textAlignment w:val="auto"/>
        <w:rPr>
          <w:rFonts w:eastAsiaTheme="minorHAnsi"/>
          <w:szCs w:val="24"/>
          <w:lang w:val="en-CA"/>
        </w:rPr>
      </w:pPr>
      <w:r w:rsidRPr="00F377EE">
        <w:rPr>
          <w:rFonts w:eastAsiaTheme="minorHAnsi"/>
          <w:szCs w:val="24"/>
          <w:lang w:val="en-CA"/>
        </w:rPr>
        <w:t>7 025-7 125 MHz (globally</w:t>
      </w:r>
      <w:proofErr w:type="gramStart"/>
      <w:r w:rsidRPr="00F377EE">
        <w:rPr>
          <w:rFonts w:eastAsiaTheme="minorHAnsi"/>
          <w:szCs w:val="24"/>
          <w:lang w:val="en-CA"/>
        </w:rPr>
        <w:t>);</w:t>
      </w:r>
      <w:proofErr w:type="gramEnd"/>
    </w:p>
    <w:p w14:paraId="670D7D9B" w14:textId="77777777" w:rsidR="00FC08E4" w:rsidRPr="00F377EE" w:rsidRDefault="00FC08E4" w:rsidP="00FC08E4">
      <w:pPr>
        <w:numPr>
          <w:ilvl w:val="0"/>
          <w:numId w:val="20"/>
        </w:numPr>
        <w:tabs>
          <w:tab w:val="clear" w:pos="1134"/>
          <w:tab w:val="clear" w:pos="1871"/>
          <w:tab w:val="clear" w:pos="2268"/>
        </w:tabs>
        <w:overflowPunct/>
        <w:autoSpaceDE/>
        <w:autoSpaceDN/>
        <w:adjustRightInd/>
        <w:spacing w:before="0" w:after="160" w:line="259" w:lineRule="auto"/>
        <w:contextualSpacing/>
        <w:textAlignment w:val="auto"/>
        <w:rPr>
          <w:rFonts w:eastAsiaTheme="minorHAnsi"/>
          <w:szCs w:val="24"/>
          <w:lang w:val="en-CA"/>
        </w:rPr>
      </w:pPr>
      <w:r w:rsidRPr="00F377EE">
        <w:rPr>
          <w:rFonts w:eastAsiaTheme="minorHAnsi"/>
          <w:szCs w:val="24"/>
          <w:lang w:val="en-CA"/>
        </w:rPr>
        <w:t>10.0-10.5 GHz (Region 2),</w:t>
      </w:r>
    </w:p>
    <w:p w14:paraId="0B98998D" w14:textId="77777777" w:rsidR="00FC08E4" w:rsidRPr="00F377EE" w:rsidRDefault="00FC08E4" w:rsidP="00FC08E4">
      <w:pPr>
        <w:tabs>
          <w:tab w:val="clear" w:pos="1134"/>
          <w:tab w:val="clear" w:pos="1871"/>
          <w:tab w:val="clear" w:pos="2268"/>
          <w:tab w:val="left" w:pos="340"/>
        </w:tabs>
        <w:overflowPunct/>
        <w:autoSpaceDE/>
        <w:autoSpaceDN/>
        <w:adjustRightInd/>
        <w:spacing w:before="60"/>
        <w:ind w:left="360" w:hanging="360"/>
        <w:textAlignment w:val="auto"/>
        <w:rPr>
          <w:rFonts w:eastAsia="Calibri"/>
          <w:szCs w:val="24"/>
        </w:rPr>
      </w:pPr>
    </w:p>
    <w:p w14:paraId="78475B75" w14:textId="77777777" w:rsidR="00FC08E4" w:rsidRPr="00F377EE" w:rsidRDefault="00FC08E4" w:rsidP="00FC08E4">
      <w:pPr>
        <w:tabs>
          <w:tab w:val="clear" w:pos="1134"/>
          <w:tab w:val="clear" w:pos="1871"/>
          <w:tab w:val="clear" w:pos="2268"/>
          <w:tab w:val="left" w:pos="340"/>
        </w:tabs>
        <w:overflowPunct/>
        <w:autoSpaceDE/>
        <w:autoSpaceDN/>
        <w:adjustRightInd/>
        <w:spacing w:before="60"/>
        <w:ind w:left="360" w:hanging="360"/>
        <w:textAlignment w:val="auto"/>
        <w:rPr>
          <w:rFonts w:eastAsia="Calibri"/>
          <w:szCs w:val="24"/>
        </w:rPr>
      </w:pPr>
      <w:r w:rsidRPr="00F377EE">
        <w:rPr>
          <w:rFonts w:eastAsia="Calibri"/>
          <w:szCs w:val="24"/>
        </w:rPr>
        <w:t>Broadcasters have examined these bands, and have so far identified the following uses:</w:t>
      </w:r>
    </w:p>
    <w:p w14:paraId="648CA245" w14:textId="77777777" w:rsidR="00FC08E4" w:rsidRPr="00F377EE" w:rsidRDefault="00FC08E4" w:rsidP="00FC08E4">
      <w:pPr>
        <w:numPr>
          <w:ilvl w:val="0"/>
          <w:numId w:val="21"/>
        </w:numPr>
        <w:tabs>
          <w:tab w:val="clear" w:pos="1134"/>
          <w:tab w:val="clear" w:pos="1871"/>
          <w:tab w:val="clear" w:pos="2268"/>
          <w:tab w:val="left" w:pos="340"/>
        </w:tabs>
        <w:overflowPunct/>
        <w:autoSpaceDE/>
        <w:autoSpaceDN/>
        <w:adjustRightInd/>
        <w:spacing w:before="60" w:after="160" w:line="259" w:lineRule="auto"/>
        <w:textAlignment w:val="auto"/>
        <w:rPr>
          <w:rFonts w:eastAsia="Calibri"/>
          <w:szCs w:val="24"/>
        </w:rPr>
      </w:pPr>
      <w:r w:rsidRPr="00F377EE">
        <w:rPr>
          <w:rFonts w:eastAsia="Calibri"/>
          <w:szCs w:val="24"/>
        </w:rPr>
        <w:t xml:space="preserve">3 600-3 800 MHz (Region2) – C-Band satellite downlink channels. In parts of </w:t>
      </w:r>
      <w:proofErr w:type="gramStart"/>
      <w:r w:rsidRPr="00F377EE">
        <w:rPr>
          <w:rFonts w:eastAsia="Calibri"/>
          <w:szCs w:val="24"/>
        </w:rPr>
        <w:t>Region</w:t>
      </w:r>
      <w:proofErr w:type="gramEnd"/>
      <w:r w:rsidRPr="00F377EE">
        <w:rPr>
          <w:rFonts w:eastAsia="Calibri"/>
          <w:szCs w:val="24"/>
        </w:rPr>
        <w:t xml:space="preserve"> 2, these bands are no longer used for broadcasters’ distribution or are being withdrawn from such use. In the remaining cases, there is often no suitable alternative satellite spectrum available to replace any loss particularly in areas subject to high rainfall rates.</w:t>
      </w:r>
    </w:p>
    <w:p w14:paraId="023A1A32" w14:textId="77777777" w:rsidR="00FC08E4" w:rsidRPr="00F377EE" w:rsidRDefault="00FC08E4" w:rsidP="00FC08E4">
      <w:pPr>
        <w:numPr>
          <w:ilvl w:val="0"/>
          <w:numId w:val="21"/>
        </w:numPr>
        <w:tabs>
          <w:tab w:val="clear" w:pos="1134"/>
          <w:tab w:val="clear" w:pos="1871"/>
          <w:tab w:val="clear" w:pos="2268"/>
          <w:tab w:val="left" w:pos="340"/>
        </w:tabs>
        <w:overflowPunct/>
        <w:autoSpaceDE/>
        <w:autoSpaceDN/>
        <w:adjustRightInd/>
        <w:spacing w:before="60" w:after="160" w:line="259" w:lineRule="auto"/>
        <w:textAlignment w:val="auto"/>
        <w:rPr>
          <w:rFonts w:eastAsia="Calibri"/>
          <w:szCs w:val="24"/>
        </w:rPr>
      </w:pPr>
      <w:r w:rsidRPr="00F377EE">
        <w:rPr>
          <w:rFonts w:eastAsia="Calibri"/>
          <w:szCs w:val="24"/>
        </w:rPr>
        <w:lastRenderedPageBreak/>
        <w:t xml:space="preserve">7 025-7 125 MHz – Electronic Newsgathering (ENG) use in various parts of the world (terrestrial applications of the mobile service) – Working Party 5A is also considering the band 5 925-7 125 MHz for RLAN use, and WBU-TC has </w:t>
      </w:r>
      <w:proofErr w:type="gramStart"/>
      <w:r w:rsidRPr="00F377EE">
        <w:rPr>
          <w:rFonts w:eastAsia="Calibri"/>
          <w:szCs w:val="24"/>
        </w:rPr>
        <w:t>made a contribution</w:t>
      </w:r>
      <w:proofErr w:type="gramEnd"/>
      <w:r w:rsidRPr="00F377EE">
        <w:rPr>
          <w:rFonts w:eastAsia="Calibri"/>
          <w:szCs w:val="24"/>
        </w:rPr>
        <w:t xml:space="preserve"> to the November 2021 meeting of WP5A urging protection of those ENG applications.</w:t>
      </w:r>
    </w:p>
    <w:p w14:paraId="0A0B9D93" w14:textId="77777777" w:rsidR="00FC08E4" w:rsidRPr="00C05A3C" w:rsidRDefault="00FC08E4" w:rsidP="00C05A3C">
      <w:pPr>
        <w:pStyle w:val="NoSpacing"/>
        <w:rPr>
          <w:rFonts w:eastAsia="Calibri"/>
        </w:rPr>
      </w:pPr>
    </w:p>
    <w:p w14:paraId="28B849BE" w14:textId="389CCC87" w:rsidR="00FC08E4" w:rsidRPr="00C67D77" w:rsidRDefault="00FC08E4" w:rsidP="00C67D77">
      <w:pPr>
        <w:pStyle w:val="NoSpacing"/>
        <w:rPr>
          <w:rFonts w:eastAsia="Calibri"/>
          <w:b/>
          <w:bCs/>
        </w:rPr>
      </w:pPr>
      <w:r w:rsidRPr="00C67D77">
        <w:rPr>
          <w:rFonts w:eastAsia="Calibri"/>
          <w:b/>
          <w:bCs/>
        </w:rPr>
        <w:t>World Broadcasting Unions</w:t>
      </w:r>
      <w:r w:rsidR="00F377EE" w:rsidRPr="00C67D77">
        <w:rPr>
          <w:rFonts w:eastAsia="Calibri"/>
          <w:b/>
          <w:bCs/>
        </w:rPr>
        <w:t>’</w:t>
      </w:r>
      <w:r w:rsidRPr="00C67D77">
        <w:rPr>
          <w:rFonts w:eastAsia="Calibri"/>
          <w:b/>
          <w:bCs/>
        </w:rPr>
        <w:t xml:space="preserve"> Position</w:t>
      </w:r>
    </w:p>
    <w:p w14:paraId="2BCFDF25" w14:textId="22A6DAC4" w:rsidR="00D9243D" w:rsidRPr="00F377EE" w:rsidRDefault="00FC08E4" w:rsidP="00C67D77">
      <w:pPr>
        <w:pStyle w:val="NoSpacing"/>
        <w:rPr>
          <w:rFonts w:eastAsiaTheme="minorHAnsi"/>
          <w:lang w:val="en-CA"/>
        </w:rPr>
      </w:pPr>
      <w:r w:rsidRPr="00F377EE">
        <w:rPr>
          <w:rFonts w:eastAsiaTheme="minorHAnsi"/>
          <w:lang w:val="en-CA"/>
        </w:rPr>
        <w:t>The WBU-TC position is that broadcasters’ use of the parts of the bands identified above should be protected.</w:t>
      </w:r>
    </w:p>
    <w:p w14:paraId="46C3C300" w14:textId="4ED6FD48" w:rsidR="00FD0AC8" w:rsidRDefault="00FD0AC8" w:rsidP="00C05A3C">
      <w:pPr>
        <w:pStyle w:val="NoSpacing"/>
        <w:rPr>
          <w:rFonts w:eastAsiaTheme="minorHAnsi"/>
          <w:lang w:val="en-CA"/>
        </w:rPr>
      </w:pPr>
    </w:p>
    <w:p w14:paraId="28BF90F8" w14:textId="77777777" w:rsidR="00C05A3C" w:rsidRPr="00F377EE" w:rsidRDefault="00C05A3C" w:rsidP="00C67D77">
      <w:pPr>
        <w:pStyle w:val="NoSpacing"/>
        <w:rPr>
          <w:rFonts w:eastAsiaTheme="minorHAnsi"/>
          <w:lang w:val="en-CA"/>
        </w:rPr>
      </w:pPr>
    </w:p>
    <w:p w14:paraId="11D60EE9" w14:textId="65D8E8E6" w:rsidR="005415F3" w:rsidRPr="00C67D77" w:rsidRDefault="00FD0AC8" w:rsidP="00C05A3C">
      <w:pPr>
        <w:pStyle w:val="NoSpacing"/>
        <w:rPr>
          <w:rFonts w:eastAsia="Calibri"/>
          <w:b/>
          <w:bCs/>
        </w:rPr>
      </w:pPr>
      <w:r w:rsidRPr="00C67D77">
        <w:rPr>
          <w:rFonts w:eastAsia="Calibri"/>
          <w:b/>
          <w:bCs/>
        </w:rPr>
        <w:t>Annex 2: WBU-TC Position on WRC-23 Agenda Item 1.</w:t>
      </w:r>
      <w:r w:rsidR="00B50B2A" w:rsidRPr="00C67D77">
        <w:rPr>
          <w:rFonts w:eastAsia="Calibri"/>
          <w:b/>
          <w:bCs/>
        </w:rPr>
        <w:t>3</w:t>
      </w:r>
    </w:p>
    <w:p w14:paraId="4D6BBF28" w14:textId="77777777" w:rsidR="00DE17C0" w:rsidRPr="00C67D77" w:rsidRDefault="00DE17C0" w:rsidP="00DE17C0">
      <w:pPr>
        <w:pStyle w:val="NoSpacing"/>
        <w:rPr>
          <w:rFonts w:eastAsia="Calibri"/>
          <w:b/>
          <w:bCs/>
        </w:rPr>
      </w:pPr>
    </w:p>
    <w:p w14:paraId="638A5CF6" w14:textId="5838B073" w:rsidR="006842EE" w:rsidRPr="00F377EE" w:rsidRDefault="006842EE" w:rsidP="00DE17C0">
      <w:pPr>
        <w:pStyle w:val="NoSpacing"/>
        <w:rPr>
          <w:rFonts w:eastAsiaTheme="minorHAnsi"/>
          <w:lang w:val="en-CA"/>
        </w:rPr>
      </w:pPr>
      <w:r w:rsidRPr="00F377EE">
        <w:rPr>
          <w:rFonts w:eastAsiaTheme="minorHAnsi"/>
          <w:lang w:val="en-CA"/>
        </w:rPr>
        <w:t>To consider primary allocation of the band 3600 – 3800 MHz to mobile service within Region 1 and take appropriate regulatory actions, in accordance with Resolution 246 (WRC-19)</w:t>
      </w:r>
    </w:p>
    <w:p w14:paraId="6071247C" w14:textId="77777777" w:rsidR="00F377EE" w:rsidRPr="00525C3C" w:rsidRDefault="00F377EE" w:rsidP="00C67D77">
      <w:pPr>
        <w:pStyle w:val="NoSpacing"/>
        <w:rPr>
          <w:rFonts w:eastAsia="Calibri"/>
          <w:szCs w:val="24"/>
        </w:rPr>
      </w:pPr>
    </w:p>
    <w:p w14:paraId="6DC0A7F7" w14:textId="6AA1CBE3" w:rsidR="00F377EE" w:rsidRPr="00C67D77" w:rsidRDefault="006842EE" w:rsidP="00C67D77">
      <w:pPr>
        <w:pStyle w:val="NoSpacing"/>
        <w:rPr>
          <w:rFonts w:eastAsia="Calibri"/>
          <w:b/>
          <w:bCs/>
          <w:szCs w:val="24"/>
        </w:rPr>
      </w:pPr>
      <w:r w:rsidRPr="00C67D77">
        <w:rPr>
          <w:rFonts w:eastAsia="Calibri"/>
          <w:b/>
          <w:bCs/>
          <w:szCs w:val="24"/>
        </w:rPr>
        <w:t>Background</w:t>
      </w:r>
    </w:p>
    <w:p w14:paraId="44401CA2" w14:textId="05B42B2C" w:rsidR="006842EE" w:rsidRDefault="006842EE" w:rsidP="00DE17C0">
      <w:pPr>
        <w:pStyle w:val="NoSpacing"/>
        <w:rPr>
          <w:rFonts w:eastAsiaTheme="minorHAnsi"/>
          <w:lang w:val="en-CA"/>
        </w:rPr>
      </w:pPr>
      <w:r w:rsidRPr="00F377EE">
        <w:rPr>
          <w:rFonts w:eastAsiaTheme="minorHAnsi"/>
          <w:lang w:val="en-CA"/>
        </w:rPr>
        <w:t xml:space="preserve">This agenda item seeks to identify further “mid band” spectrum for the mobile service, presumably for IMT. </w:t>
      </w:r>
    </w:p>
    <w:p w14:paraId="6BE8DD32" w14:textId="77777777" w:rsidR="00DE17C0" w:rsidRPr="00F377EE" w:rsidRDefault="00DE17C0" w:rsidP="00DE17C0">
      <w:pPr>
        <w:pStyle w:val="NoSpacing"/>
        <w:rPr>
          <w:rFonts w:eastAsiaTheme="minorHAnsi"/>
          <w:lang w:val="en-CA"/>
        </w:rPr>
      </w:pPr>
    </w:p>
    <w:p w14:paraId="6A973CCE" w14:textId="03377C61" w:rsidR="006842EE" w:rsidRDefault="006842EE" w:rsidP="00DE17C0">
      <w:pPr>
        <w:pStyle w:val="NoSpacing"/>
        <w:rPr>
          <w:rFonts w:eastAsiaTheme="minorHAnsi"/>
          <w:lang w:val="en-CA"/>
        </w:rPr>
      </w:pPr>
      <w:r w:rsidRPr="00F377EE">
        <w:rPr>
          <w:rFonts w:eastAsiaTheme="minorHAnsi"/>
          <w:lang w:val="en-CA"/>
        </w:rPr>
        <w:t xml:space="preserve">The band 3 600 - 3 800 MHz in Region 1 was originally used for C-Band satellite downlink channels. However, in parts of </w:t>
      </w:r>
      <w:proofErr w:type="gramStart"/>
      <w:r w:rsidRPr="00F377EE">
        <w:rPr>
          <w:rFonts w:eastAsiaTheme="minorHAnsi"/>
          <w:lang w:val="en-CA"/>
        </w:rPr>
        <w:t>Region</w:t>
      </w:r>
      <w:proofErr w:type="gramEnd"/>
      <w:r w:rsidRPr="00F377EE">
        <w:rPr>
          <w:rFonts w:eastAsiaTheme="minorHAnsi"/>
          <w:lang w:val="en-CA"/>
        </w:rPr>
        <w:t xml:space="preserve"> 1, this band is no longer available for broadcasters’ distribution or is being withdrawn from such use as they have been used by mobile services for IMT applications. There is no suitable alternative satellite spectrum available to replace any further loss of C-Band spectrum, particularly in areas subject to high rainfall rates.</w:t>
      </w:r>
    </w:p>
    <w:p w14:paraId="6B0B91A7" w14:textId="77777777" w:rsidR="00DE17C0" w:rsidRPr="00525C3C" w:rsidRDefault="00DE17C0" w:rsidP="00C67D77">
      <w:pPr>
        <w:pStyle w:val="NoSpacing"/>
        <w:rPr>
          <w:rFonts w:eastAsia="Calibri"/>
        </w:rPr>
      </w:pPr>
    </w:p>
    <w:p w14:paraId="14FDC007" w14:textId="38750864" w:rsidR="006842EE" w:rsidRPr="00C67D77" w:rsidRDefault="006842EE" w:rsidP="00C67D77">
      <w:pPr>
        <w:pStyle w:val="NoSpacing"/>
        <w:rPr>
          <w:rFonts w:eastAsia="Calibri"/>
          <w:b/>
          <w:bCs/>
        </w:rPr>
      </w:pPr>
      <w:r w:rsidRPr="00C67D77">
        <w:rPr>
          <w:rFonts w:eastAsia="Calibri"/>
          <w:b/>
          <w:bCs/>
        </w:rPr>
        <w:t>World Broadcasting Unions</w:t>
      </w:r>
      <w:r w:rsidR="00F377EE" w:rsidRPr="00C67D77">
        <w:rPr>
          <w:rFonts w:eastAsia="Calibri"/>
          <w:b/>
          <w:bCs/>
        </w:rPr>
        <w:t>’</w:t>
      </w:r>
      <w:r w:rsidRPr="00C67D77">
        <w:rPr>
          <w:rFonts w:eastAsia="Calibri"/>
          <w:b/>
          <w:bCs/>
        </w:rPr>
        <w:t xml:space="preserve"> Position</w:t>
      </w:r>
    </w:p>
    <w:p w14:paraId="0F22C7FA" w14:textId="77777777" w:rsidR="006842EE" w:rsidRPr="00F377EE" w:rsidRDefault="006842EE" w:rsidP="00C67D77">
      <w:pPr>
        <w:pStyle w:val="NoSpacing"/>
        <w:rPr>
          <w:rFonts w:eastAsiaTheme="minorHAnsi"/>
          <w:szCs w:val="24"/>
          <w:lang w:val="en-CA"/>
        </w:rPr>
      </w:pPr>
      <w:r w:rsidRPr="00F377EE">
        <w:rPr>
          <w:rFonts w:eastAsiaTheme="minorHAnsi"/>
          <w:szCs w:val="24"/>
          <w:lang w:val="en-CA"/>
        </w:rPr>
        <w:t xml:space="preserve">The WBU-TC position is that broadcasters’ use of 3600 - 3800 MHz in the remaining parts of Region 1 should be protected. </w:t>
      </w:r>
    </w:p>
    <w:p w14:paraId="0D1FB68E" w14:textId="77777777" w:rsidR="00C05A3C" w:rsidRDefault="00C05A3C" w:rsidP="00C05A3C">
      <w:pPr>
        <w:pStyle w:val="NoSpacing"/>
        <w:rPr>
          <w:rFonts w:eastAsiaTheme="minorHAnsi"/>
          <w:lang w:val="en-CA"/>
        </w:rPr>
      </w:pPr>
    </w:p>
    <w:p w14:paraId="14AB28F3" w14:textId="77777777" w:rsidR="00C05A3C" w:rsidRPr="00F377EE" w:rsidRDefault="00C05A3C" w:rsidP="00C05A3C">
      <w:pPr>
        <w:pStyle w:val="NoSpacing"/>
        <w:rPr>
          <w:rFonts w:eastAsiaTheme="minorHAnsi"/>
          <w:lang w:val="en-CA"/>
        </w:rPr>
      </w:pPr>
    </w:p>
    <w:p w14:paraId="105218AF" w14:textId="561AF9FC" w:rsidR="00FD0AC8" w:rsidRPr="00F377EE" w:rsidRDefault="006842EE" w:rsidP="00FD0AC8">
      <w:pPr>
        <w:tabs>
          <w:tab w:val="clear" w:pos="1134"/>
          <w:tab w:val="clear" w:pos="1871"/>
          <w:tab w:val="clear" w:pos="2268"/>
          <w:tab w:val="left" w:pos="340"/>
        </w:tabs>
        <w:overflowPunct/>
        <w:autoSpaceDE/>
        <w:autoSpaceDN/>
        <w:adjustRightInd/>
        <w:spacing w:before="60"/>
        <w:textAlignment w:val="auto"/>
        <w:rPr>
          <w:rFonts w:eastAsia="Calibri"/>
          <w:szCs w:val="24"/>
        </w:rPr>
      </w:pPr>
      <w:r w:rsidRPr="00D66A6B">
        <w:rPr>
          <w:rFonts w:eastAsia="Calibri"/>
          <w:b/>
          <w:bCs/>
          <w:szCs w:val="24"/>
        </w:rPr>
        <w:t>Annex 3: WBU-TC Position on WRC-23 Agenda Item 1.4</w:t>
      </w:r>
    </w:p>
    <w:p w14:paraId="3F102FF7" w14:textId="77777777" w:rsidR="00DE17C0" w:rsidRDefault="00DE17C0" w:rsidP="00DE17C0">
      <w:pPr>
        <w:pStyle w:val="NoSpacing"/>
        <w:rPr>
          <w:rFonts w:eastAsiaTheme="minorEastAsia"/>
          <w:lang w:val="en-CA"/>
        </w:rPr>
      </w:pPr>
      <w:bookmarkStart w:id="10" w:name="_Hlk88728327"/>
    </w:p>
    <w:p w14:paraId="527B2FE0" w14:textId="7CA773BE" w:rsidR="006842EE" w:rsidRDefault="006842EE" w:rsidP="00C67D77">
      <w:pPr>
        <w:pStyle w:val="NoSpacing"/>
        <w:rPr>
          <w:rFonts w:eastAsiaTheme="minorEastAsia"/>
          <w:lang w:val="en-CA"/>
        </w:rPr>
      </w:pPr>
      <w:r w:rsidRPr="00F377EE">
        <w:rPr>
          <w:rFonts w:eastAsiaTheme="minorEastAsia"/>
          <w:lang w:val="en-CA"/>
        </w:rPr>
        <w:t>To consider, in accordance with Resolution 247 (WRC-19), the use of high-altitude platforms stations as IMT base stations (HIBS) in the mobile service in certain frequency bands below 2.7 GHz already identified for IMT, on a global or regional level.</w:t>
      </w:r>
    </w:p>
    <w:bookmarkEnd w:id="10"/>
    <w:p w14:paraId="7454C4AC" w14:textId="77777777" w:rsidR="005415F3" w:rsidRPr="00F377EE" w:rsidRDefault="005415F3" w:rsidP="00C67D77">
      <w:pPr>
        <w:pStyle w:val="NoSpacing"/>
        <w:rPr>
          <w:rFonts w:eastAsiaTheme="minorHAnsi"/>
          <w:lang w:val="en-CA"/>
        </w:rPr>
      </w:pPr>
    </w:p>
    <w:p w14:paraId="233F012A" w14:textId="77777777" w:rsidR="006842EE" w:rsidRPr="00F377EE" w:rsidRDefault="006842EE" w:rsidP="00C67D77">
      <w:pPr>
        <w:pStyle w:val="NoSpacing"/>
        <w:rPr>
          <w:rFonts w:eastAsia="Calibri"/>
          <w:b/>
          <w:bCs/>
        </w:rPr>
      </w:pPr>
      <w:r w:rsidRPr="00F377EE">
        <w:rPr>
          <w:rFonts w:eastAsia="Calibri"/>
          <w:b/>
          <w:bCs/>
        </w:rPr>
        <w:t>Background</w:t>
      </w:r>
    </w:p>
    <w:p w14:paraId="351FC8A1" w14:textId="77777777" w:rsidR="006842EE" w:rsidRPr="00F377EE" w:rsidRDefault="006842EE" w:rsidP="00C67D77">
      <w:pPr>
        <w:pStyle w:val="NoSpacing"/>
        <w:rPr>
          <w:rFonts w:eastAsia="Calibri"/>
        </w:rPr>
      </w:pPr>
      <w:r w:rsidRPr="00F377EE">
        <w:rPr>
          <w:rFonts w:eastAsia="Calibri"/>
        </w:rPr>
        <w:t>This agenda item is considering three bands for possible use by HIBS:</w:t>
      </w:r>
    </w:p>
    <w:p w14:paraId="1F609AC3" w14:textId="77777777" w:rsidR="006842EE" w:rsidRPr="00F377EE" w:rsidRDefault="006842EE" w:rsidP="006842EE">
      <w:pPr>
        <w:numPr>
          <w:ilvl w:val="0"/>
          <w:numId w:val="22"/>
        </w:numPr>
        <w:tabs>
          <w:tab w:val="clear" w:pos="1134"/>
          <w:tab w:val="clear" w:pos="1871"/>
          <w:tab w:val="clear" w:pos="2268"/>
          <w:tab w:val="left" w:pos="340"/>
        </w:tabs>
        <w:overflowPunct/>
        <w:autoSpaceDE/>
        <w:autoSpaceDN/>
        <w:adjustRightInd/>
        <w:spacing w:before="60" w:after="160" w:line="259" w:lineRule="auto"/>
        <w:jc w:val="both"/>
        <w:textAlignment w:val="auto"/>
        <w:rPr>
          <w:rFonts w:eastAsia="Calibri"/>
          <w:szCs w:val="24"/>
        </w:rPr>
      </w:pPr>
      <w:r w:rsidRPr="00F377EE">
        <w:rPr>
          <w:rFonts w:eastAsia="Calibri"/>
          <w:szCs w:val="24"/>
        </w:rPr>
        <w:t>694-960 MHz;</w:t>
      </w:r>
    </w:p>
    <w:p w14:paraId="581DEF40" w14:textId="77777777" w:rsidR="006842EE" w:rsidRPr="00F377EE" w:rsidRDefault="006842EE" w:rsidP="006842EE">
      <w:pPr>
        <w:numPr>
          <w:ilvl w:val="0"/>
          <w:numId w:val="22"/>
        </w:numPr>
        <w:tabs>
          <w:tab w:val="clear" w:pos="1134"/>
          <w:tab w:val="clear" w:pos="1871"/>
          <w:tab w:val="clear" w:pos="2268"/>
          <w:tab w:val="left" w:pos="340"/>
        </w:tabs>
        <w:overflowPunct/>
        <w:autoSpaceDE/>
        <w:autoSpaceDN/>
        <w:adjustRightInd/>
        <w:spacing w:before="60" w:after="160" w:line="259" w:lineRule="auto"/>
        <w:jc w:val="both"/>
        <w:textAlignment w:val="auto"/>
        <w:rPr>
          <w:rFonts w:eastAsia="Calibri"/>
          <w:szCs w:val="24"/>
        </w:rPr>
      </w:pPr>
      <w:r w:rsidRPr="00F377EE">
        <w:rPr>
          <w:rFonts w:eastAsia="Calibri"/>
          <w:szCs w:val="24"/>
        </w:rPr>
        <w:t>1 710-1 885 MHz (1 710-1 815 MHz to be used for uplink only in Region 3); and</w:t>
      </w:r>
    </w:p>
    <w:p w14:paraId="0F703DE0" w14:textId="77777777" w:rsidR="006842EE" w:rsidRPr="00F377EE" w:rsidRDefault="006842EE" w:rsidP="006842EE">
      <w:pPr>
        <w:numPr>
          <w:ilvl w:val="0"/>
          <w:numId w:val="22"/>
        </w:numPr>
        <w:tabs>
          <w:tab w:val="clear" w:pos="1134"/>
          <w:tab w:val="clear" w:pos="1871"/>
          <w:tab w:val="clear" w:pos="2268"/>
          <w:tab w:val="left" w:pos="340"/>
        </w:tabs>
        <w:overflowPunct/>
        <w:autoSpaceDE/>
        <w:autoSpaceDN/>
        <w:adjustRightInd/>
        <w:spacing w:before="60" w:after="160" w:line="259" w:lineRule="auto"/>
        <w:textAlignment w:val="auto"/>
        <w:rPr>
          <w:rFonts w:eastAsia="Calibri"/>
          <w:szCs w:val="24"/>
        </w:rPr>
      </w:pPr>
      <w:r w:rsidRPr="00F377EE">
        <w:rPr>
          <w:rFonts w:eastAsia="Calibri"/>
          <w:szCs w:val="24"/>
        </w:rPr>
        <w:t>2 500-2 690 MHz (2 500-2 535 MHz to be used for uplink only in Region 3, except 2 655-2 690 MHz in Region 3)</w:t>
      </w:r>
    </w:p>
    <w:p w14:paraId="600262C2" w14:textId="77777777" w:rsidR="006842EE" w:rsidRPr="00F377EE" w:rsidRDefault="006842EE" w:rsidP="006842EE">
      <w:pPr>
        <w:tabs>
          <w:tab w:val="clear" w:pos="1134"/>
          <w:tab w:val="clear" w:pos="1871"/>
          <w:tab w:val="clear" w:pos="2268"/>
          <w:tab w:val="left" w:pos="340"/>
        </w:tabs>
        <w:overflowPunct/>
        <w:autoSpaceDE/>
        <w:autoSpaceDN/>
        <w:adjustRightInd/>
        <w:spacing w:before="60"/>
        <w:ind w:left="360" w:hanging="360"/>
        <w:textAlignment w:val="auto"/>
        <w:rPr>
          <w:rFonts w:eastAsia="Calibri"/>
          <w:szCs w:val="24"/>
        </w:rPr>
      </w:pPr>
    </w:p>
    <w:p w14:paraId="5693A902" w14:textId="77777777" w:rsidR="006842EE" w:rsidRPr="00F377EE" w:rsidRDefault="006842EE" w:rsidP="006842EE">
      <w:pPr>
        <w:tabs>
          <w:tab w:val="clear" w:pos="1134"/>
          <w:tab w:val="clear" w:pos="1871"/>
          <w:tab w:val="clear" w:pos="2268"/>
        </w:tabs>
        <w:overflowPunct/>
        <w:autoSpaceDE/>
        <w:autoSpaceDN/>
        <w:adjustRightInd/>
        <w:spacing w:before="0" w:after="160" w:line="259" w:lineRule="auto"/>
        <w:textAlignment w:val="auto"/>
        <w:rPr>
          <w:rFonts w:eastAsiaTheme="minorEastAsia"/>
          <w:szCs w:val="24"/>
          <w:lang w:val="en-CA"/>
        </w:rPr>
      </w:pPr>
      <w:r w:rsidRPr="00F377EE">
        <w:rPr>
          <w:rFonts w:eastAsiaTheme="minorEastAsia"/>
          <w:szCs w:val="24"/>
          <w:lang w:val="en-CA"/>
        </w:rPr>
        <w:t>Of these, we are aware of broadcaster use of parts of the band 694-960 MHz for DTTB as a primary service in parts of Regions 1, 2 and 3.</w:t>
      </w:r>
      <w:r w:rsidRPr="00F377EE" w:rsidDel="009668BF">
        <w:rPr>
          <w:rFonts w:eastAsiaTheme="minorEastAsia"/>
          <w:szCs w:val="24"/>
          <w:lang w:val="en-CA"/>
        </w:rPr>
        <w:t xml:space="preserve"> </w:t>
      </w:r>
    </w:p>
    <w:p w14:paraId="79C78737" w14:textId="77777777" w:rsidR="006842EE" w:rsidRPr="00F377EE" w:rsidRDefault="006842EE" w:rsidP="006842EE">
      <w:pPr>
        <w:tabs>
          <w:tab w:val="clear" w:pos="1134"/>
          <w:tab w:val="clear" w:pos="1871"/>
          <w:tab w:val="clear" w:pos="2268"/>
        </w:tabs>
        <w:overflowPunct/>
        <w:autoSpaceDE/>
        <w:autoSpaceDN/>
        <w:adjustRightInd/>
        <w:spacing w:before="0" w:after="160" w:line="259" w:lineRule="auto"/>
        <w:textAlignment w:val="auto"/>
        <w:rPr>
          <w:rFonts w:eastAsiaTheme="minorEastAsia"/>
          <w:szCs w:val="24"/>
          <w:lang w:val="en-CA"/>
        </w:rPr>
      </w:pPr>
      <w:r w:rsidRPr="00F377EE">
        <w:rPr>
          <w:rFonts w:eastAsiaTheme="minorEastAsia"/>
          <w:szCs w:val="24"/>
          <w:lang w:val="en-CA"/>
        </w:rPr>
        <w:lastRenderedPageBreak/>
        <w:t>In that band, there is the possibility of interference to DTTB from IMT downlink over a wide area, due to the nature of the HIBS stations.</w:t>
      </w:r>
    </w:p>
    <w:p w14:paraId="769B52D8" w14:textId="77777777" w:rsidR="006842EE" w:rsidRPr="00F377EE" w:rsidRDefault="006842EE" w:rsidP="006842EE">
      <w:pPr>
        <w:tabs>
          <w:tab w:val="clear" w:pos="1134"/>
          <w:tab w:val="clear" w:pos="1871"/>
          <w:tab w:val="clear" w:pos="2268"/>
        </w:tabs>
        <w:overflowPunct/>
        <w:autoSpaceDE/>
        <w:autoSpaceDN/>
        <w:adjustRightInd/>
        <w:spacing w:before="0" w:after="160" w:line="259" w:lineRule="auto"/>
        <w:textAlignment w:val="auto"/>
        <w:rPr>
          <w:rFonts w:eastAsiaTheme="minorEastAsia"/>
          <w:szCs w:val="24"/>
          <w:lang w:val="en-CA"/>
        </w:rPr>
      </w:pPr>
      <w:r w:rsidRPr="00F377EE">
        <w:rPr>
          <w:rFonts w:eastAsiaTheme="minorEastAsia"/>
          <w:szCs w:val="24"/>
          <w:lang w:val="en-CA"/>
        </w:rPr>
        <w:t>Working Party 6A has communicated technical characteristics for DTTB in this band to the responsible working party (WP5D), and WP5D has been urged to consider this case when conducting sharing studies.</w:t>
      </w:r>
    </w:p>
    <w:p w14:paraId="3FC63110" w14:textId="77777777" w:rsidR="006842EE" w:rsidRPr="00F377EE" w:rsidRDefault="006842EE" w:rsidP="00C67D77">
      <w:pPr>
        <w:pStyle w:val="NoSpacing"/>
        <w:rPr>
          <w:rFonts w:eastAsiaTheme="minorEastAsia"/>
          <w:lang w:val="en-CA"/>
        </w:rPr>
      </w:pPr>
      <w:r w:rsidRPr="00F377EE">
        <w:rPr>
          <w:rFonts w:eastAsiaTheme="minorEastAsia"/>
          <w:lang w:val="en-CA"/>
        </w:rPr>
        <w:t>WBU members should consider submitting sharing studies for the case of HIBS downlink interference to DTTB in the band 694-960 MHz to Working Party 5D.</w:t>
      </w:r>
    </w:p>
    <w:p w14:paraId="78804EBD" w14:textId="77777777" w:rsidR="005415F3" w:rsidRPr="00F377EE" w:rsidRDefault="005415F3" w:rsidP="00C67D77">
      <w:pPr>
        <w:pStyle w:val="NoSpacing"/>
        <w:rPr>
          <w:rFonts w:eastAsiaTheme="minorEastAsia"/>
          <w:lang w:val="en-CA"/>
        </w:rPr>
      </w:pPr>
    </w:p>
    <w:p w14:paraId="5A3FE78F" w14:textId="3978ED9F" w:rsidR="006842EE" w:rsidRPr="00F377EE" w:rsidRDefault="006842EE" w:rsidP="00C67D77">
      <w:pPr>
        <w:pStyle w:val="NoSpacing"/>
        <w:rPr>
          <w:rFonts w:eastAsia="Calibri"/>
          <w:b/>
          <w:bCs/>
        </w:rPr>
      </w:pPr>
      <w:r w:rsidRPr="00F377EE">
        <w:rPr>
          <w:rFonts w:eastAsia="Calibri"/>
          <w:b/>
          <w:bCs/>
        </w:rPr>
        <w:t>World Broadcasting Unions</w:t>
      </w:r>
      <w:r w:rsidR="00F377EE">
        <w:rPr>
          <w:rFonts w:eastAsia="Calibri"/>
          <w:b/>
          <w:bCs/>
        </w:rPr>
        <w:t>’</w:t>
      </w:r>
      <w:r w:rsidRPr="00F377EE">
        <w:rPr>
          <w:rFonts w:eastAsia="Calibri"/>
          <w:b/>
          <w:bCs/>
        </w:rPr>
        <w:t xml:space="preserve"> Position</w:t>
      </w:r>
    </w:p>
    <w:p w14:paraId="71F40920" w14:textId="548E8B4C" w:rsidR="006842EE" w:rsidRPr="00F377EE" w:rsidRDefault="006842EE" w:rsidP="00C67D77">
      <w:pPr>
        <w:pStyle w:val="NoSpacing"/>
        <w:rPr>
          <w:rFonts w:eastAsiaTheme="minorEastAsia"/>
          <w:lang w:val="en-CA"/>
        </w:rPr>
      </w:pPr>
      <w:r w:rsidRPr="00F377EE">
        <w:rPr>
          <w:rFonts w:eastAsiaTheme="minorEastAsia"/>
          <w:lang w:val="en-CA"/>
        </w:rPr>
        <w:t>The WBU-TC position is that any HIBS system in 694-960 MHz must not cause interference to any existing or planned stations of the broadcasting service, bearing in mind that HIBS have the potential to cause interference over a very wide area.</w:t>
      </w:r>
    </w:p>
    <w:p w14:paraId="45C76A1E" w14:textId="77777777" w:rsidR="00C05A3C" w:rsidRDefault="00C05A3C" w:rsidP="00C05A3C">
      <w:pPr>
        <w:pStyle w:val="NoSpacing"/>
        <w:rPr>
          <w:rFonts w:eastAsiaTheme="minorHAnsi"/>
          <w:lang w:val="en-CA"/>
        </w:rPr>
      </w:pPr>
    </w:p>
    <w:p w14:paraId="0E3ECCE1" w14:textId="77777777" w:rsidR="00C05A3C" w:rsidRPr="00F377EE" w:rsidRDefault="00C05A3C" w:rsidP="00C05A3C">
      <w:pPr>
        <w:pStyle w:val="NoSpacing"/>
        <w:rPr>
          <w:rFonts w:eastAsiaTheme="minorHAnsi"/>
          <w:lang w:val="en-CA"/>
        </w:rPr>
      </w:pPr>
    </w:p>
    <w:p w14:paraId="6A34BFB9" w14:textId="19C08C99" w:rsidR="00FD0AC8" w:rsidRPr="00C67D77" w:rsidRDefault="006842EE" w:rsidP="00C67D77">
      <w:pPr>
        <w:pStyle w:val="NoSpacing"/>
        <w:rPr>
          <w:rFonts w:eastAsia="Calibri"/>
          <w:b/>
          <w:bCs/>
        </w:rPr>
      </w:pPr>
      <w:r w:rsidRPr="00C67D77">
        <w:rPr>
          <w:rFonts w:eastAsia="Calibri"/>
          <w:b/>
          <w:bCs/>
        </w:rPr>
        <w:t>Annex 4: WBU-TC Position on WRC-23 Agenda Item 1.5</w:t>
      </w:r>
    </w:p>
    <w:p w14:paraId="249EB58F" w14:textId="77777777" w:rsidR="00DE17C0" w:rsidRDefault="00DE17C0" w:rsidP="00DE17C0">
      <w:pPr>
        <w:pStyle w:val="NoSpacing"/>
      </w:pPr>
    </w:p>
    <w:p w14:paraId="314C81E6" w14:textId="4E3A10AE" w:rsidR="006842EE" w:rsidRPr="00F377EE" w:rsidRDefault="006842EE" w:rsidP="00C67D77">
      <w:pPr>
        <w:pStyle w:val="NoSpacing"/>
      </w:pPr>
      <w:r w:rsidRPr="00F377EE">
        <w:t xml:space="preserve">To review the </w:t>
      </w:r>
      <w:proofErr w:type="gramStart"/>
      <w:r w:rsidRPr="00F377EE">
        <w:t>spectrum</w:t>
      </w:r>
      <w:proofErr w:type="gramEnd"/>
      <w:r w:rsidRPr="00F377EE">
        <w:t xml:space="preserve"> use and spectrum needs of existing services in the frequency band 470-960 MHz in Region 1 and consider possible regulatory actions in the frequency band 470-694 MHz in Region 1 on the basis of the review in accordance with Resolution 235 (WRC-15)</w:t>
      </w:r>
      <w:r w:rsidR="00D24B09" w:rsidRPr="00F377EE">
        <w:t>.</w:t>
      </w:r>
    </w:p>
    <w:p w14:paraId="5F2034D6" w14:textId="77777777" w:rsidR="006842EE" w:rsidRPr="00F377EE" w:rsidRDefault="006842EE" w:rsidP="00C67D77">
      <w:pPr>
        <w:pStyle w:val="NoSpacing"/>
        <w:rPr>
          <w:szCs w:val="24"/>
        </w:rPr>
      </w:pPr>
      <w:bookmarkStart w:id="11" w:name="_Hlk75507345"/>
    </w:p>
    <w:p w14:paraId="6AEEFD15" w14:textId="77777777" w:rsidR="006842EE" w:rsidRPr="00F377EE" w:rsidRDefault="006842EE" w:rsidP="00C67D77">
      <w:pPr>
        <w:pStyle w:val="NoSpacing"/>
        <w:rPr>
          <w:szCs w:val="24"/>
        </w:rPr>
      </w:pPr>
      <w:r w:rsidRPr="00F377EE">
        <w:rPr>
          <w:szCs w:val="24"/>
        </w:rPr>
        <w:t xml:space="preserve">The UHF band is widely used for broadcasting around the world and returns huge public and societal value, through allowing access to </w:t>
      </w:r>
      <w:proofErr w:type="gramStart"/>
      <w:r w:rsidRPr="00F377EE">
        <w:rPr>
          <w:szCs w:val="24"/>
        </w:rPr>
        <w:t>universally-available</w:t>
      </w:r>
      <w:proofErr w:type="gramEnd"/>
      <w:r w:rsidRPr="00F377EE">
        <w:rPr>
          <w:szCs w:val="24"/>
        </w:rPr>
        <w:t xml:space="preserve"> media services, enabling content production and by facilitating creative industries. Almost all countries use the UHF band for the free distribution of digital terrestrial TV (DTT) by both public service and private media companies. The broadcasting media continue to be the main protagonists in the production and dissemination of national and local content. The opportunistic use of unoccupied broadcast spectrum for PMSE audio systems, such as wireless/radio microphones by broadcasters, and by artistic, </w:t>
      </w:r>
      <w:proofErr w:type="gramStart"/>
      <w:r w:rsidRPr="00F377EE">
        <w:rPr>
          <w:szCs w:val="24"/>
        </w:rPr>
        <w:t>religious</w:t>
      </w:r>
      <w:proofErr w:type="gramEnd"/>
      <w:r w:rsidRPr="00F377EE">
        <w:rPr>
          <w:szCs w:val="24"/>
        </w:rPr>
        <w:t xml:space="preserve"> and other civic society organisations is also found in almost all countries. </w:t>
      </w:r>
    </w:p>
    <w:p w14:paraId="6D700BC2" w14:textId="77777777" w:rsidR="006842EE" w:rsidRPr="00F377EE" w:rsidRDefault="006842EE" w:rsidP="00C67D77">
      <w:pPr>
        <w:pStyle w:val="NoSpacing"/>
        <w:rPr>
          <w:szCs w:val="24"/>
        </w:rPr>
      </w:pPr>
    </w:p>
    <w:p w14:paraId="7E7FF880" w14:textId="77777777" w:rsidR="006842EE" w:rsidRPr="00F377EE" w:rsidRDefault="006842EE" w:rsidP="00C67D77">
      <w:pPr>
        <w:pStyle w:val="NoSpacing"/>
        <w:rPr>
          <w:szCs w:val="24"/>
        </w:rPr>
      </w:pPr>
      <w:r w:rsidRPr="00F377EE">
        <w:rPr>
          <w:szCs w:val="24"/>
        </w:rPr>
        <w:t>The UHF band is often the only spectrum available for these DTT and PMSE uses.</w:t>
      </w:r>
    </w:p>
    <w:p w14:paraId="0E6D3D6A" w14:textId="77777777" w:rsidR="006842EE" w:rsidRPr="00F377EE" w:rsidRDefault="006842EE" w:rsidP="00C67D77">
      <w:pPr>
        <w:pStyle w:val="NoSpacing"/>
        <w:rPr>
          <w:szCs w:val="24"/>
        </w:rPr>
      </w:pPr>
    </w:p>
    <w:p w14:paraId="0FD9C92D" w14:textId="77777777" w:rsidR="006842EE" w:rsidRPr="00F377EE" w:rsidRDefault="006842EE" w:rsidP="00C67D77">
      <w:pPr>
        <w:pStyle w:val="NoSpacing"/>
        <w:rPr>
          <w:szCs w:val="24"/>
        </w:rPr>
      </w:pPr>
      <w:r w:rsidRPr="00F377EE">
        <w:rPr>
          <w:szCs w:val="24"/>
        </w:rPr>
        <w:t xml:space="preserve">The UHF broadcasting band has been subject to major changes over the past decades, beginning with the loss of the 800 MHz band in many countries, which was partially offset by the transition from analogue transmission. This was followed by clearance of the 700 MHz band in some countries, resulting in fewer television broadcast stations, with a reduction in services available. The future potential for DTT platforms has been reduced in all countries by this reduction in available UHF spectrum for broadcasting. </w:t>
      </w:r>
    </w:p>
    <w:p w14:paraId="310789A2" w14:textId="77777777" w:rsidR="006842EE" w:rsidRPr="00F377EE" w:rsidRDefault="006842EE" w:rsidP="00C67D77">
      <w:pPr>
        <w:pStyle w:val="NoSpacing"/>
        <w:rPr>
          <w:szCs w:val="24"/>
        </w:rPr>
      </w:pPr>
    </w:p>
    <w:p w14:paraId="0937CDDE" w14:textId="77777777" w:rsidR="006842EE" w:rsidRPr="00F377EE" w:rsidRDefault="006842EE" w:rsidP="00C67D77">
      <w:pPr>
        <w:pStyle w:val="NoSpacing"/>
        <w:rPr>
          <w:szCs w:val="24"/>
          <w:lang w:val="en-US"/>
        </w:rPr>
      </w:pPr>
      <w:r w:rsidRPr="00F377EE">
        <w:rPr>
          <w:szCs w:val="24"/>
        </w:rPr>
        <w:t xml:space="preserve">The WBU emphasizes the relevance of the free and open-service nature of broadcasting, which seeks to reach the entire population and especially the less-favoured social sectors. DTT's technical resilience is essential for national sovereignty and for reaching people in times of crisis. Broadcasters have played an integral role during the COVID-19 pandemic in keeping their communities safe and informed. DTT on UHF brings public value to society. Its economic, </w:t>
      </w:r>
      <w:proofErr w:type="gramStart"/>
      <w:r w:rsidRPr="00F377EE">
        <w:rPr>
          <w:szCs w:val="24"/>
        </w:rPr>
        <w:t>social</w:t>
      </w:r>
      <w:proofErr w:type="gramEnd"/>
      <w:r w:rsidRPr="00F377EE">
        <w:rPr>
          <w:szCs w:val="24"/>
        </w:rPr>
        <w:t xml:space="preserve"> and cultural benefits are intertwined with the allocation of spectrum for broadcasting. </w:t>
      </w:r>
      <w:r w:rsidRPr="00F377EE">
        <w:rPr>
          <w:szCs w:val="24"/>
          <w:lang w:val="en-US"/>
        </w:rPr>
        <w:t xml:space="preserve">Broadcast TV informs, </w:t>
      </w:r>
      <w:proofErr w:type="gramStart"/>
      <w:r w:rsidRPr="00F377EE">
        <w:rPr>
          <w:szCs w:val="24"/>
          <w:lang w:val="en-US"/>
        </w:rPr>
        <w:t>educates</w:t>
      </w:r>
      <w:proofErr w:type="gramEnd"/>
      <w:r w:rsidRPr="00F377EE">
        <w:rPr>
          <w:szCs w:val="24"/>
          <w:lang w:val="en-US"/>
        </w:rPr>
        <w:t xml:space="preserve"> and entertains, while always providing vital public information and critical survival information in emergency situations. Further, as it is the only platform that offers free communications directly with citizens, it promotes social cohesion, </w:t>
      </w:r>
      <w:proofErr w:type="gramStart"/>
      <w:r w:rsidRPr="00F377EE">
        <w:rPr>
          <w:szCs w:val="24"/>
          <w:lang w:val="en-US"/>
        </w:rPr>
        <w:t>inclusion</w:t>
      </w:r>
      <w:proofErr w:type="gramEnd"/>
      <w:r w:rsidRPr="00F377EE">
        <w:rPr>
          <w:szCs w:val="24"/>
          <w:lang w:val="en-US"/>
        </w:rPr>
        <w:t xml:space="preserve"> and national identity. These functions are critically important in any society.</w:t>
      </w:r>
    </w:p>
    <w:p w14:paraId="3CE17219" w14:textId="77777777" w:rsidR="006842EE" w:rsidRPr="00F377EE" w:rsidRDefault="006842EE" w:rsidP="00C67D77">
      <w:pPr>
        <w:pStyle w:val="NoSpacing"/>
        <w:rPr>
          <w:szCs w:val="24"/>
        </w:rPr>
      </w:pPr>
    </w:p>
    <w:p w14:paraId="2FE3089E" w14:textId="77777777" w:rsidR="006842EE" w:rsidRPr="00F377EE" w:rsidRDefault="006842EE" w:rsidP="00C67D77">
      <w:pPr>
        <w:pStyle w:val="NoSpacing"/>
        <w:rPr>
          <w:szCs w:val="24"/>
        </w:rPr>
      </w:pPr>
      <w:r w:rsidRPr="00F377EE">
        <w:rPr>
          <w:szCs w:val="24"/>
        </w:rPr>
        <w:lastRenderedPageBreak/>
        <w:t>At the same time, the interleaved use of the spectrum for PMSE by broadcasters, and more widely across the creative industries, has been squeezed. The move toward digital techniques for these systems has allowed some improved efficiencies in spectrum use, but as demand for complex productions continues to increase, there is a real risk that the availability of spectrum for these audio PMSE applications will not meet demand.</w:t>
      </w:r>
    </w:p>
    <w:p w14:paraId="33CE5F94" w14:textId="77777777" w:rsidR="006842EE" w:rsidRPr="00F377EE" w:rsidRDefault="006842EE" w:rsidP="00C67D77">
      <w:pPr>
        <w:pStyle w:val="NoSpacing"/>
        <w:rPr>
          <w:szCs w:val="24"/>
        </w:rPr>
      </w:pPr>
    </w:p>
    <w:p w14:paraId="0F3583DD" w14:textId="77777777" w:rsidR="006842EE" w:rsidRPr="00F377EE" w:rsidRDefault="006842EE" w:rsidP="00C67D77">
      <w:pPr>
        <w:pStyle w:val="NoSpacing"/>
        <w:rPr>
          <w:szCs w:val="24"/>
        </w:rPr>
      </w:pPr>
      <w:r w:rsidRPr="00F377EE">
        <w:rPr>
          <w:szCs w:val="24"/>
        </w:rPr>
        <w:t xml:space="preserve">The WBU maintains that broadcasters’ use of the UHF spectrum requires stability in the Radio Regulations in order to be delivered. Indeed, introducing changes at this time would likely jeopardise the investment required to maximise public value from the UHF spectrum. </w:t>
      </w:r>
    </w:p>
    <w:p w14:paraId="1310799F" w14:textId="77777777" w:rsidR="006842EE" w:rsidRPr="00F377EE" w:rsidRDefault="006842EE" w:rsidP="00C67D77">
      <w:pPr>
        <w:pStyle w:val="NoSpacing"/>
        <w:rPr>
          <w:rFonts w:eastAsiaTheme="minorHAnsi"/>
          <w:szCs w:val="24"/>
        </w:rPr>
      </w:pPr>
      <w:r w:rsidRPr="00D66A6B">
        <w:rPr>
          <w:szCs w:val="24"/>
        </w:rPr>
        <w:t xml:space="preserve">The EBU has published a </w:t>
      </w:r>
      <w:hyperlink r:id="rId8" w:history="1">
        <w:r w:rsidRPr="00D66A6B">
          <w:rPr>
            <w:rStyle w:val="Hyperlink"/>
            <w:szCs w:val="24"/>
          </w:rPr>
          <w:t>White Paper</w:t>
        </w:r>
      </w:hyperlink>
      <w:r w:rsidRPr="00D66A6B">
        <w:rPr>
          <w:szCs w:val="24"/>
        </w:rPr>
        <w:t xml:space="preserve"> setting out the rationale for the above position.</w:t>
      </w:r>
    </w:p>
    <w:p w14:paraId="671DF596" w14:textId="77777777" w:rsidR="00D24B09" w:rsidRPr="00F377EE" w:rsidRDefault="00D24B09" w:rsidP="00C67D77">
      <w:pPr>
        <w:pStyle w:val="NoSpacing"/>
        <w:rPr>
          <w:b/>
          <w:bCs/>
          <w:szCs w:val="24"/>
        </w:rPr>
      </w:pPr>
    </w:p>
    <w:p w14:paraId="72108723" w14:textId="7B0CE5E1" w:rsidR="00D24B09" w:rsidRPr="00F377EE" w:rsidRDefault="00D24B09" w:rsidP="00C67D77">
      <w:pPr>
        <w:pStyle w:val="NoSpacing"/>
        <w:rPr>
          <w:b/>
          <w:bCs/>
          <w:szCs w:val="24"/>
        </w:rPr>
      </w:pPr>
      <w:r w:rsidRPr="00F377EE">
        <w:rPr>
          <w:b/>
          <w:bCs/>
          <w:szCs w:val="24"/>
        </w:rPr>
        <w:t>World Broadcasting Unions</w:t>
      </w:r>
      <w:r w:rsidR="00F377EE">
        <w:rPr>
          <w:b/>
          <w:bCs/>
          <w:szCs w:val="24"/>
        </w:rPr>
        <w:t>’</w:t>
      </w:r>
      <w:r w:rsidRPr="00F377EE">
        <w:rPr>
          <w:b/>
          <w:bCs/>
          <w:szCs w:val="24"/>
        </w:rPr>
        <w:t xml:space="preserve"> Position</w:t>
      </w:r>
    </w:p>
    <w:p w14:paraId="4F6ED661" w14:textId="45028B69" w:rsidR="006842EE" w:rsidRPr="00F377EE" w:rsidRDefault="006842EE" w:rsidP="00C67D77">
      <w:pPr>
        <w:pStyle w:val="NoSpacing"/>
        <w:rPr>
          <w:szCs w:val="24"/>
          <w:lang w:val="en-CA"/>
        </w:rPr>
      </w:pPr>
      <w:r w:rsidRPr="00F377EE">
        <w:rPr>
          <w:szCs w:val="24"/>
        </w:rPr>
        <w:t>The W</w:t>
      </w:r>
      <w:r w:rsidR="00D24B09" w:rsidRPr="00F377EE">
        <w:rPr>
          <w:szCs w:val="24"/>
        </w:rPr>
        <w:t>BU-TC</w:t>
      </w:r>
      <w:r w:rsidRPr="00F377EE">
        <w:rPr>
          <w:szCs w:val="24"/>
        </w:rPr>
        <w:t xml:space="preserve"> therefore supports a position of No Change to the Radio Regulations under WRC-23 Agenda Item 1.5 for Region 1. </w:t>
      </w:r>
      <w:bookmarkEnd w:id="11"/>
      <w:r w:rsidRPr="00F377EE">
        <w:rPr>
          <w:szCs w:val="24"/>
          <w:lang w:val="en-CA"/>
        </w:rPr>
        <w:t>For Regions 2 and 3, the W</w:t>
      </w:r>
      <w:r w:rsidR="00D24B09" w:rsidRPr="00F377EE">
        <w:rPr>
          <w:szCs w:val="24"/>
          <w:lang w:val="en-CA"/>
        </w:rPr>
        <w:t>BU-TC</w:t>
      </w:r>
      <w:r w:rsidRPr="00F377EE">
        <w:rPr>
          <w:szCs w:val="24"/>
          <w:lang w:val="en-CA"/>
        </w:rPr>
        <w:t xml:space="preserve"> position is that no further reduction to the UHF spectrum for broadcasting is acceptable. </w:t>
      </w:r>
    </w:p>
    <w:p w14:paraId="50EA330E" w14:textId="77777777" w:rsidR="00C05A3C" w:rsidRDefault="00C05A3C" w:rsidP="00C05A3C">
      <w:pPr>
        <w:pStyle w:val="NoSpacing"/>
        <w:rPr>
          <w:rFonts w:eastAsiaTheme="minorHAnsi"/>
          <w:lang w:val="en-CA"/>
        </w:rPr>
      </w:pPr>
    </w:p>
    <w:p w14:paraId="43B57188" w14:textId="77777777" w:rsidR="00C05A3C" w:rsidRPr="00F377EE" w:rsidRDefault="00C05A3C" w:rsidP="00C05A3C">
      <w:pPr>
        <w:pStyle w:val="NoSpacing"/>
        <w:rPr>
          <w:rFonts w:eastAsiaTheme="minorHAnsi"/>
          <w:lang w:val="en-CA"/>
        </w:rPr>
      </w:pPr>
    </w:p>
    <w:p w14:paraId="00F53FA5" w14:textId="7C8AC05A" w:rsidR="00D24B09" w:rsidRPr="00C67D77" w:rsidRDefault="00D24B09" w:rsidP="00C67D77">
      <w:pPr>
        <w:pStyle w:val="NoSpacing"/>
        <w:rPr>
          <w:rFonts w:eastAsia="Calibri"/>
          <w:b/>
          <w:bCs/>
        </w:rPr>
      </w:pPr>
      <w:r w:rsidRPr="00C67D77">
        <w:rPr>
          <w:rFonts w:eastAsia="Calibri"/>
          <w:b/>
          <w:bCs/>
        </w:rPr>
        <w:t>Annex 5: WBU-TC Position on WRC-23 Agenda Item 1.12</w:t>
      </w:r>
    </w:p>
    <w:p w14:paraId="58591F56" w14:textId="77777777" w:rsidR="00DE17C0" w:rsidRDefault="00DE17C0" w:rsidP="00DE17C0">
      <w:pPr>
        <w:pStyle w:val="NoSpacing"/>
        <w:rPr>
          <w:rFonts w:eastAsiaTheme="minorHAnsi"/>
          <w:lang w:val="en-CA"/>
        </w:rPr>
      </w:pPr>
    </w:p>
    <w:p w14:paraId="0265DDEA" w14:textId="0B33ABF9" w:rsidR="00D24B09" w:rsidRPr="00F377EE" w:rsidRDefault="00D24B09" w:rsidP="00C67D77">
      <w:pPr>
        <w:pStyle w:val="NoSpacing"/>
        <w:rPr>
          <w:rFonts w:eastAsiaTheme="minorHAnsi"/>
          <w:lang w:val="en-CA"/>
        </w:rPr>
      </w:pPr>
      <w:r w:rsidRPr="00F377EE">
        <w:rPr>
          <w:rFonts w:eastAsiaTheme="minorHAnsi"/>
          <w:lang w:val="en-CA"/>
        </w:rPr>
        <w:t xml:space="preserve">To conduct, and complete in time for WRC-23, studies for a possible new secondary allocation to the Earth exploration-satellite (active) service for spaceborne radar sounders within the range of frequencies around 45 MHz, </w:t>
      </w:r>
      <w:proofErr w:type="gramStart"/>
      <w:r w:rsidRPr="00F377EE">
        <w:rPr>
          <w:rFonts w:eastAsiaTheme="minorHAnsi"/>
          <w:lang w:val="en-CA"/>
        </w:rPr>
        <w:t>taking into account</w:t>
      </w:r>
      <w:proofErr w:type="gramEnd"/>
      <w:r w:rsidRPr="00F377EE">
        <w:rPr>
          <w:rFonts w:eastAsiaTheme="minorHAnsi"/>
          <w:lang w:val="en-CA"/>
        </w:rPr>
        <w:t xml:space="preserve"> the protection of incumbent services, including in adjacent bands, in accordance with Resolution 656 (Rev. WRC-19).</w:t>
      </w:r>
    </w:p>
    <w:p w14:paraId="1E343ACA" w14:textId="77777777" w:rsidR="00DE17C0" w:rsidRDefault="00DE17C0" w:rsidP="00D24B09">
      <w:pPr>
        <w:tabs>
          <w:tab w:val="clear" w:pos="1134"/>
          <w:tab w:val="clear" w:pos="1871"/>
          <w:tab w:val="clear" w:pos="2268"/>
          <w:tab w:val="left" w:pos="340"/>
        </w:tabs>
        <w:overflowPunct/>
        <w:autoSpaceDE/>
        <w:autoSpaceDN/>
        <w:adjustRightInd/>
        <w:spacing w:before="60"/>
        <w:ind w:left="360" w:hanging="360"/>
        <w:textAlignment w:val="auto"/>
        <w:rPr>
          <w:rFonts w:eastAsia="Calibri"/>
          <w:b/>
          <w:bCs/>
          <w:szCs w:val="24"/>
        </w:rPr>
      </w:pPr>
    </w:p>
    <w:p w14:paraId="18FF0B8A" w14:textId="4DE325F6" w:rsidR="00D24B09" w:rsidRPr="00F377EE" w:rsidRDefault="00D24B09" w:rsidP="00D24B09">
      <w:pPr>
        <w:tabs>
          <w:tab w:val="clear" w:pos="1134"/>
          <w:tab w:val="clear" w:pos="1871"/>
          <w:tab w:val="clear" w:pos="2268"/>
          <w:tab w:val="left" w:pos="340"/>
        </w:tabs>
        <w:overflowPunct/>
        <w:autoSpaceDE/>
        <w:autoSpaceDN/>
        <w:adjustRightInd/>
        <w:spacing w:before="60"/>
        <w:ind w:left="360" w:hanging="360"/>
        <w:textAlignment w:val="auto"/>
        <w:rPr>
          <w:rFonts w:eastAsia="Calibri"/>
          <w:b/>
          <w:bCs/>
          <w:szCs w:val="24"/>
        </w:rPr>
      </w:pPr>
      <w:r w:rsidRPr="00F377EE">
        <w:rPr>
          <w:rFonts w:eastAsia="Calibri"/>
          <w:b/>
          <w:bCs/>
          <w:szCs w:val="24"/>
        </w:rPr>
        <w:t>World Broadcasting Unions</w:t>
      </w:r>
      <w:r w:rsidR="00F377EE">
        <w:rPr>
          <w:rFonts w:eastAsia="Calibri"/>
          <w:b/>
          <w:bCs/>
          <w:szCs w:val="24"/>
        </w:rPr>
        <w:t>’</w:t>
      </w:r>
      <w:r w:rsidRPr="00F377EE">
        <w:rPr>
          <w:rFonts w:eastAsia="Calibri"/>
          <w:b/>
          <w:bCs/>
          <w:szCs w:val="24"/>
        </w:rPr>
        <w:t xml:space="preserve"> Position</w:t>
      </w:r>
    </w:p>
    <w:p w14:paraId="0B680515" w14:textId="6B0914D6" w:rsidR="00D24B09" w:rsidRPr="00F377EE" w:rsidRDefault="00D24B09" w:rsidP="00D24B09">
      <w:pPr>
        <w:tabs>
          <w:tab w:val="clear" w:pos="1134"/>
          <w:tab w:val="clear" w:pos="1871"/>
          <w:tab w:val="clear" w:pos="2268"/>
        </w:tabs>
        <w:overflowPunct/>
        <w:autoSpaceDE/>
        <w:autoSpaceDN/>
        <w:adjustRightInd/>
        <w:spacing w:before="0" w:after="160" w:line="259" w:lineRule="auto"/>
        <w:textAlignment w:val="auto"/>
        <w:rPr>
          <w:rFonts w:eastAsiaTheme="minorHAnsi"/>
          <w:szCs w:val="24"/>
          <w:lang w:val="en-CA"/>
        </w:rPr>
      </w:pPr>
      <w:r w:rsidRPr="00F377EE">
        <w:rPr>
          <w:rFonts w:eastAsiaTheme="minorHAnsi"/>
          <w:szCs w:val="24"/>
          <w:lang w:val="en-CA"/>
        </w:rPr>
        <w:t>The WBU-TC points out that the Broadcasting Service is allocated, on a primary basis, spectrum at 54 MHz, which is above the proposed frequency band.</w:t>
      </w:r>
    </w:p>
    <w:p w14:paraId="3097B20C" w14:textId="45425C51" w:rsidR="00D24B09" w:rsidRPr="00F377EE" w:rsidRDefault="00D24B09" w:rsidP="00D24B09">
      <w:pPr>
        <w:tabs>
          <w:tab w:val="clear" w:pos="1134"/>
          <w:tab w:val="clear" w:pos="1871"/>
          <w:tab w:val="clear" w:pos="2268"/>
        </w:tabs>
        <w:overflowPunct/>
        <w:autoSpaceDE/>
        <w:autoSpaceDN/>
        <w:adjustRightInd/>
        <w:spacing w:before="0" w:after="160" w:line="259" w:lineRule="auto"/>
        <w:textAlignment w:val="auto"/>
        <w:rPr>
          <w:rFonts w:eastAsiaTheme="minorHAnsi"/>
          <w:szCs w:val="24"/>
          <w:lang w:val="en-CA"/>
        </w:rPr>
      </w:pPr>
      <w:r w:rsidRPr="00F377EE">
        <w:rPr>
          <w:rFonts w:eastAsiaTheme="minorHAnsi"/>
          <w:szCs w:val="24"/>
          <w:lang w:val="en-CA"/>
        </w:rPr>
        <w:t xml:space="preserve">The World Broadcasting Union contends that no new secondary allocation at or around 45 MHz shall cause any in-band or out-of-band interference to existing or planned Broadcasting Services. </w:t>
      </w:r>
    </w:p>
    <w:p w14:paraId="08363C2B" w14:textId="77777777" w:rsidR="00C05A3C" w:rsidRDefault="00C05A3C" w:rsidP="00C05A3C">
      <w:pPr>
        <w:pStyle w:val="NoSpacing"/>
        <w:rPr>
          <w:rFonts w:eastAsiaTheme="minorHAnsi"/>
          <w:lang w:val="en-CA"/>
        </w:rPr>
      </w:pPr>
    </w:p>
    <w:p w14:paraId="23AEFED0" w14:textId="77777777" w:rsidR="00C05A3C" w:rsidRPr="00F377EE" w:rsidRDefault="00C05A3C" w:rsidP="00C05A3C">
      <w:pPr>
        <w:pStyle w:val="NoSpacing"/>
        <w:rPr>
          <w:rFonts w:eastAsiaTheme="minorHAnsi"/>
          <w:lang w:val="en-CA"/>
        </w:rPr>
      </w:pPr>
    </w:p>
    <w:p w14:paraId="1AC9B869" w14:textId="36E504B5" w:rsidR="00D24B09" w:rsidRPr="00C67D77" w:rsidRDefault="00D24B09" w:rsidP="00C67D77">
      <w:pPr>
        <w:pStyle w:val="NoSpacing"/>
        <w:rPr>
          <w:rFonts w:eastAsia="Calibri"/>
          <w:b/>
          <w:bCs/>
        </w:rPr>
      </w:pPr>
      <w:r w:rsidRPr="00C67D77">
        <w:rPr>
          <w:rFonts w:eastAsia="Calibri"/>
          <w:b/>
          <w:bCs/>
        </w:rPr>
        <w:t>Annex 6: WBU-TC Position on WRC-23 Agenda Item 8</w:t>
      </w:r>
    </w:p>
    <w:p w14:paraId="2C1BE24C" w14:textId="77777777" w:rsidR="0034250B" w:rsidRDefault="0034250B" w:rsidP="00DE17C0">
      <w:pPr>
        <w:pStyle w:val="NoSpacing"/>
        <w:rPr>
          <w:rFonts w:eastAsiaTheme="minorHAnsi"/>
          <w:lang w:val="en-CA"/>
        </w:rPr>
      </w:pPr>
    </w:p>
    <w:p w14:paraId="0024A105" w14:textId="44EBFB7E" w:rsidR="00D24B09" w:rsidRPr="00F377EE" w:rsidRDefault="00D24B09" w:rsidP="00C67D77">
      <w:pPr>
        <w:pStyle w:val="NoSpacing"/>
        <w:rPr>
          <w:rFonts w:eastAsiaTheme="minorHAnsi"/>
          <w:lang w:val="en-CA"/>
        </w:rPr>
      </w:pPr>
      <w:r w:rsidRPr="00F377EE">
        <w:rPr>
          <w:rFonts w:eastAsiaTheme="minorHAnsi"/>
          <w:lang w:val="en-CA"/>
        </w:rPr>
        <w:t xml:space="preserve">To consider and take appropriate action on requests from Administrations to delete their country footnotes to have their country name deleted from footnotes, if no longer required, </w:t>
      </w:r>
      <w:proofErr w:type="gramStart"/>
      <w:r w:rsidRPr="00F377EE">
        <w:rPr>
          <w:rFonts w:eastAsiaTheme="minorHAnsi"/>
          <w:lang w:val="en-CA"/>
        </w:rPr>
        <w:t>taking into account</w:t>
      </w:r>
      <w:proofErr w:type="gramEnd"/>
      <w:r w:rsidRPr="00F377EE">
        <w:rPr>
          <w:rFonts w:eastAsiaTheme="minorHAnsi"/>
          <w:lang w:val="en-CA"/>
        </w:rPr>
        <w:t xml:space="preserve"> Resolution 26 (Rev. WRC-19).</w:t>
      </w:r>
    </w:p>
    <w:p w14:paraId="1841EB33" w14:textId="77777777" w:rsidR="00D24B09" w:rsidRPr="00F377EE" w:rsidRDefault="00D24B09" w:rsidP="00C67D77">
      <w:pPr>
        <w:pStyle w:val="NoSpacing"/>
        <w:rPr>
          <w:rFonts w:eastAsia="Calibri"/>
        </w:rPr>
      </w:pPr>
    </w:p>
    <w:p w14:paraId="33E8C7B7" w14:textId="77777777" w:rsidR="00D24B09" w:rsidRPr="00C67D77" w:rsidRDefault="00D24B09" w:rsidP="00C67D77">
      <w:pPr>
        <w:pStyle w:val="NoSpacing"/>
        <w:rPr>
          <w:rFonts w:eastAsia="Calibri"/>
          <w:b/>
          <w:bCs/>
        </w:rPr>
      </w:pPr>
      <w:r w:rsidRPr="00C67D77">
        <w:rPr>
          <w:rFonts w:eastAsia="Calibri"/>
          <w:b/>
          <w:bCs/>
        </w:rPr>
        <w:t>World Broadcasting Unions’ Position</w:t>
      </w:r>
    </w:p>
    <w:p w14:paraId="06E46680" w14:textId="2F7A453E" w:rsidR="00D24B09" w:rsidRPr="00F377EE" w:rsidRDefault="00D24B09" w:rsidP="00C67D77">
      <w:pPr>
        <w:pStyle w:val="NoSpacing"/>
        <w:rPr>
          <w:rFonts w:eastAsiaTheme="minorHAnsi"/>
          <w:lang w:val="en-CA"/>
        </w:rPr>
      </w:pPr>
      <w:r w:rsidRPr="00F377EE">
        <w:rPr>
          <w:rFonts w:eastAsiaTheme="minorHAnsi"/>
          <w:lang w:val="en-CA"/>
        </w:rPr>
        <w:t xml:space="preserve">The WBU-TC urges all Administrations to review </w:t>
      </w:r>
      <w:proofErr w:type="gramStart"/>
      <w:r w:rsidRPr="00F377EE">
        <w:rPr>
          <w:rFonts w:eastAsiaTheme="minorHAnsi"/>
          <w:lang w:val="en-CA"/>
        </w:rPr>
        <w:t>all of</w:t>
      </w:r>
      <w:proofErr w:type="gramEnd"/>
      <w:r w:rsidRPr="00F377EE">
        <w:rPr>
          <w:rFonts w:eastAsiaTheme="minorHAnsi"/>
          <w:lang w:val="en-CA"/>
        </w:rPr>
        <w:t xml:space="preserve"> their existing footnotes with the specific goal of eliminating all those which are either no longer relevant or no longer required.</w:t>
      </w:r>
    </w:p>
    <w:p w14:paraId="033CFC58" w14:textId="7D7F722B" w:rsidR="00D24B09" w:rsidRPr="00F377EE" w:rsidRDefault="00D24B09" w:rsidP="00C67D77">
      <w:pPr>
        <w:pStyle w:val="NoSpacing"/>
        <w:rPr>
          <w:rFonts w:eastAsiaTheme="minorHAnsi"/>
          <w:lang w:val="en-CA"/>
        </w:rPr>
      </w:pPr>
      <w:r w:rsidRPr="00F377EE">
        <w:rPr>
          <w:rFonts w:eastAsiaTheme="minorHAnsi"/>
          <w:lang w:val="en-CA"/>
        </w:rPr>
        <w:t>The WBU opposes any Administration adding themselves to existing footnotes or adding new footnotes, as such actions are not within the scope of the WRC-23 Agenda.</w:t>
      </w:r>
    </w:p>
    <w:p w14:paraId="76D0D570" w14:textId="2BC644E0" w:rsidR="00C05A3C" w:rsidRDefault="00C05A3C" w:rsidP="00C05A3C">
      <w:pPr>
        <w:pStyle w:val="NoSpacing"/>
        <w:rPr>
          <w:rFonts w:eastAsiaTheme="minorHAnsi"/>
          <w:lang w:val="en-CA"/>
        </w:rPr>
      </w:pPr>
    </w:p>
    <w:p w14:paraId="704D128C" w14:textId="77777777" w:rsidR="00C05A3C" w:rsidRDefault="00C05A3C" w:rsidP="00C05A3C">
      <w:pPr>
        <w:pStyle w:val="NoSpacing"/>
        <w:rPr>
          <w:rFonts w:eastAsiaTheme="minorHAnsi"/>
          <w:lang w:val="en-CA"/>
        </w:rPr>
      </w:pPr>
    </w:p>
    <w:p w14:paraId="1F52B795" w14:textId="77777777" w:rsidR="00C05A3C" w:rsidRDefault="00C05A3C" w:rsidP="00DE17C0">
      <w:pPr>
        <w:pStyle w:val="NoSpacing"/>
        <w:rPr>
          <w:rFonts w:eastAsia="Calibri"/>
          <w:b/>
          <w:bCs/>
        </w:rPr>
      </w:pPr>
    </w:p>
    <w:p w14:paraId="465DEB2E" w14:textId="77777777" w:rsidR="00C05A3C" w:rsidRDefault="00C05A3C" w:rsidP="00DE17C0">
      <w:pPr>
        <w:pStyle w:val="NoSpacing"/>
        <w:rPr>
          <w:rFonts w:eastAsia="Calibri"/>
          <w:b/>
          <w:bCs/>
        </w:rPr>
      </w:pPr>
    </w:p>
    <w:p w14:paraId="20B56519" w14:textId="77777777" w:rsidR="00C05A3C" w:rsidRDefault="00C05A3C" w:rsidP="00DE17C0">
      <w:pPr>
        <w:pStyle w:val="NoSpacing"/>
        <w:rPr>
          <w:rFonts w:eastAsia="Calibri"/>
          <w:b/>
          <w:bCs/>
        </w:rPr>
      </w:pPr>
    </w:p>
    <w:p w14:paraId="309816A4" w14:textId="77777777" w:rsidR="00C05A3C" w:rsidRDefault="00C05A3C" w:rsidP="00DE17C0">
      <w:pPr>
        <w:pStyle w:val="NoSpacing"/>
        <w:rPr>
          <w:rFonts w:eastAsia="Calibri"/>
          <w:b/>
          <w:bCs/>
        </w:rPr>
      </w:pPr>
    </w:p>
    <w:p w14:paraId="51840FD3" w14:textId="130B390B" w:rsidR="00D24B09" w:rsidRPr="00C67D77" w:rsidRDefault="00D24B09" w:rsidP="00C67D77">
      <w:pPr>
        <w:pStyle w:val="NoSpacing"/>
        <w:rPr>
          <w:rFonts w:eastAsia="Calibri"/>
          <w:b/>
          <w:bCs/>
        </w:rPr>
      </w:pPr>
      <w:r w:rsidRPr="00C67D77">
        <w:rPr>
          <w:rFonts w:eastAsia="Calibri"/>
          <w:b/>
          <w:bCs/>
        </w:rPr>
        <w:lastRenderedPageBreak/>
        <w:t>Annex 7: WBU-TC Position on WRC-23 Agenda Item 9.1c</w:t>
      </w:r>
    </w:p>
    <w:p w14:paraId="413FAA00" w14:textId="77777777" w:rsidR="0034250B" w:rsidRDefault="0034250B" w:rsidP="00DE17C0">
      <w:pPr>
        <w:pStyle w:val="NoSpacing"/>
      </w:pPr>
    </w:p>
    <w:p w14:paraId="077B64CB" w14:textId="7E1330AF" w:rsidR="00D66A6B" w:rsidRPr="00F377EE" w:rsidRDefault="00D66A6B" w:rsidP="00C67D77">
      <w:pPr>
        <w:pStyle w:val="NoSpacing"/>
      </w:pPr>
      <w:r w:rsidRPr="00F377EE">
        <w:t>To study the use of International Mobile Telecommunication system for fixed wireless broadband in the frequency bands allocated to the fixed services on primary basis, in accordance with Resolution 175 (WRC‑19).</w:t>
      </w:r>
    </w:p>
    <w:p w14:paraId="44F1303E" w14:textId="77777777" w:rsidR="00D66A6B" w:rsidRPr="00F377EE" w:rsidRDefault="00D66A6B" w:rsidP="00D66A6B">
      <w:pPr>
        <w:tabs>
          <w:tab w:val="clear" w:pos="1134"/>
          <w:tab w:val="clear" w:pos="1871"/>
          <w:tab w:val="clear" w:pos="2268"/>
          <w:tab w:val="left" w:pos="340"/>
        </w:tabs>
        <w:overflowPunct/>
        <w:autoSpaceDE/>
        <w:autoSpaceDN/>
        <w:adjustRightInd/>
        <w:spacing w:before="60"/>
        <w:ind w:left="360" w:hanging="360"/>
        <w:textAlignment w:val="auto"/>
        <w:rPr>
          <w:rFonts w:eastAsia="Calibri"/>
          <w:b/>
          <w:bCs/>
          <w:szCs w:val="24"/>
        </w:rPr>
      </w:pPr>
    </w:p>
    <w:p w14:paraId="5C039850" w14:textId="3C565FA2" w:rsidR="00D66A6B" w:rsidRPr="00C67D77" w:rsidRDefault="00D66A6B" w:rsidP="00C67D77">
      <w:pPr>
        <w:pStyle w:val="NoSpacing"/>
        <w:rPr>
          <w:rFonts w:eastAsia="Calibri"/>
          <w:b/>
          <w:bCs/>
        </w:rPr>
      </w:pPr>
      <w:r w:rsidRPr="00C67D77">
        <w:rPr>
          <w:rFonts w:eastAsia="Calibri"/>
          <w:b/>
          <w:bCs/>
        </w:rPr>
        <w:t>World Broadcasting Unions’ Position</w:t>
      </w:r>
    </w:p>
    <w:p w14:paraId="7417EE7F" w14:textId="44FCF596" w:rsidR="00D66A6B" w:rsidRDefault="00D66A6B" w:rsidP="00DE17C0">
      <w:pPr>
        <w:pStyle w:val="NoSpacing"/>
      </w:pPr>
      <w:r w:rsidRPr="00F377EE">
        <w:t>The WBU-TC notes that topics under Agenda Item 9.1 do not have the same status as full agenda items and that (as detailed in Annex 4 of Administrative Circular CA/251, the Report of CPM-23) Working Parties 5A and 5C have been invited to simply prepare a short summary of the results of the studies on topic “c” for the CPM Report.</w:t>
      </w:r>
    </w:p>
    <w:p w14:paraId="37665854" w14:textId="77777777" w:rsidR="00DE17C0" w:rsidRPr="00F377EE" w:rsidRDefault="00DE17C0" w:rsidP="00C67D77">
      <w:pPr>
        <w:pStyle w:val="NoSpacing"/>
      </w:pPr>
    </w:p>
    <w:p w14:paraId="55258708" w14:textId="1D2C5A52" w:rsidR="00D66A6B" w:rsidRDefault="00D66A6B" w:rsidP="00DE17C0">
      <w:pPr>
        <w:pStyle w:val="NoSpacing"/>
        <w:rPr>
          <w:szCs w:val="24"/>
        </w:rPr>
      </w:pPr>
      <w:r w:rsidRPr="00F377EE">
        <w:rPr>
          <w:szCs w:val="24"/>
        </w:rPr>
        <w:t xml:space="preserve">This topic does not address any particular frequency band. The WBU-TC notes that in many bands allocated to the fixed services on a primary basis, there are also primary allocations to other services used by broadcasters for many different applications including terrestrial broadcasting, satellite Direct-To-Home reception, </w:t>
      </w:r>
      <w:proofErr w:type="gramStart"/>
      <w:r w:rsidRPr="00F377EE">
        <w:rPr>
          <w:szCs w:val="24"/>
        </w:rPr>
        <w:t>contribution</w:t>
      </w:r>
      <w:proofErr w:type="gramEnd"/>
      <w:r w:rsidRPr="00F377EE">
        <w:rPr>
          <w:szCs w:val="24"/>
        </w:rPr>
        <w:t xml:space="preserve"> and distribution to cable head-ends. Studies are necessary to protect those services with primary allocations in the frequency bands which might be considered in any studies to be done, as well as in adjacent frequency bands, </w:t>
      </w:r>
      <w:proofErr w:type="gramStart"/>
      <w:r w:rsidRPr="00F377EE">
        <w:rPr>
          <w:szCs w:val="24"/>
        </w:rPr>
        <w:t>taking into account</w:t>
      </w:r>
      <w:proofErr w:type="gramEnd"/>
      <w:r w:rsidRPr="00F377EE">
        <w:rPr>
          <w:szCs w:val="24"/>
        </w:rPr>
        <w:t xml:space="preserve"> the planned development of the affected services.</w:t>
      </w:r>
    </w:p>
    <w:p w14:paraId="4991CB4A" w14:textId="77777777" w:rsidR="00DE17C0" w:rsidRPr="00F377EE" w:rsidRDefault="00DE17C0" w:rsidP="00C67D77">
      <w:pPr>
        <w:pStyle w:val="NoSpacing"/>
        <w:rPr>
          <w:szCs w:val="24"/>
        </w:rPr>
      </w:pPr>
    </w:p>
    <w:p w14:paraId="1BBA125A" w14:textId="77777777" w:rsidR="00D66A6B" w:rsidRPr="00F377EE" w:rsidRDefault="00D66A6B" w:rsidP="00C67D77">
      <w:pPr>
        <w:pStyle w:val="NoSpacing"/>
        <w:rPr>
          <w:szCs w:val="24"/>
        </w:rPr>
      </w:pPr>
      <w:r w:rsidRPr="00F377EE">
        <w:rPr>
          <w:szCs w:val="24"/>
        </w:rPr>
        <w:t>The WBU-TC believes that use of IMT for fixed wireless broadband in bands allocated to the fixed service can be addressed at the Study Group and Working Party level and through any necessary revision of ITU-R Recommendations or Reports as per the results of studies performed. The WBU-TC believes that studies under Agenda Item 9.1 should not result in any regulatory change and that there should be no change to the Radio Regulations.</w:t>
      </w:r>
    </w:p>
    <w:p w14:paraId="4C5ED55F" w14:textId="77777777" w:rsidR="00D66A6B" w:rsidRPr="00F377EE" w:rsidRDefault="00D66A6B" w:rsidP="00C67D77">
      <w:pPr>
        <w:pStyle w:val="NoSpacing"/>
        <w:rPr>
          <w:szCs w:val="24"/>
        </w:rPr>
      </w:pPr>
    </w:p>
    <w:p w14:paraId="4FF55492" w14:textId="77777777" w:rsidR="00D24B09" w:rsidRPr="00D24B09" w:rsidRDefault="00D24B09" w:rsidP="00D66A6B">
      <w:pPr>
        <w:tabs>
          <w:tab w:val="clear" w:pos="1134"/>
          <w:tab w:val="clear" w:pos="1871"/>
          <w:tab w:val="clear" w:pos="2268"/>
        </w:tabs>
        <w:overflowPunct/>
        <w:autoSpaceDE/>
        <w:autoSpaceDN/>
        <w:adjustRightInd/>
        <w:spacing w:before="0" w:after="160" w:line="259" w:lineRule="auto"/>
        <w:textAlignment w:val="auto"/>
        <w:rPr>
          <w:rFonts w:ascii="Arial" w:eastAsiaTheme="minorHAnsi" w:hAnsi="Arial" w:cs="Arial"/>
          <w:sz w:val="20"/>
          <w:lang w:val="en-CA"/>
        </w:rPr>
      </w:pPr>
    </w:p>
    <w:p w14:paraId="18BDED88" w14:textId="77777777" w:rsidR="00D24B09" w:rsidRPr="00D24B09" w:rsidRDefault="00D24B09" w:rsidP="00D24B09">
      <w:pPr>
        <w:tabs>
          <w:tab w:val="clear" w:pos="1134"/>
          <w:tab w:val="clear" w:pos="1871"/>
          <w:tab w:val="clear" w:pos="2268"/>
        </w:tabs>
        <w:overflowPunct/>
        <w:autoSpaceDE/>
        <w:autoSpaceDN/>
        <w:adjustRightInd/>
        <w:spacing w:before="0" w:after="160" w:line="259" w:lineRule="auto"/>
        <w:textAlignment w:val="auto"/>
        <w:rPr>
          <w:rFonts w:ascii="Arial" w:eastAsiaTheme="minorHAnsi" w:hAnsi="Arial" w:cs="Arial"/>
          <w:sz w:val="20"/>
          <w:lang w:val="en-CA"/>
        </w:rPr>
      </w:pPr>
    </w:p>
    <w:p w14:paraId="41FF4FE2" w14:textId="77777777" w:rsidR="006842EE" w:rsidRPr="00F377EE" w:rsidRDefault="006842EE" w:rsidP="00FC08E4">
      <w:pPr>
        <w:tabs>
          <w:tab w:val="clear" w:pos="1134"/>
          <w:tab w:val="clear" w:pos="1871"/>
          <w:tab w:val="clear" w:pos="2268"/>
        </w:tabs>
        <w:overflowPunct/>
        <w:autoSpaceDE/>
        <w:autoSpaceDN/>
        <w:adjustRightInd/>
        <w:spacing w:before="0" w:after="160" w:line="259" w:lineRule="auto"/>
        <w:textAlignment w:val="auto"/>
        <w:rPr>
          <w:lang w:val="en-CA"/>
        </w:rPr>
      </w:pPr>
    </w:p>
    <w:sectPr w:rsidR="006842EE" w:rsidRPr="00F377EE" w:rsidSect="00615168">
      <w:headerReference w:type="default" r:id="rId9"/>
      <w:footerReference w:type="default" r:id="rId10"/>
      <w:footerReference w:type="first" r:id="rId11"/>
      <w:pgSz w:w="11907" w:h="16834"/>
      <w:pgMar w:top="1418" w:right="1134" w:bottom="1418" w:left="1134" w:header="567"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8F029" w14:textId="77777777" w:rsidR="00B82C51" w:rsidRDefault="00B82C51">
      <w:r>
        <w:separator/>
      </w:r>
    </w:p>
  </w:endnote>
  <w:endnote w:type="continuationSeparator" w:id="0">
    <w:p w14:paraId="2FA9652C" w14:textId="77777777" w:rsidR="00B82C51" w:rsidRDefault="00B82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03EBE" w14:textId="6DEC0461" w:rsidR="00FA124A" w:rsidRPr="002F7CB3" w:rsidRDefault="0009748C">
    <w:pPr>
      <w:pStyle w:val="Footer"/>
      <w:rPr>
        <w:lang w:val="en-US"/>
      </w:rPr>
    </w:pPr>
    <w:fldSimple w:instr=" FILENAME \p \* MERGEFORMAT ">
      <w:r w:rsidR="00DF37CC" w:rsidRPr="00DF37CC">
        <w:rPr>
          <w:lang w:val="en-US"/>
        </w:rPr>
        <w:t>M</w:t>
      </w:r>
      <w:r w:rsidR="00DF37CC">
        <w:t>:\BRSGD\TEXT2019\WRC-23-IRW-21\000\013-e.docx</w:t>
      </w:r>
    </w:fldSimple>
    <w:r w:rsidR="00FA124A" w:rsidRPr="002F7CB3">
      <w:rPr>
        <w:lang w:val="en-US"/>
      </w:rPr>
      <w:tab/>
    </w:r>
    <w:r w:rsidR="00D02712">
      <w:fldChar w:fldCharType="begin"/>
    </w:r>
    <w:r w:rsidR="00FA124A">
      <w:instrText xml:space="preserve"> savedate \@ dd.MM.yy </w:instrText>
    </w:r>
    <w:r w:rsidR="00D02712">
      <w:fldChar w:fldCharType="separate"/>
    </w:r>
    <w:r w:rsidR="00DF37CC">
      <w:t>08.12.21</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DA1373">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A1A96" w14:textId="0DE0B0A7" w:rsidR="00DF37CC" w:rsidRPr="00DF37CC" w:rsidRDefault="00DF37CC">
    <w:pPr>
      <w:pStyle w:val="Footer"/>
      <w:rPr>
        <w:lang w:val="en-US"/>
      </w:rPr>
    </w:pPr>
    <w:r>
      <w:fldChar w:fldCharType="begin"/>
    </w:r>
    <w:r>
      <w:instrText xml:space="preserve"> FILENAME \p \* MERGEFORMAT </w:instrText>
    </w:r>
    <w:r>
      <w:fldChar w:fldCharType="separate"/>
    </w:r>
    <w:r w:rsidRPr="00DF37CC">
      <w:rPr>
        <w:lang w:val="en-US"/>
      </w:rPr>
      <w:t>M</w:t>
    </w:r>
    <w:r>
      <w:t>:\BRSGD\TEXT2019\WRC-23-IRW-21\000\013-e.docx</w:t>
    </w:r>
    <w:r>
      <w:fldChar w:fldCharType="end"/>
    </w:r>
    <w:r w:rsidRPr="002F7CB3">
      <w:rPr>
        <w:lang w:val="en-US"/>
      </w:rPr>
      <w:tab/>
    </w:r>
    <w:r>
      <w:fldChar w:fldCharType="begin"/>
    </w:r>
    <w:r>
      <w:instrText xml:space="preserve"> savedate \@ dd.MM.yy </w:instrText>
    </w:r>
    <w:r>
      <w:fldChar w:fldCharType="separate"/>
    </w:r>
    <w:r>
      <w:t>08.12.21</w:t>
    </w:r>
    <w:r>
      <w:fldChar w:fldCharType="end"/>
    </w:r>
    <w:r w:rsidRPr="002F7CB3">
      <w:rPr>
        <w:lang w:val="en-US"/>
      </w:rPr>
      <w:tab/>
    </w:r>
    <w:r>
      <w:fldChar w:fldCharType="begin"/>
    </w:r>
    <w:r>
      <w:instrText xml:space="preserve"> printdate \@ dd.MM.yy </w:instrText>
    </w:r>
    <w:r>
      <w:fldChar w:fldCharType="separate"/>
    </w:r>
    <w:r>
      <w:t>21.02.08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6892F" w14:textId="77777777" w:rsidR="00B82C51" w:rsidRDefault="00B82C51">
      <w:r>
        <w:t>____________________</w:t>
      </w:r>
    </w:p>
  </w:footnote>
  <w:footnote w:type="continuationSeparator" w:id="0">
    <w:p w14:paraId="030FBCE0" w14:textId="77777777" w:rsidR="00B82C51" w:rsidRDefault="00B82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3509E" w14:textId="502E10B6"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81449E">
      <w:rPr>
        <w:rStyle w:val="PageNumber"/>
        <w:noProof/>
      </w:rPr>
      <w:t>4</w:t>
    </w:r>
    <w:r w:rsidR="00D02712">
      <w:rPr>
        <w:rStyle w:val="PageNumber"/>
      </w:rPr>
      <w:fldChar w:fldCharType="end"/>
    </w:r>
    <w:r>
      <w:rPr>
        <w:rStyle w:val="PageNumber"/>
      </w:rPr>
      <w:t xml:space="preserve"> -</w:t>
    </w:r>
  </w:p>
  <w:p w14:paraId="0B1DEC40" w14:textId="1E550015" w:rsidR="00615168" w:rsidRDefault="00E9074E" w:rsidP="00E9074E">
    <w:pPr>
      <w:pStyle w:val="Header"/>
      <w:rPr>
        <w:rStyle w:val="PageNumber"/>
      </w:rPr>
    </w:pPr>
    <w:r w:rsidRPr="00E9074E">
      <w:rPr>
        <w:rStyle w:val="PageNumber"/>
      </w:rPr>
      <w:t>WRC-23-IRW-21</w:t>
    </w:r>
    <w:r w:rsidR="00615168">
      <w:rPr>
        <w:rStyle w:val="PageNumber"/>
      </w:rPr>
      <w:t>/</w:t>
    </w:r>
    <w:r w:rsidR="0009748C">
      <w:rPr>
        <w:rStyle w:val="PageNumber"/>
      </w:rPr>
      <w:t>13</w:t>
    </w:r>
    <w:r w:rsidR="00615168">
      <w:rPr>
        <w:rStyle w:val="PageNumber"/>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503A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E46A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9CC9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3C28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4456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761A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CE78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12D9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181F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9C0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D1D7F"/>
    <w:multiLevelType w:val="hybridMultilevel"/>
    <w:tmpl w:val="ADDC6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9406B9"/>
    <w:multiLevelType w:val="hybridMultilevel"/>
    <w:tmpl w:val="16BA6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EB4A7C"/>
    <w:multiLevelType w:val="hybridMultilevel"/>
    <w:tmpl w:val="9E7C6FF8"/>
    <w:lvl w:ilvl="0" w:tplc="E83CE0E0">
      <w:start w:val="1"/>
      <w:numFmt w:val="bullet"/>
      <w:pStyle w:val="ECCBulletsLv1"/>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2267EAE"/>
    <w:multiLevelType w:val="multilevel"/>
    <w:tmpl w:val="12267E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2E87402"/>
    <w:multiLevelType w:val="hybridMultilevel"/>
    <w:tmpl w:val="10B66A74"/>
    <w:lvl w:ilvl="0" w:tplc="C7B294FC">
      <w:start w:val="5"/>
      <w:numFmt w:val="bullet"/>
      <w:lvlText w:val="-"/>
      <w:lvlJc w:val="left"/>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3D61C5"/>
    <w:multiLevelType w:val="multilevel"/>
    <w:tmpl w:val="213D6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BF6CC1"/>
    <w:multiLevelType w:val="multilevel"/>
    <w:tmpl w:val="36BF6C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A86886"/>
    <w:multiLevelType w:val="hybridMultilevel"/>
    <w:tmpl w:val="D1C02D30"/>
    <w:lvl w:ilvl="0" w:tplc="32D219A2">
      <w:start w:val="1"/>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473F0C"/>
    <w:multiLevelType w:val="hybridMultilevel"/>
    <w:tmpl w:val="D8920F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92232F"/>
    <w:multiLevelType w:val="hybridMultilevel"/>
    <w:tmpl w:val="FFF864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F7B6BEE"/>
    <w:multiLevelType w:val="hybridMultilevel"/>
    <w:tmpl w:val="961E78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D67E9F"/>
    <w:multiLevelType w:val="hybridMultilevel"/>
    <w:tmpl w:val="D562C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2630A1"/>
    <w:multiLevelType w:val="hybridMultilevel"/>
    <w:tmpl w:val="9ED6E8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17"/>
  </w:num>
  <w:num w:numId="4">
    <w:abstractNumId w:val="18"/>
  </w:num>
  <w:num w:numId="5">
    <w:abstractNumId w:val="14"/>
  </w:num>
  <w:num w:numId="6">
    <w:abstractNumId w:val="20"/>
  </w:num>
  <w:num w:numId="7">
    <w:abstractNumId w:val="16"/>
  </w:num>
  <w:num w:numId="8">
    <w:abstractNumId w:val="13"/>
  </w:num>
  <w:num w:numId="9">
    <w:abstractNumId w:val="15"/>
  </w:num>
  <w:num w:numId="10">
    <w:abstractNumId w:val="1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1"/>
  </w:num>
  <w:num w:numId="21">
    <w:abstractNumId w:val="21"/>
  </w:num>
  <w:num w:numId="22">
    <w:abstractNumId w:val="1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CA" w:vendorID="64" w:dllVersion="0" w:nlCheck="1" w:checkStyle="0"/>
  <w:activeWritingStyle w:appName="MSWord" w:lang="fr-FR" w:vendorID="64" w:dllVersion="6" w:nlCheck="1" w:checkStyle="0"/>
  <w:activeWritingStyle w:appName="MSWord" w:lang="fr-CH" w:vendorID="64" w:dllVersion="6" w:nlCheck="1" w:checkStyle="0"/>
  <w:activeWritingStyle w:appName="MSWord" w:lang="en-CA" w:vendorID="64" w:dllVersion="6" w:nlCheck="1" w:checkStyle="1"/>
  <w:activeWritingStyle w:appName="MSWord" w:lang="es-ES" w:vendorID="64" w:dllVersion="0" w:nlCheck="1" w:checkStyle="0"/>
  <w:activeWritingStyle w:appName="MSWord" w:lang="es-ES_tradnl"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373"/>
    <w:rsid w:val="000069D4"/>
    <w:rsid w:val="000174AD"/>
    <w:rsid w:val="00047A1D"/>
    <w:rsid w:val="000604B9"/>
    <w:rsid w:val="0009748C"/>
    <w:rsid w:val="000A7D55"/>
    <w:rsid w:val="000C12C8"/>
    <w:rsid w:val="000C2E8E"/>
    <w:rsid w:val="000D1B52"/>
    <w:rsid w:val="000E0E7C"/>
    <w:rsid w:val="000F1B4B"/>
    <w:rsid w:val="00103160"/>
    <w:rsid w:val="0012744F"/>
    <w:rsid w:val="00131178"/>
    <w:rsid w:val="00156F66"/>
    <w:rsid w:val="00163271"/>
    <w:rsid w:val="00172122"/>
    <w:rsid w:val="00182528"/>
    <w:rsid w:val="0018500B"/>
    <w:rsid w:val="00187F20"/>
    <w:rsid w:val="00196A19"/>
    <w:rsid w:val="001A704C"/>
    <w:rsid w:val="00202DC1"/>
    <w:rsid w:val="002116EE"/>
    <w:rsid w:val="002309D8"/>
    <w:rsid w:val="002A7FE2"/>
    <w:rsid w:val="002D0C38"/>
    <w:rsid w:val="002E1B4F"/>
    <w:rsid w:val="002F2E67"/>
    <w:rsid w:val="002F7AAD"/>
    <w:rsid w:val="002F7CB3"/>
    <w:rsid w:val="00315546"/>
    <w:rsid w:val="00330567"/>
    <w:rsid w:val="0034250B"/>
    <w:rsid w:val="00344622"/>
    <w:rsid w:val="0038697F"/>
    <w:rsid w:val="00386A9D"/>
    <w:rsid w:val="00390A80"/>
    <w:rsid w:val="00391081"/>
    <w:rsid w:val="003B2789"/>
    <w:rsid w:val="003C13CE"/>
    <w:rsid w:val="003C697E"/>
    <w:rsid w:val="003E2518"/>
    <w:rsid w:val="003E7CEF"/>
    <w:rsid w:val="00443019"/>
    <w:rsid w:val="004535B1"/>
    <w:rsid w:val="004A0CD4"/>
    <w:rsid w:val="004B1EF7"/>
    <w:rsid w:val="004B3FAD"/>
    <w:rsid w:val="004C5749"/>
    <w:rsid w:val="00501DCA"/>
    <w:rsid w:val="00513A47"/>
    <w:rsid w:val="00533DFC"/>
    <w:rsid w:val="005408DF"/>
    <w:rsid w:val="005415F3"/>
    <w:rsid w:val="00564516"/>
    <w:rsid w:val="00573344"/>
    <w:rsid w:val="00583F9B"/>
    <w:rsid w:val="005B0D29"/>
    <w:rsid w:val="005E5C10"/>
    <w:rsid w:val="005F2C78"/>
    <w:rsid w:val="006065DA"/>
    <w:rsid w:val="006144E4"/>
    <w:rsid w:val="00615168"/>
    <w:rsid w:val="0063268B"/>
    <w:rsid w:val="00650299"/>
    <w:rsid w:val="00655FC5"/>
    <w:rsid w:val="006842EE"/>
    <w:rsid w:val="00723D80"/>
    <w:rsid w:val="007418E2"/>
    <w:rsid w:val="00775770"/>
    <w:rsid w:val="007B577D"/>
    <w:rsid w:val="007C44C0"/>
    <w:rsid w:val="0080538C"/>
    <w:rsid w:val="00810B3E"/>
    <w:rsid w:val="0081449E"/>
    <w:rsid w:val="00814E0A"/>
    <w:rsid w:val="00822581"/>
    <w:rsid w:val="008309DD"/>
    <w:rsid w:val="0083227A"/>
    <w:rsid w:val="00866900"/>
    <w:rsid w:val="00876A8A"/>
    <w:rsid w:val="00881BA1"/>
    <w:rsid w:val="008C2302"/>
    <w:rsid w:val="008C26B8"/>
    <w:rsid w:val="008C2BC0"/>
    <w:rsid w:val="008F193C"/>
    <w:rsid w:val="008F208F"/>
    <w:rsid w:val="00901939"/>
    <w:rsid w:val="00965C10"/>
    <w:rsid w:val="00970B01"/>
    <w:rsid w:val="00982084"/>
    <w:rsid w:val="00995963"/>
    <w:rsid w:val="009B61EB"/>
    <w:rsid w:val="009C2064"/>
    <w:rsid w:val="009D1697"/>
    <w:rsid w:val="009D5FA0"/>
    <w:rsid w:val="009F3A46"/>
    <w:rsid w:val="009F6520"/>
    <w:rsid w:val="00A014F8"/>
    <w:rsid w:val="00A02E07"/>
    <w:rsid w:val="00A5173C"/>
    <w:rsid w:val="00A61AEF"/>
    <w:rsid w:val="00A73A33"/>
    <w:rsid w:val="00A868CE"/>
    <w:rsid w:val="00AD2345"/>
    <w:rsid w:val="00AF173A"/>
    <w:rsid w:val="00AF3973"/>
    <w:rsid w:val="00B066A4"/>
    <w:rsid w:val="00B07A13"/>
    <w:rsid w:val="00B40ECE"/>
    <w:rsid w:val="00B4279B"/>
    <w:rsid w:val="00B45FC9"/>
    <w:rsid w:val="00B50B2A"/>
    <w:rsid w:val="00B76F35"/>
    <w:rsid w:val="00B81138"/>
    <w:rsid w:val="00B82C51"/>
    <w:rsid w:val="00BC7CCF"/>
    <w:rsid w:val="00BE470B"/>
    <w:rsid w:val="00BE7391"/>
    <w:rsid w:val="00C05A3C"/>
    <w:rsid w:val="00C3353D"/>
    <w:rsid w:val="00C57A91"/>
    <w:rsid w:val="00C67D77"/>
    <w:rsid w:val="00C90778"/>
    <w:rsid w:val="00CC01C2"/>
    <w:rsid w:val="00CF21F2"/>
    <w:rsid w:val="00D02712"/>
    <w:rsid w:val="00D046A7"/>
    <w:rsid w:val="00D214D0"/>
    <w:rsid w:val="00D23359"/>
    <w:rsid w:val="00D24B09"/>
    <w:rsid w:val="00D35444"/>
    <w:rsid w:val="00D6546B"/>
    <w:rsid w:val="00D66A6B"/>
    <w:rsid w:val="00D9243D"/>
    <w:rsid w:val="00DA1373"/>
    <w:rsid w:val="00DA5C47"/>
    <w:rsid w:val="00DB178B"/>
    <w:rsid w:val="00DC17D3"/>
    <w:rsid w:val="00DD4BED"/>
    <w:rsid w:val="00DE17C0"/>
    <w:rsid w:val="00DE39F0"/>
    <w:rsid w:val="00DF0AF3"/>
    <w:rsid w:val="00DF37CC"/>
    <w:rsid w:val="00DF7E9F"/>
    <w:rsid w:val="00E27D7E"/>
    <w:rsid w:val="00E42E13"/>
    <w:rsid w:val="00E56D5C"/>
    <w:rsid w:val="00E6257C"/>
    <w:rsid w:val="00E63C59"/>
    <w:rsid w:val="00E9074E"/>
    <w:rsid w:val="00F03356"/>
    <w:rsid w:val="00F25662"/>
    <w:rsid w:val="00F377EE"/>
    <w:rsid w:val="00FA124A"/>
    <w:rsid w:val="00FC08DD"/>
    <w:rsid w:val="00FC08E4"/>
    <w:rsid w:val="00FC2316"/>
    <w:rsid w:val="00FC2CFD"/>
    <w:rsid w:val="00FD0AC8"/>
    <w:rsid w:val="00FD43FC"/>
    <w:rsid w:val="00FF7D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2F0662"/>
  <w15:docId w15:val="{120121E6-05C1-480F-8125-14F4C75C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rsid w:val="008F208F"/>
    <w:rPr>
      <w:vertAlign w:val="superscript"/>
    </w:rPr>
  </w:style>
  <w:style w:type="paragraph" w:customStyle="1" w:styleId="enumlev1">
    <w:name w:val="enumlev1"/>
    <w:basedOn w:val="Normal"/>
    <w:link w:val="enumlev1Char"/>
    <w:qFormat/>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uiPriority w:val="99"/>
    <w:rsid w:val="008F208F"/>
    <w:rPr>
      <w:position w:val="6"/>
      <w:sz w:val="18"/>
    </w:rPr>
  </w:style>
  <w:style w:type="paragraph" w:styleId="FootnoteText">
    <w:name w:val="footnote text"/>
    <w:basedOn w:val="Normal"/>
    <w:link w:val="FootnoteTextChar"/>
    <w:uiPriority w:val="99"/>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rsid w:val="00E63C59"/>
    <w:rPr>
      <w:b/>
    </w:rPr>
  </w:style>
  <w:style w:type="character" w:customStyle="1" w:styleId="Resdef">
    <w:name w:val="Res_def"/>
    <w:rsid w:val="00E63C59"/>
    <w:rPr>
      <w:rFonts w:ascii="Times New Roman" w:hAnsi="Times New Roman"/>
      <w:b/>
    </w:rPr>
  </w:style>
  <w:style w:type="character" w:customStyle="1" w:styleId="Tablefreq">
    <w:name w:val="Table_freq"/>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Calibri" w:hAnsi="Calibri" w:cs="Calibri"/>
      <w:b/>
      <w:szCs w:val="24"/>
    </w:rPr>
  </w:style>
  <w:style w:type="character" w:customStyle="1" w:styleId="FooterChar">
    <w:name w:val="Footer Char"/>
    <w:link w:val="Footer"/>
    <w:rsid w:val="008F208F"/>
    <w:rPr>
      <w:rFonts w:ascii="Times New Roman" w:hAnsi="Times New Roman"/>
      <w:caps/>
      <w:noProof/>
      <w:sz w:val="16"/>
      <w:lang w:val="en-GB" w:eastAsia="en-US"/>
    </w:rPr>
  </w:style>
  <w:style w:type="character" w:customStyle="1" w:styleId="FootnoteTextChar">
    <w:name w:val="Footnote Text Char"/>
    <w:link w:val="FootnoteText"/>
    <w:uiPriority w:val="99"/>
    <w:rsid w:val="008F208F"/>
    <w:rPr>
      <w:rFonts w:ascii="Times New Roman" w:hAnsi="Times New Roman"/>
      <w:sz w:val="24"/>
      <w:lang w:val="en-GB" w:eastAsia="en-US"/>
    </w:rPr>
  </w:style>
  <w:style w:type="character" w:customStyle="1" w:styleId="HeaderChar">
    <w:name w:val="Header Char"/>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paragraph" w:customStyle="1" w:styleId="LSDeadline">
    <w:name w:val="LSDeadline"/>
    <w:basedOn w:val="Normal"/>
    <w:rsid w:val="00DA1373"/>
    <w:pPr>
      <w:tabs>
        <w:tab w:val="clear" w:pos="1134"/>
        <w:tab w:val="clear" w:pos="1871"/>
        <w:tab w:val="clear" w:pos="2268"/>
        <w:tab w:val="left" w:pos="794"/>
        <w:tab w:val="left" w:pos="1191"/>
        <w:tab w:val="left" w:pos="1588"/>
        <w:tab w:val="left" w:pos="1985"/>
      </w:tabs>
    </w:pPr>
    <w:rPr>
      <w:rFonts w:eastAsia="SimSun"/>
      <w:b/>
      <w:bCs/>
    </w:rPr>
  </w:style>
  <w:style w:type="paragraph" w:customStyle="1" w:styleId="LSForAction">
    <w:name w:val="LSForAction"/>
    <w:basedOn w:val="Normal"/>
    <w:rsid w:val="00DA1373"/>
    <w:pPr>
      <w:tabs>
        <w:tab w:val="clear" w:pos="1134"/>
        <w:tab w:val="clear" w:pos="1871"/>
        <w:tab w:val="clear" w:pos="2268"/>
        <w:tab w:val="left" w:pos="794"/>
        <w:tab w:val="left" w:pos="1191"/>
        <w:tab w:val="left" w:pos="1588"/>
        <w:tab w:val="left" w:pos="1985"/>
      </w:tabs>
    </w:pPr>
    <w:rPr>
      <w:rFonts w:eastAsia="SimSun"/>
      <w:b/>
      <w:bCs/>
    </w:rPr>
  </w:style>
  <w:style w:type="paragraph" w:customStyle="1" w:styleId="LSForInfo">
    <w:name w:val="LSForInfo"/>
    <w:basedOn w:val="LSForAction"/>
    <w:rsid w:val="00DA1373"/>
  </w:style>
  <w:style w:type="paragraph" w:customStyle="1" w:styleId="LSForComment">
    <w:name w:val="LSForComment"/>
    <w:basedOn w:val="LSForAction"/>
    <w:rsid w:val="00DA1373"/>
  </w:style>
  <w:style w:type="character" w:styleId="Hyperlink">
    <w:name w:val="Hyperlink"/>
    <w:aliases w:val="超级链接,超?级链,CEO_Hyperlink,Style 58,超????,超链接1"/>
    <w:qFormat/>
    <w:rsid w:val="00DA1373"/>
    <w:rPr>
      <w:color w:val="0000FF"/>
      <w:u w:val="single"/>
    </w:rPr>
  </w:style>
  <w:style w:type="paragraph" w:styleId="ListParagraph">
    <w:name w:val="List Paragraph"/>
    <w:basedOn w:val="Normal"/>
    <w:uiPriority w:val="34"/>
    <w:qFormat/>
    <w:rsid w:val="00DA1373"/>
    <w:pPr>
      <w:tabs>
        <w:tab w:val="clear" w:pos="1134"/>
        <w:tab w:val="clear" w:pos="1871"/>
        <w:tab w:val="clear" w:pos="2268"/>
        <w:tab w:val="left" w:pos="794"/>
        <w:tab w:val="left" w:pos="1191"/>
        <w:tab w:val="left" w:pos="1588"/>
        <w:tab w:val="left" w:pos="1985"/>
      </w:tabs>
      <w:ind w:firstLineChars="200" w:firstLine="420"/>
    </w:pPr>
    <w:rPr>
      <w:rFonts w:eastAsia="SimSun"/>
    </w:rPr>
  </w:style>
  <w:style w:type="character" w:styleId="PlaceholderText">
    <w:name w:val="Placeholder Text"/>
    <w:uiPriority w:val="99"/>
    <w:semiHidden/>
    <w:rsid w:val="00DA1373"/>
    <w:rPr>
      <w:rFonts w:ascii="Times New Roman" w:hAnsi="Times New Roman"/>
      <w:color w:val="808080"/>
    </w:rPr>
  </w:style>
  <w:style w:type="character" w:customStyle="1" w:styleId="UnresolvedMention1">
    <w:name w:val="Unresolved Mention1"/>
    <w:uiPriority w:val="99"/>
    <w:semiHidden/>
    <w:unhideWhenUsed/>
    <w:rsid w:val="00DA1373"/>
    <w:rPr>
      <w:color w:val="605E5C"/>
      <w:shd w:val="clear" w:color="auto" w:fill="E1DFDD"/>
    </w:rPr>
  </w:style>
  <w:style w:type="character" w:styleId="FollowedHyperlink">
    <w:name w:val="FollowedHyperlink"/>
    <w:semiHidden/>
    <w:unhideWhenUsed/>
    <w:rsid w:val="007C44C0"/>
    <w:rPr>
      <w:color w:val="800080"/>
      <w:u w:val="single"/>
    </w:rPr>
  </w:style>
  <w:style w:type="character" w:customStyle="1" w:styleId="Heading1Char">
    <w:name w:val="Heading 1 Char"/>
    <w:link w:val="Heading1"/>
    <w:rsid w:val="00A73A33"/>
    <w:rPr>
      <w:rFonts w:ascii="Times New Roman" w:hAnsi="Times New Roman"/>
      <w:b/>
      <w:sz w:val="28"/>
      <w:lang w:eastAsia="en-US"/>
    </w:rPr>
  </w:style>
  <w:style w:type="paragraph" w:styleId="NormalWeb">
    <w:name w:val="Normal (Web)"/>
    <w:basedOn w:val="Normal"/>
    <w:uiPriority w:val="99"/>
    <w:unhideWhenUsed/>
    <w:rsid w:val="00A73A33"/>
    <w:pPr>
      <w:tabs>
        <w:tab w:val="clear" w:pos="1134"/>
        <w:tab w:val="clear" w:pos="1871"/>
        <w:tab w:val="clear" w:pos="2268"/>
      </w:tabs>
      <w:overflowPunct/>
      <w:autoSpaceDE/>
      <w:autoSpaceDN/>
      <w:adjustRightInd/>
      <w:spacing w:before="100" w:beforeAutospacing="1" w:after="100" w:afterAutospacing="1"/>
      <w:textAlignment w:val="auto"/>
    </w:pPr>
    <w:rPr>
      <w:szCs w:val="24"/>
    </w:rPr>
  </w:style>
  <w:style w:type="character" w:customStyle="1" w:styleId="enumlev1Char">
    <w:name w:val="enumlev1 Char"/>
    <w:link w:val="enumlev1"/>
    <w:qFormat/>
    <w:locked/>
    <w:rsid w:val="00A73A33"/>
    <w:rPr>
      <w:rFonts w:ascii="Times New Roman" w:hAnsi="Times New Roman"/>
      <w:sz w:val="24"/>
      <w:lang w:eastAsia="en-US"/>
    </w:rPr>
  </w:style>
  <w:style w:type="character" w:styleId="UnresolvedMention">
    <w:name w:val="Unresolved Mention"/>
    <w:basedOn w:val="DefaultParagraphFont"/>
    <w:uiPriority w:val="99"/>
    <w:semiHidden/>
    <w:unhideWhenUsed/>
    <w:rsid w:val="00344622"/>
    <w:rPr>
      <w:color w:val="605E5C"/>
      <w:shd w:val="clear" w:color="auto" w:fill="E1DFDD"/>
    </w:rPr>
  </w:style>
  <w:style w:type="paragraph" w:styleId="BalloonText">
    <w:name w:val="Balloon Text"/>
    <w:basedOn w:val="Normal"/>
    <w:link w:val="BalloonTextChar"/>
    <w:semiHidden/>
    <w:unhideWhenUsed/>
    <w:rsid w:val="00FD0AC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D0AC8"/>
    <w:rPr>
      <w:rFonts w:ascii="Segoe UI" w:hAnsi="Segoe UI" w:cs="Segoe UI"/>
      <w:sz w:val="18"/>
      <w:szCs w:val="18"/>
      <w:lang w:eastAsia="en-US"/>
    </w:rPr>
  </w:style>
  <w:style w:type="character" w:styleId="CommentReference">
    <w:name w:val="annotation reference"/>
    <w:basedOn w:val="DefaultParagraphFont"/>
    <w:semiHidden/>
    <w:unhideWhenUsed/>
    <w:rsid w:val="00FD0AC8"/>
    <w:rPr>
      <w:sz w:val="16"/>
      <w:szCs w:val="16"/>
    </w:rPr>
  </w:style>
  <w:style w:type="paragraph" w:styleId="CommentText">
    <w:name w:val="annotation text"/>
    <w:basedOn w:val="Normal"/>
    <w:link w:val="CommentTextChar"/>
    <w:semiHidden/>
    <w:unhideWhenUsed/>
    <w:rsid w:val="00FD0AC8"/>
    <w:rPr>
      <w:sz w:val="20"/>
    </w:rPr>
  </w:style>
  <w:style w:type="character" w:customStyle="1" w:styleId="CommentTextChar">
    <w:name w:val="Comment Text Char"/>
    <w:basedOn w:val="DefaultParagraphFont"/>
    <w:link w:val="CommentText"/>
    <w:semiHidden/>
    <w:rsid w:val="00FD0AC8"/>
    <w:rPr>
      <w:rFonts w:ascii="Times New Roman" w:hAnsi="Times New Roman"/>
      <w:lang w:eastAsia="en-US"/>
    </w:rPr>
  </w:style>
  <w:style w:type="paragraph" w:styleId="CommentSubject">
    <w:name w:val="annotation subject"/>
    <w:basedOn w:val="CommentText"/>
    <w:next w:val="CommentText"/>
    <w:link w:val="CommentSubjectChar"/>
    <w:semiHidden/>
    <w:unhideWhenUsed/>
    <w:rsid w:val="00FD0AC8"/>
    <w:rPr>
      <w:b/>
      <w:bCs/>
    </w:rPr>
  </w:style>
  <w:style w:type="character" w:customStyle="1" w:styleId="CommentSubjectChar">
    <w:name w:val="Comment Subject Char"/>
    <w:basedOn w:val="CommentTextChar"/>
    <w:link w:val="CommentSubject"/>
    <w:semiHidden/>
    <w:rsid w:val="00FD0AC8"/>
    <w:rPr>
      <w:rFonts w:ascii="Times New Roman" w:hAnsi="Times New Roman"/>
      <w:b/>
      <w:bCs/>
      <w:lang w:eastAsia="en-US"/>
    </w:rPr>
  </w:style>
  <w:style w:type="paragraph" w:styleId="Revision">
    <w:name w:val="Revision"/>
    <w:hidden/>
    <w:uiPriority w:val="99"/>
    <w:semiHidden/>
    <w:rsid w:val="00A02E07"/>
    <w:rPr>
      <w:rFonts w:ascii="Times New Roman" w:hAnsi="Times New Roman"/>
      <w:sz w:val="24"/>
      <w:lang w:eastAsia="en-US"/>
    </w:rPr>
  </w:style>
  <w:style w:type="paragraph" w:customStyle="1" w:styleId="ECCBulletsLv1">
    <w:name w:val="ECC Bullets Lv1"/>
    <w:basedOn w:val="Normal"/>
    <w:qFormat/>
    <w:rsid w:val="006842EE"/>
    <w:pPr>
      <w:numPr>
        <w:numId w:val="23"/>
      </w:numPr>
      <w:tabs>
        <w:tab w:val="clear" w:pos="1134"/>
        <w:tab w:val="clear" w:pos="1871"/>
        <w:tab w:val="clear" w:pos="2268"/>
        <w:tab w:val="left" w:pos="340"/>
      </w:tabs>
      <w:overflowPunct/>
      <w:autoSpaceDE/>
      <w:autoSpaceDN/>
      <w:adjustRightInd/>
      <w:spacing w:before="60"/>
      <w:jc w:val="both"/>
      <w:textAlignment w:val="auto"/>
    </w:pPr>
    <w:rPr>
      <w:rFonts w:ascii="Arial" w:eastAsia="Calibri" w:hAnsi="Arial"/>
      <w:sz w:val="20"/>
      <w:szCs w:val="22"/>
    </w:rPr>
  </w:style>
  <w:style w:type="paragraph" w:styleId="NoSpacing">
    <w:name w:val="No Spacing"/>
    <w:uiPriority w:val="1"/>
    <w:qFormat/>
    <w:rsid w:val="005415F3"/>
    <w:pPr>
      <w:tabs>
        <w:tab w:val="left" w:pos="1134"/>
        <w:tab w:val="left" w:pos="1871"/>
        <w:tab w:val="left" w:pos="2268"/>
      </w:tabs>
      <w:overflowPunct w:val="0"/>
      <w:autoSpaceDE w:val="0"/>
      <w:autoSpaceDN w:val="0"/>
      <w:adjustRightInd w:val="0"/>
      <w:textAlignment w:val="baseline"/>
    </w:pPr>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ch.ebu.ch/publications/white-paper-20.11.202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guet\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PE_BR.dotm</Template>
  <TotalTime>3</TotalTime>
  <Pages>5</Pages>
  <Words>1871</Words>
  <Characters>10127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11975</CharactersWithSpaces>
  <SharedDoc>false</SharedDoc>
  <HLinks>
    <vt:vector size="36" baseType="variant">
      <vt:variant>
        <vt:i4>7274586</vt:i4>
      </vt:variant>
      <vt:variant>
        <vt:i4>18</vt:i4>
      </vt:variant>
      <vt:variant>
        <vt:i4>0</vt:i4>
      </vt:variant>
      <vt:variant>
        <vt:i4>5</vt:i4>
      </vt:variant>
      <vt:variant>
        <vt:lpwstr>mailto:tsbcits@itu.int</vt:lpwstr>
      </vt:variant>
      <vt:variant>
        <vt:lpwstr/>
      </vt:variant>
      <vt:variant>
        <vt:i4>5439602</vt:i4>
      </vt:variant>
      <vt:variant>
        <vt:i4>15</vt:i4>
      </vt:variant>
      <vt:variant>
        <vt:i4>0</vt:i4>
      </vt:variant>
      <vt:variant>
        <vt:i4>5</vt:i4>
      </vt:variant>
      <vt:variant>
        <vt:lpwstr>mailto:trs@roaddb.com</vt:lpwstr>
      </vt:variant>
      <vt:variant>
        <vt:lpwstr/>
      </vt:variant>
      <vt:variant>
        <vt:i4>7274586</vt:i4>
      </vt:variant>
      <vt:variant>
        <vt:i4>9</vt:i4>
      </vt:variant>
      <vt:variant>
        <vt:i4>0</vt:i4>
      </vt:variant>
      <vt:variant>
        <vt:i4>5</vt:i4>
      </vt:variant>
      <vt:variant>
        <vt:lpwstr>mailto:tsbcits@itu.int</vt:lpwstr>
      </vt:variant>
      <vt:variant>
        <vt:lpwstr/>
      </vt:variant>
      <vt:variant>
        <vt:i4>2556020</vt:i4>
      </vt:variant>
      <vt:variant>
        <vt:i4>6</vt:i4>
      </vt:variant>
      <vt:variant>
        <vt:i4>0</vt:i4>
      </vt:variant>
      <vt:variant>
        <vt:i4>5</vt:i4>
      </vt:variant>
      <vt:variant>
        <vt:lpwstr>https://www.itu.int/net4/ITU-T/landscape</vt:lpwstr>
      </vt:variant>
      <vt:variant>
        <vt:lpwstr>?topic=0.131&amp;workgroup=1&amp;searchValue=&amp;page=1&amp;sort=Revelance</vt:lpwstr>
      </vt:variant>
      <vt:variant>
        <vt:i4>2556020</vt:i4>
      </vt:variant>
      <vt:variant>
        <vt:i4>3</vt:i4>
      </vt:variant>
      <vt:variant>
        <vt:i4>0</vt:i4>
      </vt:variant>
      <vt:variant>
        <vt:i4>5</vt:i4>
      </vt:variant>
      <vt:variant>
        <vt:lpwstr>https://www.itu.int/net4/ITU-T/landscape</vt:lpwstr>
      </vt:variant>
      <vt:variant>
        <vt:lpwstr>?topic=0.131&amp;workgroup=1&amp;searchValue=&amp;page=1&amp;sort=Revelance</vt:lpwstr>
      </vt:variant>
      <vt:variant>
        <vt:i4>4456476</vt:i4>
      </vt:variant>
      <vt:variant>
        <vt:i4>0</vt:i4>
      </vt:variant>
      <vt:variant>
        <vt:i4>0</vt:i4>
      </vt:variant>
      <vt:variant>
        <vt:i4>5</vt:i4>
      </vt:variant>
      <vt:variant>
        <vt:lpwstr>https://www.itu.int/en/ITU-T/extcoop/cits/Documents/Meeting-20210910-e-meeting/24_CITS_draft_outgoing_LS.zip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dc:creator>
  <cp:keywords>Functional architecture; unmanned aerial vehicles; IMT-2020</cp:keywords>
  <cp:lastModifiedBy>Huguet, Fabienne</cp:lastModifiedBy>
  <cp:revision>3</cp:revision>
  <cp:lastPrinted>2008-02-21T14:04:00Z</cp:lastPrinted>
  <dcterms:created xsi:type="dcterms:W3CDTF">2021-12-08T08:55:00Z</dcterms:created>
  <dcterms:modified xsi:type="dcterms:W3CDTF">2021-12-08T09:00:00Z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