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604A3" w:rsidTr="00876A8A">
        <w:trPr>
          <w:cantSplit/>
        </w:trPr>
        <w:tc>
          <w:tcPr>
            <w:tcW w:w="6487" w:type="dxa"/>
            <w:vAlign w:val="center"/>
          </w:tcPr>
          <w:p w:rsidR="009F6520" w:rsidRPr="00A604A3" w:rsidRDefault="009F6520" w:rsidP="009F6520">
            <w:pPr>
              <w:shd w:val="solid" w:color="FFFFFF" w:fill="FFFFFF"/>
              <w:spacing w:before="0"/>
              <w:rPr>
                <w:rFonts w:ascii="Verdana" w:hAnsi="Verdana" w:cs="Times New Roman Bold"/>
                <w:b/>
                <w:bCs/>
                <w:sz w:val="26"/>
                <w:szCs w:val="26"/>
              </w:rPr>
            </w:pPr>
            <w:r w:rsidRPr="00A604A3">
              <w:rPr>
                <w:rFonts w:ascii="Verdana" w:hAnsi="Verdana" w:cs="Times New Roman Bold"/>
                <w:b/>
                <w:bCs/>
                <w:sz w:val="26"/>
                <w:szCs w:val="26"/>
              </w:rPr>
              <w:t>Radiocommunication Study Groups</w:t>
            </w:r>
          </w:p>
        </w:tc>
        <w:tc>
          <w:tcPr>
            <w:tcW w:w="3402" w:type="dxa"/>
          </w:tcPr>
          <w:p w:rsidR="009F6520" w:rsidRPr="00A604A3" w:rsidRDefault="00AE0549" w:rsidP="00AE0549">
            <w:pPr>
              <w:shd w:val="solid" w:color="FFFFFF" w:fill="FFFFFF"/>
              <w:spacing w:before="0" w:line="240" w:lineRule="atLeast"/>
            </w:pPr>
            <w:bookmarkStart w:id="0" w:name="ditulogo"/>
            <w:bookmarkEnd w:id="0"/>
            <w:r w:rsidRPr="00A604A3">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604A3" w:rsidTr="00876A8A">
        <w:trPr>
          <w:cantSplit/>
        </w:trPr>
        <w:tc>
          <w:tcPr>
            <w:tcW w:w="6487" w:type="dxa"/>
            <w:tcBorders>
              <w:bottom w:val="single" w:sz="12" w:space="0" w:color="auto"/>
            </w:tcBorders>
          </w:tcPr>
          <w:p w:rsidR="000069D4" w:rsidRPr="00A604A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A604A3" w:rsidRDefault="000069D4" w:rsidP="00A5173C">
            <w:pPr>
              <w:shd w:val="solid" w:color="FFFFFF" w:fill="FFFFFF"/>
              <w:spacing w:before="0" w:after="48" w:line="240" w:lineRule="atLeast"/>
              <w:rPr>
                <w:sz w:val="22"/>
                <w:szCs w:val="22"/>
              </w:rPr>
            </w:pPr>
          </w:p>
        </w:tc>
      </w:tr>
      <w:tr w:rsidR="000069D4" w:rsidRPr="00A604A3" w:rsidTr="00876A8A">
        <w:trPr>
          <w:cantSplit/>
        </w:trPr>
        <w:tc>
          <w:tcPr>
            <w:tcW w:w="6487" w:type="dxa"/>
            <w:tcBorders>
              <w:top w:val="single" w:sz="12" w:space="0" w:color="auto"/>
            </w:tcBorders>
          </w:tcPr>
          <w:p w:rsidR="000069D4" w:rsidRPr="00A604A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A604A3" w:rsidRDefault="000069D4" w:rsidP="00A5173C">
            <w:pPr>
              <w:shd w:val="solid" w:color="FFFFFF" w:fill="FFFFFF"/>
              <w:spacing w:before="0" w:after="48" w:line="240" w:lineRule="atLeast"/>
            </w:pPr>
          </w:p>
        </w:tc>
      </w:tr>
      <w:tr w:rsidR="000069D4" w:rsidRPr="00A604A3" w:rsidTr="00876A8A">
        <w:trPr>
          <w:cantSplit/>
        </w:trPr>
        <w:tc>
          <w:tcPr>
            <w:tcW w:w="6487" w:type="dxa"/>
            <w:vMerge w:val="restart"/>
          </w:tcPr>
          <w:p w:rsidR="00AE0549" w:rsidRPr="00A604A3" w:rsidRDefault="00AA0B2B" w:rsidP="00AE054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AE0549" w:rsidRPr="00A604A3">
              <w:rPr>
                <w:rFonts w:ascii="Verdana" w:hAnsi="Verdana"/>
                <w:sz w:val="20"/>
              </w:rPr>
              <w:t>8 February 2020</w:t>
            </w:r>
          </w:p>
        </w:tc>
        <w:tc>
          <w:tcPr>
            <w:tcW w:w="3402" w:type="dxa"/>
          </w:tcPr>
          <w:p w:rsidR="000069D4" w:rsidRPr="00A604A3" w:rsidRDefault="00AE0549" w:rsidP="00A5173C">
            <w:pPr>
              <w:shd w:val="solid" w:color="FFFFFF" w:fill="FFFFFF"/>
              <w:spacing w:before="0" w:line="240" w:lineRule="atLeast"/>
              <w:rPr>
                <w:rFonts w:ascii="Verdana" w:hAnsi="Verdana"/>
                <w:sz w:val="20"/>
                <w:lang w:eastAsia="zh-CN"/>
              </w:rPr>
            </w:pPr>
            <w:r w:rsidRPr="00A604A3">
              <w:rPr>
                <w:rFonts w:ascii="Verdana" w:hAnsi="Verdana"/>
                <w:b/>
                <w:sz w:val="20"/>
                <w:lang w:eastAsia="zh-CN"/>
              </w:rPr>
              <w:t>Document 5D/50-E</w:t>
            </w:r>
          </w:p>
        </w:tc>
      </w:tr>
      <w:tr w:rsidR="000069D4" w:rsidRPr="00A604A3" w:rsidTr="00876A8A">
        <w:trPr>
          <w:cantSplit/>
        </w:trPr>
        <w:tc>
          <w:tcPr>
            <w:tcW w:w="6487" w:type="dxa"/>
            <w:vMerge/>
          </w:tcPr>
          <w:p w:rsidR="000069D4" w:rsidRPr="00A604A3"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604A3" w:rsidRDefault="00AE0549" w:rsidP="00AA0B2B">
            <w:pPr>
              <w:shd w:val="solid" w:color="FFFFFF" w:fill="FFFFFF"/>
              <w:spacing w:before="0" w:line="240" w:lineRule="atLeast"/>
              <w:rPr>
                <w:rFonts w:ascii="Verdana" w:hAnsi="Verdana"/>
                <w:sz w:val="20"/>
                <w:lang w:eastAsia="zh-CN"/>
              </w:rPr>
            </w:pPr>
            <w:r w:rsidRPr="00A604A3">
              <w:rPr>
                <w:rFonts w:ascii="Verdana" w:hAnsi="Verdana"/>
                <w:b/>
                <w:sz w:val="20"/>
                <w:lang w:eastAsia="zh-CN"/>
              </w:rPr>
              <w:t>1</w:t>
            </w:r>
            <w:r w:rsidR="00AA0B2B">
              <w:rPr>
                <w:rFonts w:ascii="Verdana" w:hAnsi="Verdana"/>
                <w:b/>
                <w:sz w:val="20"/>
                <w:lang w:eastAsia="zh-CN"/>
              </w:rPr>
              <w:t>1</w:t>
            </w:r>
            <w:r w:rsidRPr="00A604A3">
              <w:rPr>
                <w:rFonts w:ascii="Verdana" w:hAnsi="Verdana"/>
                <w:b/>
                <w:sz w:val="20"/>
                <w:lang w:eastAsia="zh-CN"/>
              </w:rPr>
              <w:t xml:space="preserve"> February 2020</w:t>
            </w:r>
          </w:p>
        </w:tc>
      </w:tr>
      <w:tr w:rsidR="000069D4" w:rsidRPr="00A604A3" w:rsidTr="00876A8A">
        <w:trPr>
          <w:cantSplit/>
        </w:trPr>
        <w:tc>
          <w:tcPr>
            <w:tcW w:w="6487" w:type="dxa"/>
            <w:vMerge/>
          </w:tcPr>
          <w:p w:rsidR="000069D4" w:rsidRPr="00A604A3"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604A3" w:rsidRDefault="00AE0549" w:rsidP="00A5173C">
            <w:pPr>
              <w:shd w:val="solid" w:color="FFFFFF" w:fill="FFFFFF"/>
              <w:spacing w:before="0" w:line="240" w:lineRule="atLeast"/>
              <w:rPr>
                <w:rFonts w:ascii="Verdana" w:eastAsia="SimSun" w:hAnsi="Verdana"/>
                <w:sz w:val="20"/>
                <w:lang w:eastAsia="zh-CN"/>
              </w:rPr>
            </w:pPr>
            <w:r w:rsidRPr="00A604A3">
              <w:rPr>
                <w:rFonts w:ascii="Verdana" w:eastAsia="SimSun" w:hAnsi="Verdana"/>
                <w:b/>
                <w:sz w:val="20"/>
                <w:lang w:eastAsia="zh-CN"/>
              </w:rPr>
              <w:t>English only</w:t>
            </w:r>
          </w:p>
        </w:tc>
      </w:tr>
      <w:tr w:rsidR="00470885" w:rsidRPr="00A604A3" w:rsidTr="00470885">
        <w:trPr>
          <w:cantSplit/>
        </w:trPr>
        <w:tc>
          <w:tcPr>
            <w:tcW w:w="6487" w:type="dxa"/>
            <w:vAlign w:val="bottom"/>
          </w:tcPr>
          <w:p w:rsidR="00470885" w:rsidRPr="00A604A3" w:rsidRDefault="00470885" w:rsidP="00470885">
            <w:pPr>
              <w:spacing w:before="60"/>
              <w:rPr>
                <w:b/>
                <w:smallCaps/>
                <w:sz w:val="32"/>
                <w:lang w:eastAsia="zh-CN"/>
              </w:rPr>
            </w:pPr>
          </w:p>
        </w:tc>
        <w:tc>
          <w:tcPr>
            <w:tcW w:w="3402" w:type="dxa"/>
            <w:vAlign w:val="bottom"/>
          </w:tcPr>
          <w:p w:rsidR="00470885" w:rsidRPr="00A604A3" w:rsidRDefault="00470885" w:rsidP="00470885">
            <w:pPr>
              <w:shd w:val="solid" w:color="FFFFFF" w:fill="FFFFFF"/>
              <w:spacing w:before="0" w:line="240" w:lineRule="atLeast"/>
              <w:rPr>
                <w:rFonts w:ascii="Verdana" w:eastAsia="SimSun" w:hAnsi="Verdana"/>
                <w:b/>
                <w:sz w:val="20"/>
                <w:lang w:eastAsia="zh-CN"/>
              </w:rPr>
            </w:pPr>
            <w:r w:rsidRPr="00A604A3">
              <w:rPr>
                <w:rFonts w:ascii="Verdana" w:eastAsia="SimSun" w:hAnsi="Verdana"/>
                <w:b/>
                <w:sz w:val="20"/>
                <w:lang w:eastAsia="zh-CN"/>
              </w:rPr>
              <w:t>TECHNOLOGY ASPECTS</w:t>
            </w:r>
          </w:p>
        </w:tc>
      </w:tr>
      <w:tr w:rsidR="000069D4" w:rsidRPr="00A604A3" w:rsidTr="00D046A7">
        <w:trPr>
          <w:cantSplit/>
        </w:trPr>
        <w:tc>
          <w:tcPr>
            <w:tcW w:w="9889" w:type="dxa"/>
            <w:gridSpan w:val="2"/>
          </w:tcPr>
          <w:p w:rsidR="000069D4" w:rsidRPr="00A604A3" w:rsidRDefault="00AE0549" w:rsidP="00AE0549">
            <w:pPr>
              <w:pStyle w:val="Source"/>
              <w:rPr>
                <w:lang w:eastAsia="zh-CN"/>
              </w:rPr>
            </w:pPr>
            <w:bookmarkStart w:id="5" w:name="dsource" w:colFirst="0" w:colLast="0"/>
            <w:bookmarkEnd w:id="4"/>
            <w:r w:rsidRPr="00A604A3">
              <w:rPr>
                <w:sz w:val="24"/>
                <w:szCs w:val="24"/>
                <w:lang w:eastAsia="ja-JP"/>
              </w:rPr>
              <w:t>Director, Radiocommunication Bureau</w:t>
            </w:r>
            <w:r w:rsidRPr="00A604A3">
              <w:rPr>
                <w:rStyle w:val="FootnoteReference"/>
              </w:rPr>
              <w:footnoteReference w:id="1"/>
            </w:r>
            <w:r w:rsidRPr="00A604A3">
              <w:rPr>
                <w:rStyle w:val="FootnoteReference"/>
              </w:rPr>
              <w:t>,</w:t>
            </w:r>
            <w:r w:rsidRPr="00A604A3">
              <w:rPr>
                <w:rStyle w:val="FootnoteReference"/>
              </w:rPr>
              <w:footnoteReference w:id="2"/>
            </w:r>
          </w:p>
        </w:tc>
      </w:tr>
      <w:tr w:rsidR="000069D4" w:rsidRPr="00A604A3" w:rsidTr="00D046A7">
        <w:trPr>
          <w:cantSplit/>
        </w:trPr>
        <w:tc>
          <w:tcPr>
            <w:tcW w:w="9889" w:type="dxa"/>
            <w:gridSpan w:val="2"/>
          </w:tcPr>
          <w:p w:rsidR="000069D4" w:rsidRPr="00A604A3" w:rsidRDefault="00AE0549" w:rsidP="00A5173C">
            <w:pPr>
              <w:pStyle w:val="Title1"/>
              <w:rPr>
                <w:lang w:eastAsia="zh-CN"/>
              </w:rPr>
            </w:pPr>
            <w:bookmarkStart w:id="6" w:name="drec" w:colFirst="0" w:colLast="0"/>
            <w:bookmarkEnd w:id="5"/>
            <w:r w:rsidRPr="00A604A3">
              <w:rPr>
                <w:sz w:val="24"/>
                <w:szCs w:val="24"/>
              </w:rPr>
              <w:t>FINAL Evaluation report from the 5G Infrastructure Association on IMT-2020 proposals IMT-2020/ 14, 15, 16, parts of 17</w:t>
            </w:r>
          </w:p>
        </w:tc>
      </w:tr>
      <w:tr w:rsidR="000069D4" w:rsidRPr="00A604A3" w:rsidTr="00D046A7">
        <w:trPr>
          <w:cantSplit/>
        </w:trPr>
        <w:tc>
          <w:tcPr>
            <w:tcW w:w="9889" w:type="dxa"/>
            <w:gridSpan w:val="2"/>
          </w:tcPr>
          <w:p w:rsidR="000069D4" w:rsidRPr="00A604A3" w:rsidRDefault="000069D4" w:rsidP="00A5173C">
            <w:pPr>
              <w:pStyle w:val="Title1"/>
              <w:rPr>
                <w:lang w:eastAsia="zh-CN"/>
              </w:rPr>
            </w:pPr>
            <w:bookmarkStart w:id="7" w:name="dtitle1" w:colFirst="0" w:colLast="0"/>
            <w:bookmarkEnd w:id="6"/>
          </w:p>
        </w:tc>
      </w:tr>
    </w:tbl>
    <w:p w:rsidR="00AE0549" w:rsidRPr="00A604A3" w:rsidRDefault="00AE0549" w:rsidP="00470885">
      <w:pPr>
        <w:pStyle w:val="Normalaftertitle"/>
        <w:rPr>
          <w:color w:val="000000" w:themeColor="text1"/>
        </w:rPr>
      </w:pPr>
      <w:bookmarkStart w:id="8" w:name="dbreak"/>
      <w:bookmarkEnd w:id="7"/>
      <w:bookmarkEnd w:id="8"/>
      <w:r w:rsidRPr="00A604A3">
        <w:t>This contribution contains in Attachment 1 the Final Evaluation Report from the Independent Evaluation Group 5G Infrastructure Association (</w:t>
      </w:r>
      <w:r w:rsidRPr="00A604A3">
        <w:rPr>
          <w:rStyle w:val="Hyperlink"/>
          <w:szCs w:val="24"/>
        </w:rPr>
        <w:t>http://www.itu.int/oth/R0A0600006E/en</w:t>
      </w:r>
      <w:r w:rsidRPr="00A604A3">
        <w:t xml:space="preserve">). The report contains a detailed analysis </w:t>
      </w:r>
      <w:r w:rsidRPr="00A604A3">
        <w:rPr>
          <w:color w:val="000000" w:themeColor="text1"/>
        </w:rPr>
        <w:t xml:space="preserve">of the analytical, inspection and simulation characteristics defined in ITU-R Reports </w:t>
      </w:r>
      <w:r w:rsidRPr="00A604A3">
        <w:rPr>
          <w:bCs/>
          <w:iCs/>
          <w:color w:val="000000" w:themeColor="text1"/>
        </w:rPr>
        <w:t>M.2410-0, M.2411-0 and M.2412-0 [1] – [3]</w:t>
      </w:r>
      <w:r w:rsidRPr="00A604A3">
        <w:rPr>
          <w:color w:val="000000" w:themeColor="text1"/>
        </w:rPr>
        <w:t xml:space="preserve"> using a methodology described in Report ITU-R </w:t>
      </w:r>
      <w:r w:rsidRPr="00A604A3">
        <w:rPr>
          <w:bCs/>
          <w:iCs/>
          <w:color w:val="000000" w:themeColor="text1"/>
        </w:rPr>
        <w:t>M.2412-0 [3]</w:t>
      </w:r>
      <w:r w:rsidRPr="00A604A3">
        <w:rPr>
          <w:color w:val="000000" w:themeColor="text1"/>
        </w:rPr>
        <w:t>.</w:t>
      </w:r>
    </w:p>
    <w:p w:rsidR="00AE0549" w:rsidRPr="00A604A3" w:rsidRDefault="00AE0549" w:rsidP="00470885">
      <w:pPr>
        <w:spacing w:before="0" w:after="120"/>
        <w:ind w:right="95"/>
        <w:rPr>
          <w:szCs w:val="24"/>
        </w:rPr>
      </w:pPr>
      <w:r w:rsidRPr="00A604A3">
        <w:rPr>
          <w:szCs w:val="24"/>
        </w:rPr>
        <w:t>The final report contains analytical, simulation and inspection</w:t>
      </w:r>
      <w:r w:rsidRPr="00A604A3" w:rsidDel="00AA03DA">
        <w:rPr>
          <w:szCs w:val="24"/>
        </w:rPr>
        <w:t xml:space="preserve"> </w:t>
      </w:r>
      <w:r w:rsidRPr="00A604A3">
        <w:rPr>
          <w:szCs w:val="24"/>
        </w:rPr>
        <w:t>evaluation results. This report includes updates to the preliminary report, which was submitted to the 33</w:t>
      </w:r>
      <w:r w:rsidRPr="00A604A3">
        <w:rPr>
          <w:szCs w:val="24"/>
          <w:vertAlign w:val="superscript"/>
        </w:rPr>
        <w:t>rd</w:t>
      </w:r>
      <w:r w:rsidRPr="00A604A3">
        <w:rPr>
          <w:szCs w:val="24"/>
        </w:rPr>
        <w:t xml:space="preserve"> meeting on Working Party 5D.</w:t>
      </w:r>
    </w:p>
    <w:p w:rsidR="00AE0549" w:rsidRPr="00A604A3" w:rsidRDefault="00AE0549" w:rsidP="00470885">
      <w:pPr>
        <w:spacing w:before="0" w:after="120"/>
        <w:ind w:right="95"/>
        <w:rPr>
          <w:szCs w:val="24"/>
        </w:rPr>
      </w:pPr>
      <w:r w:rsidRPr="00A604A3">
        <w:rPr>
          <w:szCs w:val="24"/>
        </w:rPr>
        <w:t xml:space="preserve">The evaluation targets the SRIT proposal contained in </w:t>
      </w:r>
      <w:r w:rsidRPr="00A604A3">
        <w:rPr>
          <w:szCs w:val="24"/>
          <w:lang w:eastAsia="zh-CN"/>
        </w:rPr>
        <w:t xml:space="preserve">IMT-2020/13-E </w:t>
      </w:r>
      <w:r w:rsidRPr="00A604A3">
        <w:rPr>
          <w:szCs w:val="24"/>
        </w:rPr>
        <w:t xml:space="preserve">[4] (3GPP SRIT) and </w:t>
      </w:r>
      <w:r w:rsidRPr="00A604A3">
        <w:rPr>
          <w:szCs w:val="24"/>
          <w:lang w:eastAsia="zh-CN"/>
        </w:rPr>
        <w:t>IMT-2020/14-E [5]</w:t>
      </w:r>
      <w:r w:rsidRPr="00A604A3">
        <w:rPr>
          <w:szCs w:val="24"/>
        </w:rPr>
        <w:t xml:space="preserve"> (3GPP RIT), as well as the technically very similar proposals in </w:t>
      </w:r>
      <w:r w:rsidRPr="00A604A3">
        <w:rPr>
          <w:szCs w:val="24"/>
          <w:lang w:eastAsia="zh-CN"/>
        </w:rPr>
        <w:t>IMT-2020/15-E</w:t>
      </w:r>
      <w:r w:rsidRPr="00A604A3">
        <w:rPr>
          <w:szCs w:val="24"/>
        </w:rPr>
        <w:t xml:space="preserve"> [6] (People’s Republic of China), </w:t>
      </w:r>
      <w:r w:rsidRPr="00A604A3">
        <w:rPr>
          <w:szCs w:val="24"/>
          <w:lang w:eastAsia="zh-CN"/>
        </w:rPr>
        <w:t>IMT-2020/16-E [7] (Republic of Korea) and IMT-2020/17-E [8] (ETSI TC DECT and DECT Forum “</w:t>
      </w:r>
      <w:r w:rsidRPr="00A604A3">
        <w:rPr>
          <w:szCs w:val="24"/>
        </w:rPr>
        <w:t>3GPP 5G NR” component RIT</w:t>
      </w:r>
      <w:r w:rsidRPr="00A604A3">
        <w:rPr>
          <w:szCs w:val="24"/>
          <w:lang w:eastAsia="zh-CN"/>
        </w:rPr>
        <w:t>)</w:t>
      </w:r>
      <w:r w:rsidRPr="00A604A3">
        <w:rPr>
          <w:szCs w:val="24"/>
        </w:rPr>
        <w:t>.</w:t>
      </w:r>
    </w:p>
    <w:p w:rsidR="00AE0549" w:rsidRPr="00A604A3" w:rsidRDefault="00AE0549" w:rsidP="00470885">
      <w:pPr>
        <w:pStyle w:val="BodyText"/>
        <w:tabs>
          <w:tab w:val="clear" w:pos="794"/>
          <w:tab w:val="clear" w:pos="1191"/>
          <w:tab w:val="clear" w:pos="1588"/>
          <w:tab w:val="clear" w:pos="1985"/>
        </w:tabs>
        <w:spacing w:before="0"/>
        <w:ind w:right="95"/>
        <w:jc w:val="both"/>
        <w:rPr>
          <w:szCs w:val="24"/>
        </w:rPr>
      </w:pPr>
      <w:r w:rsidRPr="00A604A3">
        <w:rPr>
          <w:szCs w:val="24"/>
        </w:rPr>
        <w:t>The attached evaluation report consists of 3 Parts:</w:t>
      </w:r>
    </w:p>
    <w:p w:rsidR="00AE0549" w:rsidRPr="00A604A3" w:rsidRDefault="00470885" w:rsidP="00470885">
      <w:pPr>
        <w:pStyle w:val="enumlev1"/>
      </w:pPr>
      <w:r w:rsidRPr="00A604A3">
        <w:t>–</w:t>
      </w:r>
      <w:r w:rsidRPr="00A604A3">
        <w:tab/>
      </w:r>
      <w:r w:rsidR="00AE0549" w:rsidRPr="00A604A3">
        <w:t>Part I: Administrative Aspects of 5G Infrastructure Association</w:t>
      </w:r>
    </w:p>
    <w:p w:rsidR="00AE0549" w:rsidRPr="00A604A3" w:rsidRDefault="00470885" w:rsidP="00470885">
      <w:pPr>
        <w:pStyle w:val="enumlev1"/>
      </w:pPr>
      <w:r w:rsidRPr="00A604A3">
        <w:t>–</w:t>
      </w:r>
      <w:r w:rsidRPr="00A604A3">
        <w:tab/>
      </w:r>
      <w:r w:rsidR="00AE0549" w:rsidRPr="00A604A3">
        <w:t>Part II: Technical Aspects of the work in 5G Infrastructure Association</w:t>
      </w:r>
    </w:p>
    <w:p w:rsidR="00AE0549" w:rsidRPr="00A604A3" w:rsidRDefault="00470885" w:rsidP="00470885">
      <w:pPr>
        <w:pStyle w:val="enumlev1"/>
      </w:pPr>
      <w:r w:rsidRPr="00A604A3">
        <w:t>–</w:t>
      </w:r>
      <w:r w:rsidRPr="00A604A3">
        <w:tab/>
      </w:r>
      <w:r w:rsidR="00AE0549" w:rsidRPr="00A604A3">
        <w:t>Part III: Conclusion</w:t>
      </w:r>
    </w:p>
    <w:p w:rsidR="00AE0549" w:rsidRPr="00A604A3" w:rsidRDefault="00AE0549" w:rsidP="00470885">
      <w:pPr>
        <w:pStyle w:val="BodyText"/>
        <w:tabs>
          <w:tab w:val="clear" w:pos="794"/>
          <w:tab w:val="clear" w:pos="1191"/>
          <w:tab w:val="clear" w:pos="1588"/>
          <w:tab w:val="clear" w:pos="1985"/>
        </w:tabs>
        <w:ind w:right="95"/>
        <w:jc w:val="both"/>
        <w:rPr>
          <w:szCs w:val="24"/>
        </w:rPr>
      </w:pPr>
      <w:r w:rsidRPr="00A604A3">
        <w:rPr>
          <w:szCs w:val="24"/>
        </w:rPr>
        <w:t>The report is structured according to the proposed structure in [9].</w:t>
      </w:r>
    </w:p>
    <w:p w:rsidR="00AE0549" w:rsidRPr="00A604A3" w:rsidRDefault="00AE0549" w:rsidP="00470885">
      <w:pPr>
        <w:pStyle w:val="BodyText"/>
        <w:tabs>
          <w:tab w:val="clear" w:pos="794"/>
          <w:tab w:val="clear" w:pos="1191"/>
          <w:tab w:val="clear" w:pos="1588"/>
          <w:tab w:val="clear" w:pos="1985"/>
        </w:tabs>
        <w:ind w:right="95"/>
        <w:jc w:val="both"/>
        <w:rPr>
          <w:szCs w:val="24"/>
        </w:rPr>
      </w:pPr>
    </w:p>
    <w:p w:rsidR="00AE0549" w:rsidRPr="00A604A3" w:rsidRDefault="00AE0549" w:rsidP="00470885">
      <w:pPr>
        <w:pStyle w:val="BodyText"/>
        <w:tabs>
          <w:tab w:val="clear" w:pos="794"/>
          <w:tab w:val="clear" w:pos="1191"/>
          <w:tab w:val="clear" w:pos="1588"/>
          <w:tab w:val="clear" w:pos="1985"/>
        </w:tabs>
        <w:ind w:right="95"/>
        <w:jc w:val="both"/>
        <w:rPr>
          <w:szCs w:val="24"/>
        </w:rPr>
        <w:sectPr w:rsidR="00AE0549" w:rsidRPr="00A604A3" w:rsidSect="00470885">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AE0549" w:rsidRPr="00A604A3" w:rsidRDefault="00470885" w:rsidP="00470885">
      <w:pPr>
        <w:pStyle w:val="AnnexNo"/>
      </w:pPr>
      <w:bookmarkStart w:id="9" w:name="_Toc32412942"/>
      <w:r w:rsidRPr="00A604A3">
        <w:lastRenderedPageBreak/>
        <w:t>Attachment 1</w:t>
      </w:r>
      <w:bookmarkEnd w:id="9"/>
    </w:p>
    <w:p w:rsidR="00AE0549" w:rsidRDefault="009002F1" w:rsidP="009002F1">
      <w:pPr>
        <w:pStyle w:val="Title1"/>
      </w:pPr>
      <w:r>
        <w:t>Table of contents</w:t>
      </w:r>
    </w:p>
    <w:p w:rsidR="00F05047" w:rsidRDefault="00F05047" w:rsidP="00F05047">
      <w:pPr>
        <w:pStyle w:val="TOC1"/>
        <w:rPr>
          <w:rFonts w:asciiTheme="minorHAnsi" w:hAnsiTheme="minorHAnsi" w:cstheme="minorBidi"/>
          <w:noProof/>
          <w:sz w:val="22"/>
          <w:szCs w:val="22"/>
          <w:lang w:eastAsia="zh-CN"/>
        </w:rPr>
      </w:pPr>
      <w:r>
        <w:fldChar w:fldCharType="begin"/>
      </w:r>
      <w:r>
        <w:instrText xml:space="preserve"> TOC \h \z \t "Heading 1,1,Heading 2,2,Heading 3,3,Part_No,1,Annex_No,1,Part_title,1,Annex_title,1" </w:instrText>
      </w:r>
      <w:r>
        <w:fldChar w:fldCharType="separate"/>
      </w:r>
      <w:hyperlink w:anchor="_Toc32412943" w:history="1">
        <w:r w:rsidRPr="007D2687">
          <w:rPr>
            <w:rStyle w:val="Hyperlink"/>
            <w:rFonts w:eastAsia="MS Mincho"/>
            <w:noProof/>
          </w:rPr>
          <w:t>Part I</w:t>
        </w:r>
        <w:r>
          <w:rPr>
            <w:rStyle w:val="Hyperlink"/>
            <w:rFonts w:eastAsia="MS Mincho"/>
            <w:noProof/>
          </w:rPr>
          <w:t xml:space="preserve"> – </w:t>
        </w:r>
        <w:r w:rsidRPr="00F05047">
          <w:rPr>
            <w:rStyle w:val="Hyperlink"/>
            <w:rFonts w:eastAsia="MS Mincho"/>
            <w:noProof/>
          </w:rPr>
          <w:t>Administrative aspects of 5G Infrastructure Association</w:t>
        </w:r>
        <w:r>
          <w:rPr>
            <w:noProof/>
            <w:webHidden/>
          </w:rPr>
          <w:tab/>
        </w:r>
        <w:r w:rsidR="006853C6">
          <w:rPr>
            <w:noProof/>
            <w:webHidden/>
          </w:rPr>
          <w:tab/>
        </w:r>
        <w:r>
          <w:rPr>
            <w:noProof/>
            <w:webHidden/>
          </w:rPr>
          <w:fldChar w:fldCharType="begin"/>
        </w:r>
        <w:r>
          <w:rPr>
            <w:noProof/>
            <w:webHidden/>
          </w:rPr>
          <w:instrText xml:space="preserve"> PAGEREF _Toc32412943 \h </w:instrText>
        </w:r>
        <w:r>
          <w:rPr>
            <w:noProof/>
            <w:webHidden/>
          </w:rPr>
        </w:r>
        <w:r>
          <w:rPr>
            <w:noProof/>
            <w:webHidden/>
          </w:rPr>
          <w:fldChar w:fldCharType="separate"/>
        </w:r>
        <w:r>
          <w:rPr>
            <w:noProof/>
            <w:webHidden/>
          </w:rPr>
          <w:t>4</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45" w:history="1">
        <w:r w:rsidRPr="007D2687">
          <w:rPr>
            <w:rStyle w:val="Hyperlink"/>
            <w:rFonts w:eastAsia="MS Mincho"/>
            <w:noProof/>
          </w:rPr>
          <w:t>I.1</w:t>
        </w:r>
        <w:r>
          <w:rPr>
            <w:rFonts w:asciiTheme="minorHAnsi" w:hAnsiTheme="minorHAnsi" w:cstheme="minorBidi"/>
            <w:noProof/>
            <w:sz w:val="22"/>
            <w:szCs w:val="22"/>
            <w:lang w:eastAsia="zh-CN"/>
          </w:rPr>
          <w:tab/>
        </w:r>
        <w:r w:rsidRPr="007D2687">
          <w:rPr>
            <w:rStyle w:val="Hyperlink"/>
            <w:rFonts w:eastAsia="MS Mincho"/>
            <w:noProof/>
          </w:rPr>
          <w:t>Name of the Independent Evaluation Group</w:t>
        </w:r>
        <w:r>
          <w:rPr>
            <w:noProof/>
            <w:webHidden/>
          </w:rPr>
          <w:tab/>
        </w:r>
        <w:r w:rsidR="006853C6">
          <w:rPr>
            <w:noProof/>
            <w:webHidden/>
          </w:rPr>
          <w:tab/>
        </w:r>
        <w:r>
          <w:rPr>
            <w:noProof/>
            <w:webHidden/>
          </w:rPr>
          <w:fldChar w:fldCharType="begin"/>
        </w:r>
        <w:r>
          <w:rPr>
            <w:noProof/>
            <w:webHidden/>
          </w:rPr>
          <w:instrText xml:space="preserve"> PAGEREF _Toc32412945 \h </w:instrText>
        </w:r>
        <w:r>
          <w:rPr>
            <w:noProof/>
            <w:webHidden/>
          </w:rPr>
        </w:r>
        <w:r>
          <w:rPr>
            <w:noProof/>
            <w:webHidden/>
          </w:rPr>
          <w:fldChar w:fldCharType="separate"/>
        </w:r>
        <w:r>
          <w:rPr>
            <w:noProof/>
            <w:webHidden/>
          </w:rPr>
          <w:t>4</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46" w:history="1">
        <w:r w:rsidRPr="007D2687">
          <w:rPr>
            <w:rStyle w:val="Hyperlink"/>
            <w:rFonts w:eastAsia="MS Mincho"/>
            <w:noProof/>
          </w:rPr>
          <w:t>I.2</w:t>
        </w:r>
        <w:r>
          <w:rPr>
            <w:rFonts w:asciiTheme="minorHAnsi" w:hAnsiTheme="minorHAnsi" w:cstheme="minorBidi"/>
            <w:noProof/>
            <w:sz w:val="22"/>
            <w:szCs w:val="22"/>
            <w:lang w:eastAsia="zh-CN"/>
          </w:rPr>
          <w:tab/>
        </w:r>
        <w:r w:rsidRPr="007D2687">
          <w:rPr>
            <w:rStyle w:val="Hyperlink"/>
            <w:rFonts w:eastAsia="MS Mincho"/>
            <w:noProof/>
          </w:rPr>
          <w:t>Introduction and background of 5G Infrastructure Association</w:t>
        </w:r>
        <w:r>
          <w:rPr>
            <w:noProof/>
            <w:webHidden/>
          </w:rPr>
          <w:tab/>
        </w:r>
        <w:r w:rsidR="006853C6">
          <w:rPr>
            <w:noProof/>
            <w:webHidden/>
          </w:rPr>
          <w:tab/>
        </w:r>
        <w:r>
          <w:rPr>
            <w:noProof/>
            <w:webHidden/>
          </w:rPr>
          <w:fldChar w:fldCharType="begin"/>
        </w:r>
        <w:r>
          <w:rPr>
            <w:noProof/>
            <w:webHidden/>
          </w:rPr>
          <w:instrText xml:space="preserve"> PAGEREF _Toc32412946 \h </w:instrText>
        </w:r>
        <w:r>
          <w:rPr>
            <w:noProof/>
            <w:webHidden/>
          </w:rPr>
        </w:r>
        <w:r>
          <w:rPr>
            <w:noProof/>
            <w:webHidden/>
          </w:rPr>
          <w:fldChar w:fldCharType="separate"/>
        </w:r>
        <w:r>
          <w:rPr>
            <w:noProof/>
            <w:webHidden/>
          </w:rPr>
          <w:t>4</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47" w:history="1">
        <w:r w:rsidRPr="007D2687">
          <w:rPr>
            <w:rStyle w:val="Hyperlink"/>
            <w:rFonts w:eastAsia="MS Mincho"/>
            <w:noProof/>
          </w:rPr>
          <w:t>I.3</w:t>
        </w:r>
        <w:r>
          <w:rPr>
            <w:rFonts w:asciiTheme="minorHAnsi" w:hAnsiTheme="minorHAnsi" w:cstheme="minorBidi"/>
            <w:noProof/>
            <w:sz w:val="22"/>
            <w:szCs w:val="22"/>
            <w:lang w:eastAsia="zh-CN"/>
          </w:rPr>
          <w:tab/>
        </w:r>
        <w:r w:rsidRPr="007D2687">
          <w:rPr>
            <w:rStyle w:val="Hyperlink"/>
            <w:rFonts w:eastAsia="MS Mincho"/>
            <w:noProof/>
          </w:rPr>
          <w:t>Method of work</w:t>
        </w:r>
        <w:r>
          <w:rPr>
            <w:noProof/>
            <w:webHidden/>
          </w:rPr>
          <w:tab/>
        </w:r>
        <w:r w:rsidR="006853C6">
          <w:rPr>
            <w:noProof/>
            <w:webHidden/>
          </w:rPr>
          <w:tab/>
        </w:r>
        <w:r>
          <w:rPr>
            <w:noProof/>
            <w:webHidden/>
          </w:rPr>
          <w:fldChar w:fldCharType="begin"/>
        </w:r>
        <w:r>
          <w:rPr>
            <w:noProof/>
            <w:webHidden/>
          </w:rPr>
          <w:instrText xml:space="preserve"> PAGEREF _Toc32412947 \h </w:instrText>
        </w:r>
        <w:r>
          <w:rPr>
            <w:noProof/>
            <w:webHidden/>
          </w:rPr>
        </w:r>
        <w:r>
          <w:rPr>
            <w:noProof/>
            <w:webHidden/>
          </w:rPr>
          <w:fldChar w:fldCharType="separate"/>
        </w:r>
        <w:r>
          <w:rPr>
            <w:noProof/>
            <w:webHidden/>
          </w:rPr>
          <w:t>5</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48" w:history="1">
        <w:r w:rsidRPr="007D2687">
          <w:rPr>
            <w:rStyle w:val="Hyperlink"/>
            <w:rFonts w:eastAsia="MS Mincho"/>
            <w:noProof/>
          </w:rPr>
          <w:t>I.4</w:t>
        </w:r>
        <w:r>
          <w:rPr>
            <w:rFonts w:asciiTheme="minorHAnsi" w:hAnsiTheme="minorHAnsi" w:cstheme="minorBidi"/>
            <w:noProof/>
            <w:sz w:val="22"/>
            <w:szCs w:val="22"/>
            <w:lang w:eastAsia="zh-CN"/>
          </w:rPr>
          <w:tab/>
        </w:r>
        <w:r w:rsidRPr="007D2687">
          <w:rPr>
            <w:rStyle w:val="Hyperlink"/>
            <w:rFonts w:eastAsia="MS Mincho"/>
            <w:noProof/>
          </w:rPr>
          <w:t>Administrative contact details</w:t>
        </w:r>
        <w:r>
          <w:rPr>
            <w:noProof/>
            <w:webHidden/>
          </w:rPr>
          <w:tab/>
        </w:r>
        <w:r w:rsidR="006853C6">
          <w:rPr>
            <w:noProof/>
            <w:webHidden/>
          </w:rPr>
          <w:tab/>
        </w:r>
        <w:r>
          <w:rPr>
            <w:noProof/>
            <w:webHidden/>
          </w:rPr>
          <w:fldChar w:fldCharType="begin"/>
        </w:r>
        <w:r>
          <w:rPr>
            <w:noProof/>
            <w:webHidden/>
          </w:rPr>
          <w:instrText xml:space="preserve"> PAGEREF _Toc32412948 \h </w:instrText>
        </w:r>
        <w:r>
          <w:rPr>
            <w:noProof/>
            <w:webHidden/>
          </w:rPr>
        </w:r>
        <w:r>
          <w:rPr>
            <w:noProof/>
            <w:webHidden/>
          </w:rPr>
          <w:fldChar w:fldCharType="separate"/>
        </w:r>
        <w:r>
          <w:rPr>
            <w:noProof/>
            <w:webHidden/>
          </w:rPr>
          <w:t>6</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49" w:history="1">
        <w:r w:rsidRPr="007D2687">
          <w:rPr>
            <w:rStyle w:val="Hyperlink"/>
            <w:rFonts w:eastAsia="MS Mincho"/>
            <w:noProof/>
          </w:rPr>
          <w:t>I.5</w:t>
        </w:r>
        <w:r>
          <w:rPr>
            <w:rFonts w:asciiTheme="minorHAnsi" w:hAnsiTheme="minorHAnsi" w:cstheme="minorBidi"/>
            <w:noProof/>
            <w:sz w:val="22"/>
            <w:szCs w:val="22"/>
            <w:lang w:eastAsia="zh-CN"/>
          </w:rPr>
          <w:tab/>
        </w:r>
        <w:r w:rsidRPr="007D2687">
          <w:rPr>
            <w:rStyle w:val="Hyperlink"/>
            <w:rFonts w:eastAsia="MS Mincho"/>
            <w:noProof/>
          </w:rPr>
          <w:t>Technical contact details</w:t>
        </w:r>
        <w:r>
          <w:rPr>
            <w:noProof/>
            <w:webHidden/>
          </w:rPr>
          <w:tab/>
        </w:r>
        <w:r w:rsidR="006853C6">
          <w:rPr>
            <w:noProof/>
            <w:webHidden/>
          </w:rPr>
          <w:tab/>
        </w:r>
        <w:r>
          <w:rPr>
            <w:noProof/>
            <w:webHidden/>
          </w:rPr>
          <w:fldChar w:fldCharType="begin"/>
        </w:r>
        <w:r>
          <w:rPr>
            <w:noProof/>
            <w:webHidden/>
          </w:rPr>
          <w:instrText xml:space="preserve"> PAGEREF _Toc32412949 \h </w:instrText>
        </w:r>
        <w:r>
          <w:rPr>
            <w:noProof/>
            <w:webHidden/>
          </w:rPr>
        </w:r>
        <w:r>
          <w:rPr>
            <w:noProof/>
            <w:webHidden/>
          </w:rPr>
          <w:fldChar w:fldCharType="separate"/>
        </w:r>
        <w:r>
          <w:rPr>
            <w:noProof/>
            <w:webHidden/>
          </w:rPr>
          <w:t>6</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50" w:history="1">
        <w:r w:rsidRPr="007D2687">
          <w:rPr>
            <w:rStyle w:val="Hyperlink"/>
            <w:rFonts w:eastAsia="MS Mincho"/>
            <w:noProof/>
          </w:rPr>
          <w:t>I.6</w:t>
        </w:r>
        <w:r>
          <w:rPr>
            <w:rFonts w:asciiTheme="minorHAnsi" w:hAnsiTheme="minorHAnsi" w:cstheme="minorBidi"/>
            <w:noProof/>
            <w:sz w:val="22"/>
            <w:szCs w:val="22"/>
            <w:lang w:eastAsia="zh-CN"/>
          </w:rPr>
          <w:tab/>
        </w:r>
        <w:r w:rsidRPr="007D2687">
          <w:rPr>
            <w:rStyle w:val="Hyperlink"/>
            <w:rFonts w:eastAsia="MS Mincho"/>
            <w:noProof/>
          </w:rPr>
          <w:t>Other pertinent administrative information</w:t>
        </w:r>
        <w:r>
          <w:rPr>
            <w:noProof/>
            <w:webHidden/>
          </w:rPr>
          <w:tab/>
        </w:r>
        <w:r w:rsidR="006853C6">
          <w:rPr>
            <w:noProof/>
            <w:webHidden/>
          </w:rPr>
          <w:tab/>
        </w:r>
        <w:r>
          <w:rPr>
            <w:noProof/>
            <w:webHidden/>
          </w:rPr>
          <w:fldChar w:fldCharType="begin"/>
        </w:r>
        <w:r>
          <w:rPr>
            <w:noProof/>
            <w:webHidden/>
          </w:rPr>
          <w:instrText xml:space="preserve"> PAGEREF _Toc32412950 \h </w:instrText>
        </w:r>
        <w:r>
          <w:rPr>
            <w:noProof/>
            <w:webHidden/>
          </w:rPr>
        </w:r>
        <w:r>
          <w:rPr>
            <w:noProof/>
            <w:webHidden/>
          </w:rPr>
          <w:fldChar w:fldCharType="separate"/>
        </w:r>
        <w:r>
          <w:rPr>
            <w:noProof/>
            <w:webHidden/>
          </w:rPr>
          <w:t>7</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51" w:history="1">
        <w:r w:rsidRPr="007D2687">
          <w:rPr>
            <w:rStyle w:val="Hyperlink"/>
            <w:rFonts w:eastAsia="MS Mincho"/>
            <w:noProof/>
          </w:rPr>
          <w:t>I.7</w:t>
        </w:r>
        <w:r>
          <w:rPr>
            <w:rFonts w:asciiTheme="minorHAnsi" w:hAnsiTheme="minorHAnsi" w:cstheme="minorBidi"/>
            <w:noProof/>
            <w:sz w:val="22"/>
            <w:szCs w:val="22"/>
            <w:lang w:eastAsia="zh-CN"/>
          </w:rPr>
          <w:tab/>
        </w:r>
        <w:r w:rsidRPr="007D2687">
          <w:rPr>
            <w:rStyle w:val="Hyperlink"/>
            <w:rFonts w:eastAsia="MS Mincho"/>
            <w:noProof/>
          </w:rPr>
          <w:t>Structure of this Report</w:t>
        </w:r>
        <w:r>
          <w:rPr>
            <w:noProof/>
            <w:webHidden/>
          </w:rPr>
          <w:tab/>
        </w:r>
        <w:r w:rsidR="006853C6">
          <w:rPr>
            <w:noProof/>
            <w:webHidden/>
          </w:rPr>
          <w:tab/>
        </w:r>
        <w:r>
          <w:rPr>
            <w:noProof/>
            <w:webHidden/>
          </w:rPr>
          <w:fldChar w:fldCharType="begin"/>
        </w:r>
        <w:r>
          <w:rPr>
            <w:noProof/>
            <w:webHidden/>
          </w:rPr>
          <w:instrText xml:space="preserve"> PAGEREF _Toc32412951 \h </w:instrText>
        </w:r>
        <w:r>
          <w:rPr>
            <w:noProof/>
            <w:webHidden/>
          </w:rPr>
        </w:r>
        <w:r>
          <w:rPr>
            <w:noProof/>
            <w:webHidden/>
          </w:rPr>
          <w:fldChar w:fldCharType="separate"/>
        </w:r>
        <w:r>
          <w:rPr>
            <w:noProof/>
            <w:webHidden/>
          </w:rPr>
          <w:t>8</w:t>
        </w:r>
        <w:r>
          <w:rPr>
            <w:noProof/>
            <w:webHidden/>
          </w:rPr>
          <w:fldChar w:fldCharType="end"/>
        </w:r>
      </w:hyperlink>
    </w:p>
    <w:p w:rsidR="00F05047" w:rsidRDefault="00F05047">
      <w:pPr>
        <w:pStyle w:val="TOC1"/>
        <w:rPr>
          <w:rFonts w:asciiTheme="minorHAnsi" w:hAnsiTheme="minorHAnsi" w:cstheme="minorBidi"/>
          <w:noProof/>
          <w:sz w:val="22"/>
          <w:szCs w:val="22"/>
          <w:lang w:eastAsia="zh-CN"/>
        </w:rPr>
      </w:pPr>
      <w:hyperlink w:anchor="_Toc32412952" w:history="1">
        <w:r w:rsidRPr="007D2687">
          <w:rPr>
            <w:rStyle w:val="Hyperlink"/>
            <w:rFonts w:eastAsia="MS Mincho"/>
            <w:noProof/>
          </w:rPr>
          <w:t>Part II</w:t>
        </w:r>
        <w:r>
          <w:rPr>
            <w:rStyle w:val="Hyperlink"/>
            <w:rFonts w:eastAsia="MS Mincho"/>
            <w:noProof/>
          </w:rPr>
          <w:t xml:space="preserve"> – </w:t>
        </w:r>
        <w:r w:rsidRPr="00F05047">
          <w:rPr>
            <w:rStyle w:val="Hyperlink"/>
            <w:rFonts w:eastAsia="MS Mincho"/>
            <w:noProof/>
          </w:rPr>
          <w:t>Technical aspects of the work in 5G Infrastructure Association</w:t>
        </w:r>
        <w:r>
          <w:rPr>
            <w:noProof/>
            <w:webHidden/>
          </w:rPr>
          <w:tab/>
        </w:r>
        <w:r w:rsidR="006853C6">
          <w:rPr>
            <w:noProof/>
            <w:webHidden/>
          </w:rPr>
          <w:tab/>
        </w:r>
        <w:r>
          <w:rPr>
            <w:noProof/>
            <w:webHidden/>
          </w:rPr>
          <w:fldChar w:fldCharType="begin"/>
        </w:r>
        <w:r>
          <w:rPr>
            <w:noProof/>
            <w:webHidden/>
          </w:rPr>
          <w:instrText xml:space="preserve"> PAGEREF _Toc32412952 \h </w:instrText>
        </w:r>
        <w:r>
          <w:rPr>
            <w:noProof/>
            <w:webHidden/>
          </w:rPr>
        </w:r>
        <w:r>
          <w:rPr>
            <w:noProof/>
            <w:webHidden/>
          </w:rPr>
          <w:fldChar w:fldCharType="separate"/>
        </w:r>
        <w:r>
          <w:rPr>
            <w:noProof/>
            <w:webHidden/>
          </w:rPr>
          <w:t>8</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54" w:history="1">
        <w:r w:rsidRPr="007D2687">
          <w:rPr>
            <w:rStyle w:val="Hyperlink"/>
            <w:rFonts w:eastAsia="MS Mincho"/>
            <w:noProof/>
          </w:rPr>
          <w:t>II.1</w:t>
        </w:r>
        <w:r>
          <w:rPr>
            <w:rFonts w:asciiTheme="minorHAnsi" w:hAnsiTheme="minorHAnsi" w:cstheme="minorBidi"/>
            <w:noProof/>
            <w:sz w:val="22"/>
            <w:szCs w:val="22"/>
            <w:lang w:eastAsia="zh-CN"/>
          </w:rPr>
          <w:tab/>
        </w:r>
        <w:r w:rsidRPr="007D2687">
          <w:rPr>
            <w:rStyle w:val="Hyperlink"/>
            <w:rFonts w:eastAsia="MS Mincho"/>
            <w:noProof/>
          </w:rPr>
          <w:t xml:space="preserve">What candidate technologies or portions of the candidate technologies this IEG </w:t>
        </w:r>
        <w:r w:rsidR="006853C6">
          <w:rPr>
            <w:rStyle w:val="Hyperlink"/>
            <w:rFonts w:eastAsia="MS Mincho"/>
            <w:noProof/>
          </w:rPr>
          <w:br/>
        </w:r>
        <w:r w:rsidRPr="007D2687">
          <w:rPr>
            <w:rStyle w:val="Hyperlink"/>
            <w:rFonts w:eastAsia="MS Mincho"/>
            <w:noProof/>
          </w:rPr>
          <w:t>is or might anticipate evaluating?</w:t>
        </w:r>
        <w:r>
          <w:rPr>
            <w:noProof/>
            <w:webHidden/>
          </w:rPr>
          <w:tab/>
        </w:r>
        <w:r w:rsidR="006853C6">
          <w:rPr>
            <w:noProof/>
            <w:webHidden/>
          </w:rPr>
          <w:tab/>
        </w:r>
        <w:r>
          <w:rPr>
            <w:noProof/>
            <w:webHidden/>
          </w:rPr>
          <w:fldChar w:fldCharType="begin"/>
        </w:r>
        <w:r>
          <w:rPr>
            <w:noProof/>
            <w:webHidden/>
          </w:rPr>
          <w:instrText xml:space="preserve"> PAGEREF _Toc32412954 \h </w:instrText>
        </w:r>
        <w:r>
          <w:rPr>
            <w:noProof/>
            <w:webHidden/>
          </w:rPr>
        </w:r>
        <w:r>
          <w:rPr>
            <w:noProof/>
            <w:webHidden/>
          </w:rPr>
          <w:fldChar w:fldCharType="separate"/>
        </w:r>
        <w:r>
          <w:rPr>
            <w:noProof/>
            <w:webHidden/>
          </w:rPr>
          <w:t>8</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55" w:history="1">
        <w:r w:rsidRPr="007D2687">
          <w:rPr>
            <w:rStyle w:val="Hyperlink"/>
            <w:rFonts w:eastAsia="MS Mincho"/>
            <w:noProof/>
          </w:rPr>
          <w:t>II.2</w:t>
        </w:r>
        <w:r>
          <w:rPr>
            <w:rFonts w:asciiTheme="minorHAnsi" w:hAnsiTheme="minorHAnsi" w:cstheme="minorBidi"/>
            <w:noProof/>
            <w:sz w:val="22"/>
            <w:szCs w:val="22"/>
            <w:lang w:eastAsia="zh-CN"/>
          </w:rPr>
          <w:tab/>
        </w:r>
        <w:r w:rsidRPr="007D2687">
          <w:rPr>
            <w:rStyle w:val="Hyperlink"/>
            <w:rFonts w:eastAsia="MS Mincho"/>
            <w:noProof/>
          </w:rPr>
          <w:t>Confirmation of utilization of the ITU-R evaluation guidelines in Report ITU</w:t>
        </w:r>
        <w:r w:rsidRPr="007D2687">
          <w:rPr>
            <w:rStyle w:val="Hyperlink"/>
            <w:rFonts w:eastAsia="MS Mincho"/>
            <w:noProof/>
          </w:rPr>
          <w:noBreakHyphen/>
          <w:t>R M.2412</w:t>
        </w:r>
        <w:r>
          <w:rPr>
            <w:noProof/>
            <w:webHidden/>
          </w:rPr>
          <w:tab/>
        </w:r>
        <w:r w:rsidR="006853C6">
          <w:rPr>
            <w:noProof/>
            <w:webHidden/>
          </w:rPr>
          <w:tab/>
        </w:r>
        <w:r>
          <w:rPr>
            <w:noProof/>
            <w:webHidden/>
          </w:rPr>
          <w:fldChar w:fldCharType="begin"/>
        </w:r>
        <w:r>
          <w:rPr>
            <w:noProof/>
            <w:webHidden/>
          </w:rPr>
          <w:instrText xml:space="preserve"> PAGEREF _Toc32412955 \h </w:instrText>
        </w:r>
        <w:r>
          <w:rPr>
            <w:noProof/>
            <w:webHidden/>
          </w:rPr>
        </w:r>
        <w:r>
          <w:rPr>
            <w:noProof/>
            <w:webHidden/>
          </w:rPr>
          <w:fldChar w:fldCharType="separate"/>
        </w:r>
        <w:r>
          <w:rPr>
            <w:noProof/>
            <w:webHidden/>
          </w:rPr>
          <w:t>9</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56" w:history="1">
        <w:r w:rsidRPr="007D2687">
          <w:rPr>
            <w:rStyle w:val="Hyperlink"/>
            <w:rFonts w:eastAsia="MS Mincho"/>
            <w:noProof/>
          </w:rPr>
          <w:t>II.3</w:t>
        </w:r>
        <w:r>
          <w:rPr>
            <w:rFonts w:asciiTheme="minorHAnsi" w:hAnsiTheme="minorHAnsi" w:cstheme="minorBidi"/>
            <w:noProof/>
            <w:sz w:val="22"/>
            <w:szCs w:val="22"/>
            <w:lang w:eastAsia="zh-CN"/>
          </w:rPr>
          <w:tab/>
        </w:r>
        <w:r w:rsidRPr="007D2687">
          <w:rPr>
            <w:rStyle w:val="Hyperlink"/>
            <w:rFonts w:eastAsia="MS Mincho"/>
            <w:noProof/>
          </w:rPr>
          <w:t>Documentation of any additional evaluation methodologies that are or might be developed by the Independent Evaluation Group to complement the evaluation guidelines</w:t>
        </w:r>
        <w:r>
          <w:rPr>
            <w:noProof/>
            <w:webHidden/>
          </w:rPr>
          <w:tab/>
        </w:r>
        <w:r w:rsidR="006853C6">
          <w:rPr>
            <w:noProof/>
            <w:webHidden/>
          </w:rPr>
          <w:tab/>
        </w:r>
        <w:r>
          <w:rPr>
            <w:noProof/>
            <w:webHidden/>
          </w:rPr>
          <w:fldChar w:fldCharType="begin"/>
        </w:r>
        <w:r>
          <w:rPr>
            <w:noProof/>
            <w:webHidden/>
          </w:rPr>
          <w:instrText xml:space="preserve"> PAGEREF _Toc32412956 \h </w:instrText>
        </w:r>
        <w:r>
          <w:rPr>
            <w:noProof/>
            <w:webHidden/>
          </w:rPr>
        </w:r>
        <w:r>
          <w:rPr>
            <w:noProof/>
            <w:webHidden/>
          </w:rPr>
          <w:fldChar w:fldCharType="separate"/>
        </w:r>
        <w:r>
          <w:rPr>
            <w:noProof/>
            <w:webHidden/>
          </w:rPr>
          <w:t>9</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57" w:history="1">
        <w:r w:rsidRPr="007D2687">
          <w:rPr>
            <w:rStyle w:val="Hyperlink"/>
            <w:rFonts w:eastAsia="MS Mincho"/>
            <w:noProof/>
          </w:rPr>
          <w:t>II.4</w:t>
        </w:r>
        <w:r>
          <w:rPr>
            <w:rFonts w:asciiTheme="minorHAnsi" w:hAnsiTheme="minorHAnsi" w:cstheme="minorBidi"/>
            <w:noProof/>
            <w:sz w:val="22"/>
            <w:szCs w:val="22"/>
            <w:lang w:eastAsia="zh-CN"/>
          </w:rPr>
          <w:tab/>
        </w:r>
        <w:r w:rsidRPr="007D2687">
          <w:rPr>
            <w:rStyle w:val="Hyperlink"/>
            <w:rFonts w:eastAsia="MS Mincho"/>
            <w:noProof/>
          </w:rPr>
          <w:t xml:space="preserve">Verification as per Report ITU-R M.2411 of the compliance templates and </w:t>
        </w:r>
        <w:r w:rsidR="006853C6">
          <w:rPr>
            <w:rStyle w:val="Hyperlink"/>
            <w:rFonts w:eastAsia="MS Mincho"/>
            <w:noProof/>
          </w:rPr>
          <w:br/>
        </w:r>
        <w:r w:rsidRPr="007D2687">
          <w:rPr>
            <w:rStyle w:val="Hyperlink"/>
            <w:rFonts w:eastAsia="MS Mincho"/>
            <w:noProof/>
          </w:rPr>
          <w:t>the self-evaluation for each candidate technology as indicated in A)</w:t>
        </w:r>
        <w:r w:rsidR="006853C6">
          <w:rPr>
            <w:rStyle w:val="Hyperlink"/>
            <w:rFonts w:eastAsia="MS Mincho"/>
            <w:noProof/>
          </w:rPr>
          <w:tab/>
        </w:r>
        <w:r>
          <w:rPr>
            <w:noProof/>
            <w:webHidden/>
          </w:rPr>
          <w:tab/>
        </w:r>
        <w:r>
          <w:rPr>
            <w:noProof/>
            <w:webHidden/>
          </w:rPr>
          <w:fldChar w:fldCharType="begin"/>
        </w:r>
        <w:r>
          <w:rPr>
            <w:noProof/>
            <w:webHidden/>
          </w:rPr>
          <w:instrText xml:space="preserve"> PAGEREF _Toc32412957 \h </w:instrText>
        </w:r>
        <w:r>
          <w:rPr>
            <w:noProof/>
            <w:webHidden/>
          </w:rPr>
        </w:r>
        <w:r>
          <w:rPr>
            <w:noProof/>
            <w:webHidden/>
          </w:rPr>
          <w:fldChar w:fldCharType="separate"/>
        </w:r>
        <w:r>
          <w:rPr>
            <w:noProof/>
            <w:webHidden/>
          </w:rPr>
          <w:t>10</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58" w:history="1">
        <w:r w:rsidRPr="007D2687">
          <w:rPr>
            <w:rStyle w:val="Hyperlink"/>
            <w:rFonts w:eastAsia="MS Mincho"/>
            <w:noProof/>
          </w:rPr>
          <w:t>II.4.1</w:t>
        </w:r>
        <w:r>
          <w:rPr>
            <w:rFonts w:asciiTheme="minorHAnsi" w:hAnsiTheme="minorHAnsi" w:cstheme="minorBidi"/>
            <w:noProof/>
            <w:sz w:val="22"/>
            <w:szCs w:val="22"/>
            <w:lang w:eastAsia="zh-CN"/>
          </w:rPr>
          <w:tab/>
        </w:r>
        <w:r w:rsidRPr="007D2687">
          <w:rPr>
            <w:rStyle w:val="Hyperlink"/>
            <w:noProof/>
          </w:rPr>
          <w:t>Identify gaps/deficiencies in submitted material and/or self-evaluation</w:t>
        </w:r>
        <w:r>
          <w:rPr>
            <w:noProof/>
            <w:webHidden/>
          </w:rPr>
          <w:tab/>
        </w:r>
        <w:r w:rsidR="006853C6">
          <w:rPr>
            <w:noProof/>
            <w:webHidden/>
          </w:rPr>
          <w:tab/>
        </w:r>
        <w:r>
          <w:rPr>
            <w:noProof/>
            <w:webHidden/>
          </w:rPr>
          <w:fldChar w:fldCharType="begin"/>
        </w:r>
        <w:r>
          <w:rPr>
            <w:noProof/>
            <w:webHidden/>
          </w:rPr>
          <w:instrText xml:space="preserve"> PAGEREF _Toc32412958 \h </w:instrText>
        </w:r>
        <w:r>
          <w:rPr>
            <w:noProof/>
            <w:webHidden/>
          </w:rPr>
        </w:r>
        <w:r>
          <w:rPr>
            <w:noProof/>
            <w:webHidden/>
          </w:rPr>
          <w:fldChar w:fldCharType="separate"/>
        </w:r>
        <w:r>
          <w:rPr>
            <w:noProof/>
            <w:webHidden/>
          </w:rPr>
          <w:t>10</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59" w:history="1">
        <w:r w:rsidRPr="007D2687">
          <w:rPr>
            <w:rStyle w:val="Hyperlink"/>
            <w:rFonts w:eastAsia="MS Mincho"/>
            <w:noProof/>
          </w:rPr>
          <w:t>II.4.2</w:t>
        </w:r>
        <w:r>
          <w:rPr>
            <w:rFonts w:asciiTheme="minorHAnsi" w:hAnsiTheme="minorHAnsi" w:cstheme="minorBidi"/>
            <w:noProof/>
            <w:sz w:val="22"/>
            <w:szCs w:val="22"/>
            <w:lang w:eastAsia="zh-CN"/>
          </w:rPr>
          <w:tab/>
        </w:r>
        <w:r w:rsidRPr="007D2687">
          <w:rPr>
            <w:rStyle w:val="Hyperlink"/>
            <w:noProof/>
          </w:rPr>
          <w:t>Identify areas requiring clarifications</w:t>
        </w:r>
        <w:r>
          <w:rPr>
            <w:noProof/>
            <w:webHidden/>
          </w:rPr>
          <w:tab/>
        </w:r>
        <w:r w:rsidR="006853C6">
          <w:rPr>
            <w:noProof/>
            <w:webHidden/>
          </w:rPr>
          <w:tab/>
        </w:r>
        <w:r>
          <w:rPr>
            <w:noProof/>
            <w:webHidden/>
          </w:rPr>
          <w:fldChar w:fldCharType="begin"/>
        </w:r>
        <w:r>
          <w:rPr>
            <w:noProof/>
            <w:webHidden/>
          </w:rPr>
          <w:instrText xml:space="preserve"> PAGEREF _Toc32412959 \h </w:instrText>
        </w:r>
        <w:r>
          <w:rPr>
            <w:noProof/>
            <w:webHidden/>
          </w:rPr>
        </w:r>
        <w:r>
          <w:rPr>
            <w:noProof/>
            <w:webHidden/>
          </w:rPr>
          <w:fldChar w:fldCharType="separate"/>
        </w:r>
        <w:r>
          <w:rPr>
            <w:noProof/>
            <w:webHidden/>
          </w:rPr>
          <w:t>10</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60" w:history="1">
        <w:r w:rsidRPr="007D2687">
          <w:rPr>
            <w:rStyle w:val="Hyperlink"/>
            <w:rFonts w:eastAsia="MS Mincho"/>
            <w:noProof/>
          </w:rPr>
          <w:t>II.5</w:t>
        </w:r>
        <w:r>
          <w:rPr>
            <w:rFonts w:asciiTheme="minorHAnsi" w:hAnsiTheme="minorHAnsi" w:cstheme="minorBidi"/>
            <w:noProof/>
            <w:sz w:val="22"/>
            <w:szCs w:val="22"/>
            <w:lang w:eastAsia="zh-CN"/>
          </w:rPr>
          <w:tab/>
        </w:r>
        <w:r w:rsidRPr="007D2687">
          <w:rPr>
            <w:rStyle w:val="Hyperlink"/>
            <w:rFonts w:eastAsia="MS Mincho"/>
            <w:noProof/>
          </w:rPr>
          <w:t xml:space="preserve">Assessment as per Reports ITU-R M.2410, ITU-R M.2411 and ITU-R M.2412 </w:t>
        </w:r>
        <w:r w:rsidR="006853C6">
          <w:rPr>
            <w:rStyle w:val="Hyperlink"/>
            <w:rFonts w:eastAsia="MS Mincho"/>
            <w:noProof/>
          </w:rPr>
          <w:br/>
        </w:r>
        <w:r w:rsidRPr="007D2687">
          <w:rPr>
            <w:rStyle w:val="Hyperlink"/>
            <w:rFonts w:eastAsia="MS Mincho"/>
            <w:noProof/>
          </w:rPr>
          <w:t>for each candidate technology as indicated in A)</w:t>
        </w:r>
        <w:r>
          <w:rPr>
            <w:noProof/>
            <w:webHidden/>
          </w:rPr>
          <w:tab/>
        </w:r>
        <w:r w:rsidR="006853C6">
          <w:rPr>
            <w:noProof/>
            <w:webHidden/>
          </w:rPr>
          <w:tab/>
        </w:r>
        <w:r>
          <w:rPr>
            <w:noProof/>
            <w:webHidden/>
          </w:rPr>
          <w:fldChar w:fldCharType="begin"/>
        </w:r>
        <w:r>
          <w:rPr>
            <w:noProof/>
            <w:webHidden/>
          </w:rPr>
          <w:instrText xml:space="preserve"> PAGEREF _Toc32412960 \h </w:instrText>
        </w:r>
        <w:r>
          <w:rPr>
            <w:noProof/>
            <w:webHidden/>
          </w:rPr>
        </w:r>
        <w:r>
          <w:rPr>
            <w:noProof/>
            <w:webHidden/>
          </w:rPr>
          <w:fldChar w:fldCharType="separate"/>
        </w:r>
        <w:r>
          <w:rPr>
            <w:noProof/>
            <w:webHidden/>
          </w:rPr>
          <w:t>10</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1" w:history="1">
        <w:r w:rsidRPr="007D2687">
          <w:rPr>
            <w:rStyle w:val="Hyperlink"/>
            <w:rFonts w:eastAsia="MS Mincho"/>
            <w:noProof/>
          </w:rPr>
          <w:t>II.5.1</w:t>
        </w:r>
        <w:r>
          <w:rPr>
            <w:rFonts w:asciiTheme="minorHAnsi" w:hAnsiTheme="minorHAnsi" w:cstheme="minorBidi"/>
            <w:noProof/>
            <w:sz w:val="22"/>
            <w:szCs w:val="22"/>
            <w:lang w:eastAsia="zh-CN"/>
          </w:rPr>
          <w:tab/>
        </w:r>
        <w:r w:rsidRPr="007D2687">
          <w:rPr>
            <w:rStyle w:val="Hyperlink"/>
            <w:rFonts w:eastAsia="MS Mincho"/>
            <w:noProof/>
          </w:rPr>
          <w:t>Analytical, inspection evaluation and simulation-based evaluation</w:t>
        </w:r>
        <w:r>
          <w:rPr>
            <w:noProof/>
            <w:webHidden/>
          </w:rPr>
          <w:tab/>
        </w:r>
        <w:r w:rsidR="006853C6">
          <w:rPr>
            <w:noProof/>
            <w:webHidden/>
          </w:rPr>
          <w:tab/>
        </w:r>
        <w:r>
          <w:rPr>
            <w:noProof/>
            <w:webHidden/>
          </w:rPr>
          <w:fldChar w:fldCharType="begin"/>
        </w:r>
        <w:r>
          <w:rPr>
            <w:noProof/>
            <w:webHidden/>
          </w:rPr>
          <w:instrText xml:space="preserve"> PAGEREF _Toc32412961 \h </w:instrText>
        </w:r>
        <w:r>
          <w:rPr>
            <w:noProof/>
            <w:webHidden/>
          </w:rPr>
        </w:r>
        <w:r>
          <w:rPr>
            <w:noProof/>
            <w:webHidden/>
          </w:rPr>
          <w:fldChar w:fldCharType="separate"/>
        </w:r>
        <w:r>
          <w:rPr>
            <w:noProof/>
            <w:webHidden/>
          </w:rPr>
          <w:t>10</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2" w:history="1">
        <w:r w:rsidRPr="007D2687">
          <w:rPr>
            <w:rStyle w:val="Hyperlink"/>
            <w:rFonts w:eastAsia="MS Mincho"/>
            <w:noProof/>
          </w:rPr>
          <w:t>II.5.2</w:t>
        </w:r>
        <w:r>
          <w:rPr>
            <w:rFonts w:asciiTheme="minorHAnsi" w:hAnsiTheme="minorHAnsi" w:cstheme="minorBidi"/>
            <w:noProof/>
            <w:sz w:val="22"/>
            <w:szCs w:val="22"/>
            <w:lang w:eastAsia="zh-CN"/>
          </w:rPr>
          <w:tab/>
        </w:r>
        <w:r w:rsidRPr="007D2687">
          <w:rPr>
            <w:rStyle w:val="Hyperlink"/>
            <w:rFonts w:eastAsia="MS Mincho"/>
            <w:noProof/>
          </w:rPr>
          <w:t>Peak spectral efficiency</w:t>
        </w:r>
        <w:r>
          <w:rPr>
            <w:noProof/>
            <w:webHidden/>
          </w:rPr>
          <w:tab/>
        </w:r>
        <w:r w:rsidR="006853C6">
          <w:rPr>
            <w:noProof/>
            <w:webHidden/>
          </w:rPr>
          <w:tab/>
        </w:r>
        <w:r>
          <w:rPr>
            <w:noProof/>
            <w:webHidden/>
          </w:rPr>
          <w:fldChar w:fldCharType="begin"/>
        </w:r>
        <w:r>
          <w:rPr>
            <w:noProof/>
            <w:webHidden/>
          </w:rPr>
          <w:instrText xml:space="preserve"> PAGEREF _Toc32412962 \h </w:instrText>
        </w:r>
        <w:r>
          <w:rPr>
            <w:noProof/>
            <w:webHidden/>
          </w:rPr>
        </w:r>
        <w:r>
          <w:rPr>
            <w:noProof/>
            <w:webHidden/>
          </w:rPr>
          <w:fldChar w:fldCharType="separate"/>
        </w:r>
        <w:r>
          <w:rPr>
            <w:noProof/>
            <w:webHidden/>
          </w:rPr>
          <w:t>17</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3" w:history="1">
        <w:r w:rsidRPr="007D2687">
          <w:rPr>
            <w:rStyle w:val="Hyperlink"/>
            <w:rFonts w:eastAsia="MS Mincho"/>
            <w:noProof/>
          </w:rPr>
          <w:t>II.5.3</w:t>
        </w:r>
        <w:r>
          <w:rPr>
            <w:rFonts w:asciiTheme="minorHAnsi" w:hAnsiTheme="minorHAnsi" w:cstheme="minorBidi"/>
            <w:noProof/>
            <w:sz w:val="22"/>
            <w:szCs w:val="22"/>
            <w:lang w:eastAsia="zh-CN"/>
          </w:rPr>
          <w:tab/>
        </w:r>
        <w:r w:rsidRPr="007D2687">
          <w:rPr>
            <w:rStyle w:val="Hyperlink"/>
            <w:rFonts w:eastAsia="MS Mincho"/>
            <w:noProof/>
          </w:rPr>
          <w:t>User experienced data rate</w:t>
        </w:r>
        <w:r>
          <w:rPr>
            <w:noProof/>
            <w:webHidden/>
          </w:rPr>
          <w:tab/>
        </w:r>
        <w:r w:rsidR="006853C6">
          <w:rPr>
            <w:noProof/>
            <w:webHidden/>
          </w:rPr>
          <w:tab/>
        </w:r>
        <w:r>
          <w:rPr>
            <w:noProof/>
            <w:webHidden/>
          </w:rPr>
          <w:fldChar w:fldCharType="begin"/>
        </w:r>
        <w:r>
          <w:rPr>
            <w:noProof/>
            <w:webHidden/>
          </w:rPr>
          <w:instrText xml:space="preserve"> PAGEREF _Toc32412963 \h </w:instrText>
        </w:r>
        <w:r>
          <w:rPr>
            <w:noProof/>
            <w:webHidden/>
          </w:rPr>
        </w:r>
        <w:r>
          <w:rPr>
            <w:noProof/>
            <w:webHidden/>
          </w:rPr>
          <w:fldChar w:fldCharType="separate"/>
        </w:r>
        <w:r>
          <w:rPr>
            <w:noProof/>
            <w:webHidden/>
          </w:rPr>
          <w:t>21</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4" w:history="1">
        <w:r w:rsidRPr="007D2687">
          <w:rPr>
            <w:rStyle w:val="Hyperlink"/>
            <w:rFonts w:eastAsia="MS Mincho"/>
            <w:noProof/>
          </w:rPr>
          <w:t>II.5.4</w:t>
        </w:r>
        <w:r>
          <w:rPr>
            <w:rFonts w:asciiTheme="minorHAnsi" w:hAnsiTheme="minorHAnsi" w:cstheme="minorBidi"/>
            <w:noProof/>
            <w:sz w:val="22"/>
            <w:szCs w:val="22"/>
            <w:lang w:eastAsia="zh-CN"/>
          </w:rPr>
          <w:tab/>
        </w:r>
        <w:r w:rsidRPr="007D2687">
          <w:rPr>
            <w:rStyle w:val="Hyperlink"/>
            <w:rFonts w:eastAsia="MS Mincho"/>
            <w:noProof/>
          </w:rPr>
          <w:t>5th percentile user spectral efficiency</w:t>
        </w:r>
        <w:r>
          <w:rPr>
            <w:noProof/>
            <w:webHidden/>
          </w:rPr>
          <w:tab/>
        </w:r>
        <w:r w:rsidR="006853C6">
          <w:rPr>
            <w:noProof/>
            <w:webHidden/>
          </w:rPr>
          <w:tab/>
        </w:r>
        <w:r>
          <w:rPr>
            <w:noProof/>
            <w:webHidden/>
          </w:rPr>
          <w:fldChar w:fldCharType="begin"/>
        </w:r>
        <w:r>
          <w:rPr>
            <w:noProof/>
            <w:webHidden/>
          </w:rPr>
          <w:instrText xml:space="preserve"> PAGEREF _Toc32412964 \h </w:instrText>
        </w:r>
        <w:r>
          <w:rPr>
            <w:noProof/>
            <w:webHidden/>
          </w:rPr>
        </w:r>
        <w:r>
          <w:rPr>
            <w:noProof/>
            <w:webHidden/>
          </w:rPr>
          <w:fldChar w:fldCharType="separate"/>
        </w:r>
        <w:r>
          <w:rPr>
            <w:noProof/>
            <w:webHidden/>
          </w:rPr>
          <w:t>26</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5" w:history="1">
        <w:r w:rsidRPr="007D2687">
          <w:rPr>
            <w:rStyle w:val="Hyperlink"/>
            <w:rFonts w:eastAsia="MS Mincho"/>
            <w:noProof/>
          </w:rPr>
          <w:t>II.5.5</w:t>
        </w:r>
        <w:r>
          <w:rPr>
            <w:rFonts w:asciiTheme="minorHAnsi" w:hAnsiTheme="minorHAnsi" w:cstheme="minorBidi"/>
            <w:noProof/>
            <w:sz w:val="22"/>
            <w:szCs w:val="22"/>
            <w:lang w:eastAsia="zh-CN"/>
          </w:rPr>
          <w:tab/>
        </w:r>
        <w:r w:rsidRPr="007D2687">
          <w:rPr>
            <w:rStyle w:val="Hyperlink"/>
            <w:rFonts w:eastAsia="MS Mincho"/>
            <w:noProof/>
          </w:rPr>
          <w:t>Average spectral efficiency</w:t>
        </w:r>
        <w:r>
          <w:rPr>
            <w:noProof/>
            <w:webHidden/>
          </w:rPr>
          <w:tab/>
        </w:r>
        <w:r w:rsidR="006853C6">
          <w:rPr>
            <w:noProof/>
            <w:webHidden/>
          </w:rPr>
          <w:tab/>
        </w:r>
        <w:r>
          <w:rPr>
            <w:noProof/>
            <w:webHidden/>
          </w:rPr>
          <w:fldChar w:fldCharType="begin"/>
        </w:r>
        <w:r>
          <w:rPr>
            <w:noProof/>
            <w:webHidden/>
          </w:rPr>
          <w:instrText xml:space="preserve"> PAGEREF _Toc32412965 \h </w:instrText>
        </w:r>
        <w:r>
          <w:rPr>
            <w:noProof/>
            <w:webHidden/>
          </w:rPr>
        </w:r>
        <w:r>
          <w:rPr>
            <w:noProof/>
            <w:webHidden/>
          </w:rPr>
          <w:fldChar w:fldCharType="separate"/>
        </w:r>
        <w:r>
          <w:rPr>
            <w:noProof/>
            <w:webHidden/>
          </w:rPr>
          <w:t>34</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6" w:history="1">
        <w:r w:rsidRPr="007D2687">
          <w:rPr>
            <w:rStyle w:val="Hyperlink"/>
            <w:rFonts w:eastAsia="MS Mincho"/>
            <w:noProof/>
          </w:rPr>
          <w:t>II.5.6</w:t>
        </w:r>
        <w:r>
          <w:rPr>
            <w:rFonts w:asciiTheme="minorHAnsi" w:hAnsiTheme="minorHAnsi" w:cstheme="minorBidi"/>
            <w:noProof/>
            <w:sz w:val="22"/>
            <w:szCs w:val="22"/>
            <w:lang w:eastAsia="zh-CN"/>
          </w:rPr>
          <w:tab/>
        </w:r>
        <w:r w:rsidRPr="007D2687">
          <w:rPr>
            <w:rStyle w:val="Hyperlink"/>
            <w:rFonts w:eastAsia="MS Mincho"/>
            <w:noProof/>
          </w:rPr>
          <w:t>Area traffic capacity</w:t>
        </w:r>
        <w:r>
          <w:rPr>
            <w:noProof/>
            <w:webHidden/>
          </w:rPr>
          <w:tab/>
        </w:r>
        <w:r w:rsidR="006853C6">
          <w:rPr>
            <w:noProof/>
            <w:webHidden/>
          </w:rPr>
          <w:tab/>
        </w:r>
        <w:r>
          <w:rPr>
            <w:noProof/>
            <w:webHidden/>
          </w:rPr>
          <w:fldChar w:fldCharType="begin"/>
        </w:r>
        <w:r>
          <w:rPr>
            <w:noProof/>
            <w:webHidden/>
          </w:rPr>
          <w:instrText xml:space="preserve"> PAGEREF _Toc32412966 \h </w:instrText>
        </w:r>
        <w:r>
          <w:rPr>
            <w:noProof/>
            <w:webHidden/>
          </w:rPr>
        </w:r>
        <w:r>
          <w:rPr>
            <w:noProof/>
            <w:webHidden/>
          </w:rPr>
          <w:fldChar w:fldCharType="separate"/>
        </w:r>
        <w:r>
          <w:rPr>
            <w:noProof/>
            <w:webHidden/>
          </w:rPr>
          <w:t>42</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7" w:history="1">
        <w:r w:rsidRPr="007D2687">
          <w:rPr>
            <w:rStyle w:val="Hyperlink"/>
            <w:rFonts w:eastAsia="MS Mincho"/>
            <w:noProof/>
          </w:rPr>
          <w:t>II.5.7</w:t>
        </w:r>
        <w:r>
          <w:rPr>
            <w:rFonts w:asciiTheme="minorHAnsi" w:hAnsiTheme="minorHAnsi" w:cstheme="minorBidi"/>
            <w:noProof/>
            <w:sz w:val="22"/>
            <w:szCs w:val="22"/>
            <w:lang w:eastAsia="zh-CN"/>
          </w:rPr>
          <w:tab/>
        </w:r>
        <w:r w:rsidRPr="007D2687">
          <w:rPr>
            <w:rStyle w:val="Hyperlink"/>
            <w:rFonts w:eastAsia="MS Mincho"/>
            <w:noProof/>
          </w:rPr>
          <w:t>User plane latency</w:t>
        </w:r>
        <w:r>
          <w:rPr>
            <w:noProof/>
            <w:webHidden/>
          </w:rPr>
          <w:tab/>
        </w:r>
        <w:r w:rsidR="006853C6">
          <w:rPr>
            <w:noProof/>
            <w:webHidden/>
          </w:rPr>
          <w:tab/>
        </w:r>
        <w:r>
          <w:rPr>
            <w:noProof/>
            <w:webHidden/>
          </w:rPr>
          <w:fldChar w:fldCharType="begin"/>
        </w:r>
        <w:r>
          <w:rPr>
            <w:noProof/>
            <w:webHidden/>
          </w:rPr>
          <w:instrText xml:space="preserve"> PAGEREF _Toc32412967 \h </w:instrText>
        </w:r>
        <w:r>
          <w:rPr>
            <w:noProof/>
            <w:webHidden/>
          </w:rPr>
        </w:r>
        <w:r>
          <w:rPr>
            <w:noProof/>
            <w:webHidden/>
          </w:rPr>
          <w:fldChar w:fldCharType="separate"/>
        </w:r>
        <w:r>
          <w:rPr>
            <w:noProof/>
            <w:webHidden/>
          </w:rPr>
          <w:t>45</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8" w:history="1">
        <w:r w:rsidRPr="007D2687">
          <w:rPr>
            <w:rStyle w:val="Hyperlink"/>
            <w:rFonts w:eastAsia="MS Mincho"/>
            <w:noProof/>
          </w:rPr>
          <w:t>II.5.8</w:t>
        </w:r>
        <w:r>
          <w:rPr>
            <w:rFonts w:asciiTheme="minorHAnsi" w:hAnsiTheme="minorHAnsi" w:cstheme="minorBidi"/>
            <w:noProof/>
            <w:sz w:val="22"/>
            <w:szCs w:val="22"/>
            <w:lang w:eastAsia="zh-CN"/>
          </w:rPr>
          <w:tab/>
        </w:r>
        <w:r w:rsidRPr="007D2687">
          <w:rPr>
            <w:rStyle w:val="Hyperlink"/>
            <w:rFonts w:eastAsia="MS Mincho"/>
            <w:noProof/>
          </w:rPr>
          <w:t>Control plane latency</w:t>
        </w:r>
        <w:r>
          <w:rPr>
            <w:noProof/>
            <w:webHidden/>
          </w:rPr>
          <w:tab/>
        </w:r>
        <w:r w:rsidR="006853C6">
          <w:rPr>
            <w:noProof/>
            <w:webHidden/>
          </w:rPr>
          <w:tab/>
        </w:r>
        <w:r>
          <w:rPr>
            <w:noProof/>
            <w:webHidden/>
          </w:rPr>
          <w:fldChar w:fldCharType="begin"/>
        </w:r>
        <w:r>
          <w:rPr>
            <w:noProof/>
            <w:webHidden/>
          </w:rPr>
          <w:instrText xml:space="preserve"> PAGEREF _Toc32412968 \h </w:instrText>
        </w:r>
        <w:r>
          <w:rPr>
            <w:noProof/>
            <w:webHidden/>
          </w:rPr>
        </w:r>
        <w:r>
          <w:rPr>
            <w:noProof/>
            <w:webHidden/>
          </w:rPr>
          <w:fldChar w:fldCharType="separate"/>
        </w:r>
        <w:r>
          <w:rPr>
            <w:noProof/>
            <w:webHidden/>
          </w:rPr>
          <w:t>61</w:t>
        </w:r>
        <w:r>
          <w:rPr>
            <w:noProof/>
            <w:webHidden/>
          </w:rPr>
          <w:fldChar w:fldCharType="end"/>
        </w:r>
      </w:hyperlink>
    </w:p>
    <w:p w:rsidR="00F05047" w:rsidRDefault="00F05047">
      <w:pPr>
        <w:pStyle w:val="TOC3"/>
        <w:rPr>
          <w:rFonts w:asciiTheme="minorHAnsi" w:hAnsiTheme="minorHAnsi" w:cstheme="minorBidi"/>
          <w:noProof/>
          <w:sz w:val="22"/>
          <w:szCs w:val="22"/>
          <w:lang w:eastAsia="zh-CN"/>
        </w:rPr>
      </w:pPr>
      <w:hyperlink w:anchor="_Toc32412969" w:history="1">
        <w:r w:rsidRPr="007D2687">
          <w:rPr>
            <w:rStyle w:val="Hyperlink"/>
            <w:rFonts w:eastAsia="MS Mincho"/>
            <w:noProof/>
          </w:rPr>
          <w:t>II.5.9</w:t>
        </w:r>
        <w:r>
          <w:rPr>
            <w:rFonts w:asciiTheme="minorHAnsi" w:hAnsiTheme="minorHAnsi" w:cstheme="minorBidi"/>
            <w:noProof/>
            <w:sz w:val="22"/>
            <w:szCs w:val="22"/>
            <w:lang w:eastAsia="zh-CN"/>
          </w:rPr>
          <w:tab/>
        </w:r>
        <w:r w:rsidRPr="007D2687">
          <w:rPr>
            <w:rStyle w:val="Hyperlink"/>
            <w:rFonts w:eastAsia="MS Mincho"/>
            <w:noProof/>
          </w:rPr>
          <w:t>Connection density</w:t>
        </w:r>
        <w:r>
          <w:rPr>
            <w:noProof/>
            <w:webHidden/>
          </w:rPr>
          <w:tab/>
        </w:r>
        <w:r w:rsidR="006853C6">
          <w:rPr>
            <w:noProof/>
            <w:webHidden/>
          </w:rPr>
          <w:tab/>
        </w:r>
        <w:r>
          <w:rPr>
            <w:noProof/>
            <w:webHidden/>
          </w:rPr>
          <w:fldChar w:fldCharType="begin"/>
        </w:r>
        <w:r>
          <w:rPr>
            <w:noProof/>
            <w:webHidden/>
          </w:rPr>
          <w:instrText xml:space="preserve"> PAGEREF _Toc32412969 \h </w:instrText>
        </w:r>
        <w:r>
          <w:rPr>
            <w:noProof/>
            <w:webHidden/>
          </w:rPr>
        </w:r>
        <w:r>
          <w:rPr>
            <w:noProof/>
            <w:webHidden/>
          </w:rPr>
          <w:fldChar w:fldCharType="separate"/>
        </w:r>
        <w:r>
          <w:rPr>
            <w:noProof/>
            <w:webHidden/>
          </w:rPr>
          <w:t>73</w:t>
        </w:r>
        <w:r>
          <w:rPr>
            <w:noProof/>
            <w:webHidden/>
          </w:rPr>
          <w:fldChar w:fldCharType="end"/>
        </w:r>
      </w:hyperlink>
    </w:p>
    <w:p w:rsidR="00F05047" w:rsidRDefault="00F05047" w:rsidP="008A28FC">
      <w:pPr>
        <w:pStyle w:val="TOC3"/>
        <w:rPr>
          <w:rFonts w:asciiTheme="minorHAnsi" w:hAnsiTheme="minorHAnsi" w:cstheme="minorBidi"/>
          <w:noProof/>
          <w:sz w:val="22"/>
          <w:szCs w:val="22"/>
          <w:lang w:eastAsia="zh-CN"/>
        </w:rPr>
      </w:pPr>
      <w:hyperlink w:anchor="_Toc32412970" w:history="1">
        <w:r w:rsidRPr="007D2687">
          <w:rPr>
            <w:rStyle w:val="Hyperlink"/>
            <w:rFonts w:eastAsia="MS Mincho"/>
            <w:noProof/>
          </w:rPr>
          <w:t>II.5.10</w:t>
        </w:r>
        <w:r w:rsidR="008A28FC">
          <w:rPr>
            <w:rStyle w:val="Hyperlink"/>
            <w:rFonts w:eastAsia="MS Mincho"/>
            <w:noProof/>
          </w:rPr>
          <w:t xml:space="preserve"> </w:t>
        </w:r>
        <w:r w:rsidRPr="007D2687">
          <w:rPr>
            <w:rStyle w:val="Hyperlink"/>
            <w:rFonts w:eastAsia="MS Mincho"/>
            <w:noProof/>
          </w:rPr>
          <w:t>Energy efficiency</w:t>
        </w:r>
        <w:r>
          <w:rPr>
            <w:noProof/>
            <w:webHidden/>
          </w:rPr>
          <w:tab/>
        </w:r>
        <w:r w:rsidR="006853C6">
          <w:rPr>
            <w:noProof/>
            <w:webHidden/>
          </w:rPr>
          <w:tab/>
        </w:r>
        <w:r>
          <w:rPr>
            <w:noProof/>
            <w:webHidden/>
          </w:rPr>
          <w:fldChar w:fldCharType="begin"/>
        </w:r>
        <w:r>
          <w:rPr>
            <w:noProof/>
            <w:webHidden/>
          </w:rPr>
          <w:instrText xml:space="preserve"> PAGEREF _Toc32412970 \h </w:instrText>
        </w:r>
        <w:r>
          <w:rPr>
            <w:noProof/>
            <w:webHidden/>
          </w:rPr>
        </w:r>
        <w:r>
          <w:rPr>
            <w:noProof/>
            <w:webHidden/>
          </w:rPr>
          <w:fldChar w:fldCharType="separate"/>
        </w:r>
        <w:r>
          <w:rPr>
            <w:noProof/>
            <w:webHidden/>
          </w:rPr>
          <w:t>76</w:t>
        </w:r>
        <w:r>
          <w:rPr>
            <w:noProof/>
            <w:webHidden/>
          </w:rPr>
          <w:fldChar w:fldCharType="end"/>
        </w:r>
      </w:hyperlink>
    </w:p>
    <w:p w:rsidR="00F05047" w:rsidRDefault="00F05047" w:rsidP="008A28FC">
      <w:pPr>
        <w:pStyle w:val="TOC3"/>
        <w:rPr>
          <w:rFonts w:asciiTheme="minorHAnsi" w:hAnsiTheme="minorHAnsi" w:cstheme="minorBidi"/>
          <w:noProof/>
          <w:sz w:val="22"/>
          <w:szCs w:val="22"/>
          <w:lang w:eastAsia="zh-CN"/>
        </w:rPr>
      </w:pPr>
      <w:hyperlink w:anchor="_Toc32412971" w:history="1">
        <w:r w:rsidRPr="007D2687">
          <w:rPr>
            <w:rStyle w:val="Hyperlink"/>
            <w:noProof/>
          </w:rPr>
          <w:t>II.5.11</w:t>
        </w:r>
        <w:r w:rsidR="008A28FC">
          <w:rPr>
            <w:rStyle w:val="Hyperlink"/>
            <w:noProof/>
          </w:rPr>
          <w:t xml:space="preserve"> </w:t>
        </w:r>
        <w:r w:rsidRPr="007D2687">
          <w:rPr>
            <w:rStyle w:val="Hyperlink"/>
            <w:noProof/>
          </w:rPr>
          <w:t>Reliability</w:t>
        </w:r>
        <w:r>
          <w:rPr>
            <w:noProof/>
            <w:webHidden/>
          </w:rPr>
          <w:tab/>
        </w:r>
        <w:r w:rsidR="006853C6">
          <w:rPr>
            <w:noProof/>
            <w:webHidden/>
          </w:rPr>
          <w:tab/>
        </w:r>
        <w:r>
          <w:rPr>
            <w:noProof/>
            <w:webHidden/>
          </w:rPr>
          <w:fldChar w:fldCharType="begin"/>
        </w:r>
        <w:r>
          <w:rPr>
            <w:noProof/>
            <w:webHidden/>
          </w:rPr>
          <w:instrText xml:space="preserve"> PAGEREF _Toc32412971 \h </w:instrText>
        </w:r>
        <w:r>
          <w:rPr>
            <w:noProof/>
            <w:webHidden/>
          </w:rPr>
        </w:r>
        <w:r>
          <w:rPr>
            <w:noProof/>
            <w:webHidden/>
          </w:rPr>
          <w:fldChar w:fldCharType="separate"/>
        </w:r>
        <w:r>
          <w:rPr>
            <w:noProof/>
            <w:webHidden/>
          </w:rPr>
          <w:t>89</w:t>
        </w:r>
        <w:r>
          <w:rPr>
            <w:noProof/>
            <w:webHidden/>
          </w:rPr>
          <w:fldChar w:fldCharType="end"/>
        </w:r>
      </w:hyperlink>
    </w:p>
    <w:p w:rsidR="00F05047" w:rsidRDefault="00F05047" w:rsidP="008A28FC">
      <w:pPr>
        <w:pStyle w:val="TOC3"/>
        <w:rPr>
          <w:rFonts w:asciiTheme="minorHAnsi" w:hAnsiTheme="minorHAnsi" w:cstheme="minorBidi"/>
          <w:noProof/>
          <w:sz w:val="22"/>
          <w:szCs w:val="22"/>
          <w:lang w:eastAsia="zh-CN"/>
        </w:rPr>
      </w:pPr>
      <w:hyperlink w:anchor="_Toc32412972" w:history="1">
        <w:r w:rsidRPr="007D2687">
          <w:rPr>
            <w:rStyle w:val="Hyperlink"/>
            <w:noProof/>
          </w:rPr>
          <w:t>II.5.12</w:t>
        </w:r>
        <w:r w:rsidR="008A28FC">
          <w:rPr>
            <w:rStyle w:val="Hyperlink"/>
            <w:noProof/>
          </w:rPr>
          <w:t xml:space="preserve"> </w:t>
        </w:r>
        <w:r w:rsidRPr="007D2687">
          <w:rPr>
            <w:rStyle w:val="Hyperlink"/>
            <w:noProof/>
          </w:rPr>
          <w:t>Mobility</w:t>
        </w:r>
        <w:r>
          <w:rPr>
            <w:noProof/>
            <w:webHidden/>
          </w:rPr>
          <w:tab/>
        </w:r>
        <w:r w:rsidR="006853C6">
          <w:rPr>
            <w:noProof/>
            <w:webHidden/>
          </w:rPr>
          <w:tab/>
        </w:r>
        <w:r>
          <w:rPr>
            <w:noProof/>
            <w:webHidden/>
          </w:rPr>
          <w:fldChar w:fldCharType="begin"/>
        </w:r>
        <w:r>
          <w:rPr>
            <w:noProof/>
            <w:webHidden/>
          </w:rPr>
          <w:instrText xml:space="preserve"> PAGEREF _Toc32412972 \h </w:instrText>
        </w:r>
        <w:r>
          <w:rPr>
            <w:noProof/>
            <w:webHidden/>
          </w:rPr>
        </w:r>
        <w:r>
          <w:rPr>
            <w:noProof/>
            <w:webHidden/>
          </w:rPr>
          <w:fldChar w:fldCharType="separate"/>
        </w:r>
        <w:r>
          <w:rPr>
            <w:noProof/>
            <w:webHidden/>
          </w:rPr>
          <w:t>92</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73" w:history="1">
        <w:r w:rsidRPr="007D2687">
          <w:rPr>
            <w:rStyle w:val="Hyperlink"/>
            <w:noProof/>
          </w:rPr>
          <w:t>II.5.13</w:t>
        </w:r>
        <w:r w:rsidR="006853C6">
          <w:rPr>
            <w:rStyle w:val="Hyperlink"/>
            <w:noProof/>
          </w:rPr>
          <w:t xml:space="preserve"> </w:t>
        </w:r>
        <w:r w:rsidRPr="007D2687">
          <w:rPr>
            <w:rStyle w:val="Hyperlink"/>
            <w:noProof/>
          </w:rPr>
          <w:t>Mobility interruption time</w:t>
        </w:r>
        <w:r>
          <w:rPr>
            <w:noProof/>
            <w:webHidden/>
          </w:rPr>
          <w:tab/>
        </w:r>
        <w:r w:rsidR="006853C6">
          <w:rPr>
            <w:noProof/>
            <w:webHidden/>
          </w:rPr>
          <w:tab/>
        </w:r>
        <w:r>
          <w:rPr>
            <w:noProof/>
            <w:webHidden/>
          </w:rPr>
          <w:fldChar w:fldCharType="begin"/>
        </w:r>
        <w:r>
          <w:rPr>
            <w:noProof/>
            <w:webHidden/>
          </w:rPr>
          <w:instrText xml:space="preserve"> PAGEREF _Toc32412973 \h </w:instrText>
        </w:r>
        <w:r>
          <w:rPr>
            <w:noProof/>
            <w:webHidden/>
          </w:rPr>
        </w:r>
        <w:r>
          <w:rPr>
            <w:noProof/>
            <w:webHidden/>
          </w:rPr>
          <w:fldChar w:fldCharType="separate"/>
        </w:r>
        <w:r>
          <w:rPr>
            <w:noProof/>
            <w:webHidden/>
          </w:rPr>
          <w:t>94</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74" w:history="1">
        <w:r w:rsidRPr="007D2687">
          <w:rPr>
            <w:rStyle w:val="Hyperlink"/>
            <w:noProof/>
          </w:rPr>
          <w:t>II.5.14</w:t>
        </w:r>
        <w:r w:rsidR="006853C6">
          <w:rPr>
            <w:rStyle w:val="Hyperlink"/>
            <w:noProof/>
          </w:rPr>
          <w:t xml:space="preserve"> </w:t>
        </w:r>
        <w:r w:rsidRPr="007D2687">
          <w:rPr>
            <w:rStyle w:val="Hyperlink"/>
            <w:noProof/>
          </w:rPr>
          <w:t>Bandwidth</w:t>
        </w:r>
        <w:r>
          <w:rPr>
            <w:noProof/>
            <w:webHidden/>
          </w:rPr>
          <w:tab/>
        </w:r>
        <w:r w:rsidR="006853C6">
          <w:rPr>
            <w:noProof/>
            <w:webHidden/>
          </w:rPr>
          <w:tab/>
        </w:r>
        <w:r>
          <w:rPr>
            <w:noProof/>
            <w:webHidden/>
          </w:rPr>
          <w:fldChar w:fldCharType="begin"/>
        </w:r>
        <w:r>
          <w:rPr>
            <w:noProof/>
            <w:webHidden/>
          </w:rPr>
          <w:instrText xml:space="preserve"> PAGEREF _Toc32412974 \h </w:instrText>
        </w:r>
        <w:r>
          <w:rPr>
            <w:noProof/>
            <w:webHidden/>
          </w:rPr>
        </w:r>
        <w:r>
          <w:rPr>
            <w:noProof/>
            <w:webHidden/>
          </w:rPr>
          <w:fldChar w:fldCharType="separate"/>
        </w:r>
        <w:r>
          <w:rPr>
            <w:noProof/>
            <w:webHidden/>
          </w:rPr>
          <w:t>98</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75" w:history="1">
        <w:r w:rsidRPr="007D2687">
          <w:rPr>
            <w:rStyle w:val="Hyperlink"/>
            <w:noProof/>
          </w:rPr>
          <w:t>II.5.15</w:t>
        </w:r>
        <w:r w:rsidR="006853C6">
          <w:rPr>
            <w:rStyle w:val="Hyperlink"/>
            <w:noProof/>
          </w:rPr>
          <w:t xml:space="preserve"> </w:t>
        </w:r>
        <w:r w:rsidRPr="007D2687">
          <w:rPr>
            <w:rStyle w:val="Hyperlink"/>
            <w:noProof/>
          </w:rPr>
          <w:t>Support of wide range of services</w:t>
        </w:r>
        <w:r>
          <w:rPr>
            <w:noProof/>
            <w:webHidden/>
          </w:rPr>
          <w:tab/>
        </w:r>
        <w:r w:rsidR="006853C6">
          <w:rPr>
            <w:noProof/>
            <w:webHidden/>
          </w:rPr>
          <w:tab/>
        </w:r>
        <w:r>
          <w:rPr>
            <w:noProof/>
            <w:webHidden/>
          </w:rPr>
          <w:fldChar w:fldCharType="begin"/>
        </w:r>
        <w:r>
          <w:rPr>
            <w:noProof/>
            <w:webHidden/>
          </w:rPr>
          <w:instrText xml:space="preserve"> PAGEREF _Toc32412975 \h </w:instrText>
        </w:r>
        <w:r>
          <w:rPr>
            <w:noProof/>
            <w:webHidden/>
          </w:rPr>
        </w:r>
        <w:r>
          <w:rPr>
            <w:noProof/>
            <w:webHidden/>
          </w:rPr>
          <w:fldChar w:fldCharType="separate"/>
        </w:r>
        <w:r>
          <w:rPr>
            <w:noProof/>
            <w:webHidden/>
          </w:rPr>
          <w:t>103</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76" w:history="1">
        <w:r w:rsidRPr="007D2687">
          <w:rPr>
            <w:rStyle w:val="Hyperlink"/>
            <w:noProof/>
          </w:rPr>
          <w:t>II.5.16</w:t>
        </w:r>
        <w:r w:rsidR="006853C6">
          <w:rPr>
            <w:rStyle w:val="Hyperlink"/>
            <w:noProof/>
          </w:rPr>
          <w:t xml:space="preserve"> </w:t>
        </w:r>
        <w:r w:rsidRPr="007D2687">
          <w:rPr>
            <w:rStyle w:val="Hyperlink"/>
            <w:noProof/>
          </w:rPr>
          <w:t>Supported spectrum bands</w:t>
        </w:r>
        <w:r>
          <w:rPr>
            <w:noProof/>
            <w:webHidden/>
          </w:rPr>
          <w:tab/>
        </w:r>
        <w:r w:rsidR="006853C6">
          <w:rPr>
            <w:noProof/>
            <w:webHidden/>
          </w:rPr>
          <w:tab/>
        </w:r>
        <w:r>
          <w:rPr>
            <w:noProof/>
            <w:webHidden/>
          </w:rPr>
          <w:fldChar w:fldCharType="begin"/>
        </w:r>
        <w:r>
          <w:rPr>
            <w:noProof/>
            <w:webHidden/>
          </w:rPr>
          <w:instrText xml:space="preserve"> PAGEREF _Toc32412976 \h </w:instrText>
        </w:r>
        <w:r>
          <w:rPr>
            <w:noProof/>
            <w:webHidden/>
          </w:rPr>
        </w:r>
        <w:r>
          <w:rPr>
            <w:noProof/>
            <w:webHidden/>
          </w:rPr>
          <w:fldChar w:fldCharType="separate"/>
        </w:r>
        <w:r>
          <w:rPr>
            <w:noProof/>
            <w:webHidden/>
          </w:rPr>
          <w:t>108</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77" w:history="1">
        <w:r w:rsidRPr="007D2687">
          <w:rPr>
            <w:rStyle w:val="Hyperlink"/>
            <w:noProof/>
          </w:rPr>
          <w:t>II.5.17</w:t>
        </w:r>
        <w:r w:rsidR="006853C6">
          <w:rPr>
            <w:rStyle w:val="Hyperlink"/>
            <w:noProof/>
          </w:rPr>
          <w:t xml:space="preserve"> </w:t>
        </w:r>
        <w:r w:rsidRPr="007D2687">
          <w:rPr>
            <w:rStyle w:val="Hyperlink"/>
            <w:noProof/>
          </w:rPr>
          <w:t>Analysis of submitted link budgets</w:t>
        </w:r>
        <w:r>
          <w:rPr>
            <w:noProof/>
            <w:webHidden/>
          </w:rPr>
          <w:tab/>
        </w:r>
        <w:r w:rsidR="006853C6">
          <w:rPr>
            <w:noProof/>
            <w:webHidden/>
          </w:rPr>
          <w:tab/>
        </w:r>
        <w:r>
          <w:rPr>
            <w:noProof/>
            <w:webHidden/>
          </w:rPr>
          <w:fldChar w:fldCharType="begin"/>
        </w:r>
        <w:r>
          <w:rPr>
            <w:noProof/>
            <w:webHidden/>
          </w:rPr>
          <w:instrText xml:space="preserve"> PAGEREF _Toc32412977 \h </w:instrText>
        </w:r>
        <w:r>
          <w:rPr>
            <w:noProof/>
            <w:webHidden/>
          </w:rPr>
        </w:r>
        <w:r>
          <w:rPr>
            <w:noProof/>
            <w:webHidden/>
          </w:rPr>
          <w:fldChar w:fldCharType="separate"/>
        </w:r>
        <w:r>
          <w:rPr>
            <w:noProof/>
            <w:webHidden/>
          </w:rPr>
          <w:t>113</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78" w:history="1">
        <w:r w:rsidRPr="007D2687">
          <w:rPr>
            <w:rStyle w:val="Hyperlink"/>
            <w:noProof/>
          </w:rPr>
          <w:t>II.6</w:t>
        </w:r>
        <w:r>
          <w:rPr>
            <w:rFonts w:asciiTheme="minorHAnsi" w:hAnsiTheme="minorHAnsi" w:cstheme="minorBidi"/>
            <w:noProof/>
            <w:sz w:val="22"/>
            <w:szCs w:val="22"/>
            <w:lang w:eastAsia="zh-CN"/>
          </w:rPr>
          <w:tab/>
        </w:r>
        <w:r w:rsidRPr="007D2687">
          <w:rPr>
            <w:rStyle w:val="Hyperlink"/>
            <w:noProof/>
          </w:rPr>
          <w:t>Questions and feedback to WP 5D and/or the proponents or other IEGs</w:t>
        </w:r>
        <w:r w:rsidR="006853C6">
          <w:rPr>
            <w:rStyle w:val="Hyperlink"/>
            <w:noProof/>
          </w:rPr>
          <w:tab/>
        </w:r>
        <w:r>
          <w:rPr>
            <w:noProof/>
            <w:webHidden/>
          </w:rPr>
          <w:tab/>
        </w:r>
        <w:r>
          <w:rPr>
            <w:noProof/>
            <w:webHidden/>
          </w:rPr>
          <w:fldChar w:fldCharType="begin"/>
        </w:r>
        <w:r>
          <w:rPr>
            <w:noProof/>
            <w:webHidden/>
          </w:rPr>
          <w:instrText xml:space="preserve"> PAGEREF _Toc32412978 \h </w:instrText>
        </w:r>
        <w:r>
          <w:rPr>
            <w:noProof/>
            <w:webHidden/>
          </w:rPr>
        </w:r>
        <w:r>
          <w:rPr>
            <w:noProof/>
            <w:webHidden/>
          </w:rPr>
          <w:fldChar w:fldCharType="separate"/>
        </w:r>
        <w:r>
          <w:rPr>
            <w:noProof/>
            <w:webHidden/>
          </w:rPr>
          <w:t>114</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79" w:history="1">
        <w:r w:rsidRPr="007D2687">
          <w:rPr>
            <w:rStyle w:val="Hyperlink"/>
            <w:noProof/>
          </w:rPr>
          <w:t>II.7</w:t>
        </w:r>
        <w:r>
          <w:rPr>
            <w:rFonts w:asciiTheme="minorHAnsi" w:hAnsiTheme="minorHAnsi" w:cstheme="minorBidi"/>
            <w:noProof/>
            <w:sz w:val="22"/>
            <w:szCs w:val="22"/>
            <w:lang w:eastAsia="zh-CN"/>
          </w:rPr>
          <w:tab/>
        </w:r>
        <w:r w:rsidRPr="007D2687">
          <w:rPr>
            <w:rStyle w:val="Hyperlink"/>
            <w:noProof/>
          </w:rPr>
          <w:t xml:space="preserve">In the interim report, kindly provide the proposed next steps towards the final </w:t>
        </w:r>
        <w:r w:rsidR="006853C6">
          <w:rPr>
            <w:rStyle w:val="Hyperlink"/>
            <w:noProof/>
          </w:rPr>
          <w:br/>
        </w:r>
        <w:r w:rsidRPr="007D2687">
          <w:rPr>
            <w:rStyle w:val="Hyperlink"/>
            <w:noProof/>
          </w:rPr>
          <w:t>report to be sent to WP 5D for the February 2020 meeting</w:t>
        </w:r>
        <w:r>
          <w:rPr>
            <w:noProof/>
            <w:webHidden/>
          </w:rPr>
          <w:tab/>
        </w:r>
        <w:r w:rsidR="006853C6">
          <w:rPr>
            <w:noProof/>
            <w:webHidden/>
          </w:rPr>
          <w:tab/>
        </w:r>
        <w:r>
          <w:rPr>
            <w:noProof/>
            <w:webHidden/>
          </w:rPr>
          <w:fldChar w:fldCharType="begin"/>
        </w:r>
        <w:r>
          <w:rPr>
            <w:noProof/>
            <w:webHidden/>
          </w:rPr>
          <w:instrText xml:space="preserve"> PAGEREF _Toc32412979 \h </w:instrText>
        </w:r>
        <w:r>
          <w:rPr>
            <w:noProof/>
            <w:webHidden/>
          </w:rPr>
        </w:r>
        <w:r>
          <w:rPr>
            <w:noProof/>
            <w:webHidden/>
          </w:rPr>
          <w:fldChar w:fldCharType="separate"/>
        </w:r>
        <w:r>
          <w:rPr>
            <w:noProof/>
            <w:webHidden/>
          </w:rPr>
          <w:t>114</w:t>
        </w:r>
        <w:r>
          <w:rPr>
            <w:noProof/>
            <w:webHidden/>
          </w:rPr>
          <w:fldChar w:fldCharType="end"/>
        </w:r>
      </w:hyperlink>
    </w:p>
    <w:p w:rsidR="00F05047" w:rsidRDefault="00F05047">
      <w:pPr>
        <w:pStyle w:val="TOC1"/>
        <w:rPr>
          <w:rFonts w:asciiTheme="minorHAnsi" w:hAnsiTheme="minorHAnsi" w:cstheme="minorBidi"/>
          <w:noProof/>
          <w:sz w:val="22"/>
          <w:szCs w:val="22"/>
          <w:lang w:eastAsia="zh-CN"/>
        </w:rPr>
      </w:pPr>
      <w:hyperlink w:anchor="_Toc32412980" w:history="1">
        <w:r w:rsidRPr="007D2687">
          <w:rPr>
            <w:rStyle w:val="Hyperlink"/>
            <w:noProof/>
          </w:rPr>
          <w:t>Part III</w:t>
        </w:r>
        <w:r w:rsidR="006853C6" w:rsidRPr="006853C6">
          <w:t xml:space="preserve"> </w:t>
        </w:r>
        <w:r w:rsidR="006853C6">
          <w:t xml:space="preserve">– </w:t>
        </w:r>
        <w:r w:rsidR="006853C6" w:rsidRPr="006853C6">
          <w:rPr>
            <w:rStyle w:val="Hyperlink"/>
            <w:noProof/>
          </w:rPr>
          <w:t>Conclusion</w:t>
        </w:r>
        <w:r>
          <w:rPr>
            <w:noProof/>
            <w:webHidden/>
          </w:rPr>
          <w:tab/>
        </w:r>
        <w:r w:rsidR="006853C6">
          <w:rPr>
            <w:noProof/>
            <w:webHidden/>
          </w:rPr>
          <w:tab/>
        </w:r>
        <w:r>
          <w:rPr>
            <w:noProof/>
            <w:webHidden/>
          </w:rPr>
          <w:fldChar w:fldCharType="begin"/>
        </w:r>
        <w:r>
          <w:rPr>
            <w:noProof/>
            <w:webHidden/>
          </w:rPr>
          <w:instrText xml:space="preserve"> PAGEREF _Toc32412980 \h </w:instrText>
        </w:r>
        <w:r>
          <w:rPr>
            <w:noProof/>
            <w:webHidden/>
          </w:rPr>
        </w:r>
        <w:r>
          <w:rPr>
            <w:noProof/>
            <w:webHidden/>
          </w:rPr>
          <w:fldChar w:fldCharType="separate"/>
        </w:r>
        <w:r>
          <w:rPr>
            <w:noProof/>
            <w:webHidden/>
          </w:rPr>
          <w:t>114</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82" w:history="1">
        <w:r w:rsidRPr="007D2687">
          <w:rPr>
            <w:rStyle w:val="Hyperlink"/>
            <w:noProof/>
          </w:rPr>
          <w:t>III.1</w:t>
        </w:r>
        <w:r>
          <w:rPr>
            <w:rFonts w:asciiTheme="minorHAnsi" w:hAnsiTheme="minorHAnsi" w:cstheme="minorBidi"/>
            <w:noProof/>
            <w:sz w:val="22"/>
            <w:szCs w:val="22"/>
            <w:lang w:eastAsia="zh-CN"/>
          </w:rPr>
          <w:tab/>
        </w:r>
        <w:r w:rsidRPr="007D2687">
          <w:rPr>
            <w:rStyle w:val="Hyperlink"/>
            <w:noProof/>
          </w:rPr>
          <w:t>Completeness of submission</w:t>
        </w:r>
        <w:r>
          <w:rPr>
            <w:noProof/>
            <w:webHidden/>
          </w:rPr>
          <w:tab/>
        </w:r>
        <w:r w:rsidR="006853C6">
          <w:rPr>
            <w:noProof/>
            <w:webHidden/>
          </w:rPr>
          <w:tab/>
        </w:r>
        <w:r>
          <w:rPr>
            <w:noProof/>
            <w:webHidden/>
          </w:rPr>
          <w:fldChar w:fldCharType="begin"/>
        </w:r>
        <w:r>
          <w:rPr>
            <w:noProof/>
            <w:webHidden/>
          </w:rPr>
          <w:instrText xml:space="preserve"> PAGEREF _Toc32412982 \h </w:instrText>
        </w:r>
        <w:r>
          <w:rPr>
            <w:noProof/>
            <w:webHidden/>
          </w:rPr>
        </w:r>
        <w:r>
          <w:rPr>
            <w:noProof/>
            <w:webHidden/>
          </w:rPr>
          <w:fldChar w:fldCharType="separate"/>
        </w:r>
        <w:r>
          <w:rPr>
            <w:noProof/>
            <w:webHidden/>
          </w:rPr>
          <w:t>114</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83" w:history="1">
        <w:r w:rsidRPr="007D2687">
          <w:rPr>
            <w:rStyle w:val="Hyperlink"/>
            <w:noProof/>
          </w:rPr>
          <w:t>III.2</w:t>
        </w:r>
        <w:r>
          <w:rPr>
            <w:rFonts w:asciiTheme="minorHAnsi" w:hAnsiTheme="minorHAnsi" w:cstheme="minorBidi"/>
            <w:noProof/>
            <w:sz w:val="22"/>
            <w:szCs w:val="22"/>
            <w:lang w:eastAsia="zh-CN"/>
          </w:rPr>
          <w:tab/>
        </w:r>
        <w:r w:rsidRPr="007D2687">
          <w:rPr>
            <w:rStyle w:val="Hyperlink"/>
            <w:noProof/>
          </w:rPr>
          <w:t>Compliance with requirements</w:t>
        </w:r>
        <w:r>
          <w:rPr>
            <w:noProof/>
            <w:webHidden/>
          </w:rPr>
          <w:tab/>
        </w:r>
        <w:r w:rsidR="006853C6">
          <w:rPr>
            <w:noProof/>
            <w:webHidden/>
          </w:rPr>
          <w:tab/>
        </w:r>
        <w:r>
          <w:rPr>
            <w:noProof/>
            <w:webHidden/>
          </w:rPr>
          <w:fldChar w:fldCharType="begin"/>
        </w:r>
        <w:r>
          <w:rPr>
            <w:noProof/>
            <w:webHidden/>
          </w:rPr>
          <w:instrText xml:space="preserve"> PAGEREF _Toc32412983 \h </w:instrText>
        </w:r>
        <w:r>
          <w:rPr>
            <w:noProof/>
            <w:webHidden/>
          </w:rPr>
        </w:r>
        <w:r>
          <w:rPr>
            <w:noProof/>
            <w:webHidden/>
          </w:rPr>
          <w:fldChar w:fldCharType="separate"/>
        </w:r>
        <w:r>
          <w:rPr>
            <w:noProof/>
            <w:webHidden/>
          </w:rPr>
          <w:t>114</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84" w:history="1">
        <w:r w:rsidRPr="007D2687">
          <w:rPr>
            <w:rStyle w:val="Hyperlink"/>
            <w:noProof/>
          </w:rPr>
          <w:t>III.2.1</w:t>
        </w:r>
        <w:r w:rsidR="006853C6">
          <w:rPr>
            <w:rFonts w:asciiTheme="minorHAnsi" w:hAnsiTheme="minorHAnsi" w:cstheme="minorBidi"/>
            <w:noProof/>
            <w:sz w:val="22"/>
            <w:szCs w:val="22"/>
            <w:lang w:eastAsia="zh-CN"/>
          </w:rPr>
          <w:t xml:space="preserve"> </w:t>
        </w:r>
        <w:r w:rsidRPr="007D2687">
          <w:rPr>
            <w:rStyle w:val="Hyperlink"/>
            <w:noProof/>
          </w:rPr>
          <w:t>Overall compliance</w:t>
        </w:r>
        <w:r>
          <w:rPr>
            <w:noProof/>
            <w:webHidden/>
          </w:rPr>
          <w:tab/>
        </w:r>
        <w:r w:rsidR="006853C6">
          <w:rPr>
            <w:noProof/>
            <w:webHidden/>
          </w:rPr>
          <w:tab/>
        </w:r>
        <w:r>
          <w:rPr>
            <w:noProof/>
            <w:webHidden/>
          </w:rPr>
          <w:fldChar w:fldCharType="begin"/>
        </w:r>
        <w:r>
          <w:rPr>
            <w:noProof/>
            <w:webHidden/>
          </w:rPr>
          <w:instrText xml:space="preserve"> PAGEREF _Toc32412984 \h </w:instrText>
        </w:r>
        <w:r>
          <w:rPr>
            <w:noProof/>
            <w:webHidden/>
          </w:rPr>
        </w:r>
        <w:r>
          <w:rPr>
            <w:noProof/>
            <w:webHidden/>
          </w:rPr>
          <w:fldChar w:fldCharType="separate"/>
        </w:r>
        <w:r>
          <w:rPr>
            <w:noProof/>
            <w:webHidden/>
          </w:rPr>
          <w:t>115</w:t>
        </w:r>
        <w:r>
          <w:rPr>
            <w:noProof/>
            <w:webHidden/>
          </w:rPr>
          <w:fldChar w:fldCharType="end"/>
        </w:r>
      </w:hyperlink>
    </w:p>
    <w:p w:rsidR="00F05047" w:rsidRDefault="00F05047" w:rsidP="006853C6">
      <w:pPr>
        <w:pStyle w:val="TOC3"/>
        <w:rPr>
          <w:rFonts w:asciiTheme="minorHAnsi" w:hAnsiTheme="minorHAnsi" w:cstheme="minorBidi"/>
          <w:noProof/>
          <w:sz w:val="22"/>
          <w:szCs w:val="22"/>
          <w:lang w:eastAsia="zh-CN"/>
        </w:rPr>
      </w:pPr>
      <w:hyperlink w:anchor="_Toc32412985" w:history="1">
        <w:r w:rsidRPr="007D2687">
          <w:rPr>
            <w:rStyle w:val="Hyperlink"/>
            <w:noProof/>
          </w:rPr>
          <w:t>III.2.2</w:t>
        </w:r>
        <w:r w:rsidR="006853C6">
          <w:rPr>
            <w:rFonts w:asciiTheme="minorHAnsi" w:hAnsiTheme="minorHAnsi" w:cstheme="minorBidi"/>
            <w:noProof/>
            <w:sz w:val="22"/>
            <w:szCs w:val="22"/>
            <w:lang w:eastAsia="zh-CN"/>
          </w:rPr>
          <w:t xml:space="preserve"> </w:t>
        </w:r>
        <w:r w:rsidRPr="007D2687">
          <w:rPr>
            <w:rStyle w:val="Hyperlink"/>
            <w:noProof/>
          </w:rPr>
          <w:t>Detailed compliance templates</w:t>
        </w:r>
        <w:r>
          <w:rPr>
            <w:noProof/>
            <w:webHidden/>
          </w:rPr>
          <w:tab/>
        </w:r>
        <w:r w:rsidR="006853C6">
          <w:rPr>
            <w:noProof/>
            <w:webHidden/>
          </w:rPr>
          <w:tab/>
        </w:r>
        <w:r>
          <w:rPr>
            <w:noProof/>
            <w:webHidden/>
          </w:rPr>
          <w:fldChar w:fldCharType="begin"/>
        </w:r>
        <w:r>
          <w:rPr>
            <w:noProof/>
            <w:webHidden/>
          </w:rPr>
          <w:instrText xml:space="preserve"> PAGEREF _Toc32412985 \h </w:instrText>
        </w:r>
        <w:r>
          <w:rPr>
            <w:noProof/>
            <w:webHidden/>
          </w:rPr>
        </w:r>
        <w:r>
          <w:rPr>
            <w:noProof/>
            <w:webHidden/>
          </w:rPr>
          <w:fldChar w:fldCharType="separate"/>
        </w:r>
        <w:r>
          <w:rPr>
            <w:noProof/>
            <w:webHidden/>
          </w:rPr>
          <w:t>117</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86" w:history="1">
        <w:r w:rsidRPr="007D2687">
          <w:rPr>
            <w:rStyle w:val="Hyperlink"/>
            <w:noProof/>
          </w:rPr>
          <w:t>III.3</w:t>
        </w:r>
        <w:r>
          <w:rPr>
            <w:rFonts w:asciiTheme="minorHAnsi" w:hAnsiTheme="minorHAnsi" w:cstheme="minorBidi"/>
            <w:noProof/>
            <w:sz w:val="22"/>
            <w:szCs w:val="22"/>
            <w:lang w:eastAsia="zh-CN"/>
          </w:rPr>
          <w:tab/>
        </w:r>
        <w:r w:rsidRPr="007D2687">
          <w:rPr>
            <w:rStyle w:val="Hyperlink"/>
            <w:noProof/>
          </w:rPr>
          <w:t>Number of test environments meeting all IMT-2020 requirements</w:t>
        </w:r>
        <w:r w:rsidR="006853C6">
          <w:rPr>
            <w:rStyle w:val="Hyperlink"/>
            <w:noProof/>
          </w:rPr>
          <w:tab/>
        </w:r>
        <w:r>
          <w:rPr>
            <w:noProof/>
            <w:webHidden/>
          </w:rPr>
          <w:tab/>
        </w:r>
        <w:r>
          <w:rPr>
            <w:noProof/>
            <w:webHidden/>
          </w:rPr>
          <w:fldChar w:fldCharType="begin"/>
        </w:r>
        <w:r>
          <w:rPr>
            <w:noProof/>
            <w:webHidden/>
          </w:rPr>
          <w:instrText xml:space="preserve"> PAGEREF _Toc32412986 \h </w:instrText>
        </w:r>
        <w:r>
          <w:rPr>
            <w:noProof/>
            <w:webHidden/>
          </w:rPr>
        </w:r>
        <w:r>
          <w:rPr>
            <w:noProof/>
            <w:webHidden/>
          </w:rPr>
          <w:fldChar w:fldCharType="separate"/>
        </w:r>
        <w:r>
          <w:rPr>
            <w:noProof/>
            <w:webHidden/>
          </w:rPr>
          <w:t>120</w:t>
        </w:r>
        <w:r>
          <w:rPr>
            <w:noProof/>
            <w:webHidden/>
          </w:rPr>
          <w:fldChar w:fldCharType="end"/>
        </w:r>
      </w:hyperlink>
    </w:p>
    <w:p w:rsidR="00F05047" w:rsidRDefault="00F05047">
      <w:pPr>
        <w:pStyle w:val="TOC2"/>
        <w:rPr>
          <w:rFonts w:asciiTheme="minorHAnsi" w:hAnsiTheme="minorHAnsi" w:cstheme="minorBidi"/>
          <w:noProof/>
          <w:sz w:val="22"/>
          <w:szCs w:val="22"/>
          <w:lang w:eastAsia="zh-CN"/>
        </w:rPr>
      </w:pPr>
      <w:hyperlink w:anchor="_Toc32412987" w:history="1">
        <w:r w:rsidRPr="007D2687">
          <w:rPr>
            <w:rStyle w:val="Hyperlink"/>
            <w:noProof/>
          </w:rPr>
          <w:t>III.4</w:t>
        </w:r>
        <w:r>
          <w:rPr>
            <w:rFonts w:asciiTheme="minorHAnsi" w:hAnsiTheme="minorHAnsi" w:cstheme="minorBidi"/>
            <w:noProof/>
            <w:sz w:val="22"/>
            <w:szCs w:val="22"/>
            <w:lang w:eastAsia="zh-CN"/>
          </w:rPr>
          <w:tab/>
        </w:r>
        <w:r w:rsidRPr="007D2687">
          <w:rPr>
            <w:rStyle w:val="Hyperlink"/>
            <w:noProof/>
          </w:rPr>
          <w:t>Conclusion of link budget analysis</w:t>
        </w:r>
        <w:r>
          <w:rPr>
            <w:noProof/>
            <w:webHidden/>
          </w:rPr>
          <w:tab/>
        </w:r>
        <w:r w:rsidR="006853C6">
          <w:rPr>
            <w:noProof/>
            <w:webHidden/>
          </w:rPr>
          <w:tab/>
        </w:r>
        <w:bookmarkStart w:id="10" w:name="_GoBack"/>
        <w:bookmarkEnd w:id="10"/>
        <w:r>
          <w:rPr>
            <w:noProof/>
            <w:webHidden/>
          </w:rPr>
          <w:fldChar w:fldCharType="begin"/>
        </w:r>
        <w:r>
          <w:rPr>
            <w:noProof/>
            <w:webHidden/>
          </w:rPr>
          <w:instrText xml:space="preserve"> PAGEREF _Toc32412987 \h </w:instrText>
        </w:r>
        <w:r>
          <w:rPr>
            <w:noProof/>
            <w:webHidden/>
          </w:rPr>
        </w:r>
        <w:r>
          <w:rPr>
            <w:noProof/>
            <w:webHidden/>
          </w:rPr>
          <w:fldChar w:fldCharType="separate"/>
        </w:r>
        <w:r>
          <w:rPr>
            <w:noProof/>
            <w:webHidden/>
          </w:rPr>
          <w:t>120</w:t>
        </w:r>
        <w:r>
          <w:rPr>
            <w:noProof/>
            <w:webHidden/>
          </w:rPr>
          <w:fldChar w:fldCharType="end"/>
        </w:r>
      </w:hyperlink>
    </w:p>
    <w:p w:rsidR="00F05047" w:rsidRDefault="00F05047">
      <w:pPr>
        <w:pStyle w:val="TOC1"/>
        <w:rPr>
          <w:rFonts w:asciiTheme="minorHAnsi" w:hAnsiTheme="minorHAnsi" w:cstheme="minorBidi"/>
          <w:noProof/>
          <w:sz w:val="22"/>
          <w:szCs w:val="22"/>
          <w:lang w:eastAsia="zh-CN"/>
        </w:rPr>
      </w:pPr>
      <w:hyperlink w:anchor="_Toc32412988" w:history="1">
        <w:r w:rsidRPr="007D2687">
          <w:rPr>
            <w:rStyle w:val="Hyperlink"/>
            <w:noProof/>
          </w:rPr>
          <w:t>Annex A</w:t>
        </w:r>
        <w:r w:rsidR="006853C6" w:rsidRPr="006853C6">
          <w:t xml:space="preserve"> </w:t>
        </w:r>
        <w:r w:rsidR="006853C6">
          <w:t xml:space="preserve">– </w:t>
        </w:r>
        <w:r w:rsidR="006853C6" w:rsidRPr="006853C6">
          <w:rPr>
            <w:rStyle w:val="Hyperlink"/>
            <w:noProof/>
          </w:rPr>
          <w:t xml:space="preserve">Detailed assumptions on DL and UL peak data rate and peak spectral </w:t>
        </w:r>
        <w:r w:rsidR="006853C6">
          <w:rPr>
            <w:rStyle w:val="Hyperlink"/>
            <w:noProof/>
          </w:rPr>
          <w:br/>
        </w:r>
        <w:r w:rsidR="006853C6" w:rsidRPr="006853C6">
          <w:rPr>
            <w:rStyle w:val="Hyperlink"/>
            <w:noProof/>
          </w:rPr>
          <w:t>efficiency calculations for 5G NR and LTE</w:t>
        </w:r>
        <w:r>
          <w:rPr>
            <w:noProof/>
            <w:webHidden/>
          </w:rPr>
          <w:tab/>
        </w:r>
        <w:r w:rsidR="006853C6">
          <w:rPr>
            <w:noProof/>
            <w:webHidden/>
          </w:rPr>
          <w:tab/>
        </w:r>
        <w:r>
          <w:rPr>
            <w:noProof/>
            <w:webHidden/>
          </w:rPr>
          <w:fldChar w:fldCharType="begin"/>
        </w:r>
        <w:r>
          <w:rPr>
            <w:noProof/>
            <w:webHidden/>
          </w:rPr>
          <w:instrText xml:space="preserve"> PAGEREF _Toc32412988 \h </w:instrText>
        </w:r>
        <w:r>
          <w:rPr>
            <w:noProof/>
            <w:webHidden/>
          </w:rPr>
        </w:r>
        <w:r>
          <w:rPr>
            <w:noProof/>
            <w:webHidden/>
          </w:rPr>
          <w:fldChar w:fldCharType="separate"/>
        </w:r>
        <w:r>
          <w:rPr>
            <w:noProof/>
            <w:webHidden/>
          </w:rPr>
          <w:t>121</w:t>
        </w:r>
        <w:r>
          <w:rPr>
            <w:noProof/>
            <w:webHidden/>
          </w:rPr>
          <w:fldChar w:fldCharType="end"/>
        </w:r>
      </w:hyperlink>
    </w:p>
    <w:p w:rsidR="00F05047" w:rsidRDefault="00F05047">
      <w:pPr>
        <w:pStyle w:val="TOC1"/>
        <w:rPr>
          <w:rFonts w:asciiTheme="minorHAnsi" w:hAnsiTheme="minorHAnsi" w:cstheme="minorBidi"/>
          <w:noProof/>
          <w:sz w:val="22"/>
          <w:szCs w:val="22"/>
          <w:lang w:eastAsia="zh-CN"/>
        </w:rPr>
      </w:pPr>
      <w:hyperlink w:anchor="_Toc32412990" w:history="1">
        <w:r w:rsidRPr="007D2687">
          <w:rPr>
            <w:rStyle w:val="Hyperlink"/>
            <w:noProof/>
          </w:rPr>
          <w:t>Annex B</w:t>
        </w:r>
        <w:r w:rsidR="006853C6" w:rsidRPr="006853C6">
          <w:t xml:space="preserve"> </w:t>
        </w:r>
        <w:r w:rsidR="006853C6">
          <w:t xml:space="preserve">– </w:t>
        </w:r>
        <w:r w:rsidR="006853C6" w:rsidRPr="006853C6">
          <w:rPr>
            <w:rStyle w:val="Hyperlink"/>
            <w:noProof/>
          </w:rPr>
          <w:t>Detailed simulation parameters for system-level simulation-based analysis</w:t>
        </w:r>
        <w:r>
          <w:rPr>
            <w:noProof/>
            <w:webHidden/>
          </w:rPr>
          <w:tab/>
        </w:r>
        <w:r>
          <w:rPr>
            <w:noProof/>
            <w:webHidden/>
          </w:rPr>
          <w:fldChar w:fldCharType="begin"/>
        </w:r>
        <w:r>
          <w:rPr>
            <w:noProof/>
            <w:webHidden/>
          </w:rPr>
          <w:instrText xml:space="preserve"> PAGEREF _Toc32412990 \h </w:instrText>
        </w:r>
        <w:r>
          <w:rPr>
            <w:noProof/>
            <w:webHidden/>
          </w:rPr>
        </w:r>
        <w:r>
          <w:rPr>
            <w:noProof/>
            <w:webHidden/>
          </w:rPr>
          <w:fldChar w:fldCharType="separate"/>
        </w:r>
        <w:r>
          <w:rPr>
            <w:noProof/>
            <w:webHidden/>
          </w:rPr>
          <w:t>126</w:t>
        </w:r>
        <w:r>
          <w:rPr>
            <w:noProof/>
            <w:webHidden/>
          </w:rPr>
          <w:fldChar w:fldCharType="end"/>
        </w:r>
      </w:hyperlink>
    </w:p>
    <w:p w:rsidR="00F05047" w:rsidRDefault="00F05047">
      <w:pPr>
        <w:pStyle w:val="TOC1"/>
        <w:rPr>
          <w:rFonts w:asciiTheme="minorHAnsi" w:hAnsiTheme="minorHAnsi" w:cstheme="minorBidi"/>
          <w:noProof/>
          <w:sz w:val="22"/>
          <w:szCs w:val="22"/>
          <w:lang w:eastAsia="zh-CN"/>
        </w:rPr>
      </w:pPr>
      <w:hyperlink w:anchor="_Toc32412992" w:history="1">
        <w:r w:rsidRPr="007D2687">
          <w:rPr>
            <w:rStyle w:val="Hyperlink"/>
            <w:noProof/>
          </w:rPr>
          <w:t>Annex C</w:t>
        </w:r>
        <w:r w:rsidR="006853C6" w:rsidRPr="006853C6">
          <w:t xml:space="preserve"> </w:t>
        </w:r>
        <w:r w:rsidR="006853C6">
          <w:t xml:space="preserve">– </w:t>
        </w:r>
        <w:r w:rsidR="006853C6" w:rsidRPr="006853C6">
          <w:rPr>
            <w:rStyle w:val="Hyperlink"/>
            <w:noProof/>
          </w:rPr>
          <w:t>Link-level simulation parameters</w:t>
        </w:r>
        <w:r>
          <w:rPr>
            <w:noProof/>
            <w:webHidden/>
          </w:rPr>
          <w:tab/>
        </w:r>
        <w:r w:rsidR="006853C6">
          <w:rPr>
            <w:noProof/>
            <w:webHidden/>
          </w:rPr>
          <w:tab/>
        </w:r>
        <w:r>
          <w:rPr>
            <w:noProof/>
            <w:webHidden/>
          </w:rPr>
          <w:fldChar w:fldCharType="begin"/>
        </w:r>
        <w:r>
          <w:rPr>
            <w:noProof/>
            <w:webHidden/>
          </w:rPr>
          <w:instrText xml:space="preserve"> PAGEREF _Toc32412992 \h </w:instrText>
        </w:r>
        <w:r>
          <w:rPr>
            <w:noProof/>
            <w:webHidden/>
          </w:rPr>
        </w:r>
        <w:r>
          <w:rPr>
            <w:noProof/>
            <w:webHidden/>
          </w:rPr>
          <w:fldChar w:fldCharType="separate"/>
        </w:r>
        <w:r>
          <w:rPr>
            <w:noProof/>
            <w:webHidden/>
          </w:rPr>
          <w:t>133</w:t>
        </w:r>
        <w:r>
          <w:rPr>
            <w:noProof/>
            <w:webHidden/>
          </w:rPr>
          <w:fldChar w:fldCharType="end"/>
        </w:r>
      </w:hyperlink>
    </w:p>
    <w:p w:rsidR="009002F1" w:rsidRPr="00A604A3" w:rsidRDefault="00F05047" w:rsidP="00470885">
      <w:r>
        <w:fldChar w:fldCharType="end"/>
      </w:r>
    </w:p>
    <w:p w:rsidR="00470885" w:rsidRPr="00A604A3" w:rsidRDefault="00470885" w:rsidP="00470885">
      <w:pPr>
        <w:pStyle w:val="PartNo"/>
        <w:rPr>
          <w:rFonts w:eastAsia="MS Mincho"/>
        </w:rPr>
      </w:pPr>
      <w:bookmarkStart w:id="11" w:name="_Toc32412943"/>
      <w:r w:rsidRPr="00A604A3">
        <w:rPr>
          <w:rFonts w:eastAsia="MS Mincho"/>
        </w:rPr>
        <w:t>pART i</w:t>
      </w:r>
      <w:bookmarkEnd w:id="11"/>
    </w:p>
    <w:p w:rsidR="00AE0549" w:rsidRPr="00A604A3" w:rsidRDefault="00AE0549" w:rsidP="00470885">
      <w:pPr>
        <w:pStyle w:val="Parttitle"/>
        <w:rPr>
          <w:rFonts w:eastAsia="MS Mincho"/>
        </w:rPr>
      </w:pPr>
      <w:bookmarkStart w:id="12" w:name="_Toc32412944"/>
      <w:r w:rsidRPr="00A604A3">
        <w:rPr>
          <w:rFonts w:eastAsia="MS Mincho"/>
        </w:rPr>
        <w:t>Administrative aspects of 5G Infrastructure Association</w:t>
      </w:r>
      <w:bookmarkEnd w:id="12"/>
    </w:p>
    <w:p w:rsidR="00AE0549" w:rsidRPr="00A604A3" w:rsidRDefault="00470885" w:rsidP="00470885">
      <w:pPr>
        <w:pStyle w:val="Heading2"/>
        <w:rPr>
          <w:rFonts w:eastAsia="MS Mincho"/>
        </w:rPr>
      </w:pPr>
      <w:bookmarkStart w:id="13" w:name="_Toc32412945"/>
      <w:r w:rsidRPr="00A604A3">
        <w:rPr>
          <w:rFonts w:eastAsia="MS Mincho"/>
        </w:rPr>
        <w:t>I.1</w:t>
      </w:r>
      <w:r w:rsidRPr="00A604A3">
        <w:rPr>
          <w:rFonts w:eastAsia="MS Mincho"/>
        </w:rPr>
        <w:tab/>
      </w:r>
      <w:r w:rsidR="00AE0549" w:rsidRPr="00A604A3">
        <w:rPr>
          <w:rFonts w:eastAsia="MS Mincho"/>
        </w:rPr>
        <w:t>Name of the Independent Evaluation Group</w:t>
      </w:r>
      <w:bookmarkEnd w:id="13"/>
    </w:p>
    <w:p w:rsidR="00AE0549" w:rsidRPr="00A604A3" w:rsidRDefault="00AE0549" w:rsidP="00470885">
      <w:pPr>
        <w:rPr>
          <w:rFonts w:eastAsia="MS Mincho"/>
        </w:rPr>
      </w:pPr>
      <w:r w:rsidRPr="00A604A3">
        <w:rPr>
          <w:rFonts w:eastAsia="MS Mincho"/>
        </w:rPr>
        <w:t xml:space="preserve">The Independent Evaluation Group is called </w:t>
      </w:r>
      <w:r w:rsidRPr="00A604A3">
        <w:rPr>
          <w:rFonts w:eastAsia="MS Mincho"/>
          <w:i/>
        </w:rPr>
        <w:t>5G Infrastructure Association</w:t>
      </w:r>
      <w:r w:rsidRPr="00A604A3">
        <w:rPr>
          <w:rFonts w:eastAsia="MS Mincho"/>
        </w:rPr>
        <w:t>.</w:t>
      </w:r>
    </w:p>
    <w:p w:rsidR="00AE0549" w:rsidRPr="00A604A3" w:rsidRDefault="00470885" w:rsidP="00470885">
      <w:pPr>
        <w:pStyle w:val="Heading2"/>
        <w:rPr>
          <w:rFonts w:eastAsia="MS Mincho"/>
        </w:rPr>
      </w:pPr>
      <w:bookmarkStart w:id="14" w:name="_Toc32412946"/>
      <w:r w:rsidRPr="00A604A3">
        <w:rPr>
          <w:rFonts w:eastAsia="MS Mincho"/>
        </w:rPr>
        <w:t>I.2</w:t>
      </w:r>
      <w:r w:rsidRPr="00A604A3">
        <w:rPr>
          <w:rFonts w:eastAsia="MS Mincho"/>
        </w:rPr>
        <w:tab/>
      </w:r>
      <w:r w:rsidR="00AE0549" w:rsidRPr="00A604A3">
        <w:rPr>
          <w:rFonts w:eastAsia="MS Mincho"/>
        </w:rPr>
        <w:t>Introduction and background of 5G Infrastructure Association</w:t>
      </w:r>
      <w:bookmarkEnd w:id="14"/>
    </w:p>
    <w:p w:rsidR="00AE0549" w:rsidRPr="00A604A3" w:rsidRDefault="00AE0549" w:rsidP="00CE5369">
      <w:r w:rsidRPr="00A604A3">
        <w:t xml:space="preserve">The </w:t>
      </w:r>
      <w:r w:rsidRPr="00A604A3">
        <w:rPr>
          <w:rFonts w:eastAsia="MS Mincho"/>
        </w:rPr>
        <w:t>5G Infrastructure Association</w:t>
      </w:r>
      <w:r w:rsidRPr="00A604A3">
        <w:t xml:space="preserve"> Independent Evaluation Group was launched by the </w:t>
      </w:r>
      <w:r w:rsidRPr="00A604A3">
        <w:rPr>
          <w:rFonts w:eastAsia="MS Mincho"/>
        </w:rPr>
        <w:t>5G Infrastructure Association</w:t>
      </w:r>
      <w:r w:rsidRPr="00A604A3">
        <w:t xml:space="preserve"> as part of 5G Public Private Partnership (5G PPP) in October 2016 by registration at ITU-R.</w:t>
      </w:r>
    </w:p>
    <w:p w:rsidR="00AE0549" w:rsidRPr="00A604A3" w:rsidRDefault="00AE0549" w:rsidP="00CE5369">
      <w:r w:rsidRPr="00A604A3">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AE0549" w:rsidRPr="00A604A3" w:rsidRDefault="00CE5369" w:rsidP="00CE5369">
      <w:pPr>
        <w:pStyle w:val="enumlev1"/>
      </w:pPr>
      <w:r w:rsidRPr="00A604A3">
        <w:lastRenderedPageBreak/>
        <w:t>–</w:t>
      </w:r>
      <w:r w:rsidRPr="00A604A3">
        <w:tab/>
      </w:r>
      <w:r w:rsidR="00AE0549" w:rsidRPr="00A604A3">
        <w:t>In Phase 1 from July 1, 2015 to 2017 19 projects researched the basic concepts of 5G systems in all relevant areas and contributed to international standardization (</w:t>
      </w:r>
      <w:r w:rsidR="00AE0549" w:rsidRPr="00A604A3">
        <w:rPr>
          <w:rStyle w:val="Hyperlink"/>
          <w:rFonts w:cs="Arial"/>
          <w:szCs w:val="24"/>
        </w:rPr>
        <w:t>https://5g-ppp.eu/5g-ppp-phase-1-projects/</w:t>
      </w:r>
      <w:r w:rsidR="00AE0549" w:rsidRPr="00A604A3">
        <w:t>).</w:t>
      </w:r>
    </w:p>
    <w:p w:rsidR="00AE0549" w:rsidRPr="00A604A3" w:rsidRDefault="00CE5369" w:rsidP="00CE5369">
      <w:pPr>
        <w:pStyle w:val="enumlev1"/>
      </w:pPr>
      <w:r w:rsidRPr="00A604A3">
        <w:t>–</w:t>
      </w:r>
      <w:r w:rsidRPr="00A604A3">
        <w:tab/>
      </w:r>
      <w:r w:rsidR="00AE0549" w:rsidRPr="00A604A3">
        <w:t>Phase 2 started on June 1, 2017 with 23 projects (</w:t>
      </w:r>
      <w:r w:rsidR="00AE0549" w:rsidRPr="00A604A3">
        <w:rPr>
          <w:rStyle w:val="Hyperlink"/>
          <w:rFonts w:cs="Arial"/>
          <w:szCs w:val="24"/>
        </w:rPr>
        <w:t>https://5g-ppp.eu/5g-ppp-phase-2-projects/</w:t>
      </w:r>
      <w:r w:rsidR="00AE0549" w:rsidRPr="00A604A3">
        <w:t>). The focus of Phase 2 is on the optimization of the system and the preparation of trials.</w:t>
      </w:r>
    </w:p>
    <w:p w:rsidR="00AE0549" w:rsidRPr="00A604A3" w:rsidRDefault="00CE5369" w:rsidP="00CE5369">
      <w:pPr>
        <w:pStyle w:val="enumlev1"/>
      </w:pPr>
      <w:r w:rsidRPr="00A604A3">
        <w:t>–</w:t>
      </w:r>
      <w:r w:rsidRPr="00A604A3">
        <w:tab/>
      </w:r>
      <w:r w:rsidR="00AE0549" w:rsidRPr="00A604A3">
        <w:t xml:space="preserve">The </w:t>
      </w:r>
      <w:r w:rsidR="00AE0549" w:rsidRPr="00A604A3">
        <w:rPr>
          <w:color w:val="000000" w:themeColor="text1"/>
        </w:rPr>
        <w:t xml:space="preserve">Phase 3 is implemented with 14 projects </w:t>
      </w:r>
      <w:r w:rsidR="00AE0549" w:rsidRPr="00A604A3">
        <w:t>(</w:t>
      </w:r>
      <w:r w:rsidR="00AE0549" w:rsidRPr="00A604A3">
        <w:rPr>
          <w:rStyle w:val="Hyperlink"/>
          <w:rFonts w:cs="Arial"/>
          <w:szCs w:val="24"/>
        </w:rPr>
        <w:t>https://5g-ppp.eu/5g-ppp-phase-3-projects/</w:t>
      </w:r>
      <w:r w:rsidR="00AE0549" w:rsidRPr="00A604A3">
        <w:t>)</w:t>
      </w:r>
    </w:p>
    <w:p w:rsidR="00AE0549" w:rsidRPr="00A604A3" w:rsidRDefault="00CE5369" w:rsidP="00CE5369">
      <w:pPr>
        <w:pStyle w:val="enumlev2"/>
        <w:rPr>
          <w:rFonts w:cs="Arial"/>
          <w:color w:val="000000"/>
          <w:szCs w:val="24"/>
        </w:rPr>
      </w:pPr>
      <w:r w:rsidRPr="00A604A3">
        <w:t>•</w:t>
      </w:r>
      <w:r w:rsidRPr="00A604A3">
        <w:tab/>
      </w:r>
      <w:r w:rsidR="00AE0549" w:rsidRPr="00A604A3">
        <w:t>Part 1: 3 Infrastructure Projects,</w:t>
      </w:r>
    </w:p>
    <w:p w:rsidR="00AE0549" w:rsidRPr="00A604A3" w:rsidRDefault="00CE5369" w:rsidP="00CE5369">
      <w:pPr>
        <w:pStyle w:val="enumlev2"/>
        <w:rPr>
          <w:rFonts w:cs="Arial"/>
          <w:color w:val="000000"/>
          <w:szCs w:val="24"/>
        </w:rPr>
      </w:pPr>
      <w:r w:rsidRPr="00A604A3">
        <w:t>•</w:t>
      </w:r>
      <w:r w:rsidRPr="00A604A3">
        <w:tab/>
      </w:r>
      <w:r w:rsidR="00AE0549" w:rsidRPr="00A604A3">
        <w:t>Part 2: 3 Automotive Projects and</w:t>
      </w:r>
    </w:p>
    <w:p w:rsidR="00AE0549" w:rsidRPr="00A604A3" w:rsidRDefault="00CE5369" w:rsidP="00CE5369">
      <w:pPr>
        <w:pStyle w:val="enumlev2"/>
        <w:rPr>
          <w:rFonts w:cs="Arial"/>
          <w:color w:val="000000"/>
          <w:szCs w:val="24"/>
        </w:rPr>
      </w:pPr>
      <w:r w:rsidRPr="00A604A3">
        <w:t>•</w:t>
      </w:r>
      <w:r w:rsidRPr="00A604A3">
        <w:tab/>
      </w:r>
      <w:r w:rsidR="00AE0549" w:rsidRPr="00A604A3">
        <w:t>Part 3: 8 Advanced 5G validation trials across multiple vertical industries</w:t>
      </w:r>
      <w:r w:rsidR="00AE0549" w:rsidRPr="00A604A3">
        <w:rPr>
          <w:rFonts w:cs="Arial"/>
          <w:color w:val="000000"/>
          <w:szCs w:val="24"/>
        </w:rPr>
        <w:t xml:space="preserve">. This phase is addressing the development of trial platforms especially with vertical industries, large scale trials, </w:t>
      </w:r>
      <w:r w:rsidR="00AE0549" w:rsidRPr="00A604A3">
        <w:rPr>
          <w:sz w:val="23"/>
          <w:szCs w:val="23"/>
        </w:rPr>
        <w:t>cooperative, connected and automated mobility, 5G long term evolution as well as international cooperation.</w:t>
      </w:r>
    </w:p>
    <w:p w:rsidR="00AE0549" w:rsidRPr="00A604A3" w:rsidRDefault="00AE0549" w:rsidP="00CE5369">
      <w:r w:rsidRPr="00A604A3">
        <w:t>In each phase around 200 organizations are cooperating in the established projects.</w:t>
      </w:r>
    </w:p>
    <w:p w:rsidR="00AE0549" w:rsidRPr="00A604A3" w:rsidRDefault="00AE0549" w:rsidP="00CE5369">
      <w:r w:rsidRPr="00A604A3">
        <w:t>The main key challenges of the 5G PPP Program are to deliver solutions, architectures, technologies and standards for the ubiquitous 5G communication infrastructures of the next decade:</w:t>
      </w:r>
    </w:p>
    <w:p w:rsidR="00AE0549" w:rsidRPr="00A604A3" w:rsidRDefault="00CE5369" w:rsidP="00CE5369">
      <w:pPr>
        <w:pStyle w:val="enumlev1"/>
      </w:pPr>
      <w:r w:rsidRPr="00A604A3">
        <w:t>–</w:t>
      </w:r>
      <w:r w:rsidRPr="00A604A3">
        <w:tab/>
      </w:r>
      <w:r w:rsidR="00AE0549" w:rsidRPr="00A604A3">
        <w:t>Providing 1000 times higher wireless area capacity and more varied service capabilities compared to 2010.</w:t>
      </w:r>
    </w:p>
    <w:p w:rsidR="00AE0549" w:rsidRPr="00A604A3" w:rsidRDefault="00CE5369" w:rsidP="00CE5369">
      <w:pPr>
        <w:pStyle w:val="enumlev1"/>
      </w:pPr>
      <w:r w:rsidRPr="00A604A3">
        <w:t>–</w:t>
      </w:r>
      <w:r w:rsidRPr="00A604A3">
        <w:tab/>
      </w:r>
      <w:r w:rsidR="00AE0549" w:rsidRPr="00A604A3">
        <w:t>Saving up to 90</w:t>
      </w:r>
      <w:r w:rsidR="00AA0B2B">
        <w:t>%</w:t>
      </w:r>
      <w:r w:rsidR="00AE0549" w:rsidRPr="00A604A3">
        <w:t xml:space="preserve"> of energy per service provided. The main focus will be in mobile communication networks where the dominating energy consumption comes from the radio access network.</w:t>
      </w:r>
    </w:p>
    <w:p w:rsidR="00AE0549" w:rsidRPr="00A604A3" w:rsidRDefault="00CE5369" w:rsidP="00CE5369">
      <w:pPr>
        <w:pStyle w:val="enumlev1"/>
      </w:pPr>
      <w:r w:rsidRPr="00A604A3">
        <w:t>–</w:t>
      </w:r>
      <w:r w:rsidRPr="00A604A3">
        <w:tab/>
      </w:r>
      <w:r w:rsidR="00AE0549" w:rsidRPr="00A604A3">
        <w:t>Reducing the average service creation time cycle from 90 hours to 90 minutes.</w:t>
      </w:r>
    </w:p>
    <w:p w:rsidR="00AE0549" w:rsidRPr="00A604A3" w:rsidRDefault="00CE5369" w:rsidP="00CE5369">
      <w:pPr>
        <w:pStyle w:val="enumlev1"/>
      </w:pPr>
      <w:r w:rsidRPr="00A604A3">
        <w:t>–</w:t>
      </w:r>
      <w:r w:rsidRPr="00A604A3">
        <w:tab/>
      </w:r>
      <w:r w:rsidR="00AE0549" w:rsidRPr="00A604A3">
        <w:t>Creating a secure, reliable and dependable Internet with a “zero perceived” downtime for services provision.</w:t>
      </w:r>
    </w:p>
    <w:p w:rsidR="00AE0549" w:rsidRPr="00A604A3" w:rsidRDefault="00CE5369" w:rsidP="00CE5369">
      <w:pPr>
        <w:pStyle w:val="enumlev1"/>
      </w:pPr>
      <w:r w:rsidRPr="00A604A3">
        <w:t>–</w:t>
      </w:r>
      <w:r w:rsidRPr="00A604A3">
        <w:tab/>
      </w:r>
      <w:r w:rsidR="00AE0549" w:rsidRPr="00A604A3">
        <w:t>Facilitating very dense deployments of wireless communication links to connect over 7 trillion wireless devices serving over 7 billion people.</w:t>
      </w:r>
    </w:p>
    <w:p w:rsidR="00AE0549" w:rsidRPr="00A604A3" w:rsidRDefault="00CE5369" w:rsidP="00CE5369">
      <w:pPr>
        <w:pStyle w:val="enumlev1"/>
      </w:pPr>
      <w:r w:rsidRPr="00A604A3">
        <w:t>–</w:t>
      </w:r>
      <w:r w:rsidRPr="00A604A3">
        <w:tab/>
      </w:r>
      <w:r w:rsidR="00AE0549" w:rsidRPr="00A604A3">
        <w:t>Enabling advanced User controlled privacy.</w:t>
      </w:r>
    </w:p>
    <w:p w:rsidR="00AE0549" w:rsidRPr="00A604A3" w:rsidRDefault="00AE0549" w:rsidP="00CE5369">
      <w:r w:rsidRPr="00A604A3">
        <w:t>The Independent Evaluation Group is currently supported by the following 5G PPP Phase 2 projects:</w:t>
      </w:r>
    </w:p>
    <w:p w:rsidR="00AE0549" w:rsidRPr="00A604A3" w:rsidRDefault="00CE5369" w:rsidP="00CE5369">
      <w:pPr>
        <w:pStyle w:val="enumlev1"/>
      </w:pPr>
      <w:r w:rsidRPr="00A604A3">
        <w:t>–</w:t>
      </w:r>
      <w:r w:rsidRPr="00A604A3">
        <w:tab/>
      </w:r>
      <w:r w:rsidR="00AE0549" w:rsidRPr="00A604A3">
        <w:t>5G Essence,</w:t>
      </w:r>
    </w:p>
    <w:p w:rsidR="00AE0549" w:rsidRPr="00A604A3" w:rsidRDefault="00CE5369" w:rsidP="00CE5369">
      <w:pPr>
        <w:pStyle w:val="enumlev1"/>
      </w:pPr>
      <w:r w:rsidRPr="00A604A3">
        <w:t>–</w:t>
      </w:r>
      <w:r w:rsidRPr="00A604A3">
        <w:tab/>
      </w:r>
      <w:r w:rsidR="00AE0549" w:rsidRPr="00A604A3">
        <w:t>5G MoNArch,</w:t>
      </w:r>
    </w:p>
    <w:p w:rsidR="00AE0549" w:rsidRPr="00A604A3" w:rsidRDefault="00CE5369" w:rsidP="00CE5369">
      <w:pPr>
        <w:pStyle w:val="enumlev1"/>
      </w:pPr>
      <w:r w:rsidRPr="00A604A3">
        <w:t>–</w:t>
      </w:r>
      <w:r w:rsidRPr="00A604A3">
        <w:tab/>
      </w:r>
      <w:r w:rsidR="00AE0549" w:rsidRPr="00A604A3">
        <w:t>5G Xcast,</w:t>
      </w:r>
    </w:p>
    <w:p w:rsidR="00AE0549" w:rsidRPr="00A604A3" w:rsidRDefault="00CE5369" w:rsidP="00CE5369">
      <w:pPr>
        <w:pStyle w:val="enumlev1"/>
      </w:pPr>
      <w:r w:rsidRPr="00A604A3">
        <w:t>–</w:t>
      </w:r>
      <w:r w:rsidRPr="00A604A3">
        <w:tab/>
      </w:r>
      <w:r w:rsidR="00AE0549" w:rsidRPr="00A604A3">
        <w:t>One 5G and</w:t>
      </w:r>
    </w:p>
    <w:p w:rsidR="00AE0549" w:rsidRPr="00A604A3" w:rsidRDefault="00CE5369" w:rsidP="00CE5369">
      <w:pPr>
        <w:pStyle w:val="enumlev1"/>
      </w:pPr>
      <w:r w:rsidRPr="00A604A3">
        <w:t>–</w:t>
      </w:r>
      <w:r w:rsidRPr="00A604A3">
        <w:tab/>
      </w:r>
      <w:r w:rsidR="00AE0549" w:rsidRPr="00A604A3">
        <w:t>To-Euro-5G CSA</w:t>
      </w:r>
    </w:p>
    <w:p w:rsidR="00AE0549" w:rsidRPr="00A604A3" w:rsidRDefault="00AE0549" w:rsidP="00CE5369">
      <w:r w:rsidRPr="00A604A3">
        <w:t>and the 5G PPP Phase 3 projects</w:t>
      </w:r>
    </w:p>
    <w:p w:rsidR="00AE0549" w:rsidRPr="00A604A3" w:rsidRDefault="00CE5369" w:rsidP="00CE5369">
      <w:pPr>
        <w:pStyle w:val="enumlev1"/>
      </w:pPr>
      <w:r w:rsidRPr="00A604A3">
        <w:t>–</w:t>
      </w:r>
      <w:r w:rsidRPr="00A604A3">
        <w:tab/>
      </w:r>
      <w:r w:rsidR="00AE0549" w:rsidRPr="00A604A3">
        <w:t>5G Genesis,</w:t>
      </w:r>
    </w:p>
    <w:p w:rsidR="00AE0549" w:rsidRPr="00A604A3" w:rsidRDefault="00CE5369" w:rsidP="00CE5369">
      <w:pPr>
        <w:pStyle w:val="enumlev1"/>
      </w:pPr>
      <w:r w:rsidRPr="00A604A3">
        <w:t>–</w:t>
      </w:r>
      <w:r w:rsidRPr="00A604A3">
        <w:tab/>
      </w:r>
      <w:r w:rsidR="00AE0549" w:rsidRPr="00A604A3">
        <w:t>5G Solutions,</w:t>
      </w:r>
    </w:p>
    <w:p w:rsidR="00AE0549" w:rsidRPr="00A604A3" w:rsidRDefault="00CE5369" w:rsidP="00CE5369">
      <w:pPr>
        <w:pStyle w:val="enumlev1"/>
      </w:pPr>
      <w:r w:rsidRPr="00A604A3">
        <w:t>–</w:t>
      </w:r>
      <w:r w:rsidRPr="00A604A3">
        <w:tab/>
      </w:r>
      <w:r w:rsidR="00AE0549" w:rsidRPr="00A604A3">
        <w:t>5G Tours,</w:t>
      </w:r>
    </w:p>
    <w:p w:rsidR="00AE0549" w:rsidRPr="00A604A3" w:rsidRDefault="00CE5369" w:rsidP="00CE5369">
      <w:pPr>
        <w:pStyle w:val="enumlev1"/>
      </w:pPr>
      <w:r w:rsidRPr="00A604A3">
        <w:t>–</w:t>
      </w:r>
      <w:r w:rsidRPr="00A604A3">
        <w:tab/>
      </w:r>
      <w:r w:rsidR="00AE0549" w:rsidRPr="00A604A3">
        <w:t>5G VINNI,</w:t>
      </w:r>
    </w:p>
    <w:p w:rsidR="00AE0549" w:rsidRPr="00A604A3" w:rsidRDefault="00CE5369" w:rsidP="00CE5369">
      <w:pPr>
        <w:pStyle w:val="enumlev1"/>
      </w:pPr>
      <w:r w:rsidRPr="00A604A3">
        <w:lastRenderedPageBreak/>
        <w:t>–</w:t>
      </w:r>
      <w:r w:rsidRPr="00A604A3">
        <w:tab/>
      </w:r>
      <w:r w:rsidR="00AE0549" w:rsidRPr="00A604A3">
        <w:t>Clear5G,</w:t>
      </w:r>
    </w:p>
    <w:p w:rsidR="00AE0549" w:rsidRPr="00A604A3" w:rsidRDefault="00CE5369" w:rsidP="00CE5369">
      <w:pPr>
        <w:pStyle w:val="enumlev1"/>
      </w:pPr>
      <w:r w:rsidRPr="00A604A3">
        <w:t>–</w:t>
      </w:r>
      <w:r w:rsidRPr="00A604A3">
        <w:tab/>
      </w:r>
      <w:r w:rsidR="00AE0549" w:rsidRPr="00A604A3">
        <w:t>Full5G CSA,</w:t>
      </w:r>
    </w:p>
    <w:p w:rsidR="00AE0549" w:rsidRPr="00A604A3" w:rsidRDefault="00CE5369" w:rsidP="00CE5369">
      <w:pPr>
        <w:pStyle w:val="enumlev1"/>
      </w:pPr>
      <w:r w:rsidRPr="00A604A3">
        <w:t>–</w:t>
      </w:r>
      <w:r w:rsidRPr="00A604A3">
        <w:tab/>
      </w:r>
      <w:r w:rsidR="00AE0549" w:rsidRPr="00A604A3">
        <w:t>Global5G.org CSA</w:t>
      </w:r>
    </w:p>
    <w:p w:rsidR="00AE0549" w:rsidRPr="00A604A3" w:rsidRDefault="00AE0549" w:rsidP="00CE5369">
      <w:r w:rsidRPr="00A604A3">
        <w:t>and the 5G Infrastructure Association members</w:t>
      </w:r>
    </w:p>
    <w:p w:rsidR="00AE0549" w:rsidRPr="00A604A3" w:rsidRDefault="00CE5369" w:rsidP="00CE5369">
      <w:pPr>
        <w:pStyle w:val="enumlev1"/>
      </w:pPr>
      <w:r w:rsidRPr="00A604A3">
        <w:t>–</w:t>
      </w:r>
      <w:r w:rsidRPr="00A604A3">
        <w:tab/>
      </w:r>
      <w:r w:rsidR="00AE0549" w:rsidRPr="00A604A3">
        <w:t>Huawei,</w:t>
      </w:r>
    </w:p>
    <w:p w:rsidR="00AE0549" w:rsidRPr="00A604A3" w:rsidRDefault="00CE5369" w:rsidP="00CE5369">
      <w:pPr>
        <w:pStyle w:val="enumlev1"/>
      </w:pPr>
      <w:r w:rsidRPr="00A604A3">
        <w:t>–</w:t>
      </w:r>
      <w:r w:rsidRPr="00A604A3">
        <w:tab/>
      </w:r>
      <w:r w:rsidR="00AE0549" w:rsidRPr="00A604A3">
        <w:t>Intel,</w:t>
      </w:r>
    </w:p>
    <w:p w:rsidR="00AE0549" w:rsidRPr="00A604A3" w:rsidRDefault="00CE5369" w:rsidP="00CE5369">
      <w:pPr>
        <w:pStyle w:val="enumlev1"/>
      </w:pPr>
      <w:r w:rsidRPr="00A604A3">
        <w:t>–</w:t>
      </w:r>
      <w:r w:rsidRPr="00A604A3">
        <w:tab/>
      </w:r>
      <w:r w:rsidR="00AE0549" w:rsidRPr="00A604A3">
        <w:t>Nokia,</w:t>
      </w:r>
    </w:p>
    <w:p w:rsidR="00AE0549" w:rsidRPr="00A604A3" w:rsidRDefault="00CE5369" w:rsidP="00CE5369">
      <w:pPr>
        <w:pStyle w:val="enumlev1"/>
      </w:pPr>
      <w:r w:rsidRPr="00A604A3">
        <w:t>–</w:t>
      </w:r>
      <w:r w:rsidRPr="00A604A3">
        <w:tab/>
      </w:r>
      <w:r w:rsidR="00AE0549" w:rsidRPr="00A604A3">
        <w:t>Telenor,</w:t>
      </w:r>
    </w:p>
    <w:p w:rsidR="00AE0549" w:rsidRPr="00A604A3" w:rsidRDefault="00CE5369" w:rsidP="00CE5369">
      <w:pPr>
        <w:pStyle w:val="enumlev1"/>
      </w:pPr>
      <w:r w:rsidRPr="00A604A3">
        <w:t>–</w:t>
      </w:r>
      <w:r w:rsidRPr="00A604A3">
        <w:tab/>
      </w:r>
      <w:r w:rsidR="00AE0549" w:rsidRPr="00A604A3">
        <w:t>Turkcell and</w:t>
      </w:r>
    </w:p>
    <w:p w:rsidR="00AE0549" w:rsidRPr="00A604A3" w:rsidRDefault="00CE5369" w:rsidP="00CE5369">
      <w:pPr>
        <w:pStyle w:val="enumlev1"/>
        <w:rPr>
          <w:color w:val="000000" w:themeColor="text1"/>
        </w:rPr>
      </w:pPr>
      <w:r w:rsidRPr="00A604A3">
        <w:t>–</w:t>
      </w:r>
      <w:r w:rsidRPr="00A604A3">
        <w:tab/>
      </w:r>
      <w:r w:rsidR="00AE0549" w:rsidRPr="00A604A3">
        <w:rPr>
          <w:color w:val="000000" w:themeColor="text1"/>
        </w:rPr>
        <w:t>ZTE Wistron Telecom AB.</w:t>
      </w:r>
    </w:p>
    <w:p w:rsidR="00AE0549" w:rsidRPr="00A604A3" w:rsidRDefault="00AE0549" w:rsidP="00CE5369">
      <w:r w:rsidRPr="00A604A3">
        <w:t>This Evaluation Group is evaluating all 16 evaluation characteristics according to Table 2 by means of analytical, inspection and simulation activities in order to perform a full evaluation. For simulation purposes simulators at different Evaluation Group member are used, where different evaluation characteristics are mapped to different simulators. Simulators are being calibrated where needed in order to provide comparable results. Calibration results and the calibration approach are published (c.f. Section I-6) in order to provide this information to the other Independent Evaluation Groups to support the consensus building process in ITU-R WP</w:t>
      </w:r>
      <w:r w:rsidR="00CE5369" w:rsidRPr="00A604A3">
        <w:t> </w:t>
      </w:r>
      <w:r w:rsidRPr="00A604A3">
        <w:t>5D.</w:t>
      </w:r>
    </w:p>
    <w:p w:rsidR="00AE0549" w:rsidRPr="00A604A3" w:rsidRDefault="00CE5369" w:rsidP="00CE5369">
      <w:pPr>
        <w:pStyle w:val="Heading2"/>
        <w:rPr>
          <w:rFonts w:eastAsia="MS Mincho"/>
        </w:rPr>
      </w:pPr>
      <w:bookmarkStart w:id="15" w:name="_Toc32412947"/>
      <w:r w:rsidRPr="00A604A3">
        <w:rPr>
          <w:rFonts w:eastAsia="MS Mincho"/>
        </w:rPr>
        <w:t>I.3</w:t>
      </w:r>
      <w:r w:rsidRPr="00A604A3">
        <w:rPr>
          <w:rFonts w:eastAsia="MS Mincho"/>
        </w:rPr>
        <w:tab/>
      </w:r>
      <w:r w:rsidR="00AE0549" w:rsidRPr="00A604A3">
        <w:rPr>
          <w:rFonts w:eastAsia="MS Mincho"/>
        </w:rPr>
        <w:t>Method of work</w:t>
      </w:r>
      <w:bookmarkEnd w:id="15"/>
    </w:p>
    <w:p w:rsidR="00AE0549" w:rsidRPr="00A604A3" w:rsidRDefault="00AE0549" w:rsidP="00CE5369">
      <w:r w:rsidRPr="00A604A3">
        <w:t>The 5G Infrastructure Association Evaluation Group is organized as Working Group in 5G PPP under the umbrella of the 5G Infrastructure Association. Evaluation activities are executed according to a commonly agreed plan and conducted work through e.g.:</w:t>
      </w:r>
    </w:p>
    <w:p w:rsidR="00AE0549" w:rsidRPr="00A604A3" w:rsidRDefault="00CE5369" w:rsidP="00CE5369">
      <w:pPr>
        <w:pStyle w:val="enumlev1"/>
      </w:pPr>
      <w:r w:rsidRPr="00A604A3">
        <w:t>–</w:t>
      </w:r>
      <w:r w:rsidRPr="00A604A3">
        <w:tab/>
      </w:r>
      <w:r w:rsidR="00AE0549" w:rsidRPr="00A604A3">
        <w:t>Physical meetings and frequent telephone conferences where the activities are planned and where action items are given and followed up.</w:t>
      </w:r>
    </w:p>
    <w:p w:rsidR="00AE0549" w:rsidRPr="00A604A3" w:rsidRDefault="00CE5369" w:rsidP="00CE5369">
      <w:pPr>
        <w:pStyle w:val="enumlev1"/>
      </w:pPr>
      <w:r w:rsidRPr="00A604A3">
        <w:t>–</w:t>
      </w:r>
      <w:r w:rsidRPr="00A604A3">
        <w:tab/>
      </w:r>
      <w:r w:rsidR="00AE0549" w:rsidRPr="00A604A3">
        <w:t>Frequent email and telephone discussions among partners on detailed issues on an ad-hoc basis.</w:t>
      </w:r>
    </w:p>
    <w:p w:rsidR="00AE0549" w:rsidRPr="00A604A3" w:rsidRDefault="00CE5369" w:rsidP="00CE5369">
      <w:pPr>
        <w:pStyle w:val="enumlev1"/>
      </w:pPr>
      <w:r w:rsidRPr="00A604A3">
        <w:t>–</w:t>
      </w:r>
      <w:r w:rsidRPr="00A604A3">
        <w:tab/>
      </w:r>
      <w:r w:rsidR="00AE0549" w:rsidRPr="00A604A3">
        <w:t>File sharing on the web.</w:t>
      </w:r>
    </w:p>
    <w:p w:rsidR="00AE0549" w:rsidRPr="00A604A3" w:rsidRDefault="00CE5369" w:rsidP="00CE5369">
      <w:pPr>
        <w:pStyle w:val="enumlev1"/>
      </w:pPr>
      <w:r w:rsidRPr="00A604A3">
        <w:t>–</w:t>
      </w:r>
      <w:r w:rsidRPr="00A604A3">
        <w:tab/>
      </w:r>
      <w:r w:rsidR="00AE0549" w:rsidRPr="00A604A3">
        <w:t>Participation in the ITU-R Correspondence Group dedicated to the IMT-2020 evaluation topics.</w:t>
      </w:r>
    </w:p>
    <w:p w:rsidR="00AE0549" w:rsidRPr="00A604A3" w:rsidRDefault="00AE0549" w:rsidP="00CF32DB">
      <w:r w:rsidRPr="00A604A3">
        <w:t>In addition, the Evaluation Group participated in a workshop organized by 3GPP on October 24 and 25, 2018 in Brussels and the ITU-R WP5D Evaluation Workshop on December 10 and 11, 2019 in Geneva at the 33</w:t>
      </w:r>
      <w:r w:rsidRPr="00A604A3">
        <w:rPr>
          <w:vertAlign w:val="superscript"/>
        </w:rPr>
        <w:t>rd</w:t>
      </w:r>
      <w:r w:rsidRPr="00A604A3">
        <w:t xml:space="preserve"> meeting of Working Party 5D. In that workshop the Evaluation Group presented the work method, work plan, channel model calibration status, baseline system calibration assumptions, and available evaluation results.</w:t>
      </w:r>
    </w:p>
    <w:p w:rsidR="00AE0549" w:rsidRPr="00A604A3" w:rsidRDefault="00AE0549" w:rsidP="00CF32DB">
      <w:r w:rsidRPr="00A604A3">
        <w:t>At and after the ITU-R workshop the Evaluation Group communicated with other Evaluation Groups as well regarding calibration and is making material openly available.</w:t>
      </w:r>
    </w:p>
    <w:p w:rsidR="00AE0549" w:rsidRPr="00A604A3" w:rsidRDefault="00AE0549" w:rsidP="00CF32DB">
      <w:r w:rsidRPr="00A604A3">
        <w:t>Open issues in the system description were discussed and clarified with 3GPP.</w:t>
      </w:r>
    </w:p>
    <w:p w:rsidR="00AE0549" w:rsidRPr="00A604A3" w:rsidRDefault="00AE0549" w:rsidP="00CF32DB">
      <w:r w:rsidRPr="00A604A3">
        <w:t>Public information on the calibration work is available at the home page listed in Section I-6.</w:t>
      </w:r>
    </w:p>
    <w:p w:rsidR="00AE0549" w:rsidRPr="00A604A3" w:rsidRDefault="00AE0549" w:rsidP="00CF32DB">
      <w:r w:rsidRPr="00A604A3">
        <w:t xml:space="preserve">The assessment of the proponent submission and self-evaluation has been made by analytical, inspection and simulation methods as required in Reports ITU-R </w:t>
      </w:r>
      <w:r w:rsidRPr="00A604A3">
        <w:rPr>
          <w:bCs/>
          <w:iCs/>
          <w:color w:val="000000" w:themeColor="text1"/>
        </w:rPr>
        <w:t>M.2410-0 [1], M.2411-0 [2] and M.2412-0 [3]</w:t>
      </w:r>
      <w:r w:rsidRPr="00A604A3">
        <w:t xml:space="preserve">, see Table 2 in </w:t>
      </w:r>
      <w:r w:rsidRPr="00A604A3">
        <w:rPr>
          <w:bCs/>
          <w:iCs/>
          <w:color w:val="000000" w:themeColor="text1"/>
        </w:rPr>
        <w:t>M.2412-0 [3]</w:t>
      </w:r>
      <w:r w:rsidRPr="00A604A3">
        <w:t xml:space="preserve"> in Section I-6 for details.</w:t>
      </w:r>
    </w:p>
    <w:p w:rsidR="00AE0549" w:rsidRPr="00A604A3" w:rsidRDefault="00CF32DB" w:rsidP="00CF32DB">
      <w:pPr>
        <w:pStyle w:val="Heading2"/>
        <w:rPr>
          <w:rFonts w:eastAsia="MS Mincho"/>
        </w:rPr>
      </w:pPr>
      <w:bookmarkStart w:id="16" w:name="_Toc32412948"/>
      <w:r w:rsidRPr="00A604A3">
        <w:rPr>
          <w:rFonts w:eastAsia="MS Mincho"/>
        </w:rPr>
        <w:lastRenderedPageBreak/>
        <w:t>I.4</w:t>
      </w:r>
      <w:r w:rsidRPr="00A604A3">
        <w:rPr>
          <w:rFonts w:eastAsia="MS Mincho"/>
        </w:rPr>
        <w:tab/>
      </w:r>
      <w:r w:rsidR="00AE0549" w:rsidRPr="00A604A3">
        <w:rPr>
          <w:rFonts w:eastAsia="MS Mincho"/>
        </w:rPr>
        <w:t>Administrative contact details</w:t>
      </w:r>
      <w:bookmarkEnd w:id="16"/>
    </w:p>
    <w:p w:rsidR="00AE0549" w:rsidRPr="00A604A3" w:rsidRDefault="00AE0549" w:rsidP="00CF32DB">
      <w:r w:rsidRPr="00A604A3">
        <w:t>Dr Werner Mohr, Working Group chair</w:t>
      </w:r>
    </w:p>
    <w:p w:rsidR="00AE0549" w:rsidRPr="00A604A3" w:rsidRDefault="00AE0549" w:rsidP="00CF32DB">
      <w:r w:rsidRPr="00A604A3">
        <w:t>E</w:t>
      </w:r>
      <w:r w:rsidR="00CF32DB" w:rsidRPr="00A604A3">
        <w:t>-</w:t>
      </w:r>
      <w:r w:rsidRPr="00A604A3">
        <w:t xml:space="preserve">mail: </w:t>
      </w:r>
      <w:r w:rsidRPr="00A604A3">
        <w:rPr>
          <w:rStyle w:val="Hyperlink"/>
          <w:szCs w:val="24"/>
        </w:rPr>
        <w:t>werner.mohr@nokia.com</w:t>
      </w:r>
    </w:p>
    <w:p w:rsidR="00AE0549" w:rsidRPr="00A604A3" w:rsidRDefault="00CF32DB" w:rsidP="00CF32DB">
      <w:pPr>
        <w:pStyle w:val="Heading2"/>
        <w:rPr>
          <w:rFonts w:eastAsia="MS Mincho"/>
        </w:rPr>
      </w:pPr>
      <w:bookmarkStart w:id="17" w:name="_Toc32412949"/>
      <w:r w:rsidRPr="00A604A3">
        <w:rPr>
          <w:rFonts w:eastAsia="MS Mincho"/>
        </w:rPr>
        <w:t>I.5</w:t>
      </w:r>
      <w:r w:rsidRPr="00A604A3">
        <w:rPr>
          <w:rFonts w:eastAsia="MS Mincho"/>
        </w:rPr>
        <w:tab/>
      </w:r>
      <w:r w:rsidR="00AE0549" w:rsidRPr="00A604A3">
        <w:rPr>
          <w:rFonts w:eastAsia="MS Mincho"/>
        </w:rPr>
        <w:t>Technical contact details</w:t>
      </w:r>
      <w:bookmarkEnd w:id="17"/>
    </w:p>
    <w:p w:rsidR="00AE0549" w:rsidRPr="00A604A3" w:rsidRDefault="00AE0549" w:rsidP="00CF32DB">
      <w:pPr>
        <w:spacing w:after="120"/>
      </w:pPr>
      <w:r w:rsidRPr="00A604A3">
        <w:t>Members of the Evaluation Group:</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37"/>
        <w:gridCol w:w="3649"/>
      </w:tblGrid>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Hakan Batıkhan</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hakan.batikhan@turkcell.com.tr</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Ioannis-Prodromos Belikaidis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iobelika@wings-ict-solutions.eu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Ömer Bulakci</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Oemer.Bulakci@huawei.com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Jose Luis Carcel</w:t>
            </w:r>
          </w:p>
        </w:tc>
        <w:tc>
          <w:tcPr>
            <w:tcW w:w="2537" w:type="dxa"/>
          </w:tcPr>
          <w:p w:rsidR="00AE0549" w:rsidRPr="00A604A3" w:rsidRDefault="00AE0549" w:rsidP="00CF32DB">
            <w:pPr>
              <w:pStyle w:val="Tabletext"/>
              <w:rPr>
                <w:color w:val="000000" w:themeColor="text1"/>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rPr>
              <w:t>jocarcer@iteam.upv.es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Yang Changqing</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changqing.yang@huawei.com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Marcos Rates Crippa</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lang w:eastAsia="de-DE"/>
              </w:rPr>
              <w:t>University of Kaiserslautern</w:t>
            </w:r>
          </w:p>
        </w:tc>
        <w:tc>
          <w:tcPr>
            <w:tcW w:w="3649" w:type="dxa"/>
          </w:tcPr>
          <w:p w:rsidR="00AE0549" w:rsidRPr="00A604A3" w:rsidRDefault="00AE0549" w:rsidP="00CF32DB">
            <w:pPr>
              <w:pStyle w:val="Tabletext"/>
            </w:pPr>
            <w:r w:rsidRPr="00A604A3">
              <w:rPr>
                <w:rStyle w:val="Hyperlink"/>
                <w:lang w:eastAsia="de-DE"/>
              </w:rPr>
              <w:t>crippa@eit.uni-kl.de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Panagiotis Demestichas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pPr>
            <w:r w:rsidRPr="00A604A3">
              <w:rPr>
                <w:rStyle w:val="Hyperlink"/>
                <w:lang w:eastAsia="de-DE"/>
              </w:rPr>
              <w:t>pdemest@wings-ict-solutions.eu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t>Christiane Dietrich</w:t>
            </w:r>
          </w:p>
        </w:tc>
        <w:tc>
          <w:tcPr>
            <w:tcW w:w="2537" w:type="dxa"/>
          </w:tcPr>
          <w:p w:rsidR="00AE0549" w:rsidRPr="00A604A3" w:rsidRDefault="00AE0549" w:rsidP="00CF32DB">
            <w:pPr>
              <w:pStyle w:val="Tabletext"/>
              <w:rPr>
                <w:color w:val="000000" w:themeColor="text1"/>
              </w:rPr>
            </w:pPr>
            <w:r w:rsidRPr="00A604A3">
              <w:rPr>
                <w:color w:val="000000" w:themeColor="text1"/>
              </w:rPr>
              <w:t>Nomor</w:t>
            </w:r>
          </w:p>
        </w:tc>
        <w:tc>
          <w:tcPr>
            <w:tcW w:w="3649" w:type="dxa"/>
          </w:tcPr>
          <w:p w:rsidR="00AE0549" w:rsidRPr="00A604A3" w:rsidRDefault="00AE0549" w:rsidP="00CF32DB">
            <w:pPr>
              <w:pStyle w:val="Tabletext"/>
            </w:pPr>
            <w:r w:rsidRPr="00A604A3">
              <w:rPr>
                <w:rStyle w:val="Hyperlink"/>
              </w:rPr>
              <w:t>dietrich@nomor.de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t>Baran Elmali</w:t>
            </w:r>
          </w:p>
        </w:tc>
        <w:tc>
          <w:tcPr>
            <w:tcW w:w="2537" w:type="dxa"/>
          </w:tcPr>
          <w:p w:rsidR="00AE0549" w:rsidRPr="00A604A3" w:rsidRDefault="00AE0549" w:rsidP="00CF32DB">
            <w:pPr>
              <w:pStyle w:val="Tabletext"/>
              <w:rPr>
                <w:color w:val="000000" w:themeColor="text1"/>
              </w:rPr>
            </w:pPr>
            <w:r w:rsidRPr="00A604A3">
              <w:rPr>
                <w:color w:val="000000" w:themeColor="text1"/>
              </w:rPr>
              <w:t>Nomor</w:t>
            </w:r>
          </w:p>
        </w:tc>
        <w:tc>
          <w:tcPr>
            <w:tcW w:w="3649" w:type="dxa"/>
          </w:tcPr>
          <w:p w:rsidR="00AE0549" w:rsidRPr="00A604A3" w:rsidRDefault="00AE0549" w:rsidP="00CF32DB">
            <w:pPr>
              <w:pStyle w:val="Tabletext"/>
            </w:pPr>
            <w:r w:rsidRPr="00A604A3">
              <w:rPr>
                <w:rStyle w:val="Hyperlink"/>
              </w:rPr>
              <w:t>elmali@nomor.de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Salih Ergut</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salih.ergut@turkcell.com.tr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Manuel Fuentes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mafuemue@iteam.upv.es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Eduardo Garro</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edgarcre@iteam.upv.es</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Andreas Georgakopoulos</w:t>
            </w:r>
          </w:p>
        </w:tc>
        <w:tc>
          <w:tcPr>
            <w:tcW w:w="2537" w:type="dxa"/>
          </w:tcPr>
          <w:p w:rsidR="00AE0549" w:rsidRPr="00A604A3" w:rsidRDefault="00AE0549" w:rsidP="00CF32DB">
            <w:pPr>
              <w:pStyle w:val="Tabletext"/>
              <w:rPr>
                <w:color w:val="000000" w:themeColor="text1"/>
                <w:lang w:eastAsia="de-DE"/>
              </w:rPr>
            </w:pPr>
            <w:r w:rsidRPr="00A604A3">
              <w:rPr>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andgeorg@wings-ict-solutions.eu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Ioannis Giannoulakis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giannoul@iit.demokritos.gr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t>Athanasios (Thanos) Gkiolias</w:t>
            </w:r>
          </w:p>
        </w:tc>
        <w:tc>
          <w:tcPr>
            <w:tcW w:w="2537" w:type="dxa"/>
          </w:tcPr>
          <w:p w:rsidR="00AE0549" w:rsidRPr="00A604A3" w:rsidRDefault="00AE0549" w:rsidP="00CF32DB">
            <w:pPr>
              <w:pStyle w:val="Tabletext"/>
              <w:rPr>
                <w:color w:val="000000" w:themeColor="text1"/>
                <w:lang w:eastAsia="de-DE"/>
              </w:rPr>
            </w:pPr>
            <w:r w:rsidRPr="00A604A3">
              <w:rPr>
                <w:lang w:eastAsia="de-DE"/>
              </w:rPr>
              <w:t>WINGS ICT Solutions</w:t>
            </w:r>
          </w:p>
        </w:tc>
        <w:tc>
          <w:tcPr>
            <w:tcW w:w="3649" w:type="dxa"/>
          </w:tcPr>
          <w:p w:rsidR="00AE0549" w:rsidRPr="00A604A3" w:rsidRDefault="00AE0549" w:rsidP="00CF32DB">
            <w:pPr>
              <w:pStyle w:val="Tabletext"/>
              <w:rPr>
                <w:rStyle w:val="Hyperlink"/>
                <w:lang w:eastAsia="de-DE"/>
              </w:rPr>
            </w:pPr>
            <w:r w:rsidRPr="00A604A3">
              <w:rPr>
                <w:rStyle w:val="Hyperlink"/>
                <w:lang w:eastAsia="de-DE"/>
              </w:rPr>
              <w:t>agkiolias@wings-ict-solutions.eu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David Gomez-Barquero</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dagobar@iteam.upv.es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Marco Gramaglia</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UC3M</w:t>
            </w:r>
          </w:p>
        </w:tc>
        <w:tc>
          <w:tcPr>
            <w:tcW w:w="3649" w:type="dxa"/>
          </w:tcPr>
          <w:p w:rsidR="00AE0549" w:rsidRPr="00A604A3" w:rsidRDefault="00AE0549" w:rsidP="00CF32DB">
            <w:pPr>
              <w:pStyle w:val="Tabletext"/>
            </w:pPr>
            <w:r w:rsidRPr="00A604A3">
              <w:rPr>
                <w:rStyle w:val="Hyperlink"/>
                <w:lang w:eastAsia="de-DE"/>
              </w:rPr>
              <w:t>mgramagl@it.uc3m.es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Ole Grondalen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Telenor</w:t>
            </w:r>
          </w:p>
        </w:tc>
        <w:tc>
          <w:tcPr>
            <w:tcW w:w="3649" w:type="dxa"/>
          </w:tcPr>
          <w:p w:rsidR="00AE0549" w:rsidRPr="00A604A3" w:rsidRDefault="00AE0549" w:rsidP="00CF32DB">
            <w:pPr>
              <w:pStyle w:val="Tabletext"/>
            </w:pPr>
            <w:r w:rsidRPr="00A604A3">
              <w:rPr>
                <w:rStyle w:val="Hyperlink"/>
                <w:lang w:eastAsia="de-DE"/>
              </w:rPr>
              <w:t>ole.grondalen@telenor.com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Nazli Guney</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nazli.guney@turkcell.com.tr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Marie-Helene Hamon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Orange</w:t>
            </w:r>
          </w:p>
        </w:tc>
        <w:tc>
          <w:tcPr>
            <w:tcW w:w="3649" w:type="dxa"/>
          </w:tcPr>
          <w:p w:rsidR="00AE0549" w:rsidRPr="00A604A3" w:rsidRDefault="00AE0549" w:rsidP="00CF32DB">
            <w:pPr>
              <w:pStyle w:val="Tabletext"/>
            </w:pPr>
            <w:r w:rsidRPr="00A604A3">
              <w:rPr>
                <w:rStyle w:val="Hyperlink"/>
                <w:lang w:eastAsia="de-DE"/>
              </w:rPr>
              <w:t>mhelene.hamon@orange.com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Ahmet Kaplan</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ahmet.kaplan@turkcell.com.tr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Cemil Karakus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cemil.karakus@turkcell.com.tr</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Evangelos Kosmatos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vkosmatos@wings-ict-solutions.eu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Anastasios Kourtis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kourtis@iit.demokritos.gr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Fotis Lazarakis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flaz@iit.demokritos.gr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Ji Lianghai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University of Kaiserslautern</w:t>
            </w:r>
          </w:p>
        </w:tc>
        <w:tc>
          <w:tcPr>
            <w:tcW w:w="3649" w:type="dxa"/>
          </w:tcPr>
          <w:p w:rsidR="00AE0549" w:rsidRPr="00A604A3" w:rsidRDefault="00AE0549" w:rsidP="00CF32DB">
            <w:pPr>
              <w:pStyle w:val="Tabletext"/>
            </w:pPr>
            <w:r w:rsidRPr="00A604A3">
              <w:rPr>
                <w:rStyle w:val="Hyperlink"/>
                <w:lang w:eastAsia="de-DE"/>
              </w:rPr>
              <w:t>ji@eit.uni-kl.de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Hans-Peter Mayer</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w:t>
            </w:r>
          </w:p>
        </w:tc>
        <w:tc>
          <w:tcPr>
            <w:tcW w:w="3649" w:type="dxa"/>
          </w:tcPr>
          <w:p w:rsidR="00AE0549" w:rsidRPr="00A604A3" w:rsidRDefault="00AE0549" w:rsidP="00CF32DB">
            <w:pPr>
              <w:pStyle w:val="Tabletext"/>
            </w:pPr>
            <w:r w:rsidRPr="00A604A3">
              <w:rPr>
                <w:rStyle w:val="Hyperlink"/>
                <w:lang w:eastAsia="de-DE"/>
              </w:rPr>
              <w:t>hans-peter.mayer.ext@nokia-bell-labs.com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t>Werner Mohr</w:t>
            </w:r>
          </w:p>
        </w:tc>
        <w:tc>
          <w:tcPr>
            <w:tcW w:w="2537" w:type="dxa"/>
          </w:tcPr>
          <w:p w:rsidR="00AE0549" w:rsidRPr="00A604A3" w:rsidRDefault="00AE0549" w:rsidP="00CF32DB">
            <w:pPr>
              <w:pStyle w:val="Tabletext"/>
              <w:rPr>
                <w:rStyle w:val="Hyperlink"/>
                <w:color w:val="000000" w:themeColor="text1"/>
              </w:rPr>
            </w:pPr>
            <w:r w:rsidRPr="00A604A3">
              <w:rPr>
                <w:rStyle w:val="Hyperlink"/>
                <w:color w:val="000000" w:themeColor="text1"/>
              </w:rPr>
              <w:t>Nokia</w:t>
            </w:r>
          </w:p>
        </w:tc>
        <w:tc>
          <w:tcPr>
            <w:tcW w:w="3649" w:type="dxa"/>
          </w:tcPr>
          <w:p w:rsidR="00AE0549" w:rsidRPr="00A604A3" w:rsidRDefault="00AE0549" w:rsidP="00CF32DB">
            <w:pPr>
              <w:pStyle w:val="Tabletext"/>
            </w:pPr>
            <w:r w:rsidRPr="00A604A3">
              <w:rPr>
                <w:rStyle w:val="Hyperlink"/>
              </w:rPr>
              <w:t>werner.mohr@nokia.com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Volker Pauli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lang w:eastAsia="de-DE"/>
              </w:rPr>
              <w:t>pauli@nomor.de</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lastRenderedPageBreak/>
              <w:t>A</w:t>
            </w:r>
            <w:r w:rsidRPr="00A604A3">
              <w:t>thul Prasad</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 Bell-Labs</w:t>
            </w:r>
          </w:p>
        </w:tc>
        <w:tc>
          <w:tcPr>
            <w:tcW w:w="3649" w:type="dxa"/>
          </w:tcPr>
          <w:p w:rsidR="00AE0549" w:rsidRPr="00A604A3" w:rsidRDefault="00AE0549" w:rsidP="00CF32DB">
            <w:pPr>
              <w:pStyle w:val="Tabletext"/>
            </w:pPr>
            <w:r w:rsidRPr="00A604A3">
              <w:rPr>
                <w:rStyle w:val="Hyperlink"/>
                <w:lang w:eastAsia="de-DE"/>
              </w:rPr>
              <w:t>athul.prasad@nokia-bell-labs.com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Christoph Schmelz</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w:t>
            </w:r>
          </w:p>
        </w:tc>
        <w:tc>
          <w:tcPr>
            <w:tcW w:w="3649" w:type="dxa"/>
          </w:tcPr>
          <w:p w:rsidR="00AE0549" w:rsidRPr="00A604A3" w:rsidRDefault="00AE0549" w:rsidP="00CF32DB">
            <w:pPr>
              <w:pStyle w:val="Tabletext"/>
            </w:pPr>
            <w:r w:rsidRPr="00A604A3">
              <w:rPr>
                <w:rStyle w:val="Hyperlink"/>
                <w:lang w:eastAsia="de-DE"/>
              </w:rPr>
              <w:t>christoph.schmelz@nokia-bell-labs.com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Hans Schotten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DFKI/University of Kaiserslautern</w:t>
            </w:r>
          </w:p>
        </w:tc>
        <w:tc>
          <w:tcPr>
            <w:tcW w:w="3649" w:type="dxa"/>
          </w:tcPr>
          <w:p w:rsidR="00AE0549" w:rsidRPr="00A604A3" w:rsidRDefault="00AE0549" w:rsidP="00CF32DB">
            <w:pPr>
              <w:pStyle w:val="Tabletext"/>
            </w:pPr>
            <w:r w:rsidRPr="00A604A3">
              <w:rPr>
                <w:rStyle w:val="Hyperlink"/>
                <w:lang w:eastAsia="de-DE"/>
              </w:rPr>
              <w:t>schotten@eit.uni-kl.de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Egon Schulz</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egon.schulz@huawei.com</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Vera Stravroulaki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 xml:space="preserve">WINGS </w:t>
            </w:r>
            <w:r w:rsidRPr="00A604A3">
              <w:rPr>
                <w:color w:val="000000" w:themeColor="text1"/>
              </w:rPr>
              <w:t>ICT Solutions</w:t>
            </w:r>
          </w:p>
        </w:tc>
        <w:tc>
          <w:tcPr>
            <w:tcW w:w="3649" w:type="dxa"/>
          </w:tcPr>
          <w:p w:rsidR="00AE0549" w:rsidRPr="00A604A3" w:rsidRDefault="00AE0549" w:rsidP="00CF32DB">
            <w:pPr>
              <w:pStyle w:val="Tabletext"/>
              <w:rPr>
                <w:lang w:eastAsia="de-DE"/>
              </w:rPr>
            </w:pPr>
            <w:r w:rsidRPr="00A604A3">
              <w:rPr>
                <w:rStyle w:val="Hyperlink"/>
                <w:lang w:eastAsia="de-DE"/>
              </w:rPr>
              <w:t>veras@wings-ict-solutions.eu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Ingo Viering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lang w:eastAsia="de-DE"/>
              </w:rPr>
              <w:t>viering@nomor.de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Shangbin Wu</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Samsung</w:t>
            </w:r>
          </w:p>
        </w:tc>
        <w:tc>
          <w:tcPr>
            <w:tcW w:w="3649" w:type="dxa"/>
          </w:tcPr>
          <w:p w:rsidR="00AE0549" w:rsidRPr="00A604A3" w:rsidRDefault="00AE0549" w:rsidP="00CF32DB">
            <w:pPr>
              <w:pStyle w:val="Tabletext"/>
            </w:pPr>
            <w:r w:rsidRPr="00A604A3">
              <w:rPr>
                <w:rStyle w:val="Hyperlink"/>
                <w:lang w:eastAsia="de-DE"/>
              </w:rPr>
              <w:t>shangbin.wu@samsung.com</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Shao Jiafeng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pPr>
            <w:r w:rsidRPr="00A604A3">
              <w:rPr>
                <w:rStyle w:val="Hyperlink"/>
              </w:rPr>
              <w:t>shaojiafeng@huawei.com</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Wu Yong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pPr>
            <w:r w:rsidRPr="00A604A3">
              <w:rPr>
                <w:rStyle w:val="Hyperlink"/>
                <w:lang w:eastAsia="de-DE"/>
              </w:rPr>
              <w:t>wuyong@huawei.com</w:t>
            </w:r>
          </w:p>
        </w:tc>
      </w:tr>
      <w:tr w:rsidR="00AE0549" w:rsidRPr="00A604A3" w:rsidTr="00CF32DB">
        <w:trPr>
          <w:cantSplit/>
          <w:jc w:val="center"/>
        </w:trPr>
        <w:tc>
          <w:tcPr>
            <w:tcW w:w="2830" w:type="dxa"/>
          </w:tcPr>
          <w:p w:rsidR="00AE0549" w:rsidRPr="00A604A3" w:rsidRDefault="00AE0549" w:rsidP="00CF32DB">
            <w:pPr>
              <w:pStyle w:val="Tabletext"/>
            </w:pPr>
            <w:r w:rsidRPr="00A604A3">
              <w:t>Lang Yu</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rPr>
              <w:t>yu@nomor.de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t>Xi Meng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ZTE Wistron Telecom AB</w:t>
            </w:r>
          </w:p>
        </w:tc>
        <w:tc>
          <w:tcPr>
            <w:tcW w:w="3649" w:type="dxa"/>
          </w:tcPr>
          <w:p w:rsidR="00AE0549" w:rsidRPr="00A604A3" w:rsidRDefault="00AE0549" w:rsidP="00CF32DB">
            <w:pPr>
              <w:pStyle w:val="Tabletext"/>
            </w:pPr>
            <w:r w:rsidRPr="00A604A3">
              <w:rPr>
                <w:rStyle w:val="Hyperlink"/>
              </w:rPr>
              <w:t>meng.xi3@zte.com.cn</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Yu Jian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rPr>
                <w:rStyle w:val="Hyperlink"/>
                <w:lang w:eastAsia="de-DE"/>
              </w:rPr>
            </w:pPr>
            <w:r w:rsidRPr="00A604A3">
              <w:rPr>
                <w:rStyle w:val="Hyperlink"/>
                <w:lang w:eastAsia="de-DE"/>
              </w:rPr>
              <w:t>jason.yujian@huawei.com</w:t>
            </w:r>
          </w:p>
        </w:tc>
      </w:tr>
    </w:tbl>
    <w:p w:rsidR="00CF32DB" w:rsidRPr="00A604A3" w:rsidRDefault="00CF32DB" w:rsidP="00CF32DB">
      <w:pPr>
        <w:pStyle w:val="Tablefin"/>
      </w:pPr>
      <w:bookmarkStart w:id="18" w:name="_Ref31798157"/>
    </w:p>
    <w:p w:rsidR="00AE0549" w:rsidRPr="00A604A3" w:rsidRDefault="00CF32DB" w:rsidP="00CF32DB">
      <w:pPr>
        <w:pStyle w:val="Heading2"/>
        <w:rPr>
          <w:rFonts w:eastAsia="MS Mincho"/>
        </w:rPr>
      </w:pPr>
      <w:bookmarkStart w:id="19" w:name="_Toc32412950"/>
      <w:r w:rsidRPr="00A604A3">
        <w:rPr>
          <w:rFonts w:eastAsia="MS Mincho"/>
        </w:rPr>
        <w:t>I.6</w:t>
      </w:r>
      <w:r w:rsidRPr="00A604A3">
        <w:rPr>
          <w:rFonts w:eastAsia="MS Mincho"/>
        </w:rPr>
        <w:tab/>
      </w:r>
      <w:r w:rsidR="00AE0549" w:rsidRPr="00A604A3">
        <w:rPr>
          <w:rFonts w:eastAsia="MS Mincho"/>
        </w:rPr>
        <w:t>Other pertinent administrative information</w:t>
      </w:r>
      <w:bookmarkEnd w:id="18"/>
      <w:bookmarkEnd w:id="19"/>
    </w:p>
    <w:p w:rsidR="00AE0549" w:rsidRPr="00A604A3" w:rsidRDefault="00AE0549" w:rsidP="00CF32DB">
      <w:pPr>
        <w:rPr>
          <w:szCs w:val="24"/>
          <w:highlight w:val="yellow"/>
        </w:rPr>
      </w:pPr>
      <w:r w:rsidRPr="00A604A3">
        <w:t xml:space="preserve">5G Infrastructure Association and 5G PPP homepage: </w:t>
      </w:r>
      <w:r w:rsidRPr="00A604A3">
        <w:rPr>
          <w:rStyle w:val="Hyperlink"/>
          <w:szCs w:val="24"/>
          <w:lang w:eastAsia="zh-CN"/>
        </w:rPr>
        <w:t>https://5g-ppp.eu/5g-ppp-imt-2020-evaluation-group/</w:t>
      </w:r>
      <w:r w:rsidR="00CF32DB" w:rsidRPr="00A604A3">
        <w:rPr>
          <w:rStyle w:val="Hyperlink"/>
          <w:szCs w:val="24"/>
          <w:u w:val="none"/>
          <w:lang w:eastAsia="zh-CN"/>
        </w:rPr>
        <w:t>.</w:t>
      </w:r>
    </w:p>
    <w:p w:rsidR="00AE0549" w:rsidRPr="00A604A3" w:rsidRDefault="00AE0549" w:rsidP="00CF32DB">
      <w:r w:rsidRPr="00A604A3">
        <w:t>This homepage contains public information about e.g. calibration work that the 5G Infrastructure Association has performed in order to ensure reliable simulation results as well as the Interim and Final Evaluation Report (after it will become available in February 2020).</w:t>
      </w:r>
    </w:p>
    <w:p w:rsidR="00AE0549" w:rsidRPr="00A604A3" w:rsidRDefault="00AE0549" w:rsidP="00CF32DB">
      <w:r w:rsidRPr="00A604A3">
        <w:t>The specific calibration results that were performed for the system- and link-level simulations used in this Evaluation Report can be found in the following documents:</w:t>
      </w:r>
    </w:p>
    <w:p w:rsidR="00AE0549" w:rsidRPr="00A604A3" w:rsidRDefault="00AE35F5" w:rsidP="00AE35F5">
      <w:pPr>
        <w:pStyle w:val="enumlev1"/>
      </w:pPr>
      <w:r w:rsidRPr="00A604A3">
        <w:t>–</w:t>
      </w:r>
      <w:r w:rsidRPr="00A604A3">
        <w:tab/>
      </w:r>
      <w:r w:rsidR="00AE0549" w:rsidRPr="00A604A3">
        <w:t>System-level calibration results:</w:t>
      </w:r>
    </w:p>
    <w:p w:rsidR="00AE0549" w:rsidRPr="00A604A3" w:rsidRDefault="00AE35F5" w:rsidP="00AE35F5">
      <w:pPr>
        <w:pStyle w:val="enumlev2"/>
      </w:pPr>
      <w:r w:rsidRPr="00A604A3">
        <w:t>•</w:t>
      </w:r>
      <w:r w:rsidRPr="00A604A3">
        <w:tab/>
      </w:r>
      <w:r w:rsidR="00AE0549" w:rsidRPr="00A604A3">
        <w:t>White paper with description of calibration activities:</w:t>
      </w:r>
    </w:p>
    <w:p w:rsidR="00AE0549" w:rsidRPr="00A604A3" w:rsidRDefault="00AE35F5" w:rsidP="00AE35F5">
      <w:pPr>
        <w:pStyle w:val="enumlev2"/>
      </w:pPr>
      <w:r w:rsidRPr="00A604A3">
        <w:t>•</w:t>
      </w:r>
      <w:r w:rsidRPr="00A604A3">
        <w:tab/>
      </w:r>
      <w:r w:rsidR="00AE0549" w:rsidRPr="00A604A3">
        <w:t>Matlab calibration files</w:t>
      </w:r>
    </w:p>
    <w:p w:rsidR="00AE0549" w:rsidRPr="00A604A3" w:rsidRDefault="00AE35F5" w:rsidP="00AE35F5">
      <w:pPr>
        <w:pStyle w:val="enumlev2"/>
      </w:pPr>
      <w:r w:rsidRPr="00A604A3">
        <w:tab/>
      </w:r>
      <w:r w:rsidR="009002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50.75pt">
            <v:imagedata r:id="rId11" o:title=""/>
          </v:shape>
        </w:pict>
      </w:r>
      <w:r w:rsidR="00AE0549" w:rsidRPr="00A604A3">
        <w:tab/>
      </w:r>
      <w:r w:rsidR="009002F1">
        <w:pict>
          <v:shape id="_x0000_i1026" type="#_x0000_t75" style="width:79.85pt;height:50.75pt">
            <v:imagedata r:id="rId12" o:title=""/>
          </v:shape>
        </w:pict>
      </w:r>
    </w:p>
    <w:p w:rsidR="00AE0549" w:rsidRPr="00A604A3" w:rsidRDefault="00AE35F5" w:rsidP="00AE35F5">
      <w:pPr>
        <w:pStyle w:val="enumlev1"/>
      </w:pPr>
      <w:r w:rsidRPr="00A604A3">
        <w:t>–</w:t>
      </w:r>
      <w:r w:rsidRPr="00A604A3">
        <w:tab/>
      </w:r>
      <w:r w:rsidR="00AE0549" w:rsidRPr="00A604A3">
        <w:t>Link-level calibration results:</w:t>
      </w:r>
    </w:p>
    <w:p w:rsidR="00AE0549" w:rsidRPr="00A604A3" w:rsidRDefault="00AE35F5" w:rsidP="00AE35F5">
      <w:pPr>
        <w:pStyle w:val="enumlev2"/>
      </w:pPr>
      <w:r w:rsidRPr="00A604A3">
        <w:tab/>
      </w:r>
      <w:r w:rsidR="009002F1">
        <w:pict>
          <v:shape id="_x0000_i1027" type="#_x0000_t75" style="width:79.85pt;height:50.75pt">
            <v:imagedata r:id="rId13" o:title=""/>
          </v:shape>
        </w:pict>
      </w:r>
    </w:p>
    <w:p w:rsidR="00AE0549" w:rsidRPr="00A604A3" w:rsidRDefault="00604C09" w:rsidP="00AE35F5">
      <w:pPr>
        <w:pStyle w:val="Heading2"/>
        <w:rPr>
          <w:rFonts w:eastAsia="MS Mincho"/>
        </w:rPr>
      </w:pPr>
      <w:bookmarkStart w:id="20" w:name="_Toc32412951"/>
      <w:r w:rsidRPr="00A604A3">
        <w:rPr>
          <w:rFonts w:eastAsia="MS Mincho"/>
        </w:rPr>
        <w:t>I.7</w:t>
      </w:r>
      <w:r w:rsidRPr="00A604A3">
        <w:rPr>
          <w:rFonts w:eastAsia="MS Mincho"/>
        </w:rPr>
        <w:tab/>
      </w:r>
      <w:r w:rsidR="00AE0549" w:rsidRPr="00A604A3">
        <w:rPr>
          <w:rFonts w:eastAsia="MS Mincho"/>
        </w:rPr>
        <w:t>Structure of this Report</w:t>
      </w:r>
      <w:bookmarkEnd w:id="20"/>
    </w:p>
    <w:p w:rsidR="00AE0549" w:rsidRPr="00A604A3" w:rsidRDefault="00AE0549" w:rsidP="00604C09">
      <w:r w:rsidRPr="00A604A3">
        <w:t>This Report consists of 3 Parts:</w:t>
      </w:r>
    </w:p>
    <w:p w:rsidR="00AE0549" w:rsidRPr="00A604A3" w:rsidRDefault="00604C09" w:rsidP="00604C09">
      <w:pPr>
        <w:pStyle w:val="enumlev1"/>
      </w:pPr>
      <w:r w:rsidRPr="00A604A3">
        <w:t>–</w:t>
      </w:r>
      <w:r w:rsidRPr="00A604A3">
        <w:tab/>
      </w:r>
      <w:r w:rsidR="00AE0549" w:rsidRPr="00A604A3">
        <w:t>Part I: Administrative Aspects of 5G Infrastructure Association</w:t>
      </w:r>
    </w:p>
    <w:p w:rsidR="00AE0549" w:rsidRPr="00A604A3" w:rsidRDefault="00604C09" w:rsidP="00604C09">
      <w:pPr>
        <w:pStyle w:val="enumlev1"/>
      </w:pPr>
      <w:r w:rsidRPr="00A604A3">
        <w:t>–</w:t>
      </w:r>
      <w:r w:rsidRPr="00A604A3">
        <w:tab/>
      </w:r>
      <w:r w:rsidR="00AE0549" w:rsidRPr="00A604A3">
        <w:t>Part II: Technical Aspects of the work in 5G Infrastructure Association</w:t>
      </w:r>
    </w:p>
    <w:p w:rsidR="00AE0549" w:rsidRPr="00A604A3" w:rsidRDefault="00604C09" w:rsidP="00604C09">
      <w:pPr>
        <w:pStyle w:val="enumlev1"/>
      </w:pPr>
      <w:r w:rsidRPr="00A604A3">
        <w:t>–</w:t>
      </w:r>
      <w:r w:rsidRPr="00A604A3">
        <w:tab/>
      </w:r>
      <w:r w:rsidR="00AE0549" w:rsidRPr="00A604A3">
        <w:t>Part III: Conclusion</w:t>
      </w:r>
    </w:p>
    <w:p w:rsidR="00AE0549" w:rsidRPr="00A604A3" w:rsidRDefault="00AE0549" w:rsidP="00604C09">
      <w:r w:rsidRPr="00A604A3">
        <w:t>The report is structured according to the proposed structure in [9].</w:t>
      </w:r>
    </w:p>
    <w:p w:rsidR="00604C09" w:rsidRPr="00A604A3" w:rsidRDefault="00604C09" w:rsidP="00604C09">
      <w:pPr>
        <w:pStyle w:val="PartNo"/>
        <w:rPr>
          <w:rFonts w:eastAsia="MS Mincho"/>
        </w:rPr>
      </w:pPr>
      <w:bookmarkStart w:id="21" w:name="_Toc32412952"/>
      <w:r w:rsidRPr="00A604A3">
        <w:rPr>
          <w:rFonts w:eastAsia="MS Mincho"/>
        </w:rPr>
        <w:lastRenderedPageBreak/>
        <w:t>pART ii</w:t>
      </w:r>
      <w:bookmarkEnd w:id="21"/>
    </w:p>
    <w:p w:rsidR="00AE0549" w:rsidRPr="00A604A3" w:rsidRDefault="00AE0549" w:rsidP="00604C09">
      <w:pPr>
        <w:pStyle w:val="Parttitle"/>
        <w:rPr>
          <w:rFonts w:eastAsia="MS Mincho"/>
        </w:rPr>
      </w:pPr>
      <w:bookmarkStart w:id="22" w:name="_Toc32412953"/>
      <w:r w:rsidRPr="00A604A3">
        <w:rPr>
          <w:rFonts w:eastAsia="MS Mincho"/>
        </w:rPr>
        <w:t>Technical aspects of the work in 5G Infrastructure Association</w:t>
      </w:r>
      <w:bookmarkEnd w:id="22"/>
    </w:p>
    <w:p w:rsidR="00AE0549" w:rsidRPr="00A604A3" w:rsidRDefault="00604C09" w:rsidP="00604C09">
      <w:pPr>
        <w:pStyle w:val="Heading2"/>
        <w:rPr>
          <w:rFonts w:eastAsia="MS Mincho"/>
        </w:rPr>
      </w:pPr>
      <w:bookmarkStart w:id="23" w:name="_Toc32412954"/>
      <w:r w:rsidRPr="00A604A3">
        <w:rPr>
          <w:rFonts w:eastAsia="MS Mincho"/>
        </w:rPr>
        <w:t>II.1</w:t>
      </w:r>
      <w:r w:rsidRPr="00A604A3">
        <w:rPr>
          <w:rFonts w:eastAsia="MS Mincho"/>
        </w:rPr>
        <w:tab/>
      </w:r>
      <w:r w:rsidR="00AE0549" w:rsidRPr="00A604A3">
        <w:rPr>
          <w:rFonts w:eastAsia="MS Mincho"/>
        </w:rPr>
        <w:t>What candidate technologies or portions of the candidate technologies this IEG is or might anticipate evaluating?</w:t>
      </w:r>
      <w:bookmarkEnd w:id="23"/>
    </w:p>
    <w:p w:rsidR="00AE0549" w:rsidRPr="00A604A3" w:rsidRDefault="00AE0549" w:rsidP="00604C09">
      <w:r w:rsidRPr="00A604A3">
        <w:t xml:space="preserve">In this report, </w:t>
      </w:r>
      <w:r w:rsidRPr="00A604A3">
        <w:rPr>
          <w:i/>
        </w:rPr>
        <w:t>final</w:t>
      </w:r>
      <w:r w:rsidRPr="00A604A3">
        <w:t xml:space="preserve"> results are presented for the SRIT and RIT proposals in [4] to [8] for IMT-2020 NR and LTE components with a focus on the 3GPP submission to ITU-R by means of analytical, inspection and simulation evaluation. The complete simulation evaluations will be provided in the final evaluation report.</w:t>
      </w:r>
    </w:p>
    <w:p w:rsidR="00AE0549" w:rsidRPr="00A604A3" w:rsidRDefault="00AE0549" w:rsidP="00604C09">
      <w:pPr>
        <w:spacing w:after="120"/>
      </w:pPr>
      <w:r w:rsidRPr="00A604A3">
        <w:t xml:space="preserve">It should be noted that technically the proposal in [4] and [5] is nearly identical to the submission in [6] to [8] by the People’s Republic of China, the Republic of Korea and the 3GPP 5G NR component RIT by ETSI TC DECT and DECT Forum. Hence, this evaluation report is valid also as an evaluation report for these proposals. Table 1 </w:t>
      </w:r>
      <w:r w:rsidR="00604C09" w:rsidRPr="00A604A3">
        <w:t>shows</w:t>
      </w:r>
      <w:r w:rsidRPr="00A604A3">
        <w:t xml:space="preserve"> the evaluated proposals.</w:t>
      </w:r>
    </w:p>
    <w:p w:rsidR="00604C09" w:rsidRPr="00A604A3" w:rsidRDefault="00604C09" w:rsidP="00604C09">
      <w:pPr>
        <w:pStyle w:val="TableNo"/>
      </w:pPr>
      <w:bookmarkStart w:id="24" w:name="_Ref27917461"/>
      <w:r w:rsidRPr="00A604A3">
        <w:t>TABLE 1</w:t>
      </w:r>
    </w:p>
    <w:p w:rsidR="00604C09" w:rsidRPr="00A604A3" w:rsidRDefault="00604C09" w:rsidP="00604C09">
      <w:pPr>
        <w:pStyle w:val="Tabletitle"/>
      </w:pPr>
      <w:r w:rsidRPr="00A604A3">
        <w:t>Evaluated technology proposals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18"/>
        <w:gridCol w:w="1120"/>
        <w:gridCol w:w="1120"/>
        <w:gridCol w:w="1120"/>
        <w:gridCol w:w="1172"/>
        <w:gridCol w:w="1123"/>
        <w:gridCol w:w="1122"/>
      </w:tblGrid>
      <w:tr w:rsidR="00AE0549" w:rsidRPr="00A604A3" w:rsidTr="00604C09">
        <w:tc>
          <w:tcPr>
            <w:tcW w:w="2250" w:type="dxa"/>
            <w:gridSpan w:val="2"/>
            <w:vAlign w:val="center"/>
          </w:tcPr>
          <w:p w:rsidR="00AE0549" w:rsidRPr="00A604A3" w:rsidRDefault="00AE0549" w:rsidP="00604C09">
            <w:pPr>
              <w:pStyle w:val="Tablehead"/>
            </w:pPr>
            <w:r w:rsidRPr="00A604A3">
              <w:t>3GPP</w:t>
            </w:r>
          </w:p>
        </w:tc>
        <w:tc>
          <w:tcPr>
            <w:tcW w:w="1125" w:type="dxa"/>
            <w:vMerge w:val="restart"/>
            <w:vAlign w:val="center"/>
          </w:tcPr>
          <w:p w:rsidR="00AE0549" w:rsidRPr="00A604A3" w:rsidRDefault="00AE0549" w:rsidP="00604C09">
            <w:pPr>
              <w:pStyle w:val="Tablehead"/>
            </w:pPr>
            <w:r w:rsidRPr="00A604A3">
              <w:t>China</w:t>
            </w:r>
          </w:p>
        </w:tc>
        <w:tc>
          <w:tcPr>
            <w:tcW w:w="1125" w:type="dxa"/>
            <w:vMerge w:val="restart"/>
            <w:vAlign w:val="center"/>
          </w:tcPr>
          <w:p w:rsidR="00AE0549" w:rsidRPr="00A604A3" w:rsidRDefault="00AE0549" w:rsidP="00604C09">
            <w:pPr>
              <w:pStyle w:val="Tablehead"/>
            </w:pPr>
            <w:r w:rsidRPr="00A604A3">
              <w:t>Korea</w:t>
            </w:r>
          </w:p>
        </w:tc>
        <w:tc>
          <w:tcPr>
            <w:tcW w:w="2264" w:type="dxa"/>
            <w:gridSpan w:val="2"/>
            <w:vAlign w:val="center"/>
          </w:tcPr>
          <w:p w:rsidR="00AE0549" w:rsidRPr="00A604A3" w:rsidRDefault="00AE0549" w:rsidP="00604C09">
            <w:pPr>
              <w:pStyle w:val="Tablehead"/>
            </w:pPr>
            <w:r w:rsidRPr="00A604A3">
              <w:t>ETSI TC DECT</w:t>
            </w:r>
          </w:p>
          <w:p w:rsidR="00AE0549" w:rsidRPr="00A604A3" w:rsidRDefault="00AE0549" w:rsidP="00604C09">
            <w:pPr>
              <w:pStyle w:val="Tablehead"/>
            </w:pPr>
            <w:r w:rsidRPr="00A604A3">
              <w:t>DECT Forum</w:t>
            </w:r>
          </w:p>
        </w:tc>
        <w:tc>
          <w:tcPr>
            <w:tcW w:w="1126" w:type="dxa"/>
            <w:vMerge w:val="restart"/>
            <w:vAlign w:val="center"/>
          </w:tcPr>
          <w:p w:rsidR="00AE0549" w:rsidRPr="00A604A3" w:rsidRDefault="00AE0549" w:rsidP="00604C09">
            <w:pPr>
              <w:pStyle w:val="Tablehead"/>
            </w:pPr>
            <w:r w:rsidRPr="00A604A3">
              <w:t>Nufront</w:t>
            </w:r>
          </w:p>
        </w:tc>
        <w:tc>
          <w:tcPr>
            <w:tcW w:w="1126" w:type="dxa"/>
            <w:vMerge w:val="restart"/>
            <w:vAlign w:val="center"/>
          </w:tcPr>
          <w:p w:rsidR="00AE0549" w:rsidRPr="00A604A3" w:rsidRDefault="00AE0549" w:rsidP="00604C09">
            <w:pPr>
              <w:pStyle w:val="Tablehead"/>
            </w:pPr>
            <w:r w:rsidRPr="00A604A3">
              <w:t>TSDSI</w:t>
            </w:r>
          </w:p>
        </w:tc>
      </w:tr>
      <w:tr w:rsidR="00AE0549" w:rsidRPr="00A604A3" w:rsidTr="00604C09">
        <w:tc>
          <w:tcPr>
            <w:tcW w:w="1125" w:type="dxa"/>
            <w:vAlign w:val="center"/>
          </w:tcPr>
          <w:p w:rsidR="00AE0549" w:rsidRPr="00A604A3" w:rsidRDefault="00AE0549" w:rsidP="00604C09">
            <w:pPr>
              <w:pStyle w:val="Tablehead"/>
            </w:pPr>
            <w:r w:rsidRPr="00A604A3">
              <w:t>SRIT</w:t>
            </w:r>
          </w:p>
        </w:tc>
        <w:tc>
          <w:tcPr>
            <w:tcW w:w="1125" w:type="dxa"/>
            <w:vAlign w:val="center"/>
          </w:tcPr>
          <w:p w:rsidR="00AE0549" w:rsidRPr="00A604A3" w:rsidRDefault="00AE0549" w:rsidP="00604C09">
            <w:pPr>
              <w:pStyle w:val="Tablehead"/>
            </w:pPr>
            <w:r w:rsidRPr="00A604A3">
              <w:t>RIT</w:t>
            </w:r>
          </w:p>
        </w:tc>
        <w:tc>
          <w:tcPr>
            <w:tcW w:w="1125" w:type="dxa"/>
            <w:vMerge/>
            <w:vAlign w:val="center"/>
          </w:tcPr>
          <w:p w:rsidR="00AE0549" w:rsidRPr="00A604A3" w:rsidRDefault="00AE0549" w:rsidP="00604C09">
            <w:pPr>
              <w:pStyle w:val="Tablehead"/>
            </w:pPr>
          </w:p>
        </w:tc>
        <w:tc>
          <w:tcPr>
            <w:tcW w:w="1125" w:type="dxa"/>
            <w:vMerge/>
            <w:vAlign w:val="center"/>
          </w:tcPr>
          <w:p w:rsidR="00AE0549" w:rsidRPr="00A604A3" w:rsidRDefault="00AE0549" w:rsidP="00604C09">
            <w:pPr>
              <w:pStyle w:val="Tablehead"/>
            </w:pPr>
          </w:p>
        </w:tc>
        <w:tc>
          <w:tcPr>
            <w:tcW w:w="1125" w:type="dxa"/>
            <w:vAlign w:val="center"/>
          </w:tcPr>
          <w:p w:rsidR="00AE0549" w:rsidRPr="00A604A3" w:rsidRDefault="00AE0549" w:rsidP="00604C09">
            <w:pPr>
              <w:pStyle w:val="Tablehead"/>
            </w:pPr>
            <w:r w:rsidRPr="00A604A3">
              <w:t>3GPP 5G NR RIT</w:t>
            </w:r>
          </w:p>
        </w:tc>
        <w:tc>
          <w:tcPr>
            <w:tcW w:w="1139" w:type="dxa"/>
            <w:vAlign w:val="center"/>
          </w:tcPr>
          <w:p w:rsidR="00AE0549" w:rsidRPr="00A604A3" w:rsidRDefault="00AE0549" w:rsidP="00604C09">
            <w:pPr>
              <w:pStyle w:val="Tablehead"/>
            </w:pPr>
            <w:r w:rsidRPr="00A604A3">
              <w:t>DECT2020</w:t>
            </w:r>
          </w:p>
        </w:tc>
        <w:tc>
          <w:tcPr>
            <w:tcW w:w="1126" w:type="dxa"/>
            <w:vMerge/>
            <w:vAlign w:val="center"/>
          </w:tcPr>
          <w:p w:rsidR="00AE0549" w:rsidRPr="00A604A3" w:rsidRDefault="00AE0549" w:rsidP="00604C09">
            <w:pPr>
              <w:pStyle w:val="Tablehead"/>
            </w:pPr>
          </w:p>
        </w:tc>
        <w:tc>
          <w:tcPr>
            <w:tcW w:w="1126" w:type="dxa"/>
            <w:vMerge/>
            <w:vAlign w:val="center"/>
          </w:tcPr>
          <w:p w:rsidR="00AE0549" w:rsidRPr="00A604A3" w:rsidRDefault="00AE0549" w:rsidP="00604C09">
            <w:pPr>
              <w:pStyle w:val="Tablehead"/>
            </w:pPr>
          </w:p>
        </w:tc>
      </w:tr>
      <w:tr w:rsidR="00AE0549" w:rsidRPr="00A604A3" w:rsidTr="00470885">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39" w:type="dxa"/>
          </w:tcPr>
          <w:p w:rsidR="00AE0549" w:rsidRPr="00A604A3" w:rsidRDefault="00AE0549" w:rsidP="00604C09">
            <w:pPr>
              <w:pStyle w:val="Tabletext"/>
              <w:jc w:val="center"/>
            </w:pPr>
            <w:r w:rsidRPr="00A604A3">
              <w:t>-</w:t>
            </w:r>
          </w:p>
        </w:tc>
        <w:tc>
          <w:tcPr>
            <w:tcW w:w="1126" w:type="dxa"/>
          </w:tcPr>
          <w:p w:rsidR="00AE0549" w:rsidRPr="00A604A3" w:rsidRDefault="00AE0549" w:rsidP="00604C09">
            <w:pPr>
              <w:pStyle w:val="Tabletext"/>
              <w:jc w:val="center"/>
            </w:pPr>
            <w:r w:rsidRPr="00A604A3">
              <w:t>-</w:t>
            </w:r>
          </w:p>
        </w:tc>
        <w:tc>
          <w:tcPr>
            <w:tcW w:w="1126" w:type="dxa"/>
          </w:tcPr>
          <w:p w:rsidR="00AE0549" w:rsidRPr="00A604A3" w:rsidRDefault="00AE0549" w:rsidP="00604C09">
            <w:pPr>
              <w:pStyle w:val="Tabletext"/>
              <w:jc w:val="center"/>
            </w:pPr>
            <w:r w:rsidRPr="00A604A3">
              <w:t>-</w:t>
            </w:r>
          </w:p>
        </w:tc>
      </w:tr>
    </w:tbl>
    <w:p w:rsidR="00AE0549" w:rsidRPr="00A604A3" w:rsidRDefault="00AE0549" w:rsidP="00604C09">
      <w:pPr>
        <w:pStyle w:val="Tablefin"/>
      </w:pPr>
    </w:p>
    <w:p w:rsidR="00AE0549" w:rsidRPr="00A604A3" w:rsidRDefault="00AE0549" w:rsidP="00604C09">
      <w:r w:rsidRPr="00A604A3">
        <w:t>Table 2 is summarizing the different evaluation characteristics.</w:t>
      </w:r>
    </w:p>
    <w:p w:rsidR="00604C09" w:rsidRPr="00A604A3" w:rsidRDefault="00604C09" w:rsidP="00604C09">
      <w:pPr>
        <w:pStyle w:val="TableNo"/>
      </w:pPr>
      <w:bookmarkStart w:id="25" w:name="_Ref536805362"/>
      <w:r w:rsidRPr="00A604A3">
        <w:t>tABLE 2</w:t>
      </w:r>
    </w:p>
    <w:p w:rsidR="00604C09" w:rsidRPr="00A604A3" w:rsidRDefault="00604C09" w:rsidP="00604C09">
      <w:pPr>
        <w:pStyle w:val="Tabletitle"/>
      </w:pPr>
      <w:r w:rsidRPr="00A604A3">
        <w:t>Summary of evaluation methodologies</w:t>
      </w:r>
      <w:bookmarkEnd w:id="25"/>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2598"/>
        <w:gridCol w:w="2075"/>
        <w:gridCol w:w="1418"/>
        <w:gridCol w:w="3543"/>
      </w:tblGrid>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TimesNewRoman"/>
                <w:bCs/>
                <w:szCs w:val="22"/>
                <w:lang w:eastAsia="zh-CN"/>
              </w:rPr>
            </w:pPr>
            <w:r w:rsidRPr="00A604A3">
              <w:rPr>
                <w:rFonts w:eastAsia="TimesNewRoman"/>
                <w:szCs w:val="22"/>
                <w:lang w:eastAsia="zh-CN"/>
              </w:rPr>
              <w:t>Characteristic for evaluation</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 xml:space="preserve">High-level assessment </w:t>
            </w:r>
            <w:r w:rsidRPr="00A604A3">
              <w:rPr>
                <w:szCs w:val="22"/>
                <w:lang w:eastAsia="zh-CN"/>
              </w:rPr>
              <w:t>m</w:t>
            </w:r>
            <w:r w:rsidRPr="00A604A3">
              <w:rPr>
                <w:rFonts w:eastAsia="SimSun"/>
                <w:szCs w:val="22"/>
              </w:rPr>
              <w:t>ethod</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 xml:space="preserve">Evaluation methodology in this </w:t>
            </w:r>
            <w:r w:rsidRPr="00A604A3">
              <w:rPr>
                <w:szCs w:val="22"/>
                <w:lang w:eastAsia="ja-JP"/>
              </w:rPr>
              <w:t>R</w:t>
            </w:r>
            <w:r w:rsidRPr="00A604A3">
              <w:rPr>
                <w:rFonts w:eastAsia="SimSun"/>
                <w:szCs w:val="22"/>
              </w:rPr>
              <w:t>eport</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Related section of Reports</w:t>
            </w:r>
            <w:r w:rsidRPr="00A604A3">
              <w:rPr>
                <w:rFonts w:eastAsia="SimSun"/>
                <w:szCs w:val="22"/>
              </w:rPr>
              <w:br/>
              <w:t>ITU-R M.</w:t>
            </w:r>
            <w:r w:rsidRPr="00A604A3">
              <w:rPr>
                <w:szCs w:val="22"/>
                <w:lang w:eastAsia="zh-CN"/>
              </w:rPr>
              <w:t>2410-0</w:t>
            </w:r>
            <w:r w:rsidRPr="00A604A3">
              <w:rPr>
                <w:rFonts w:eastAsia="SimSun"/>
                <w:szCs w:val="22"/>
              </w:rPr>
              <w:t xml:space="preserve"> and ITU-R </w:t>
            </w:r>
            <w:r w:rsidRPr="00A604A3">
              <w:rPr>
                <w:szCs w:val="22"/>
                <w:lang w:eastAsia="zh-CN"/>
              </w:rPr>
              <w:t>M.2411-0</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Peak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Report</w:t>
            </w:r>
            <w:r w:rsidRPr="00A604A3">
              <w:rPr>
                <w:lang w:eastAsia="zh-CN"/>
              </w:rPr>
              <w:t xml:space="preserve"> </w:t>
            </w:r>
            <w:r w:rsidRPr="00A604A3">
              <w:rPr>
                <w:lang w:eastAsia="ko-KR"/>
              </w:rPr>
              <w:t xml:space="preserve">ITU-R M.2410-0, </w:t>
            </w:r>
            <w:r w:rsidRPr="00A604A3">
              <w:rPr>
                <w:rFonts w:eastAsia="SimSun"/>
              </w:rPr>
              <w:t>§ 4.1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color w:val="000000"/>
                <w:lang w:eastAsia="ko-KR"/>
              </w:rPr>
              <w:t>Peak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Report</w:t>
            </w:r>
            <w:r w:rsidRPr="00A604A3">
              <w:rPr>
                <w:lang w:eastAsia="zh-CN"/>
              </w:rPr>
              <w:t xml:space="preserve"> </w:t>
            </w:r>
            <w:r w:rsidRPr="00A604A3">
              <w:rPr>
                <w:lang w:eastAsia="ko-KR"/>
              </w:rPr>
              <w:t xml:space="preserve">ITU-R M.2410-0, </w:t>
            </w:r>
            <w:r w:rsidRPr="00A604A3">
              <w:rPr>
                <w:rFonts w:eastAsia="SimSun"/>
              </w:rPr>
              <w:t>§ 4.2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User experienced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zh-CN"/>
              </w:rPr>
            </w:pPr>
            <w:r w:rsidRPr="00A604A3">
              <w:rPr>
                <w:rFonts w:eastAsia="TimesNewRoman"/>
                <w:lang w:eastAsia="zh-CN"/>
              </w:rPr>
              <w:t>Analytical</w:t>
            </w:r>
            <w:r w:rsidRPr="00A604A3">
              <w:rPr>
                <w:rFonts w:eastAsia="Malgun Gothic"/>
                <w:lang w:eastAsia="ko-KR"/>
              </w:rPr>
              <w:t xml:space="preserve"> for single band</w:t>
            </w:r>
            <w:r w:rsidRPr="00A604A3">
              <w:rPr>
                <w:lang w:eastAsia="zh-CN"/>
              </w:rPr>
              <w:t xml:space="preserve"> and single layer;</w:t>
            </w:r>
          </w:p>
          <w:p w:rsidR="00AE0549" w:rsidRPr="00A604A3" w:rsidRDefault="00AE0549" w:rsidP="00470885">
            <w:pPr>
              <w:pStyle w:val="Tabletext"/>
              <w:spacing w:before="20" w:after="20"/>
              <w:rPr>
                <w:lang w:eastAsia="zh-CN"/>
              </w:rPr>
            </w:pPr>
            <w:r w:rsidRPr="00A604A3">
              <w:rPr>
                <w:lang w:eastAsia="zh-CN"/>
              </w:rPr>
              <w:t>Simulation</w:t>
            </w:r>
            <w:r w:rsidRPr="00A604A3">
              <w:rPr>
                <w:rFonts w:eastAsia="Malgun Gothic"/>
                <w:lang w:eastAsia="ko-KR"/>
              </w:rPr>
              <w:t xml:space="preserve"> for multi-</w:t>
            </w:r>
            <w:r w:rsidRPr="00A604A3">
              <w:rPr>
                <w:lang w:eastAsia="zh-CN"/>
              </w:rPr>
              <w:t>layer</w:t>
            </w:r>
            <w:r w:rsidRPr="00A604A3">
              <w:rPr>
                <w:rFonts w:eastAsia="Malgun Gothic"/>
                <w:lang w:eastAsia="ko-K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4.3</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color w:val="000000"/>
                <w:lang w:eastAsia="ko-KR"/>
              </w:rPr>
              <w:t>5</w:t>
            </w:r>
            <w:r w:rsidRPr="00A604A3">
              <w:rPr>
                <w:color w:val="000000"/>
                <w:vertAlign w:val="superscript"/>
                <w:lang w:eastAsia="ko-KR"/>
              </w:rPr>
              <w:t>th</w:t>
            </w:r>
            <w:r w:rsidRPr="00A604A3">
              <w:rPr>
                <w:color w:val="000000"/>
                <w:lang w:eastAsia="ko-KR"/>
              </w:rPr>
              <w:t xml:space="preserve"> percentile user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TimesNewRoman"/>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4.4</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color w:val="000000"/>
                <w:lang w:eastAsia="ko-KR"/>
              </w:rPr>
            </w:pPr>
            <w:r w:rsidRPr="00A604A3">
              <w:rPr>
                <w:color w:val="000000"/>
                <w:lang w:eastAsia="ko-KR"/>
              </w:rPr>
              <w:t>Average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 xml:space="preserve">Simulation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4.5</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color w:val="000000"/>
                <w:lang w:eastAsia="ko-KR"/>
              </w:rPr>
            </w:pPr>
            <w:r w:rsidRPr="00A604A3">
              <w:rPr>
                <w:rFonts w:eastAsia="TimesNewRoman"/>
                <w:lang w:eastAsia="zh-CN"/>
              </w:rPr>
              <w:t>Area traffic capacity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4.6</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User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4.7.1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Control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4.7.2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lastRenderedPageBreak/>
              <w:t>Connection density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ko-KR"/>
              </w:rPr>
            </w:pPr>
            <w:r w:rsidRPr="00A604A3">
              <w:rPr>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Malgun Gothic"/>
                <w:lang w:eastAsia="ko-KR"/>
              </w:rPr>
            </w:pPr>
            <w:r w:rsidRPr="00A604A3">
              <w:rPr>
                <w:rFonts w:eastAsia="SimSun"/>
              </w:rPr>
              <w:t>§ 7.1.3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lang w:eastAsia="ko-KR"/>
              </w:rPr>
              <w:t xml:space="preserve">Report ITU-R M.2410-0, </w:t>
            </w:r>
            <w:r w:rsidRPr="00A604A3">
              <w:rPr>
                <w:rFonts w:eastAsia="SimSun"/>
              </w:rPr>
              <w:t>§ 4.8</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Energy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i/>
                <w:lang w:eastAsia="zh-CN"/>
              </w:rPr>
            </w:pPr>
            <w:r w:rsidRPr="00A604A3">
              <w:rPr>
                <w:lang w:eastAsia="ja-JP"/>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Malgun Gothic"/>
                <w:lang w:eastAsia="ko-KR"/>
              </w:rPr>
            </w:pPr>
            <w:r w:rsidRPr="00A604A3">
              <w:rPr>
                <w:rFonts w:eastAsia="SimSun"/>
              </w:rPr>
              <w:t>§ 7.3.2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lang w:eastAsia="ko-KR"/>
              </w:rPr>
              <w:t xml:space="preserve">Report ITU-R M.2410-0, </w:t>
            </w:r>
            <w:r w:rsidRPr="00A604A3">
              <w:rPr>
                <w:rFonts w:eastAsia="SimSun"/>
              </w:rPr>
              <w:t>§ 4.9</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Reliability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4.10</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Mobility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Malgun Gothic"/>
                <w:lang w:eastAsia="ko-KR"/>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Mobility interruption time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Bandwidth</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TimesNewRoman"/>
                <w:lang w:eastAsia="zh-CN"/>
              </w:rPr>
            </w:pPr>
            <w:r w:rsidRPr="00A604A3">
              <w:rPr>
                <w:rFonts w:eastAsia="SimSun"/>
              </w:rPr>
              <w:t>§ 7.3.1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lang w:eastAsia="ko-KR"/>
              </w:rPr>
              <w:t xml:space="preserve">Report ITU-R M.2410-0, </w:t>
            </w:r>
            <w:r w:rsidRPr="00A604A3">
              <w:rPr>
                <w:rFonts w:eastAsia="SimSun"/>
              </w:rPr>
              <w:t>§ 4.13</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Support of wide range of services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SimSun"/>
              </w:rPr>
            </w:pPr>
            <w:r w:rsidRPr="00A604A3">
              <w:rPr>
                <w:rFonts w:eastAsia="SimSun"/>
              </w:rPr>
              <w:t>§ 7.3.3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M.2411-0, </w:t>
            </w:r>
            <w:r w:rsidRPr="00A604A3">
              <w:rPr>
                <w:rFonts w:eastAsia="SimSun"/>
              </w:rPr>
              <w:t xml:space="preserve">§ </w:t>
            </w:r>
            <w:r w:rsidRPr="00A604A3">
              <w:rPr>
                <w:lang w:eastAsia="ja-JP"/>
              </w:rPr>
              <w:t>3.1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eastAsia="zh-CN"/>
              </w:rPr>
            </w:pPr>
            <w:r w:rsidRPr="00A604A3">
              <w:rPr>
                <w:rFonts w:eastAsia="TimesNewRoman"/>
                <w:lang w:eastAsia="zh-CN"/>
              </w:rPr>
              <w:t>Supported spectrum band(s)/range(s)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rPr>
            </w:pPr>
            <w:r w:rsidRPr="00A604A3">
              <w:rPr>
                <w:rFonts w:eastAsia="SimSun"/>
              </w:rPr>
              <w:t>§ 7.3.</w:t>
            </w:r>
            <w:r w:rsidRPr="00A604A3">
              <w:rPr>
                <w:lang w:eastAsia="ja-JP"/>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lang w:eastAsia="ko-KR"/>
              </w:rPr>
            </w:pPr>
            <w:r w:rsidRPr="00A604A3">
              <w:rPr>
                <w:lang w:eastAsia="ko-KR"/>
              </w:rPr>
              <w:t xml:space="preserve">Report ITU-R M.2411-0, </w:t>
            </w:r>
            <w:r w:rsidRPr="00A604A3">
              <w:rPr>
                <w:rFonts w:eastAsia="SimSun"/>
              </w:rPr>
              <w:t xml:space="preserve">§ </w:t>
            </w:r>
            <w:r w:rsidRPr="00A604A3">
              <w:rPr>
                <w:lang w:eastAsia="ja-JP"/>
              </w:rPr>
              <w:t>3.2</w:t>
            </w:r>
          </w:p>
        </w:tc>
      </w:tr>
    </w:tbl>
    <w:p w:rsidR="00AE0549" w:rsidRPr="00A604A3" w:rsidRDefault="00AE0549" w:rsidP="00604C09">
      <w:pPr>
        <w:pStyle w:val="Tablefin"/>
      </w:pPr>
    </w:p>
    <w:p w:rsidR="00AE0549" w:rsidRPr="00A604A3" w:rsidRDefault="00AE0549" w:rsidP="00D25B25">
      <w:r w:rsidRPr="00A604A3">
        <w:t>In addition, evaluations of link budgets will be provided in the final evaluation Report.</w:t>
      </w:r>
    </w:p>
    <w:p w:rsidR="00AE0549" w:rsidRPr="00A604A3" w:rsidRDefault="00D25B25" w:rsidP="00D25B25">
      <w:pPr>
        <w:pStyle w:val="Heading2"/>
        <w:rPr>
          <w:rFonts w:eastAsia="MS Mincho"/>
        </w:rPr>
      </w:pPr>
      <w:bookmarkStart w:id="26" w:name="_Toc32412955"/>
      <w:r w:rsidRPr="00A604A3">
        <w:rPr>
          <w:rFonts w:eastAsia="MS Mincho"/>
        </w:rPr>
        <w:t>II.2</w:t>
      </w:r>
      <w:r w:rsidRPr="00A604A3">
        <w:rPr>
          <w:rFonts w:eastAsia="MS Mincho"/>
        </w:rPr>
        <w:tab/>
      </w:r>
      <w:r w:rsidR="00AE0549" w:rsidRPr="00A604A3">
        <w:rPr>
          <w:rFonts w:eastAsia="MS Mincho"/>
        </w:rPr>
        <w:t>Confirmation of utilization of the ITU-R evaluation guidelines in Report ITU</w:t>
      </w:r>
      <w:r w:rsidR="00AE0549" w:rsidRPr="00A604A3">
        <w:rPr>
          <w:rFonts w:eastAsia="MS Mincho"/>
        </w:rPr>
        <w:noBreakHyphen/>
        <w:t>R M.2412</w:t>
      </w:r>
      <w:bookmarkEnd w:id="26"/>
    </w:p>
    <w:p w:rsidR="00AE0549" w:rsidRPr="00A604A3" w:rsidRDefault="00AE0549" w:rsidP="00D25B25">
      <w:r w:rsidRPr="00A604A3">
        <w:t xml:space="preserve">5G Infrastructure Association confirms that the evaluation guidelines provided in Report ITU-R </w:t>
      </w:r>
      <w:r w:rsidRPr="00A604A3">
        <w:rPr>
          <w:bCs/>
          <w:iCs/>
          <w:color w:val="000000" w:themeColor="text1"/>
        </w:rPr>
        <w:t>M.2412-0 [3]</w:t>
      </w:r>
      <w:r w:rsidRPr="00A604A3">
        <w:t xml:space="preserve"> have been utilized.</w:t>
      </w:r>
    </w:p>
    <w:p w:rsidR="00AE0549" w:rsidRPr="00A604A3" w:rsidRDefault="00D25B25" w:rsidP="00D25B25">
      <w:pPr>
        <w:pStyle w:val="Heading2"/>
        <w:rPr>
          <w:rFonts w:eastAsia="MS Mincho"/>
        </w:rPr>
      </w:pPr>
      <w:bookmarkStart w:id="27" w:name="_Toc32412956"/>
      <w:r w:rsidRPr="00A604A3">
        <w:rPr>
          <w:rFonts w:eastAsia="MS Mincho"/>
        </w:rPr>
        <w:t>II.3</w:t>
      </w:r>
      <w:r w:rsidRPr="00A604A3">
        <w:rPr>
          <w:rFonts w:eastAsia="MS Mincho"/>
        </w:rPr>
        <w:tab/>
      </w:r>
      <w:r w:rsidR="00AE0549" w:rsidRPr="00A604A3">
        <w:rPr>
          <w:rFonts w:eastAsia="MS Mincho"/>
        </w:rPr>
        <w:t>Documentation of any additional evaluation methodologies that are or might be developed by the Independent Evaluation Group to complement the evaluation guidelines</w:t>
      </w:r>
      <w:bookmarkEnd w:id="27"/>
    </w:p>
    <w:p w:rsidR="00AE0549" w:rsidRPr="00A604A3" w:rsidRDefault="00AE0549" w:rsidP="00D25B25">
      <w:pPr>
        <w:rPr>
          <w:rFonts w:eastAsia="MS Mincho"/>
        </w:rPr>
      </w:pPr>
      <w:r w:rsidRPr="00A604A3">
        <w:rPr>
          <w:rFonts w:eastAsia="MS Mincho"/>
        </w:rPr>
        <w:t>The following additional evaluation methodologies have been applied by this Evaluation Group:</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Updating of already available link-level and system-level simulators according to the submitted RITs and SRITs as well as to ITU-R requirements</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These link-level and system-level simulators have been calibrated with respect to externally available results.</w:t>
      </w:r>
    </w:p>
    <w:p w:rsidR="00AE0549" w:rsidRPr="00A604A3" w:rsidRDefault="00D25B25" w:rsidP="00D25B25">
      <w:pPr>
        <w:pStyle w:val="Heading2"/>
        <w:rPr>
          <w:rFonts w:eastAsia="MS Mincho"/>
        </w:rPr>
      </w:pPr>
      <w:bookmarkStart w:id="28" w:name="_Toc32412957"/>
      <w:r w:rsidRPr="00A604A3">
        <w:rPr>
          <w:rFonts w:eastAsia="MS Mincho"/>
        </w:rPr>
        <w:t>II.4</w:t>
      </w:r>
      <w:r w:rsidRPr="00A604A3">
        <w:rPr>
          <w:rFonts w:eastAsia="MS Mincho"/>
        </w:rPr>
        <w:tab/>
      </w:r>
      <w:r w:rsidR="00AE0549" w:rsidRPr="00A604A3">
        <w:rPr>
          <w:rFonts w:eastAsia="MS Mincho"/>
        </w:rPr>
        <w:t>Verification as per Report ITU-R M.2411 of the compliance templates and the self-evaluation for each candidate technology as indicated in A)</w:t>
      </w:r>
      <w:bookmarkEnd w:id="28"/>
    </w:p>
    <w:p w:rsidR="00AE0549" w:rsidRPr="00A604A3" w:rsidRDefault="00AE0549" w:rsidP="00D25B25">
      <w:pPr>
        <w:rPr>
          <w:rFonts w:eastAsia="MS Mincho"/>
        </w:rPr>
      </w:pPr>
      <w:r w:rsidRPr="00A604A3">
        <w:rPr>
          <w:rFonts w:eastAsia="MS Mincho"/>
        </w:rPr>
        <w:t>This Interim Evaluation Report is summarizing the available evaluation results by end of November 2019. The evaluation template is completed in Section III-2. These results confirm the self-evaluation of the proponent 3GPP.</w:t>
      </w:r>
    </w:p>
    <w:p w:rsidR="00AE0549" w:rsidRPr="00A604A3" w:rsidRDefault="00D25B25" w:rsidP="00D25B25">
      <w:pPr>
        <w:pStyle w:val="Heading3"/>
      </w:pPr>
      <w:bookmarkStart w:id="29" w:name="_Toc32412958"/>
      <w:r w:rsidRPr="00A604A3">
        <w:rPr>
          <w:rFonts w:eastAsia="MS Mincho"/>
        </w:rPr>
        <w:t>II.4.1</w:t>
      </w:r>
      <w:r w:rsidRPr="00A604A3">
        <w:rPr>
          <w:rFonts w:eastAsia="MS Mincho"/>
        </w:rPr>
        <w:tab/>
      </w:r>
      <w:r w:rsidR="00AE0549" w:rsidRPr="00A604A3">
        <w:t>Identify gaps/deficiencies in submitted material and/or self-evaluation</w:t>
      </w:r>
      <w:bookmarkEnd w:id="29"/>
    </w:p>
    <w:p w:rsidR="00AE0549" w:rsidRPr="00A604A3" w:rsidRDefault="00AE0549" w:rsidP="00D25B25">
      <w:r w:rsidRPr="00A604A3">
        <w:t>There were no gaps and deficiencies identified in the submission of 3GPP.</w:t>
      </w:r>
    </w:p>
    <w:p w:rsidR="00AE0549" w:rsidRPr="00A604A3" w:rsidRDefault="00D25B25" w:rsidP="00D25B25">
      <w:pPr>
        <w:pStyle w:val="Heading3"/>
      </w:pPr>
      <w:bookmarkStart w:id="30" w:name="_Toc32412959"/>
      <w:r w:rsidRPr="00A604A3">
        <w:rPr>
          <w:rFonts w:eastAsia="MS Mincho"/>
        </w:rPr>
        <w:t>II.4.2</w:t>
      </w:r>
      <w:r w:rsidRPr="00A604A3">
        <w:rPr>
          <w:rFonts w:eastAsia="MS Mincho"/>
        </w:rPr>
        <w:tab/>
      </w:r>
      <w:r w:rsidR="00AE0549" w:rsidRPr="00A604A3">
        <w:t>Identify areas requiring clarifications</w:t>
      </w:r>
      <w:bookmarkEnd w:id="30"/>
    </w:p>
    <w:p w:rsidR="00AE0549" w:rsidRPr="00A604A3" w:rsidRDefault="00AE0549" w:rsidP="00D25B25">
      <w:r w:rsidRPr="00A604A3">
        <w:t>During the evaluation process open issues were clarified with 3GPP experts on assumptions and simulation methodologies.</w:t>
      </w:r>
    </w:p>
    <w:p w:rsidR="00AE0549" w:rsidRPr="00A604A3" w:rsidRDefault="00D25B25" w:rsidP="00D25B25">
      <w:pPr>
        <w:pStyle w:val="Heading2"/>
        <w:rPr>
          <w:rFonts w:eastAsia="MS Mincho"/>
        </w:rPr>
      </w:pPr>
      <w:bookmarkStart w:id="31" w:name="_Toc32412960"/>
      <w:r w:rsidRPr="00A604A3">
        <w:rPr>
          <w:rFonts w:eastAsia="MS Mincho"/>
        </w:rPr>
        <w:t>II.5</w:t>
      </w:r>
      <w:r w:rsidRPr="00A604A3">
        <w:rPr>
          <w:rFonts w:eastAsia="MS Mincho"/>
        </w:rPr>
        <w:tab/>
      </w:r>
      <w:r w:rsidR="00AE0549" w:rsidRPr="00A604A3">
        <w:rPr>
          <w:rFonts w:eastAsia="MS Mincho"/>
        </w:rPr>
        <w:t>Assessment as per Reports ITU-R M.2410, ITU-R M.2411 and ITU-R M.2412 for each candidate technology as indicated in A)</w:t>
      </w:r>
      <w:bookmarkEnd w:id="31"/>
    </w:p>
    <w:p w:rsidR="00AE0549" w:rsidRPr="00A604A3" w:rsidRDefault="00AE0549" w:rsidP="00D25B25">
      <w:pPr>
        <w:rPr>
          <w:rFonts w:eastAsia="MS Mincho"/>
        </w:rPr>
      </w:pPr>
      <w:r w:rsidRPr="00A604A3">
        <w:rPr>
          <w:rFonts w:eastAsia="MS Mincho"/>
        </w:rPr>
        <w:t>In the following Sections details are provided on</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Detailed analysis/assessment and evaluation by the IEGs of the compliance templates submitted by the proponents per the Report ITU-R M.2411 section 5.2.4;</w:t>
      </w:r>
    </w:p>
    <w:p w:rsidR="00AE0549" w:rsidRPr="00A604A3" w:rsidRDefault="00D25B25" w:rsidP="00D25B25">
      <w:pPr>
        <w:pStyle w:val="enumlev1"/>
        <w:rPr>
          <w:rFonts w:eastAsia="MS Mincho"/>
        </w:rPr>
      </w:pPr>
      <w:r w:rsidRPr="00A604A3">
        <w:rPr>
          <w:rFonts w:eastAsia="MS Mincho"/>
        </w:rPr>
        <w:lastRenderedPageBreak/>
        <w:t>–</w:t>
      </w:r>
      <w:r w:rsidRPr="00A604A3">
        <w:rPr>
          <w:rFonts w:eastAsia="MS Mincho"/>
        </w:rPr>
        <w:tab/>
      </w:r>
      <w:r w:rsidR="00AE0549" w:rsidRPr="00A604A3">
        <w:rPr>
          <w:rFonts w:eastAsia="MS Mincho"/>
        </w:rPr>
        <w:t>Provide any additional comments in the templates along with supporting documentation for such comments;</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Analysis of the proponent’s self-evaluation by the IEG.</w:t>
      </w:r>
    </w:p>
    <w:p w:rsidR="00AE0549" w:rsidRPr="00A604A3" w:rsidRDefault="00D83DCE" w:rsidP="00D83DCE">
      <w:pPr>
        <w:pStyle w:val="Heading3"/>
        <w:rPr>
          <w:rFonts w:eastAsia="MS Mincho"/>
        </w:rPr>
      </w:pPr>
      <w:bookmarkStart w:id="32" w:name="_Toc32412961"/>
      <w:r w:rsidRPr="00A604A3">
        <w:rPr>
          <w:rFonts w:eastAsia="MS Mincho"/>
        </w:rPr>
        <w:t>II.5.1</w:t>
      </w:r>
      <w:r w:rsidRPr="00A604A3">
        <w:rPr>
          <w:rFonts w:eastAsia="MS Mincho"/>
        </w:rPr>
        <w:tab/>
      </w:r>
      <w:r w:rsidR="00AE0549" w:rsidRPr="00A604A3">
        <w:rPr>
          <w:rFonts w:eastAsia="MS Mincho"/>
        </w:rPr>
        <w:t>Analytical, inspection evaluation and simulation-based evaluation</w:t>
      </w:r>
      <w:bookmarkEnd w:id="32"/>
    </w:p>
    <w:p w:rsidR="00AE0549" w:rsidRPr="00A604A3" w:rsidRDefault="00D83DCE" w:rsidP="00AA0B2B">
      <w:pPr>
        <w:pStyle w:val="Heading4"/>
      </w:pPr>
      <w:r w:rsidRPr="00A604A3">
        <w:t>II.5.1.1</w:t>
      </w:r>
      <w:r w:rsidRPr="00A604A3">
        <w:tab/>
      </w:r>
      <w:r w:rsidR="00AE0549" w:rsidRPr="00A604A3">
        <w:t>Peak data rate</w:t>
      </w:r>
    </w:p>
    <w:p w:rsidR="00AE0549" w:rsidRPr="00A604A3" w:rsidRDefault="00AE0549" w:rsidP="00D83DCE">
      <w:r w:rsidRPr="00A604A3">
        <w:t>The ITU-R minimum requirements on peak data rate are given in [1]. The following requirements and remarks are extracted from [1]:</w:t>
      </w:r>
    </w:p>
    <w:p w:rsidR="00AE0549" w:rsidRPr="00A604A3" w:rsidRDefault="00D83DCE" w:rsidP="00D83DCE">
      <w:pPr>
        <w:pStyle w:val="enumlev1"/>
        <w:rPr>
          <w:i/>
          <w:iCs/>
        </w:rPr>
      </w:pPr>
      <w:r w:rsidRPr="00A604A3">
        <w:tab/>
      </w:r>
      <w:r w:rsidR="00AE0549" w:rsidRPr="00A604A3">
        <w:rPr>
          <w:i/>
          <w:iCs/>
        </w:rPr>
        <w:t>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AE0549" w:rsidRPr="00A604A3" w:rsidRDefault="00D83DCE" w:rsidP="00D83DCE">
      <w:pPr>
        <w:pStyle w:val="enumlev1"/>
        <w:rPr>
          <w:i/>
          <w:iCs/>
          <w:szCs w:val="24"/>
        </w:rPr>
      </w:pPr>
      <w:r w:rsidRPr="00A604A3">
        <w:rPr>
          <w:i/>
          <w:iCs/>
          <w:szCs w:val="24"/>
        </w:rPr>
        <w:tab/>
      </w:r>
      <w:r w:rsidR="00AE0549" w:rsidRPr="00A604A3">
        <w:rPr>
          <w:i/>
          <w:iCs/>
          <w:szCs w:val="24"/>
        </w:rPr>
        <w:t xml:space="preserve">Peak data rate is defined for a single mobile station. In a single band, it is related to the peak spectral efficiency in that band. Let W denote the channel bandwidth and </w:t>
      </w:r>
      <m:oMath>
        <m:sSub>
          <m:sSubPr>
            <m:ctrlPr>
              <w:rPr>
                <w:rFonts w:ascii="Cambria Math" w:hAnsi="Cambria Math"/>
                <w:i/>
                <w:iCs/>
                <w:sz w:val="23"/>
                <w:szCs w:val="23"/>
              </w:rPr>
            </m:ctrlPr>
          </m:sSubPr>
          <m:e>
            <m:r>
              <w:rPr>
                <w:rFonts w:ascii="Cambria Math" w:hAnsi="Cambria Math"/>
                <w:sz w:val="23"/>
                <w:szCs w:val="23"/>
              </w:rPr>
              <m:t>SE</m:t>
            </m:r>
          </m:e>
          <m:sub>
            <m:r>
              <w:rPr>
                <w:rFonts w:ascii="Cambria Math" w:hAnsi="Cambria Math"/>
                <w:sz w:val="23"/>
                <w:szCs w:val="23"/>
              </w:rPr>
              <m:t>p</m:t>
            </m:r>
          </m:sub>
        </m:sSub>
        <m:r>
          <w:rPr>
            <w:rFonts w:ascii="Cambria Math" w:hAnsi="Cambria Math"/>
            <w:sz w:val="23"/>
            <w:szCs w:val="23"/>
          </w:rPr>
          <m:t xml:space="preserve"> </m:t>
        </m:r>
      </m:oMath>
      <w:r w:rsidR="00AE0549" w:rsidRPr="00A604A3">
        <w:rPr>
          <w:i/>
          <w:iCs/>
          <w:szCs w:val="24"/>
        </w:rPr>
        <w:t xml:space="preserve">denote the peak spectral efficiency in that band. Then the user peak data rate </w:t>
      </w:r>
      <m:oMath>
        <m:sSub>
          <m:sSubPr>
            <m:ctrlPr>
              <w:rPr>
                <w:rFonts w:ascii="Cambria Math" w:hAnsi="Cambria Math"/>
                <w:i/>
                <w:iCs/>
                <w:sz w:val="23"/>
                <w:szCs w:val="23"/>
              </w:rPr>
            </m:ctrlPr>
          </m:sSubPr>
          <m:e>
            <m:r>
              <w:rPr>
                <w:rFonts w:ascii="Cambria Math" w:hAnsi="Cambria Math"/>
                <w:sz w:val="23"/>
                <w:szCs w:val="23"/>
              </w:rPr>
              <m:t>R</m:t>
            </m:r>
          </m:e>
          <m:sub>
            <m:r>
              <w:rPr>
                <w:rFonts w:ascii="Cambria Math" w:hAnsi="Cambria Math"/>
                <w:sz w:val="23"/>
                <w:szCs w:val="23"/>
              </w:rPr>
              <m:t>p</m:t>
            </m:r>
          </m:sub>
        </m:sSub>
      </m:oMath>
      <w:r w:rsidR="00AE0549" w:rsidRPr="00A604A3">
        <w:rPr>
          <w:i/>
          <w:iCs/>
          <w:szCs w:val="24"/>
        </w:rPr>
        <w:t xml:space="preserve"> is given by:</w:t>
      </w:r>
    </w:p>
    <w:p w:rsidR="00AE0549" w:rsidRPr="00A604A3" w:rsidRDefault="00D83DCE" w:rsidP="00D83DCE">
      <w:pPr>
        <w:pStyle w:val="Equation"/>
      </w:pPr>
      <w:r w:rsidRPr="00A604A3">
        <w:rPr>
          <w:i/>
        </w:rPr>
        <w:tab/>
      </w:r>
      <w:r w:rsidRPr="00A604A3">
        <w:rPr>
          <w:i/>
        </w:rPr>
        <w:tab/>
      </w:r>
      <m:oMath>
        <m:sSub>
          <m:sSubPr>
            <m:ctrlPr>
              <w:rPr>
                <w:rFonts w:ascii="Cambria Math" w:hAnsi="Cambria Math"/>
              </w:rPr>
            </m:ctrlPr>
          </m:sSubPr>
          <m:e>
            <m:r>
              <w:rPr>
                <w:rFonts w:ascii="Cambria Math" w:hAnsi="Cambria Math"/>
              </w:rPr>
              <m:t>R</m:t>
            </m:r>
          </m:e>
          <m:sub>
            <m:r>
              <w:rPr>
                <w:rFonts w:ascii="Cambria Math" w:hAnsi="Cambria Math"/>
              </w:rPr>
              <m:t>p</m:t>
            </m:r>
          </m:sub>
        </m:sSub>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SE</m:t>
            </m:r>
          </m:e>
          <m:sub>
            <m:r>
              <w:rPr>
                <w:rFonts w:ascii="Cambria Math" w:hAnsi="Cambria Math"/>
              </w:rPr>
              <m:t>p</m:t>
            </m:r>
          </m:sub>
        </m:sSub>
      </m:oMath>
    </w:p>
    <w:p w:rsidR="00AE0549" w:rsidRPr="00A604A3" w:rsidRDefault="00D83DCE" w:rsidP="00D83DCE">
      <w:pPr>
        <w:pStyle w:val="enumlev1"/>
        <w:rPr>
          <w:i/>
          <w:iCs/>
        </w:rPr>
      </w:pPr>
      <w:r w:rsidRPr="00A604A3">
        <w:tab/>
      </w:r>
      <w:r w:rsidR="00AE0549" w:rsidRPr="00A604A3">
        <w:rPr>
          <w:i/>
          <w:iCs/>
        </w:rPr>
        <w:t>Peak spectral efficiency and available bandwidth may have different values in different frequency ranges. In case bandwidth is aggregated across multiple bands, the peak data rate will be summed over the bands. Therefore, if bandwidth is aggregated across Q bands then the total peak data rate is:</w:t>
      </w:r>
    </w:p>
    <w:p w:rsidR="00AE0549" w:rsidRPr="00A604A3" w:rsidRDefault="00D83DCE" w:rsidP="00D83DCE">
      <w:pPr>
        <w:pStyle w:val="Equation"/>
      </w:pPr>
      <w:r w:rsidRPr="00A604A3">
        <w:rPr>
          <w:i/>
          <w:iCs/>
        </w:rPr>
        <w:tab/>
      </w:r>
      <w:r w:rsidRPr="00A604A3">
        <w:rPr>
          <w:i/>
          <w:iCs/>
        </w:rPr>
        <w:tab/>
      </w:r>
      <m:oMath>
        <m:r>
          <w:rPr>
            <w:rFonts w:ascii="Cambria Math" w:hAnsi="Cambria Math"/>
          </w:rPr>
          <m:t>R</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Q</m:t>
            </m:r>
          </m:sup>
          <m:e>
            <m:sSub>
              <m:sSubPr>
                <m:ctrlPr>
                  <w:rPr>
                    <w:rFonts w:ascii="Cambria Math" w:hAnsi="Cambria Math"/>
                  </w:rPr>
                </m:ctrlPr>
              </m:sSubPr>
              <m:e>
                <m:r>
                  <w:rPr>
                    <w:rFonts w:ascii="Cambria Math" w:hAnsi="Cambria Math"/>
                  </w:rPr>
                  <m:t>W</m:t>
                </m:r>
              </m:e>
              <m:sub>
                <m:r>
                  <w:rPr>
                    <w:rFonts w:ascii="Cambria Math" w:hAnsi="Cambria Math"/>
                  </w:rPr>
                  <m:t>i</m:t>
                </m:r>
              </m:sub>
            </m:sSub>
          </m:e>
        </m:nary>
        <m:r>
          <m:rPr>
            <m:sty m:val="p"/>
          </m:rPr>
          <w:rPr>
            <w:rFonts w:ascii="Cambria Math" w:hAnsi="Cambria Math"/>
          </w:rPr>
          <m:t>×</m:t>
        </m:r>
        <m:sSub>
          <m:sSubPr>
            <m:ctrlPr>
              <w:rPr>
                <w:rFonts w:ascii="Cambria Math" w:hAnsi="Cambria Math"/>
              </w:rPr>
            </m:ctrlPr>
          </m:sSubPr>
          <m:e>
            <m:r>
              <w:rPr>
                <w:rFonts w:ascii="Cambria Math" w:hAnsi="Cambria Math"/>
              </w:rPr>
              <m:t>SE</m:t>
            </m:r>
          </m:e>
          <m:sub>
            <m:sSub>
              <m:sSubPr>
                <m:ctrlPr>
                  <w:rPr>
                    <w:rFonts w:ascii="Cambria Math" w:hAnsi="Cambria Math"/>
                  </w:rPr>
                </m:ctrlPr>
              </m:sSubPr>
              <m:e>
                <m:r>
                  <w:rPr>
                    <w:rFonts w:ascii="Cambria Math" w:hAnsi="Cambria Math"/>
                  </w:rPr>
                  <m:t>p</m:t>
                </m:r>
              </m:e>
              <m:sub>
                <m:r>
                  <w:rPr>
                    <w:rFonts w:ascii="Cambria Math" w:hAnsi="Cambria Math"/>
                  </w:rPr>
                  <m:t>i</m:t>
                </m:r>
              </m:sub>
            </m:sSub>
          </m:sub>
        </m:sSub>
      </m:oMath>
    </w:p>
    <w:p w:rsidR="00AE0549" w:rsidRPr="00A604A3" w:rsidRDefault="00D83DCE" w:rsidP="00D83DCE">
      <w:pPr>
        <w:pStyle w:val="enumlev1"/>
        <w:rPr>
          <w:i/>
          <w:iCs/>
        </w:rPr>
      </w:pPr>
      <w:r w:rsidRPr="00A604A3">
        <w:rPr>
          <w:i/>
          <w:iCs/>
        </w:rPr>
        <w:tab/>
      </w:r>
      <w:r w:rsidR="00AE0549" w:rsidRPr="00A604A3">
        <w:rPr>
          <w:i/>
          <w:iCs/>
        </w:rPr>
        <w:t xml:space="preserve">where </w:t>
      </w:r>
      <m:oMath>
        <m:sSub>
          <m:sSubPr>
            <m:ctrlPr>
              <w:rPr>
                <w:rFonts w:ascii="Cambria Math" w:hAnsi="Cambria Math"/>
                <w:i/>
                <w:iCs/>
                <w:sz w:val="23"/>
                <w:szCs w:val="23"/>
              </w:rPr>
            </m:ctrlPr>
          </m:sSubPr>
          <m:e>
            <m:r>
              <w:rPr>
                <w:rFonts w:ascii="Cambria Math" w:hAnsi="Cambria Math"/>
                <w:sz w:val="23"/>
                <w:szCs w:val="23"/>
              </w:rPr>
              <m:t>W</m:t>
            </m:r>
          </m:e>
          <m:sub>
            <m:r>
              <w:rPr>
                <w:rFonts w:ascii="Cambria Math" w:hAnsi="Cambria Math"/>
                <w:sz w:val="23"/>
                <w:szCs w:val="23"/>
              </w:rPr>
              <m:t>i</m:t>
            </m:r>
          </m:sub>
        </m:sSub>
      </m:oMath>
      <w:r w:rsidR="00AE0549" w:rsidRPr="00A604A3">
        <w:rPr>
          <w:i/>
          <w:iCs/>
          <w:sz w:val="23"/>
          <w:szCs w:val="23"/>
        </w:rPr>
        <w:t xml:space="preserve"> </w:t>
      </w:r>
      <w:r w:rsidR="00AE0549" w:rsidRPr="00A604A3">
        <w:rPr>
          <w:i/>
          <w:iCs/>
        </w:rPr>
        <w:t xml:space="preserve">and </w:t>
      </w:r>
      <m:oMath>
        <m:sSub>
          <m:sSubPr>
            <m:ctrlPr>
              <w:rPr>
                <w:rFonts w:ascii="Cambria Math" w:hAnsi="Cambria Math"/>
                <w:i/>
                <w:iCs/>
                <w:sz w:val="23"/>
                <w:szCs w:val="23"/>
              </w:rPr>
            </m:ctrlPr>
          </m:sSubPr>
          <m:e>
            <m:r>
              <w:rPr>
                <w:rFonts w:ascii="Cambria Math" w:hAnsi="Cambria Math"/>
                <w:sz w:val="23"/>
                <w:szCs w:val="23"/>
              </w:rPr>
              <m:t>SE</m:t>
            </m:r>
          </m:e>
          <m:sub>
            <m:sSub>
              <m:sSubPr>
                <m:ctrlPr>
                  <w:rPr>
                    <w:rFonts w:ascii="Cambria Math" w:hAnsi="Cambria Math"/>
                    <w:i/>
                    <w:iCs/>
                    <w:sz w:val="23"/>
                    <w:szCs w:val="23"/>
                  </w:rPr>
                </m:ctrlPr>
              </m:sSubPr>
              <m:e>
                <m:r>
                  <w:rPr>
                    <w:rFonts w:ascii="Cambria Math" w:hAnsi="Cambria Math"/>
                    <w:sz w:val="23"/>
                    <w:szCs w:val="23"/>
                  </w:rPr>
                  <m:t>p</m:t>
                </m:r>
              </m:e>
              <m:sub>
                <m:r>
                  <w:rPr>
                    <w:rFonts w:ascii="Cambria Math" w:hAnsi="Cambria Math"/>
                    <w:sz w:val="23"/>
                    <w:szCs w:val="23"/>
                  </w:rPr>
                  <m:t>i</m:t>
                </m:r>
              </m:sub>
            </m:sSub>
          </m:sub>
        </m:sSub>
      </m:oMath>
      <w:r w:rsidR="00AE0549" w:rsidRPr="00A604A3">
        <w:rPr>
          <w:i/>
          <w:iCs/>
        </w:rPr>
        <w:t xml:space="preserve"> (i = 1,…Q) are the component bandwidths and spectral efficiencies respectively.</w:t>
      </w:r>
    </w:p>
    <w:p w:rsidR="00AE0549" w:rsidRPr="00A604A3" w:rsidRDefault="00D83DCE" w:rsidP="00D83DCE">
      <w:pPr>
        <w:pStyle w:val="enumlev1"/>
        <w:rPr>
          <w:i/>
          <w:iCs/>
        </w:rPr>
      </w:pPr>
      <w:r w:rsidRPr="00A604A3">
        <w:rPr>
          <w:i/>
          <w:iCs/>
        </w:rPr>
        <w:tab/>
      </w:r>
      <w:r w:rsidR="00AE0549" w:rsidRPr="00A604A3">
        <w:rPr>
          <w:i/>
          <w:iCs/>
        </w:rPr>
        <w:t>The requirement is defined for the purpose of evaluation in the eMBB usage scenario.</w:t>
      </w:r>
    </w:p>
    <w:p w:rsidR="00AE0549" w:rsidRPr="00A604A3" w:rsidRDefault="00D83DCE" w:rsidP="00D83DCE">
      <w:pPr>
        <w:pStyle w:val="enumlev1"/>
        <w:rPr>
          <w:i/>
          <w:iCs/>
        </w:rPr>
      </w:pPr>
      <w:r w:rsidRPr="00A604A3">
        <w:rPr>
          <w:i/>
          <w:iCs/>
        </w:rPr>
        <w:tab/>
      </w:r>
      <w:r w:rsidR="00AE0549" w:rsidRPr="00A604A3">
        <w:rPr>
          <w:i/>
          <w:iCs/>
        </w:rPr>
        <w:t>The requirements for peak data are:</w:t>
      </w:r>
    </w:p>
    <w:p w:rsidR="00AE0549" w:rsidRPr="00A604A3" w:rsidRDefault="00D83DCE" w:rsidP="00D83DCE">
      <w:pPr>
        <w:pStyle w:val="enumlev2"/>
        <w:rPr>
          <w:i/>
          <w:iCs/>
        </w:rPr>
      </w:pPr>
      <w:r w:rsidRPr="00A604A3">
        <w:rPr>
          <w:i/>
          <w:iCs/>
        </w:rPr>
        <w:t>–</w:t>
      </w:r>
      <w:r w:rsidRPr="00A604A3">
        <w:rPr>
          <w:i/>
          <w:iCs/>
        </w:rPr>
        <w:tab/>
      </w:r>
      <w:r w:rsidR="00AE0549" w:rsidRPr="00A604A3">
        <w:rPr>
          <w:i/>
          <w:iCs/>
        </w:rPr>
        <w:t>Downlink peak data rate is 20 Gbit/s.</w:t>
      </w:r>
    </w:p>
    <w:p w:rsidR="00AE0549" w:rsidRPr="00A604A3" w:rsidRDefault="00D83DCE" w:rsidP="00D83DCE">
      <w:pPr>
        <w:pStyle w:val="enumlev2"/>
        <w:rPr>
          <w:i/>
          <w:iCs/>
        </w:rPr>
      </w:pPr>
      <w:r w:rsidRPr="00A604A3">
        <w:rPr>
          <w:i/>
          <w:iCs/>
        </w:rPr>
        <w:t>–</w:t>
      </w:r>
      <w:r w:rsidRPr="00A604A3">
        <w:rPr>
          <w:i/>
          <w:iCs/>
        </w:rPr>
        <w:tab/>
      </w:r>
      <w:r w:rsidR="00AE0549" w:rsidRPr="00A604A3">
        <w:rPr>
          <w:i/>
          <w:iCs/>
        </w:rPr>
        <w:t>Uplink peak data rate is 10 Gbit/s</w:t>
      </w:r>
      <w:r w:rsidRPr="00A604A3">
        <w:rPr>
          <w:i/>
          <w:iCs/>
        </w:rPr>
        <w:t>.</w:t>
      </w:r>
    </w:p>
    <w:p w:rsidR="00AE0549" w:rsidRPr="00A604A3" w:rsidRDefault="00D83DCE" w:rsidP="00521697">
      <w:pPr>
        <w:pStyle w:val="Heading5"/>
        <w:rPr>
          <w:rFonts w:eastAsia="MS Mincho"/>
        </w:rPr>
      </w:pPr>
      <w:r w:rsidRPr="00A604A3">
        <w:rPr>
          <w:rFonts w:eastAsia="MS Mincho"/>
        </w:rPr>
        <w:t>II.5.1.</w:t>
      </w:r>
      <w:r w:rsidR="00521697" w:rsidRPr="00A604A3">
        <w:rPr>
          <w:rFonts w:eastAsia="MS Mincho"/>
        </w:rPr>
        <w:t>1.1</w:t>
      </w:r>
      <w:r w:rsidRPr="00A604A3">
        <w:rPr>
          <w:rFonts w:eastAsia="MS Mincho"/>
        </w:rPr>
        <w:tab/>
      </w:r>
      <w:r w:rsidR="00AE0549" w:rsidRPr="00A604A3">
        <w:rPr>
          <w:rFonts w:eastAsia="MS Mincho"/>
        </w:rPr>
        <w:t>Basic parameters</w:t>
      </w:r>
    </w:p>
    <w:p w:rsidR="00AE0549" w:rsidRPr="00A604A3" w:rsidRDefault="00AE0549" w:rsidP="00D83DCE">
      <w:r w:rsidRPr="00A604A3">
        <w:t>Peak data rate expression is defined for downlink (DL) and uplink (UL) transmissions with TDD (Time Division Duplex) and FDD (Frequency Division Duplex) techniques as:</w:t>
      </w:r>
    </w:p>
    <w:p w:rsidR="00AE0549" w:rsidRPr="00A604A3" w:rsidRDefault="00D83DCE" w:rsidP="00D83DCE">
      <w:pPr>
        <w:pStyle w:val="Equation"/>
      </w:pPr>
      <w:r w:rsidRPr="00A604A3">
        <w:rPr>
          <w:iCs/>
        </w:rPr>
        <w:tab/>
      </w:r>
      <w:r w:rsidRPr="00A604A3">
        <w:rPr>
          <w:iCs/>
        </w:rPr>
        <w:tab/>
      </w:r>
      <m:oMath>
        <m:r>
          <w:rPr>
            <w:rFonts w:ascii="Cambria Math" w:hAnsi="Cambria Math"/>
          </w:rPr>
          <m:t>R</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d>
              <m:dPr>
                <m:ctrlPr>
                  <w:rPr>
                    <w:rFonts w:ascii="Cambria Math" w:hAnsi="Cambria Math"/>
                  </w:rPr>
                </m:ctrlPr>
              </m:dPr>
              <m:e>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m</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j</m:t>
                        </m:r>
                      </m:e>
                    </m:d>
                  </m:sup>
                </m:sSup>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max</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rPr>
                            </m:ctrlPr>
                          </m:dPr>
                          <m:e>
                            <m:r>
                              <w:rPr>
                                <w:rFonts w:ascii="Cambria Math" w:hAnsi="Cambria Math"/>
                              </w:rPr>
                              <m:t>j</m:t>
                            </m:r>
                          </m:e>
                        </m:d>
                        <m:r>
                          <m:rPr>
                            <m:sty m:val="p"/>
                          </m:rPr>
                          <w:rPr>
                            <w:rFonts w:ascii="Cambria Math" w:hAnsi="Cambria Math"/>
                          </w:rPr>
                          <m:t>,</m:t>
                        </m:r>
                        <m:r>
                          <w:rPr>
                            <w:rFonts w:ascii="Cambria Math" w:hAnsi="Cambria Math"/>
                          </w:rPr>
                          <m:t>μ</m:t>
                        </m:r>
                      </m:sup>
                    </m:sSubSup>
                    <m:r>
                      <m:rPr>
                        <m:sty m:val="p"/>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den>
                </m:f>
                <m:r>
                  <m:rPr>
                    <m:sty m:val="p"/>
                  </m:rPr>
                  <w:rPr>
                    <w:rFonts w:ascii="Cambria Math" w:hAnsi="Cambria Math"/>
                  </w:rPr>
                  <m:t>∙</m:t>
                </m:r>
                <m:d>
                  <m:dPr>
                    <m:ctrlPr>
                      <w:rPr>
                        <w:rFonts w:ascii="Cambria Math" w:hAnsi="Cambria Math" w:cstheme="minorBidi"/>
                        <w:sz w:val="22"/>
                        <w:szCs w:val="22"/>
                      </w:rPr>
                    </m:ctrlPr>
                  </m:dPr>
                  <m:e>
                    <m:r>
                      <m:rPr>
                        <m:sty m:val="p"/>
                      </m:rPr>
                      <w:rPr>
                        <w:rFonts w:ascii="Cambria Math" w:hAnsi="Cambria Math"/>
                      </w:rPr>
                      <m:t>1-</m:t>
                    </m:r>
                    <m:sSup>
                      <m:sSupPr>
                        <m:ctrlPr>
                          <w:rPr>
                            <w:rFonts w:ascii="Cambria Math" w:hAnsi="Cambria Math"/>
                          </w:rPr>
                        </m:ctrlPr>
                      </m:sSupPr>
                      <m:e>
                        <m:r>
                          <w:rPr>
                            <w:rFonts w:ascii="Cambria Math" w:hAnsi="Cambria Math"/>
                          </w:rPr>
                          <m:t>OH</m:t>
                        </m:r>
                      </m:e>
                      <m:sup>
                        <m:d>
                          <m:dPr>
                            <m:ctrlPr>
                              <w:rPr>
                                <w:rFonts w:ascii="Cambria Math" w:hAnsi="Cambria Math"/>
                              </w:rPr>
                            </m:ctrlPr>
                          </m:dPr>
                          <m:e>
                            <m:r>
                              <w:rPr>
                                <w:rFonts w:ascii="Cambria Math" w:hAnsi="Cambria Math"/>
                              </w:rPr>
                              <m:t>j</m:t>
                            </m:r>
                          </m:e>
                        </m:d>
                      </m:sup>
                    </m:sSup>
                  </m:e>
                </m:d>
              </m:e>
            </m:d>
          </m:e>
        </m:nary>
      </m:oMath>
      <w:r w:rsidRPr="00A604A3">
        <w:tab/>
        <w:t>(1)</w:t>
      </w:r>
    </w:p>
    <w:p w:rsidR="00AE0549" w:rsidRPr="00A604A3" w:rsidRDefault="00AE0549" w:rsidP="00D83DCE">
      <w:pPr>
        <w:rPr>
          <w:rFonts w:eastAsia="SimSun"/>
          <w:lang w:eastAsia="zh-CN"/>
        </w:rPr>
      </w:pPr>
      <w:r w:rsidRPr="00A604A3">
        <w:rPr>
          <w:rFonts w:eastAsia="SimSun"/>
          <w:lang w:eastAsia="zh-CN"/>
        </w:rPr>
        <w:t>wherein:</w:t>
      </w:r>
    </w:p>
    <w:p w:rsidR="00AE0549" w:rsidRPr="00A604A3" w:rsidRDefault="00D97E03" w:rsidP="00D97E03">
      <w:pPr>
        <w:pStyle w:val="Equationlegend"/>
        <w:rPr>
          <w:rFonts w:eastAsia="SimSun"/>
          <w:lang w:eastAsia="zh-CN"/>
        </w:rPr>
      </w:pPr>
      <w:r w:rsidRPr="00A604A3">
        <w:rPr>
          <w:rFonts w:eastAsia="SimSun"/>
          <w:i/>
          <w:iCs/>
          <w:lang w:eastAsia="zh-CN"/>
        </w:rPr>
        <w:tab/>
      </w:r>
      <w:r w:rsidR="00AE0549" w:rsidRPr="00A604A3">
        <w:rPr>
          <w:rFonts w:eastAsia="SimSun"/>
          <w:i/>
          <w:iCs/>
          <w:lang w:eastAsia="zh-CN"/>
        </w:rPr>
        <w:t>J</w:t>
      </w:r>
      <w:r w:rsidR="00AE0549" w:rsidRPr="00A604A3">
        <w:rPr>
          <w:rFonts w:eastAsia="SimSun"/>
          <w:lang w:eastAsia="zh-CN"/>
        </w:rPr>
        <w:t xml:space="preserve"> </w:t>
      </w:r>
      <w:r w:rsidRPr="00A604A3">
        <w:rPr>
          <w:rFonts w:eastAsia="SimSun"/>
          <w:lang w:eastAsia="zh-CN"/>
        </w:rPr>
        <w:tab/>
        <w:t xml:space="preserve">is the total number of </w:t>
      </w:r>
      <w:r w:rsidR="00AE0549" w:rsidRPr="00A604A3">
        <w:rPr>
          <w:rFonts w:eastAsia="SimSun"/>
          <w:lang w:eastAsia="zh-CN"/>
        </w:rPr>
        <w:t xml:space="preserve">aggregated carriers in a frequency band. It can reach integer values from 1 up to 16 in 5G NR and from 1 up to 32 in LTE. </w:t>
      </w:r>
    </w:p>
    <w:p w:rsidR="00AE0549" w:rsidRPr="00A604A3" w:rsidRDefault="00D97E03" w:rsidP="00D97E03">
      <w:pPr>
        <w:pStyle w:val="Equationlegend"/>
        <w:rPr>
          <w:rFonts w:eastAsia="SimSun"/>
          <w:lang w:eastAsia="zh-CN"/>
        </w:rPr>
      </w:pPr>
      <w:r w:rsidRPr="00A604A3">
        <w:rPr>
          <w:rFonts w:eastAsia="SimSun"/>
        </w:rPr>
        <w:tab/>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normalized scaling factor related to the proportion of resources used in the DL/UL ratio for the j component carrier. For </w:t>
      </w:r>
      <w:r w:rsidR="00AE0549" w:rsidRPr="00A604A3">
        <w:rPr>
          <w:rFonts w:eastAsia="SimSun"/>
          <w:lang w:eastAsia="zh-CN"/>
        </w:rPr>
        <w:t xml:space="preserve">FDD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lang w:eastAsia="zh-CN"/>
        </w:rPr>
        <w:t>=1</w:t>
      </w:r>
      <w:r w:rsidR="00AE0549" w:rsidRPr="00A604A3">
        <w:rPr>
          <w:rFonts w:eastAsia="SimSun"/>
          <w:lang w:eastAsia="zh-CN"/>
        </w:rPr>
        <w:t xml:space="preserve"> for </w:t>
      </w:r>
      <w:r w:rsidR="00AE0549" w:rsidRPr="00A604A3">
        <w:rPr>
          <w:rFonts w:eastAsia="SimSun"/>
          <w:lang w:eastAsia="zh-CN"/>
        </w:rPr>
        <w:lastRenderedPageBreak/>
        <w:t xml:space="preserve">DL and UL; and for TDD and other duplexing techniques for DL and UL,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rFonts w:eastAsia="SimSun"/>
          <w:lang w:eastAsia="zh-CN"/>
        </w:rPr>
        <w:t xml:space="preserve"> is calculated based on the frame structure and the Slot Format Indicator (SFI).</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w:r w:rsidR="00AE0549" w:rsidRPr="00A604A3">
        <w:rPr>
          <w:rFonts w:eastAsia="SimSun"/>
        </w:rPr>
        <w:t xml:space="preserve">In TDD DL, </w:t>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considers the presence of Guard Period (GP) as part of the</w:t>
      </w:r>
      <w:r w:rsidR="00AE0549" w:rsidRPr="00A604A3">
        <w:rPr>
          <w:rFonts w:eastAsia="SimSun"/>
          <w:i/>
        </w:rPr>
        <w:t xml:space="preserve"> </w:t>
      </w:r>
      <w:r w:rsidR="00AE0549" w:rsidRPr="00A604A3">
        <w:rPr>
          <w:rFonts w:eastAsia="SimSun"/>
        </w:rPr>
        <w:t>effective BW. As a consequence, the impact of GP has to be considered later in the overhead (</w:t>
      </w:r>
      <m:oMath>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oMath>
      <w:r w:rsidR="00AE0549" w:rsidRPr="00A604A3">
        <w:rPr>
          <w:rFonts w:eastAsia="SimSun"/>
        </w:rPr>
        <w:t xml:space="preserve"> calculation.</w:t>
      </w:r>
    </w:p>
    <w:p w:rsidR="00AE0549" w:rsidRPr="00A604A3" w:rsidRDefault="00D97E03" w:rsidP="00D97E03">
      <w:pPr>
        <w:pStyle w:val="Equationlegend"/>
        <w:rPr>
          <w:rFonts w:eastAsia="SimSun"/>
          <w:lang w:eastAsia="zh-CN"/>
        </w:rPr>
      </w:pPr>
      <w:r w:rsidRPr="00A604A3">
        <w:rPr>
          <w:rFonts w:eastAsia="SimSun"/>
        </w:rPr>
        <w:tab/>
      </w:r>
      <m:oMath>
        <m:sSubSup>
          <m:sSubSupPr>
            <m:ctrlPr>
              <w:rPr>
                <w:rFonts w:ascii="Cambria Math" w:hAnsi="Cambria Math"/>
              </w:rPr>
            </m:ctrlPr>
          </m:sSubSupPr>
          <m:e>
            <m:r>
              <m:rPr>
                <m:sty m:val="p"/>
              </m:rPr>
              <w:rPr>
                <w:rFonts w:ascii="Cambria Math" w:hAnsi="Cambria Math"/>
              </w:rPr>
              <m:t>v</m:t>
            </m:r>
          </m:e>
          <m:sub>
            <m:r>
              <w:rPr>
                <w:rFonts w:ascii="Cambria Math" w:hAnsi="Cambria Math"/>
              </w:rPr>
              <m:t>Layers</m:t>
            </m:r>
          </m:sub>
          <m:sup>
            <m:d>
              <m:dPr>
                <m:ctrlPr>
                  <w:rPr>
                    <w:rFonts w:ascii="Cambria Math" w:hAnsi="Cambria Math"/>
                  </w:rPr>
                </m:ctrlPr>
              </m:dPr>
              <m:e>
                <m:r>
                  <w:rPr>
                    <w:rFonts w:ascii="Cambria Math" w:hAnsi="Cambria Math"/>
                  </w:rPr>
                  <m:t>j</m:t>
                </m:r>
              </m:e>
            </m:d>
          </m:sup>
        </m:sSubSup>
      </m:oMath>
      <w:r w:rsidR="00AE0549" w:rsidRPr="00A604A3">
        <w:t xml:space="preserve"> </w:t>
      </w:r>
      <w:r w:rsidRPr="00A604A3">
        <w:tab/>
      </w:r>
      <w:r w:rsidR="00AE0549" w:rsidRPr="00A604A3">
        <w:t>is the maximum number of layers. For DL, it can reach integer values from 1 up 8; and for UL, it is defined from 1 up to 4.</w:t>
      </w:r>
    </w:p>
    <w:p w:rsidR="00AE0549" w:rsidRPr="00A604A3" w:rsidRDefault="00D97E03" w:rsidP="00D97E03">
      <w:pPr>
        <w:pStyle w:val="Equationlegend"/>
        <w:rPr>
          <w:rFonts w:eastAsia="SimSun"/>
          <w:lang w:eastAsia="zh-CN"/>
        </w:rPr>
      </w:pPr>
      <w:r w:rsidRPr="00A604A3">
        <w:rPr>
          <w:rFonts w:eastAsia="SimSun"/>
        </w:rPr>
        <w:tab/>
      </w:r>
      <m:oMath>
        <m:sSubSup>
          <m:sSubSupPr>
            <m:ctrlPr>
              <w:rPr>
                <w:rFonts w:ascii="Cambria Math" w:hAnsi="Cambria Math"/>
              </w:rPr>
            </m:ctrlPr>
          </m:sSubSupPr>
          <m:e>
            <m:r>
              <w:rPr>
                <w:rFonts w:ascii="Cambria Math" w:hAnsi="Cambria Math"/>
              </w:rPr>
              <m:t>Q</m:t>
            </m:r>
          </m:e>
          <m:sub>
            <m:r>
              <w:rPr>
                <w:rFonts w:ascii="Cambria Math" w:hAnsi="Cambria Math"/>
              </w:rPr>
              <m:t>m</m:t>
            </m:r>
          </m:sub>
          <m:sup>
            <m:d>
              <m:dPr>
                <m:ctrlPr>
                  <w:rPr>
                    <w:rFonts w:ascii="Cambria Math" w:hAnsi="Cambria Math"/>
                  </w:rPr>
                </m:ctrlPr>
              </m:dPr>
              <m:e>
                <m:r>
                  <w:rPr>
                    <w:rFonts w:ascii="Cambria Math" w:hAnsi="Cambria Math"/>
                  </w:rPr>
                  <m:t>j</m:t>
                </m:r>
              </m:e>
            </m:d>
          </m:sup>
        </m:sSubSup>
      </m:oMath>
      <w:r w:rsidR="00AE0549" w:rsidRPr="00A604A3">
        <w:rPr>
          <w:rFonts w:eastAsia="SimSun"/>
        </w:rPr>
        <w:t xml:space="preserve"> </w:t>
      </w:r>
      <w:r w:rsidRPr="00A604A3">
        <w:rPr>
          <w:rFonts w:eastAsia="SimSun"/>
        </w:rPr>
        <w:tab/>
      </w:r>
      <w:r w:rsidR="00AE0549" w:rsidRPr="00A604A3">
        <w:rPr>
          <w:rFonts w:eastAsia="SimSun"/>
        </w:rPr>
        <w:t xml:space="preserve">is the maximum modulation order. It is set to 8 (256QAM) for 5G NR and to 10 (1024QAM) for LTE. </w:t>
      </w:r>
    </w:p>
    <w:p w:rsidR="00AE0549" w:rsidRPr="00A604A3" w:rsidRDefault="00D97E03" w:rsidP="00D97E03">
      <w:pPr>
        <w:pStyle w:val="Equationlegend"/>
        <w:rPr>
          <w:rFonts w:eastAsia="SimSun"/>
          <w:lang w:eastAsia="zh-CN"/>
        </w:rPr>
      </w:pPr>
      <w:r w:rsidRPr="00A604A3">
        <w:rPr>
          <w:rFonts w:eastAsia="SimSun"/>
        </w:rPr>
        <w:tab/>
      </w:r>
      <m:oMath>
        <m:sSup>
          <m:sSupPr>
            <m:ctrlPr>
              <w:rPr>
                <w:rFonts w:ascii="Cambria Math" w:hAnsi="Cambria Math"/>
              </w:rPr>
            </m:ctrlPr>
          </m:sSupPr>
          <m:e>
            <m:r>
              <w:rPr>
                <w:rFonts w:ascii="Cambria Math" w:hAnsi="Cambria Math"/>
              </w:rPr>
              <m:t>f</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scaling factor used to reflect the capability mismatch between baseband and RF capability for both SA UE and NSA UE. Its use is also proposed to scale down the maximum throughput of NR UEs in EN-DC scenarios where there is LTE and NR hardware sharing. </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m:oMath>
        <m:sSup>
          <m:sSupPr>
            <m:ctrlPr>
              <w:rPr>
                <w:rFonts w:ascii="Cambria Math" w:hAnsi="Cambria Math"/>
              </w:rPr>
            </m:ctrlPr>
          </m:sSupPr>
          <m:e>
            <m:r>
              <w:rPr>
                <w:rFonts w:ascii="Cambria Math" w:hAnsi="Cambria Math"/>
              </w:rPr>
              <m:t>f</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is signaled per band and per band per band combination as per UE capability signalling. </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w:r w:rsidR="00AE0549" w:rsidRPr="00A604A3">
        <w:rPr>
          <w:rFonts w:eastAsia="SimSun"/>
        </w:rPr>
        <w:t>There are two possible values, 1 or 0.75.</w:t>
      </w:r>
    </w:p>
    <w:p w:rsidR="00AE0549" w:rsidRPr="00A604A3" w:rsidRDefault="00D97E03" w:rsidP="00D97E03">
      <w:pPr>
        <w:pStyle w:val="Equationlegend"/>
        <w:rPr>
          <w:rFonts w:eastAsia="SimSun"/>
          <w:lang w:eastAsia="zh-CN"/>
        </w:rPr>
      </w:pPr>
      <w:r w:rsidRPr="00A604A3">
        <w:rPr>
          <w:rFonts w:eastAsia="SimSun"/>
        </w:rPr>
        <w:tab/>
      </w:r>
      <m:oMath>
        <m:sSub>
          <m:sSubPr>
            <m:ctrlPr>
              <w:rPr>
                <w:rFonts w:ascii="Cambria Math" w:hAnsi="Cambria Math"/>
                <w:i/>
                <w:iCs/>
              </w:rPr>
            </m:ctrlPr>
          </m:sSubPr>
          <m:e>
            <m:r>
              <w:rPr>
                <w:rFonts w:ascii="Cambria Math" w:hAnsi="Cambria Math"/>
              </w:rPr>
              <m:t>R</m:t>
            </m:r>
          </m:e>
          <m:sub>
            <m:r>
              <w:rPr>
                <w:rFonts w:ascii="Cambria Math" w:hAnsi="Cambria Math"/>
              </w:rPr>
              <m:t>max</m:t>
            </m:r>
          </m:sub>
        </m:sSub>
      </m:oMath>
      <w:r w:rsidR="00AE0549" w:rsidRPr="00A604A3">
        <w:rPr>
          <w:rFonts w:eastAsia="SimSun"/>
        </w:rPr>
        <w:t xml:space="preserve"> </w:t>
      </w:r>
      <w:r w:rsidRPr="00A604A3">
        <w:rPr>
          <w:rFonts w:eastAsia="SimSun"/>
        </w:rPr>
        <w:tab/>
      </w:r>
      <w:r w:rsidR="00AE0549" w:rsidRPr="00A604A3">
        <w:rPr>
          <w:rFonts w:eastAsia="SimSun"/>
        </w:rPr>
        <w:t>is the maximum code rate. In 5G NR is set to 9</w:t>
      </w:r>
      <m:oMath>
        <m:r>
          <m:rPr>
            <m:sty m:val="p"/>
          </m:rPr>
          <w:rPr>
            <w:rFonts w:ascii="Cambria Math" w:hAnsi="Cambria Math"/>
          </w:rPr>
          <m:t>48/1024</m:t>
        </m:r>
      </m:oMath>
      <w:r w:rsidR="00AE0549" w:rsidRPr="00A604A3">
        <w:rPr>
          <w:rFonts w:eastAsia="SimSun"/>
        </w:rPr>
        <w:t xml:space="preserve"> while in LTE depends on the maximum Transport block size (TBS) and the number of useful data bits.</w:t>
      </w:r>
    </w:p>
    <w:p w:rsidR="00AE0549" w:rsidRPr="00A604A3" w:rsidRDefault="00D97E03" w:rsidP="00D97E03">
      <w:pPr>
        <w:pStyle w:val="Equationlegend"/>
        <w:rPr>
          <w:rFonts w:eastAsia="SimSun"/>
          <w:lang w:eastAsia="zh-CN"/>
        </w:rPr>
      </w:pPr>
      <w:r w:rsidRPr="00A604A3">
        <w:rPr>
          <w:rFonts w:eastAsia="SimSun"/>
          <w:lang w:eastAsia="zh-CN"/>
        </w:rPr>
        <w:tab/>
      </w:r>
      <w:r w:rsidR="00AE0549" w:rsidRPr="00A604A3">
        <w:rPr>
          <w:rFonts w:eastAsia="SimSun"/>
          <w:lang w:eastAsia="zh-CN"/>
        </w:rPr>
        <w:t xml:space="preserve">µ </w:t>
      </w:r>
      <w:r w:rsidRPr="00A604A3">
        <w:rPr>
          <w:rFonts w:eastAsia="SimSun"/>
          <w:lang w:eastAsia="zh-CN"/>
        </w:rPr>
        <w:tab/>
      </w:r>
      <w:r w:rsidR="00AE0549" w:rsidRPr="00A604A3">
        <w:rPr>
          <w:rFonts w:eastAsia="SimSun"/>
          <w:lang w:eastAsia="zh-CN"/>
        </w:rPr>
        <w:t xml:space="preserve">is the numerology set in 5G NR. In 5G NR it is defined in [10] and can reach integer values between 0 and 4. LTE unicast only considers numerologies equal to 0. </w:t>
      </w:r>
    </w:p>
    <w:p w:rsidR="00AE0549" w:rsidRPr="00A604A3" w:rsidRDefault="00D97E03" w:rsidP="00D97E03">
      <w:pPr>
        <w:pStyle w:val="Equationlegend"/>
        <w:rPr>
          <w:rFonts w:eastAsia="SimSun"/>
        </w:rPr>
      </w:pPr>
      <w:r w:rsidRPr="00A604A3">
        <w:rPr>
          <w:rFonts w:eastAsia="SimSun"/>
        </w:rPr>
        <w:tab/>
      </w:r>
      <m:oMath>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µ</m:t>
            </m:r>
          </m:sup>
        </m:sSubSup>
      </m:oMath>
      <w:r w:rsidR="00AE0549" w:rsidRPr="00A604A3">
        <w:t xml:space="preserve"> </w:t>
      </w:r>
      <w:r w:rsidRPr="00A604A3">
        <w:tab/>
      </w:r>
      <w:r w:rsidR="00AE0549" w:rsidRPr="00A604A3">
        <w:t xml:space="preserve">is the average OFDM symbol duration in a subframe for numerology, </w:t>
      </w:r>
      <w:r w:rsidR="00AE0549" w:rsidRPr="00A604A3">
        <w:rPr>
          <w:rFonts w:eastAsia="SimSun"/>
          <w:lang w:eastAsia="zh-CN"/>
        </w:rPr>
        <w:t xml:space="preserve">µ, </w:t>
      </w:r>
      <w:r w:rsidR="00AE0549" w:rsidRPr="00A604A3">
        <w:t>i.e.</w:t>
      </w:r>
      <w:r w:rsidR="00AE0549" w:rsidRPr="00A604A3">
        <w:rPr>
          <w:noProof/>
          <w:position w:val="-22"/>
          <w:lang w:eastAsia="zh-CN"/>
        </w:rPr>
        <w:drawing>
          <wp:inline distT="0" distB="0" distL="0" distR="0" wp14:anchorId="35D578D8" wp14:editId="5989B7A8">
            <wp:extent cx="702310" cy="3581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r w:rsidR="00AE0549" w:rsidRPr="00A604A3">
        <w:t>. It includes the impact of the CP insertion.</w:t>
      </w:r>
    </w:p>
    <w:p w:rsidR="00AE0549" w:rsidRPr="00A604A3" w:rsidRDefault="00D97E03" w:rsidP="00D97E03">
      <w:pPr>
        <w:pStyle w:val="Equationlegend"/>
        <w:rPr>
          <w:rFonts w:eastAsia="SimSun"/>
        </w:rPr>
      </w:pPr>
      <w:r w:rsidRPr="00A604A3">
        <w:rPr>
          <w:rFonts w:eastAsia="SimSun"/>
        </w:rPr>
        <w:tab/>
      </w:r>
      <m:oMath>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rPr>
                </m:ctrlPr>
              </m:dPr>
              <m:e>
                <m:r>
                  <w:rPr>
                    <w:rFonts w:ascii="Cambria Math" w:hAnsi="Cambria Math"/>
                  </w:rPr>
                  <m:t>j</m:t>
                </m:r>
              </m:e>
            </m:d>
            <m:r>
              <m:rPr>
                <m:sty m:val="p"/>
              </m:rPr>
              <w:rPr>
                <w:rFonts w:ascii="Cambria Math" w:hAnsi="Cambria Math"/>
              </w:rPr>
              <m:t>,µ</m:t>
            </m:r>
          </m:sup>
        </m:sSubSup>
      </m:oMath>
      <w:r w:rsidR="00AE0549" w:rsidRPr="00A604A3">
        <w:rPr>
          <w:rFonts w:eastAsia="SimSun"/>
        </w:rPr>
        <w:t xml:space="preserve"> </w:t>
      </w:r>
      <w:r w:rsidRPr="00A604A3">
        <w:rPr>
          <w:rFonts w:eastAsia="SimSun"/>
        </w:rPr>
        <w:tab/>
      </w:r>
      <w:r w:rsidR="00AE0549" w:rsidRPr="00A604A3">
        <w:rPr>
          <w:rFonts w:eastAsia="SimSun"/>
        </w:rPr>
        <w:t xml:space="preserve">is the maximum RB allocation in the available system bandwidth </w:t>
      </w:r>
      <w:r w:rsidR="00AE0549" w:rsidRPr="00A604A3">
        <w:t xml:space="preserve">with numerology </w:t>
      </w:r>
      <w:r w:rsidR="00AE0549" w:rsidRPr="00A604A3">
        <w:rPr>
          <w:rFonts w:eastAsia="SimSun"/>
          <w:lang w:eastAsia="zh-CN"/>
        </w:rPr>
        <w:t>µ</w:t>
      </w:r>
      <w:r w:rsidR="00AE0549" w:rsidRPr="00A604A3">
        <w:t>. In</w:t>
      </w:r>
      <w:r w:rsidR="00AE0549" w:rsidRPr="00A604A3">
        <w:rPr>
          <w:rFonts w:eastAsia="SimSun"/>
        </w:rPr>
        <w:t xml:space="preserve"> 5G NR, [11] specifies the UE supported maximum bandwidth for a given band or band combination. In LTE, the maximum RB allocation and available system bandwidth is specified in [12]. </w:t>
      </w:r>
    </w:p>
    <w:p w:rsidR="00AE0549" w:rsidRPr="00A604A3" w:rsidRDefault="00D97E03" w:rsidP="00D97E03">
      <w:pPr>
        <w:pStyle w:val="Equationlegend"/>
        <w:rPr>
          <w:rFonts w:eastAsia="SimSun"/>
        </w:rPr>
      </w:pPr>
      <w:r w:rsidRPr="00A604A3">
        <w:rPr>
          <w:rFonts w:eastAsia="SimSun"/>
        </w:rPr>
        <w:tab/>
      </w:r>
      <m:oMath>
        <m:sSup>
          <m:sSupPr>
            <m:ctrlPr>
              <w:rPr>
                <w:rFonts w:ascii="Cambria Math" w:hAnsi="Cambria Math"/>
              </w:rPr>
            </m:ctrlPr>
          </m:sSupPr>
          <m:e>
            <m:r>
              <w:rPr>
                <w:rFonts w:ascii="Cambria Math" w:hAnsi="Cambria Math"/>
              </w:rPr>
              <m:t>OH</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is the is the overhead calculated as the average ratio of the number of REs occupied by L1/L2 control, synchronization signals, PBCH, reference signals and guard bands with respect to the total number of REs for the effective bandwidth in a 5G NR frame time product. More specific details about the overhead calculation in 5G NR and LTE are given in Annex A.</w:t>
      </w:r>
    </w:p>
    <w:p w:rsidR="00AE0549" w:rsidRPr="00A604A3" w:rsidRDefault="00521697" w:rsidP="00521697">
      <w:pPr>
        <w:pStyle w:val="Heading5"/>
        <w:rPr>
          <w:rFonts w:eastAsia="MS Mincho"/>
        </w:rPr>
      </w:pPr>
      <w:r w:rsidRPr="00A604A3">
        <w:rPr>
          <w:rFonts w:eastAsia="MS Mincho"/>
        </w:rPr>
        <w:t>II.5.1.1.2</w:t>
      </w:r>
      <w:r w:rsidRPr="00A604A3">
        <w:rPr>
          <w:rFonts w:eastAsia="MS Mincho"/>
        </w:rPr>
        <w:tab/>
      </w:r>
      <w:r w:rsidR="00AE0549" w:rsidRPr="00A604A3">
        <w:rPr>
          <w:rFonts w:eastAsia="MS Mincho"/>
        </w:rPr>
        <w:t>5G NR</w:t>
      </w:r>
    </w:p>
    <w:p w:rsidR="00AE0549" w:rsidRPr="00A604A3" w:rsidRDefault="00521697" w:rsidP="00521697">
      <w:pPr>
        <w:pStyle w:val="Heading6"/>
        <w:rPr>
          <w:rFonts w:eastAsia="MS Mincho"/>
        </w:rPr>
      </w:pPr>
      <w:r w:rsidRPr="00A604A3">
        <w:rPr>
          <w:rFonts w:eastAsia="MS Mincho"/>
        </w:rPr>
        <w:t>II.5.1.1.2.1</w:t>
      </w:r>
      <w:r w:rsidRPr="00A604A3">
        <w:rPr>
          <w:rFonts w:eastAsia="MS Mincho"/>
        </w:rPr>
        <w:tab/>
      </w:r>
      <w:r w:rsidR="00534329" w:rsidRPr="00A604A3">
        <w:rPr>
          <w:rFonts w:eastAsia="MS Mincho"/>
        </w:rPr>
        <w:tab/>
      </w:r>
      <w:r w:rsidR="00AE0549" w:rsidRPr="00A604A3">
        <w:rPr>
          <w:rFonts w:eastAsia="MS Mincho"/>
        </w:rPr>
        <w:t>Downlink</w:t>
      </w:r>
    </w:p>
    <w:p w:rsidR="00AE0549" w:rsidRPr="00A604A3" w:rsidRDefault="00AE0549" w:rsidP="00521697">
      <w:pPr>
        <w:rPr>
          <w:rFonts w:eastAsia="MS Mincho"/>
        </w:rPr>
      </w:pPr>
      <w:r w:rsidRPr="00A604A3">
        <w:rPr>
          <w:rFonts w:eastAsia="MS Mincho"/>
        </w:rPr>
        <w:t xml:space="preserve">DL peak data rate is calculated for FDD (Table 3) and TDD modes (Table 4). For FDD, peak data rate is only calculated for the frequency range 1 (FR1) between 450 MHz and 6000 MHz in order to ensure minimum efficiency levels. For TDD, peak data rate is calculated in both FR1 and FR2 (24.25 GHz – 52.6 GHz). Peak data rate values have been calculated per component carrier with SISO and MIMO schemes and different aggregated component </w:t>
      </w:r>
      <w:r w:rsidRPr="00A604A3">
        <w:rPr>
          <w:rFonts w:eastAsia="MS Mincho"/>
        </w:rPr>
        <w:lastRenderedPageBreak/>
        <w:t>carrier levels for both antenna configurations. Detailed parameter assumptions are given in Annex A.</w:t>
      </w:r>
    </w:p>
    <w:p w:rsidR="00AE0549" w:rsidRPr="00A604A3" w:rsidRDefault="00534329" w:rsidP="00534329">
      <w:pPr>
        <w:pStyle w:val="Heading7"/>
        <w:rPr>
          <w:rFonts w:eastAsia="MS Mincho"/>
        </w:rPr>
      </w:pPr>
      <w:r w:rsidRPr="00A604A3">
        <w:rPr>
          <w:rFonts w:eastAsia="MS Mincho"/>
        </w:rPr>
        <w:t>II.5.1.1.2.1.1</w:t>
      </w:r>
      <w:r w:rsidRPr="00A604A3">
        <w:rPr>
          <w:rFonts w:eastAsia="MS Mincho"/>
        </w:rPr>
        <w:tab/>
      </w:r>
      <w:r w:rsidR="00AE0549" w:rsidRPr="00A604A3">
        <w:rPr>
          <w:rFonts w:eastAsia="MS Mincho"/>
        </w:rPr>
        <w:t>FDD RIT</w:t>
      </w:r>
    </w:p>
    <w:p w:rsidR="00AE0549" w:rsidRPr="00A604A3" w:rsidRDefault="00AE0549" w:rsidP="00534329">
      <w:pPr>
        <w:spacing w:after="240"/>
        <w:rPr>
          <w:rFonts w:eastAsia="MS Mincho"/>
        </w:rPr>
      </w:pPr>
      <w:r w:rsidRPr="00A604A3">
        <w:rPr>
          <w:rFonts w:eastAsia="MS Mincho"/>
        </w:rPr>
        <w:t>Considering an FDD configuration where all resources are assigned to DL transmissions, the obtained peak date rate values are calculated as follows:</w:t>
      </w:r>
    </w:p>
    <w:p w:rsidR="00534329" w:rsidRPr="00A604A3" w:rsidRDefault="00534329" w:rsidP="00534329">
      <w:pPr>
        <w:pStyle w:val="TableNo"/>
      </w:pPr>
      <w:bookmarkStart w:id="33" w:name="_Ref536805363"/>
      <w:r w:rsidRPr="00A604A3">
        <w:t>TABLE 3</w:t>
      </w:r>
    </w:p>
    <w:p w:rsidR="00534329" w:rsidRPr="00A604A3" w:rsidRDefault="00534329" w:rsidP="00534329">
      <w:pPr>
        <w:pStyle w:val="Tabletitle"/>
      </w:pPr>
      <w:r w:rsidRPr="00A604A3">
        <w:t>NR FDD DL peak data rate values</w:t>
      </w:r>
      <w:bookmarkEnd w:id="33"/>
      <w:r w:rsidRPr="00A604A3">
        <w:t xml:space="preserve"> (CC – component carrier)</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600" w:firstRow="0" w:lastRow="0" w:firstColumn="0" w:lastColumn="0" w:noHBand="1" w:noVBand="1"/>
      </w:tblPr>
      <w:tblGrid>
        <w:gridCol w:w="554"/>
        <w:gridCol w:w="557"/>
        <w:gridCol w:w="914"/>
        <w:gridCol w:w="995"/>
        <w:gridCol w:w="994"/>
        <w:gridCol w:w="994"/>
        <w:gridCol w:w="997"/>
        <w:gridCol w:w="997"/>
        <w:gridCol w:w="997"/>
        <w:gridCol w:w="905"/>
      </w:tblGrid>
      <w:tr w:rsidR="00AE0549" w:rsidRPr="00A604A3" w:rsidTr="00534329">
        <w:trPr>
          <w:jc w:val="center"/>
        </w:trPr>
        <w:tc>
          <w:tcPr>
            <w:tcW w:w="624" w:type="pct"/>
            <w:gridSpan w:val="2"/>
            <w:vAlign w:val="center"/>
          </w:tcPr>
          <w:p w:rsidR="00AE0549" w:rsidRPr="00A604A3" w:rsidRDefault="00AE0549" w:rsidP="00534329">
            <w:pPr>
              <w:pStyle w:val="Tablehead"/>
              <w:rPr>
                <w:rFonts w:eastAsia="Yu Mincho"/>
                <w:sz w:val="18"/>
                <w:szCs w:val="18"/>
              </w:rPr>
            </w:pPr>
            <w:r w:rsidRPr="00A604A3">
              <w:rPr>
                <w:rFonts w:eastAsia="Yu Mincho"/>
                <w:sz w:val="18"/>
                <w:szCs w:val="18"/>
              </w:rPr>
              <w:t>SCS [kHz]</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head"/>
              <w:rPr>
                <w:rFonts w:eastAsia="Yu Mincho"/>
                <w:sz w:val="18"/>
                <w:szCs w:val="18"/>
              </w:rPr>
            </w:pPr>
            <w:r w:rsidRPr="00A604A3">
              <w:rPr>
                <w:rFonts w:eastAsia="Yu Mincho"/>
                <w:sz w:val="18"/>
                <w:szCs w:val="18"/>
              </w:rPr>
              <w:t>Per CC BW (MHz)</w:t>
            </w:r>
          </w:p>
        </w:tc>
        <w:tc>
          <w:tcPr>
            <w:tcW w:w="559" w:type="pct"/>
            <w:vAlign w:val="center"/>
          </w:tcPr>
          <w:p w:rsidR="00AE0549" w:rsidRPr="00A604A3" w:rsidRDefault="00AE0549" w:rsidP="00534329">
            <w:pPr>
              <w:pStyle w:val="Tablehead"/>
              <w:rPr>
                <w:rFonts w:eastAsia="Yu Mincho"/>
                <w:sz w:val="18"/>
                <w:szCs w:val="18"/>
              </w:rPr>
            </w:pPr>
            <w:r w:rsidRPr="00A604A3">
              <w:rPr>
                <w:rFonts w:eastAsia="Yu Mincho"/>
                <w:sz w:val="18"/>
                <w:szCs w:val="18"/>
              </w:rPr>
              <w:t>Peak data rate per CC, SISO (Gbits/s)</w:t>
            </w:r>
          </w:p>
        </w:tc>
        <w:tc>
          <w:tcPr>
            <w:tcW w:w="558" w:type="pct"/>
            <w:vAlign w:val="center"/>
          </w:tcPr>
          <w:p w:rsidR="00AE0549" w:rsidRPr="00A604A3" w:rsidRDefault="00AE0549" w:rsidP="00534329">
            <w:pPr>
              <w:pStyle w:val="Tablehead"/>
              <w:rPr>
                <w:rFonts w:eastAsia="Yu Mincho"/>
                <w:sz w:val="18"/>
                <w:szCs w:val="18"/>
              </w:rPr>
            </w:pPr>
            <w:r w:rsidRPr="00A604A3">
              <w:rPr>
                <w:rFonts w:eastAsia="Yu Mincho"/>
                <w:sz w:val="18"/>
                <w:szCs w:val="18"/>
              </w:rPr>
              <w:t>Number of Layers</w:t>
            </w:r>
          </w:p>
        </w:tc>
        <w:tc>
          <w:tcPr>
            <w:tcW w:w="558" w:type="pct"/>
            <w:shd w:val="clear" w:color="auto" w:fill="auto"/>
            <w:tcMar>
              <w:top w:w="15" w:type="dxa"/>
              <w:left w:w="81" w:type="dxa"/>
              <w:bottom w:w="0" w:type="dxa"/>
              <w:right w:w="81" w:type="dxa"/>
            </w:tcMar>
            <w:vAlign w:val="center"/>
            <w:hideMark/>
          </w:tcPr>
          <w:p w:rsidR="00AE0549" w:rsidRPr="00A604A3" w:rsidRDefault="00AE0549" w:rsidP="00534329">
            <w:pPr>
              <w:pStyle w:val="Tablehead"/>
              <w:rPr>
                <w:rFonts w:eastAsia="Yu Mincho"/>
                <w:sz w:val="18"/>
                <w:szCs w:val="18"/>
              </w:rPr>
            </w:pPr>
            <w:r w:rsidRPr="00A604A3">
              <w:rPr>
                <w:rFonts w:eastAsia="Yu Mincho"/>
                <w:sz w:val="18"/>
                <w:szCs w:val="18"/>
              </w:rPr>
              <w:t>Peak data rate per CC, MIMO (Gbit/s)</w:t>
            </w:r>
          </w:p>
        </w:tc>
        <w:tc>
          <w:tcPr>
            <w:tcW w:w="560" w:type="pct"/>
            <w:vAlign w:val="center"/>
          </w:tcPr>
          <w:p w:rsidR="00AE0549" w:rsidRPr="00A604A3" w:rsidRDefault="00AE0549" w:rsidP="00534329">
            <w:pPr>
              <w:pStyle w:val="Tablehead"/>
              <w:rPr>
                <w:rFonts w:eastAsia="SimSun"/>
                <w:bCs/>
                <w:sz w:val="18"/>
                <w:szCs w:val="18"/>
                <w:lang w:eastAsia="zh-CN"/>
              </w:rPr>
            </w:pPr>
            <w:r w:rsidRPr="00A604A3">
              <w:rPr>
                <w:rFonts w:eastAsia="SimSun"/>
                <w:bCs/>
                <w:sz w:val="18"/>
                <w:szCs w:val="18"/>
                <w:lang w:eastAsia="zh-CN"/>
              </w:rPr>
              <w:t>Number of CC</w:t>
            </w:r>
          </w:p>
        </w:tc>
        <w:tc>
          <w:tcPr>
            <w:tcW w:w="560" w:type="pct"/>
            <w:vAlign w:val="center"/>
          </w:tcPr>
          <w:p w:rsidR="00AE0549" w:rsidRPr="00A604A3" w:rsidRDefault="00AE0549" w:rsidP="00534329">
            <w:pPr>
              <w:pStyle w:val="Tablehead"/>
              <w:rPr>
                <w:rFonts w:eastAsia="SimSun"/>
                <w:bCs/>
                <w:sz w:val="18"/>
                <w:szCs w:val="18"/>
                <w:lang w:eastAsia="zh-CN"/>
              </w:rPr>
            </w:pPr>
            <w:r w:rsidRPr="00A604A3">
              <w:rPr>
                <w:rFonts w:eastAsia="SimSun"/>
                <w:bCs/>
                <w:sz w:val="18"/>
                <w:szCs w:val="18"/>
                <w:lang w:eastAsia="zh-CN"/>
              </w:rPr>
              <w:t xml:space="preserve">Aggregated peak data rate SISO </w:t>
            </w:r>
            <w:r w:rsidRPr="00A604A3">
              <w:rPr>
                <w:rFonts w:eastAsia="Yu Mincho"/>
                <w:sz w:val="18"/>
                <w:szCs w:val="18"/>
              </w:rPr>
              <w:t>(Gbit/s)</w:t>
            </w:r>
          </w:p>
        </w:tc>
        <w:tc>
          <w:tcPr>
            <w:tcW w:w="560" w:type="pct"/>
            <w:vAlign w:val="center"/>
          </w:tcPr>
          <w:p w:rsidR="00AE0549" w:rsidRPr="00A604A3" w:rsidRDefault="00AE0549" w:rsidP="00534329">
            <w:pPr>
              <w:pStyle w:val="Tablehead"/>
              <w:rPr>
                <w:rFonts w:eastAsia="Yu Mincho"/>
                <w:bCs/>
                <w:sz w:val="18"/>
                <w:szCs w:val="18"/>
              </w:rPr>
            </w:pPr>
            <w:r w:rsidRPr="00A604A3">
              <w:rPr>
                <w:rFonts w:eastAsia="SimSun"/>
                <w:bCs/>
                <w:sz w:val="18"/>
                <w:szCs w:val="18"/>
                <w:lang w:eastAsia="zh-CN"/>
              </w:rPr>
              <w:t>Aggregated peak data rate MIMO (Gbit/s)</w:t>
            </w:r>
          </w:p>
        </w:tc>
        <w:tc>
          <w:tcPr>
            <w:tcW w:w="508" w:type="pct"/>
            <w:vAlign w:val="center"/>
          </w:tcPr>
          <w:p w:rsidR="00AE0549" w:rsidRPr="00A604A3" w:rsidRDefault="00AE0549" w:rsidP="00534329">
            <w:pPr>
              <w:pStyle w:val="Tablehead"/>
              <w:rPr>
                <w:rFonts w:eastAsia="SimSun"/>
                <w:sz w:val="18"/>
                <w:szCs w:val="18"/>
                <w:lang w:eastAsia="zh-CN"/>
              </w:rPr>
            </w:pPr>
            <w:r w:rsidRPr="00A604A3">
              <w:rPr>
                <w:rFonts w:eastAsia="SimSun"/>
                <w:sz w:val="18"/>
                <w:szCs w:val="18"/>
                <w:lang w:eastAsia="zh-CN"/>
              </w:rPr>
              <w:t xml:space="preserve">Req. </w:t>
            </w:r>
            <w:r w:rsidRPr="00A604A3">
              <w:rPr>
                <w:rFonts w:eastAsia="Yu Mincho"/>
                <w:bCs/>
                <w:sz w:val="18"/>
                <w:szCs w:val="18"/>
              </w:rPr>
              <w:t>(Gbit/s)</w:t>
            </w:r>
          </w:p>
        </w:tc>
      </w:tr>
      <w:tr w:rsidR="00AE0549" w:rsidRPr="00A604A3" w:rsidTr="00534329">
        <w:trPr>
          <w:jc w:val="center"/>
        </w:trPr>
        <w:tc>
          <w:tcPr>
            <w:tcW w:w="311"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FR1</w:t>
            </w: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keepNext/>
              <w:jc w:val="center"/>
              <w:rPr>
                <w:rFonts w:eastAsia="Yu Mincho"/>
                <w:sz w:val="18"/>
                <w:szCs w:val="18"/>
              </w:rPr>
            </w:pPr>
            <w:r w:rsidRPr="00A604A3">
              <w:rPr>
                <w:rFonts w:eastAsia="Yu Mincho"/>
                <w:sz w:val="18"/>
                <w:szCs w:val="18"/>
              </w:rPr>
              <w:t>15</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keepNext/>
              <w:jc w:val="center"/>
              <w:rPr>
                <w:rFonts w:eastAsia="Yu Mincho"/>
                <w:sz w:val="18"/>
                <w:szCs w:val="18"/>
              </w:rPr>
            </w:pPr>
            <w:r w:rsidRPr="00A604A3">
              <w:rPr>
                <w:rFonts w:eastAsia="Yu Mincho"/>
                <w:sz w:val="18"/>
                <w:szCs w:val="18"/>
              </w:rPr>
              <w:t>50</w:t>
            </w:r>
          </w:p>
        </w:tc>
        <w:tc>
          <w:tcPr>
            <w:tcW w:w="559"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0.30</w:t>
            </w:r>
          </w:p>
        </w:tc>
        <w:tc>
          <w:tcPr>
            <w:tcW w:w="558"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8</w:t>
            </w: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2.40</w:t>
            </w:r>
          </w:p>
        </w:tc>
        <w:tc>
          <w:tcPr>
            <w:tcW w:w="560"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16</w:t>
            </w:r>
          </w:p>
        </w:tc>
        <w:tc>
          <w:tcPr>
            <w:tcW w:w="560"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4.81</w:t>
            </w:r>
          </w:p>
        </w:tc>
        <w:tc>
          <w:tcPr>
            <w:tcW w:w="560"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38.54</w:t>
            </w:r>
          </w:p>
        </w:tc>
        <w:tc>
          <w:tcPr>
            <w:tcW w:w="508"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20</w:t>
            </w:r>
          </w:p>
        </w:tc>
      </w:tr>
      <w:tr w:rsidR="00AE0549" w:rsidRPr="00A604A3" w:rsidTr="00534329">
        <w:trPr>
          <w:jc w:val="center"/>
        </w:trPr>
        <w:tc>
          <w:tcPr>
            <w:tcW w:w="311" w:type="pct"/>
            <w:vMerge/>
            <w:vAlign w:val="center"/>
          </w:tcPr>
          <w:p w:rsidR="00AE0549" w:rsidRPr="00A604A3" w:rsidRDefault="00AE0549" w:rsidP="00534329">
            <w:pPr>
              <w:pStyle w:val="Tabletext"/>
              <w:jc w:val="center"/>
              <w:rPr>
                <w:rFonts w:eastAsia="Yu Mincho"/>
                <w:sz w:val="18"/>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30</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100</w:t>
            </w:r>
          </w:p>
        </w:tc>
        <w:tc>
          <w:tcPr>
            <w:tcW w:w="559"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0.60</w:t>
            </w:r>
          </w:p>
        </w:tc>
        <w:tc>
          <w:tcPr>
            <w:tcW w:w="558" w:type="pct"/>
            <w:vMerge/>
            <w:vAlign w:val="center"/>
          </w:tcPr>
          <w:p w:rsidR="00AE0549" w:rsidRPr="00A604A3" w:rsidRDefault="00AE0549" w:rsidP="00534329">
            <w:pPr>
              <w:pStyle w:val="Tabletext"/>
              <w:jc w:val="center"/>
              <w:rPr>
                <w:rFonts w:eastAsia="SimSun"/>
                <w:sz w:val="18"/>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4.87</w:t>
            </w:r>
          </w:p>
        </w:tc>
        <w:tc>
          <w:tcPr>
            <w:tcW w:w="560" w:type="pct"/>
            <w:vMerge/>
            <w:vAlign w:val="center"/>
          </w:tcPr>
          <w:p w:rsidR="00AE0549" w:rsidRPr="00A604A3" w:rsidRDefault="00AE0549" w:rsidP="00534329">
            <w:pPr>
              <w:pStyle w:val="Tabletext"/>
              <w:jc w:val="center"/>
              <w:rPr>
                <w:rFonts w:eastAsia="SimSun"/>
                <w:sz w:val="18"/>
                <w:szCs w:val="18"/>
                <w:lang w:eastAsia="zh-CN"/>
              </w:rPr>
            </w:pP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9.75</w:t>
            </w: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78.05</w:t>
            </w:r>
          </w:p>
        </w:tc>
        <w:tc>
          <w:tcPr>
            <w:tcW w:w="508" w:type="pct"/>
            <w:vMerge/>
            <w:vAlign w:val="center"/>
          </w:tcPr>
          <w:p w:rsidR="00AE0549" w:rsidRPr="00A604A3" w:rsidRDefault="00AE0549" w:rsidP="00534329">
            <w:pPr>
              <w:pStyle w:val="Tabletext"/>
              <w:jc w:val="center"/>
              <w:rPr>
                <w:rFonts w:eastAsia="SimSun"/>
                <w:sz w:val="18"/>
                <w:szCs w:val="18"/>
                <w:lang w:eastAsia="zh-CN"/>
              </w:rPr>
            </w:pPr>
          </w:p>
        </w:tc>
      </w:tr>
      <w:tr w:rsidR="00AE0549" w:rsidRPr="00A604A3" w:rsidTr="00534329">
        <w:trPr>
          <w:jc w:val="center"/>
        </w:trPr>
        <w:tc>
          <w:tcPr>
            <w:tcW w:w="311" w:type="pct"/>
            <w:vMerge/>
            <w:vAlign w:val="center"/>
          </w:tcPr>
          <w:p w:rsidR="00AE0549" w:rsidRPr="00A604A3" w:rsidRDefault="00AE0549" w:rsidP="00534329">
            <w:pPr>
              <w:pStyle w:val="Tabletext"/>
              <w:jc w:val="center"/>
              <w:rPr>
                <w:rFonts w:eastAsia="Yu Mincho"/>
                <w:sz w:val="18"/>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60</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100</w:t>
            </w:r>
          </w:p>
        </w:tc>
        <w:tc>
          <w:tcPr>
            <w:tcW w:w="559"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0.59</w:t>
            </w:r>
          </w:p>
        </w:tc>
        <w:tc>
          <w:tcPr>
            <w:tcW w:w="558" w:type="pct"/>
            <w:vMerge/>
            <w:vAlign w:val="center"/>
          </w:tcPr>
          <w:p w:rsidR="00AE0549" w:rsidRPr="00A604A3" w:rsidRDefault="00AE0549" w:rsidP="00534329">
            <w:pPr>
              <w:pStyle w:val="Tabletext"/>
              <w:jc w:val="center"/>
              <w:rPr>
                <w:rFonts w:eastAsia="SimSun"/>
                <w:sz w:val="18"/>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4.78</w:t>
            </w:r>
          </w:p>
        </w:tc>
        <w:tc>
          <w:tcPr>
            <w:tcW w:w="560" w:type="pct"/>
            <w:vMerge/>
            <w:vAlign w:val="center"/>
          </w:tcPr>
          <w:p w:rsidR="00AE0549" w:rsidRPr="00A604A3" w:rsidRDefault="00AE0549" w:rsidP="00534329">
            <w:pPr>
              <w:pStyle w:val="Tabletext"/>
              <w:jc w:val="center"/>
              <w:rPr>
                <w:rFonts w:eastAsia="SimSun"/>
                <w:sz w:val="18"/>
                <w:szCs w:val="18"/>
                <w:lang w:eastAsia="zh-CN"/>
              </w:rPr>
            </w:pP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9.57</w:t>
            </w: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76.62</w:t>
            </w:r>
          </w:p>
        </w:tc>
        <w:tc>
          <w:tcPr>
            <w:tcW w:w="508" w:type="pct"/>
            <w:vMerge/>
            <w:vAlign w:val="center"/>
          </w:tcPr>
          <w:p w:rsidR="00AE0549" w:rsidRPr="00A604A3" w:rsidRDefault="00AE0549" w:rsidP="00534329">
            <w:pPr>
              <w:pStyle w:val="Tabletext"/>
              <w:jc w:val="center"/>
              <w:rPr>
                <w:rFonts w:eastAsia="SimSun"/>
                <w:sz w:val="18"/>
                <w:szCs w:val="18"/>
                <w:lang w:eastAsia="zh-CN"/>
              </w:rPr>
            </w:pPr>
          </w:p>
        </w:tc>
      </w:tr>
    </w:tbl>
    <w:p w:rsidR="00AE0549" w:rsidRPr="00A604A3" w:rsidRDefault="00AE0549" w:rsidP="00534329">
      <w:pPr>
        <w:pStyle w:val="Tablefin"/>
      </w:pPr>
    </w:p>
    <w:p w:rsidR="00AE0549" w:rsidRPr="00A604A3" w:rsidRDefault="00534329" w:rsidP="00534329">
      <w:pPr>
        <w:pStyle w:val="Heading7"/>
        <w:rPr>
          <w:rFonts w:eastAsia="MS Mincho"/>
        </w:rPr>
      </w:pPr>
      <w:r w:rsidRPr="00A604A3">
        <w:rPr>
          <w:rFonts w:eastAsia="MS Mincho"/>
        </w:rPr>
        <w:t>II.5.1.1.2.1.2</w:t>
      </w:r>
      <w:r w:rsidRPr="00A604A3">
        <w:rPr>
          <w:rFonts w:eastAsia="MS Mincho"/>
        </w:rPr>
        <w:tab/>
      </w:r>
      <w:r w:rsidR="00AE0549" w:rsidRPr="00A604A3">
        <w:rPr>
          <w:rFonts w:eastAsia="MS Mincho"/>
        </w:rPr>
        <w:t>TDD RIT</w:t>
      </w:r>
    </w:p>
    <w:p w:rsidR="00AE0549" w:rsidRPr="00A604A3" w:rsidRDefault="00AE0549" w:rsidP="00D74638">
      <w:pPr>
        <w:spacing w:after="120"/>
        <w:rPr>
          <w:rFonts w:eastAsia="MS Mincho"/>
        </w:rPr>
      </w:pPr>
      <w:r w:rsidRPr="00A604A3">
        <w:rPr>
          <w:rFonts w:eastAsia="MS Mincho"/>
        </w:rPr>
        <w:t>Following the same procedure, TDD DL peak data rate values are calculated:</w:t>
      </w:r>
    </w:p>
    <w:p w:rsidR="00D74638" w:rsidRPr="00A604A3" w:rsidRDefault="00D74638" w:rsidP="00D74638">
      <w:pPr>
        <w:pStyle w:val="TableNo"/>
      </w:pPr>
      <w:bookmarkStart w:id="34" w:name="_Ref536805364"/>
      <w:r w:rsidRPr="00A604A3">
        <w:t>tABLE 4</w:t>
      </w:r>
    </w:p>
    <w:p w:rsidR="00D74638" w:rsidRPr="00A604A3" w:rsidRDefault="00D74638" w:rsidP="00D74638">
      <w:pPr>
        <w:pStyle w:val="Tabletitle"/>
      </w:pPr>
      <w:r w:rsidRPr="00A604A3">
        <w:t>NR TDD DL peak data rate values</w:t>
      </w:r>
      <w:bookmarkEnd w:id="34"/>
      <w:r w:rsidRPr="00A604A3">
        <w:t xml:space="preserve"> (CC – component carrier)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4"/>
        <w:gridCol w:w="586"/>
        <w:gridCol w:w="952"/>
        <w:gridCol w:w="1037"/>
        <w:gridCol w:w="921"/>
        <w:gridCol w:w="921"/>
        <w:gridCol w:w="921"/>
        <w:gridCol w:w="1037"/>
        <w:gridCol w:w="1037"/>
        <w:gridCol w:w="1030"/>
      </w:tblGrid>
      <w:tr w:rsidR="00AE0549" w:rsidRPr="00A604A3" w:rsidTr="00470885">
        <w:trPr>
          <w:jc w:val="center"/>
        </w:trPr>
        <w:tc>
          <w:tcPr>
            <w:tcW w:w="643"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28"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75"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w:t>
            </w:r>
          </w:p>
        </w:tc>
        <w:tc>
          <w:tcPr>
            <w:tcW w:w="511"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11"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11"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CC</w:t>
            </w:r>
          </w:p>
        </w:tc>
        <w:tc>
          <w:tcPr>
            <w:tcW w:w="575"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75"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71"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1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FR1</w:t>
            </w: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15</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50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0.22</w:t>
            </w:r>
          </w:p>
        </w:tc>
        <w:tc>
          <w:tcPr>
            <w:tcW w:w="511" w:type="pct"/>
            <w:vMerge w:val="restart"/>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8</w:t>
            </w: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1.80</w:t>
            </w:r>
          </w:p>
        </w:tc>
        <w:tc>
          <w:tcPr>
            <w:tcW w:w="511" w:type="pct"/>
            <w:vMerge w:val="restart"/>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16</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3.61</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28.94</w:t>
            </w:r>
          </w:p>
        </w:tc>
        <w:tc>
          <w:tcPr>
            <w:tcW w:w="571"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20</w:t>
            </w: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30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0.45</w:t>
            </w:r>
          </w:p>
        </w:tc>
        <w:tc>
          <w:tcPr>
            <w:tcW w:w="511" w:type="pct"/>
            <w:vMerge/>
            <w:vAlign w:val="center"/>
          </w:tcPr>
          <w:p w:rsidR="00AE0549" w:rsidRPr="00A604A3" w:rsidRDefault="00AE0549" w:rsidP="00470885">
            <w:pPr>
              <w:keepLines/>
              <w:spacing w:before="40" w:after="40"/>
              <w:jc w:val="center"/>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3.66</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7.32</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58.62</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60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0.44</w:t>
            </w:r>
          </w:p>
        </w:tc>
        <w:tc>
          <w:tcPr>
            <w:tcW w:w="511"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3.59</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7.19</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57.52</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FR2</w:t>
            </w: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60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0.89</w:t>
            </w:r>
          </w:p>
        </w:tc>
        <w:tc>
          <w:tcPr>
            <w:tcW w:w="511" w:type="pct"/>
            <w:vMerge w:val="restart"/>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6</w:t>
            </w: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5.39</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13.19</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86.31</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120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400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1.80</w:t>
            </w:r>
          </w:p>
        </w:tc>
        <w:tc>
          <w:tcPr>
            <w:tcW w:w="511"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10.85</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26.51</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173.57</w:t>
            </w:r>
          </w:p>
        </w:tc>
        <w:tc>
          <w:tcPr>
            <w:tcW w:w="571" w:type="pct"/>
            <w:vMerge/>
            <w:vAlign w:val="center"/>
          </w:tcPr>
          <w:p w:rsidR="00AE0549" w:rsidRPr="00A604A3" w:rsidRDefault="00AE0549" w:rsidP="00470885">
            <w:pPr>
              <w:keepNext/>
              <w:keepLines/>
              <w:overflowPunct/>
              <w:autoSpaceDE/>
              <w:autoSpaceDN/>
              <w:adjustRightInd/>
              <w:spacing w:before="40" w:after="40"/>
              <w:jc w:val="center"/>
              <w:textAlignment w:val="auto"/>
              <w:rPr>
                <w:rFonts w:ascii="Arial" w:eastAsia="SimSun" w:hAnsi="Arial" w:cs="Arial"/>
                <w:sz w:val="18"/>
                <w:szCs w:val="18"/>
                <w:lang w:eastAsia="zh-CN"/>
              </w:rPr>
            </w:pPr>
          </w:p>
        </w:tc>
      </w:tr>
    </w:tbl>
    <w:p w:rsidR="00AE0549" w:rsidRPr="00A604A3" w:rsidRDefault="00AE0549" w:rsidP="00D74638">
      <w:pPr>
        <w:pStyle w:val="Tablefin"/>
      </w:pPr>
    </w:p>
    <w:p w:rsidR="00AE0549" w:rsidRPr="00A604A3" w:rsidRDefault="00D74638" w:rsidP="00D74638">
      <w:pPr>
        <w:pStyle w:val="Heading6"/>
        <w:rPr>
          <w:rFonts w:eastAsia="MS Mincho"/>
        </w:rPr>
      </w:pPr>
      <w:r w:rsidRPr="00A604A3">
        <w:rPr>
          <w:rFonts w:eastAsia="MS Mincho"/>
        </w:rPr>
        <w:t>II.5.1.1.2.2</w:t>
      </w:r>
      <w:r w:rsidRPr="00A604A3">
        <w:rPr>
          <w:rFonts w:eastAsia="MS Mincho"/>
        </w:rPr>
        <w:tab/>
      </w:r>
      <w:r w:rsidRPr="00A604A3">
        <w:rPr>
          <w:rFonts w:eastAsia="MS Mincho"/>
        </w:rPr>
        <w:tab/>
      </w:r>
      <w:r w:rsidR="00AE0549" w:rsidRPr="00A604A3">
        <w:rPr>
          <w:rFonts w:eastAsia="MS Mincho"/>
        </w:rPr>
        <w:t>Uplink</w:t>
      </w:r>
    </w:p>
    <w:p w:rsidR="00AE0549" w:rsidRPr="00A604A3" w:rsidRDefault="00AE0549" w:rsidP="00D74638">
      <w:pPr>
        <w:rPr>
          <w:rFonts w:eastAsia="MS Mincho"/>
        </w:rPr>
      </w:pPr>
      <w:r w:rsidRPr="00A604A3">
        <w:rPr>
          <w:rFonts w:eastAsia="MS Mincho"/>
        </w:rPr>
        <w:t xml:space="preserve">UL peak data rate is calculated for FDD (Table 5) and TDD modes (Table 6). For FDD, peak data rate is only evaluated in FR1. For TDD, peak data rate is calculated in both FR1 and FR2. Same SISO and MIMO assumptions with single and carrier aggregation levels are considered. The rest of assumptions is described in Annex A. </w:t>
      </w:r>
    </w:p>
    <w:p w:rsidR="00AE0549" w:rsidRPr="00A604A3" w:rsidRDefault="00D74638" w:rsidP="00D74638">
      <w:pPr>
        <w:pStyle w:val="Heading7"/>
        <w:spacing w:after="120"/>
        <w:rPr>
          <w:rFonts w:eastAsia="MS Mincho"/>
        </w:rPr>
      </w:pPr>
      <w:r w:rsidRPr="00A604A3">
        <w:rPr>
          <w:rFonts w:eastAsia="MS Mincho"/>
        </w:rPr>
        <w:lastRenderedPageBreak/>
        <w:t>II.5.1.1.2.2.1</w:t>
      </w:r>
      <w:r w:rsidRPr="00A604A3">
        <w:rPr>
          <w:rFonts w:eastAsia="MS Mincho"/>
        </w:rPr>
        <w:tab/>
      </w:r>
      <w:r w:rsidR="00AE0549" w:rsidRPr="00A604A3">
        <w:rPr>
          <w:rFonts w:eastAsia="MS Mincho"/>
        </w:rPr>
        <w:t>FDD RIT</w:t>
      </w:r>
    </w:p>
    <w:p w:rsidR="00D74638" w:rsidRPr="00A604A3" w:rsidRDefault="00D74638" w:rsidP="00D74638">
      <w:pPr>
        <w:pStyle w:val="TableNo"/>
      </w:pPr>
      <w:bookmarkStart w:id="35" w:name="_Ref24369079"/>
      <w:r w:rsidRPr="00A604A3">
        <w:t>TABLE 5</w:t>
      </w:r>
    </w:p>
    <w:p w:rsidR="00D74638" w:rsidRPr="00A604A3" w:rsidRDefault="00D74638" w:rsidP="00D74638">
      <w:pPr>
        <w:pStyle w:val="Tabletitle"/>
      </w:pPr>
      <w:r w:rsidRPr="00A604A3">
        <w:t>NR FDD UL RIT</w:t>
      </w:r>
      <w:bookmarkEnd w:id="35"/>
      <w:r w:rsidRPr="00A604A3">
        <w:t xml:space="preserve"> (CC – component carrier)</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54"/>
        <w:gridCol w:w="557"/>
        <w:gridCol w:w="914"/>
        <w:gridCol w:w="995"/>
        <w:gridCol w:w="994"/>
        <w:gridCol w:w="994"/>
        <w:gridCol w:w="997"/>
        <w:gridCol w:w="997"/>
        <w:gridCol w:w="997"/>
        <w:gridCol w:w="905"/>
      </w:tblGrid>
      <w:tr w:rsidR="00AE0549" w:rsidRPr="00A604A3" w:rsidTr="00470885">
        <w:trPr>
          <w:jc w:val="center"/>
        </w:trPr>
        <w:tc>
          <w:tcPr>
            <w:tcW w:w="624"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59"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(Gbits/s)</w:t>
            </w:r>
          </w:p>
        </w:tc>
        <w:tc>
          <w:tcPr>
            <w:tcW w:w="558"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58"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60" w:type="pct"/>
            <w:vAlign w:val="center"/>
          </w:tcPr>
          <w:p w:rsidR="00AE0549" w:rsidRPr="00A604A3" w:rsidRDefault="00AE0549" w:rsidP="00470885">
            <w:pPr>
              <w:keepNext/>
              <w:keepLines/>
              <w:spacing w:before="0"/>
              <w:jc w:val="center"/>
              <w:rPr>
                <w:rFonts w:eastAsia="SimSun"/>
                <w:b/>
                <w:bCs/>
                <w:sz w:val="18"/>
                <w:lang w:eastAsia="zh-CN"/>
              </w:rPr>
            </w:pPr>
            <w:r w:rsidRPr="00A604A3">
              <w:rPr>
                <w:rFonts w:eastAsia="SimSun"/>
                <w:b/>
                <w:bCs/>
                <w:sz w:val="18"/>
                <w:lang w:eastAsia="zh-CN"/>
              </w:rPr>
              <w:t>Number of CC</w:t>
            </w:r>
          </w:p>
        </w:tc>
        <w:tc>
          <w:tcPr>
            <w:tcW w:w="560" w:type="pct"/>
            <w:vAlign w:val="center"/>
          </w:tcPr>
          <w:p w:rsidR="00AE0549" w:rsidRPr="00A604A3" w:rsidRDefault="00AE0549" w:rsidP="00470885">
            <w:pPr>
              <w:keepNext/>
              <w:keepLines/>
              <w:spacing w:before="0"/>
              <w:jc w:val="center"/>
              <w:rPr>
                <w:rFonts w:eastAsia="SimSun"/>
                <w:b/>
                <w:bCs/>
                <w:sz w:val="18"/>
                <w:lang w:eastAsia="zh-CN"/>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60"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08"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11"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FR1</w:t>
            </w: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15</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50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0.30</w:t>
            </w:r>
          </w:p>
        </w:tc>
        <w:tc>
          <w:tcPr>
            <w:tcW w:w="558"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4</w:t>
            </w: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1.22</w:t>
            </w:r>
          </w:p>
        </w:tc>
        <w:tc>
          <w:tcPr>
            <w:tcW w:w="560"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16</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4.90</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19.60</w:t>
            </w:r>
          </w:p>
        </w:tc>
        <w:tc>
          <w:tcPr>
            <w:tcW w:w="50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10</w:t>
            </w:r>
          </w:p>
        </w:tc>
      </w:tr>
      <w:tr w:rsidR="00AE0549" w:rsidRPr="00A604A3" w:rsidTr="00470885">
        <w:trPr>
          <w:jc w:val="center"/>
        </w:trPr>
        <w:tc>
          <w:tcPr>
            <w:tcW w:w="311"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30</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0.62</w:t>
            </w:r>
          </w:p>
        </w:tc>
        <w:tc>
          <w:tcPr>
            <w:tcW w:w="558"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2.49</w:t>
            </w:r>
          </w:p>
        </w:tc>
        <w:tc>
          <w:tcPr>
            <w:tcW w:w="560"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9.99</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39.99</w:t>
            </w:r>
          </w:p>
        </w:tc>
        <w:tc>
          <w:tcPr>
            <w:tcW w:w="50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r>
      <w:tr w:rsidR="00AE0549" w:rsidRPr="00A604A3" w:rsidTr="00470885">
        <w:trPr>
          <w:jc w:val="center"/>
        </w:trPr>
        <w:tc>
          <w:tcPr>
            <w:tcW w:w="311"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60</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0.62</w:t>
            </w:r>
          </w:p>
        </w:tc>
        <w:tc>
          <w:tcPr>
            <w:tcW w:w="55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2.49</w:t>
            </w:r>
          </w:p>
        </w:tc>
        <w:tc>
          <w:tcPr>
            <w:tcW w:w="560"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9.98</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39.54</w:t>
            </w:r>
          </w:p>
        </w:tc>
        <w:tc>
          <w:tcPr>
            <w:tcW w:w="50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r>
    </w:tbl>
    <w:p w:rsidR="00AE0549" w:rsidRPr="00A604A3" w:rsidRDefault="00AE0549" w:rsidP="00D74638">
      <w:pPr>
        <w:pStyle w:val="Tablefin"/>
      </w:pPr>
    </w:p>
    <w:p w:rsidR="00AE0549" w:rsidRPr="00A604A3" w:rsidRDefault="00D74638" w:rsidP="00D74638">
      <w:pPr>
        <w:pStyle w:val="Heading7"/>
        <w:rPr>
          <w:rFonts w:eastAsia="MS Mincho"/>
        </w:rPr>
      </w:pPr>
      <w:r w:rsidRPr="00A604A3">
        <w:rPr>
          <w:rFonts w:eastAsia="MS Mincho"/>
        </w:rPr>
        <w:t>II.5.1.1.2.2.2</w:t>
      </w:r>
      <w:r w:rsidRPr="00A604A3">
        <w:rPr>
          <w:rFonts w:eastAsia="MS Mincho"/>
        </w:rPr>
        <w:tab/>
      </w:r>
      <w:r w:rsidR="00AE0549" w:rsidRPr="00A604A3">
        <w:rPr>
          <w:rFonts w:eastAsia="MS Mincho"/>
        </w:rPr>
        <w:t>TDD RIT</w:t>
      </w:r>
    </w:p>
    <w:p w:rsidR="00D74638" w:rsidRPr="00A604A3" w:rsidRDefault="00D74638" w:rsidP="00D74638">
      <w:pPr>
        <w:pStyle w:val="TableNo"/>
      </w:pPr>
      <w:bookmarkStart w:id="36" w:name="_Ref24369089"/>
      <w:r w:rsidRPr="00A604A3">
        <w:t>TABLE 6</w:t>
      </w:r>
    </w:p>
    <w:p w:rsidR="00D74638" w:rsidRPr="00A604A3" w:rsidRDefault="00D74638" w:rsidP="00D74638">
      <w:pPr>
        <w:pStyle w:val="Tabletitle"/>
      </w:pPr>
      <w:r w:rsidRPr="00A604A3">
        <w:t>NR TDD UL RIT</w:t>
      </w:r>
      <w:bookmarkEnd w:id="36"/>
      <w:r w:rsidRPr="00A604A3">
        <w:t xml:space="preserve"> (CC – component carrier)</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5"/>
        <w:gridCol w:w="586"/>
        <w:gridCol w:w="952"/>
        <w:gridCol w:w="1037"/>
        <w:gridCol w:w="921"/>
        <w:gridCol w:w="921"/>
        <w:gridCol w:w="921"/>
        <w:gridCol w:w="1037"/>
        <w:gridCol w:w="1037"/>
        <w:gridCol w:w="939"/>
      </w:tblGrid>
      <w:tr w:rsidR="00AE0549" w:rsidRPr="00A604A3" w:rsidTr="00470885">
        <w:trPr>
          <w:jc w:val="center"/>
        </w:trPr>
        <w:tc>
          <w:tcPr>
            <w:tcW w:w="650"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33"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81"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w:t>
            </w:r>
          </w:p>
        </w:tc>
        <w:tc>
          <w:tcPr>
            <w:tcW w:w="516"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16"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16"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CC</w:t>
            </w:r>
          </w:p>
        </w:tc>
        <w:tc>
          <w:tcPr>
            <w:tcW w:w="581"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81"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26"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22"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FR1</w:t>
            </w: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15</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50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0.19</w:t>
            </w:r>
          </w:p>
        </w:tc>
        <w:tc>
          <w:tcPr>
            <w:tcW w:w="516"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4</w:t>
            </w: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0.75</w:t>
            </w:r>
          </w:p>
        </w:tc>
        <w:tc>
          <w:tcPr>
            <w:tcW w:w="516" w:type="pct"/>
            <w:vMerge w:val="restart"/>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16</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3.00</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SimSun"/>
                <w:sz w:val="20"/>
                <w:szCs w:val="18"/>
                <w:lang w:eastAsia="zh-CN"/>
              </w:rPr>
              <w:t>12.03</w:t>
            </w:r>
          </w:p>
        </w:tc>
        <w:tc>
          <w:tcPr>
            <w:tcW w:w="526"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20"/>
                <w:szCs w:val="18"/>
                <w:lang w:eastAsia="zh-CN"/>
              </w:rPr>
              <w:t>10</w:t>
            </w: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30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0.38</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1.52</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6.11</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SimSun"/>
                <w:sz w:val="20"/>
                <w:szCs w:val="18"/>
                <w:lang w:eastAsia="zh-CN"/>
              </w:rPr>
              <w:t>24.46</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60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0.37</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1.50</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6.02</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24.08</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FR2</w:t>
            </w: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0.73</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2.94</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11.79</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47.16</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120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1.47</w:t>
            </w:r>
          </w:p>
        </w:tc>
        <w:tc>
          <w:tcPr>
            <w:tcW w:w="516"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5.91</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23.64</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94.57</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bl>
    <w:p w:rsidR="00AE0549" w:rsidRPr="00A604A3" w:rsidRDefault="00AE0549" w:rsidP="00D74638">
      <w:pPr>
        <w:pStyle w:val="Tablefin"/>
      </w:pPr>
    </w:p>
    <w:p w:rsidR="00AE0549" w:rsidRPr="00A604A3" w:rsidRDefault="000B7669" w:rsidP="000B7669">
      <w:pPr>
        <w:pStyle w:val="Heading4"/>
        <w:rPr>
          <w:rFonts w:eastAsia="MS Mincho"/>
        </w:rPr>
      </w:pPr>
      <w:r w:rsidRPr="00A604A3">
        <w:rPr>
          <w:rFonts w:eastAsia="MS Mincho"/>
        </w:rPr>
        <w:t>II.5.1.1.3</w:t>
      </w:r>
      <w:r w:rsidRPr="00A604A3">
        <w:rPr>
          <w:rFonts w:eastAsia="MS Mincho"/>
        </w:rPr>
        <w:tab/>
      </w:r>
      <w:r w:rsidR="00AE0549" w:rsidRPr="00A604A3">
        <w:rPr>
          <w:rFonts w:eastAsia="MS Mincho"/>
        </w:rPr>
        <w:t>LTE</w:t>
      </w:r>
    </w:p>
    <w:p w:rsidR="00AE0549" w:rsidRPr="00A604A3" w:rsidRDefault="00AE0549" w:rsidP="000B7669">
      <w:pPr>
        <w:rPr>
          <w:rFonts w:eastAsia="MS Mincho"/>
        </w:rPr>
      </w:pPr>
      <w:r w:rsidRPr="00A604A3">
        <w:rPr>
          <w:rFonts w:eastAsia="MS Mincho"/>
        </w:rPr>
        <w:t>DL peak data rate is calculated in FDD (Table 7 and Table 9) and TDD modes (Table 8 and Table 10) for the frequency range set between 450 MHz and 6000 MHz. Data rate values have been obtained per component carrier with SISO and MIMO schemes and also with aggregated component carriers for both antenna configurations. Two different modulation orders and PDCCH symbol configurations have been considered for the calculation. The rest of parameters is described in Annex A.</w:t>
      </w:r>
    </w:p>
    <w:p w:rsidR="00AE0549" w:rsidRPr="00A604A3" w:rsidRDefault="000B7669" w:rsidP="000B7669">
      <w:pPr>
        <w:pStyle w:val="Heading5"/>
        <w:rPr>
          <w:rFonts w:eastAsia="MS Mincho"/>
        </w:rPr>
      </w:pPr>
      <w:r w:rsidRPr="00A604A3">
        <w:rPr>
          <w:rFonts w:eastAsia="MS Mincho"/>
        </w:rPr>
        <w:lastRenderedPageBreak/>
        <w:t>II.5.1.1.3.1</w:t>
      </w:r>
      <w:r w:rsidRPr="00A604A3">
        <w:rPr>
          <w:rFonts w:eastAsia="MS Mincho"/>
        </w:rPr>
        <w:tab/>
      </w:r>
      <w:r w:rsidRPr="00A604A3">
        <w:rPr>
          <w:rFonts w:eastAsia="MS Mincho"/>
        </w:rPr>
        <w:tab/>
      </w:r>
      <w:r w:rsidR="00AE0549" w:rsidRPr="00A604A3">
        <w:rPr>
          <w:rFonts w:eastAsia="MS Mincho"/>
        </w:rPr>
        <w:t>Downlink</w:t>
      </w:r>
    </w:p>
    <w:p w:rsidR="00AE0549" w:rsidRPr="00A604A3" w:rsidRDefault="000B7669" w:rsidP="000B7669">
      <w:pPr>
        <w:pStyle w:val="Heading6"/>
        <w:rPr>
          <w:rFonts w:eastAsia="MS Mincho"/>
        </w:rPr>
      </w:pPr>
      <w:r w:rsidRPr="00A604A3">
        <w:rPr>
          <w:rFonts w:eastAsia="MS Mincho"/>
        </w:rPr>
        <w:t>II.5.1.1.3.1.1</w:t>
      </w:r>
      <w:r w:rsidRPr="00A604A3">
        <w:rPr>
          <w:rFonts w:eastAsia="MS Mincho"/>
        </w:rPr>
        <w:tab/>
      </w:r>
      <w:r w:rsidR="00AE0549" w:rsidRPr="00A604A3">
        <w:rPr>
          <w:rFonts w:eastAsia="MS Mincho"/>
        </w:rPr>
        <w:t>FDD RIT</w:t>
      </w:r>
    </w:p>
    <w:p w:rsidR="000B7669" w:rsidRPr="00A604A3" w:rsidRDefault="000B7669" w:rsidP="000B7669">
      <w:pPr>
        <w:pStyle w:val="TableNo"/>
        <w:rPr>
          <w:rFonts w:eastAsia="MS Mincho"/>
        </w:rPr>
      </w:pPr>
      <w:bookmarkStart w:id="37" w:name="_Ref24369182"/>
      <w:bookmarkStart w:id="38" w:name="_Toc27919471"/>
      <w:bookmarkStart w:id="39" w:name="_Toc28265634"/>
      <w:bookmarkStart w:id="40" w:name="_Toc28276870"/>
      <w:bookmarkStart w:id="41" w:name="_Toc32066256"/>
      <w:r w:rsidRPr="00A604A3">
        <w:rPr>
          <w:rFonts w:eastAsia="MS Mincho"/>
        </w:rPr>
        <w:t>TABLE 7</w:t>
      </w:r>
    </w:p>
    <w:p w:rsidR="000B7669" w:rsidRPr="00A604A3" w:rsidRDefault="000B7669" w:rsidP="000B7669">
      <w:pPr>
        <w:pStyle w:val="Tabletitle"/>
        <w:rPr>
          <w:rFonts w:eastAsia="MS Mincho"/>
        </w:rPr>
      </w:pPr>
      <w:r w:rsidRPr="00A604A3">
        <w:rPr>
          <w:rFonts w:eastAsia="MS Mincho"/>
        </w:rPr>
        <w:t>LTE FDD DL RIT</w:t>
      </w:r>
      <w:bookmarkEnd w:id="37"/>
      <w:bookmarkEnd w:id="38"/>
      <w:bookmarkEnd w:id="39"/>
      <w:bookmarkEnd w:id="40"/>
      <w:r w:rsidRPr="00A604A3">
        <w:rPr>
          <w:rFonts w:eastAsia="MS Mincho"/>
        </w:rPr>
        <w:t xml:space="preserve"> </w:t>
      </w:r>
      <w:r w:rsidRPr="00A604A3">
        <w:t>(CC – component carrier)</w:t>
      </w:r>
      <w:bookmarkEnd w:id="41"/>
    </w:p>
    <w:tbl>
      <w:tblPr>
        <w:tblW w:w="9006" w:type="dxa"/>
        <w:jc w:val="center"/>
        <w:tblCellMar>
          <w:left w:w="0" w:type="dxa"/>
          <w:right w:w="0" w:type="dxa"/>
        </w:tblCellMar>
        <w:tblLook w:val="04A0" w:firstRow="1" w:lastRow="0" w:firstColumn="1" w:lastColumn="0" w:noHBand="0" w:noVBand="1"/>
      </w:tblPr>
      <w:tblGrid>
        <w:gridCol w:w="1184"/>
        <w:gridCol w:w="1159"/>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Modulation</w:t>
            </w:r>
            <w:r w:rsidR="000B7669" w:rsidRPr="00A604A3">
              <w:rPr>
                <w:rFonts w:eastAsia="Yu Mincho"/>
              </w:rPr>
              <w:br/>
            </w:r>
            <w:r w:rsidRPr="00A604A3">
              <w:rPr>
                <w:rFonts w:eastAsia="Yu Mincho"/>
              </w:rPr>
              <w:t>Order</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PDCCH symbols</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 xml:space="preserve">Aggregated peak data rate SISO </w:t>
            </w:r>
            <w:r w:rsidRPr="00A604A3">
              <w:rPr>
                <w:rFonts w:eastAsia="Yu Mincho"/>
                <w:sz w:val="16"/>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0B7669">
            <w:pPr>
              <w:pStyle w:val="Tablehead"/>
              <w:rPr>
                <w:rFonts w:eastAsia="SimSun"/>
                <w:bCs/>
                <w:sz w:val="16"/>
                <w:lang w:eastAsia="zh-CN"/>
              </w:rPr>
            </w:pPr>
            <w:r w:rsidRPr="00A604A3">
              <w:rPr>
                <w:rFonts w:eastAsia="SimSun"/>
                <w:sz w:val="16"/>
                <w:lang w:eastAsia="zh-CN"/>
              </w:rPr>
              <w:t xml:space="preserve">Req. </w:t>
            </w:r>
            <w:r w:rsidRPr="00A604A3">
              <w:rPr>
                <w:rFonts w:eastAsia="Yu Mincho"/>
                <w:bCs/>
                <w:sz w:val="16"/>
              </w:rPr>
              <w:t>(Gbit/s)</w:t>
            </w: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256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0.70</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2.83</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22.73</w:t>
            </w:r>
          </w:p>
        </w:tc>
        <w:tc>
          <w:tcPr>
            <w:tcW w:w="936" w:type="dxa"/>
            <w:vMerge w:val="restart"/>
            <w:tcBorders>
              <w:top w:val="single" w:sz="8" w:space="0" w:color="4D4D4D"/>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w:t>
            </w: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b/>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0.67</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2.69</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21.53</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1024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0.10</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0.86</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3.47</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27.82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0.10</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0.82</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3.29</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26.36</w:t>
            </w:r>
          </w:p>
        </w:tc>
        <w:tc>
          <w:tcPr>
            <w:tcW w:w="936" w:type="dxa"/>
            <w:vMerge/>
            <w:tcBorders>
              <w:left w:val="single" w:sz="8" w:space="0" w:color="4D4D4D"/>
              <w:bottom w:val="single" w:sz="8" w:space="0" w:color="4D4D4D"/>
              <w:right w:val="single" w:sz="8" w:space="0" w:color="4D4D4D"/>
            </w:tcBorders>
          </w:tcPr>
          <w:p w:rsidR="00AE0549" w:rsidRPr="00A604A3" w:rsidRDefault="00AE0549" w:rsidP="000B7669">
            <w:pPr>
              <w:pStyle w:val="Tabletext"/>
              <w:jc w:val="center"/>
              <w:rPr>
                <w:rFonts w:eastAsia="Calibri"/>
                <w:color w:val="0F243E" w:themeColor="text2" w:themeShade="80"/>
                <w:kern w:val="24"/>
              </w:rPr>
            </w:pPr>
          </w:p>
        </w:tc>
      </w:tr>
    </w:tbl>
    <w:p w:rsidR="00AE0549" w:rsidRPr="00A604A3" w:rsidRDefault="00AE0549" w:rsidP="00AA0B2B">
      <w:pPr>
        <w:pStyle w:val="Tablefin"/>
      </w:pPr>
      <w:bookmarkStart w:id="42" w:name="_Toc28265635"/>
      <w:bookmarkEnd w:id="42"/>
    </w:p>
    <w:p w:rsidR="00AE0549" w:rsidRPr="00A604A3" w:rsidRDefault="000B7669" w:rsidP="000B7669">
      <w:pPr>
        <w:pStyle w:val="Heading6"/>
        <w:rPr>
          <w:rFonts w:eastAsia="MS Mincho"/>
        </w:rPr>
      </w:pPr>
      <w:r w:rsidRPr="00A604A3">
        <w:rPr>
          <w:rFonts w:eastAsia="MS Mincho"/>
        </w:rPr>
        <w:t>II.5.1.1.3.1.2</w:t>
      </w:r>
      <w:r w:rsidRPr="00A604A3">
        <w:rPr>
          <w:rFonts w:eastAsia="MS Mincho"/>
        </w:rPr>
        <w:tab/>
      </w:r>
      <w:r w:rsidR="00AE0549" w:rsidRPr="00A604A3">
        <w:rPr>
          <w:rFonts w:eastAsia="MS Mincho"/>
        </w:rPr>
        <w:t>TDD RIT</w:t>
      </w:r>
    </w:p>
    <w:p w:rsidR="000B7669" w:rsidRPr="00A604A3" w:rsidRDefault="000B7669" w:rsidP="000B7669">
      <w:pPr>
        <w:pStyle w:val="TableNo"/>
        <w:rPr>
          <w:rFonts w:eastAsia="MS Mincho"/>
        </w:rPr>
      </w:pPr>
      <w:bookmarkStart w:id="43" w:name="_Ref24369189"/>
      <w:bookmarkStart w:id="44" w:name="_Toc27919473"/>
      <w:bookmarkStart w:id="45" w:name="_Toc28265637"/>
      <w:bookmarkStart w:id="46" w:name="_Toc28276872"/>
      <w:bookmarkStart w:id="47" w:name="_Toc32066258"/>
      <w:r w:rsidRPr="00A604A3">
        <w:rPr>
          <w:rFonts w:eastAsia="MS Mincho"/>
        </w:rPr>
        <w:t>tABLE 8</w:t>
      </w:r>
    </w:p>
    <w:p w:rsidR="000B7669" w:rsidRPr="00A604A3" w:rsidRDefault="000B7669" w:rsidP="000B7669">
      <w:pPr>
        <w:pStyle w:val="Tabletitle"/>
        <w:rPr>
          <w:rFonts w:eastAsia="MS Mincho"/>
        </w:rPr>
      </w:pPr>
      <w:r w:rsidRPr="00A604A3">
        <w:rPr>
          <w:rFonts w:eastAsia="MS Mincho"/>
        </w:rPr>
        <w:t>LTE TDD DL RIT</w:t>
      </w:r>
      <w:bookmarkEnd w:id="43"/>
      <w:bookmarkEnd w:id="44"/>
      <w:bookmarkEnd w:id="45"/>
      <w:bookmarkEnd w:id="46"/>
      <w:r w:rsidRPr="00A604A3">
        <w:rPr>
          <w:rFonts w:eastAsia="MS Mincho"/>
        </w:rPr>
        <w:t xml:space="preserve"> (CC – component carrier)</w:t>
      </w:r>
      <w:bookmarkEnd w:id="47"/>
    </w:p>
    <w:tbl>
      <w:tblPr>
        <w:tblW w:w="9006" w:type="dxa"/>
        <w:jc w:val="center"/>
        <w:tblCellMar>
          <w:left w:w="0" w:type="dxa"/>
          <w:right w:w="0" w:type="dxa"/>
        </w:tblCellMar>
        <w:tblLook w:val="04A0" w:firstRow="1" w:lastRow="0" w:firstColumn="1" w:lastColumn="0" w:noHBand="0" w:noVBand="1"/>
      </w:tblPr>
      <w:tblGrid>
        <w:gridCol w:w="1184"/>
        <w:gridCol w:w="1159"/>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Modulation</w:t>
            </w:r>
            <w:r w:rsidR="000B7669" w:rsidRPr="00A604A3">
              <w:rPr>
                <w:rFonts w:eastAsia="Yu Mincho"/>
              </w:rPr>
              <w:br/>
            </w:r>
            <w:r w:rsidRPr="00A604A3">
              <w:rPr>
                <w:rFonts w:eastAsia="Yu Mincho"/>
              </w:rPr>
              <w:t>Order</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PDCCH symbols</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 xml:space="preserve">Aggregated peak data rate SISO </w:t>
            </w:r>
            <w:r w:rsidRPr="00A604A3">
              <w:rPr>
                <w:rFonts w:eastAsia="Yu Mincho"/>
                <w:sz w:val="16"/>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0B7669">
            <w:pPr>
              <w:pStyle w:val="Tablehead"/>
              <w:rPr>
                <w:rFonts w:eastAsia="SimSun"/>
                <w:bCs/>
                <w:sz w:val="16"/>
                <w:lang w:eastAsia="zh-CN"/>
              </w:rPr>
            </w:pPr>
            <w:r w:rsidRPr="00A604A3">
              <w:rPr>
                <w:rFonts w:eastAsia="SimSun"/>
                <w:sz w:val="16"/>
                <w:lang w:eastAsia="zh-CN"/>
              </w:rPr>
              <w:t xml:space="preserve">Req. </w:t>
            </w:r>
            <w:r w:rsidRPr="00A604A3">
              <w:rPr>
                <w:rFonts w:eastAsia="Yu Mincho"/>
                <w:bCs/>
                <w:sz w:val="16"/>
              </w:rPr>
              <w:t>(Gbit/s)</w:t>
            </w: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256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0.06</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0.54</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2.17</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17.40</w:t>
            </w:r>
          </w:p>
        </w:tc>
        <w:tc>
          <w:tcPr>
            <w:tcW w:w="936" w:type="dxa"/>
            <w:vMerge w:val="restart"/>
            <w:tcBorders>
              <w:top w:val="single" w:sz="8" w:space="0" w:color="4D4D4D"/>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w:t>
            </w: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b/>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0.06</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0.51</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2.06</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16.52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1024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0.66</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2.64</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21.12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0" w:type="auto"/>
            <w:vMerge/>
            <w:tcBorders>
              <w:top w:val="single" w:sz="8" w:space="0" w:color="4D4D4D"/>
              <w:left w:val="single" w:sz="8" w:space="0" w:color="4D4D4D"/>
              <w:bottom w:val="single" w:sz="4" w:space="0" w:color="auto"/>
              <w:right w:val="single" w:sz="8" w:space="0" w:color="4D4D4D"/>
            </w:tcBorders>
            <w:shd w:val="clear" w:color="auto" w:fill="auto"/>
            <w:vAlign w:val="center"/>
            <w:hideMark/>
          </w:tcPr>
          <w:p w:rsidR="00AE0549" w:rsidRPr="00A604A3" w:rsidRDefault="00AE0549" w:rsidP="000B7669">
            <w:pPr>
              <w:pStyle w:val="Tabletext"/>
              <w:jc w:val="center"/>
              <w:rPr>
                <w:szCs w:val="36"/>
              </w:rPr>
            </w:pPr>
          </w:p>
        </w:tc>
        <w:tc>
          <w:tcPr>
            <w:tcW w:w="1159"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w:t>
            </w:r>
          </w:p>
        </w:tc>
        <w:tc>
          <w:tcPr>
            <w:tcW w:w="1010"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0.08</w:t>
            </w:r>
          </w:p>
        </w:tc>
        <w:tc>
          <w:tcPr>
            <w:tcW w:w="1042"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0.64</w:t>
            </w:r>
          </w:p>
        </w:tc>
        <w:tc>
          <w:tcPr>
            <w:tcW w:w="982"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2.52</w:t>
            </w:r>
          </w:p>
        </w:tc>
        <w:tc>
          <w:tcPr>
            <w:tcW w:w="1368"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20.65</w:t>
            </w:r>
          </w:p>
        </w:tc>
        <w:tc>
          <w:tcPr>
            <w:tcW w:w="936" w:type="dxa"/>
            <w:vMerge/>
            <w:tcBorders>
              <w:left w:val="single" w:sz="8" w:space="0" w:color="4D4D4D"/>
              <w:bottom w:val="single" w:sz="8" w:space="0" w:color="4D4D4D"/>
              <w:right w:val="single" w:sz="8" w:space="0" w:color="4D4D4D"/>
            </w:tcBorders>
          </w:tcPr>
          <w:p w:rsidR="00AE0549" w:rsidRPr="00A604A3" w:rsidRDefault="00AE0549" w:rsidP="000B7669">
            <w:pPr>
              <w:pStyle w:val="Tabletext"/>
              <w:jc w:val="center"/>
              <w:rPr>
                <w:rFonts w:eastAsia="Calibri"/>
                <w:color w:val="0F243E" w:themeColor="text2" w:themeShade="80"/>
                <w:kern w:val="24"/>
              </w:rPr>
            </w:pPr>
          </w:p>
        </w:tc>
      </w:tr>
    </w:tbl>
    <w:p w:rsidR="00AE0549" w:rsidRPr="00A604A3" w:rsidRDefault="00AE0549" w:rsidP="000B7669">
      <w:pPr>
        <w:pStyle w:val="Tablefin"/>
      </w:pPr>
    </w:p>
    <w:p w:rsidR="00AE0549" w:rsidRPr="00A604A3" w:rsidRDefault="007F7BFE" w:rsidP="007F7BFE">
      <w:pPr>
        <w:pStyle w:val="Heading5"/>
        <w:rPr>
          <w:rFonts w:eastAsia="MS Mincho"/>
        </w:rPr>
      </w:pPr>
      <w:r w:rsidRPr="00A604A3">
        <w:rPr>
          <w:rFonts w:eastAsia="MS Mincho"/>
        </w:rPr>
        <w:t>II.5.1.1.3.2</w:t>
      </w:r>
      <w:r w:rsidRPr="00A604A3">
        <w:rPr>
          <w:rFonts w:eastAsia="MS Mincho"/>
        </w:rPr>
        <w:tab/>
      </w:r>
      <w:r w:rsidR="00AE0549" w:rsidRPr="00A604A3">
        <w:rPr>
          <w:rFonts w:eastAsia="MS Mincho"/>
        </w:rPr>
        <w:t>Uplink</w:t>
      </w:r>
    </w:p>
    <w:p w:rsidR="00AE0549" w:rsidRPr="00A604A3" w:rsidRDefault="00AE0549" w:rsidP="007F7BFE">
      <w:pPr>
        <w:rPr>
          <w:rFonts w:eastAsia="MS Mincho"/>
        </w:rPr>
      </w:pPr>
      <w:r w:rsidRPr="00A604A3">
        <w:rPr>
          <w:rFonts w:eastAsia="MS Mincho"/>
        </w:rPr>
        <w:t>UL peak data rate is calculated in FDD and TDD modes for the frequency range set between 450 MHz and 6000 MHz. Data rate values have been obtained per component carrier with SISO and MIMO schemes and also with aggregated component carriers for both antenna configurations. Only 256QAM modulation order is allowed in uplink transmissions. The rest of parameter assumptions is described in Annex A.</w:t>
      </w:r>
    </w:p>
    <w:p w:rsidR="00AE0549" w:rsidRPr="00A604A3" w:rsidRDefault="007F7BFE" w:rsidP="007F7BFE">
      <w:pPr>
        <w:pStyle w:val="Heading6"/>
        <w:rPr>
          <w:rFonts w:eastAsia="MS Mincho"/>
        </w:rPr>
      </w:pPr>
      <w:r w:rsidRPr="00A604A3">
        <w:rPr>
          <w:rFonts w:eastAsia="MS Mincho"/>
        </w:rPr>
        <w:lastRenderedPageBreak/>
        <w:t>II.5.1.1.3.2.1</w:t>
      </w:r>
      <w:r w:rsidRPr="00A604A3">
        <w:rPr>
          <w:rFonts w:eastAsia="MS Mincho"/>
        </w:rPr>
        <w:tab/>
      </w:r>
      <w:r w:rsidR="00AE0549" w:rsidRPr="00A604A3">
        <w:rPr>
          <w:rFonts w:eastAsia="MS Mincho"/>
        </w:rPr>
        <w:t>FDD RIT</w:t>
      </w:r>
    </w:p>
    <w:p w:rsidR="007F7BFE" w:rsidRPr="00A604A3" w:rsidRDefault="007F7BFE" w:rsidP="007F7BFE">
      <w:pPr>
        <w:pStyle w:val="TableNo"/>
        <w:rPr>
          <w:rFonts w:eastAsia="MS Mincho"/>
        </w:rPr>
      </w:pPr>
      <w:bookmarkStart w:id="48" w:name="_Ref24369222"/>
      <w:bookmarkStart w:id="49" w:name="_Toc27919476"/>
      <w:bookmarkStart w:id="50" w:name="_Toc28265640"/>
      <w:bookmarkStart w:id="51" w:name="_Toc28276875"/>
      <w:bookmarkStart w:id="52" w:name="_Toc32066261"/>
      <w:r w:rsidRPr="00A604A3">
        <w:rPr>
          <w:rFonts w:eastAsia="MS Mincho"/>
        </w:rPr>
        <w:t>Table 9</w:t>
      </w:r>
    </w:p>
    <w:p w:rsidR="007F7BFE" w:rsidRPr="00A604A3" w:rsidRDefault="007F7BFE" w:rsidP="007F7BFE">
      <w:pPr>
        <w:pStyle w:val="Tabletitle"/>
        <w:rPr>
          <w:rFonts w:eastAsia="MS Mincho"/>
        </w:rPr>
      </w:pPr>
      <w:r w:rsidRPr="00A604A3">
        <w:rPr>
          <w:rFonts w:eastAsia="MS Mincho"/>
        </w:rPr>
        <w:t>LTE FDD UL RIT</w:t>
      </w:r>
      <w:bookmarkEnd w:id="48"/>
      <w:bookmarkEnd w:id="49"/>
      <w:bookmarkEnd w:id="50"/>
      <w:bookmarkEnd w:id="51"/>
      <w:r w:rsidRPr="00A604A3">
        <w:rPr>
          <w:rFonts w:eastAsia="MS Mincho"/>
        </w:rPr>
        <w:t xml:space="preserve"> (CC – component carrier)</w:t>
      </w:r>
      <w:bookmarkEnd w:id="52"/>
    </w:p>
    <w:tbl>
      <w:tblPr>
        <w:tblW w:w="7847" w:type="dxa"/>
        <w:jc w:val="center"/>
        <w:tblCellMar>
          <w:left w:w="0" w:type="dxa"/>
          <w:right w:w="0" w:type="dxa"/>
        </w:tblCellMar>
        <w:tblLook w:val="04A0" w:firstRow="1" w:lastRow="0" w:firstColumn="1" w:lastColumn="0" w:noHBand="0" w:noVBand="1"/>
      </w:tblPr>
      <w:tblGrid>
        <w:gridCol w:w="1184"/>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Modulation</w:t>
            </w:r>
            <w:r w:rsidR="00FC06AC" w:rsidRPr="00A604A3">
              <w:rPr>
                <w:rFonts w:eastAsia="Yu Mincho"/>
              </w:rPr>
              <w:br/>
            </w:r>
            <w:r w:rsidRPr="00A604A3">
              <w:rPr>
                <w:rFonts w:eastAsia="Yu Mincho"/>
              </w:rPr>
              <w:t>Order</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 xml:space="preserve">Aggregated peak data rate SISO </w:t>
            </w:r>
            <w:r w:rsidRPr="00A604A3">
              <w:rPr>
                <w:rFonts w:eastAsia="Yu Mincho"/>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C06AC">
            <w:pPr>
              <w:pStyle w:val="Tablehead"/>
              <w:rPr>
                <w:rFonts w:eastAsia="SimSun"/>
                <w:bCs/>
                <w:lang w:eastAsia="zh-CN"/>
              </w:rPr>
            </w:pPr>
            <w:r w:rsidRPr="00A604A3">
              <w:rPr>
                <w:rFonts w:eastAsia="SimSun"/>
                <w:lang w:eastAsia="zh-CN"/>
              </w:rPr>
              <w:t xml:space="preserve">Req. </w:t>
            </w:r>
            <w:r w:rsidRPr="00A604A3">
              <w:rPr>
                <w:rFonts w:eastAsia="Yu Mincho"/>
                <w:bCs/>
              </w:rPr>
              <w:t>(Gbit/s)</w:t>
            </w:r>
          </w:p>
        </w:tc>
      </w:tr>
      <w:tr w:rsidR="00AE0549" w:rsidRPr="00A604A3" w:rsidTr="00470885">
        <w:trPr>
          <w:trHeight w:val="240"/>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szCs w:val="36"/>
              </w:rPr>
            </w:pPr>
            <w:r w:rsidRPr="00A604A3">
              <w:rPr>
                <w:rFonts w:eastAsia="Calibri"/>
                <w:bCs/>
                <w:kern w:val="24"/>
              </w:rPr>
              <w:t>256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0.1</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0.4</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3.32</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13.28</w:t>
            </w:r>
          </w:p>
        </w:tc>
        <w:tc>
          <w:tcPr>
            <w:tcW w:w="936"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10</w:t>
            </w:r>
          </w:p>
        </w:tc>
      </w:tr>
    </w:tbl>
    <w:p w:rsidR="00AE0549" w:rsidRPr="00A604A3" w:rsidRDefault="00AE0549" w:rsidP="007F7BFE">
      <w:pPr>
        <w:pStyle w:val="Tablefin"/>
      </w:pPr>
    </w:p>
    <w:p w:rsidR="00AE0549" w:rsidRPr="00A604A3" w:rsidRDefault="007F7BFE" w:rsidP="007F7BFE">
      <w:pPr>
        <w:pStyle w:val="Heading6"/>
        <w:rPr>
          <w:rFonts w:eastAsia="MS Mincho"/>
        </w:rPr>
      </w:pPr>
      <w:r w:rsidRPr="00A604A3">
        <w:rPr>
          <w:rFonts w:eastAsia="MS Mincho"/>
        </w:rPr>
        <w:t>II.5.1.1.3.2.2</w:t>
      </w:r>
      <w:r w:rsidRPr="00A604A3">
        <w:rPr>
          <w:rFonts w:eastAsia="MS Mincho"/>
        </w:rPr>
        <w:tab/>
      </w:r>
      <w:r w:rsidR="00AE0549" w:rsidRPr="00A604A3">
        <w:rPr>
          <w:rFonts w:eastAsia="MS Mincho"/>
        </w:rPr>
        <w:t>TDD RIT</w:t>
      </w:r>
    </w:p>
    <w:p w:rsidR="007F7BFE" w:rsidRPr="00A604A3" w:rsidRDefault="007F7BFE" w:rsidP="007F7BFE">
      <w:pPr>
        <w:pStyle w:val="TableNo"/>
        <w:rPr>
          <w:rFonts w:eastAsia="MS Mincho"/>
        </w:rPr>
      </w:pPr>
      <w:bookmarkStart w:id="53" w:name="_Ref24369230"/>
      <w:bookmarkStart w:id="54" w:name="_Toc27919478"/>
      <w:bookmarkStart w:id="55" w:name="_Toc28265642"/>
      <w:bookmarkStart w:id="56" w:name="_Toc28276877"/>
      <w:bookmarkStart w:id="57" w:name="_Toc32066263"/>
      <w:r w:rsidRPr="00A604A3">
        <w:rPr>
          <w:rFonts w:eastAsia="MS Mincho"/>
        </w:rPr>
        <w:t>table 10</w:t>
      </w:r>
    </w:p>
    <w:p w:rsidR="007F7BFE" w:rsidRPr="00A604A3" w:rsidRDefault="007F7BFE" w:rsidP="007F7BFE">
      <w:pPr>
        <w:pStyle w:val="Tabletitle"/>
        <w:rPr>
          <w:rFonts w:eastAsia="MS Mincho"/>
        </w:rPr>
      </w:pPr>
      <w:r w:rsidRPr="00A604A3">
        <w:rPr>
          <w:rFonts w:eastAsia="MS Mincho"/>
        </w:rPr>
        <w:t>LTE TDD UL RIT</w:t>
      </w:r>
      <w:bookmarkEnd w:id="53"/>
      <w:bookmarkEnd w:id="54"/>
      <w:bookmarkEnd w:id="55"/>
      <w:bookmarkEnd w:id="56"/>
      <w:r w:rsidRPr="00A604A3">
        <w:rPr>
          <w:rFonts w:eastAsia="MS Mincho"/>
        </w:rPr>
        <w:t xml:space="preserve"> (CC – component carrier)</w:t>
      </w:r>
      <w:bookmarkEnd w:id="57"/>
    </w:p>
    <w:tbl>
      <w:tblPr>
        <w:tblW w:w="7847" w:type="dxa"/>
        <w:jc w:val="center"/>
        <w:tblCellMar>
          <w:left w:w="0" w:type="dxa"/>
          <w:right w:w="0" w:type="dxa"/>
        </w:tblCellMar>
        <w:tblLook w:val="04A0" w:firstRow="1" w:lastRow="0" w:firstColumn="1" w:lastColumn="0" w:noHBand="0" w:noVBand="1"/>
      </w:tblPr>
      <w:tblGrid>
        <w:gridCol w:w="1184"/>
        <w:gridCol w:w="1072"/>
        <w:gridCol w:w="1131"/>
        <w:gridCol w:w="837"/>
        <w:gridCol w:w="1323"/>
        <w:gridCol w:w="1366"/>
        <w:gridCol w:w="934"/>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Modulation</w:t>
            </w:r>
            <w:r w:rsidR="00FC06AC" w:rsidRPr="00A604A3">
              <w:rPr>
                <w:rFonts w:eastAsia="Yu Mincho"/>
              </w:rPr>
              <w:br/>
            </w:r>
            <w:r w:rsidRPr="00A604A3">
              <w:rPr>
                <w:rFonts w:eastAsia="Yu Mincho"/>
              </w:rPr>
              <w:t>Order</w:t>
            </w:r>
          </w:p>
        </w:tc>
        <w:tc>
          <w:tcPr>
            <w:tcW w:w="107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SISO (Gbit/s)</w:t>
            </w:r>
          </w:p>
        </w:tc>
        <w:tc>
          <w:tcPr>
            <w:tcW w:w="113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MIMO (Gbit/s)</w:t>
            </w:r>
          </w:p>
        </w:tc>
        <w:tc>
          <w:tcPr>
            <w:tcW w:w="82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 xml:space="preserve">Aggregated peak data rate SISO </w:t>
            </w:r>
            <w:r w:rsidRPr="00A604A3">
              <w:rPr>
                <w:rFonts w:eastAsia="Yu Mincho"/>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C06AC">
            <w:pPr>
              <w:pStyle w:val="Tablehead"/>
              <w:rPr>
                <w:rFonts w:eastAsia="SimSun"/>
                <w:bCs/>
                <w:lang w:eastAsia="zh-CN"/>
              </w:rPr>
            </w:pPr>
            <w:r w:rsidRPr="00A604A3">
              <w:rPr>
                <w:rFonts w:eastAsia="SimSun"/>
                <w:lang w:eastAsia="zh-CN"/>
              </w:rPr>
              <w:t xml:space="preserve">Req. </w:t>
            </w:r>
            <w:r w:rsidRPr="00A604A3">
              <w:rPr>
                <w:rFonts w:eastAsia="Yu Mincho"/>
                <w:bCs/>
              </w:rPr>
              <w:t>(Gbit/s)</w:t>
            </w:r>
          </w:p>
        </w:tc>
      </w:tr>
      <w:tr w:rsidR="00AE0549" w:rsidRPr="00A604A3" w:rsidTr="00470885">
        <w:trPr>
          <w:trHeight w:val="240"/>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szCs w:val="36"/>
              </w:rPr>
            </w:pPr>
            <w:r w:rsidRPr="00A604A3">
              <w:rPr>
                <w:rFonts w:eastAsia="Calibri"/>
                <w:bCs/>
                <w:kern w:val="24"/>
              </w:rPr>
              <w:t>256 QAM</w:t>
            </w:r>
          </w:p>
        </w:tc>
        <w:tc>
          <w:tcPr>
            <w:tcW w:w="107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0.05</w:t>
            </w:r>
          </w:p>
        </w:tc>
        <w:tc>
          <w:tcPr>
            <w:tcW w:w="113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0.2</w:t>
            </w:r>
          </w:p>
        </w:tc>
        <w:tc>
          <w:tcPr>
            <w:tcW w:w="82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1.85</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7.40</w:t>
            </w:r>
          </w:p>
        </w:tc>
        <w:tc>
          <w:tcPr>
            <w:tcW w:w="936"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10</w:t>
            </w:r>
          </w:p>
        </w:tc>
      </w:tr>
    </w:tbl>
    <w:p w:rsidR="00AE0549" w:rsidRPr="00A604A3" w:rsidRDefault="00AE0549" w:rsidP="007F7BFE">
      <w:pPr>
        <w:pStyle w:val="Tablefin"/>
      </w:pPr>
    </w:p>
    <w:p w:rsidR="00AE0549" w:rsidRPr="00A604A3" w:rsidRDefault="00FC06AC" w:rsidP="00FC06AC">
      <w:pPr>
        <w:pStyle w:val="Heading4"/>
        <w:rPr>
          <w:rFonts w:eastAsia="MS Mincho"/>
        </w:rPr>
      </w:pPr>
      <w:r w:rsidRPr="00A604A3">
        <w:rPr>
          <w:rFonts w:eastAsia="MS Mincho"/>
        </w:rPr>
        <w:t>II.5.1.1.4</w:t>
      </w:r>
      <w:r w:rsidRPr="00A604A3">
        <w:rPr>
          <w:rFonts w:eastAsia="MS Mincho"/>
        </w:rPr>
        <w:tab/>
      </w:r>
      <w:r w:rsidR="00AE0549" w:rsidRPr="00A604A3">
        <w:rPr>
          <w:rFonts w:eastAsia="MS Mincho"/>
        </w:rPr>
        <w:t>Observations</w:t>
      </w:r>
    </w:p>
    <w:p w:rsidR="00AE0549" w:rsidRPr="00A604A3" w:rsidRDefault="00AE0549" w:rsidP="00FC06AC">
      <w:pPr>
        <w:rPr>
          <w:rFonts w:eastAsia="MS Mincho"/>
        </w:rPr>
      </w:pPr>
      <w:r w:rsidRPr="00A604A3">
        <w:rPr>
          <w:rFonts w:eastAsia="MS Mincho"/>
        </w:rPr>
        <w:t>Observations are summarized in Table 11.</w:t>
      </w:r>
    </w:p>
    <w:p w:rsidR="00FC06AC" w:rsidRPr="00A604A3" w:rsidRDefault="00FC06AC" w:rsidP="00FC06AC">
      <w:pPr>
        <w:pStyle w:val="TableNo"/>
        <w:rPr>
          <w:rFonts w:eastAsia="MS Mincho"/>
        </w:rPr>
      </w:pPr>
      <w:bookmarkStart w:id="58" w:name="_Ref25753541"/>
      <w:bookmarkStart w:id="59" w:name="_Toc27919480"/>
      <w:bookmarkStart w:id="60" w:name="_Toc28265644"/>
      <w:bookmarkStart w:id="61" w:name="_Toc28276879"/>
      <w:bookmarkStart w:id="62" w:name="_Toc32066265"/>
      <w:r w:rsidRPr="00A604A3">
        <w:rPr>
          <w:rFonts w:eastAsia="MS Mincho"/>
        </w:rPr>
        <w:t>table 11</w:t>
      </w:r>
    </w:p>
    <w:p w:rsidR="00FC06AC" w:rsidRPr="00A604A3" w:rsidRDefault="00FC06AC" w:rsidP="00FC06AC">
      <w:pPr>
        <w:pStyle w:val="Tabletitle"/>
        <w:rPr>
          <w:rFonts w:eastAsia="MS Mincho"/>
        </w:rPr>
      </w:pPr>
      <w:r w:rsidRPr="00A604A3">
        <w:rPr>
          <w:rFonts w:eastAsia="MS Mincho"/>
        </w:rPr>
        <w:t>Observations</w:t>
      </w:r>
      <w:bookmarkEnd w:id="58"/>
      <w:bookmarkEnd w:id="59"/>
      <w:bookmarkEnd w:id="60"/>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FC06AC">
            <w:pPr>
              <w:pStyle w:val="Tablehead"/>
            </w:pPr>
            <w:r w:rsidRPr="00A604A3">
              <w:t>ITU-R requirements</w:t>
            </w:r>
          </w:p>
        </w:tc>
        <w:tc>
          <w:tcPr>
            <w:tcW w:w="3005" w:type="dxa"/>
          </w:tcPr>
          <w:p w:rsidR="00AE0549" w:rsidRPr="00A604A3" w:rsidRDefault="00AE0549" w:rsidP="00FC06AC">
            <w:pPr>
              <w:pStyle w:val="Tablehead"/>
            </w:pPr>
            <w:r w:rsidRPr="00A604A3">
              <w:rPr>
                <w:lang w:eastAsia="zh-CN"/>
              </w:rPr>
              <w:t>NR component RIT</w:t>
            </w:r>
          </w:p>
        </w:tc>
        <w:tc>
          <w:tcPr>
            <w:tcW w:w="3006" w:type="dxa"/>
          </w:tcPr>
          <w:p w:rsidR="00AE0549" w:rsidRPr="00A604A3" w:rsidRDefault="00AE0549" w:rsidP="00FC06AC">
            <w:pPr>
              <w:pStyle w:val="Tablehead"/>
            </w:pPr>
            <w:r w:rsidRPr="00A604A3">
              <w:rPr>
                <w:lang w:eastAsia="zh-CN"/>
              </w:rPr>
              <w:t>LTE component RIT</w:t>
            </w:r>
          </w:p>
        </w:tc>
      </w:tr>
      <w:tr w:rsidR="00AE0549" w:rsidRPr="00A604A3" w:rsidTr="00470885">
        <w:tc>
          <w:tcPr>
            <w:tcW w:w="3005" w:type="dxa"/>
          </w:tcPr>
          <w:p w:rsidR="00AE0549" w:rsidRPr="00A604A3" w:rsidRDefault="00AE0549" w:rsidP="00FC06AC">
            <w:pPr>
              <w:pStyle w:val="Tabletext"/>
            </w:pPr>
            <w:r w:rsidRPr="00A604A3">
              <w:t>Downlink: At least 20 Gbit/s</w:t>
            </w:r>
          </w:p>
        </w:tc>
        <w:tc>
          <w:tcPr>
            <w:tcW w:w="3005" w:type="dxa"/>
          </w:tcPr>
          <w:p w:rsidR="00AE0549" w:rsidRPr="00A604A3" w:rsidRDefault="00AE0549" w:rsidP="00FC06AC">
            <w:pPr>
              <w:pStyle w:val="Tabletext"/>
              <w:rPr>
                <w:color w:val="000000" w:themeColor="text1"/>
                <w:lang w:eastAsia="zh-CN"/>
              </w:rPr>
            </w:pPr>
            <w:r w:rsidRPr="00A604A3">
              <w:rPr>
                <w:color w:val="000000" w:themeColor="text1"/>
                <w:lang w:eastAsia="zh-CN"/>
              </w:rPr>
              <w:t xml:space="preserve">For </w:t>
            </w:r>
            <w:r w:rsidRPr="00A604A3">
              <w:rPr>
                <w:b/>
                <w:color w:val="000000" w:themeColor="text1"/>
                <w:lang w:eastAsia="zh-CN"/>
              </w:rPr>
              <w:t>FDD, one component carrier</w:t>
            </w:r>
            <w:r w:rsidRPr="00A604A3">
              <w:rPr>
                <w:color w:val="000000" w:themeColor="text1"/>
                <w:lang w:eastAsia="zh-CN"/>
              </w:rPr>
              <w:t xml:space="preserve"> is able to provide peak data rate values up to 600 Mbps with SISO antenna configurations and </w:t>
            </w:r>
            <w:r w:rsidRPr="00A604A3">
              <w:rPr>
                <w:b/>
                <w:color w:val="000000" w:themeColor="text1"/>
                <w:lang w:eastAsia="zh-CN"/>
              </w:rPr>
              <w:t>4.87 Gbps</w:t>
            </w:r>
            <w:r w:rsidRPr="00A604A3">
              <w:rPr>
                <w:color w:val="000000" w:themeColor="text1"/>
                <w:lang w:eastAsia="zh-CN"/>
              </w:rPr>
              <w:t xml:space="preserve"> with 8 layers in MIMO antenna configurations in frequencies between 450 MHz and 6 GHz. Considering </w:t>
            </w:r>
            <w:r w:rsidRPr="00A604A3">
              <w:rPr>
                <w:b/>
                <w:color w:val="000000" w:themeColor="text1"/>
                <w:lang w:eastAsia="zh-CN"/>
              </w:rPr>
              <w:t>TDD</w:t>
            </w:r>
            <w:r w:rsidRPr="00A604A3">
              <w:rPr>
                <w:color w:val="000000" w:themeColor="text1"/>
                <w:lang w:eastAsia="zh-CN"/>
              </w:rPr>
              <w:t xml:space="preserve"> techniques, peak data rates up to 1.80 Gbps for SISO and </w:t>
            </w:r>
            <w:r w:rsidRPr="00A604A3">
              <w:rPr>
                <w:b/>
                <w:color w:val="000000" w:themeColor="text1"/>
                <w:lang w:eastAsia="zh-CN"/>
              </w:rPr>
              <w:t>10.85 Gbps</w:t>
            </w:r>
            <w:r w:rsidRPr="00A604A3">
              <w:rPr>
                <w:color w:val="000000" w:themeColor="text1"/>
                <w:lang w:eastAsia="zh-CN"/>
              </w:rPr>
              <w:t xml:space="preserve"> for MIMO 6 layers can be obtained for frequencies between 24.25 GHz and 52.6 GHz.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By </w:t>
            </w:r>
            <w:r w:rsidRPr="00A604A3">
              <w:rPr>
                <w:b/>
                <w:color w:val="000000" w:themeColor="text1"/>
                <w:lang w:eastAsia="zh-CN"/>
              </w:rPr>
              <w:t>aggregating multiple component carriers</w:t>
            </w:r>
            <w:r w:rsidRPr="00A604A3">
              <w:rPr>
                <w:color w:val="000000" w:themeColor="text1"/>
                <w:lang w:eastAsia="zh-CN"/>
              </w:rPr>
              <w:t xml:space="preserve">, higher peak data rate values can be reached. </w:t>
            </w:r>
            <w:r w:rsidRPr="00A604A3">
              <w:t>Component</w:t>
            </w:r>
            <w:r w:rsidRPr="00A604A3">
              <w:rPr>
                <w:color w:val="000000" w:themeColor="text1"/>
                <w:lang w:eastAsia="zh-CN"/>
              </w:rPr>
              <w:t xml:space="preserve"> carriers can be either contiguous or non-contiguous in the frequency domain. The </w:t>
            </w:r>
            <w:r w:rsidRPr="00A604A3">
              <w:rPr>
                <w:color w:val="000000" w:themeColor="text1"/>
                <w:lang w:eastAsia="zh-CN"/>
              </w:rPr>
              <w:lastRenderedPageBreak/>
              <w:t xml:space="preserve">number of component carriers has been set to the maximum, i.e. </w:t>
            </w:r>
            <w:r w:rsidRPr="00A604A3">
              <w:rPr>
                <w:b/>
                <w:color w:val="000000" w:themeColor="text1"/>
                <w:lang w:eastAsia="zh-CN"/>
              </w:rPr>
              <w:t>16 component carriers</w:t>
            </w:r>
            <w:r w:rsidRPr="00A604A3">
              <w:rPr>
                <w:color w:val="000000" w:themeColor="text1"/>
                <w:lang w:eastAsia="zh-CN"/>
              </w:rPr>
              <w:t xml:space="preserve">. With this configuration, peak data rates up to 9.75 Gbps and </w:t>
            </w:r>
            <w:r w:rsidRPr="00A604A3">
              <w:rPr>
                <w:b/>
                <w:color w:val="000000" w:themeColor="text1"/>
                <w:lang w:eastAsia="zh-CN"/>
              </w:rPr>
              <w:t>78.05 Gbps</w:t>
            </w:r>
            <w:r w:rsidRPr="00A604A3">
              <w:rPr>
                <w:color w:val="000000" w:themeColor="text1"/>
                <w:lang w:eastAsia="zh-CN"/>
              </w:rPr>
              <w:t xml:space="preserve"> can be reached for </w:t>
            </w:r>
            <w:r w:rsidRPr="00A604A3">
              <w:rPr>
                <w:b/>
                <w:color w:val="000000" w:themeColor="text1"/>
                <w:lang w:eastAsia="zh-CN"/>
              </w:rPr>
              <w:t>FDD</w:t>
            </w:r>
            <w:r w:rsidRPr="00A604A3">
              <w:rPr>
                <w:color w:val="000000" w:themeColor="text1"/>
                <w:lang w:eastAsia="zh-CN"/>
              </w:rPr>
              <w:t xml:space="preserve"> SISO and MIMO modes. In </w:t>
            </w:r>
            <w:r w:rsidRPr="00A604A3">
              <w:rPr>
                <w:b/>
                <w:color w:val="000000" w:themeColor="text1"/>
                <w:lang w:eastAsia="zh-CN"/>
              </w:rPr>
              <w:t>TDD</w:t>
            </w:r>
            <w:r w:rsidRPr="00A604A3">
              <w:rPr>
                <w:color w:val="000000" w:themeColor="text1"/>
                <w:lang w:eastAsia="zh-CN"/>
              </w:rPr>
              <w:t xml:space="preserve">, values up to 28.9 Gbps and </w:t>
            </w:r>
            <w:r w:rsidRPr="00A604A3">
              <w:rPr>
                <w:b/>
                <w:color w:val="000000" w:themeColor="text1"/>
                <w:lang w:eastAsia="zh-CN"/>
              </w:rPr>
              <w:t>173.57 Gbps</w:t>
            </w:r>
            <w:r w:rsidRPr="00A604A3">
              <w:rPr>
                <w:color w:val="000000" w:themeColor="text1"/>
                <w:lang w:eastAsia="zh-CN"/>
              </w:rPr>
              <w:t xml:space="preserve"> can be reached with SISO and MIMO configurations, respectively.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The use of </w:t>
            </w:r>
            <w:r w:rsidRPr="00A604A3">
              <w:rPr>
                <w:b/>
                <w:color w:val="000000" w:themeColor="text1"/>
                <w:lang w:eastAsia="zh-CN"/>
              </w:rPr>
              <w:t>MIMO and carrier aggregation allows to meet the ITU-R peak data rate requirement</w:t>
            </w:r>
            <w:r w:rsidRPr="00A604A3">
              <w:rPr>
                <w:color w:val="000000" w:themeColor="text1"/>
                <w:lang w:eastAsia="zh-CN"/>
              </w:rPr>
              <w:t xml:space="preserve">. With carrier aggregation and SISO configuration, only TDD FR2 case meets the requirement. However, with carrier aggregation and MIMO configuration, all FDD and TDD cases reach peak data rates higher than 20 Gbps. </w:t>
            </w:r>
          </w:p>
        </w:tc>
        <w:tc>
          <w:tcPr>
            <w:tcW w:w="3006" w:type="dxa"/>
          </w:tcPr>
          <w:p w:rsidR="00AE0549" w:rsidRPr="00A604A3" w:rsidRDefault="00AE0549" w:rsidP="00FC06AC">
            <w:pPr>
              <w:pStyle w:val="Tabletext"/>
              <w:rPr>
                <w:color w:val="000000" w:themeColor="text1"/>
              </w:rPr>
            </w:pPr>
            <w:r w:rsidRPr="00A604A3">
              <w:rPr>
                <w:color w:val="000000" w:themeColor="text1"/>
              </w:rPr>
              <w:lastRenderedPageBreak/>
              <w:t xml:space="preserve">In </w:t>
            </w:r>
            <w:r w:rsidRPr="00A604A3">
              <w:rPr>
                <w:b/>
                <w:color w:val="000000" w:themeColor="text1"/>
              </w:rPr>
              <w:t>FDD, one component carrier</w:t>
            </w:r>
            <w:r w:rsidRPr="00A604A3">
              <w:rPr>
                <w:color w:val="000000" w:themeColor="text1"/>
              </w:rPr>
              <w:t xml:space="preserve"> is able to provide peak data rate values up to </w:t>
            </w:r>
            <w:r w:rsidRPr="00A604A3">
              <w:rPr>
                <w:b/>
                <w:color w:val="000000" w:themeColor="text1"/>
              </w:rPr>
              <w:t>100 Mbps with SISO</w:t>
            </w:r>
            <w:r w:rsidRPr="00A604A3">
              <w:rPr>
                <w:color w:val="000000" w:themeColor="text1"/>
              </w:rPr>
              <w:t xml:space="preserve"> antenna </w:t>
            </w:r>
            <w:r w:rsidRPr="00A604A3">
              <w:t>configurations</w:t>
            </w:r>
            <w:r w:rsidRPr="00A604A3">
              <w:rPr>
                <w:color w:val="000000" w:themeColor="text1"/>
              </w:rPr>
              <w:t xml:space="preserve"> and </w:t>
            </w:r>
            <w:r w:rsidRPr="00A604A3">
              <w:rPr>
                <w:b/>
                <w:color w:val="000000" w:themeColor="text1"/>
              </w:rPr>
              <w:t>860 Mbps with 8 layers MIMO</w:t>
            </w:r>
            <w:r w:rsidRPr="00A604A3">
              <w:rPr>
                <w:color w:val="000000" w:themeColor="text1"/>
              </w:rPr>
              <w:t xml:space="preserve"> antenna configurations for frequencies between 450 MHz and 6 GHz. In </w:t>
            </w:r>
            <w:r w:rsidRPr="00A604A3">
              <w:rPr>
                <w:b/>
                <w:color w:val="000000" w:themeColor="text1"/>
              </w:rPr>
              <w:t>TDD</w:t>
            </w:r>
            <w:r w:rsidRPr="00A604A3">
              <w:rPr>
                <w:color w:val="000000" w:themeColor="text1"/>
              </w:rPr>
              <w:t xml:space="preserve">, peak data rates get reduced to </w:t>
            </w:r>
            <w:r w:rsidRPr="00A604A3">
              <w:rPr>
                <w:b/>
                <w:color w:val="000000" w:themeColor="text1"/>
              </w:rPr>
              <w:t>80 Mbps in SISO</w:t>
            </w:r>
            <w:r w:rsidRPr="00A604A3">
              <w:rPr>
                <w:color w:val="000000" w:themeColor="text1"/>
              </w:rPr>
              <w:t xml:space="preserve"> transmissions and </w:t>
            </w:r>
            <w:r w:rsidRPr="00A604A3">
              <w:rPr>
                <w:b/>
                <w:color w:val="000000" w:themeColor="text1"/>
              </w:rPr>
              <w:t>660 Mbps in MIMO 8 layers</w:t>
            </w:r>
            <w:r w:rsidRPr="00A604A3">
              <w:rPr>
                <w:color w:val="000000" w:themeColor="text1"/>
              </w:rPr>
              <w:t xml:space="preserve"> configurations. </w:t>
            </w:r>
          </w:p>
          <w:p w:rsidR="00AE0549" w:rsidRPr="00A604A3" w:rsidRDefault="00AE0549" w:rsidP="00FC06AC">
            <w:pPr>
              <w:pStyle w:val="Tabletext"/>
              <w:rPr>
                <w:color w:val="000000" w:themeColor="text1"/>
              </w:rPr>
            </w:pPr>
            <w:r w:rsidRPr="00A604A3">
              <w:rPr>
                <w:color w:val="000000" w:themeColor="text1"/>
              </w:rPr>
              <w:t xml:space="preserve">Higher peak data rate values can be reached by aggregating up to </w:t>
            </w:r>
            <w:r w:rsidRPr="00A604A3">
              <w:rPr>
                <w:b/>
                <w:color w:val="000000" w:themeColor="text1"/>
              </w:rPr>
              <w:t>32 component carriers</w:t>
            </w:r>
            <w:r w:rsidRPr="00A604A3">
              <w:rPr>
                <w:color w:val="000000" w:themeColor="text1"/>
              </w:rPr>
              <w:t xml:space="preserve"> contiguous or non-contiguous in the </w:t>
            </w:r>
            <w:r w:rsidRPr="00A604A3">
              <w:t>frequency</w:t>
            </w:r>
            <w:r w:rsidRPr="00A604A3">
              <w:rPr>
                <w:color w:val="000000" w:themeColor="text1"/>
              </w:rPr>
              <w:t xml:space="preserve"> domain. In particular, </w:t>
            </w:r>
            <w:r w:rsidRPr="00A604A3">
              <w:rPr>
                <w:b/>
                <w:color w:val="000000" w:themeColor="text1"/>
              </w:rPr>
              <w:t>peak data rate values up to 3.47 Gbps and 27.82 Gbps</w:t>
            </w:r>
            <w:r w:rsidRPr="00A604A3">
              <w:rPr>
                <w:color w:val="000000" w:themeColor="text1"/>
              </w:rPr>
              <w:t xml:space="preserve"> can be achieved with </w:t>
            </w:r>
            <w:r w:rsidRPr="00A604A3">
              <w:rPr>
                <w:b/>
                <w:color w:val="000000" w:themeColor="text1"/>
              </w:rPr>
              <w:t xml:space="preserve">FDD SISO </w:t>
            </w:r>
            <w:r w:rsidRPr="00A604A3">
              <w:rPr>
                <w:b/>
                <w:color w:val="000000" w:themeColor="text1"/>
              </w:rPr>
              <w:lastRenderedPageBreak/>
              <w:t>and MIMO</w:t>
            </w:r>
            <w:r w:rsidRPr="00A604A3">
              <w:rPr>
                <w:color w:val="000000" w:themeColor="text1"/>
              </w:rPr>
              <w:t xml:space="preserve"> configurations. In </w:t>
            </w:r>
            <w:r w:rsidRPr="00A604A3">
              <w:rPr>
                <w:b/>
                <w:color w:val="000000" w:themeColor="text1"/>
              </w:rPr>
              <w:t>TDD, values up to 2.64 Gbps and 21.12 Gbps</w:t>
            </w:r>
            <w:r w:rsidRPr="00A604A3">
              <w:rPr>
                <w:color w:val="000000" w:themeColor="text1"/>
              </w:rPr>
              <w:t xml:space="preserve"> can be reached </w:t>
            </w:r>
            <w:r w:rsidRPr="00A604A3">
              <w:rPr>
                <w:b/>
                <w:color w:val="000000" w:themeColor="text1"/>
              </w:rPr>
              <w:t>if 1024QAM is used in SISO and MIMO</w:t>
            </w:r>
            <w:r w:rsidRPr="00A604A3">
              <w:rPr>
                <w:color w:val="000000" w:themeColor="text1"/>
              </w:rPr>
              <w:t xml:space="preserve"> transmissions. LTE cannot meet the data rate requirements when 256QAM modulation is used in TDD.  </w:t>
            </w:r>
          </w:p>
          <w:p w:rsidR="00AE0549" w:rsidRPr="00A604A3" w:rsidRDefault="00AE0549" w:rsidP="00FC06AC">
            <w:pPr>
              <w:pStyle w:val="Tabletext"/>
              <w:rPr>
                <w:color w:val="000000" w:themeColor="text1"/>
              </w:rPr>
            </w:pPr>
            <w:r w:rsidRPr="00A604A3">
              <w:rPr>
                <w:color w:val="000000" w:themeColor="text1"/>
              </w:rPr>
              <w:t xml:space="preserve">The use of </w:t>
            </w:r>
            <w:r w:rsidRPr="00A604A3">
              <w:rPr>
                <w:b/>
                <w:color w:val="000000" w:themeColor="text1"/>
              </w:rPr>
              <w:t>MIMO</w:t>
            </w:r>
            <w:r w:rsidRPr="00A604A3">
              <w:rPr>
                <w:color w:val="000000" w:themeColor="text1"/>
              </w:rPr>
              <w:t xml:space="preserve"> (up to 8 layers) </w:t>
            </w:r>
            <w:r w:rsidRPr="00A604A3">
              <w:rPr>
                <w:b/>
                <w:color w:val="000000" w:themeColor="text1"/>
              </w:rPr>
              <w:t>and carrier aggregation</w:t>
            </w:r>
            <w:r w:rsidRPr="00A604A3">
              <w:rPr>
                <w:color w:val="000000" w:themeColor="text1"/>
              </w:rPr>
              <w:t xml:space="preserve"> (up to 32 component carriers) are key factors to enable the </w:t>
            </w:r>
            <w:r w:rsidRPr="00A604A3">
              <w:rPr>
                <w:b/>
                <w:color w:val="000000" w:themeColor="text1"/>
              </w:rPr>
              <w:t>fulfilment of the ITU-R peak data rate requirements</w:t>
            </w:r>
            <w:r w:rsidRPr="00A604A3">
              <w:rPr>
                <w:color w:val="000000" w:themeColor="text1"/>
              </w:rPr>
              <w:t xml:space="preserve">. Additionally, the use of a high modulation order such as </w:t>
            </w:r>
            <w:r w:rsidRPr="00A604A3">
              <w:rPr>
                <w:b/>
                <w:color w:val="000000" w:themeColor="text1"/>
              </w:rPr>
              <w:t>1024QAM</w:t>
            </w:r>
            <w:r w:rsidRPr="00A604A3">
              <w:rPr>
                <w:color w:val="000000" w:themeColor="text1"/>
              </w:rPr>
              <w:t xml:space="preserve"> is crucial to meet the 20 Gbps peak data requirement in TDD. Despite these features, </w:t>
            </w:r>
            <w:r w:rsidRPr="00A604A3">
              <w:rPr>
                <w:b/>
                <w:color w:val="000000" w:themeColor="text1"/>
              </w:rPr>
              <w:t>LTE cannot reach peak data rate values as high as 5G NR</w:t>
            </w:r>
            <w:r w:rsidRPr="00A604A3">
              <w:rPr>
                <w:color w:val="000000" w:themeColor="text1"/>
              </w:rPr>
              <w:t xml:space="preserve"> due to the </w:t>
            </w:r>
            <w:r w:rsidRPr="00A604A3">
              <w:rPr>
                <w:b/>
                <w:color w:val="000000" w:themeColor="text1"/>
              </w:rPr>
              <w:t>frequency range limitation</w:t>
            </w:r>
            <w:r w:rsidRPr="00A604A3">
              <w:rPr>
                <w:color w:val="000000" w:themeColor="text1"/>
              </w:rPr>
              <w:t xml:space="preserve"> from 450 MHz to 6 GHz. </w:t>
            </w:r>
          </w:p>
        </w:tc>
      </w:tr>
      <w:tr w:rsidR="00AE0549" w:rsidRPr="00A604A3" w:rsidTr="00470885">
        <w:tc>
          <w:tcPr>
            <w:tcW w:w="3005" w:type="dxa"/>
          </w:tcPr>
          <w:p w:rsidR="00AE0549" w:rsidRPr="00A604A3" w:rsidRDefault="00AE0549" w:rsidP="00FC06AC">
            <w:pPr>
              <w:pStyle w:val="Tabletext"/>
              <w:rPr>
                <w:color w:val="000000" w:themeColor="text1"/>
              </w:rPr>
            </w:pPr>
            <w:r w:rsidRPr="00A604A3">
              <w:rPr>
                <w:color w:val="000000" w:themeColor="text1"/>
              </w:rPr>
              <w:lastRenderedPageBreak/>
              <w:t>Uplink: At least 10 Gbit/s</w:t>
            </w:r>
          </w:p>
        </w:tc>
        <w:tc>
          <w:tcPr>
            <w:tcW w:w="3005" w:type="dxa"/>
          </w:tcPr>
          <w:p w:rsidR="00AE0549" w:rsidRPr="00A604A3" w:rsidRDefault="00AE0549" w:rsidP="00FC06AC">
            <w:pPr>
              <w:pStyle w:val="Tabletext"/>
              <w:rPr>
                <w:color w:val="000000" w:themeColor="text1"/>
                <w:lang w:eastAsia="zh-CN"/>
              </w:rPr>
            </w:pPr>
            <w:r w:rsidRPr="00A604A3">
              <w:rPr>
                <w:color w:val="000000" w:themeColor="text1"/>
                <w:lang w:eastAsia="zh-CN"/>
              </w:rPr>
              <w:t xml:space="preserve">For </w:t>
            </w:r>
            <w:r w:rsidRPr="00A604A3">
              <w:rPr>
                <w:b/>
                <w:color w:val="000000" w:themeColor="text1"/>
                <w:lang w:eastAsia="zh-CN"/>
              </w:rPr>
              <w:t>FDD, one component carrier</w:t>
            </w:r>
            <w:r w:rsidRPr="00A604A3">
              <w:rPr>
                <w:color w:val="000000" w:themeColor="text1"/>
                <w:lang w:eastAsia="zh-CN"/>
              </w:rPr>
              <w:t xml:space="preserve"> is able to provide peak data rate values up to 620 Mbps with SISO antenna configurations and </w:t>
            </w:r>
            <w:r w:rsidRPr="00A604A3">
              <w:rPr>
                <w:b/>
                <w:color w:val="000000" w:themeColor="text1"/>
                <w:lang w:eastAsia="zh-CN"/>
              </w:rPr>
              <w:t>2.49 Gbps</w:t>
            </w:r>
            <w:r w:rsidRPr="00A604A3">
              <w:rPr>
                <w:color w:val="000000" w:themeColor="text1"/>
                <w:lang w:eastAsia="zh-CN"/>
              </w:rPr>
              <w:t xml:space="preserve"> with MIMO 4 layers configuration in frequency ranges between 450 MHz and 6 GHz. Considering </w:t>
            </w:r>
            <w:r w:rsidRPr="00A604A3">
              <w:rPr>
                <w:b/>
                <w:color w:val="000000" w:themeColor="text1"/>
                <w:lang w:eastAsia="zh-CN"/>
              </w:rPr>
              <w:t>TDD</w:t>
            </w:r>
            <w:r w:rsidRPr="00A604A3">
              <w:rPr>
                <w:color w:val="000000" w:themeColor="text1"/>
                <w:lang w:eastAsia="zh-CN"/>
              </w:rPr>
              <w:t xml:space="preserve"> techniques for frequency ranges of 24.25 GHz - 52.6 GHz, peak data rates up to 1.47 Gbps for SISO and </w:t>
            </w:r>
            <w:r w:rsidRPr="00A604A3">
              <w:rPr>
                <w:b/>
                <w:color w:val="000000" w:themeColor="text1"/>
                <w:lang w:eastAsia="zh-CN"/>
              </w:rPr>
              <w:t>5.91 Gbps</w:t>
            </w:r>
            <w:r w:rsidRPr="00A604A3">
              <w:rPr>
                <w:color w:val="000000" w:themeColor="text1"/>
                <w:lang w:eastAsia="zh-CN"/>
              </w:rPr>
              <w:t xml:space="preserve"> for MIMO 4 layers can be obtained.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By </w:t>
            </w:r>
            <w:r w:rsidRPr="00A604A3">
              <w:rPr>
                <w:b/>
                <w:color w:val="000000" w:themeColor="text1"/>
                <w:lang w:eastAsia="zh-CN"/>
              </w:rPr>
              <w:t>aggregating multiple component carriers</w:t>
            </w:r>
            <w:r w:rsidRPr="00A604A3">
              <w:rPr>
                <w:color w:val="000000" w:themeColor="text1"/>
                <w:lang w:eastAsia="zh-CN"/>
              </w:rPr>
              <w:t xml:space="preserve">, higher peak data rate values can also be reached for uplink </w:t>
            </w:r>
            <w:r w:rsidRPr="00A604A3">
              <w:t>transmissions</w:t>
            </w:r>
            <w:r w:rsidRPr="00A604A3">
              <w:rPr>
                <w:color w:val="000000" w:themeColor="text1"/>
                <w:lang w:eastAsia="zh-CN"/>
              </w:rPr>
              <w:t xml:space="preserve">. The number of component carriers has also been set to 16 component carriers. With this configuration, peak data rates up to 9.99 Gbps and </w:t>
            </w:r>
            <w:r w:rsidRPr="00A604A3">
              <w:rPr>
                <w:b/>
                <w:color w:val="000000" w:themeColor="text1"/>
                <w:lang w:eastAsia="zh-CN"/>
              </w:rPr>
              <w:t>39.99 Gbps</w:t>
            </w:r>
            <w:r w:rsidRPr="00A604A3">
              <w:rPr>
                <w:color w:val="000000" w:themeColor="text1"/>
                <w:lang w:eastAsia="zh-CN"/>
              </w:rPr>
              <w:t xml:space="preserve"> can be reached for </w:t>
            </w:r>
            <w:r w:rsidRPr="00A604A3">
              <w:rPr>
                <w:b/>
                <w:color w:val="000000" w:themeColor="text1"/>
                <w:lang w:eastAsia="zh-CN"/>
              </w:rPr>
              <w:t>FDD</w:t>
            </w:r>
            <w:r w:rsidRPr="00A604A3">
              <w:rPr>
                <w:color w:val="000000" w:themeColor="text1"/>
                <w:lang w:eastAsia="zh-CN"/>
              </w:rPr>
              <w:t xml:space="preserve"> SISO and MIMO modes. In </w:t>
            </w:r>
            <w:r w:rsidRPr="00A604A3">
              <w:rPr>
                <w:b/>
                <w:color w:val="000000" w:themeColor="text1"/>
                <w:lang w:eastAsia="zh-CN"/>
              </w:rPr>
              <w:t>TDD</w:t>
            </w:r>
            <w:r w:rsidRPr="00A604A3">
              <w:rPr>
                <w:color w:val="000000" w:themeColor="text1"/>
                <w:lang w:eastAsia="zh-CN"/>
              </w:rPr>
              <w:t xml:space="preserve">, values up to 23.64 Gbps and </w:t>
            </w:r>
            <w:r w:rsidRPr="00A604A3">
              <w:rPr>
                <w:b/>
                <w:color w:val="000000" w:themeColor="text1"/>
                <w:lang w:eastAsia="zh-CN"/>
              </w:rPr>
              <w:t>94.57 Gbps</w:t>
            </w:r>
            <w:r w:rsidRPr="00A604A3">
              <w:rPr>
                <w:color w:val="000000" w:themeColor="text1"/>
                <w:lang w:eastAsia="zh-CN"/>
              </w:rPr>
              <w:t xml:space="preserve"> can be reached with SISO and MIMO configurations, respectively.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As it can be seen, the use of </w:t>
            </w:r>
            <w:r w:rsidRPr="00A604A3">
              <w:rPr>
                <w:b/>
                <w:color w:val="000000" w:themeColor="text1"/>
                <w:lang w:eastAsia="zh-CN"/>
              </w:rPr>
              <w:t>MIMO and carrier aggregation</w:t>
            </w:r>
            <w:r w:rsidRPr="00A604A3">
              <w:rPr>
                <w:color w:val="000000" w:themeColor="text1"/>
                <w:lang w:eastAsia="zh-CN"/>
              </w:rPr>
              <w:t xml:space="preserve"> techniques is also the key for uplink since it allows to meet the </w:t>
            </w:r>
            <w:r w:rsidRPr="00A604A3">
              <w:rPr>
                <w:b/>
                <w:color w:val="000000" w:themeColor="text1"/>
                <w:lang w:eastAsia="zh-CN"/>
              </w:rPr>
              <w:t>10 Gbps ITU-R requirement</w:t>
            </w:r>
            <w:r w:rsidRPr="00A604A3">
              <w:rPr>
                <w:color w:val="000000" w:themeColor="text1"/>
                <w:lang w:eastAsia="zh-CN"/>
              </w:rPr>
              <w:t>.</w:t>
            </w:r>
          </w:p>
        </w:tc>
        <w:tc>
          <w:tcPr>
            <w:tcW w:w="3006" w:type="dxa"/>
          </w:tcPr>
          <w:p w:rsidR="00AE0549" w:rsidRPr="00A604A3" w:rsidRDefault="00AE0549" w:rsidP="00FC06AC">
            <w:pPr>
              <w:pStyle w:val="Tabletext"/>
              <w:rPr>
                <w:color w:val="000000" w:themeColor="text1"/>
              </w:rPr>
            </w:pPr>
            <w:r w:rsidRPr="00A604A3">
              <w:rPr>
                <w:color w:val="000000" w:themeColor="text1"/>
              </w:rPr>
              <w:t xml:space="preserve">In </w:t>
            </w:r>
            <w:r w:rsidRPr="00A604A3">
              <w:rPr>
                <w:b/>
                <w:color w:val="000000" w:themeColor="text1"/>
              </w:rPr>
              <w:t>FDD, one component carrier</w:t>
            </w:r>
            <w:r w:rsidRPr="00A604A3">
              <w:rPr>
                <w:color w:val="000000" w:themeColor="text1"/>
              </w:rPr>
              <w:t xml:space="preserve"> is able to </w:t>
            </w:r>
            <w:r w:rsidRPr="00A604A3">
              <w:t>provide</w:t>
            </w:r>
            <w:r w:rsidRPr="00A604A3">
              <w:rPr>
                <w:color w:val="000000" w:themeColor="text1"/>
              </w:rPr>
              <w:t xml:space="preserve"> peak data rate values up to </w:t>
            </w:r>
            <w:r w:rsidRPr="00A604A3">
              <w:rPr>
                <w:b/>
                <w:color w:val="000000" w:themeColor="text1"/>
              </w:rPr>
              <w:t>100 Mbps with SISO</w:t>
            </w:r>
            <w:r w:rsidRPr="00A604A3">
              <w:rPr>
                <w:color w:val="000000" w:themeColor="text1"/>
              </w:rPr>
              <w:t xml:space="preserve"> and </w:t>
            </w:r>
            <w:r w:rsidRPr="00A604A3">
              <w:rPr>
                <w:b/>
                <w:color w:val="000000" w:themeColor="text1"/>
              </w:rPr>
              <w:t>400 Mbps with 4 layers MIMO</w:t>
            </w:r>
            <w:r w:rsidRPr="00A604A3">
              <w:rPr>
                <w:color w:val="000000" w:themeColor="text1"/>
              </w:rPr>
              <w:t xml:space="preserve"> antenna configuration in the range of frequencies between 450 MHz and 6 GHz. For </w:t>
            </w:r>
            <w:r w:rsidRPr="00A604A3">
              <w:rPr>
                <w:b/>
                <w:color w:val="000000" w:themeColor="text1"/>
              </w:rPr>
              <w:t>TDD, peak data rates</w:t>
            </w:r>
            <w:r w:rsidRPr="00A604A3">
              <w:rPr>
                <w:color w:val="000000" w:themeColor="text1"/>
              </w:rPr>
              <w:t xml:space="preserve"> get halved to </w:t>
            </w:r>
            <w:r w:rsidRPr="00A604A3">
              <w:rPr>
                <w:b/>
                <w:color w:val="000000" w:themeColor="text1"/>
              </w:rPr>
              <w:t>50 Mbps for SISO</w:t>
            </w:r>
            <w:r w:rsidRPr="00A604A3">
              <w:rPr>
                <w:color w:val="000000" w:themeColor="text1"/>
              </w:rPr>
              <w:t xml:space="preserve"> and </w:t>
            </w:r>
            <w:r w:rsidRPr="00A604A3">
              <w:rPr>
                <w:b/>
                <w:color w:val="000000" w:themeColor="text1"/>
              </w:rPr>
              <w:t>200 Mbps for 4 layers MIMO</w:t>
            </w:r>
            <w:r w:rsidRPr="00A604A3">
              <w:rPr>
                <w:color w:val="000000" w:themeColor="text1"/>
              </w:rPr>
              <w:t xml:space="preserve"> configurations. The maximum modulation order for both configurations is </w:t>
            </w:r>
            <w:r w:rsidRPr="00A604A3">
              <w:rPr>
                <w:b/>
                <w:color w:val="000000" w:themeColor="text1"/>
              </w:rPr>
              <w:t>256QAM</w:t>
            </w:r>
            <w:r w:rsidRPr="00A604A3">
              <w:rPr>
                <w:color w:val="000000" w:themeColor="text1"/>
              </w:rPr>
              <w:t xml:space="preserve"> for the uplink side. </w:t>
            </w:r>
          </w:p>
          <w:p w:rsidR="00AE0549" w:rsidRPr="00A604A3" w:rsidRDefault="00AE0549" w:rsidP="00FC06AC">
            <w:pPr>
              <w:pStyle w:val="Tabletext"/>
              <w:rPr>
                <w:color w:val="000000" w:themeColor="text1"/>
              </w:rPr>
            </w:pPr>
            <w:r w:rsidRPr="00A604A3">
              <w:rPr>
                <w:b/>
                <w:color w:val="000000" w:themeColor="text1"/>
              </w:rPr>
              <w:t>Higher peak data rate values</w:t>
            </w:r>
            <w:r w:rsidRPr="00A604A3">
              <w:rPr>
                <w:color w:val="000000" w:themeColor="text1"/>
              </w:rPr>
              <w:t xml:space="preserve"> can be </w:t>
            </w:r>
            <w:r w:rsidRPr="00A604A3">
              <w:t>obtained</w:t>
            </w:r>
            <w:r w:rsidRPr="00A604A3">
              <w:rPr>
                <w:color w:val="000000" w:themeColor="text1"/>
              </w:rPr>
              <w:t xml:space="preserve"> by aggregating </w:t>
            </w:r>
            <w:r w:rsidRPr="00A604A3">
              <w:rPr>
                <w:b/>
                <w:color w:val="000000" w:themeColor="text1"/>
              </w:rPr>
              <w:t>up to 32 component carriers</w:t>
            </w:r>
            <w:r w:rsidRPr="00A604A3">
              <w:rPr>
                <w:color w:val="000000" w:themeColor="text1"/>
              </w:rPr>
              <w:t xml:space="preserve">. In particular, </w:t>
            </w:r>
            <w:r w:rsidRPr="00A604A3">
              <w:rPr>
                <w:b/>
                <w:color w:val="000000" w:themeColor="text1"/>
              </w:rPr>
              <w:t>peak data rates up to 3.32 Gbps for SISO and 13.28 Gbps for MIMO</w:t>
            </w:r>
            <w:r w:rsidRPr="00A604A3">
              <w:rPr>
                <w:color w:val="000000" w:themeColor="text1"/>
              </w:rPr>
              <w:t xml:space="preserve"> can be obtained in FDD mode. On the </w:t>
            </w:r>
            <w:r w:rsidRPr="00A604A3">
              <w:t>other</w:t>
            </w:r>
            <w:r w:rsidRPr="00A604A3">
              <w:rPr>
                <w:color w:val="000000" w:themeColor="text1"/>
              </w:rPr>
              <w:t xml:space="preserve"> hand, </w:t>
            </w:r>
            <w:r w:rsidRPr="00A604A3">
              <w:rPr>
                <w:b/>
                <w:color w:val="000000" w:themeColor="text1"/>
              </w:rPr>
              <w:t>TDD mode</w:t>
            </w:r>
            <w:r w:rsidRPr="00A604A3">
              <w:rPr>
                <w:color w:val="000000" w:themeColor="text1"/>
              </w:rPr>
              <w:t xml:space="preserve"> enables values up to 1.85 Gbps and </w:t>
            </w:r>
            <w:r w:rsidRPr="00A604A3">
              <w:rPr>
                <w:b/>
                <w:color w:val="000000" w:themeColor="text1"/>
              </w:rPr>
              <w:t>7.40 Gbps</w:t>
            </w:r>
            <w:r w:rsidRPr="00A604A3">
              <w:rPr>
                <w:color w:val="000000" w:themeColor="text1"/>
              </w:rPr>
              <w:t xml:space="preserve"> for SISO and </w:t>
            </w:r>
            <w:r w:rsidRPr="00A604A3">
              <w:rPr>
                <w:b/>
                <w:color w:val="000000" w:themeColor="text1"/>
              </w:rPr>
              <w:t>MIMO</w:t>
            </w:r>
            <w:r w:rsidRPr="00A604A3">
              <w:rPr>
                <w:color w:val="000000" w:themeColor="text1"/>
              </w:rPr>
              <w:t xml:space="preserve"> respectively.</w:t>
            </w:r>
          </w:p>
          <w:p w:rsidR="00AE0549" w:rsidRPr="00A604A3" w:rsidRDefault="00AE0549" w:rsidP="00FC06AC">
            <w:pPr>
              <w:pStyle w:val="Tabletext"/>
              <w:rPr>
                <w:color w:val="000000" w:themeColor="text1"/>
              </w:rPr>
            </w:pPr>
            <w:r w:rsidRPr="00A604A3">
              <w:rPr>
                <w:color w:val="000000" w:themeColor="text1"/>
              </w:rPr>
              <w:t xml:space="preserve">The use of </w:t>
            </w:r>
            <w:r w:rsidRPr="00A604A3">
              <w:rPr>
                <w:b/>
                <w:color w:val="000000" w:themeColor="text1"/>
              </w:rPr>
              <w:t>MIMO</w:t>
            </w:r>
            <w:r w:rsidRPr="00A604A3">
              <w:rPr>
                <w:color w:val="000000" w:themeColor="text1"/>
              </w:rPr>
              <w:t xml:space="preserve"> (up to 4 layers) and </w:t>
            </w:r>
            <w:r w:rsidRPr="00A604A3">
              <w:rPr>
                <w:b/>
                <w:color w:val="000000" w:themeColor="text1"/>
              </w:rPr>
              <w:t>carrier aggregation</w:t>
            </w:r>
            <w:r w:rsidRPr="00A604A3">
              <w:rPr>
                <w:color w:val="000000" w:themeColor="text1"/>
              </w:rPr>
              <w:t xml:space="preserve"> (up to 32 carriers) allows to meet the peak data rate </w:t>
            </w:r>
            <w:r w:rsidRPr="00A604A3">
              <w:t>requirement</w:t>
            </w:r>
            <w:r w:rsidRPr="00A604A3">
              <w:rPr>
                <w:color w:val="000000" w:themeColor="text1"/>
              </w:rPr>
              <w:t xml:space="preserve"> in uplink transmissions for </w:t>
            </w:r>
            <w:r w:rsidRPr="00A604A3">
              <w:rPr>
                <w:b/>
                <w:color w:val="000000" w:themeColor="text1"/>
              </w:rPr>
              <w:t>FDD mode</w:t>
            </w:r>
            <w:r w:rsidRPr="00A604A3">
              <w:rPr>
                <w:color w:val="000000" w:themeColor="text1"/>
              </w:rPr>
              <w:t xml:space="preserve">. Nevertheless, when all resources are </w:t>
            </w:r>
            <w:r w:rsidRPr="00A604A3">
              <w:rPr>
                <w:b/>
                <w:color w:val="000000" w:themeColor="text1"/>
              </w:rPr>
              <w:t>not assigned to the uplink side</w:t>
            </w:r>
            <w:r w:rsidRPr="00A604A3">
              <w:rPr>
                <w:color w:val="000000" w:themeColor="text1"/>
              </w:rPr>
              <w:t xml:space="preserve">, i.e. TDD mode, carrier aggregation and MIMO are </w:t>
            </w:r>
            <w:r w:rsidRPr="00A604A3">
              <w:rPr>
                <w:b/>
                <w:color w:val="000000" w:themeColor="text1"/>
              </w:rPr>
              <w:t>not enough to cover the 10 Gbps</w:t>
            </w:r>
            <w:r w:rsidRPr="00A604A3">
              <w:rPr>
                <w:color w:val="000000" w:themeColor="text1"/>
              </w:rPr>
              <w:t xml:space="preserve"> targeted value.</w:t>
            </w:r>
          </w:p>
        </w:tc>
      </w:tr>
    </w:tbl>
    <w:p w:rsidR="00AE0549" w:rsidRPr="00A604A3" w:rsidRDefault="00AE0549" w:rsidP="00FC06AC">
      <w:pPr>
        <w:pStyle w:val="Tablefin"/>
      </w:pPr>
    </w:p>
    <w:p w:rsidR="00AE0549" w:rsidRPr="00A604A3" w:rsidRDefault="00FC06AC" w:rsidP="00FC06AC">
      <w:pPr>
        <w:pStyle w:val="Heading3"/>
        <w:rPr>
          <w:rFonts w:eastAsia="MS Mincho"/>
        </w:rPr>
      </w:pPr>
      <w:bookmarkStart w:id="63" w:name="_Toc32412962"/>
      <w:r w:rsidRPr="00A604A3">
        <w:rPr>
          <w:rFonts w:eastAsia="MS Mincho"/>
        </w:rPr>
        <w:lastRenderedPageBreak/>
        <w:t>II.5.2</w:t>
      </w:r>
      <w:r w:rsidRPr="00A604A3">
        <w:rPr>
          <w:rFonts w:eastAsia="MS Mincho"/>
        </w:rPr>
        <w:tab/>
      </w:r>
      <w:r w:rsidR="00AE0549" w:rsidRPr="00A604A3">
        <w:rPr>
          <w:rFonts w:eastAsia="MS Mincho"/>
        </w:rPr>
        <w:t>Peak spectral efficiency</w:t>
      </w:r>
      <w:bookmarkEnd w:id="63"/>
    </w:p>
    <w:p w:rsidR="00AE0549" w:rsidRPr="00A604A3" w:rsidRDefault="00AE0549" w:rsidP="00480327">
      <w:r w:rsidRPr="00A604A3">
        <w:t>The ITU-R minimum requirements on peak spectral efficiency are given in [1]. The following requirements and remarks are extracted from [1]:</w:t>
      </w:r>
    </w:p>
    <w:p w:rsidR="00AE0549" w:rsidRPr="00A604A3" w:rsidRDefault="00480327" w:rsidP="00480327">
      <w:pPr>
        <w:pStyle w:val="enumlev1"/>
        <w:rPr>
          <w:i/>
          <w:iCs/>
          <w:szCs w:val="23"/>
        </w:rPr>
      </w:pPr>
      <w:r w:rsidRPr="00A604A3">
        <w:rPr>
          <w:i/>
          <w:iCs/>
        </w:rPr>
        <w:tab/>
      </w:r>
      <w:r w:rsidR="00AE0549" w:rsidRPr="00A604A3">
        <w:rPr>
          <w:i/>
          <w:iCs/>
        </w:rPr>
        <w:t xml:space="preserve">Peak spectral efficiency is the maximum data rate under ideal conditions normalised by channel bandwidth (in bit/s/Hz), where the maximum data rate is the received data bits assuming error-free conditions assignable to a single mobile station, when all assignable radio resources for the </w:t>
      </w:r>
      <w:r w:rsidR="00AE0549" w:rsidRPr="00A604A3">
        <w:rPr>
          <w:i/>
          <w:iCs/>
          <w:szCs w:val="23"/>
        </w:rPr>
        <w:t>corresponding link direction are utilized (i.e. excluding radio resources that are used for physical layer synchronization, reference signals or pilots, guard bands and guard times).</w:t>
      </w:r>
    </w:p>
    <w:p w:rsidR="00AE0549" w:rsidRPr="00A604A3" w:rsidRDefault="00480327" w:rsidP="00480327">
      <w:pPr>
        <w:pStyle w:val="enumlev1"/>
        <w:rPr>
          <w:i/>
          <w:iCs/>
          <w:szCs w:val="23"/>
        </w:rPr>
      </w:pPr>
      <w:r w:rsidRPr="00A604A3">
        <w:rPr>
          <w:i/>
          <w:iCs/>
          <w:szCs w:val="23"/>
        </w:rPr>
        <w:tab/>
      </w:r>
      <w:r w:rsidR="00AE0549" w:rsidRPr="00A604A3">
        <w:rPr>
          <w:i/>
          <w:iCs/>
          <w:szCs w:val="23"/>
        </w:rPr>
        <w:t>This requirement is defined for the purpose of evaluation in the eMBB usage scenario.</w:t>
      </w:r>
    </w:p>
    <w:p w:rsidR="00AE0549" w:rsidRPr="00A604A3" w:rsidRDefault="00480327" w:rsidP="00480327">
      <w:pPr>
        <w:pStyle w:val="enumlev1"/>
        <w:rPr>
          <w:i/>
          <w:iCs/>
          <w:szCs w:val="23"/>
        </w:rPr>
      </w:pPr>
      <w:r w:rsidRPr="00A604A3">
        <w:rPr>
          <w:i/>
          <w:iCs/>
          <w:szCs w:val="23"/>
        </w:rPr>
        <w:tab/>
      </w:r>
      <w:r w:rsidR="00AE0549" w:rsidRPr="00A604A3">
        <w:rPr>
          <w:i/>
          <w:iCs/>
          <w:szCs w:val="23"/>
        </w:rPr>
        <w:t>The minimum requirements for peak spectral efficiencies are as follows:</w:t>
      </w:r>
    </w:p>
    <w:p w:rsidR="00AE0549" w:rsidRPr="00A604A3" w:rsidRDefault="00480327" w:rsidP="00480327">
      <w:pPr>
        <w:pStyle w:val="enumlev2"/>
        <w:rPr>
          <w:i/>
          <w:iCs/>
        </w:rPr>
      </w:pPr>
      <w:r w:rsidRPr="00A604A3">
        <w:rPr>
          <w:i/>
          <w:iCs/>
        </w:rPr>
        <w:t>–</w:t>
      </w:r>
      <w:r w:rsidRPr="00A604A3">
        <w:rPr>
          <w:i/>
          <w:iCs/>
        </w:rPr>
        <w:tab/>
      </w:r>
      <w:r w:rsidR="00AE0549" w:rsidRPr="00A604A3">
        <w:rPr>
          <w:i/>
          <w:iCs/>
        </w:rPr>
        <w:t>Downlink peak spectral efficiency is 30 bit/s/Hz.</w:t>
      </w:r>
    </w:p>
    <w:p w:rsidR="00AE0549" w:rsidRPr="00A604A3" w:rsidRDefault="00480327" w:rsidP="00480327">
      <w:pPr>
        <w:pStyle w:val="enumlev2"/>
        <w:rPr>
          <w:i/>
          <w:iCs/>
        </w:rPr>
      </w:pPr>
      <w:r w:rsidRPr="00A604A3">
        <w:rPr>
          <w:i/>
          <w:iCs/>
        </w:rPr>
        <w:t>–</w:t>
      </w:r>
      <w:r w:rsidRPr="00A604A3">
        <w:rPr>
          <w:i/>
          <w:iCs/>
        </w:rPr>
        <w:tab/>
      </w:r>
      <w:r w:rsidR="00AE0549" w:rsidRPr="00A604A3">
        <w:rPr>
          <w:i/>
          <w:iCs/>
        </w:rPr>
        <w:t>Uplink peak spectral efficiency is 15 bit/s/Hz.</w:t>
      </w:r>
    </w:p>
    <w:p w:rsidR="00AE0549" w:rsidRPr="00A604A3" w:rsidRDefault="00480327" w:rsidP="00480327">
      <w:pPr>
        <w:pStyle w:val="enumlev1"/>
        <w:rPr>
          <w:i/>
          <w:iCs/>
        </w:rPr>
      </w:pPr>
      <w:r w:rsidRPr="00A604A3">
        <w:rPr>
          <w:i/>
          <w:iCs/>
        </w:rPr>
        <w:tab/>
      </w:r>
      <w:r w:rsidR="00AE0549" w:rsidRPr="00A604A3">
        <w:rPr>
          <w:i/>
          <w:iCs/>
        </w:rPr>
        <w:t>These values were defined assuming an antenna configuration to enable eight spatial layers (streams) in the downlink and four spatial layers (streams) in the uplink. However, this does not form part of the requirement and the conditions for evaluation are described in Report ITU-R M.2412-0.</w:t>
      </w:r>
    </w:p>
    <w:p w:rsidR="00AE0549" w:rsidRPr="00A604A3" w:rsidRDefault="00480327" w:rsidP="00480327">
      <w:pPr>
        <w:pStyle w:val="Heading4"/>
        <w:rPr>
          <w:rFonts w:eastAsia="MS Mincho"/>
        </w:rPr>
      </w:pPr>
      <w:r w:rsidRPr="00A604A3">
        <w:rPr>
          <w:rFonts w:eastAsia="MS Mincho"/>
        </w:rPr>
        <w:t>II.5.2.1</w:t>
      </w:r>
      <w:r w:rsidRPr="00A604A3">
        <w:rPr>
          <w:rFonts w:eastAsia="MS Mincho"/>
        </w:rPr>
        <w:tab/>
      </w:r>
      <w:r w:rsidR="00AE0549" w:rsidRPr="00A604A3">
        <w:rPr>
          <w:rFonts w:eastAsia="MS Mincho"/>
        </w:rPr>
        <w:t>Basic parameters</w:t>
      </w:r>
    </w:p>
    <w:p w:rsidR="00AE0549" w:rsidRPr="00A604A3" w:rsidRDefault="00AE0549" w:rsidP="00480327">
      <w:r w:rsidRPr="00A604A3">
        <w:t>Peak spectral efficiency is defined for DL and UL transmissions with FDD and TDD techniques as:</w:t>
      </w:r>
    </w:p>
    <w:p w:rsidR="00AE0549" w:rsidRPr="00A604A3" w:rsidRDefault="00480327" w:rsidP="00480327">
      <w:pPr>
        <w:pStyle w:val="Equation"/>
      </w:pPr>
      <w:r w:rsidRPr="00A604A3">
        <w:rPr>
          <w:iCs/>
        </w:rPr>
        <w:tab/>
      </w:r>
      <w:r w:rsidRPr="00A604A3">
        <w:rPr>
          <w:iCs/>
        </w:rPr>
        <w:tab/>
      </w:r>
      <m:oMath>
        <m:sSub>
          <m:sSubPr>
            <m:ctrlPr>
              <w:rPr>
                <w:rFonts w:ascii="Cambria Math" w:hAnsi="Cambria Math"/>
                <w:iCs/>
              </w:rPr>
            </m:ctrlPr>
          </m:sSubPr>
          <m:e>
            <m:r>
              <w:rPr>
                <w:rFonts w:ascii="Cambria Math" w:hAnsi="Cambria Math"/>
              </w:rPr>
              <m:t>η</m:t>
            </m:r>
          </m:e>
          <m:sub>
            <m:r>
              <w:rPr>
                <w:rFonts w:ascii="Cambria Math" w:hAnsi="Cambria Math"/>
              </w:rPr>
              <m:t>p</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w:rPr>
                    <w:rFonts w:ascii="Cambria Math" w:hAnsi="Cambria Math"/>
                  </w:rPr>
                  <m:t>γ</m:t>
                </m:r>
              </m:e>
              <m:sub>
                <m:r>
                  <w:rPr>
                    <w:rFonts w:ascii="Cambria Math" w:hAnsi="Cambria Math"/>
                  </w:rPr>
                  <m:t>p</m:t>
                </m:r>
              </m:sub>
            </m:sSub>
            <m:r>
              <m:rPr>
                <m:sty m:val="p"/>
              </m:rPr>
              <w:rPr>
                <w:rFonts w:ascii="Cambria Math" w:hAnsi="Cambria Math"/>
              </w:rPr>
              <m:t> </m:t>
            </m:r>
          </m:num>
          <m:den>
            <m:sSup>
              <m:sSupPr>
                <m:ctrlPr>
                  <w:rPr>
                    <w:rFonts w:ascii="Cambria Math" w:hAnsi="Cambria Math"/>
                    <w:iCs/>
                  </w:rPr>
                </m:ctrlPr>
              </m:sSupPr>
              <m:e>
                <m:r>
                  <w:rPr>
                    <w:rFonts w:ascii="Cambria Math" w:hAnsi="Cambria Math"/>
                  </w:rPr>
                  <m:t>α</m:t>
                </m:r>
              </m:e>
              <m:sup>
                <m:d>
                  <m:dPr>
                    <m:ctrlPr>
                      <w:rPr>
                        <w:rFonts w:ascii="Cambria Math" w:hAnsi="Cambria Math"/>
                        <w:iCs/>
                      </w:rPr>
                    </m:ctrlPr>
                  </m:dPr>
                  <m:e>
                    <m:r>
                      <w:rPr>
                        <w:rFonts w:ascii="Cambria Math" w:hAnsi="Cambria Math"/>
                      </w:rPr>
                      <m:t>j</m:t>
                    </m:r>
                  </m:e>
                </m:d>
              </m:sup>
            </m:sSup>
            <m:r>
              <m:rPr>
                <m:sty m:val="p"/>
              </m:rPr>
              <w:rPr>
                <w:rFonts w:ascii="Cambria Math" w:hAnsi="Cambria Math"/>
              </w:rPr>
              <m:t>∙</m:t>
            </m:r>
            <m:r>
              <w:rPr>
                <w:rFonts w:ascii="Cambria Math" w:hAnsi="Cambria Math"/>
              </w:rPr>
              <m:t>BW</m:t>
            </m:r>
          </m:den>
        </m:f>
      </m:oMath>
      <w:r w:rsidR="00AE0549" w:rsidRPr="00A604A3">
        <w:rPr>
          <w:iCs/>
        </w:rPr>
        <w:tab/>
        <w:t>(2)</w:t>
      </w:r>
    </w:p>
    <w:p w:rsidR="00AE0549" w:rsidRPr="00A604A3" w:rsidRDefault="00AE0549" w:rsidP="00480327">
      <w:pPr>
        <w:rPr>
          <w:rFonts w:eastAsia="SimSun"/>
          <w:lang w:eastAsia="zh-CN"/>
        </w:rPr>
      </w:pPr>
      <w:r w:rsidRPr="00A604A3">
        <w:rPr>
          <w:rFonts w:eastAsia="SimSun"/>
          <w:lang w:eastAsia="zh-CN"/>
        </w:rPr>
        <w:t>wherein:</w:t>
      </w:r>
    </w:p>
    <w:p w:rsidR="00AE0549" w:rsidRPr="00A604A3" w:rsidRDefault="00480327" w:rsidP="00480327">
      <w:pPr>
        <w:pStyle w:val="Equationlegend"/>
        <w:rPr>
          <w:rFonts w:eastAsia="SimSun"/>
          <w:lang w:eastAsia="zh-CN"/>
        </w:rPr>
      </w:pPr>
      <w:r w:rsidRPr="00A604A3">
        <w:rPr>
          <w:rFonts w:eastAsia="SimSun"/>
        </w:rPr>
        <w:tab/>
      </w:r>
      <m:oMath>
        <m:sSub>
          <m:sSubPr>
            <m:ctrlPr>
              <w:rPr>
                <w:rFonts w:ascii="Cambria Math" w:hAnsi="Cambria Math"/>
              </w:rPr>
            </m:ctrlPr>
          </m:sSubPr>
          <m:e>
            <m:r>
              <m:rPr>
                <m:sty m:val="p"/>
              </m:rPr>
              <w:rPr>
                <w:rFonts w:ascii="Cambria Math" w:hAnsi="Cambria Math"/>
              </w:rPr>
              <m:t>γ</m:t>
            </m:r>
          </m:e>
          <m:sub>
            <m:r>
              <w:rPr>
                <w:rFonts w:ascii="Cambria Math" w:hAnsi="Cambria Math"/>
              </w:rPr>
              <m:t>p</m:t>
            </m:r>
          </m:sub>
        </m:sSub>
        <m:r>
          <m:rPr>
            <m:sty m:val="p"/>
          </m:rPr>
          <w:rPr>
            <w:rFonts w:ascii="Cambria Math" w:hAnsi="Cambria Math"/>
          </w:rPr>
          <m:t xml:space="preserve"> </m:t>
        </m:r>
      </m:oMath>
      <w:r w:rsidRPr="00A604A3">
        <w:rPr>
          <w:rFonts w:eastAsia="SimSun"/>
        </w:rPr>
        <w:tab/>
      </w:r>
      <w:r w:rsidR="00AE0549" w:rsidRPr="00A604A3">
        <w:rPr>
          <w:rFonts w:eastAsia="SimSun"/>
        </w:rPr>
        <w:t>is the peak data rate value obtained f</w:t>
      </w:r>
      <w:r w:rsidRPr="00A604A3">
        <w:rPr>
          <w:rFonts w:eastAsia="SimSun"/>
        </w:rPr>
        <w:t>or each evaluated configuration;</w:t>
      </w:r>
    </w:p>
    <w:p w:rsidR="00AE0549" w:rsidRPr="00A604A3" w:rsidRDefault="00480327" w:rsidP="00480327">
      <w:pPr>
        <w:pStyle w:val="Equationlegend"/>
        <w:rPr>
          <w:rFonts w:eastAsia="SimSun"/>
          <w:lang w:eastAsia="zh-CN"/>
        </w:rPr>
      </w:pPr>
      <w:r w:rsidRPr="00A604A3">
        <w:rPr>
          <w:rFonts w:eastAsia="SimSun"/>
        </w:rPr>
        <w:tab/>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normalized scaling factor related to the proportion of resources used in the DL/UL ratio for the component carrier j. For </w:t>
      </w:r>
      <w:r w:rsidR="00AE0549" w:rsidRPr="00A604A3">
        <w:rPr>
          <w:rFonts w:eastAsia="SimSun"/>
          <w:lang w:eastAsia="zh-CN"/>
        </w:rPr>
        <w:t>FDD DL and UL</w:t>
      </w:r>
      <w:r w:rsidR="00AE0549" w:rsidRPr="00A604A3">
        <w:rPr>
          <w:rFonts w:ascii="Symbol" w:eastAsia="SimSun" w:hAnsi="Symbol"/>
          <w:lang w:eastAsia="zh-CN"/>
        </w:rPr>
        <w:t></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lang w:eastAsia="zh-CN"/>
        </w:rPr>
        <w:t>=1</w:t>
      </w:r>
      <w:r w:rsidR="00AE0549" w:rsidRPr="00A604A3">
        <w:rPr>
          <w:rFonts w:eastAsia="SimSun"/>
          <w:lang w:eastAsia="zh-CN"/>
        </w:rPr>
        <w:t xml:space="preserve">; and for TDD and other duplexing for DL and UL,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rFonts w:eastAsia="SimSun"/>
          <w:lang w:eastAsia="zh-CN"/>
        </w:rPr>
        <w:t xml:space="preserve"> is calculated based on the frame structure and </w:t>
      </w:r>
      <w:r w:rsidRPr="00A604A3">
        <w:rPr>
          <w:rFonts w:eastAsia="SimSun"/>
          <w:lang w:eastAsia="zh-CN"/>
        </w:rPr>
        <w:t>the slot format indicator (SFI);</w:t>
      </w:r>
    </w:p>
    <w:p w:rsidR="00AE0549" w:rsidRPr="00A604A3" w:rsidRDefault="00480327" w:rsidP="00480327">
      <w:pPr>
        <w:pStyle w:val="Equationlegend"/>
        <w:rPr>
          <w:rFonts w:eastAsia="SimSun"/>
          <w:lang w:eastAsia="zh-CN"/>
        </w:rPr>
      </w:pPr>
      <w:r w:rsidRPr="00A604A3">
        <w:rPr>
          <w:rFonts w:eastAsia="SimSun"/>
        </w:rPr>
        <w:tab/>
      </w:r>
      <m:oMath>
        <m:r>
          <w:rPr>
            <w:rFonts w:ascii="Cambria Math" w:hAnsi="Cambria Math"/>
          </w:rPr>
          <m:t>BW</m:t>
        </m:r>
      </m:oMath>
      <w:r w:rsidR="00AE0549" w:rsidRPr="00A604A3">
        <w:rPr>
          <w:rFonts w:eastAsia="SimSun"/>
        </w:rPr>
        <w:t xml:space="preserve"> </w:t>
      </w:r>
      <w:r w:rsidRPr="00A604A3">
        <w:rPr>
          <w:rFonts w:eastAsia="SimSun"/>
        </w:rPr>
        <w:tab/>
      </w:r>
      <w:r w:rsidR="00AE0549" w:rsidRPr="00A604A3">
        <w:rPr>
          <w:rFonts w:eastAsia="SimSun"/>
        </w:rPr>
        <w:t>is the total bandwidth. It depends on the selected numerology, frequency range and duplexing technique.</w:t>
      </w:r>
    </w:p>
    <w:p w:rsidR="00AE0549" w:rsidRPr="00A604A3" w:rsidRDefault="00480327" w:rsidP="00480327">
      <w:pPr>
        <w:pStyle w:val="Heading4"/>
        <w:rPr>
          <w:rFonts w:eastAsia="MS Mincho"/>
        </w:rPr>
      </w:pPr>
      <w:r w:rsidRPr="00A604A3">
        <w:rPr>
          <w:rFonts w:eastAsia="MS Mincho"/>
        </w:rPr>
        <w:t>II.5.2.2</w:t>
      </w:r>
      <w:r w:rsidRPr="00A604A3">
        <w:rPr>
          <w:rFonts w:eastAsia="MS Mincho"/>
        </w:rPr>
        <w:tab/>
      </w:r>
      <w:r w:rsidR="00AE0549" w:rsidRPr="00A604A3">
        <w:rPr>
          <w:rFonts w:eastAsia="MS Mincho"/>
        </w:rPr>
        <w:t>5G NR</w:t>
      </w:r>
    </w:p>
    <w:p w:rsidR="00AE0549" w:rsidRPr="00A604A3" w:rsidRDefault="00480327" w:rsidP="00480327">
      <w:pPr>
        <w:pStyle w:val="Heading5"/>
        <w:rPr>
          <w:rFonts w:eastAsia="MS Mincho"/>
        </w:rPr>
      </w:pPr>
      <w:r w:rsidRPr="00A604A3">
        <w:rPr>
          <w:rFonts w:eastAsia="MS Mincho"/>
        </w:rPr>
        <w:t>II.5.2.2.1</w:t>
      </w:r>
      <w:r w:rsidRPr="00A604A3">
        <w:rPr>
          <w:rFonts w:eastAsia="MS Mincho"/>
        </w:rPr>
        <w:tab/>
      </w:r>
      <w:r w:rsidR="00AE0549" w:rsidRPr="00A604A3">
        <w:rPr>
          <w:rFonts w:eastAsia="MS Mincho"/>
        </w:rPr>
        <w:t>Downlink</w:t>
      </w:r>
    </w:p>
    <w:p w:rsidR="00AE0549" w:rsidRPr="00A604A3" w:rsidRDefault="00AE0549" w:rsidP="00480327">
      <w:pPr>
        <w:rPr>
          <w:rFonts w:eastAsia="MS Mincho"/>
          <w:color w:val="000000" w:themeColor="text1"/>
        </w:rPr>
      </w:pPr>
      <w:r w:rsidRPr="00A604A3">
        <w:rPr>
          <w:rFonts w:eastAsia="MS Mincho"/>
        </w:rPr>
        <w:t xml:space="preserve">DL peak spectral efficiency is calculated for both FDD (Table 12) and TDD techniques (Table 13). For FDD, peak spectral efficiency is only calculated for FR1 while for TDD, both FR1 and FR2 are considered. Peak spectral efficiency has only been calculated per component carrier with MIMO configurations. To enable the calculation, previous peak data rate values have considered. More details about the FDD and TDD frame structure are given in </w:t>
      </w:r>
      <w:r w:rsidRPr="00A604A3">
        <w:rPr>
          <w:rFonts w:eastAsia="MS Mincho"/>
          <w:color w:val="000000" w:themeColor="text1"/>
        </w:rPr>
        <w:t>Annex A.</w:t>
      </w:r>
    </w:p>
    <w:p w:rsidR="00AE0549" w:rsidRPr="00A604A3" w:rsidRDefault="0084660E" w:rsidP="0084660E">
      <w:pPr>
        <w:pStyle w:val="Heading6"/>
        <w:rPr>
          <w:rFonts w:eastAsia="MS Mincho"/>
        </w:rPr>
      </w:pPr>
      <w:r w:rsidRPr="00A604A3">
        <w:rPr>
          <w:rFonts w:eastAsia="MS Mincho"/>
        </w:rPr>
        <w:lastRenderedPageBreak/>
        <w:t>II.5.2.2.1.1</w:t>
      </w:r>
      <w:r w:rsidRPr="00A604A3">
        <w:rPr>
          <w:rFonts w:eastAsia="MS Mincho"/>
        </w:rPr>
        <w:tab/>
      </w:r>
      <w:r w:rsidRPr="00A604A3">
        <w:rPr>
          <w:rFonts w:eastAsia="MS Mincho"/>
        </w:rPr>
        <w:tab/>
      </w:r>
      <w:r w:rsidR="00AE0549" w:rsidRPr="00A604A3">
        <w:rPr>
          <w:rFonts w:eastAsia="MS Mincho"/>
        </w:rPr>
        <w:t>FDD RIT</w:t>
      </w:r>
    </w:p>
    <w:p w:rsidR="0084660E" w:rsidRPr="00A604A3" w:rsidRDefault="0084660E" w:rsidP="0084660E">
      <w:pPr>
        <w:pStyle w:val="TableNo"/>
        <w:rPr>
          <w:rFonts w:eastAsia="MS Mincho"/>
        </w:rPr>
      </w:pPr>
      <w:bookmarkStart w:id="64" w:name="_Ref24369575"/>
      <w:bookmarkStart w:id="65" w:name="_Toc27919486"/>
      <w:bookmarkStart w:id="66" w:name="_Toc28265650"/>
      <w:bookmarkStart w:id="67" w:name="_Toc28276885"/>
      <w:bookmarkStart w:id="68" w:name="_Toc32066271"/>
      <w:r w:rsidRPr="00A604A3">
        <w:rPr>
          <w:rFonts w:eastAsia="MS Mincho"/>
        </w:rPr>
        <w:t>table 12</w:t>
      </w:r>
    </w:p>
    <w:p w:rsidR="0084660E" w:rsidRPr="00A604A3" w:rsidRDefault="0084660E" w:rsidP="0084660E">
      <w:pPr>
        <w:pStyle w:val="Tabletitle"/>
        <w:rPr>
          <w:rFonts w:eastAsia="MS Mincho"/>
        </w:rPr>
      </w:pPr>
      <w:r w:rsidRPr="00A604A3">
        <w:rPr>
          <w:rFonts w:eastAsia="MS Mincho"/>
        </w:rPr>
        <w:t>NR FDD DL RIT</w:t>
      </w:r>
      <w:bookmarkEnd w:id="64"/>
      <w:bookmarkEnd w:id="65"/>
      <w:bookmarkEnd w:id="66"/>
      <w:bookmarkEnd w:id="67"/>
      <w:bookmarkEnd w:id="6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7"/>
        <w:gridCol w:w="438"/>
        <w:gridCol w:w="624"/>
        <w:gridCol w:w="628"/>
        <w:gridCol w:w="629"/>
        <w:gridCol w:w="629"/>
        <w:gridCol w:w="628"/>
        <w:gridCol w:w="629"/>
        <w:gridCol w:w="629"/>
        <w:gridCol w:w="628"/>
        <w:gridCol w:w="628"/>
        <w:gridCol w:w="628"/>
        <w:gridCol w:w="629"/>
        <w:gridCol w:w="628"/>
        <w:gridCol w:w="604"/>
      </w:tblGrid>
      <w:tr w:rsidR="00AE0549" w:rsidRPr="00A604A3" w:rsidTr="000B1C6B">
        <w:trPr>
          <w:jc w:val="center"/>
        </w:trPr>
        <w:tc>
          <w:tcPr>
            <w:tcW w:w="486" w:type="pct"/>
            <w:gridSpan w:val="2"/>
            <w:vAlign w:val="center"/>
          </w:tcPr>
          <w:p w:rsidR="00AE0549" w:rsidRPr="00A604A3" w:rsidRDefault="00AE0549" w:rsidP="000B1C6B">
            <w:pPr>
              <w:pStyle w:val="Tablehead"/>
              <w:rPr>
                <w:rFonts w:eastAsia="Yu Mincho"/>
              </w:rPr>
            </w:pPr>
            <w:r w:rsidRPr="00A604A3">
              <w:rPr>
                <w:rFonts w:eastAsia="Yu Mincho"/>
              </w:rPr>
              <w:t>SCS [kHz]</w:t>
            </w:r>
          </w:p>
        </w:tc>
        <w:tc>
          <w:tcPr>
            <w:tcW w:w="346"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5</w:t>
            </w:r>
            <w:r w:rsidR="000B1C6B"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10</w:t>
            </w:r>
            <w:r w:rsidR="000B1C6B" w:rsidRPr="00A604A3">
              <w:rPr>
                <w:rFonts w:eastAsia="Yu Mincho"/>
              </w:rPr>
              <w:t xml:space="preserve"> </w:t>
            </w:r>
            <w:r w:rsidRPr="00A604A3">
              <w:rPr>
                <w:rFonts w:eastAsia="Yu Mincho"/>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15</w:t>
            </w:r>
            <w:r w:rsidR="000B1C6B" w:rsidRPr="00A604A3">
              <w:rPr>
                <w:rFonts w:eastAsia="Yu Mincho"/>
              </w:rPr>
              <w:t xml:space="preserve"> </w:t>
            </w:r>
            <w:r w:rsidRPr="00A604A3">
              <w:rPr>
                <w:rFonts w:eastAsia="Yu Mincho"/>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20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25 MHz</w:t>
            </w:r>
          </w:p>
        </w:tc>
        <w:tc>
          <w:tcPr>
            <w:tcW w:w="349" w:type="pct"/>
            <w:vAlign w:val="center"/>
          </w:tcPr>
          <w:p w:rsidR="00AE0549" w:rsidRPr="00A604A3" w:rsidRDefault="00AE0549" w:rsidP="000B1C6B">
            <w:pPr>
              <w:pStyle w:val="Tablehead"/>
              <w:rPr>
                <w:rFonts w:eastAsia="Yu Mincho"/>
                <w:bCs/>
              </w:rPr>
            </w:pPr>
            <w:r w:rsidRPr="00A604A3">
              <w:rPr>
                <w:rFonts w:eastAsia="Yu Mincho"/>
                <w:bCs/>
              </w:rPr>
              <w:t>30</w:t>
            </w:r>
            <w:r w:rsidR="000B1C6B" w:rsidRPr="00A604A3">
              <w:rPr>
                <w:rFonts w:eastAsia="Yu Mincho"/>
                <w:bCs/>
              </w:rPr>
              <w:t xml:space="preserve"> </w:t>
            </w:r>
            <w:r w:rsidRPr="00A604A3">
              <w:rPr>
                <w:rFonts w:eastAsia="Yu Mincho"/>
                <w:bCs/>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40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50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60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80 MHz</w:t>
            </w:r>
          </w:p>
        </w:tc>
        <w:tc>
          <w:tcPr>
            <w:tcW w:w="349" w:type="pct"/>
            <w:vAlign w:val="center"/>
          </w:tcPr>
          <w:p w:rsidR="00AE0549" w:rsidRPr="00A604A3" w:rsidRDefault="00AE0549" w:rsidP="000B1C6B">
            <w:pPr>
              <w:pStyle w:val="Tablehead"/>
              <w:rPr>
                <w:rFonts w:eastAsia="Yu Mincho"/>
              </w:rPr>
            </w:pPr>
            <w:r w:rsidRPr="00A604A3">
              <w:rPr>
                <w:rFonts w:eastAsia="Yu Mincho"/>
              </w:rPr>
              <w:t>90</w:t>
            </w:r>
            <w:r w:rsidR="000B1C6B"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100 MHz</w:t>
            </w:r>
          </w:p>
        </w:tc>
        <w:tc>
          <w:tcPr>
            <w:tcW w:w="335" w:type="pct"/>
            <w:vAlign w:val="center"/>
          </w:tcPr>
          <w:p w:rsidR="00AE0549" w:rsidRPr="00A604A3" w:rsidRDefault="00AE0549" w:rsidP="000B1C6B">
            <w:pPr>
              <w:pStyle w:val="Tablehead"/>
              <w:rPr>
                <w:lang w:eastAsia="zh-CN"/>
              </w:rPr>
            </w:pPr>
            <w:r w:rsidRPr="00A604A3">
              <w:rPr>
                <w:lang w:eastAsia="zh-CN"/>
              </w:rPr>
              <w:t>Req.</w:t>
            </w:r>
          </w:p>
        </w:tc>
      </w:tr>
      <w:tr w:rsidR="00AE0549" w:rsidRPr="00A604A3" w:rsidTr="000B1C6B">
        <w:trPr>
          <w:jc w:val="center"/>
        </w:trPr>
        <w:tc>
          <w:tcPr>
            <w:tcW w:w="243" w:type="pct"/>
            <w:vMerge w:val="restart"/>
            <w:vAlign w:val="center"/>
          </w:tcPr>
          <w:p w:rsidR="00AE0549" w:rsidRPr="00A604A3" w:rsidRDefault="00AE0549" w:rsidP="000B1C6B">
            <w:pPr>
              <w:pStyle w:val="Tabletext"/>
              <w:jc w:val="center"/>
              <w:rPr>
                <w:lang w:eastAsia="zh-CN"/>
              </w:rPr>
            </w:pPr>
            <w:r w:rsidRPr="00A604A3">
              <w:rPr>
                <w:lang w:eastAsia="zh-CN"/>
              </w:rPr>
              <w:t>FR1</w:t>
            </w: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15</w:t>
            </w:r>
          </w:p>
        </w:tc>
        <w:tc>
          <w:tcPr>
            <w:tcW w:w="346"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48.1</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49" w:type="pct"/>
          </w:tcPr>
          <w:p w:rsidR="00AE0549" w:rsidRPr="00A604A3" w:rsidRDefault="000B1C6B" w:rsidP="00C17EAA">
            <w:pPr>
              <w:pStyle w:val="Tabletext"/>
              <w:jc w:val="center"/>
              <w:rPr>
                <w:lang w:eastAsia="zh-CN"/>
              </w:rP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35" w:type="pct"/>
          </w:tcPr>
          <w:p w:rsidR="00AE0549" w:rsidRPr="00A604A3" w:rsidRDefault="00AE0549" w:rsidP="00C17EAA">
            <w:pPr>
              <w:pStyle w:val="Tabletext"/>
              <w:jc w:val="center"/>
              <w:rPr>
                <w:lang w:eastAsia="zh-CN"/>
              </w:rPr>
            </w:pPr>
            <w:r w:rsidRPr="00A604A3">
              <w:rPr>
                <w:lang w:eastAsia="zh-CN"/>
              </w:rPr>
              <w:t>30</w:t>
            </w:r>
          </w:p>
        </w:tc>
      </w:tr>
      <w:tr w:rsidR="00AE0549" w:rsidRPr="00A604A3" w:rsidTr="000B1C6B">
        <w:trPr>
          <w:jc w:val="center"/>
        </w:trPr>
        <w:tc>
          <w:tcPr>
            <w:tcW w:w="243" w:type="pct"/>
            <w:vMerge/>
          </w:tcPr>
          <w:p w:rsidR="00AE0549" w:rsidRPr="00A604A3" w:rsidRDefault="00AE0549" w:rsidP="00C17EAA">
            <w:pPr>
              <w:pStyle w:val="Tabletext"/>
              <w:jc w:val="center"/>
              <w:rPr>
                <w:rFonts w:eastAsia="Yu Mincho"/>
              </w:rPr>
            </w:pP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30</w:t>
            </w:r>
          </w:p>
        </w:tc>
        <w:tc>
          <w:tcPr>
            <w:tcW w:w="346"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48.7</w:t>
            </w:r>
          </w:p>
        </w:tc>
        <w:tc>
          <w:tcPr>
            <w:tcW w:w="335" w:type="pct"/>
          </w:tcPr>
          <w:p w:rsidR="00AE0549" w:rsidRPr="00A604A3" w:rsidRDefault="00AE0549" w:rsidP="00C17EAA">
            <w:pPr>
              <w:pStyle w:val="Tabletext"/>
              <w:jc w:val="center"/>
              <w:rPr>
                <w:lang w:eastAsia="zh-CN"/>
              </w:rPr>
            </w:pPr>
            <w:r w:rsidRPr="00A604A3">
              <w:rPr>
                <w:lang w:eastAsia="zh-CN"/>
              </w:rPr>
              <w:t>30</w:t>
            </w:r>
          </w:p>
        </w:tc>
      </w:tr>
      <w:tr w:rsidR="00AE0549" w:rsidRPr="00A604A3" w:rsidTr="000B1C6B">
        <w:trPr>
          <w:jc w:val="center"/>
        </w:trPr>
        <w:tc>
          <w:tcPr>
            <w:tcW w:w="243" w:type="pct"/>
            <w:vMerge/>
          </w:tcPr>
          <w:p w:rsidR="00AE0549" w:rsidRPr="00A604A3" w:rsidRDefault="00AE0549" w:rsidP="00C17EAA">
            <w:pPr>
              <w:pStyle w:val="Tabletext"/>
              <w:jc w:val="center"/>
              <w:rPr>
                <w:rFonts w:eastAsia="Yu Mincho"/>
              </w:rPr>
            </w:pP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60</w:t>
            </w:r>
          </w:p>
        </w:tc>
        <w:tc>
          <w:tcPr>
            <w:tcW w:w="346" w:type="pct"/>
            <w:shd w:val="clear" w:color="auto" w:fill="auto"/>
            <w:tcMar>
              <w:top w:w="15" w:type="dxa"/>
              <w:left w:w="81" w:type="dxa"/>
              <w:bottom w:w="0" w:type="dxa"/>
              <w:right w:w="81" w:type="dxa"/>
            </w:tcMar>
            <w:hideMark/>
          </w:tcPr>
          <w:p w:rsidR="00AE0549" w:rsidRPr="00A604A3" w:rsidRDefault="000B1C6B" w:rsidP="00C17EAA">
            <w:pPr>
              <w:pStyle w:val="Tabletext"/>
              <w:jc w:val="cente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48.8</w:t>
            </w:r>
          </w:p>
        </w:tc>
        <w:tc>
          <w:tcPr>
            <w:tcW w:w="335" w:type="pct"/>
          </w:tcPr>
          <w:p w:rsidR="00AE0549" w:rsidRPr="00A604A3" w:rsidRDefault="00AE0549" w:rsidP="00C17EAA">
            <w:pPr>
              <w:pStyle w:val="Tabletext"/>
              <w:jc w:val="center"/>
              <w:rPr>
                <w:lang w:eastAsia="zh-CN"/>
              </w:rPr>
            </w:pPr>
            <w:r w:rsidRPr="00A604A3">
              <w:rPr>
                <w:lang w:eastAsia="zh-CN"/>
              </w:rPr>
              <w:t>30</w:t>
            </w:r>
          </w:p>
        </w:tc>
      </w:tr>
    </w:tbl>
    <w:p w:rsidR="00AE0549" w:rsidRPr="00A604A3" w:rsidRDefault="00AE0549" w:rsidP="0084660E">
      <w:pPr>
        <w:pStyle w:val="Tablefin"/>
      </w:pPr>
    </w:p>
    <w:p w:rsidR="00AE0549" w:rsidRPr="00A604A3" w:rsidRDefault="0084660E" w:rsidP="0084660E">
      <w:pPr>
        <w:pStyle w:val="Heading6"/>
        <w:rPr>
          <w:rFonts w:eastAsia="MS Mincho"/>
        </w:rPr>
      </w:pPr>
      <w:r w:rsidRPr="00A604A3">
        <w:rPr>
          <w:rFonts w:eastAsia="MS Mincho"/>
        </w:rPr>
        <w:t>II.5.2.2.1.2</w:t>
      </w:r>
      <w:r w:rsidRPr="00A604A3">
        <w:rPr>
          <w:rFonts w:eastAsia="MS Mincho"/>
        </w:rPr>
        <w:tab/>
      </w:r>
      <w:r w:rsidRPr="00A604A3">
        <w:rPr>
          <w:rFonts w:eastAsia="MS Mincho"/>
        </w:rPr>
        <w:tab/>
      </w:r>
      <w:r w:rsidR="00AE0549" w:rsidRPr="00A604A3">
        <w:rPr>
          <w:rFonts w:eastAsia="MS Mincho"/>
        </w:rPr>
        <w:t>TDD RIT</w:t>
      </w:r>
    </w:p>
    <w:p w:rsidR="0084660E" w:rsidRPr="00A604A3" w:rsidRDefault="0084660E" w:rsidP="0084660E">
      <w:pPr>
        <w:pStyle w:val="TableNo"/>
        <w:rPr>
          <w:rFonts w:eastAsia="MS Mincho"/>
        </w:rPr>
      </w:pPr>
      <w:bookmarkStart w:id="69" w:name="_Ref24369580"/>
      <w:bookmarkStart w:id="70" w:name="_Toc27919488"/>
      <w:bookmarkStart w:id="71" w:name="_Toc28265652"/>
      <w:bookmarkStart w:id="72" w:name="_Toc28276887"/>
      <w:bookmarkStart w:id="73" w:name="_Toc32066273"/>
      <w:r w:rsidRPr="00A604A3">
        <w:rPr>
          <w:rFonts w:eastAsia="MS Mincho"/>
        </w:rPr>
        <w:t>table 13</w:t>
      </w:r>
    </w:p>
    <w:p w:rsidR="0084660E" w:rsidRPr="00A604A3" w:rsidRDefault="0084660E" w:rsidP="0084660E">
      <w:pPr>
        <w:pStyle w:val="Tabletitle"/>
        <w:rPr>
          <w:rFonts w:eastAsia="MS Mincho"/>
        </w:rPr>
      </w:pPr>
      <w:r w:rsidRPr="00A604A3">
        <w:rPr>
          <w:rFonts w:eastAsia="MS Mincho"/>
        </w:rPr>
        <w:t>NR TDD DL RIT</w:t>
      </w:r>
      <w:bookmarkEnd w:id="69"/>
      <w:bookmarkEnd w:id="70"/>
      <w:bookmarkEnd w:id="71"/>
      <w:bookmarkEnd w:id="72"/>
      <w:bookmarkEnd w:id="7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55"/>
        <w:gridCol w:w="462"/>
        <w:gridCol w:w="596"/>
        <w:gridCol w:w="596"/>
        <w:gridCol w:w="597"/>
        <w:gridCol w:w="444"/>
        <w:gridCol w:w="597"/>
        <w:gridCol w:w="597"/>
        <w:gridCol w:w="597"/>
        <w:gridCol w:w="597"/>
        <w:gridCol w:w="597"/>
        <w:gridCol w:w="597"/>
        <w:gridCol w:w="444"/>
        <w:gridCol w:w="597"/>
        <w:gridCol w:w="453"/>
        <w:gridCol w:w="454"/>
        <w:gridCol w:w="436"/>
      </w:tblGrid>
      <w:tr w:rsidR="00AE0549" w:rsidRPr="00A604A3" w:rsidTr="000B1C6B">
        <w:trPr>
          <w:jc w:val="center"/>
        </w:trPr>
        <w:tc>
          <w:tcPr>
            <w:tcW w:w="453" w:type="pct"/>
            <w:gridSpan w:val="2"/>
          </w:tcPr>
          <w:p w:rsidR="00AE0549" w:rsidRPr="00A604A3" w:rsidRDefault="00AE0549" w:rsidP="000B1C6B">
            <w:pPr>
              <w:pStyle w:val="Tablehead"/>
              <w:rPr>
                <w:rFonts w:eastAsia="Yu Mincho"/>
              </w:rPr>
            </w:pPr>
            <w:r w:rsidRPr="00A604A3">
              <w:rPr>
                <w:rFonts w:eastAsia="Yu Mincho"/>
              </w:rPr>
              <w:t>SCS [kHz]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5</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10</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15</w:t>
            </w:r>
          </w:p>
          <w:p w:rsidR="00AE0549" w:rsidRPr="00A604A3" w:rsidRDefault="00AE0549" w:rsidP="000B1C6B">
            <w:pPr>
              <w:pStyle w:val="Tablehead"/>
              <w:rPr>
                <w:rFonts w:eastAsia="Yu Mincho"/>
              </w:rPr>
            </w:pPr>
            <w:r w:rsidRPr="00A604A3">
              <w:rPr>
                <w:rFonts w:eastAsia="Yu Mincho"/>
              </w:rPr>
              <w:t>MHz</w:t>
            </w:r>
          </w:p>
        </w:tc>
        <w:tc>
          <w:tcPr>
            <w:tcW w:w="246" w:type="pct"/>
          </w:tcPr>
          <w:p w:rsidR="00AE0549" w:rsidRPr="00A604A3" w:rsidRDefault="00AE0549" w:rsidP="000B1C6B">
            <w:pPr>
              <w:pStyle w:val="Tablehead"/>
              <w:rPr>
                <w:rFonts w:eastAsia="Yu Mincho"/>
                <w:bCs/>
              </w:rPr>
            </w:pPr>
            <w:r w:rsidRPr="00A604A3">
              <w:rPr>
                <w:rFonts w:eastAsia="Yu Mincho"/>
                <w:bCs/>
              </w:rPr>
              <w:t>30</w:t>
            </w:r>
          </w:p>
          <w:p w:rsidR="00AE0549" w:rsidRPr="00A604A3" w:rsidRDefault="00AE0549" w:rsidP="000B1C6B">
            <w:pPr>
              <w:pStyle w:val="Tablehead"/>
              <w:rPr>
                <w:rFonts w:eastAsia="Yu Mincho"/>
                <w:bCs/>
              </w:rPr>
            </w:pPr>
            <w:r w:rsidRPr="00A604A3">
              <w:rPr>
                <w:rFonts w:eastAsia="Yu Mincho"/>
                <w:bCs/>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20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25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40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50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60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80 MHz</w:t>
            </w:r>
          </w:p>
        </w:tc>
        <w:tc>
          <w:tcPr>
            <w:tcW w:w="246" w:type="pct"/>
          </w:tcPr>
          <w:p w:rsidR="00AE0549" w:rsidRPr="00A604A3" w:rsidRDefault="00AE0549" w:rsidP="000B1C6B">
            <w:pPr>
              <w:pStyle w:val="Tablehead"/>
              <w:rPr>
                <w:rFonts w:eastAsia="Yu Mincho"/>
              </w:rPr>
            </w:pPr>
            <w:r w:rsidRPr="00A604A3">
              <w:rPr>
                <w:rFonts w:eastAsia="Yu Mincho"/>
              </w:rPr>
              <w:t>90</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100 MHz</w:t>
            </w:r>
          </w:p>
        </w:tc>
        <w:tc>
          <w:tcPr>
            <w:tcW w:w="251" w:type="pct"/>
          </w:tcPr>
          <w:p w:rsidR="00AE0549" w:rsidRPr="00A604A3" w:rsidRDefault="00AE0549" w:rsidP="000B1C6B">
            <w:pPr>
              <w:pStyle w:val="Tablehead"/>
              <w:rPr>
                <w:lang w:eastAsia="zh-CN"/>
              </w:rPr>
            </w:pPr>
            <w:r w:rsidRPr="00A604A3">
              <w:rPr>
                <w:lang w:eastAsia="zh-CN"/>
              </w:rPr>
              <w:t>200 MHz</w:t>
            </w:r>
          </w:p>
        </w:tc>
        <w:tc>
          <w:tcPr>
            <w:tcW w:w="252" w:type="pct"/>
          </w:tcPr>
          <w:p w:rsidR="00AE0549" w:rsidRPr="00A604A3" w:rsidRDefault="00AE0549" w:rsidP="000B1C6B">
            <w:pPr>
              <w:pStyle w:val="Tablehead"/>
              <w:rPr>
                <w:lang w:eastAsia="zh-CN"/>
              </w:rPr>
            </w:pPr>
            <w:r w:rsidRPr="00A604A3">
              <w:rPr>
                <w:lang w:eastAsia="zh-CN"/>
              </w:rPr>
              <w:t>400 MHz</w:t>
            </w:r>
          </w:p>
        </w:tc>
        <w:tc>
          <w:tcPr>
            <w:tcW w:w="242" w:type="pct"/>
          </w:tcPr>
          <w:p w:rsidR="00AE0549" w:rsidRPr="00A604A3" w:rsidRDefault="00AE0549" w:rsidP="000B1C6B">
            <w:pPr>
              <w:pStyle w:val="Tablehead"/>
              <w:rPr>
                <w:lang w:eastAsia="zh-CN"/>
              </w:rPr>
            </w:pPr>
            <w:r w:rsidRPr="00A604A3">
              <w:rPr>
                <w:lang w:eastAsia="zh-CN"/>
              </w:rPr>
              <w:t>Req.</w:t>
            </w:r>
          </w:p>
        </w:tc>
      </w:tr>
      <w:tr w:rsidR="000B1C6B" w:rsidRPr="00A604A3" w:rsidTr="000B1C6B">
        <w:trPr>
          <w:jc w:val="center"/>
        </w:trPr>
        <w:tc>
          <w:tcPr>
            <w:tcW w:w="197" w:type="pct"/>
            <w:vMerge w:val="restart"/>
            <w:vAlign w:val="center"/>
          </w:tcPr>
          <w:p w:rsidR="000B1C6B" w:rsidRPr="00A604A3" w:rsidRDefault="000B1C6B" w:rsidP="000B1C6B">
            <w:pPr>
              <w:pStyle w:val="Tabletext"/>
              <w:jc w:val="center"/>
              <w:rPr>
                <w:lang w:eastAsia="zh-CN"/>
              </w:rPr>
            </w:pPr>
            <w:r w:rsidRPr="00A604A3">
              <w:rPr>
                <w:lang w:eastAsia="zh-CN"/>
              </w:rPr>
              <w:t>FR1</w:t>
            </w: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15</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shd w:val="clear" w:color="auto" w:fill="auto"/>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47.3</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0B1C6B">
        <w:trPr>
          <w:jc w:val="center"/>
        </w:trPr>
        <w:tc>
          <w:tcPr>
            <w:tcW w:w="197" w:type="pct"/>
            <w:vMerge/>
            <w:vAlign w:val="center"/>
          </w:tcPr>
          <w:p w:rsidR="000B1C6B" w:rsidRPr="00A604A3" w:rsidRDefault="000B1C6B" w:rsidP="000B1C6B">
            <w:pPr>
              <w:pStyle w:val="Tabletext"/>
              <w:jc w:val="center"/>
              <w:rPr>
                <w:rFonts w:eastAsia="Yu Mincho"/>
              </w:rPr>
            </w:pP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30</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47.9</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ign w:val="center"/>
          </w:tcPr>
          <w:p w:rsidR="000B1C6B" w:rsidRPr="00A604A3" w:rsidRDefault="000B1C6B" w:rsidP="000B1C6B">
            <w:pPr>
              <w:pStyle w:val="Tabletext"/>
              <w:jc w:val="center"/>
              <w:rPr>
                <w:rFonts w:eastAsia="Yu Mincho"/>
              </w:rPr>
            </w:pP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60</w:t>
            </w:r>
          </w:p>
        </w:tc>
        <w:tc>
          <w:tcPr>
            <w:tcW w:w="331" w:type="pct"/>
            <w:shd w:val="clear" w:color="auto" w:fill="auto"/>
            <w:tcMar>
              <w:top w:w="15" w:type="dxa"/>
              <w:left w:w="81" w:type="dxa"/>
              <w:bottom w:w="0" w:type="dxa"/>
              <w:right w:w="81" w:type="dxa"/>
            </w:tcMar>
            <w:hideMark/>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47.0</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restart"/>
            <w:vAlign w:val="center"/>
          </w:tcPr>
          <w:p w:rsidR="000B1C6B" w:rsidRPr="00A604A3" w:rsidRDefault="000B1C6B" w:rsidP="000B1C6B">
            <w:pPr>
              <w:pStyle w:val="Tabletext"/>
              <w:jc w:val="center"/>
              <w:rPr>
                <w:lang w:eastAsia="zh-CN"/>
              </w:rPr>
            </w:pPr>
            <w:r w:rsidRPr="00A604A3">
              <w:rPr>
                <w:lang w:eastAsia="zh-CN"/>
              </w:rPr>
              <w:t>FR2</w:t>
            </w:r>
          </w:p>
        </w:tc>
        <w:tc>
          <w:tcPr>
            <w:tcW w:w="256"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lang w:eastAsia="zh-CN"/>
              </w:rPr>
              <w:t>60</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251" w:type="pct"/>
            <w:vAlign w:val="center"/>
          </w:tcPr>
          <w:p w:rsidR="000B1C6B" w:rsidRPr="00A604A3" w:rsidRDefault="000B1C6B" w:rsidP="000B1C6B">
            <w:pPr>
              <w:pStyle w:val="Tabletext"/>
              <w:jc w:val="center"/>
              <w:rPr>
                <w:lang w:eastAsia="zh-CN"/>
              </w:rPr>
            </w:pPr>
            <w:r w:rsidRPr="00A604A3">
              <w:rPr>
                <w:rFonts w:eastAsia="Yu Mincho"/>
              </w:rPr>
              <w:t>35.2</w:t>
            </w:r>
          </w:p>
        </w:tc>
        <w:tc>
          <w:tcPr>
            <w:tcW w:w="252" w:type="pct"/>
            <w:vAlign w:val="center"/>
          </w:tcPr>
          <w:p w:rsidR="000B1C6B" w:rsidRPr="00A604A3" w:rsidRDefault="000B1C6B" w:rsidP="000B1C6B">
            <w:pPr>
              <w:pStyle w:val="Tabletext"/>
              <w:jc w:val="center"/>
              <w:rPr>
                <w:lang w:eastAsia="zh-CN"/>
              </w:rP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ign w:val="center"/>
          </w:tcPr>
          <w:p w:rsidR="000B1C6B" w:rsidRPr="00A604A3" w:rsidRDefault="000B1C6B" w:rsidP="000B1C6B">
            <w:pPr>
              <w:pStyle w:val="Tabletext"/>
              <w:jc w:val="center"/>
              <w:rPr>
                <w:lang w:eastAsia="zh-CN"/>
              </w:rPr>
            </w:pPr>
          </w:p>
        </w:tc>
        <w:tc>
          <w:tcPr>
            <w:tcW w:w="256"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lang w:eastAsia="zh-CN"/>
              </w:rPr>
              <w:t>120</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251" w:type="pct"/>
            <w:vAlign w:val="center"/>
          </w:tcPr>
          <w:p w:rsidR="000B1C6B" w:rsidRPr="00A604A3" w:rsidRDefault="000B1C6B" w:rsidP="000B1C6B">
            <w:pPr>
              <w:pStyle w:val="Tabletext"/>
              <w:jc w:val="center"/>
              <w:rPr>
                <w:lang w:eastAsia="zh-CN"/>
              </w:rPr>
            </w:pPr>
            <w:r w:rsidRPr="00A604A3">
              <w:rPr>
                <w:rFonts w:eastAsia="Yu Mincho"/>
              </w:rPr>
              <w:t>X</w:t>
            </w:r>
          </w:p>
        </w:tc>
        <w:tc>
          <w:tcPr>
            <w:tcW w:w="252" w:type="pct"/>
            <w:vAlign w:val="center"/>
          </w:tcPr>
          <w:p w:rsidR="000B1C6B" w:rsidRPr="00A604A3" w:rsidRDefault="000B1C6B" w:rsidP="000B1C6B">
            <w:pPr>
              <w:pStyle w:val="Tabletext"/>
              <w:jc w:val="center"/>
              <w:rPr>
                <w:lang w:eastAsia="zh-CN"/>
              </w:rPr>
            </w:pPr>
            <w:r w:rsidRPr="00A604A3">
              <w:rPr>
                <w:lang w:eastAsia="zh-CN"/>
              </w:rPr>
              <w:t>35.4</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bl>
    <w:p w:rsidR="00AE0549" w:rsidRPr="00A604A3" w:rsidRDefault="00AE0549" w:rsidP="0084660E">
      <w:pPr>
        <w:pStyle w:val="Tablefin"/>
      </w:pPr>
    </w:p>
    <w:p w:rsidR="00AE0549" w:rsidRPr="00A604A3" w:rsidRDefault="000B1C6B" w:rsidP="000B1C6B">
      <w:pPr>
        <w:pStyle w:val="Heading5"/>
        <w:rPr>
          <w:rFonts w:eastAsia="MS Mincho"/>
        </w:rPr>
      </w:pPr>
      <w:r w:rsidRPr="00A604A3">
        <w:rPr>
          <w:rFonts w:eastAsia="MS Mincho"/>
        </w:rPr>
        <w:t>II.5.2.2.2</w:t>
      </w:r>
      <w:r w:rsidRPr="00A604A3">
        <w:rPr>
          <w:rFonts w:eastAsia="MS Mincho"/>
        </w:rPr>
        <w:tab/>
      </w:r>
      <w:r w:rsidR="00AE0549" w:rsidRPr="00A604A3">
        <w:rPr>
          <w:rFonts w:eastAsia="MS Mincho"/>
        </w:rPr>
        <w:t>Uplink</w:t>
      </w:r>
    </w:p>
    <w:p w:rsidR="00AE0549" w:rsidRPr="00A604A3" w:rsidRDefault="00AE0549" w:rsidP="00981AF6">
      <w:pPr>
        <w:rPr>
          <w:rFonts w:eastAsia="MS Mincho"/>
        </w:rPr>
      </w:pPr>
      <w:r w:rsidRPr="00A604A3">
        <w:rPr>
          <w:rFonts w:eastAsia="MS Mincho"/>
        </w:rPr>
        <w:t>UL peak spectral efficiency is also calculated for both FDD (Table 14) and TDD (Table 15). Same assumptions about frequency ranges have been made. UL Peak spectral efficiency has only been calculated per component carrier with MIMO configurations. To enable the calculation, previous peak data rate values have considered. More details about the FDD and TDD frame structure are given in Annex A.</w:t>
      </w:r>
    </w:p>
    <w:p w:rsidR="00AE0549" w:rsidRPr="00A604A3" w:rsidRDefault="000B1C6B" w:rsidP="000B1C6B">
      <w:pPr>
        <w:pStyle w:val="Heading6"/>
        <w:rPr>
          <w:rFonts w:eastAsia="MS Mincho"/>
        </w:rPr>
      </w:pPr>
      <w:r w:rsidRPr="00A604A3">
        <w:rPr>
          <w:rFonts w:eastAsia="MS Mincho"/>
        </w:rPr>
        <w:t>II.5.2.2.2.1</w:t>
      </w:r>
      <w:r w:rsidRPr="00A604A3">
        <w:rPr>
          <w:rFonts w:eastAsia="MS Mincho"/>
        </w:rPr>
        <w:tab/>
      </w:r>
      <w:r w:rsidRPr="00A604A3">
        <w:rPr>
          <w:rFonts w:eastAsia="MS Mincho"/>
        </w:rPr>
        <w:tab/>
      </w:r>
      <w:r w:rsidR="00AE0549" w:rsidRPr="00A604A3">
        <w:rPr>
          <w:rFonts w:eastAsia="MS Mincho"/>
        </w:rPr>
        <w:t>FDD RIT</w:t>
      </w:r>
    </w:p>
    <w:p w:rsidR="000B1C6B" w:rsidRPr="00A604A3" w:rsidRDefault="000B1C6B" w:rsidP="000B1C6B">
      <w:pPr>
        <w:pStyle w:val="TableNo"/>
        <w:rPr>
          <w:rFonts w:eastAsia="MS Mincho"/>
        </w:rPr>
      </w:pPr>
      <w:r w:rsidRPr="00A604A3">
        <w:rPr>
          <w:rFonts w:eastAsia="MS Mincho"/>
        </w:rPr>
        <w:t>Table 14</w:t>
      </w:r>
    </w:p>
    <w:p w:rsidR="000B1C6B" w:rsidRPr="00A604A3" w:rsidRDefault="000B1C6B" w:rsidP="000B1C6B">
      <w:pPr>
        <w:pStyle w:val="Tabletitle"/>
        <w:rPr>
          <w:rFonts w:eastAsia="MS Mincho"/>
        </w:rPr>
      </w:pPr>
      <w:bookmarkStart w:id="74" w:name="_Ref24369616"/>
      <w:bookmarkStart w:id="75" w:name="_Toc27919491"/>
      <w:bookmarkStart w:id="76" w:name="_Toc28265655"/>
      <w:bookmarkStart w:id="77" w:name="_Toc28276890"/>
      <w:bookmarkStart w:id="78" w:name="_Toc32066276"/>
      <w:r w:rsidRPr="00A604A3">
        <w:rPr>
          <w:rFonts w:eastAsia="MS Mincho"/>
        </w:rPr>
        <w:t>NR FDD UL RIT</w:t>
      </w:r>
      <w:bookmarkEnd w:id="74"/>
      <w:bookmarkEnd w:id="75"/>
      <w:bookmarkEnd w:id="76"/>
      <w:bookmarkEnd w:id="77"/>
      <w:bookmarkEnd w:id="7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7"/>
        <w:gridCol w:w="439"/>
        <w:gridCol w:w="626"/>
        <w:gridCol w:w="626"/>
        <w:gridCol w:w="628"/>
        <w:gridCol w:w="626"/>
        <w:gridCol w:w="628"/>
        <w:gridCol w:w="626"/>
        <w:gridCol w:w="628"/>
        <w:gridCol w:w="624"/>
        <w:gridCol w:w="624"/>
        <w:gridCol w:w="624"/>
        <w:gridCol w:w="628"/>
        <w:gridCol w:w="624"/>
        <w:gridCol w:w="628"/>
      </w:tblGrid>
      <w:tr w:rsidR="00AE0549" w:rsidRPr="00A604A3" w:rsidTr="00583771">
        <w:trPr>
          <w:jc w:val="center"/>
        </w:trPr>
        <w:tc>
          <w:tcPr>
            <w:tcW w:w="487" w:type="pct"/>
            <w:gridSpan w:val="2"/>
            <w:vAlign w:val="center"/>
          </w:tcPr>
          <w:p w:rsidR="00AE0549" w:rsidRPr="00A604A3" w:rsidRDefault="00AE0549" w:rsidP="00583771">
            <w:pPr>
              <w:pStyle w:val="Tablehead"/>
              <w:rPr>
                <w:rFonts w:eastAsia="Yu Mincho"/>
              </w:rPr>
            </w:pPr>
            <w:r w:rsidRPr="00A604A3">
              <w:rPr>
                <w:rFonts w:eastAsia="Yu Mincho"/>
              </w:rPr>
              <w:t>SCS [kHz]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w:t>
            </w:r>
            <w:r w:rsidR="00583771" w:rsidRPr="00A604A3">
              <w:rPr>
                <w:rFonts w:eastAsia="Yu Mincho"/>
              </w:rPr>
              <w:t xml:space="preserve"> </w:t>
            </w:r>
            <w:r w:rsidRPr="00A604A3">
              <w:rPr>
                <w:rFonts w:eastAsia="Yu Mincho"/>
              </w:rPr>
              <w:t>MHz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w:t>
            </w:r>
            <w:r w:rsidR="00583771"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15</w:t>
            </w:r>
            <w:r w:rsidR="00583771" w:rsidRPr="00A604A3">
              <w:rPr>
                <w:rFonts w:eastAsia="Yu Mincho"/>
              </w:rPr>
              <w:t xml:space="preserve"> </w:t>
            </w:r>
            <w:r w:rsidRPr="00A604A3">
              <w:rPr>
                <w:rFonts w:eastAsia="Yu Mincho"/>
              </w:rPr>
              <w:t>MHz</w:t>
            </w:r>
          </w:p>
        </w:tc>
        <w:tc>
          <w:tcPr>
            <w:tcW w:w="347" w:type="pct"/>
            <w:vAlign w:val="center"/>
          </w:tcPr>
          <w:p w:rsidR="00AE0549" w:rsidRPr="00A604A3" w:rsidRDefault="00AE0549" w:rsidP="00583771">
            <w:pPr>
              <w:pStyle w:val="Tablehead"/>
              <w:rPr>
                <w:rFonts w:eastAsia="Yu Mincho"/>
                <w:bCs/>
              </w:rPr>
            </w:pPr>
            <w:r w:rsidRPr="00A604A3">
              <w:rPr>
                <w:rFonts w:eastAsia="Yu Mincho"/>
                <w:bCs/>
              </w:rPr>
              <w:t>30</w:t>
            </w:r>
            <w:r w:rsidR="00583771" w:rsidRPr="00A604A3">
              <w:rPr>
                <w:rFonts w:eastAsia="Yu Mincho"/>
                <w:bCs/>
              </w:rPr>
              <w:t xml:space="preserve"> </w:t>
            </w:r>
            <w:r w:rsidRPr="00A604A3">
              <w:rPr>
                <w:rFonts w:eastAsia="Yu Mincho"/>
                <w:bCs/>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20 MHz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25 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40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60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80 MHz</w:t>
            </w:r>
          </w:p>
        </w:tc>
        <w:tc>
          <w:tcPr>
            <w:tcW w:w="348" w:type="pct"/>
            <w:vAlign w:val="center"/>
          </w:tcPr>
          <w:p w:rsidR="00AE0549" w:rsidRPr="00A604A3" w:rsidRDefault="00AE0549" w:rsidP="00583771">
            <w:pPr>
              <w:pStyle w:val="Tablehead"/>
              <w:rPr>
                <w:rFonts w:eastAsia="Yu Mincho"/>
              </w:rPr>
            </w:pPr>
            <w:r w:rsidRPr="00A604A3">
              <w:rPr>
                <w:rFonts w:eastAsia="Yu Mincho"/>
              </w:rPr>
              <w:t>90</w:t>
            </w:r>
            <w:r w:rsidR="00583771" w:rsidRPr="00A604A3">
              <w:rPr>
                <w:rFonts w:eastAsia="Yu Mincho"/>
              </w:rPr>
              <w:t xml:space="preserve"> </w:t>
            </w:r>
            <w:r w:rsidRPr="00A604A3">
              <w:rPr>
                <w:rFonts w:eastAsia="Yu Mincho"/>
              </w:rPr>
              <w:t>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100 MHz</w:t>
            </w:r>
          </w:p>
        </w:tc>
        <w:tc>
          <w:tcPr>
            <w:tcW w:w="348" w:type="pct"/>
            <w:vAlign w:val="center"/>
          </w:tcPr>
          <w:p w:rsidR="00AE0549" w:rsidRPr="00A604A3" w:rsidRDefault="00AE0549" w:rsidP="00583771">
            <w:pPr>
              <w:pStyle w:val="Tablehead"/>
              <w:rPr>
                <w:lang w:eastAsia="zh-CN"/>
              </w:rPr>
            </w:pPr>
            <w:r w:rsidRPr="00A604A3">
              <w:rPr>
                <w:lang w:eastAsia="zh-CN"/>
              </w:rPr>
              <w:t>Req.</w:t>
            </w:r>
          </w:p>
        </w:tc>
      </w:tr>
      <w:tr w:rsidR="00AE0549" w:rsidRPr="00A604A3" w:rsidTr="00583771">
        <w:trPr>
          <w:jc w:val="center"/>
        </w:trPr>
        <w:tc>
          <w:tcPr>
            <w:tcW w:w="243" w:type="pct"/>
            <w:vMerge w:val="restart"/>
            <w:vAlign w:val="center"/>
          </w:tcPr>
          <w:p w:rsidR="00AE0549" w:rsidRPr="00A604A3" w:rsidRDefault="00AE0549" w:rsidP="00583771">
            <w:pPr>
              <w:pStyle w:val="Tabletext"/>
              <w:jc w:val="center"/>
              <w:rPr>
                <w:lang w:eastAsia="zh-CN"/>
              </w:rPr>
            </w:pPr>
            <w:r w:rsidRPr="00A604A3">
              <w:rPr>
                <w:lang w:eastAsia="zh-CN"/>
              </w:rPr>
              <w:t>FR1</w:t>
            </w: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15</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24.5</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8" w:type="pct"/>
            <w:shd w:val="clear" w:color="auto" w:fill="auto"/>
            <w:vAlign w:val="center"/>
          </w:tcPr>
          <w:p w:rsidR="00AE0549" w:rsidRPr="00A604A3" w:rsidRDefault="00583771" w:rsidP="00583771">
            <w:pPr>
              <w:pStyle w:val="Tabletext"/>
              <w:jc w:val="center"/>
              <w:rPr>
                <w:lang w:eastAsia="zh-CN"/>
              </w:rPr>
            </w:pPr>
            <w:r w:rsidRPr="00A604A3">
              <w:rPr>
                <w:lang w:eastAsia="zh-CN"/>
              </w:rPr>
              <w:t>–</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r w:rsidR="00AE0549" w:rsidRPr="00A604A3" w:rsidTr="00583771">
        <w:trPr>
          <w:jc w:val="center"/>
        </w:trPr>
        <w:tc>
          <w:tcPr>
            <w:tcW w:w="243" w:type="pct"/>
            <w:vMerge/>
            <w:vAlign w:val="center"/>
          </w:tcPr>
          <w:p w:rsidR="00AE0549" w:rsidRPr="00A604A3" w:rsidRDefault="00AE0549" w:rsidP="00583771">
            <w:pPr>
              <w:pStyle w:val="Tabletext"/>
              <w:jc w:val="center"/>
              <w:rPr>
                <w:rFonts w:eastAsia="Yu Mincho"/>
              </w:rPr>
            </w:pP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30</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highlight w:val="yellow"/>
                <w:lang w:eastAsia="zh-CN"/>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highlight w:val="yellow"/>
                <w:lang w:eastAsia="zh-CN"/>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25.0</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r w:rsidR="00AE0549" w:rsidRPr="00A604A3" w:rsidTr="00583771">
        <w:trPr>
          <w:jc w:val="center"/>
        </w:trPr>
        <w:tc>
          <w:tcPr>
            <w:tcW w:w="243" w:type="pct"/>
            <w:vMerge/>
            <w:vAlign w:val="center"/>
          </w:tcPr>
          <w:p w:rsidR="00AE0549" w:rsidRPr="00A604A3" w:rsidRDefault="00AE0549" w:rsidP="00583771">
            <w:pPr>
              <w:pStyle w:val="Tabletext"/>
              <w:jc w:val="center"/>
              <w:rPr>
                <w:rFonts w:eastAsia="Yu Mincho"/>
              </w:rPr>
            </w:pP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60</w:t>
            </w:r>
          </w:p>
        </w:tc>
        <w:tc>
          <w:tcPr>
            <w:tcW w:w="347" w:type="pct"/>
            <w:shd w:val="clear" w:color="auto" w:fill="auto"/>
            <w:tcMar>
              <w:top w:w="15" w:type="dxa"/>
              <w:left w:w="81" w:type="dxa"/>
              <w:bottom w:w="0" w:type="dxa"/>
              <w:right w:w="81" w:type="dxa"/>
            </w:tcMar>
            <w:vAlign w:val="center"/>
            <w:hideMark/>
          </w:tcPr>
          <w:p w:rsidR="00AE0549" w:rsidRPr="00A604A3" w:rsidRDefault="00583771" w:rsidP="00583771">
            <w:pPr>
              <w:pStyle w:val="Tabletext"/>
              <w:jc w:val="center"/>
              <w:rPr>
                <w:rFonts w:eastAsia="Yu Mincho"/>
              </w:rPr>
            </w:pPr>
            <w:r w:rsidRPr="00A604A3">
              <w:rPr>
                <w:lang w:eastAsia="zh-CN"/>
              </w:rPr>
              <w:t>–</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24.7</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bl>
    <w:p w:rsidR="00AE0549" w:rsidRPr="00A604A3" w:rsidRDefault="00AE0549" w:rsidP="00583771">
      <w:pPr>
        <w:pStyle w:val="Tablefin"/>
      </w:pPr>
    </w:p>
    <w:p w:rsidR="00AE0549" w:rsidRPr="00A604A3" w:rsidRDefault="000B1C6B" w:rsidP="000B1C6B">
      <w:pPr>
        <w:pStyle w:val="Heading6"/>
        <w:rPr>
          <w:rFonts w:eastAsia="MS Mincho"/>
        </w:rPr>
      </w:pPr>
      <w:r w:rsidRPr="00A604A3">
        <w:rPr>
          <w:rFonts w:eastAsia="MS Mincho"/>
        </w:rPr>
        <w:lastRenderedPageBreak/>
        <w:t>II.5.2.2.2.2</w:t>
      </w:r>
      <w:r w:rsidRPr="00A604A3">
        <w:rPr>
          <w:rFonts w:eastAsia="MS Mincho"/>
        </w:rPr>
        <w:tab/>
      </w:r>
      <w:r w:rsidRPr="00A604A3">
        <w:rPr>
          <w:rFonts w:eastAsia="MS Mincho"/>
        </w:rPr>
        <w:tab/>
      </w:r>
      <w:r w:rsidR="00AE0549" w:rsidRPr="00A604A3">
        <w:rPr>
          <w:rFonts w:eastAsia="MS Mincho"/>
        </w:rPr>
        <w:t>TDD RIT</w:t>
      </w:r>
    </w:p>
    <w:p w:rsidR="000B1C6B" w:rsidRPr="00A604A3" w:rsidRDefault="000B1C6B" w:rsidP="000B1C6B">
      <w:pPr>
        <w:pStyle w:val="TableNo"/>
        <w:rPr>
          <w:rFonts w:eastAsia="MS Mincho"/>
        </w:rPr>
      </w:pPr>
      <w:bookmarkStart w:id="79" w:name="_Ref24369625"/>
      <w:bookmarkStart w:id="80" w:name="_Toc27919493"/>
      <w:bookmarkStart w:id="81" w:name="_Toc28265657"/>
      <w:bookmarkStart w:id="82" w:name="_Toc28276892"/>
      <w:bookmarkStart w:id="83" w:name="_Toc32066278"/>
      <w:r w:rsidRPr="00A604A3">
        <w:rPr>
          <w:rFonts w:eastAsia="MS Mincho"/>
        </w:rPr>
        <w:t>Table 15</w:t>
      </w:r>
    </w:p>
    <w:p w:rsidR="000B1C6B" w:rsidRPr="00A604A3" w:rsidRDefault="000B1C6B" w:rsidP="000B1C6B">
      <w:pPr>
        <w:pStyle w:val="Tabletitle"/>
        <w:rPr>
          <w:rFonts w:eastAsia="MS Mincho"/>
        </w:rPr>
      </w:pPr>
      <w:r w:rsidRPr="00A604A3">
        <w:rPr>
          <w:rFonts w:eastAsia="MS Mincho"/>
        </w:rPr>
        <w:t>NR TDD UL RIT</w:t>
      </w:r>
      <w:bookmarkEnd w:id="79"/>
      <w:bookmarkEnd w:id="80"/>
      <w:bookmarkEnd w:id="81"/>
      <w:bookmarkEnd w:id="82"/>
      <w:bookmarkEnd w:id="8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56"/>
        <w:gridCol w:w="481"/>
        <w:gridCol w:w="597"/>
        <w:gridCol w:w="597"/>
        <w:gridCol w:w="597"/>
        <w:gridCol w:w="445"/>
        <w:gridCol w:w="597"/>
        <w:gridCol w:w="597"/>
        <w:gridCol w:w="597"/>
        <w:gridCol w:w="597"/>
        <w:gridCol w:w="597"/>
        <w:gridCol w:w="597"/>
        <w:gridCol w:w="445"/>
        <w:gridCol w:w="597"/>
        <w:gridCol w:w="445"/>
        <w:gridCol w:w="445"/>
        <w:gridCol w:w="429"/>
      </w:tblGrid>
      <w:tr w:rsidR="00AE0549" w:rsidRPr="00A604A3" w:rsidTr="0020103A">
        <w:trPr>
          <w:jc w:val="center"/>
        </w:trPr>
        <w:tc>
          <w:tcPr>
            <w:tcW w:w="464" w:type="pct"/>
            <w:gridSpan w:val="2"/>
            <w:vAlign w:val="center"/>
          </w:tcPr>
          <w:p w:rsidR="00AE0549" w:rsidRPr="00A604A3" w:rsidRDefault="00AE0549" w:rsidP="00583771">
            <w:pPr>
              <w:pStyle w:val="Tablehead"/>
              <w:rPr>
                <w:rFonts w:eastAsia="Yu Mincho"/>
              </w:rPr>
            </w:pPr>
            <w:r w:rsidRPr="00A604A3">
              <w:rPr>
                <w:rFonts w:eastAsia="Yu Mincho"/>
              </w:rPr>
              <w:t>SCS [kHz]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15</w:t>
            </w:r>
            <w:r w:rsidR="00583771" w:rsidRPr="00A604A3">
              <w:rPr>
                <w:rFonts w:eastAsia="Yu Mincho"/>
              </w:rPr>
              <w:t xml:space="preserve"> </w:t>
            </w:r>
            <w:r w:rsidRPr="00A604A3">
              <w:rPr>
                <w:rFonts w:eastAsia="Yu Mincho"/>
              </w:rPr>
              <w:t>MHz</w:t>
            </w:r>
          </w:p>
        </w:tc>
        <w:tc>
          <w:tcPr>
            <w:tcW w:w="247" w:type="pct"/>
            <w:vAlign w:val="center"/>
          </w:tcPr>
          <w:p w:rsidR="00AE0549" w:rsidRPr="00A604A3" w:rsidRDefault="00AE0549" w:rsidP="00583771">
            <w:pPr>
              <w:pStyle w:val="Tablehead"/>
              <w:rPr>
                <w:rFonts w:eastAsia="Yu Mincho"/>
                <w:bCs/>
              </w:rPr>
            </w:pPr>
            <w:r w:rsidRPr="00A604A3">
              <w:rPr>
                <w:rFonts w:eastAsia="Yu Mincho"/>
                <w:bCs/>
              </w:rPr>
              <w:t>30</w:t>
            </w:r>
            <w:r w:rsidR="00583771" w:rsidRPr="00A604A3">
              <w:rPr>
                <w:rFonts w:eastAsia="Yu Mincho"/>
                <w:bCs/>
              </w:rPr>
              <w:t xml:space="preserve"> </w:t>
            </w:r>
            <w:r w:rsidRPr="00A604A3">
              <w:rPr>
                <w:rFonts w:eastAsia="Yu Mincho"/>
                <w:bCs/>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25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40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60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80 MHz</w:t>
            </w:r>
          </w:p>
        </w:tc>
        <w:tc>
          <w:tcPr>
            <w:tcW w:w="247" w:type="pct"/>
            <w:vAlign w:val="center"/>
          </w:tcPr>
          <w:p w:rsidR="00AE0549" w:rsidRPr="00A604A3" w:rsidRDefault="00AE0549" w:rsidP="00583771">
            <w:pPr>
              <w:pStyle w:val="Tablehead"/>
              <w:rPr>
                <w:rFonts w:eastAsia="Yu Mincho"/>
              </w:rPr>
            </w:pPr>
            <w:r w:rsidRPr="00A604A3">
              <w:rPr>
                <w:rFonts w:eastAsia="Yu Mincho"/>
              </w:rPr>
              <w:t>90</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100 MHz</w:t>
            </w:r>
          </w:p>
        </w:tc>
        <w:tc>
          <w:tcPr>
            <w:tcW w:w="247" w:type="pct"/>
            <w:vAlign w:val="center"/>
          </w:tcPr>
          <w:p w:rsidR="00AE0549" w:rsidRPr="00A604A3" w:rsidRDefault="00AE0549" w:rsidP="00583771">
            <w:pPr>
              <w:pStyle w:val="Tablehead"/>
              <w:rPr>
                <w:lang w:eastAsia="zh-CN"/>
              </w:rPr>
            </w:pPr>
            <w:r w:rsidRPr="00A604A3">
              <w:rPr>
                <w:lang w:eastAsia="zh-CN"/>
              </w:rPr>
              <w:t>200 MHz</w:t>
            </w:r>
          </w:p>
        </w:tc>
        <w:tc>
          <w:tcPr>
            <w:tcW w:w="247" w:type="pct"/>
            <w:vAlign w:val="center"/>
          </w:tcPr>
          <w:p w:rsidR="00AE0549" w:rsidRPr="00A604A3" w:rsidRDefault="00AE0549" w:rsidP="00583771">
            <w:pPr>
              <w:pStyle w:val="Tablehead"/>
              <w:rPr>
                <w:lang w:eastAsia="zh-CN"/>
              </w:rPr>
            </w:pPr>
            <w:r w:rsidRPr="00A604A3">
              <w:rPr>
                <w:lang w:eastAsia="zh-CN"/>
              </w:rPr>
              <w:t>400 MHz</w:t>
            </w:r>
          </w:p>
        </w:tc>
        <w:tc>
          <w:tcPr>
            <w:tcW w:w="238" w:type="pct"/>
            <w:vAlign w:val="center"/>
          </w:tcPr>
          <w:p w:rsidR="00AE0549" w:rsidRPr="00A604A3" w:rsidRDefault="00AE0549" w:rsidP="00583771">
            <w:pPr>
              <w:pStyle w:val="Tablehead"/>
              <w:rPr>
                <w:lang w:eastAsia="zh-CN"/>
              </w:rPr>
            </w:pPr>
            <w:r w:rsidRPr="00A604A3">
              <w:rPr>
                <w:lang w:eastAsia="zh-CN"/>
              </w:rPr>
              <w:t>Req.</w:t>
            </w:r>
          </w:p>
        </w:tc>
      </w:tr>
      <w:tr w:rsidR="0020103A" w:rsidRPr="00A604A3" w:rsidTr="002666F6">
        <w:trPr>
          <w:jc w:val="center"/>
        </w:trPr>
        <w:tc>
          <w:tcPr>
            <w:tcW w:w="197" w:type="pct"/>
            <w:vMerge w:val="restart"/>
            <w:vAlign w:val="center"/>
          </w:tcPr>
          <w:p w:rsidR="0020103A" w:rsidRPr="00A604A3" w:rsidRDefault="0020103A" w:rsidP="0020103A">
            <w:pPr>
              <w:pStyle w:val="Tabletext"/>
              <w:jc w:val="center"/>
              <w:rPr>
                <w:lang w:eastAsia="zh-CN"/>
              </w:rPr>
            </w:pPr>
            <w:r w:rsidRPr="00A604A3">
              <w:rPr>
                <w:lang w:eastAsia="zh-CN"/>
              </w:rPr>
              <w:t>FR1</w:t>
            </w: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15</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23.6</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rFonts w:eastAsia="Yu Mincho"/>
              </w:rPr>
            </w:pP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30</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b/>
                <w:bCs/>
                <w:kern w:val="2"/>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b/>
                <w:bCs/>
                <w:kern w:val="2"/>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24.0</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rFonts w:eastAsia="Yu Mincho"/>
              </w:rPr>
            </w:pP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60</w:t>
            </w:r>
          </w:p>
        </w:tc>
        <w:tc>
          <w:tcPr>
            <w:tcW w:w="331" w:type="pct"/>
            <w:shd w:val="clear" w:color="auto" w:fill="auto"/>
            <w:tcMar>
              <w:top w:w="15" w:type="dxa"/>
              <w:left w:w="81" w:type="dxa"/>
              <w:bottom w:w="0" w:type="dxa"/>
              <w:right w:w="81" w:type="dxa"/>
            </w:tcMar>
            <w:hideMark/>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23.6</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restart"/>
            <w:vAlign w:val="center"/>
          </w:tcPr>
          <w:p w:rsidR="0020103A" w:rsidRPr="00A604A3" w:rsidRDefault="0020103A" w:rsidP="0020103A">
            <w:pPr>
              <w:pStyle w:val="Tabletext"/>
              <w:jc w:val="center"/>
              <w:rPr>
                <w:lang w:eastAsia="zh-CN"/>
              </w:rPr>
            </w:pPr>
            <w:r w:rsidRPr="00A604A3">
              <w:rPr>
                <w:lang w:eastAsia="zh-CN"/>
              </w:rPr>
              <w:t>FR2</w:t>
            </w:r>
          </w:p>
        </w:tc>
        <w:tc>
          <w:tcPr>
            <w:tcW w:w="267"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lang w:eastAsia="zh-CN"/>
              </w:rPr>
              <w:t>60</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lang w:eastAsia="zh-CN"/>
              </w:rPr>
              <w:t>23.1</w:t>
            </w:r>
          </w:p>
        </w:tc>
        <w:tc>
          <w:tcPr>
            <w:tcW w:w="247" w:type="pct"/>
            <w:vAlign w:val="center"/>
          </w:tcPr>
          <w:p w:rsidR="0020103A" w:rsidRPr="00A604A3" w:rsidRDefault="0020103A" w:rsidP="0020103A">
            <w:pPr>
              <w:pStyle w:val="Tabletext"/>
              <w:jc w:val="center"/>
              <w:rPr>
                <w:lang w:eastAsia="zh-CN"/>
              </w:rP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lang w:eastAsia="zh-CN"/>
              </w:rPr>
            </w:pPr>
          </w:p>
        </w:tc>
        <w:tc>
          <w:tcPr>
            <w:tcW w:w="267"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lang w:eastAsia="zh-CN"/>
              </w:rPr>
              <w:t>120</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lang w:eastAsia="zh-CN"/>
              </w:rPr>
              <w:t>23.2</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bl>
    <w:p w:rsidR="00AE0549" w:rsidRPr="00A604A3" w:rsidRDefault="00AE0549" w:rsidP="00583771">
      <w:pPr>
        <w:pStyle w:val="Tablefin"/>
      </w:pPr>
    </w:p>
    <w:p w:rsidR="00AE0549" w:rsidRPr="00A604A3" w:rsidRDefault="00583771" w:rsidP="00583771">
      <w:pPr>
        <w:pStyle w:val="Heading4"/>
        <w:rPr>
          <w:rFonts w:eastAsia="MS Mincho"/>
        </w:rPr>
      </w:pPr>
      <w:r w:rsidRPr="00A604A3">
        <w:rPr>
          <w:rFonts w:eastAsia="MS Mincho"/>
        </w:rPr>
        <w:t>II.5.2.3</w:t>
      </w:r>
      <w:r w:rsidRPr="00A604A3">
        <w:rPr>
          <w:rFonts w:eastAsia="MS Mincho"/>
        </w:rPr>
        <w:tab/>
      </w:r>
      <w:r w:rsidR="00AE0549" w:rsidRPr="00A604A3">
        <w:rPr>
          <w:rFonts w:eastAsia="MS Mincho"/>
        </w:rPr>
        <w:t>LTE</w:t>
      </w:r>
    </w:p>
    <w:p w:rsidR="00AE0549" w:rsidRPr="00A604A3" w:rsidRDefault="00583771" w:rsidP="00583771">
      <w:pPr>
        <w:pStyle w:val="Heading5"/>
        <w:rPr>
          <w:rFonts w:eastAsia="MS Mincho"/>
        </w:rPr>
      </w:pPr>
      <w:r w:rsidRPr="00A604A3">
        <w:rPr>
          <w:rFonts w:eastAsia="MS Mincho"/>
        </w:rPr>
        <w:t>II.5.2.3.1</w:t>
      </w:r>
      <w:r w:rsidRPr="00A604A3">
        <w:rPr>
          <w:rFonts w:eastAsia="MS Mincho"/>
        </w:rPr>
        <w:tab/>
      </w:r>
      <w:r w:rsidR="00AE0549" w:rsidRPr="00A604A3">
        <w:rPr>
          <w:rFonts w:eastAsia="MS Mincho"/>
        </w:rPr>
        <w:t>Downlink</w:t>
      </w:r>
    </w:p>
    <w:p w:rsidR="00AE0549" w:rsidRPr="00A604A3" w:rsidRDefault="00AE0549" w:rsidP="00981AF6">
      <w:pPr>
        <w:rPr>
          <w:rFonts w:eastAsia="MS Mincho"/>
          <w:color w:val="000000" w:themeColor="text1"/>
        </w:rPr>
      </w:pPr>
      <w:r w:rsidRPr="00A604A3">
        <w:rPr>
          <w:rFonts w:eastAsia="MS Mincho"/>
        </w:rPr>
        <w:t xml:space="preserve">DL peak spectral efficiency is calculated for both FDD (Table 16) and TDD techniques (Table 17) in the frequency range set between 450 MHz and 6 GHz. Peak spectral efficiency has been calculated per component carrier with MIMO configuration. To enable the calculation, previous peak data rate values have been considered. More details about the parameter configuration are given in </w:t>
      </w:r>
      <w:r w:rsidRPr="00A604A3">
        <w:rPr>
          <w:rFonts w:eastAsia="MS Mincho"/>
          <w:color w:val="000000" w:themeColor="text1"/>
        </w:rPr>
        <w:t>Annex A.</w:t>
      </w:r>
    </w:p>
    <w:p w:rsidR="00AE0549" w:rsidRPr="00A604A3" w:rsidRDefault="00981AF6" w:rsidP="00981AF6">
      <w:pPr>
        <w:pStyle w:val="Heading6"/>
        <w:rPr>
          <w:rFonts w:eastAsia="MS Mincho"/>
        </w:rPr>
      </w:pPr>
      <w:r w:rsidRPr="00A604A3">
        <w:rPr>
          <w:rFonts w:eastAsia="MS Mincho"/>
        </w:rPr>
        <w:t>II.5.2.3.1.1</w:t>
      </w:r>
      <w:r w:rsidRPr="00A604A3">
        <w:rPr>
          <w:rFonts w:eastAsia="MS Mincho"/>
        </w:rPr>
        <w:tab/>
      </w:r>
      <w:r w:rsidRPr="00A604A3">
        <w:rPr>
          <w:rFonts w:eastAsia="MS Mincho"/>
        </w:rPr>
        <w:tab/>
      </w:r>
      <w:r w:rsidR="00AE0549" w:rsidRPr="00A604A3">
        <w:rPr>
          <w:rFonts w:eastAsia="MS Mincho"/>
        </w:rPr>
        <w:t>FDD RIT</w:t>
      </w:r>
    </w:p>
    <w:p w:rsidR="00981AF6" w:rsidRPr="00A604A3" w:rsidRDefault="00981AF6" w:rsidP="00981AF6">
      <w:pPr>
        <w:pStyle w:val="TableNo"/>
        <w:rPr>
          <w:rFonts w:eastAsia="MS Mincho"/>
        </w:rPr>
      </w:pPr>
      <w:bookmarkStart w:id="84" w:name="_Ref24369791"/>
      <w:bookmarkStart w:id="85" w:name="_Toc27919497"/>
      <w:bookmarkStart w:id="86" w:name="_Toc28265661"/>
      <w:bookmarkStart w:id="87" w:name="_Toc28276896"/>
      <w:bookmarkStart w:id="88" w:name="_Toc32066282"/>
      <w:r w:rsidRPr="00A604A3">
        <w:rPr>
          <w:rFonts w:eastAsia="MS Mincho"/>
        </w:rPr>
        <w:t>table 16</w:t>
      </w:r>
    </w:p>
    <w:p w:rsidR="00981AF6" w:rsidRPr="00A604A3" w:rsidRDefault="00981AF6" w:rsidP="00981AF6">
      <w:pPr>
        <w:pStyle w:val="Tabletitle"/>
        <w:rPr>
          <w:rFonts w:eastAsia="MS Mincho"/>
        </w:rPr>
      </w:pPr>
      <w:r w:rsidRPr="00A604A3">
        <w:rPr>
          <w:rFonts w:eastAsia="MS Mincho"/>
        </w:rPr>
        <w:t>LTE FDD DL RIT</w:t>
      </w:r>
      <w:bookmarkEnd w:id="84"/>
      <w:bookmarkEnd w:id="85"/>
      <w:bookmarkEnd w:id="86"/>
      <w:bookmarkEnd w:id="87"/>
      <w:bookmarkEnd w:id="88"/>
    </w:p>
    <w:tbl>
      <w:tblPr>
        <w:tblW w:w="6657" w:type="dxa"/>
        <w:jc w:val="center"/>
        <w:tblCellMar>
          <w:left w:w="0" w:type="dxa"/>
          <w:right w:w="0" w:type="dxa"/>
        </w:tblCellMar>
        <w:tblLook w:val="04A0" w:firstRow="1" w:lastRow="0" w:firstColumn="1" w:lastColumn="0" w:noHBand="0" w:noVBand="1"/>
      </w:tblPr>
      <w:tblGrid>
        <w:gridCol w:w="1128"/>
        <w:gridCol w:w="1000"/>
        <w:gridCol w:w="862"/>
        <w:gridCol w:w="888"/>
        <w:gridCol w:w="839"/>
        <w:gridCol w:w="819"/>
        <w:gridCol w:w="1121"/>
      </w:tblGrid>
      <w:tr w:rsidR="00AE0549" w:rsidRPr="00A604A3" w:rsidTr="00981AF6">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Modulation</w:t>
            </w:r>
            <w:r w:rsidR="00981AF6" w:rsidRPr="00A604A3">
              <w:rPr>
                <w:rFonts w:eastAsia="Yu Mincho"/>
              </w:rPr>
              <w:br/>
            </w:r>
            <w:r w:rsidRPr="00A604A3">
              <w:rPr>
                <w:rFonts w:eastAsia="Yu Mincho"/>
              </w:rPr>
              <w:t>Order</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Number of PDCCH symbols</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981AF6">
            <w:pPr>
              <w:pStyle w:val="Tablehead"/>
              <w:rPr>
                <w:rFonts w:eastAsia="SimSun"/>
              </w:rPr>
            </w:pPr>
            <w:r w:rsidRPr="00A604A3">
              <w:rPr>
                <w:rFonts w:eastAsia="SimSun"/>
              </w:rPr>
              <w:t xml:space="preserve">Req. </w:t>
            </w:r>
            <w:r w:rsidRPr="00A604A3">
              <w:rPr>
                <w:rFonts w:eastAsia="Yu Mincho"/>
              </w:rPr>
              <w:t>(Bit/s/Hz)</w:t>
            </w:r>
          </w:p>
        </w:tc>
      </w:tr>
      <w:tr w:rsidR="00AE0549" w:rsidRPr="00A604A3" w:rsidTr="00981AF6">
        <w:trPr>
          <w:trHeight w:val="179"/>
          <w:jc w:val="center"/>
        </w:trPr>
        <w:tc>
          <w:tcPr>
            <w:tcW w:w="1032"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256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35.52</w:t>
            </w:r>
          </w:p>
        </w:tc>
        <w:tc>
          <w:tcPr>
            <w:tcW w:w="1138" w:type="dxa"/>
            <w:vMerge w:val="restart"/>
            <w:tcBorders>
              <w:top w:val="single" w:sz="8" w:space="0" w:color="4D4D4D"/>
              <w:left w:val="single" w:sz="8" w:space="0" w:color="4D4D4D"/>
              <w:right w:val="single" w:sz="8" w:space="0" w:color="4D4D4D"/>
            </w:tcBorders>
            <w:vAlign w:val="center"/>
          </w:tcPr>
          <w:p w:rsidR="00AE0549" w:rsidRPr="00A604A3" w:rsidRDefault="00AE0549" w:rsidP="00981AF6">
            <w:pPr>
              <w:pStyle w:val="Tabletext"/>
              <w:jc w:val="center"/>
              <w:rPr>
                <w:rFonts w:eastAsia="Calibri"/>
              </w:rPr>
            </w:pPr>
            <w:r w:rsidRPr="00A604A3">
              <w:rPr>
                <w:rFonts w:eastAsia="Calibri"/>
              </w:rPr>
              <w:t>30</w:t>
            </w:r>
          </w:p>
        </w:tc>
      </w:tr>
      <w:tr w:rsidR="00AE0549" w:rsidRPr="00A604A3" w:rsidTr="00981AF6">
        <w:trPr>
          <w:trHeight w:val="179"/>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rPr>
                <w:b/>
                <w:bCs/>
              </w:rPr>
            </w:pP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33.64</w:t>
            </w:r>
          </w:p>
        </w:tc>
        <w:tc>
          <w:tcPr>
            <w:tcW w:w="1138"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032"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1024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43.46</w:t>
            </w:r>
          </w:p>
        </w:tc>
        <w:tc>
          <w:tcPr>
            <w:tcW w:w="1138"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pP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41.18</w:t>
            </w:r>
          </w:p>
        </w:tc>
        <w:tc>
          <w:tcPr>
            <w:tcW w:w="1138" w:type="dxa"/>
            <w:vMerge/>
            <w:tcBorders>
              <w:left w:val="single" w:sz="8" w:space="0" w:color="4D4D4D"/>
              <w:bottom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bl>
    <w:p w:rsidR="00AE0549" w:rsidRPr="00A604A3" w:rsidRDefault="00AE0549" w:rsidP="00981AF6">
      <w:pPr>
        <w:pStyle w:val="Tablefin"/>
      </w:pPr>
    </w:p>
    <w:p w:rsidR="00AE0549" w:rsidRPr="00A604A3" w:rsidRDefault="00981AF6" w:rsidP="00981AF6">
      <w:pPr>
        <w:pStyle w:val="Heading6"/>
        <w:rPr>
          <w:rFonts w:eastAsia="MS Mincho"/>
        </w:rPr>
      </w:pPr>
      <w:r w:rsidRPr="00A604A3">
        <w:rPr>
          <w:rFonts w:eastAsia="MS Mincho"/>
        </w:rPr>
        <w:lastRenderedPageBreak/>
        <w:t>II.5.2.3.1.2</w:t>
      </w:r>
      <w:r w:rsidRPr="00A604A3">
        <w:rPr>
          <w:rFonts w:eastAsia="MS Mincho"/>
        </w:rPr>
        <w:tab/>
      </w:r>
      <w:r w:rsidRPr="00A604A3">
        <w:rPr>
          <w:rFonts w:eastAsia="MS Mincho"/>
        </w:rPr>
        <w:tab/>
      </w:r>
      <w:r w:rsidR="00AE0549" w:rsidRPr="00A604A3">
        <w:rPr>
          <w:rFonts w:eastAsia="MS Mincho"/>
        </w:rPr>
        <w:t>TDD RIT</w:t>
      </w:r>
    </w:p>
    <w:p w:rsidR="00981AF6" w:rsidRPr="00A604A3" w:rsidRDefault="00981AF6" w:rsidP="00981AF6">
      <w:pPr>
        <w:pStyle w:val="TableNo"/>
        <w:rPr>
          <w:rFonts w:eastAsia="MS Mincho"/>
        </w:rPr>
      </w:pPr>
      <w:bookmarkStart w:id="89" w:name="_Ref24369798"/>
      <w:bookmarkStart w:id="90" w:name="_Toc27919499"/>
      <w:bookmarkStart w:id="91" w:name="_Toc28265663"/>
      <w:bookmarkStart w:id="92" w:name="_Toc28276898"/>
      <w:bookmarkStart w:id="93" w:name="_Toc32066284"/>
      <w:r w:rsidRPr="00A604A3">
        <w:rPr>
          <w:rFonts w:eastAsia="MS Mincho"/>
        </w:rPr>
        <w:t>table 17</w:t>
      </w:r>
    </w:p>
    <w:p w:rsidR="00981AF6" w:rsidRPr="00A604A3" w:rsidRDefault="00981AF6" w:rsidP="00981AF6">
      <w:pPr>
        <w:pStyle w:val="Tabletitle"/>
        <w:rPr>
          <w:rFonts w:eastAsia="MS Mincho"/>
        </w:rPr>
      </w:pPr>
      <w:r w:rsidRPr="00A604A3">
        <w:rPr>
          <w:rFonts w:eastAsia="MS Mincho"/>
        </w:rPr>
        <w:t>LTE TDD DL RIT</w:t>
      </w:r>
      <w:bookmarkEnd w:id="89"/>
      <w:bookmarkEnd w:id="90"/>
      <w:bookmarkEnd w:id="91"/>
      <w:bookmarkEnd w:id="92"/>
      <w:bookmarkEnd w:id="93"/>
    </w:p>
    <w:tbl>
      <w:tblPr>
        <w:tblW w:w="6657" w:type="dxa"/>
        <w:jc w:val="center"/>
        <w:tblCellMar>
          <w:left w:w="0" w:type="dxa"/>
          <w:right w:w="0" w:type="dxa"/>
        </w:tblCellMar>
        <w:tblLook w:val="04A0" w:firstRow="1" w:lastRow="0" w:firstColumn="1" w:lastColumn="0" w:noHBand="0" w:noVBand="1"/>
      </w:tblPr>
      <w:tblGrid>
        <w:gridCol w:w="1128"/>
        <w:gridCol w:w="1000"/>
        <w:gridCol w:w="862"/>
        <w:gridCol w:w="888"/>
        <w:gridCol w:w="839"/>
        <w:gridCol w:w="819"/>
        <w:gridCol w:w="1121"/>
      </w:tblGrid>
      <w:tr w:rsidR="00AE0549" w:rsidRPr="00A604A3" w:rsidTr="00981AF6">
        <w:trPr>
          <w:trHeight w:val="390"/>
          <w:jc w:val="center"/>
        </w:trPr>
        <w:tc>
          <w:tcPr>
            <w:tcW w:w="11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Modulation</w:t>
            </w:r>
            <w:r w:rsidR="00981AF6" w:rsidRPr="00A604A3">
              <w:rPr>
                <w:rFonts w:eastAsia="Yu Mincho"/>
              </w:rPr>
              <w:br/>
            </w:r>
            <w:r w:rsidRPr="00A604A3">
              <w:rPr>
                <w:rFonts w:eastAsia="Yu Mincho"/>
              </w:rPr>
              <w:t>Order</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Number of PDCCH symbols</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1.4 MHz</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5 MHz</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10 MHz</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20 MHz</w:t>
            </w:r>
          </w:p>
        </w:tc>
        <w:tc>
          <w:tcPr>
            <w:tcW w:w="1121"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981AF6">
            <w:pPr>
              <w:pStyle w:val="Tablehead"/>
              <w:rPr>
                <w:rFonts w:eastAsia="SimSun"/>
              </w:rPr>
            </w:pPr>
            <w:r w:rsidRPr="00A604A3">
              <w:rPr>
                <w:rFonts w:eastAsia="SimSun"/>
              </w:rPr>
              <w:t xml:space="preserve">Req. </w:t>
            </w:r>
            <w:r w:rsidRPr="00A604A3">
              <w:rPr>
                <w:rFonts w:eastAsia="Yu Mincho"/>
              </w:rPr>
              <w:t>(Bit/s/Hz)</w:t>
            </w:r>
          </w:p>
        </w:tc>
      </w:tr>
      <w:tr w:rsidR="00AE0549" w:rsidRPr="00A604A3" w:rsidTr="00981AF6">
        <w:trPr>
          <w:trHeight w:val="179"/>
          <w:jc w:val="center"/>
        </w:trPr>
        <w:tc>
          <w:tcPr>
            <w:tcW w:w="1128"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256 QAM</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34.79</w:t>
            </w:r>
          </w:p>
        </w:tc>
        <w:tc>
          <w:tcPr>
            <w:tcW w:w="1121" w:type="dxa"/>
            <w:vMerge w:val="restart"/>
            <w:tcBorders>
              <w:top w:val="single" w:sz="8" w:space="0" w:color="4D4D4D"/>
              <w:left w:val="single" w:sz="8" w:space="0" w:color="4D4D4D"/>
              <w:right w:val="single" w:sz="8" w:space="0" w:color="4D4D4D"/>
            </w:tcBorders>
            <w:vAlign w:val="center"/>
          </w:tcPr>
          <w:p w:rsidR="00AE0549" w:rsidRPr="00A604A3" w:rsidRDefault="00AE0549" w:rsidP="00981AF6">
            <w:pPr>
              <w:pStyle w:val="Tabletext"/>
              <w:jc w:val="center"/>
              <w:rPr>
                <w:rFonts w:eastAsia="Calibri"/>
              </w:rPr>
            </w:pPr>
            <w:r w:rsidRPr="00A604A3">
              <w:rPr>
                <w:rFonts w:eastAsia="Calibri"/>
              </w:rPr>
              <w:t>30</w:t>
            </w:r>
          </w:p>
        </w:tc>
      </w:tr>
      <w:tr w:rsidR="00AE0549" w:rsidRPr="00A604A3" w:rsidTr="00981AF6">
        <w:trPr>
          <w:trHeight w:val="179"/>
          <w:jc w:val="center"/>
        </w:trPr>
        <w:tc>
          <w:tcPr>
            <w:tcW w:w="1128" w:type="dxa"/>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rPr>
                <w:b/>
                <w:bCs/>
              </w:rPr>
            </w:pP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35.65</w:t>
            </w:r>
          </w:p>
        </w:tc>
        <w:tc>
          <w:tcPr>
            <w:tcW w:w="1121"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128"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1024 QAM</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45.58</w:t>
            </w:r>
          </w:p>
        </w:tc>
        <w:tc>
          <w:tcPr>
            <w:tcW w:w="1121"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128" w:type="dxa"/>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pP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44.56</w:t>
            </w:r>
          </w:p>
        </w:tc>
        <w:tc>
          <w:tcPr>
            <w:tcW w:w="1121" w:type="dxa"/>
            <w:vMerge/>
            <w:tcBorders>
              <w:left w:val="single" w:sz="8" w:space="0" w:color="4D4D4D"/>
              <w:bottom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bl>
    <w:p w:rsidR="00AE0549" w:rsidRPr="00A604A3" w:rsidRDefault="00AE0549" w:rsidP="00981AF6">
      <w:pPr>
        <w:pStyle w:val="Tablefin"/>
      </w:pPr>
    </w:p>
    <w:p w:rsidR="00AE0549" w:rsidRPr="00A604A3" w:rsidRDefault="00FE3F7E" w:rsidP="00FE3F7E">
      <w:pPr>
        <w:pStyle w:val="Heading5"/>
        <w:rPr>
          <w:rFonts w:eastAsia="MS Mincho"/>
        </w:rPr>
      </w:pPr>
      <w:r w:rsidRPr="00A604A3">
        <w:rPr>
          <w:rFonts w:eastAsia="MS Mincho"/>
        </w:rPr>
        <w:t>II.5.2.3.2</w:t>
      </w:r>
      <w:r w:rsidRPr="00A604A3">
        <w:rPr>
          <w:rFonts w:eastAsia="MS Mincho"/>
        </w:rPr>
        <w:tab/>
      </w:r>
      <w:r w:rsidR="00AE0549" w:rsidRPr="00A604A3">
        <w:rPr>
          <w:rFonts w:eastAsia="MS Mincho"/>
        </w:rPr>
        <w:t>Uplink</w:t>
      </w:r>
    </w:p>
    <w:p w:rsidR="00AE0549" w:rsidRPr="00A604A3" w:rsidRDefault="00AE0549" w:rsidP="00FE3F7E">
      <w:pPr>
        <w:rPr>
          <w:rFonts w:eastAsia="MS Mincho"/>
          <w:color w:val="000000" w:themeColor="text1"/>
        </w:rPr>
      </w:pPr>
      <w:r w:rsidRPr="00A604A3">
        <w:rPr>
          <w:rFonts w:eastAsia="MS Mincho"/>
        </w:rPr>
        <w:t xml:space="preserve">UL peak spectral efficiency is calculated for both FDD (Table 18) and TDD techniques (Table 19) in the frequency range set between 450 MHz and 6 GHz. Peak spectral efficiency has been calculated per component carrier with MIMO configuration considering different bandwidth values. To enable the calculation, previous peak data rate values have been considered. More details about the parameter configuration are given in </w:t>
      </w:r>
      <w:r w:rsidRPr="00A604A3">
        <w:rPr>
          <w:rFonts w:eastAsia="MS Mincho"/>
          <w:color w:val="000000" w:themeColor="text1"/>
        </w:rPr>
        <w:t>Annex A.</w:t>
      </w:r>
    </w:p>
    <w:p w:rsidR="00AE0549" w:rsidRPr="00A604A3" w:rsidRDefault="00FE3F7E" w:rsidP="00FE3F7E">
      <w:pPr>
        <w:pStyle w:val="Heading6"/>
        <w:rPr>
          <w:rFonts w:eastAsia="MS Mincho"/>
        </w:rPr>
      </w:pPr>
      <w:r w:rsidRPr="00A604A3">
        <w:rPr>
          <w:rFonts w:eastAsia="MS Mincho"/>
        </w:rPr>
        <w:t>II.5.2.3.2.1</w:t>
      </w:r>
      <w:r w:rsidRPr="00A604A3">
        <w:rPr>
          <w:rFonts w:eastAsia="MS Mincho"/>
        </w:rPr>
        <w:tab/>
      </w:r>
      <w:r w:rsidRPr="00A604A3">
        <w:rPr>
          <w:rFonts w:eastAsia="MS Mincho"/>
        </w:rPr>
        <w:tab/>
      </w:r>
      <w:r w:rsidR="00AE0549" w:rsidRPr="00A604A3">
        <w:rPr>
          <w:rFonts w:eastAsia="MS Mincho"/>
        </w:rPr>
        <w:t>FDD RIT</w:t>
      </w:r>
    </w:p>
    <w:p w:rsidR="00FE3F7E" w:rsidRPr="00A604A3" w:rsidRDefault="00FE3F7E" w:rsidP="00FE3F7E">
      <w:pPr>
        <w:pStyle w:val="TableNo"/>
        <w:rPr>
          <w:rFonts w:eastAsia="MS Mincho"/>
        </w:rPr>
      </w:pPr>
      <w:bookmarkStart w:id="94" w:name="_Ref24369819"/>
      <w:bookmarkStart w:id="95" w:name="_Toc27919502"/>
      <w:bookmarkStart w:id="96" w:name="_Toc28265666"/>
      <w:bookmarkStart w:id="97" w:name="_Toc28276901"/>
      <w:bookmarkStart w:id="98" w:name="_Toc32066287"/>
      <w:r w:rsidRPr="00A604A3">
        <w:rPr>
          <w:rFonts w:eastAsia="MS Mincho"/>
        </w:rPr>
        <w:t>table 18</w:t>
      </w:r>
    </w:p>
    <w:p w:rsidR="00FE3F7E" w:rsidRPr="00A604A3" w:rsidRDefault="00FE3F7E" w:rsidP="00FE3F7E">
      <w:pPr>
        <w:pStyle w:val="Tabletitle"/>
        <w:rPr>
          <w:rFonts w:eastAsia="MS Mincho"/>
        </w:rPr>
      </w:pPr>
      <w:r w:rsidRPr="00A604A3">
        <w:rPr>
          <w:rFonts w:eastAsia="MS Mincho"/>
        </w:rPr>
        <w:t>LTE FDD UL RIT</w:t>
      </w:r>
      <w:bookmarkEnd w:id="94"/>
      <w:bookmarkEnd w:id="95"/>
      <w:bookmarkEnd w:id="96"/>
      <w:bookmarkEnd w:id="97"/>
      <w:bookmarkEnd w:id="98"/>
    </w:p>
    <w:tbl>
      <w:tblPr>
        <w:tblW w:w="5647" w:type="dxa"/>
        <w:jc w:val="center"/>
        <w:tblCellMar>
          <w:left w:w="0" w:type="dxa"/>
          <w:right w:w="0" w:type="dxa"/>
        </w:tblCellMar>
        <w:tblLook w:val="04A0" w:firstRow="1" w:lastRow="0" w:firstColumn="1" w:lastColumn="0" w:noHBand="0" w:noVBand="1"/>
      </w:tblPr>
      <w:tblGrid>
        <w:gridCol w:w="1060"/>
        <w:gridCol w:w="874"/>
        <w:gridCol w:w="902"/>
        <w:gridCol w:w="850"/>
        <w:gridCol w:w="829"/>
        <w:gridCol w:w="1132"/>
      </w:tblGrid>
      <w:tr w:rsidR="00AE0549" w:rsidRPr="00A604A3" w:rsidTr="00FE3F7E">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E3F7E">
            <w:pPr>
              <w:pStyle w:val="Tabletext"/>
              <w:jc w:val="center"/>
              <w:rPr>
                <w:rFonts w:eastAsia="Yu Mincho"/>
              </w:rPr>
            </w:pPr>
            <w:r w:rsidRPr="00A604A3">
              <w:rPr>
                <w:rFonts w:eastAsia="Yu Mincho"/>
              </w:rPr>
              <w:t>Modulation</w:t>
            </w:r>
          </w:p>
          <w:p w:rsidR="00AE0549" w:rsidRPr="00A604A3" w:rsidRDefault="00AE0549" w:rsidP="00FE3F7E">
            <w:pPr>
              <w:pStyle w:val="Tabletext"/>
              <w:jc w:val="center"/>
              <w:rPr>
                <w:rFonts w:eastAsia="Yu Mincho"/>
              </w:rPr>
            </w:pPr>
            <w:r w:rsidRPr="00A604A3">
              <w:rPr>
                <w:rFonts w:eastAsia="Yu Mincho"/>
              </w:rPr>
              <w:t>Order</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E3F7E">
            <w:pPr>
              <w:pStyle w:val="Tabletext"/>
              <w:jc w:val="center"/>
              <w:rPr>
                <w:rFonts w:eastAsia="SimSun"/>
              </w:rPr>
            </w:pPr>
            <w:r w:rsidRPr="00A604A3">
              <w:rPr>
                <w:rFonts w:eastAsia="SimSun"/>
              </w:rPr>
              <w:t xml:space="preserve">Req. </w:t>
            </w:r>
            <w:r w:rsidRPr="00A604A3">
              <w:rPr>
                <w:rFonts w:eastAsia="Yu Mincho"/>
              </w:rPr>
              <w:t>(Bit/s/Hz)</w:t>
            </w:r>
          </w:p>
        </w:tc>
      </w:tr>
      <w:tr w:rsidR="00AE0549" w:rsidRPr="00A604A3" w:rsidTr="00FE3F7E">
        <w:trPr>
          <w:trHeight w:val="179"/>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E3F7E">
            <w:pPr>
              <w:pStyle w:val="Tabletext"/>
              <w:jc w:val="center"/>
            </w:pPr>
            <w:r w:rsidRPr="00A604A3">
              <w:rPr>
                <w:rFonts w:eastAsia="Calibri"/>
              </w:rPr>
              <w:t>256 QAM</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20.74</w:t>
            </w:r>
          </w:p>
        </w:tc>
        <w:tc>
          <w:tcPr>
            <w:tcW w:w="1138"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E3F7E">
            <w:pPr>
              <w:pStyle w:val="Tabletext"/>
              <w:jc w:val="center"/>
              <w:rPr>
                <w:rFonts w:eastAsia="Calibri"/>
              </w:rPr>
            </w:pPr>
            <w:r w:rsidRPr="00A604A3">
              <w:rPr>
                <w:rFonts w:eastAsia="Calibri"/>
              </w:rPr>
              <w:t>15</w:t>
            </w:r>
          </w:p>
        </w:tc>
      </w:tr>
    </w:tbl>
    <w:p w:rsidR="00AE0549" w:rsidRPr="00A604A3" w:rsidRDefault="00AE0549" w:rsidP="00FE3F7E">
      <w:pPr>
        <w:pStyle w:val="Tablefin"/>
      </w:pPr>
    </w:p>
    <w:p w:rsidR="00AE0549" w:rsidRPr="00A604A3" w:rsidRDefault="00FE3F7E" w:rsidP="00FE3F7E">
      <w:pPr>
        <w:pStyle w:val="Heading6"/>
        <w:rPr>
          <w:rFonts w:eastAsia="MS Mincho"/>
        </w:rPr>
      </w:pPr>
      <w:r w:rsidRPr="00A604A3">
        <w:rPr>
          <w:rFonts w:eastAsia="MS Mincho"/>
        </w:rPr>
        <w:t>II.5.2.3.2.2</w:t>
      </w:r>
      <w:r w:rsidRPr="00A604A3">
        <w:rPr>
          <w:rFonts w:eastAsia="MS Mincho"/>
        </w:rPr>
        <w:tab/>
      </w:r>
      <w:r w:rsidRPr="00A604A3">
        <w:rPr>
          <w:rFonts w:eastAsia="MS Mincho"/>
        </w:rPr>
        <w:tab/>
      </w:r>
      <w:r w:rsidR="00AE0549" w:rsidRPr="00A604A3">
        <w:rPr>
          <w:rFonts w:eastAsia="MS Mincho"/>
        </w:rPr>
        <w:t>TDD RIT</w:t>
      </w:r>
    </w:p>
    <w:p w:rsidR="00FE3F7E" w:rsidRPr="00A604A3" w:rsidRDefault="00FE3F7E" w:rsidP="00FE3F7E">
      <w:pPr>
        <w:pStyle w:val="TableNo"/>
        <w:rPr>
          <w:rFonts w:eastAsia="MS Mincho"/>
        </w:rPr>
      </w:pPr>
      <w:bookmarkStart w:id="99" w:name="_Ref24369830"/>
      <w:bookmarkStart w:id="100" w:name="_Toc27919504"/>
      <w:bookmarkStart w:id="101" w:name="_Toc28265668"/>
      <w:bookmarkStart w:id="102" w:name="_Toc28276903"/>
      <w:bookmarkStart w:id="103" w:name="_Toc32066289"/>
      <w:r w:rsidRPr="00A604A3">
        <w:rPr>
          <w:rFonts w:eastAsia="MS Mincho"/>
        </w:rPr>
        <w:t>table 19</w:t>
      </w:r>
    </w:p>
    <w:p w:rsidR="00FE3F7E" w:rsidRPr="00A604A3" w:rsidRDefault="00FE3F7E" w:rsidP="00FE3F7E">
      <w:pPr>
        <w:pStyle w:val="Tabletitle"/>
        <w:rPr>
          <w:rFonts w:eastAsia="MS Mincho"/>
        </w:rPr>
      </w:pPr>
      <w:r w:rsidRPr="00A604A3">
        <w:rPr>
          <w:rFonts w:eastAsia="MS Mincho"/>
        </w:rPr>
        <w:t>LTE TDD UL RIT</w:t>
      </w:r>
      <w:bookmarkEnd w:id="99"/>
      <w:bookmarkEnd w:id="100"/>
      <w:bookmarkEnd w:id="101"/>
      <w:bookmarkEnd w:id="102"/>
      <w:bookmarkEnd w:id="103"/>
    </w:p>
    <w:tbl>
      <w:tblPr>
        <w:tblW w:w="5647" w:type="dxa"/>
        <w:jc w:val="center"/>
        <w:tblCellMar>
          <w:left w:w="0" w:type="dxa"/>
          <w:right w:w="0" w:type="dxa"/>
        </w:tblCellMar>
        <w:tblLook w:val="04A0" w:firstRow="1" w:lastRow="0" w:firstColumn="1" w:lastColumn="0" w:noHBand="0" w:noVBand="1"/>
      </w:tblPr>
      <w:tblGrid>
        <w:gridCol w:w="1032"/>
        <w:gridCol w:w="880"/>
        <w:gridCol w:w="908"/>
        <w:gridCol w:w="856"/>
        <w:gridCol w:w="833"/>
        <w:gridCol w:w="1138"/>
      </w:tblGrid>
      <w:tr w:rsidR="00AE0549" w:rsidRPr="00A604A3" w:rsidTr="00470885">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Modulation</w:t>
            </w:r>
          </w:p>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Order</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sz w:val="16"/>
                <w:lang w:eastAsia="zh-CN"/>
              </w:rPr>
            </w:pPr>
            <w:r w:rsidRPr="00A604A3">
              <w:rPr>
                <w:rFonts w:eastAsia="SimSun"/>
                <w:b/>
                <w:sz w:val="16"/>
                <w:szCs w:val="16"/>
                <w:lang w:eastAsia="zh-CN"/>
              </w:rPr>
              <w:t xml:space="preserve">Req. </w:t>
            </w:r>
            <w:r w:rsidRPr="00A604A3">
              <w:rPr>
                <w:rFonts w:eastAsia="Yu Mincho"/>
                <w:b/>
                <w:bCs/>
                <w:sz w:val="16"/>
              </w:rPr>
              <w:t>(Bit/s/Hz)</w:t>
            </w:r>
          </w:p>
        </w:tc>
      </w:tr>
      <w:tr w:rsidR="00AE0549" w:rsidRPr="00A604A3" w:rsidTr="00470885">
        <w:trPr>
          <w:trHeight w:val="179"/>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470885">
            <w:pPr>
              <w:overflowPunct/>
              <w:autoSpaceDE/>
              <w:autoSpaceDN/>
              <w:adjustRightInd/>
              <w:spacing w:before="0"/>
              <w:jc w:val="center"/>
              <w:textAlignment w:val="auto"/>
              <w:rPr>
                <w:sz w:val="18"/>
                <w:szCs w:val="36"/>
              </w:rPr>
            </w:pPr>
            <w:r w:rsidRPr="00A604A3">
              <w:rPr>
                <w:rFonts w:eastAsia="Calibri"/>
                <w:b/>
                <w:bCs/>
                <w:kern w:val="24"/>
                <w:sz w:val="18"/>
              </w:rPr>
              <w:t>256 QAM</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18.81</w:t>
            </w:r>
          </w:p>
        </w:tc>
        <w:tc>
          <w:tcPr>
            <w:tcW w:w="1138"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15</w:t>
            </w:r>
          </w:p>
        </w:tc>
      </w:tr>
    </w:tbl>
    <w:p w:rsidR="00AE0549" w:rsidRPr="00A604A3" w:rsidRDefault="00AE0549" w:rsidP="00FE3F7E">
      <w:pPr>
        <w:pStyle w:val="Tablefin"/>
      </w:pPr>
    </w:p>
    <w:p w:rsidR="00AE0549" w:rsidRPr="00A604A3" w:rsidRDefault="00E06D28" w:rsidP="00E06D28">
      <w:pPr>
        <w:pStyle w:val="Heading4"/>
        <w:rPr>
          <w:rFonts w:eastAsia="MS Mincho"/>
        </w:rPr>
      </w:pPr>
      <w:r w:rsidRPr="00A604A3">
        <w:rPr>
          <w:rFonts w:eastAsia="MS Mincho"/>
        </w:rPr>
        <w:t>II.5.2.4</w:t>
      </w:r>
      <w:r w:rsidRPr="00A604A3">
        <w:rPr>
          <w:rFonts w:eastAsia="MS Mincho"/>
        </w:rPr>
        <w:tab/>
      </w:r>
      <w:r w:rsidR="00AE0549" w:rsidRPr="00A604A3">
        <w:rPr>
          <w:rFonts w:eastAsia="MS Mincho"/>
        </w:rPr>
        <w:t>Observations</w:t>
      </w:r>
    </w:p>
    <w:p w:rsidR="00AE0549" w:rsidRPr="00A604A3" w:rsidRDefault="00AE0549" w:rsidP="00E06D28">
      <w:pPr>
        <w:rPr>
          <w:rFonts w:eastAsia="MS Mincho"/>
        </w:rPr>
      </w:pPr>
      <w:r w:rsidRPr="00A604A3">
        <w:rPr>
          <w:rFonts w:eastAsia="MS Mincho"/>
        </w:rPr>
        <w:t>Observations are summarized in Table 20.</w:t>
      </w:r>
    </w:p>
    <w:p w:rsidR="00E06D28" w:rsidRPr="00A604A3" w:rsidRDefault="00E06D28" w:rsidP="00E06D28">
      <w:pPr>
        <w:pStyle w:val="TableNo"/>
        <w:rPr>
          <w:rFonts w:eastAsia="MS Mincho"/>
        </w:rPr>
      </w:pPr>
      <w:bookmarkStart w:id="104" w:name="_Ref25753637"/>
      <w:bookmarkStart w:id="105" w:name="_Toc27919506"/>
      <w:bookmarkStart w:id="106" w:name="_Toc28265670"/>
      <w:bookmarkStart w:id="107" w:name="_Toc28276905"/>
      <w:bookmarkStart w:id="108" w:name="_Toc32066291"/>
      <w:r w:rsidRPr="00A604A3">
        <w:rPr>
          <w:rFonts w:eastAsia="MS Mincho"/>
        </w:rPr>
        <w:lastRenderedPageBreak/>
        <w:t>table 20</w:t>
      </w:r>
    </w:p>
    <w:p w:rsidR="00AE0549" w:rsidRPr="00A604A3" w:rsidRDefault="00E06D28" w:rsidP="00E06D28">
      <w:pPr>
        <w:pStyle w:val="Tabletitle"/>
        <w:rPr>
          <w:rFonts w:eastAsia="MS Mincho"/>
        </w:rPr>
      </w:pPr>
      <w:r w:rsidRPr="00A604A3">
        <w:rPr>
          <w:rFonts w:eastAsia="MS Mincho"/>
        </w:rPr>
        <w:t>Observations</w:t>
      </w:r>
      <w:bookmarkEnd w:id="104"/>
      <w:bookmarkEnd w:id="105"/>
      <w:bookmarkEnd w:id="106"/>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E06D28">
            <w:pPr>
              <w:pStyle w:val="Tablehead"/>
            </w:pPr>
            <w:r w:rsidRPr="00A604A3">
              <w:t>ITU-R requirements</w:t>
            </w:r>
          </w:p>
        </w:tc>
        <w:tc>
          <w:tcPr>
            <w:tcW w:w="3005" w:type="dxa"/>
          </w:tcPr>
          <w:p w:rsidR="00AE0549" w:rsidRPr="00A604A3" w:rsidRDefault="00AE0549" w:rsidP="00E06D28">
            <w:pPr>
              <w:pStyle w:val="Tablehead"/>
            </w:pPr>
            <w:r w:rsidRPr="00A604A3">
              <w:rPr>
                <w:lang w:eastAsia="zh-CN"/>
              </w:rPr>
              <w:t>NR component RIT</w:t>
            </w:r>
          </w:p>
        </w:tc>
        <w:tc>
          <w:tcPr>
            <w:tcW w:w="3006" w:type="dxa"/>
          </w:tcPr>
          <w:p w:rsidR="00AE0549" w:rsidRPr="00A604A3" w:rsidRDefault="00AE0549" w:rsidP="00E06D28">
            <w:pPr>
              <w:pStyle w:val="Tablehead"/>
            </w:pPr>
            <w:r w:rsidRPr="00A604A3">
              <w:rPr>
                <w:lang w:eastAsia="zh-CN"/>
              </w:rPr>
              <w:t>LTE component RIT</w:t>
            </w:r>
          </w:p>
        </w:tc>
      </w:tr>
      <w:tr w:rsidR="00AE0549" w:rsidRPr="00A604A3" w:rsidTr="00470885">
        <w:tc>
          <w:tcPr>
            <w:tcW w:w="3005" w:type="dxa"/>
          </w:tcPr>
          <w:p w:rsidR="00AE0549" w:rsidRPr="00A604A3" w:rsidRDefault="00AE0549" w:rsidP="00E06D28">
            <w:pPr>
              <w:pStyle w:val="Tabletext"/>
            </w:pPr>
            <w:r w:rsidRPr="00A604A3">
              <w:t>Downlink: At least 30 bits/s/Hz</w:t>
            </w:r>
          </w:p>
        </w:tc>
        <w:tc>
          <w:tcPr>
            <w:tcW w:w="3005" w:type="dxa"/>
          </w:tcPr>
          <w:p w:rsidR="00AE0549" w:rsidRPr="00A604A3" w:rsidRDefault="00AE0549" w:rsidP="00E06D28">
            <w:pPr>
              <w:pStyle w:val="Tabletext"/>
              <w:rPr>
                <w:color w:val="000000" w:themeColor="text1"/>
                <w:lang w:eastAsia="zh-CN"/>
              </w:rPr>
            </w:pPr>
            <w:r w:rsidRPr="00A604A3">
              <w:rPr>
                <w:b/>
                <w:color w:val="000000" w:themeColor="text1"/>
                <w:lang w:eastAsia="zh-CN"/>
              </w:rPr>
              <w:t>One component carrier</w:t>
            </w:r>
            <w:r w:rsidRPr="00A604A3">
              <w:rPr>
                <w:color w:val="000000" w:themeColor="text1"/>
                <w:lang w:eastAsia="zh-CN"/>
              </w:rPr>
              <w:t xml:space="preserve"> is able to provide peak spectral efficiency values up to </w:t>
            </w:r>
            <w:r w:rsidRPr="00A604A3">
              <w:rPr>
                <w:b/>
                <w:color w:val="000000" w:themeColor="text1"/>
                <w:lang w:eastAsia="zh-CN"/>
              </w:rPr>
              <w:t xml:space="preserve">48.78 bps/Hz </w:t>
            </w:r>
            <w:r w:rsidRPr="00A604A3">
              <w:rPr>
                <w:color w:val="000000" w:themeColor="text1"/>
                <w:lang w:eastAsia="zh-CN"/>
              </w:rPr>
              <w:t xml:space="preserve">for </w:t>
            </w:r>
            <w:r w:rsidRPr="00A604A3">
              <w:rPr>
                <w:b/>
                <w:color w:val="000000" w:themeColor="text1"/>
                <w:lang w:eastAsia="zh-CN"/>
              </w:rPr>
              <w:t>FDD</w:t>
            </w:r>
            <w:r w:rsidRPr="00A604A3">
              <w:rPr>
                <w:color w:val="000000" w:themeColor="text1"/>
                <w:lang w:eastAsia="zh-CN"/>
              </w:rPr>
              <w:t xml:space="preserve"> and up to </w:t>
            </w:r>
            <w:r w:rsidRPr="00A604A3">
              <w:rPr>
                <w:b/>
                <w:color w:val="000000" w:themeColor="text1"/>
                <w:lang w:eastAsia="zh-CN"/>
              </w:rPr>
              <w:t>47.93 bps/Hz</w:t>
            </w:r>
            <w:r w:rsidRPr="00A604A3">
              <w:rPr>
                <w:color w:val="000000" w:themeColor="text1"/>
                <w:lang w:eastAsia="zh-CN"/>
              </w:rPr>
              <w:t xml:space="preserve"> for </w:t>
            </w:r>
            <w:r w:rsidRPr="00A604A3">
              <w:rPr>
                <w:b/>
                <w:color w:val="000000" w:themeColor="text1"/>
                <w:lang w:eastAsia="zh-CN"/>
              </w:rPr>
              <w:t>TDD</w:t>
            </w:r>
            <w:r w:rsidRPr="00A604A3">
              <w:rPr>
                <w:color w:val="000000" w:themeColor="text1"/>
                <w:lang w:eastAsia="zh-CN"/>
              </w:rPr>
              <w:t xml:space="preserve"> techniques thanks to </w:t>
            </w:r>
            <w:r w:rsidRPr="00A604A3">
              <w:rPr>
                <w:b/>
                <w:color w:val="000000" w:themeColor="text1"/>
                <w:lang w:eastAsia="zh-CN"/>
              </w:rPr>
              <w:t>the use of MIMO 8 layers configuration in FR1</w:t>
            </w:r>
            <w:r w:rsidRPr="00A604A3">
              <w:rPr>
                <w:color w:val="000000" w:themeColor="text1"/>
                <w:lang w:eastAsia="zh-CN"/>
              </w:rPr>
              <w:t xml:space="preserve">. In FR2, spectral efficiency gets decreased to values around 35 bps/Hz due to the use of 6 MIMO layers instead of 8. Both configurations are able to </w:t>
            </w:r>
            <w:r w:rsidRPr="00A604A3">
              <w:rPr>
                <w:b/>
                <w:color w:val="000000" w:themeColor="text1"/>
                <w:lang w:eastAsia="zh-CN"/>
              </w:rPr>
              <w:t>meet the ITU-R requirement</w:t>
            </w:r>
            <w:r w:rsidRPr="00A604A3">
              <w:rPr>
                <w:color w:val="000000" w:themeColor="text1"/>
                <w:lang w:eastAsia="zh-CN"/>
              </w:rPr>
              <w:t xml:space="preserve"> (30 bps/Hz) for all the evaluated bandwidths and numerologies. </w:t>
            </w:r>
          </w:p>
        </w:tc>
        <w:tc>
          <w:tcPr>
            <w:tcW w:w="3006" w:type="dxa"/>
          </w:tcPr>
          <w:p w:rsidR="00AE0549" w:rsidRPr="00A604A3" w:rsidRDefault="00AE0549" w:rsidP="00E06D28">
            <w:pPr>
              <w:pStyle w:val="Tabletext"/>
              <w:rPr>
                <w:color w:val="000000" w:themeColor="text1"/>
              </w:rPr>
            </w:pPr>
            <w:r w:rsidRPr="00A604A3">
              <w:rPr>
                <w:b/>
                <w:color w:val="000000" w:themeColor="text1"/>
              </w:rPr>
              <w:t>One component carrier</w:t>
            </w:r>
            <w:r w:rsidRPr="00A604A3">
              <w:rPr>
                <w:color w:val="000000" w:themeColor="text1"/>
              </w:rPr>
              <w:t xml:space="preserve"> is able to provide peak spectral efficiency values </w:t>
            </w:r>
            <w:r w:rsidRPr="00A604A3">
              <w:rPr>
                <w:b/>
                <w:color w:val="000000" w:themeColor="text1"/>
              </w:rPr>
              <w:t>up to 35.52 bps/Hz</w:t>
            </w:r>
            <w:r w:rsidRPr="00A604A3">
              <w:rPr>
                <w:color w:val="000000" w:themeColor="text1"/>
              </w:rPr>
              <w:t xml:space="preserve"> when 20 MHz bandwidth, MIMO 8 layers and </w:t>
            </w:r>
            <w:r w:rsidRPr="00A604A3">
              <w:rPr>
                <w:b/>
                <w:color w:val="000000" w:themeColor="text1"/>
              </w:rPr>
              <w:t>256QAM</w:t>
            </w:r>
            <w:r w:rsidRPr="00A604A3">
              <w:rPr>
                <w:color w:val="000000" w:themeColor="text1"/>
              </w:rPr>
              <w:t xml:space="preserve"> modulation order are configured </w:t>
            </w:r>
            <w:r w:rsidRPr="00A604A3">
              <w:rPr>
                <w:b/>
                <w:color w:val="000000" w:themeColor="text1"/>
              </w:rPr>
              <w:t>in FDD transmissions</w:t>
            </w:r>
            <w:r w:rsidRPr="00A604A3">
              <w:rPr>
                <w:color w:val="000000" w:themeColor="text1"/>
              </w:rPr>
              <w:t xml:space="preserve">. If the modulation </w:t>
            </w:r>
            <w:r w:rsidRPr="00A604A3">
              <w:t>order</w:t>
            </w:r>
            <w:r w:rsidRPr="00A604A3">
              <w:rPr>
                <w:color w:val="000000" w:themeColor="text1"/>
              </w:rPr>
              <w:t xml:space="preserve"> is increased to </w:t>
            </w:r>
            <w:r w:rsidRPr="00A604A3">
              <w:rPr>
                <w:b/>
                <w:color w:val="000000" w:themeColor="text1"/>
              </w:rPr>
              <w:t>1024QAM, values up to 43.46 bps/Hz</w:t>
            </w:r>
            <w:r w:rsidRPr="00A604A3">
              <w:rPr>
                <w:color w:val="000000" w:themeColor="text1"/>
              </w:rPr>
              <w:t xml:space="preserve"> can be reached. For </w:t>
            </w:r>
            <w:r w:rsidRPr="00A604A3">
              <w:rPr>
                <w:b/>
                <w:color w:val="000000" w:themeColor="text1"/>
              </w:rPr>
              <w:t>TDD, 35.65 bps/Hz and 45.58 bps/Hz</w:t>
            </w:r>
            <w:r w:rsidRPr="00A604A3">
              <w:rPr>
                <w:color w:val="000000" w:themeColor="text1"/>
              </w:rPr>
              <w:t xml:space="preserve"> values can be achieved for 256QAM and 1024QAM respectively. Unlike peak data rate results, all configurations are able to </w:t>
            </w:r>
            <w:r w:rsidRPr="00A604A3">
              <w:rPr>
                <w:b/>
                <w:color w:val="000000" w:themeColor="text1"/>
              </w:rPr>
              <w:t>meet the ITU-R requirement of 30 bps/Hz</w:t>
            </w:r>
            <w:r w:rsidRPr="00A604A3">
              <w:rPr>
                <w:color w:val="000000" w:themeColor="text1"/>
              </w:rPr>
              <w:t xml:space="preserve"> thanks to the </w:t>
            </w:r>
            <w:r w:rsidRPr="00A604A3">
              <w:rPr>
                <w:b/>
                <w:color w:val="000000" w:themeColor="text1"/>
              </w:rPr>
              <w:t xml:space="preserve">bandwidth normalization </w:t>
            </w:r>
            <w:r w:rsidRPr="00A604A3">
              <w:rPr>
                <w:color w:val="000000" w:themeColor="text1"/>
              </w:rPr>
              <w:t xml:space="preserve">done in the spectral efficiency calculation. </w:t>
            </w:r>
          </w:p>
        </w:tc>
      </w:tr>
      <w:tr w:rsidR="00AE0549" w:rsidRPr="00A604A3" w:rsidTr="00470885">
        <w:tc>
          <w:tcPr>
            <w:tcW w:w="3005" w:type="dxa"/>
          </w:tcPr>
          <w:p w:rsidR="00AE0549" w:rsidRPr="00A604A3" w:rsidRDefault="00AE0549" w:rsidP="00E06D28">
            <w:pPr>
              <w:pStyle w:val="Tabletext"/>
              <w:rPr>
                <w:color w:val="000000" w:themeColor="text1"/>
              </w:rPr>
            </w:pPr>
            <w:r w:rsidRPr="00A604A3">
              <w:rPr>
                <w:color w:val="000000" w:themeColor="text1"/>
              </w:rPr>
              <w:t xml:space="preserve">Uplink: At </w:t>
            </w:r>
            <w:r w:rsidRPr="00A604A3">
              <w:t>least</w:t>
            </w:r>
            <w:r w:rsidRPr="00A604A3">
              <w:rPr>
                <w:color w:val="000000" w:themeColor="text1"/>
              </w:rPr>
              <w:t xml:space="preserve"> 15 bits/s/Hz</w:t>
            </w:r>
          </w:p>
        </w:tc>
        <w:tc>
          <w:tcPr>
            <w:tcW w:w="3005" w:type="dxa"/>
          </w:tcPr>
          <w:p w:rsidR="00AE0549" w:rsidRPr="00A604A3" w:rsidRDefault="00AE0549" w:rsidP="00E06D28">
            <w:pPr>
              <w:pStyle w:val="Tabletext"/>
              <w:rPr>
                <w:color w:val="000000" w:themeColor="text1"/>
                <w:lang w:eastAsia="zh-CN"/>
              </w:rPr>
            </w:pPr>
            <w:r w:rsidRPr="00A604A3">
              <w:rPr>
                <w:b/>
                <w:color w:val="000000" w:themeColor="text1"/>
                <w:lang w:eastAsia="zh-CN"/>
              </w:rPr>
              <w:t>One component carrier</w:t>
            </w:r>
            <w:r w:rsidRPr="00A604A3">
              <w:rPr>
                <w:color w:val="000000" w:themeColor="text1"/>
                <w:lang w:eastAsia="zh-CN"/>
              </w:rPr>
              <w:t xml:space="preserve"> is able to provide </w:t>
            </w:r>
            <w:r w:rsidRPr="00A604A3">
              <w:t>peak</w:t>
            </w:r>
            <w:r w:rsidRPr="00A604A3">
              <w:rPr>
                <w:color w:val="000000" w:themeColor="text1"/>
                <w:lang w:eastAsia="zh-CN"/>
              </w:rPr>
              <w:t xml:space="preserve"> spectral efficiency values up to </w:t>
            </w:r>
            <w:r w:rsidRPr="00A604A3">
              <w:rPr>
                <w:b/>
                <w:color w:val="000000" w:themeColor="text1"/>
                <w:lang w:eastAsia="zh-CN"/>
              </w:rPr>
              <w:t>24.99 bps/Hz</w:t>
            </w:r>
            <w:r w:rsidRPr="00A604A3">
              <w:rPr>
                <w:color w:val="000000" w:themeColor="text1"/>
                <w:lang w:eastAsia="zh-CN"/>
              </w:rPr>
              <w:t xml:space="preserve"> and </w:t>
            </w:r>
            <w:r w:rsidRPr="00A604A3">
              <w:rPr>
                <w:b/>
                <w:color w:val="000000" w:themeColor="text1"/>
                <w:lang w:eastAsia="zh-CN"/>
              </w:rPr>
              <w:t>24.05 bps/Hz</w:t>
            </w:r>
            <w:r w:rsidRPr="00A604A3">
              <w:rPr>
                <w:color w:val="000000" w:themeColor="text1"/>
                <w:lang w:eastAsia="zh-CN"/>
              </w:rPr>
              <w:t xml:space="preserve"> for both </w:t>
            </w:r>
            <w:r w:rsidRPr="00A604A3">
              <w:rPr>
                <w:b/>
                <w:color w:val="000000" w:themeColor="text1"/>
                <w:lang w:eastAsia="zh-CN"/>
              </w:rPr>
              <w:t>FDD</w:t>
            </w:r>
            <w:r w:rsidRPr="00A604A3">
              <w:rPr>
                <w:color w:val="000000" w:themeColor="text1"/>
                <w:lang w:eastAsia="zh-CN"/>
              </w:rPr>
              <w:t xml:space="preserve"> and </w:t>
            </w:r>
            <w:r w:rsidRPr="00A604A3">
              <w:rPr>
                <w:b/>
                <w:color w:val="000000" w:themeColor="text1"/>
                <w:lang w:eastAsia="zh-CN"/>
              </w:rPr>
              <w:t>TDD</w:t>
            </w:r>
            <w:r w:rsidRPr="00A604A3">
              <w:rPr>
                <w:color w:val="000000" w:themeColor="text1"/>
                <w:lang w:eastAsia="zh-CN"/>
              </w:rPr>
              <w:t xml:space="preserve"> techniques thanks to the use of with MIMO 4 layers configurations. All the numerology and bandwidth combinations are able to provide values above the ITU-R requirement, which is set to 15 bps/Hz. </w:t>
            </w:r>
          </w:p>
        </w:tc>
        <w:tc>
          <w:tcPr>
            <w:tcW w:w="3006" w:type="dxa"/>
          </w:tcPr>
          <w:p w:rsidR="00AE0549" w:rsidRPr="00A604A3" w:rsidRDefault="00AE0549" w:rsidP="00E06D28">
            <w:pPr>
              <w:pStyle w:val="Tabletext"/>
              <w:rPr>
                <w:color w:val="000000" w:themeColor="text1"/>
              </w:rPr>
            </w:pPr>
            <w:r w:rsidRPr="00A604A3">
              <w:rPr>
                <w:b/>
                <w:color w:val="000000" w:themeColor="text1"/>
              </w:rPr>
              <w:t>One component carrier</w:t>
            </w:r>
            <w:r w:rsidRPr="00A604A3">
              <w:rPr>
                <w:color w:val="000000" w:themeColor="text1"/>
              </w:rPr>
              <w:t xml:space="preserve"> is able to provide peak spectral efficiency values up to </w:t>
            </w:r>
            <w:r w:rsidRPr="00A604A3">
              <w:rPr>
                <w:b/>
                <w:color w:val="000000" w:themeColor="text1"/>
              </w:rPr>
              <w:t>20.74 bps/Hz</w:t>
            </w:r>
            <w:r w:rsidRPr="00A604A3">
              <w:rPr>
                <w:color w:val="000000" w:themeColor="text1"/>
              </w:rPr>
              <w:t xml:space="preserve"> when 20 MHz bandwidth, MIMO 4 layers and </w:t>
            </w:r>
            <w:r w:rsidRPr="00A604A3">
              <w:rPr>
                <w:b/>
                <w:color w:val="000000" w:themeColor="text1"/>
              </w:rPr>
              <w:t>256QAM</w:t>
            </w:r>
            <w:r w:rsidRPr="00A604A3">
              <w:rPr>
                <w:color w:val="000000" w:themeColor="text1"/>
              </w:rPr>
              <w:t xml:space="preserve"> modulation order are configured in FDD transmissions. In </w:t>
            </w:r>
            <w:r w:rsidRPr="00A604A3">
              <w:rPr>
                <w:b/>
                <w:color w:val="000000" w:themeColor="text1"/>
              </w:rPr>
              <w:t>TDD mode</w:t>
            </w:r>
            <w:r w:rsidRPr="00A604A3">
              <w:rPr>
                <w:color w:val="000000" w:themeColor="text1"/>
              </w:rPr>
              <w:t xml:space="preserve">, values up to </w:t>
            </w:r>
            <w:r w:rsidRPr="00A604A3">
              <w:rPr>
                <w:b/>
                <w:color w:val="000000" w:themeColor="text1"/>
              </w:rPr>
              <w:t>18.81 bps/Hz</w:t>
            </w:r>
            <w:r w:rsidRPr="00A604A3">
              <w:rPr>
                <w:color w:val="000000" w:themeColor="text1"/>
              </w:rPr>
              <w:t xml:space="preserve"> can be achieved. Both modes </w:t>
            </w:r>
            <w:r w:rsidRPr="00A604A3">
              <w:rPr>
                <w:b/>
                <w:color w:val="000000" w:themeColor="text1"/>
              </w:rPr>
              <w:t>meet the ITU-R requirement</w:t>
            </w:r>
            <w:r w:rsidRPr="00A604A3">
              <w:rPr>
                <w:color w:val="000000" w:themeColor="text1"/>
              </w:rPr>
              <w:t xml:space="preserve">, set to 15 bps/Hz, thanks to the </w:t>
            </w:r>
            <w:r w:rsidRPr="00A604A3">
              <w:rPr>
                <w:b/>
                <w:color w:val="000000" w:themeColor="text1"/>
              </w:rPr>
              <w:t>bandwidth normalization</w:t>
            </w:r>
            <w:r w:rsidRPr="00A604A3">
              <w:rPr>
                <w:color w:val="000000" w:themeColor="text1"/>
              </w:rPr>
              <w:t xml:space="preserve"> included in the spectral efficiency calculation. </w:t>
            </w:r>
          </w:p>
        </w:tc>
      </w:tr>
    </w:tbl>
    <w:p w:rsidR="00AE0549" w:rsidRPr="00A604A3" w:rsidRDefault="00AE0549" w:rsidP="00E06D28">
      <w:pPr>
        <w:pStyle w:val="Tablefin"/>
      </w:pPr>
    </w:p>
    <w:p w:rsidR="00AE0549" w:rsidRPr="00A604A3" w:rsidRDefault="00E06D28" w:rsidP="00E06D28">
      <w:pPr>
        <w:pStyle w:val="Heading3"/>
        <w:rPr>
          <w:rFonts w:eastAsia="MS Mincho"/>
        </w:rPr>
      </w:pPr>
      <w:bookmarkStart w:id="109" w:name="_Ref29973249"/>
      <w:bookmarkStart w:id="110" w:name="_Ref29974084"/>
      <w:bookmarkStart w:id="111" w:name="_Ref29974643"/>
      <w:bookmarkStart w:id="112" w:name="_Ref29974721"/>
      <w:bookmarkStart w:id="113" w:name="_Ref31709247"/>
      <w:bookmarkStart w:id="114" w:name="_Toc32412963"/>
      <w:r w:rsidRPr="00A604A3">
        <w:rPr>
          <w:rFonts w:eastAsia="MS Mincho"/>
        </w:rPr>
        <w:t>II.5.3</w:t>
      </w:r>
      <w:r w:rsidRPr="00A604A3">
        <w:rPr>
          <w:rFonts w:eastAsia="MS Mincho"/>
        </w:rPr>
        <w:tab/>
      </w:r>
      <w:r w:rsidR="00AE0549" w:rsidRPr="00A604A3">
        <w:rPr>
          <w:rFonts w:eastAsia="MS Mincho"/>
        </w:rPr>
        <w:t>User experienced data rate</w:t>
      </w:r>
      <w:bookmarkEnd w:id="109"/>
      <w:bookmarkEnd w:id="110"/>
      <w:bookmarkEnd w:id="111"/>
      <w:bookmarkEnd w:id="112"/>
      <w:bookmarkEnd w:id="113"/>
      <w:bookmarkEnd w:id="114"/>
    </w:p>
    <w:p w:rsidR="00AE0549" w:rsidRPr="00A604A3" w:rsidRDefault="00AE0549" w:rsidP="00E06D28">
      <w:r w:rsidRPr="00A604A3">
        <w:t>The ITU-R minimum requirements on user experienced data rate are given in [1]. The following requirements and remarks are extracted from [1]:</w:t>
      </w:r>
    </w:p>
    <w:p w:rsidR="00AE0549" w:rsidRPr="00A604A3" w:rsidRDefault="00E06D28" w:rsidP="00E06D28">
      <w:pPr>
        <w:pStyle w:val="enumlev1"/>
        <w:rPr>
          <w:i/>
          <w:iCs/>
        </w:rPr>
      </w:pPr>
      <w:r w:rsidRPr="00A604A3">
        <w:rPr>
          <w:rFonts w:eastAsia="+mn-ea"/>
        </w:rPr>
        <w:tab/>
      </w:r>
      <w:r w:rsidR="00AE0549" w:rsidRPr="00A604A3">
        <w:rPr>
          <w:rFonts w:eastAsia="+mn-ea"/>
          <w:i/>
          <w:iCs/>
        </w:rPr>
        <w:t>User experienced data rate</w:t>
      </w:r>
      <w:r w:rsidR="00AE0549" w:rsidRPr="00A604A3">
        <w:rPr>
          <w:i/>
          <w:iCs/>
          <w:lang w:eastAsia="zh-CN"/>
        </w:rPr>
        <w:t xml:space="preserve"> is the 5% point of the </w:t>
      </w:r>
      <w:r w:rsidR="00AE0549" w:rsidRPr="00A604A3">
        <w:rPr>
          <w:i/>
          <w:iCs/>
          <w:lang w:eastAsia="ko-KR"/>
        </w:rPr>
        <w:t>cumulative distribution function (CDF) of the user throughput</w:t>
      </w:r>
      <w:r w:rsidR="00AE0549" w:rsidRPr="00A604A3">
        <w:rPr>
          <w:i/>
          <w:iCs/>
          <w:lang w:eastAsia="zh-CN"/>
        </w:rPr>
        <w:t xml:space="preserve">. User throughput (during active time) is defined as </w:t>
      </w:r>
      <w:r w:rsidR="00AE0549" w:rsidRPr="00A604A3">
        <w:rPr>
          <w:i/>
          <w:iCs/>
        </w:rPr>
        <w:t xml:space="preserve">the number of correctly received bits, i.e. the number of bits contained in the service data units (SDUs) delivered to Layer 3, over a certain period of time. </w:t>
      </w:r>
    </w:p>
    <w:p w:rsidR="00AE0549" w:rsidRPr="00A604A3" w:rsidRDefault="00E06D28" w:rsidP="00E06D28">
      <w:pPr>
        <w:pStyle w:val="enumlev1"/>
        <w:rPr>
          <w:i/>
          <w:iCs/>
          <w:szCs w:val="24"/>
          <w:lang w:eastAsia="zh-CN"/>
        </w:rPr>
      </w:pPr>
      <w:r w:rsidRPr="00A604A3">
        <w:rPr>
          <w:i/>
          <w:iCs/>
          <w:lang w:eastAsia="zh-CN"/>
        </w:rPr>
        <w:tab/>
      </w:r>
      <w:r w:rsidR="00AE0549" w:rsidRPr="00A604A3">
        <w:rPr>
          <w:i/>
          <w:iCs/>
          <w:lang w:eastAsia="zh-CN"/>
        </w:rPr>
        <w:t xml:space="preserve">In </w:t>
      </w:r>
      <w:r w:rsidR="00AE0549" w:rsidRPr="00A604A3">
        <w:rPr>
          <w:i/>
          <w:iCs/>
        </w:rPr>
        <w:t xml:space="preserve">case </w:t>
      </w:r>
      <w:r w:rsidR="00AE0549" w:rsidRPr="00A604A3">
        <w:rPr>
          <w:i/>
          <w:iCs/>
          <w:szCs w:val="24"/>
          <w:lang w:eastAsia="zh-CN"/>
        </w:rPr>
        <w:t xml:space="preserve">of </w:t>
      </w:r>
      <w:r w:rsidR="00AE0549" w:rsidRPr="00A604A3">
        <w:rPr>
          <w:i/>
          <w:iCs/>
        </w:rPr>
        <w:t xml:space="preserve">one </w:t>
      </w:r>
      <w:r w:rsidR="00AE0549" w:rsidRPr="00A604A3">
        <w:rPr>
          <w:i/>
          <w:iCs/>
          <w:lang w:eastAsia="zh-CN"/>
        </w:rPr>
        <w:t xml:space="preserve">frequency </w:t>
      </w:r>
      <w:r w:rsidR="00AE0549" w:rsidRPr="00A604A3">
        <w:rPr>
          <w:i/>
          <w:iCs/>
        </w:rPr>
        <w:t xml:space="preserve">band and one layer of </w:t>
      </w:r>
      <w:r w:rsidR="00AE0549" w:rsidRPr="00A604A3">
        <w:rPr>
          <w:i/>
          <w:iCs/>
          <w:lang w:eastAsia="zh-CN"/>
        </w:rPr>
        <w:t>transmission reception points (</w:t>
      </w:r>
      <w:r w:rsidR="00AE0549" w:rsidRPr="00A604A3">
        <w:rPr>
          <w:i/>
          <w:iCs/>
        </w:rPr>
        <w:t>TRxP)</w:t>
      </w:r>
      <w:r w:rsidR="00AE0549" w:rsidRPr="00A604A3">
        <w:rPr>
          <w:i/>
          <w:iCs/>
          <w:lang w:eastAsia="zh-CN"/>
        </w:rPr>
        <w:t xml:space="preserve">, </w:t>
      </w:r>
      <w:r w:rsidR="00AE0549" w:rsidRPr="00A604A3">
        <w:rPr>
          <w:i/>
          <w:iCs/>
          <w:lang w:eastAsia="ja-JP"/>
        </w:rPr>
        <w:t xml:space="preserve">the </w:t>
      </w:r>
      <w:r w:rsidR="00AE0549" w:rsidRPr="00A604A3">
        <w:rPr>
          <w:i/>
          <w:iCs/>
          <w:lang w:eastAsia="zh-CN"/>
        </w:rPr>
        <w:t xml:space="preserve">user experienced data rate could be derived from </w:t>
      </w:r>
      <w:r w:rsidR="00AE0549" w:rsidRPr="00A604A3">
        <w:rPr>
          <w:i/>
          <w:iCs/>
          <w:lang w:eastAsia="ja-JP"/>
        </w:rPr>
        <w:t xml:space="preserve">the </w:t>
      </w:r>
      <w:r w:rsidR="00AE0549" w:rsidRPr="00A604A3">
        <w:rPr>
          <w:i/>
          <w:iCs/>
          <w:lang w:eastAsia="zh-CN"/>
        </w:rPr>
        <w:t>5</w:t>
      </w:r>
      <w:r w:rsidR="00AE0549" w:rsidRPr="00A604A3">
        <w:rPr>
          <w:i/>
          <w:iCs/>
          <w:vertAlign w:val="superscript"/>
          <w:lang w:eastAsia="zh-CN"/>
        </w:rPr>
        <w:t>th</w:t>
      </w:r>
      <w:r w:rsidR="00AE0549" w:rsidRPr="00A604A3">
        <w:rPr>
          <w:i/>
          <w:iCs/>
          <w:lang w:eastAsia="zh-CN"/>
        </w:rPr>
        <w:t xml:space="preserve"> percentile user spectral efficiency through equation (3). </w:t>
      </w:r>
      <w:r w:rsidR="00AE0549" w:rsidRPr="00A604A3">
        <w:rPr>
          <w:i/>
          <w:iCs/>
          <w:color w:val="000000" w:themeColor="text1"/>
          <w:lang w:eastAsia="zh-CN"/>
        </w:rPr>
        <w:t>L</w:t>
      </w:r>
      <w:r w:rsidR="00AE0549" w:rsidRPr="00A604A3">
        <w:rPr>
          <w:i/>
          <w:iCs/>
          <w:color w:val="000000" w:themeColor="text1"/>
        </w:rPr>
        <w:t>et W denote the</w:t>
      </w:r>
      <w:r w:rsidR="00AE0549" w:rsidRPr="00A604A3">
        <w:rPr>
          <w:i/>
          <w:iCs/>
          <w:color w:val="000000" w:themeColor="text1"/>
          <w:lang w:eastAsia="zh-CN"/>
        </w:rPr>
        <w:t xml:space="preserve"> </w:t>
      </w:r>
      <w:r w:rsidR="00AE0549" w:rsidRPr="00A604A3">
        <w:rPr>
          <w:i/>
          <w:iCs/>
          <w:color w:val="000000" w:themeColor="text1"/>
        </w:rPr>
        <w:t>channel bandwidth and</w:t>
      </w:r>
      <w:r w:rsidR="00AE0549" w:rsidRPr="00A604A3">
        <w:rPr>
          <w:i/>
          <w:iCs/>
          <w:color w:val="000000" w:themeColor="text1"/>
          <w:lang w:eastAsia="zh-CN"/>
        </w:rPr>
        <w:t xml:space="preserve"> SE</w:t>
      </w:r>
      <w:r w:rsidR="00AE0549" w:rsidRPr="00A604A3">
        <w:rPr>
          <w:i/>
          <w:iCs/>
          <w:color w:val="000000" w:themeColor="text1"/>
          <w:vertAlign w:val="subscript"/>
          <w:lang w:eastAsia="zh-CN"/>
        </w:rPr>
        <w:t>user</w:t>
      </w:r>
      <w:r w:rsidR="00AE0549" w:rsidRPr="00A604A3">
        <w:rPr>
          <w:i/>
          <w:iCs/>
          <w:color w:val="000000" w:themeColor="text1"/>
          <w:lang w:eastAsia="zh-CN"/>
        </w:rPr>
        <w:t xml:space="preserve"> denote the 5</w:t>
      </w:r>
      <w:r w:rsidR="00AE0549" w:rsidRPr="00A604A3">
        <w:rPr>
          <w:i/>
          <w:iCs/>
          <w:color w:val="000000" w:themeColor="text1"/>
          <w:vertAlign w:val="superscript"/>
          <w:lang w:eastAsia="zh-CN"/>
        </w:rPr>
        <w:t>th</w:t>
      </w:r>
      <w:r w:rsidR="00AE0549" w:rsidRPr="00A604A3">
        <w:rPr>
          <w:i/>
          <w:iCs/>
          <w:color w:val="000000" w:themeColor="text1"/>
          <w:lang w:eastAsia="zh-CN"/>
        </w:rPr>
        <w:t xml:space="preserve"> percentile </w:t>
      </w:r>
      <w:r w:rsidR="00AE0549" w:rsidRPr="00A604A3">
        <w:rPr>
          <w:i/>
          <w:iCs/>
          <w:lang w:eastAsia="zh-CN"/>
        </w:rPr>
        <w:t>user</w:t>
      </w:r>
      <w:r w:rsidR="00AE0549" w:rsidRPr="00A604A3">
        <w:rPr>
          <w:i/>
          <w:iCs/>
        </w:rPr>
        <w:t xml:space="preserve"> spectral efficiency</w:t>
      </w:r>
      <w:r w:rsidR="00AE0549" w:rsidRPr="00A604A3">
        <w:rPr>
          <w:i/>
          <w:iCs/>
          <w:lang w:eastAsia="zh-CN"/>
        </w:rPr>
        <w:t xml:space="preserve">. Then the user experienced data rate, </w:t>
      </w:r>
      <w:r w:rsidR="00AE0549" w:rsidRPr="00A604A3">
        <w:rPr>
          <w:i/>
          <w:iCs/>
        </w:rPr>
        <w:t>R</w:t>
      </w:r>
      <w:r w:rsidR="00AE0549" w:rsidRPr="00A604A3">
        <w:rPr>
          <w:i/>
          <w:iCs/>
          <w:vertAlign w:val="subscript"/>
        </w:rPr>
        <w:t>user</w:t>
      </w:r>
      <w:r w:rsidR="00AE0549" w:rsidRPr="00A604A3">
        <w:rPr>
          <w:i/>
          <w:iCs/>
        </w:rPr>
        <w:t xml:space="preserve"> </w:t>
      </w:r>
      <w:r w:rsidR="00AE0549" w:rsidRPr="00A604A3">
        <w:rPr>
          <w:i/>
          <w:iCs/>
          <w:lang w:eastAsia="zh-CN"/>
        </w:rPr>
        <w:t>is given by:</w:t>
      </w:r>
    </w:p>
    <w:p w:rsidR="00AE0549" w:rsidRPr="00A604A3" w:rsidRDefault="00AE0549" w:rsidP="00470885">
      <w:pPr>
        <w:pStyle w:val="Equation"/>
        <w:ind w:left="720"/>
        <w:rPr>
          <w:i/>
          <w:color w:val="000000" w:themeColor="text1"/>
          <w:lang w:eastAsia="zh-CN"/>
        </w:rPr>
      </w:pPr>
      <w:r w:rsidRPr="00A604A3">
        <w:rPr>
          <w:i/>
        </w:rPr>
        <w:tab/>
      </w:r>
      <w:r w:rsidRPr="00A604A3">
        <w:rPr>
          <w:i/>
        </w:rPr>
        <w:tab/>
        <w:t>R</w:t>
      </w:r>
      <w:r w:rsidRPr="00A604A3">
        <w:rPr>
          <w:i/>
          <w:vertAlign w:val="subscript"/>
        </w:rPr>
        <w:t>user</w:t>
      </w:r>
      <w:r w:rsidRPr="00A604A3">
        <w:rPr>
          <w:i/>
        </w:rPr>
        <w:t xml:space="preserve"> = W × SE</w:t>
      </w:r>
      <w:r w:rsidRPr="00A604A3">
        <w:rPr>
          <w:i/>
          <w:vertAlign w:val="subscript"/>
        </w:rPr>
        <w:t>user</w:t>
      </w:r>
      <w:r w:rsidRPr="00A604A3">
        <w:rPr>
          <w:i/>
          <w:color w:val="000000" w:themeColor="text1"/>
          <w:lang w:eastAsia="zh-CN"/>
        </w:rPr>
        <w:t xml:space="preserve"> </w:t>
      </w:r>
    </w:p>
    <w:p w:rsidR="00AE0549" w:rsidRPr="00A604A3" w:rsidRDefault="00E06D28" w:rsidP="00E06D28">
      <w:pPr>
        <w:pStyle w:val="enumlev1"/>
        <w:rPr>
          <w:i/>
          <w:iCs/>
          <w:color w:val="000000" w:themeColor="text1"/>
          <w:lang w:eastAsia="zh-CN"/>
        </w:rPr>
      </w:pPr>
      <w:r w:rsidRPr="00A604A3">
        <w:rPr>
          <w:i/>
          <w:iCs/>
        </w:rPr>
        <w:tab/>
      </w:r>
      <w:r w:rsidR="00AE0549" w:rsidRPr="00A604A3">
        <w:rPr>
          <w:i/>
          <w:iCs/>
        </w:rPr>
        <w:t>In case bandwidth is aggregated across multiple bands (one or more TRxP layers), the user experienced data rate will be summed over the bands.</w:t>
      </w:r>
    </w:p>
    <w:p w:rsidR="00AE0549" w:rsidRPr="00A604A3" w:rsidRDefault="00E06D28" w:rsidP="00E06D28">
      <w:pPr>
        <w:pStyle w:val="enumlev1"/>
        <w:rPr>
          <w:i/>
          <w:iCs/>
        </w:rPr>
      </w:pPr>
      <w:r w:rsidRPr="00A604A3">
        <w:rPr>
          <w:i/>
          <w:iCs/>
        </w:rPr>
        <w:lastRenderedPageBreak/>
        <w:tab/>
      </w:r>
      <w:r w:rsidR="00AE0549" w:rsidRPr="00A604A3">
        <w:rPr>
          <w:i/>
          <w:iCs/>
        </w:rPr>
        <w:t>This requirement is defined for the purpose of evaluation in the related eMBB test environment.</w:t>
      </w:r>
    </w:p>
    <w:p w:rsidR="00AE0549" w:rsidRPr="00A604A3" w:rsidRDefault="00E06D28" w:rsidP="00E06D28">
      <w:pPr>
        <w:pStyle w:val="enumlev1"/>
        <w:rPr>
          <w:i/>
          <w:iCs/>
          <w:lang w:eastAsia="zh-CN"/>
        </w:rPr>
      </w:pPr>
      <w:r w:rsidRPr="00A604A3">
        <w:rPr>
          <w:i/>
          <w:iCs/>
        </w:rPr>
        <w:tab/>
      </w:r>
      <w:r w:rsidR="00AE0549" w:rsidRPr="00A604A3">
        <w:rPr>
          <w:i/>
          <w:iCs/>
        </w:rPr>
        <w:t xml:space="preserve">The target values for the </w:t>
      </w:r>
      <w:r w:rsidR="00AE0549" w:rsidRPr="00A604A3">
        <w:rPr>
          <w:rFonts w:eastAsia="MS Mincho"/>
          <w:i/>
          <w:iCs/>
        </w:rPr>
        <w:t>user experienced data rate</w:t>
      </w:r>
      <w:r w:rsidR="00AE0549" w:rsidRPr="00A604A3">
        <w:rPr>
          <w:i/>
          <w:iCs/>
        </w:rPr>
        <w:t xml:space="preserve"> </w:t>
      </w:r>
      <w:r w:rsidR="00AE0549" w:rsidRPr="00A604A3">
        <w:rPr>
          <w:i/>
          <w:iCs/>
          <w:lang w:eastAsia="zh-CN"/>
        </w:rPr>
        <w:t xml:space="preserve">are as follows in the </w:t>
      </w:r>
      <w:r w:rsidR="00AE0549" w:rsidRPr="00A604A3">
        <w:rPr>
          <w:rFonts w:eastAsia="MS Mincho"/>
          <w:i/>
          <w:iCs/>
        </w:rPr>
        <w:t>Dense Urban – eMBB test environment</w:t>
      </w:r>
      <w:r w:rsidR="00AE0549" w:rsidRPr="00A604A3">
        <w:rPr>
          <w:i/>
          <w:iCs/>
          <w:lang w:eastAsia="zh-CN"/>
        </w:rPr>
        <w:t xml:space="preserve">: </w:t>
      </w:r>
    </w:p>
    <w:p w:rsidR="00AE0549" w:rsidRPr="00A604A3" w:rsidRDefault="00AE0549" w:rsidP="00B458FB">
      <w:pPr>
        <w:pStyle w:val="enumlev2"/>
        <w:rPr>
          <w:i/>
          <w:iCs/>
          <w:lang w:eastAsia="zh-CN"/>
        </w:rPr>
      </w:pPr>
      <w:r w:rsidRPr="00A604A3">
        <w:rPr>
          <w:i/>
          <w:iCs/>
          <w:lang w:eastAsia="zh-CN"/>
        </w:rPr>
        <w:t>–</w:t>
      </w:r>
      <w:r w:rsidRPr="00A604A3">
        <w:rPr>
          <w:i/>
          <w:iCs/>
          <w:lang w:eastAsia="zh-CN"/>
        </w:rPr>
        <w:tab/>
        <w:t xml:space="preserve">Downlink </w:t>
      </w:r>
      <w:r w:rsidRPr="00A604A3">
        <w:rPr>
          <w:i/>
          <w:iCs/>
        </w:rPr>
        <w:t xml:space="preserve">user experienced data rate </w:t>
      </w:r>
      <w:r w:rsidRPr="00A604A3">
        <w:rPr>
          <w:i/>
          <w:iCs/>
          <w:lang w:eastAsia="zh-CN"/>
        </w:rPr>
        <w:t xml:space="preserve">is 100 Mbit/s. </w:t>
      </w:r>
    </w:p>
    <w:p w:rsidR="00AE0549" w:rsidRPr="00A604A3" w:rsidRDefault="00AE0549" w:rsidP="00B458FB">
      <w:pPr>
        <w:pStyle w:val="enumlev2"/>
        <w:rPr>
          <w:i/>
          <w:iCs/>
          <w:lang w:eastAsia="zh-CN"/>
        </w:rPr>
      </w:pPr>
      <w:r w:rsidRPr="00A604A3">
        <w:rPr>
          <w:i/>
          <w:iCs/>
          <w:lang w:eastAsia="zh-CN"/>
        </w:rPr>
        <w:t>–</w:t>
      </w:r>
      <w:r w:rsidRPr="00A604A3">
        <w:rPr>
          <w:i/>
          <w:iCs/>
          <w:lang w:eastAsia="zh-CN"/>
        </w:rPr>
        <w:tab/>
        <w:t xml:space="preserve">Uplink </w:t>
      </w:r>
      <w:r w:rsidRPr="00A604A3">
        <w:rPr>
          <w:i/>
          <w:iCs/>
        </w:rPr>
        <w:t xml:space="preserve">user experienced data rate </w:t>
      </w:r>
      <w:r w:rsidRPr="00A604A3">
        <w:rPr>
          <w:i/>
          <w:iCs/>
          <w:lang w:eastAsia="zh-CN"/>
        </w:rPr>
        <w:t xml:space="preserve">is 50 Mbit/s. </w:t>
      </w:r>
    </w:p>
    <w:p w:rsidR="00AE0549" w:rsidRPr="00A604A3" w:rsidRDefault="00E06D28" w:rsidP="00E06D28">
      <w:pPr>
        <w:pStyle w:val="enumlev1"/>
        <w:rPr>
          <w:i/>
          <w:iCs/>
        </w:rPr>
      </w:pPr>
      <w:r w:rsidRPr="00A604A3">
        <w:rPr>
          <w:i/>
          <w:iCs/>
          <w:lang w:eastAsia="zh-CN"/>
        </w:rPr>
        <w:tab/>
      </w:r>
      <w:r w:rsidR="00AE0549" w:rsidRPr="00A604A3">
        <w:rPr>
          <w:i/>
          <w:iCs/>
          <w:lang w:eastAsia="zh-CN"/>
        </w:rPr>
        <w:t xml:space="preserve">These values are defined assuming supportable bandwidth </w:t>
      </w:r>
      <w:r w:rsidR="00AE0549" w:rsidRPr="00A604A3">
        <w:rPr>
          <w:rFonts w:eastAsia="Malgun Gothic"/>
          <w:i/>
          <w:iCs/>
          <w:lang w:eastAsia="ko-KR"/>
        </w:rPr>
        <w:t xml:space="preserve">as </w:t>
      </w:r>
      <w:r w:rsidR="00AE0549" w:rsidRPr="00A604A3">
        <w:rPr>
          <w:i/>
          <w:iCs/>
          <w:lang w:eastAsia="ko-KR"/>
        </w:rPr>
        <w:t>described in Report ITU-R M.2412-0 for each test environment</w:t>
      </w:r>
      <w:r w:rsidR="00AE0549" w:rsidRPr="00A604A3">
        <w:rPr>
          <w:rFonts w:eastAsia="Malgun Gothic"/>
          <w:i/>
          <w:iCs/>
          <w:lang w:eastAsia="ko-KR"/>
        </w:rPr>
        <w:t>. However, the bandwidth assumption does not form part of the requirement.</w:t>
      </w:r>
      <w:r w:rsidR="00AE0549" w:rsidRPr="00A604A3">
        <w:rPr>
          <w:i/>
          <w:iCs/>
        </w:rPr>
        <w:t xml:space="preserve"> The conditions for evaluation are described in Report ITU-R M.2412-0.</w:t>
      </w:r>
    </w:p>
    <w:p w:rsidR="00AE0549" w:rsidRPr="00A604A3" w:rsidRDefault="00AE0549" w:rsidP="00B458FB">
      <w:r w:rsidRPr="00A604A3">
        <w:t>According to [3], Section 7, the minimum requirements should be fulfilled by a RIT or jointly by different components of a SRIT. Hence, in the case of 3GPP’s proposal of both a pure 5G-NR RIT and an SRIT, where 5G-NR is augmented by an LTE component, it is sufficient to only verify, that the 5G RIT meets the minimum performance requirements. Accordingly, the evaluation for this and related KPIs analyzed by means of system-level simulation is restricted to 5G-NR RIT only. In the following “Source 1” and “Source 2” refer to the simulation assumptions in Annex B.</w:t>
      </w:r>
    </w:p>
    <w:p w:rsidR="00AE0549" w:rsidRPr="00A604A3" w:rsidRDefault="00B458FB" w:rsidP="00B458FB">
      <w:pPr>
        <w:pStyle w:val="Heading4"/>
        <w:rPr>
          <w:rFonts w:eastAsia="MS Mincho"/>
        </w:rPr>
      </w:pPr>
      <w:r w:rsidRPr="00A604A3">
        <w:rPr>
          <w:rFonts w:eastAsia="MS Mincho"/>
        </w:rPr>
        <w:t>II.5.3.1</w:t>
      </w:r>
      <w:r w:rsidRPr="00A604A3">
        <w:rPr>
          <w:rFonts w:eastAsia="MS Mincho"/>
        </w:rPr>
        <w:tab/>
        <w:t>Basic parameters</w:t>
      </w:r>
    </w:p>
    <w:p w:rsidR="00AE0549" w:rsidRPr="00A604A3" w:rsidRDefault="00AE0549" w:rsidP="00B458FB">
      <w:r w:rsidRPr="00A604A3">
        <w:t>As described above, the user experienced data rate is derived from the 5</w:t>
      </w:r>
      <w:r w:rsidRPr="00A604A3">
        <w:rPr>
          <w:vertAlign w:val="superscript"/>
        </w:rPr>
        <w:t>th</w:t>
      </w:r>
      <w:r w:rsidRPr="00A604A3">
        <w:t xml:space="preserve"> percentile user spectral efficiency, which is discussed in Section III-4.</w:t>
      </w:r>
    </w:p>
    <w:p w:rsidR="00AE0549" w:rsidRPr="00A604A3" w:rsidRDefault="00B458FB" w:rsidP="00B458FB">
      <w:pPr>
        <w:pStyle w:val="Heading4"/>
        <w:rPr>
          <w:rFonts w:eastAsia="MS Mincho"/>
        </w:rPr>
      </w:pPr>
      <w:r w:rsidRPr="00A604A3">
        <w:rPr>
          <w:rFonts w:eastAsia="MS Mincho"/>
        </w:rPr>
        <w:t>II.5.3.2</w:t>
      </w:r>
      <w:r w:rsidRPr="00A604A3">
        <w:rPr>
          <w:rFonts w:eastAsia="MS Mincho"/>
        </w:rPr>
        <w:tab/>
      </w:r>
      <w:r w:rsidR="00AE0549" w:rsidRPr="00A604A3">
        <w:rPr>
          <w:rFonts w:eastAsia="MS Mincho"/>
        </w:rPr>
        <w:t xml:space="preserve">5G NR Dense Urban – eMBB </w:t>
      </w:r>
    </w:p>
    <w:p w:rsidR="00AE0549" w:rsidRPr="00A604A3" w:rsidRDefault="00AE0549" w:rsidP="00B458FB">
      <w:pPr>
        <w:rPr>
          <w:rFonts w:eastAsia="MS Mincho"/>
        </w:rPr>
      </w:pPr>
      <w:r w:rsidRPr="00A604A3">
        <w:t xml:space="preserve">The evaluation of user experienced data rate is conducted for 5G NR TDD in Dense Urban – eMBB test environment. Both, FR1 and FR2 are considered. </w:t>
      </w:r>
      <w:r w:rsidRPr="00A604A3">
        <w:rPr>
          <w:rFonts w:eastAsia="MS Mincho"/>
        </w:rPr>
        <w:t>Detailed evaluation assumptions are based on 5</w:t>
      </w:r>
      <w:r w:rsidRPr="00A604A3">
        <w:rPr>
          <w:rFonts w:eastAsia="MS Mincho"/>
          <w:vertAlign w:val="superscript"/>
        </w:rPr>
        <w:t>th</w:t>
      </w:r>
      <w:r w:rsidRPr="00A604A3">
        <w:rPr>
          <w:rFonts w:eastAsia="MS Mincho"/>
        </w:rPr>
        <w:t xml:space="preserve"> percentile user spectral efficiency evaluation and can be found in [1], [2].</w:t>
      </w:r>
    </w:p>
    <w:p w:rsidR="00AE0549" w:rsidRPr="00A604A3" w:rsidRDefault="00B458FB" w:rsidP="00B458FB">
      <w:pPr>
        <w:pStyle w:val="Heading5"/>
        <w:rPr>
          <w:rFonts w:eastAsia="MS Mincho"/>
        </w:rPr>
      </w:pPr>
      <w:r w:rsidRPr="00A604A3">
        <w:rPr>
          <w:rFonts w:eastAsia="MS Mincho"/>
        </w:rPr>
        <w:t>II.5.3.2.1</w:t>
      </w:r>
      <w:r w:rsidRPr="00A604A3">
        <w:rPr>
          <w:rFonts w:eastAsia="MS Mincho"/>
        </w:rPr>
        <w:tab/>
      </w:r>
      <w:r w:rsidR="00AE0549" w:rsidRPr="00A604A3">
        <w:rPr>
          <w:rFonts w:eastAsia="MS Mincho"/>
        </w:rPr>
        <w:t>Evaluation configuration A (CF = 4 GHz)</w:t>
      </w:r>
    </w:p>
    <w:p w:rsidR="00AE0549" w:rsidRPr="00A604A3" w:rsidRDefault="00AE0549" w:rsidP="00B458FB">
      <w:pPr>
        <w:rPr>
          <w:rFonts w:eastAsia="MS Mincho"/>
        </w:rPr>
      </w:pPr>
      <w:r w:rsidRPr="00A604A3">
        <w:rPr>
          <w:rFonts w:eastAsia="MS Mincho"/>
        </w:rPr>
        <w:t>For Configuration A (single-band case), it is assumed that a component carrier of 40 MHz bandwidth is used for frame structure ‘DSUUD’. It is assumed that a component carrier of 40</w:t>
      </w:r>
      <w:r w:rsidR="00B458FB" w:rsidRPr="00A604A3">
        <w:rPr>
          <w:rFonts w:eastAsia="MS Mincho"/>
        </w:rPr>
        <w:t> </w:t>
      </w:r>
      <w:r w:rsidRPr="00A604A3">
        <w:rPr>
          <w:rFonts w:eastAsia="MS Mincho"/>
        </w:rPr>
        <w:t>MHz bandwidth for downlink and 100 MHz bandwidth for uplink is used for frame structure ‘DDDSU’. Additionally, carrier aggregation is applied to achieve the ITU-R requirement. The assumed aggregated system bandwidths in case of downlink and uplink are listed beside the evaluation results for NR TDD in Table 21 and Table 22.</w:t>
      </w:r>
    </w:p>
    <w:p w:rsidR="0084720C" w:rsidRPr="00A604A3" w:rsidRDefault="00EB545A" w:rsidP="00EB545A">
      <w:pPr>
        <w:pStyle w:val="TableNo"/>
        <w:rPr>
          <w:rFonts w:eastAsia="MS Mincho"/>
        </w:rPr>
      </w:pPr>
      <w:bookmarkStart w:id="115" w:name="_Ref22554943"/>
      <w:bookmarkStart w:id="116" w:name="_Toc27919511"/>
      <w:bookmarkStart w:id="117" w:name="_Toc28265675"/>
      <w:bookmarkStart w:id="118" w:name="_Toc28276910"/>
      <w:bookmarkStart w:id="119" w:name="_Ref31788462"/>
      <w:bookmarkStart w:id="120" w:name="_Toc32066296"/>
      <w:r w:rsidRPr="00A604A3">
        <w:rPr>
          <w:rFonts w:eastAsia="MS Mincho"/>
        </w:rPr>
        <w:t>Table 21</w:t>
      </w:r>
    </w:p>
    <w:p w:rsidR="00B458FB" w:rsidRPr="00A604A3" w:rsidRDefault="00B458FB" w:rsidP="0084720C">
      <w:pPr>
        <w:pStyle w:val="Tabletitle"/>
        <w:rPr>
          <w:rFonts w:eastAsia="MS Mincho"/>
        </w:rPr>
      </w:pPr>
      <w:r w:rsidRPr="00A604A3">
        <w:rPr>
          <w:rFonts w:eastAsia="MS Mincho"/>
        </w:rPr>
        <w:t xml:space="preserve">User experienced data rate for NR TDD with frame structure ‘DSUUD’ in Dense Urban – eMBB </w:t>
      </w:r>
      <w:r w:rsidR="00D70F63" w:rsidRPr="00A604A3">
        <w:rPr>
          <w:rFonts w:eastAsia="MS Mincho"/>
        </w:rPr>
        <w:br/>
      </w:r>
      <w:r w:rsidRPr="00A604A3">
        <w:rPr>
          <w:rFonts w:eastAsia="MS Mincho"/>
        </w:rPr>
        <w:t>Config. A</w:t>
      </w:r>
      <w:bookmarkEnd w:id="115"/>
      <w:bookmarkEnd w:id="116"/>
      <w:bookmarkEnd w:id="117"/>
      <w:bookmarkEnd w:id="118"/>
      <w:r w:rsidRPr="00A604A3">
        <w:rPr>
          <w:rFonts w:eastAsia="MS Mincho"/>
        </w:rPr>
        <w:t xml:space="preserve"> (Source 1)</w:t>
      </w:r>
      <w:bookmarkEnd w:id="119"/>
      <w:bookmarkEnd w:id="120"/>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jc w:val="center"/>
        </w:trPr>
        <w:tc>
          <w:tcPr>
            <w:tcW w:w="1152" w:type="dxa"/>
          </w:tcPr>
          <w:p w:rsidR="00AE0549" w:rsidRPr="00A604A3" w:rsidRDefault="00AE0549" w:rsidP="00D70F63">
            <w:pPr>
              <w:pStyle w:val="Tablehead"/>
            </w:pPr>
          </w:p>
        </w:tc>
        <w:tc>
          <w:tcPr>
            <w:tcW w:w="1872" w:type="dxa"/>
          </w:tcPr>
          <w:p w:rsidR="00AE0549" w:rsidRPr="00A604A3" w:rsidRDefault="00AE0549" w:rsidP="00D70F63">
            <w:pPr>
              <w:pStyle w:val="Tablehead"/>
            </w:pPr>
            <w:r w:rsidRPr="00A604A3">
              <w:t>System bandwidth [MHz]</w:t>
            </w:r>
          </w:p>
        </w:tc>
        <w:tc>
          <w:tcPr>
            <w:tcW w:w="1872" w:type="dxa"/>
          </w:tcPr>
          <w:p w:rsidR="00AE0549" w:rsidRPr="00A604A3" w:rsidRDefault="00AE0549" w:rsidP="00D70F63">
            <w:pPr>
              <w:pStyle w:val="Tablehead"/>
            </w:pPr>
            <w:r w:rsidRPr="00A604A3">
              <w:t>User exp. data rate [Mbit/s]</w:t>
            </w:r>
          </w:p>
        </w:tc>
        <w:tc>
          <w:tcPr>
            <w:tcW w:w="1872" w:type="dxa"/>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600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104.6</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800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52.29</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84720C" w:rsidRPr="00A604A3" w:rsidRDefault="0084720C" w:rsidP="00EB545A">
      <w:pPr>
        <w:pStyle w:val="Tablefin"/>
      </w:pPr>
      <w:bookmarkStart w:id="121" w:name="_Ref22551129"/>
      <w:bookmarkStart w:id="122" w:name="_Toc27919512"/>
      <w:bookmarkStart w:id="123" w:name="_Toc28265676"/>
      <w:bookmarkStart w:id="124" w:name="_Toc28276911"/>
      <w:bookmarkStart w:id="125" w:name="_Toc32066297"/>
    </w:p>
    <w:p w:rsidR="0084720C" w:rsidRPr="00A604A3" w:rsidRDefault="00EB545A" w:rsidP="00EB545A">
      <w:pPr>
        <w:pStyle w:val="TableNo"/>
        <w:rPr>
          <w:rFonts w:eastAsia="MS Mincho"/>
        </w:rPr>
      </w:pPr>
      <w:r w:rsidRPr="00A604A3">
        <w:rPr>
          <w:rFonts w:eastAsia="MS Mincho"/>
        </w:rPr>
        <w:lastRenderedPageBreak/>
        <w:t>table 22</w:t>
      </w:r>
    </w:p>
    <w:p w:rsidR="00B458FB" w:rsidRPr="00A604A3" w:rsidRDefault="00B458FB" w:rsidP="0084720C">
      <w:pPr>
        <w:pStyle w:val="Tabletitle"/>
        <w:rPr>
          <w:rFonts w:eastAsia="MS Mincho"/>
        </w:rPr>
      </w:pPr>
      <w:r w:rsidRPr="00A604A3">
        <w:rPr>
          <w:rFonts w:eastAsia="MS Mincho"/>
        </w:rPr>
        <w:t xml:space="preserve">User experienced data rate for NR TDD with frame structure ‘DDDSU’ in Dense Urban – eMBB </w:t>
      </w:r>
      <w:r w:rsidR="00D70F63" w:rsidRPr="00A604A3">
        <w:rPr>
          <w:rFonts w:eastAsia="MS Mincho"/>
        </w:rPr>
        <w:br/>
      </w:r>
      <w:r w:rsidRPr="00A604A3">
        <w:rPr>
          <w:rFonts w:eastAsia="MS Mincho"/>
        </w:rPr>
        <w:t>Config. A</w:t>
      </w:r>
      <w:bookmarkEnd w:id="121"/>
      <w:bookmarkEnd w:id="122"/>
      <w:bookmarkEnd w:id="123"/>
      <w:bookmarkEnd w:id="124"/>
      <w:r w:rsidRPr="00A604A3">
        <w:rPr>
          <w:rFonts w:eastAsia="MS Mincho"/>
        </w:rPr>
        <w:t xml:space="preserve"> (Source 2)</w:t>
      </w:r>
      <w:bookmarkEnd w:id="125"/>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cantSplit/>
          <w:jc w:val="center"/>
        </w:trPr>
        <w:tc>
          <w:tcPr>
            <w:tcW w:w="1152" w:type="dxa"/>
          </w:tcPr>
          <w:p w:rsidR="00AE0549" w:rsidRPr="00A604A3" w:rsidRDefault="00AE0549" w:rsidP="00D70F63">
            <w:pPr>
              <w:pStyle w:val="Tablehead"/>
            </w:pPr>
          </w:p>
        </w:tc>
        <w:tc>
          <w:tcPr>
            <w:tcW w:w="1872" w:type="dxa"/>
          </w:tcPr>
          <w:p w:rsidR="00AE0549" w:rsidRPr="00A604A3" w:rsidRDefault="00AE0549" w:rsidP="00D70F63">
            <w:pPr>
              <w:pStyle w:val="Tablehead"/>
            </w:pPr>
            <w:r w:rsidRPr="00A604A3">
              <w:t>System bandwidth [MHz]</w:t>
            </w:r>
          </w:p>
        </w:tc>
        <w:tc>
          <w:tcPr>
            <w:tcW w:w="1872" w:type="dxa"/>
          </w:tcPr>
          <w:p w:rsidR="00AE0549" w:rsidRPr="00A604A3" w:rsidRDefault="00AE0549" w:rsidP="00D70F63">
            <w:pPr>
              <w:pStyle w:val="Tablehead"/>
            </w:pPr>
            <w:r w:rsidRPr="00A604A3">
              <w:t>User exp. data rate [Mbit/s]</w:t>
            </w:r>
          </w:p>
        </w:tc>
        <w:tc>
          <w:tcPr>
            <w:tcW w:w="1872" w:type="dxa"/>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cantSplit/>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320</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111.45</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cantSplit/>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900</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54.64</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AE0549" w:rsidRPr="00A604A3" w:rsidRDefault="00AE0549" w:rsidP="00D70F63">
      <w:pPr>
        <w:pStyle w:val="Tablefin"/>
      </w:pPr>
    </w:p>
    <w:p w:rsidR="00AE0549" w:rsidRPr="00A604A3" w:rsidRDefault="00AE0549" w:rsidP="00470885">
      <w:pPr>
        <w:spacing w:before="0" w:after="120"/>
        <w:rPr>
          <w:rFonts w:eastAsia="MS Mincho"/>
        </w:rPr>
      </w:pPr>
      <w:r w:rsidRPr="00A604A3">
        <w:rPr>
          <w:rFonts w:eastAsia="MS Mincho"/>
        </w:rPr>
        <w:t>Table 23 and Table 24 show the results for NR FDD from two different contributions.</w:t>
      </w:r>
    </w:p>
    <w:p w:rsidR="0084720C" w:rsidRPr="00A604A3" w:rsidRDefault="00D70F63" w:rsidP="00D70F63">
      <w:pPr>
        <w:pStyle w:val="TableNo"/>
        <w:rPr>
          <w:rFonts w:eastAsia="MS Mincho"/>
        </w:rPr>
      </w:pPr>
      <w:bookmarkStart w:id="126" w:name="_Ref25412181"/>
      <w:bookmarkStart w:id="127" w:name="_Toc27919513"/>
      <w:bookmarkStart w:id="128" w:name="_Toc28265677"/>
      <w:bookmarkStart w:id="129" w:name="_Toc28276912"/>
      <w:bookmarkStart w:id="130" w:name="_Toc32066298"/>
      <w:r w:rsidRPr="00A604A3">
        <w:rPr>
          <w:rFonts w:eastAsia="MS Mincho"/>
        </w:rPr>
        <w:t>Table 23</w:t>
      </w:r>
    </w:p>
    <w:p w:rsidR="00B458FB" w:rsidRPr="00A604A3" w:rsidRDefault="00B458FB" w:rsidP="0084720C">
      <w:pPr>
        <w:pStyle w:val="Tabletitle"/>
        <w:rPr>
          <w:rFonts w:eastAsia="MS Mincho"/>
        </w:rPr>
      </w:pPr>
      <w:r w:rsidRPr="00A604A3">
        <w:rPr>
          <w:rFonts w:eastAsia="MS Mincho"/>
        </w:rPr>
        <w:t>User experienced data rate for NR FDD in Dense Urban – eMBB Config. A</w:t>
      </w:r>
      <w:bookmarkEnd w:id="126"/>
      <w:bookmarkEnd w:id="127"/>
      <w:bookmarkEnd w:id="128"/>
      <w:bookmarkEnd w:id="129"/>
      <w:r w:rsidRPr="00A604A3">
        <w:rPr>
          <w:rFonts w:eastAsia="MS Mincho"/>
        </w:rPr>
        <w:t xml:space="preserve"> (Source 1)</w:t>
      </w:r>
      <w:bookmarkEnd w:id="130"/>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cantSplit/>
          <w:jc w:val="center"/>
        </w:trPr>
        <w:tc>
          <w:tcPr>
            <w:tcW w:w="1152" w:type="dxa"/>
            <w:vAlign w:val="center"/>
          </w:tcPr>
          <w:p w:rsidR="00AE0549" w:rsidRPr="00A604A3" w:rsidRDefault="00AE0549" w:rsidP="00D70F63">
            <w:pPr>
              <w:pStyle w:val="Tablehead"/>
            </w:pPr>
          </w:p>
        </w:tc>
        <w:tc>
          <w:tcPr>
            <w:tcW w:w="1872" w:type="dxa"/>
            <w:vAlign w:val="center"/>
          </w:tcPr>
          <w:p w:rsidR="00AE0549" w:rsidRPr="00A604A3" w:rsidRDefault="00AE0549" w:rsidP="00D70F63">
            <w:pPr>
              <w:pStyle w:val="Tablehead"/>
            </w:pPr>
            <w:r w:rsidRPr="00A604A3">
              <w:t>System bandwidth [MHz]</w:t>
            </w:r>
          </w:p>
        </w:tc>
        <w:tc>
          <w:tcPr>
            <w:tcW w:w="1872" w:type="dxa"/>
            <w:vAlign w:val="center"/>
          </w:tcPr>
          <w:p w:rsidR="00AE0549" w:rsidRPr="00A604A3" w:rsidRDefault="00AE0549" w:rsidP="00D70F63">
            <w:pPr>
              <w:pStyle w:val="Tablehead"/>
            </w:pPr>
            <w:r w:rsidRPr="00A604A3">
              <w:t>User exp. data rate [Mbit/s]</w:t>
            </w:r>
          </w:p>
        </w:tc>
        <w:tc>
          <w:tcPr>
            <w:tcW w:w="1872" w:type="dxa"/>
            <w:vAlign w:val="center"/>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cantSplit/>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400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103.37</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cantSplit/>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680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51.0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84720C" w:rsidRPr="00A604A3" w:rsidRDefault="0084720C" w:rsidP="00D70F63">
      <w:pPr>
        <w:pStyle w:val="Tablefin"/>
      </w:pPr>
      <w:bookmarkStart w:id="131" w:name="_Ref25433384"/>
      <w:bookmarkStart w:id="132" w:name="_Toc27919514"/>
      <w:bookmarkStart w:id="133" w:name="_Toc28265678"/>
      <w:bookmarkStart w:id="134" w:name="_Toc28276913"/>
      <w:bookmarkStart w:id="135" w:name="_Toc32066299"/>
    </w:p>
    <w:p w:rsidR="0084720C" w:rsidRPr="00A604A3" w:rsidRDefault="00D70F63" w:rsidP="00D70F63">
      <w:pPr>
        <w:pStyle w:val="TableNo"/>
        <w:rPr>
          <w:rFonts w:eastAsia="MS Mincho"/>
        </w:rPr>
      </w:pPr>
      <w:r w:rsidRPr="00A604A3">
        <w:rPr>
          <w:rFonts w:eastAsia="MS Mincho"/>
        </w:rPr>
        <w:t>Table 24</w:t>
      </w:r>
    </w:p>
    <w:p w:rsidR="00B458FB" w:rsidRPr="00A604A3" w:rsidRDefault="00B458FB" w:rsidP="0084720C">
      <w:pPr>
        <w:pStyle w:val="Tabletitle"/>
        <w:rPr>
          <w:rFonts w:eastAsia="MS Mincho"/>
        </w:rPr>
      </w:pPr>
      <w:r w:rsidRPr="00A604A3">
        <w:rPr>
          <w:rFonts w:eastAsia="MS Mincho"/>
        </w:rPr>
        <w:t>User experienced data rate for NR FDD in Dense Urban – eMBB Config. A</w:t>
      </w:r>
      <w:bookmarkEnd w:id="131"/>
      <w:bookmarkEnd w:id="132"/>
      <w:bookmarkEnd w:id="133"/>
      <w:bookmarkEnd w:id="134"/>
      <w:r w:rsidRPr="00A604A3">
        <w:rPr>
          <w:rFonts w:eastAsia="MS Mincho"/>
        </w:rPr>
        <w:t xml:space="preserve"> (Source 2)</w:t>
      </w:r>
      <w:bookmarkEnd w:id="135"/>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jc w:val="center"/>
        </w:trPr>
        <w:tc>
          <w:tcPr>
            <w:tcW w:w="1152" w:type="dxa"/>
            <w:vAlign w:val="center"/>
          </w:tcPr>
          <w:p w:rsidR="00AE0549" w:rsidRPr="00A604A3" w:rsidRDefault="00AE0549" w:rsidP="00D70F63">
            <w:pPr>
              <w:pStyle w:val="Tablehead"/>
            </w:pPr>
          </w:p>
        </w:tc>
        <w:tc>
          <w:tcPr>
            <w:tcW w:w="1872" w:type="dxa"/>
            <w:vAlign w:val="center"/>
          </w:tcPr>
          <w:p w:rsidR="00AE0549" w:rsidRPr="00A604A3" w:rsidRDefault="00AE0549" w:rsidP="00D70F63">
            <w:pPr>
              <w:pStyle w:val="Tablehead"/>
            </w:pPr>
            <w:r w:rsidRPr="00A604A3">
              <w:t>System bandwidth [MHz]</w:t>
            </w:r>
          </w:p>
        </w:tc>
        <w:tc>
          <w:tcPr>
            <w:tcW w:w="1872" w:type="dxa"/>
            <w:vAlign w:val="center"/>
          </w:tcPr>
          <w:p w:rsidR="00AE0549" w:rsidRPr="00A604A3" w:rsidRDefault="00AE0549" w:rsidP="00D70F63">
            <w:pPr>
              <w:pStyle w:val="Tablehead"/>
            </w:pPr>
            <w:r w:rsidRPr="00A604A3">
              <w:t>User exp. data rate [Mbit/s]</w:t>
            </w:r>
          </w:p>
        </w:tc>
        <w:tc>
          <w:tcPr>
            <w:tcW w:w="1872" w:type="dxa"/>
            <w:vAlign w:val="center"/>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240</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103.2</w:t>
            </w:r>
          </w:p>
        </w:tc>
        <w:tc>
          <w:tcPr>
            <w:tcW w:w="1872" w:type="dxa"/>
          </w:tcPr>
          <w:p w:rsidR="00AE0549" w:rsidRPr="00A604A3" w:rsidRDefault="00AE0549" w:rsidP="00E83D13">
            <w:pPr>
              <w:pStyle w:val="Tabletext"/>
              <w:jc w:val="center"/>
              <w:rPr>
                <w:rFonts w:eastAsia="Calibri"/>
                <w:kern w:val="24"/>
              </w:rPr>
            </w:pPr>
            <w:r w:rsidRPr="00A604A3">
              <w:rPr>
                <w:rFonts w:eastAsia="Calibri"/>
                <w:kern w:val="24"/>
              </w:rPr>
              <w:t>100</w:t>
            </w:r>
          </w:p>
        </w:tc>
      </w:tr>
      <w:tr w:rsidR="00AE0549" w:rsidRPr="00A604A3" w:rsidTr="00D70F63">
        <w:trPr>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160</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59.2</w:t>
            </w:r>
          </w:p>
        </w:tc>
        <w:tc>
          <w:tcPr>
            <w:tcW w:w="1872" w:type="dxa"/>
          </w:tcPr>
          <w:p w:rsidR="00AE0549" w:rsidRPr="00A604A3" w:rsidRDefault="00AE0549" w:rsidP="00E83D13">
            <w:pPr>
              <w:pStyle w:val="Tabletext"/>
              <w:jc w:val="center"/>
              <w:rPr>
                <w:rFonts w:eastAsia="Calibri"/>
                <w:kern w:val="24"/>
              </w:rPr>
            </w:pPr>
            <w:r w:rsidRPr="00A604A3">
              <w:rPr>
                <w:rFonts w:eastAsia="Calibri"/>
                <w:kern w:val="24"/>
              </w:rPr>
              <w:t>50</w:t>
            </w:r>
          </w:p>
        </w:tc>
      </w:tr>
    </w:tbl>
    <w:p w:rsidR="00AE0549" w:rsidRPr="00A604A3" w:rsidRDefault="00AE0549" w:rsidP="00D70F63">
      <w:pPr>
        <w:pStyle w:val="Tablefin"/>
      </w:pPr>
    </w:p>
    <w:p w:rsidR="00AE0549" w:rsidRPr="00A604A3" w:rsidRDefault="00AE0549" w:rsidP="00E83D13">
      <w:pPr>
        <w:rPr>
          <w:rFonts w:eastAsia="MS Mincho"/>
        </w:rPr>
      </w:pPr>
      <w:r w:rsidRPr="00A604A3">
        <w:rPr>
          <w:rFonts w:eastAsia="MS Mincho"/>
        </w:rPr>
        <w:t>It is observed that NR TDD and FDD meet the downlink and uplink user experienced data rate requirements for Dense Urban – eMBB test environment in Configuration A.</w:t>
      </w:r>
    </w:p>
    <w:p w:rsidR="00AE0549" w:rsidRPr="00A604A3" w:rsidRDefault="0077118E" w:rsidP="0077118E">
      <w:pPr>
        <w:pStyle w:val="Heading5"/>
        <w:rPr>
          <w:rFonts w:eastAsia="MS Mincho"/>
        </w:rPr>
      </w:pPr>
      <w:bookmarkStart w:id="136" w:name="_Ref29973750"/>
      <w:r w:rsidRPr="00A604A3">
        <w:rPr>
          <w:rFonts w:eastAsia="MS Mincho"/>
        </w:rPr>
        <w:t>II.5.3.2.2</w:t>
      </w:r>
      <w:r w:rsidRPr="00A604A3">
        <w:rPr>
          <w:rFonts w:eastAsia="MS Mincho"/>
        </w:rPr>
        <w:tab/>
      </w:r>
      <w:r w:rsidR="00AE0549" w:rsidRPr="00A604A3">
        <w:rPr>
          <w:rFonts w:eastAsia="MS Mincho"/>
        </w:rPr>
        <w:t>Evaluation configuration B (CF = 30 GHz)</w:t>
      </w:r>
      <w:bookmarkEnd w:id="136"/>
    </w:p>
    <w:p w:rsidR="00AE0549" w:rsidRPr="00A604A3" w:rsidRDefault="00AE0549" w:rsidP="0077118E">
      <w:pPr>
        <w:rPr>
          <w:rFonts w:eastAsia="MS Mincho"/>
        </w:rPr>
      </w:pPr>
      <w:bookmarkStart w:id="137" w:name="_Ref11767763"/>
      <w:r w:rsidRPr="00A604A3">
        <w:rPr>
          <w:rFonts w:eastAsia="SimSun"/>
          <w:szCs w:val="24"/>
          <w:lang w:eastAsia="zh-CN"/>
        </w:rPr>
        <w:t xml:space="preserve">For Configuration B, it is assumed that a component carrier of 200 MHz is used. </w:t>
      </w:r>
      <w:r w:rsidRPr="00A604A3">
        <w:rPr>
          <w:rFonts w:eastAsia="MS Mincho"/>
        </w:rPr>
        <w:t>Additionally, carrier aggregation is applied to achieve the ITU-R requirement. The assumed aggregated system bandwidths in case of downlink and uplink are listed beside the evaluation results in Table 25.</w:t>
      </w:r>
    </w:p>
    <w:p w:rsidR="0077118E" w:rsidRPr="00A604A3" w:rsidRDefault="0077118E" w:rsidP="0077118E">
      <w:pPr>
        <w:pStyle w:val="Tabletitle"/>
        <w:rPr>
          <w:rFonts w:eastAsia="MS Mincho"/>
        </w:rPr>
      </w:pPr>
      <w:r w:rsidRPr="00A604A3">
        <w:rPr>
          <w:rFonts w:eastAsia="MS Mincho"/>
        </w:rPr>
        <w:t xml:space="preserve">User experienced data rate for NR TDD with frame structure ‘DSUUD’ in Dense Urban – eMBB </w:t>
      </w:r>
      <w:r w:rsidRPr="00A604A3">
        <w:rPr>
          <w:rFonts w:eastAsia="MS Mincho"/>
        </w:rPr>
        <w:br/>
        <w:t>Config. B (Source 1)</w:t>
      </w:r>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77118E">
        <w:trPr>
          <w:jc w:val="center"/>
        </w:trPr>
        <w:tc>
          <w:tcPr>
            <w:tcW w:w="1152" w:type="dxa"/>
          </w:tcPr>
          <w:p w:rsidR="00AE0549" w:rsidRPr="00A604A3" w:rsidRDefault="00AE0549" w:rsidP="0077118E">
            <w:pPr>
              <w:pStyle w:val="Tablehead"/>
            </w:pPr>
          </w:p>
        </w:tc>
        <w:tc>
          <w:tcPr>
            <w:tcW w:w="1872" w:type="dxa"/>
          </w:tcPr>
          <w:p w:rsidR="00AE0549" w:rsidRPr="00A604A3" w:rsidRDefault="00AE0549" w:rsidP="0077118E">
            <w:pPr>
              <w:pStyle w:val="Tablehead"/>
            </w:pPr>
            <w:r w:rsidRPr="00A604A3">
              <w:t>System bandwidth [MHz]</w:t>
            </w:r>
          </w:p>
        </w:tc>
        <w:tc>
          <w:tcPr>
            <w:tcW w:w="1872" w:type="dxa"/>
          </w:tcPr>
          <w:p w:rsidR="00AE0549" w:rsidRPr="00A604A3" w:rsidRDefault="00AE0549" w:rsidP="0077118E">
            <w:pPr>
              <w:pStyle w:val="Tablehead"/>
            </w:pPr>
            <w:r w:rsidRPr="00A604A3">
              <w:t>User exp. data rate [Mbit/s]</w:t>
            </w:r>
          </w:p>
        </w:tc>
        <w:tc>
          <w:tcPr>
            <w:tcW w:w="1872" w:type="dxa"/>
          </w:tcPr>
          <w:p w:rsidR="00AE0549" w:rsidRPr="00A604A3" w:rsidRDefault="00AE0549" w:rsidP="0077118E">
            <w:pPr>
              <w:pStyle w:val="Tablehead"/>
              <w:rPr>
                <w:rFonts w:eastAsia="SimSun"/>
                <w:bCs/>
                <w:lang w:eastAsia="zh-CN"/>
              </w:rPr>
            </w:pPr>
            <w:r w:rsidRPr="00A604A3">
              <w:rPr>
                <w:rFonts w:eastAsia="SimSun"/>
                <w:lang w:eastAsia="zh-CN"/>
              </w:rPr>
              <w:t>Requirement [Mbit/s]</w:t>
            </w:r>
          </w:p>
        </w:tc>
      </w:tr>
      <w:tr w:rsidR="00AE0549" w:rsidRPr="00A604A3" w:rsidTr="0077118E">
        <w:trPr>
          <w:jc w:val="center"/>
        </w:trPr>
        <w:tc>
          <w:tcPr>
            <w:tcW w:w="1152" w:type="dxa"/>
          </w:tcPr>
          <w:p w:rsidR="00AE0549" w:rsidRPr="00A604A3" w:rsidRDefault="00AE0549" w:rsidP="0077118E">
            <w:pPr>
              <w:pStyle w:val="Tabletext"/>
            </w:pPr>
            <w:r w:rsidRPr="00A604A3">
              <w:t>Downlink</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3</w:t>
            </w:r>
            <w:r w:rsidR="002666F6" w:rsidRPr="00A604A3">
              <w:rPr>
                <w:rFonts w:eastAsia="Calibri"/>
                <w:kern w:val="24"/>
              </w:rPr>
              <w:t> </w:t>
            </w:r>
            <w:r w:rsidRPr="00A604A3">
              <w:rPr>
                <w:rFonts w:eastAsia="Calibri"/>
                <w:kern w:val="24"/>
              </w:rPr>
              <w:t>200</w:t>
            </w:r>
          </w:p>
        </w:tc>
        <w:tc>
          <w:tcPr>
            <w:tcW w:w="1872" w:type="dxa"/>
          </w:tcPr>
          <w:p w:rsidR="00AE0549" w:rsidRPr="00A604A3" w:rsidRDefault="00AE0549" w:rsidP="0077118E">
            <w:pPr>
              <w:pStyle w:val="Tabletext"/>
              <w:jc w:val="center"/>
              <w:rPr>
                <w:rFonts w:eastAsia="Calibri"/>
                <w:color w:val="FF0000"/>
                <w:kern w:val="24"/>
              </w:rPr>
            </w:pPr>
            <w:r w:rsidRPr="00A604A3">
              <w:rPr>
                <w:rFonts w:eastAsia="Calibri"/>
                <w:color w:val="FF0000"/>
                <w:kern w:val="24"/>
              </w:rPr>
              <w:t>2.0</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100</w:t>
            </w:r>
          </w:p>
        </w:tc>
      </w:tr>
      <w:tr w:rsidR="00AE0549" w:rsidRPr="00A604A3" w:rsidTr="0077118E">
        <w:trPr>
          <w:jc w:val="center"/>
        </w:trPr>
        <w:tc>
          <w:tcPr>
            <w:tcW w:w="1152" w:type="dxa"/>
          </w:tcPr>
          <w:p w:rsidR="00AE0549" w:rsidRPr="00A604A3" w:rsidRDefault="00AE0549" w:rsidP="0077118E">
            <w:pPr>
              <w:pStyle w:val="Tabletext"/>
            </w:pPr>
            <w:r w:rsidRPr="00A604A3">
              <w:t>Uplink</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3</w:t>
            </w:r>
            <w:r w:rsidR="002666F6" w:rsidRPr="00A604A3">
              <w:rPr>
                <w:rFonts w:eastAsia="Calibri"/>
                <w:kern w:val="24"/>
              </w:rPr>
              <w:t> </w:t>
            </w:r>
            <w:r w:rsidRPr="00A604A3">
              <w:rPr>
                <w:rFonts w:eastAsia="Calibri"/>
                <w:kern w:val="24"/>
              </w:rPr>
              <w:t>200</w:t>
            </w:r>
          </w:p>
        </w:tc>
        <w:tc>
          <w:tcPr>
            <w:tcW w:w="1872" w:type="dxa"/>
          </w:tcPr>
          <w:p w:rsidR="00AE0549" w:rsidRPr="00A604A3" w:rsidRDefault="00AE0549" w:rsidP="0077118E">
            <w:pPr>
              <w:pStyle w:val="Tabletext"/>
              <w:jc w:val="center"/>
              <w:rPr>
                <w:rFonts w:eastAsia="Calibri"/>
                <w:color w:val="FF0000"/>
                <w:kern w:val="24"/>
              </w:rPr>
            </w:pPr>
            <w:r w:rsidRPr="00A604A3">
              <w:rPr>
                <w:rFonts w:eastAsia="Calibri"/>
                <w:color w:val="FF0000"/>
                <w:kern w:val="24"/>
              </w:rPr>
              <w:t>2.13</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50</w:t>
            </w:r>
          </w:p>
        </w:tc>
      </w:tr>
    </w:tbl>
    <w:p w:rsidR="00AE0549" w:rsidRPr="00A604A3" w:rsidRDefault="00AE0549" w:rsidP="002666F6">
      <w:pPr>
        <w:pStyle w:val="Tablefin"/>
      </w:pPr>
    </w:p>
    <w:bookmarkEnd w:id="137"/>
    <w:p w:rsidR="00AE0549" w:rsidRPr="00A604A3" w:rsidRDefault="00AE0549" w:rsidP="002666F6">
      <w:r w:rsidRPr="00A604A3">
        <w:t>It is observed that NR TDD neither meets the downlink nor the uplink ITU-R requirements in terms of user experienced data rate for Dense Urban – eMBB test environment in Configuration B. This is due to the fact that already the 5</w:t>
      </w:r>
      <w:r w:rsidRPr="00A604A3">
        <w:rPr>
          <w:vertAlign w:val="superscript"/>
        </w:rPr>
        <w:t>th</w:t>
      </w:r>
      <w:r w:rsidRPr="00A604A3">
        <w:t xml:space="preserve"> percentile user requirement is by far not fulfilled, see Section III-4.2.2.2. The reason for this lies in the insufficient outdoor-to-</w:t>
      </w:r>
      <w:r w:rsidRPr="00A604A3">
        <w:lastRenderedPageBreak/>
        <w:t xml:space="preserve">indoor link budget for users in buildings with high penetration loss. Here, inter-cell interference is not the limiting factor, but noise based on a limited transmit power budget of communication devices in both uplink and downlink. Considering the CDF of geometry received during the calibration process, see Figure 14 in [13], which is also reproduced as Figure 1 herein, this does not seem to be all that surprising because there are geometry values down to </w:t>
      </w:r>
      <w:r w:rsidR="002666F6" w:rsidRPr="00A604A3">
        <w:t>−</w:t>
      </w:r>
      <w:r w:rsidRPr="00A604A3">
        <w:t>30 dB. Besides, it is general knowledge that for large frequencies the penetration loss and pathloss is significantly higher and therefore it is difficult to achieve high spectral efficiency in scenarios with outdoor-to-indoor coverage.</w:t>
      </w:r>
    </w:p>
    <w:p w:rsidR="002666F6" w:rsidRPr="00A604A3" w:rsidRDefault="002666F6" w:rsidP="002666F6">
      <w:pPr>
        <w:pStyle w:val="FigureNo"/>
      </w:pPr>
      <w:bookmarkStart w:id="138" w:name="_Ref28266217"/>
      <w:r w:rsidRPr="00A604A3">
        <w:t>Figure 1</w:t>
      </w:r>
    </w:p>
    <w:p w:rsidR="002666F6" w:rsidRPr="00A604A3" w:rsidRDefault="002666F6" w:rsidP="002666F6">
      <w:pPr>
        <w:pStyle w:val="Figuretitle"/>
        <w:rPr>
          <w:noProof w:val="0"/>
          <w:lang w:val="en-GB"/>
        </w:rPr>
      </w:pPr>
      <w:r w:rsidRPr="00A604A3">
        <w:rPr>
          <w:noProof w:val="0"/>
          <w:lang w:val="en-GB"/>
        </w:rPr>
        <w:t>Distribution of WB-SINR for Urban Config B, see Figure 14 of [13]</w:t>
      </w:r>
      <w:bookmarkEnd w:id="138"/>
    </w:p>
    <w:p w:rsidR="00AE0549" w:rsidRPr="00A604A3" w:rsidRDefault="00AE0549" w:rsidP="002666F6">
      <w:pPr>
        <w:pStyle w:val="Figure"/>
        <w:rPr>
          <w:noProof w:val="0"/>
        </w:rPr>
      </w:pPr>
      <w:r w:rsidRPr="00A604A3">
        <w:drawing>
          <wp:inline distT="0" distB="0" distL="0" distR="0" wp14:anchorId="64A04845" wp14:editId="74016D6F">
            <wp:extent cx="3581400" cy="27432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1400" cy="2743200"/>
                    </a:xfrm>
                    <a:prstGeom prst="rect">
                      <a:avLst/>
                    </a:prstGeom>
                  </pic:spPr>
                </pic:pic>
              </a:graphicData>
            </a:graphic>
          </wp:inline>
        </w:drawing>
      </w:r>
    </w:p>
    <w:p w:rsidR="00AE0549" w:rsidRPr="00A604A3" w:rsidRDefault="00AE0549" w:rsidP="002666F6">
      <w:pPr>
        <w:rPr>
          <w:rFonts w:eastAsia="SimSun"/>
          <w:lang w:eastAsia="zh-CN"/>
        </w:rPr>
      </w:pPr>
      <w:r w:rsidRPr="00A604A3">
        <w:rPr>
          <w:rFonts w:eastAsia="SimSun"/>
          <w:lang w:eastAsia="zh-CN"/>
        </w:rPr>
        <w:t>However, this is not considered to result in the 3GPP proposal failing to meet the ITU-R requirements for the dense urban scenario, since it is stated in [3], Section 8.4, that for test environments with multiple test configurations, a RIT/SRIT is considered to be in fulfillment of the requirements for this test environment, if the requirements are met in at least one of the test configurations.</w:t>
      </w:r>
    </w:p>
    <w:p w:rsidR="00AE0549" w:rsidRPr="00A604A3" w:rsidRDefault="002666F6" w:rsidP="002666F6">
      <w:pPr>
        <w:pStyle w:val="Heading5"/>
        <w:rPr>
          <w:rFonts w:eastAsia="MS Mincho"/>
        </w:rPr>
      </w:pPr>
      <w:r w:rsidRPr="00A604A3">
        <w:rPr>
          <w:rFonts w:eastAsia="MS Mincho"/>
        </w:rPr>
        <w:t>II.5.3.2.3</w:t>
      </w:r>
      <w:r w:rsidRPr="00A604A3">
        <w:rPr>
          <w:rFonts w:eastAsia="MS Mincho"/>
        </w:rPr>
        <w:tab/>
      </w:r>
      <w:r w:rsidR="00AE0549" w:rsidRPr="00A604A3">
        <w:rPr>
          <w:rFonts w:eastAsia="MS Mincho"/>
        </w:rPr>
        <w:t xml:space="preserve">Evaluation configuration C </w:t>
      </w:r>
    </w:p>
    <w:p w:rsidR="00AE0549" w:rsidRPr="00A604A3" w:rsidRDefault="00AE0549" w:rsidP="002666F6">
      <w:pPr>
        <w:rPr>
          <w:lang w:eastAsia="zh-CN"/>
        </w:rPr>
      </w:pPr>
      <w:r w:rsidRPr="00A604A3">
        <w:rPr>
          <w:lang w:eastAsia="zh-CN"/>
        </w:rPr>
        <w:t>For evaluation configuration C (multi-band), the system-level simulation is employed to evaluate the uplink user experienced data rate, where a TDD band on 30 GHz and a supplementary uplink (SUL) band on 4 GHz are used. In the evaluation, approximately 50</w:t>
      </w:r>
      <w:r w:rsidR="00AA0B2B">
        <w:rPr>
          <w:lang w:eastAsia="zh-CN"/>
        </w:rPr>
        <w:t>%</w:t>
      </w:r>
      <w:r w:rsidRPr="00A604A3">
        <w:rPr>
          <w:lang w:eastAsia="zh-CN"/>
        </w:rPr>
        <w:t xml:space="preserve"> users with lower reference signal received power on TDD band (below -106 dBm) are offloaded to SUL band. The evaluation results of TDD+SUL bands are provided in Table 26 (Source 1) and Table 27 (Source 2).</w:t>
      </w:r>
    </w:p>
    <w:p w:rsidR="00AE0549" w:rsidRPr="00A604A3" w:rsidRDefault="00AE0549" w:rsidP="002666F6">
      <w:pPr>
        <w:rPr>
          <w:lang w:eastAsia="zh-CN"/>
        </w:rPr>
      </w:pPr>
      <w:r w:rsidRPr="00A604A3">
        <w:rPr>
          <w:lang w:eastAsia="zh-CN"/>
        </w:rPr>
        <w:t xml:space="preserve">In the evaluation, the subcarrier spacing with 15 kHz and a component carrier with 20 MHz are assumed in SUL band using FDD. In TDD band, the subcarrier space with 60 kHz and a component carrier with 80 MHz (Source 1) and 200 MHz (Source 2) are assumed. For Source 1 on each carrier, the simulation parameters shown in Annex B for Dense Urban configuration A and B were used for the carriers at 4 GHz and 30 GHz, respectively. For Source 2, simulation parameters are listed in Annex B. To meet the required user experienced data rate, multiple component carriers on either TDD band or SUL band are aggregated. The </w:t>
      </w:r>
      <w:r w:rsidRPr="00A604A3">
        <w:rPr>
          <w:lang w:eastAsia="zh-CN"/>
        </w:rPr>
        <w:lastRenderedPageBreak/>
        <w:t>required aggregated system bandwidth is given in Table 26 (Source 1) and Table 27 (Source 2).</w:t>
      </w:r>
    </w:p>
    <w:p w:rsidR="002666F6" w:rsidRPr="00A604A3" w:rsidRDefault="002666F6" w:rsidP="002666F6">
      <w:pPr>
        <w:pStyle w:val="TableNo"/>
        <w:rPr>
          <w:rFonts w:eastAsia="MS Mincho"/>
        </w:rPr>
      </w:pPr>
      <w:bookmarkStart w:id="139" w:name="_Ref31714931"/>
      <w:bookmarkStart w:id="140" w:name="_Toc32066303"/>
      <w:r w:rsidRPr="00A604A3">
        <w:rPr>
          <w:rFonts w:eastAsia="MS Mincho"/>
        </w:rPr>
        <w:t>table 26</w:t>
      </w:r>
    </w:p>
    <w:p w:rsidR="002666F6" w:rsidRPr="00A604A3" w:rsidRDefault="002666F6" w:rsidP="002666F6">
      <w:pPr>
        <w:pStyle w:val="Tabletitle"/>
        <w:rPr>
          <w:rFonts w:eastAsia="MS Mincho"/>
        </w:rPr>
      </w:pPr>
      <w:r w:rsidRPr="00A604A3">
        <w:rPr>
          <w:rFonts w:eastAsia="MS Mincho"/>
        </w:rPr>
        <w:t xml:space="preserve">User experienced data rate in Dense Urban – eMBB Config. C </w:t>
      </w:r>
      <w:r w:rsidRPr="00A604A3">
        <w:rPr>
          <w:rFonts w:eastAsia="MS Mincho"/>
        </w:rPr>
        <w:br/>
        <w:t>(NR TDD+SUL bands and Macro layer only) (Source 1)</w:t>
      </w:r>
      <w:bookmarkEnd w:id="139"/>
      <w:bookmarkEnd w:id="140"/>
    </w:p>
    <w:tbl>
      <w:tblPr>
        <w:tblStyle w:val="TableGrid"/>
        <w:tblW w:w="5000" w:type="pct"/>
        <w:jc w:val="center"/>
        <w:tblLayout w:type="fixed"/>
        <w:tblCellMar>
          <w:left w:w="57" w:type="dxa"/>
          <w:right w:w="57" w:type="dxa"/>
        </w:tblCellMar>
        <w:tblLook w:val="01E0" w:firstRow="1" w:lastRow="1" w:firstColumn="1" w:lastColumn="1" w:noHBand="0" w:noVBand="0"/>
      </w:tblPr>
      <w:tblGrid>
        <w:gridCol w:w="1126"/>
        <w:gridCol w:w="2482"/>
        <w:gridCol w:w="1985"/>
        <w:gridCol w:w="1625"/>
        <w:gridCol w:w="1798"/>
      </w:tblGrid>
      <w:tr w:rsidR="00AE0549" w:rsidRPr="00A604A3" w:rsidTr="00865EC5">
        <w:trPr>
          <w:trHeight w:val="920"/>
          <w:jc w:val="center"/>
        </w:trPr>
        <w:tc>
          <w:tcPr>
            <w:tcW w:w="624" w:type="pct"/>
            <w:vAlign w:val="center"/>
          </w:tcPr>
          <w:p w:rsidR="00AE0549" w:rsidRPr="00A604A3" w:rsidRDefault="00AE0549" w:rsidP="002666F6">
            <w:pPr>
              <w:pStyle w:val="Tablehead"/>
              <w:rPr>
                <w:lang w:eastAsia="zh-CN"/>
              </w:rPr>
            </w:pPr>
          </w:p>
        </w:tc>
        <w:tc>
          <w:tcPr>
            <w:tcW w:w="1376" w:type="pct"/>
            <w:vAlign w:val="center"/>
          </w:tcPr>
          <w:p w:rsidR="00AE0549" w:rsidRPr="00A604A3" w:rsidRDefault="00AE0549" w:rsidP="002666F6">
            <w:pPr>
              <w:pStyle w:val="Tablehead"/>
              <w:rPr>
                <w:lang w:eastAsia="zh-CN"/>
              </w:rPr>
            </w:pPr>
            <w:r w:rsidRPr="00A604A3">
              <w:rPr>
                <w:lang w:eastAsia="zh-CN"/>
              </w:rPr>
              <w:t>Frame structure</w:t>
            </w:r>
          </w:p>
        </w:tc>
        <w:tc>
          <w:tcPr>
            <w:tcW w:w="1101" w:type="pct"/>
            <w:vAlign w:val="center"/>
          </w:tcPr>
          <w:p w:rsidR="00AE0549" w:rsidRPr="00A604A3" w:rsidRDefault="00AE0549" w:rsidP="002666F6">
            <w:pPr>
              <w:pStyle w:val="Tablehead"/>
            </w:pPr>
            <w:r w:rsidRPr="00A604A3">
              <w:rPr>
                <w:lang w:eastAsia="zh-CN"/>
              </w:rPr>
              <w:t>Assumed system bandwidth [MHz]</w:t>
            </w:r>
          </w:p>
        </w:tc>
        <w:tc>
          <w:tcPr>
            <w:tcW w:w="901" w:type="pct"/>
            <w:vAlign w:val="center"/>
          </w:tcPr>
          <w:p w:rsidR="00AE0549" w:rsidRPr="00A604A3" w:rsidRDefault="00AE0549" w:rsidP="002666F6">
            <w:pPr>
              <w:pStyle w:val="Tablehead"/>
            </w:pPr>
            <w:r w:rsidRPr="00A604A3">
              <w:rPr>
                <w:lang w:eastAsia="zh-CN"/>
              </w:rPr>
              <w:t>User experienced data rate [Mbps]</w:t>
            </w:r>
          </w:p>
        </w:tc>
        <w:tc>
          <w:tcPr>
            <w:tcW w:w="997" w:type="pct"/>
            <w:vAlign w:val="center"/>
          </w:tcPr>
          <w:p w:rsidR="00AE0549" w:rsidRPr="00A604A3" w:rsidRDefault="00AE0549" w:rsidP="002666F6">
            <w:pPr>
              <w:pStyle w:val="Tablehead"/>
            </w:pPr>
            <w:r w:rsidRPr="00A604A3">
              <w:rPr>
                <w:lang w:eastAsia="zh-CN"/>
              </w:rPr>
              <w:t>ITU Requirements  [Mbps]</w:t>
            </w:r>
          </w:p>
        </w:tc>
      </w:tr>
      <w:tr w:rsidR="00AE0549" w:rsidRPr="00A604A3" w:rsidTr="00865EC5">
        <w:trPr>
          <w:trHeight w:val="312"/>
          <w:jc w:val="center"/>
        </w:trPr>
        <w:tc>
          <w:tcPr>
            <w:tcW w:w="624" w:type="pct"/>
          </w:tcPr>
          <w:p w:rsidR="00AE0549" w:rsidRPr="00A604A3" w:rsidRDefault="00AE0549" w:rsidP="002666F6">
            <w:pPr>
              <w:pStyle w:val="Tabletext"/>
              <w:rPr>
                <w:lang w:eastAsia="zh-CN"/>
              </w:rPr>
            </w:pPr>
            <w:r w:rsidRPr="00A604A3">
              <w:rPr>
                <w:lang w:eastAsia="zh-CN"/>
              </w:rPr>
              <w:t>Uplink</w:t>
            </w:r>
          </w:p>
        </w:tc>
        <w:tc>
          <w:tcPr>
            <w:tcW w:w="1376" w:type="pct"/>
          </w:tcPr>
          <w:p w:rsidR="00AE0549" w:rsidRPr="00A604A3" w:rsidRDefault="00AE0549" w:rsidP="002666F6">
            <w:pPr>
              <w:pStyle w:val="Tabletext"/>
              <w:rPr>
                <w:lang w:eastAsia="zh-CN"/>
              </w:rPr>
            </w:pPr>
            <w:r w:rsidRPr="00A604A3">
              <w:rPr>
                <w:lang w:eastAsia="zh-CN"/>
              </w:rPr>
              <w:t>4 GHz: full uplink;</w:t>
            </w:r>
          </w:p>
          <w:p w:rsidR="00AE0549" w:rsidRPr="00A604A3" w:rsidRDefault="00AE0549" w:rsidP="002666F6">
            <w:pPr>
              <w:pStyle w:val="Tabletext"/>
              <w:rPr>
                <w:lang w:eastAsia="zh-CN"/>
              </w:rPr>
            </w:pPr>
            <w:r w:rsidRPr="00A604A3">
              <w:rPr>
                <w:lang w:eastAsia="zh-CN"/>
              </w:rPr>
              <w:t>30 GHz: DSUUD</w:t>
            </w:r>
          </w:p>
        </w:tc>
        <w:tc>
          <w:tcPr>
            <w:tcW w:w="1101" w:type="pct"/>
          </w:tcPr>
          <w:p w:rsidR="00AE0549" w:rsidRPr="00A604A3" w:rsidRDefault="00AE0549" w:rsidP="002666F6">
            <w:pPr>
              <w:pStyle w:val="Tabletext"/>
              <w:rPr>
                <w:lang w:eastAsia="zh-CN"/>
              </w:rPr>
            </w:pPr>
            <w:r w:rsidRPr="00A604A3">
              <w:rPr>
                <w:lang w:eastAsia="zh-CN"/>
              </w:rPr>
              <w:t>4 GHz: 80 (for uplink)</w:t>
            </w:r>
          </w:p>
          <w:p w:rsidR="00AE0549" w:rsidRPr="00A604A3" w:rsidRDefault="00AE0549" w:rsidP="002666F6">
            <w:pPr>
              <w:pStyle w:val="Tabletext"/>
              <w:rPr>
                <w:lang w:eastAsia="zh-CN"/>
              </w:rPr>
            </w:pPr>
            <w:r w:rsidRPr="00A604A3">
              <w:rPr>
                <w:lang w:eastAsia="zh-CN"/>
              </w:rPr>
              <w:t>30 GHz: 560</w:t>
            </w:r>
          </w:p>
        </w:tc>
        <w:tc>
          <w:tcPr>
            <w:tcW w:w="901" w:type="pct"/>
          </w:tcPr>
          <w:p w:rsidR="00AE0549" w:rsidRPr="00A604A3" w:rsidDel="00194D07" w:rsidRDefault="00AE0549" w:rsidP="002666F6">
            <w:pPr>
              <w:pStyle w:val="Tabletext"/>
              <w:jc w:val="center"/>
              <w:rPr>
                <w:lang w:eastAsia="zh-CN"/>
              </w:rPr>
            </w:pPr>
            <w:r w:rsidRPr="00A604A3">
              <w:rPr>
                <w:lang w:eastAsia="zh-CN"/>
              </w:rPr>
              <w:t>64.6</w:t>
            </w:r>
          </w:p>
        </w:tc>
        <w:tc>
          <w:tcPr>
            <w:tcW w:w="997" w:type="pct"/>
          </w:tcPr>
          <w:p w:rsidR="00AE0549" w:rsidRPr="00A604A3" w:rsidRDefault="00AE0549" w:rsidP="002666F6">
            <w:pPr>
              <w:pStyle w:val="Tabletext"/>
              <w:jc w:val="center"/>
              <w:rPr>
                <w:lang w:eastAsia="zh-CN"/>
              </w:rPr>
            </w:pPr>
            <w:r w:rsidRPr="00A604A3">
              <w:rPr>
                <w:lang w:eastAsia="zh-CN"/>
              </w:rPr>
              <w:t>50</w:t>
            </w:r>
          </w:p>
        </w:tc>
      </w:tr>
    </w:tbl>
    <w:p w:rsidR="002666F6" w:rsidRPr="00A604A3" w:rsidRDefault="002666F6" w:rsidP="002666F6">
      <w:pPr>
        <w:pStyle w:val="Tablefin"/>
      </w:pPr>
      <w:bookmarkStart w:id="141" w:name="_Ref20472464"/>
      <w:bookmarkStart w:id="142" w:name="_Toc27919518"/>
      <w:bookmarkStart w:id="143" w:name="_Toc28265682"/>
      <w:bookmarkStart w:id="144" w:name="_Toc28276917"/>
      <w:bookmarkStart w:id="145" w:name="_Ref31722246"/>
      <w:bookmarkStart w:id="146" w:name="_Toc32066304"/>
    </w:p>
    <w:p w:rsidR="002666F6" w:rsidRPr="00A604A3" w:rsidRDefault="002666F6" w:rsidP="002666F6">
      <w:pPr>
        <w:pStyle w:val="TableNo"/>
        <w:rPr>
          <w:rFonts w:eastAsia="MS Mincho"/>
        </w:rPr>
      </w:pPr>
      <w:r w:rsidRPr="00A604A3">
        <w:rPr>
          <w:rFonts w:eastAsia="MS Mincho"/>
        </w:rPr>
        <w:t>table 27</w:t>
      </w:r>
    </w:p>
    <w:p w:rsidR="002666F6" w:rsidRPr="00A604A3" w:rsidRDefault="002666F6" w:rsidP="002666F6">
      <w:pPr>
        <w:pStyle w:val="Tabletitle"/>
        <w:rPr>
          <w:rFonts w:eastAsia="MS Mincho"/>
        </w:rPr>
      </w:pPr>
      <w:r w:rsidRPr="00A604A3">
        <w:rPr>
          <w:rFonts w:eastAsia="MS Mincho"/>
        </w:rPr>
        <w:t xml:space="preserve">User experienced data rate in Dense Urban – eMBB Config. C </w:t>
      </w:r>
      <w:r w:rsidRPr="00A604A3">
        <w:rPr>
          <w:rFonts w:eastAsia="MS Mincho"/>
        </w:rPr>
        <w:br/>
        <w:t>(NR TDD+SUL bands and Macro layer only)</w:t>
      </w:r>
      <w:bookmarkEnd w:id="141"/>
      <w:bookmarkEnd w:id="142"/>
      <w:bookmarkEnd w:id="143"/>
      <w:bookmarkEnd w:id="144"/>
      <w:r w:rsidRPr="00A604A3">
        <w:rPr>
          <w:rFonts w:eastAsia="MS Mincho"/>
        </w:rPr>
        <w:t xml:space="preserve"> (Source 2)</w:t>
      </w:r>
      <w:bookmarkEnd w:id="145"/>
      <w:bookmarkEnd w:id="146"/>
    </w:p>
    <w:tbl>
      <w:tblPr>
        <w:tblStyle w:val="TableGrid"/>
        <w:tblW w:w="5000" w:type="pct"/>
        <w:jc w:val="center"/>
        <w:tblLayout w:type="fixed"/>
        <w:tblCellMar>
          <w:left w:w="57" w:type="dxa"/>
          <w:right w:w="57" w:type="dxa"/>
        </w:tblCellMar>
        <w:tblLook w:val="01E0" w:firstRow="1" w:lastRow="1" w:firstColumn="1" w:lastColumn="1" w:noHBand="0" w:noVBand="0"/>
      </w:tblPr>
      <w:tblGrid>
        <w:gridCol w:w="1126"/>
        <w:gridCol w:w="2482"/>
        <w:gridCol w:w="1985"/>
        <w:gridCol w:w="1625"/>
        <w:gridCol w:w="1798"/>
      </w:tblGrid>
      <w:tr w:rsidR="00AE0549" w:rsidRPr="00A604A3" w:rsidTr="00865EC5">
        <w:trPr>
          <w:trHeight w:val="920"/>
          <w:jc w:val="center"/>
        </w:trPr>
        <w:tc>
          <w:tcPr>
            <w:tcW w:w="624" w:type="pct"/>
            <w:vAlign w:val="center"/>
          </w:tcPr>
          <w:p w:rsidR="00AE0549" w:rsidRPr="00A604A3" w:rsidRDefault="00AE0549" w:rsidP="002666F6">
            <w:pPr>
              <w:pStyle w:val="Tablehead"/>
              <w:rPr>
                <w:lang w:eastAsia="zh-CN"/>
              </w:rPr>
            </w:pPr>
          </w:p>
        </w:tc>
        <w:tc>
          <w:tcPr>
            <w:tcW w:w="1376" w:type="pct"/>
            <w:vAlign w:val="center"/>
          </w:tcPr>
          <w:p w:rsidR="00AE0549" w:rsidRPr="00A604A3" w:rsidRDefault="00AE0549" w:rsidP="002666F6">
            <w:pPr>
              <w:pStyle w:val="Tablehead"/>
              <w:rPr>
                <w:lang w:eastAsia="zh-CN"/>
              </w:rPr>
            </w:pPr>
            <w:r w:rsidRPr="00A604A3">
              <w:rPr>
                <w:lang w:eastAsia="zh-CN"/>
              </w:rPr>
              <w:t>Frame structure</w:t>
            </w:r>
          </w:p>
        </w:tc>
        <w:tc>
          <w:tcPr>
            <w:tcW w:w="1101" w:type="pct"/>
            <w:vAlign w:val="center"/>
          </w:tcPr>
          <w:p w:rsidR="00AE0549" w:rsidRPr="00A604A3" w:rsidRDefault="00AE0549" w:rsidP="002666F6">
            <w:pPr>
              <w:pStyle w:val="Tablehead"/>
            </w:pPr>
            <w:r w:rsidRPr="00A604A3">
              <w:rPr>
                <w:lang w:eastAsia="zh-CN"/>
              </w:rPr>
              <w:t>Assumed system bandwidth [MHz]</w:t>
            </w:r>
          </w:p>
        </w:tc>
        <w:tc>
          <w:tcPr>
            <w:tcW w:w="901" w:type="pct"/>
            <w:vAlign w:val="center"/>
          </w:tcPr>
          <w:p w:rsidR="00AE0549" w:rsidRPr="00A604A3" w:rsidRDefault="00AE0549" w:rsidP="002666F6">
            <w:pPr>
              <w:pStyle w:val="Tablehead"/>
            </w:pPr>
            <w:r w:rsidRPr="00A604A3">
              <w:rPr>
                <w:lang w:eastAsia="zh-CN"/>
              </w:rPr>
              <w:t>User experienced data rate [Mbps]</w:t>
            </w:r>
          </w:p>
        </w:tc>
        <w:tc>
          <w:tcPr>
            <w:tcW w:w="997" w:type="pct"/>
            <w:vAlign w:val="center"/>
          </w:tcPr>
          <w:p w:rsidR="00AE0549" w:rsidRPr="00A604A3" w:rsidRDefault="00AE0549" w:rsidP="002666F6">
            <w:pPr>
              <w:pStyle w:val="Tablehead"/>
            </w:pPr>
            <w:r w:rsidRPr="00A604A3">
              <w:rPr>
                <w:lang w:eastAsia="zh-CN"/>
              </w:rPr>
              <w:t>ITU Requirements  [Mbps]</w:t>
            </w:r>
          </w:p>
        </w:tc>
      </w:tr>
      <w:tr w:rsidR="00AE0549" w:rsidRPr="00A604A3" w:rsidTr="00865EC5">
        <w:trPr>
          <w:trHeight w:val="312"/>
          <w:jc w:val="center"/>
        </w:trPr>
        <w:tc>
          <w:tcPr>
            <w:tcW w:w="624" w:type="pct"/>
          </w:tcPr>
          <w:p w:rsidR="00AE0549" w:rsidRPr="00A604A3" w:rsidRDefault="00AE0549" w:rsidP="002666F6">
            <w:pPr>
              <w:pStyle w:val="Tabletext"/>
              <w:rPr>
                <w:lang w:eastAsia="zh-CN"/>
              </w:rPr>
            </w:pPr>
            <w:r w:rsidRPr="00A604A3">
              <w:rPr>
                <w:lang w:eastAsia="zh-CN"/>
              </w:rPr>
              <w:t>Uplink</w:t>
            </w:r>
          </w:p>
        </w:tc>
        <w:tc>
          <w:tcPr>
            <w:tcW w:w="1376" w:type="pct"/>
          </w:tcPr>
          <w:p w:rsidR="00AE0549" w:rsidRPr="00A604A3" w:rsidRDefault="00AE0549" w:rsidP="002666F6">
            <w:pPr>
              <w:pStyle w:val="Tabletext"/>
              <w:rPr>
                <w:lang w:eastAsia="zh-CN"/>
              </w:rPr>
            </w:pPr>
            <w:r w:rsidRPr="00A604A3">
              <w:rPr>
                <w:lang w:eastAsia="zh-CN"/>
              </w:rPr>
              <w:t>4 GHz: full uplink;</w:t>
            </w:r>
          </w:p>
          <w:p w:rsidR="00AE0549" w:rsidRPr="00A604A3" w:rsidRDefault="00AE0549" w:rsidP="002666F6">
            <w:pPr>
              <w:pStyle w:val="Tabletext"/>
              <w:rPr>
                <w:lang w:eastAsia="zh-CN"/>
              </w:rPr>
            </w:pPr>
            <w:r w:rsidRPr="00A604A3">
              <w:rPr>
                <w:lang w:eastAsia="zh-CN"/>
              </w:rPr>
              <w:t>30 GHz: DDDSU with S slot =10DL:2GP:2UL</w:t>
            </w:r>
          </w:p>
        </w:tc>
        <w:tc>
          <w:tcPr>
            <w:tcW w:w="1101" w:type="pct"/>
          </w:tcPr>
          <w:p w:rsidR="00AE0549" w:rsidRPr="00A604A3" w:rsidRDefault="00AE0549" w:rsidP="002666F6">
            <w:pPr>
              <w:pStyle w:val="Tabletext"/>
              <w:rPr>
                <w:spacing w:val="-2"/>
                <w:lang w:eastAsia="zh-CN"/>
              </w:rPr>
            </w:pPr>
            <w:r w:rsidRPr="00A604A3">
              <w:rPr>
                <w:spacing w:val="-2"/>
                <w:lang w:eastAsia="zh-CN"/>
              </w:rPr>
              <w:t>4 GHz: 100 (for uplink)</w:t>
            </w:r>
          </w:p>
          <w:p w:rsidR="00AE0549" w:rsidRPr="00A604A3" w:rsidRDefault="00AE0549" w:rsidP="002666F6">
            <w:pPr>
              <w:pStyle w:val="Tabletext"/>
              <w:rPr>
                <w:lang w:eastAsia="zh-CN"/>
              </w:rPr>
            </w:pPr>
            <w:r w:rsidRPr="00A604A3">
              <w:rPr>
                <w:lang w:eastAsia="zh-CN"/>
              </w:rPr>
              <w:t>30 GHz: 1</w:t>
            </w:r>
            <w:r w:rsidR="004E6B1F" w:rsidRPr="00A604A3">
              <w:rPr>
                <w:lang w:eastAsia="zh-CN"/>
              </w:rPr>
              <w:t> </w:t>
            </w:r>
            <w:r w:rsidRPr="00A604A3">
              <w:rPr>
                <w:lang w:eastAsia="zh-CN"/>
              </w:rPr>
              <w:t>200</w:t>
            </w:r>
          </w:p>
        </w:tc>
        <w:tc>
          <w:tcPr>
            <w:tcW w:w="901" w:type="pct"/>
          </w:tcPr>
          <w:p w:rsidR="00AE0549" w:rsidRPr="00A604A3" w:rsidDel="00194D07" w:rsidRDefault="00AE0549" w:rsidP="002666F6">
            <w:pPr>
              <w:pStyle w:val="Tabletext"/>
              <w:jc w:val="center"/>
              <w:rPr>
                <w:lang w:eastAsia="zh-CN"/>
              </w:rPr>
            </w:pPr>
            <w:r w:rsidRPr="00A604A3">
              <w:rPr>
                <w:lang w:eastAsia="zh-CN"/>
              </w:rPr>
              <w:t>51.39</w:t>
            </w:r>
          </w:p>
        </w:tc>
        <w:tc>
          <w:tcPr>
            <w:tcW w:w="997" w:type="pct"/>
          </w:tcPr>
          <w:p w:rsidR="00AE0549" w:rsidRPr="00A604A3" w:rsidRDefault="00AE0549" w:rsidP="002666F6">
            <w:pPr>
              <w:pStyle w:val="Tabletext"/>
              <w:jc w:val="center"/>
              <w:rPr>
                <w:lang w:eastAsia="zh-CN"/>
              </w:rPr>
            </w:pPr>
            <w:r w:rsidRPr="00A604A3">
              <w:rPr>
                <w:lang w:eastAsia="zh-CN"/>
              </w:rPr>
              <w:t>50</w:t>
            </w:r>
          </w:p>
        </w:tc>
      </w:tr>
    </w:tbl>
    <w:p w:rsidR="00AE0549" w:rsidRPr="00A604A3" w:rsidRDefault="00AE0549" w:rsidP="002666F6">
      <w:pPr>
        <w:pStyle w:val="Tablefin"/>
        <w:rPr>
          <w:lang w:eastAsia="zh-CN"/>
        </w:rPr>
      </w:pPr>
    </w:p>
    <w:p w:rsidR="00AE0549" w:rsidRPr="00A604A3" w:rsidRDefault="00AE0549" w:rsidP="004E6B1F">
      <w:pPr>
        <w:rPr>
          <w:rFonts w:eastAsia="SimSun"/>
          <w:szCs w:val="24"/>
          <w:lang w:eastAsia="zh-CN"/>
        </w:rPr>
      </w:pPr>
      <w:r w:rsidRPr="00A604A3">
        <w:rPr>
          <w:lang w:eastAsia="zh-CN"/>
        </w:rPr>
        <w:t xml:space="preserve">It is observed that NR can meet the uplink user experienced data rate requirement </w:t>
      </w:r>
      <w:r w:rsidRPr="00A604A3">
        <w:t>for Dense Urban – eMBB test environment</w:t>
      </w:r>
      <w:r w:rsidRPr="00A604A3">
        <w:rPr>
          <w:lang w:eastAsia="zh-CN"/>
        </w:rPr>
        <w:t xml:space="preserve"> in evaluation configuration C.</w:t>
      </w:r>
    </w:p>
    <w:p w:rsidR="00AE0549" w:rsidRPr="00A604A3" w:rsidRDefault="00AE0549" w:rsidP="004E6B1F">
      <w:pPr>
        <w:rPr>
          <w:lang w:eastAsia="zh-CN"/>
        </w:rPr>
      </w:pPr>
      <w:r w:rsidRPr="00A604A3">
        <w:rPr>
          <w:lang w:eastAsia="zh-CN"/>
        </w:rPr>
        <w:t>For another mode of evaluation configuration C (single-band multi-layer), system-level simulation is employed to evaluate the downlink user experienced data rate, where in addition to a homogeneous dense urban macro-cell layout with fixed ISD of 200 m there is a micro-layer with three TRxPs randomly dropped per macro cell. Both network layers operate on the same carrier frequency in the 4 GHz band. With every micro TRxP, an additional set of 10 UEs are dropped aggregated within a radius of 20 m around the micro TRxP.</w:t>
      </w:r>
    </w:p>
    <w:p w:rsidR="00AE0549" w:rsidRPr="00A604A3" w:rsidRDefault="00AE0549" w:rsidP="004E6B1F">
      <w:pPr>
        <w:rPr>
          <w:lang w:eastAsia="zh-CN"/>
        </w:rPr>
      </w:pPr>
      <w:r w:rsidRPr="00A604A3">
        <w:rPr>
          <w:lang w:eastAsia="zh-CN"/>
        </w:rPr>
        <w:t>To meet the required user experienced data rate, multiple component carriers are aggregated. The required aggregated system bandwidth is given in Table 28. We note, that the bandwidth required to meet the performance requirement in terms of user experienced data rate is considerably higher than without the micro layer (c.f. Table 21). This result is a bit misleading and due to the definition of the KPI user experience data rate to be computed based on the 5%ile of the user spectral efficiency. It is to be expected that by increasing not only the density of the TRxP deployment in this already dense scenario, but at the same rate also the UE deployment, 5%ile UE spectral efficiency is not likely to be improved. Further analysis of the simulation results shows that the area traffic capacity for this scenario is in fact more than doubled compared to the pure-macro deployment with 10 UEs per macro cell.</w:t>
      </w:r>
    </w:p>
    <w:p w:rsidR="004E6B1F" w:rsidRPr="00A604A3" w:rsidRDefault="004E6B1F" w:rsidP="004E6B1F">
      <w:pPr>
        <w:pStyle w:val="TableNo"/>
        <w:rPr>
          <w:rFonts w:eastAsia="MS Mincho"/>
        </w:rPr>
      </w:pPr>
      <w:bookmarkStart w:id="147" w:name="_Ref31099111"/>
      <w:bookmarkStart w:id="148" w:name="_Toc32066305"/>
      <w:r w:rsidRPr="00A604A3">
        <w:rPr>
          <w:rFonts w:eastAsia="MS Mincho"/>
        </w:rPr>
        <w:lastRenderedPageBreak/>
        <w:t>table 28</w:t>
      </w:r>
    </w:p>
    <w:p w:rsidR="004E6B1F" w:rsidRPr="00A604A3" w:rsidRDefault="004E6B1F" w:rsidP="004E6B1F">
      <w:pPr>
        <w:pStyle w:val="Tabletitle"/>
        <w:rPr>
          <w:rFonts w:eastAsia="MS Mincho"/>
        </w:rPr>
      </w:pPr>
      <w:r w:rsidRPr="00A604A3">
        <w:rPr>
          <w:rFonts w:eastAsia="MS Mincho"/>
        </w:rPr>
        <w:t>User experienced data rate in Dense Urban – eMBB Config. C (macro + micro layer at 4GHz) (Source 1)</w:t>
      </w:r>
      <w:bookmarkEnd w:id="147"/>
      <w:bookmarkEnd w:id="148"/>
    </w:p>
    <w:tbl>
      <w:tblPr>
        <w:tblStyle w:val="TableGrid"/>
        <w:tblW w:w="5000" w:type="pct"/>
        <w:jc w:val="center"/>
        <w:tblLook w:val="01E0" w:firstRow="1" w:lastRow="1" w:firstColumn="1" w:lastColumn="1" w:noHBand="0" w:noVBand="0"/>
      </w:tblPr>
      <w:tblGrid>
        <w:gridCol w:w="1126"/>
        <w:gridCol w:w="2482"/>
        <w:gridCol w:w="1985"/>
        <w:gridCol w:w="1625"/>
        <w:gridCol w:w="1798"/>
      </w:tblGrid>
      <w:tr w:rsidR="00AE0549" w:rsidRPr="00A604A3" w:rsidTr="004E6B1F">
        <w:trPr>
          <w:trHeight w:val="920"/>
          <w:jc w:val="center"/>
        </w:trPr>
        <w:tc>
          <w:tcPr>
            <w:tcW w:w="624" w:type="pct"/>
            <w:vAlign w:val="center"/>
          </w:tcPr>
          <w:p w:rsidR="00AE0549" w:rsidRPr="00A604A3" w:rsidRDefault="00AE0549" w:rsidP="004E6B1F">
            <w:pPr>
              <w:pStyle w:val="Tablehead"/>
              <w:rPr>
                <w:lang w:eastAsia="zh-CN"/>
              </w:rPr>
            </w:pPr>
          </w:p>
        </w:tc>
        <w:tc>
          <w:tcPr>
            <w:tcW w:w="1376" w:type="pct"/>
            <w:vAlign w:val="center"/>
          </w:tcPr>
          <w:p w:rsidR="00AE0549" w:rsidRPr="00A604A3" w:rsidRDefault="00AE0549" w:rsidP="004E6B1F">
            <w:pPr>
              <w:pStyle w:val="Tablehead"/>
              <w:rPr>
                <w:lang w:eastAsia="zh-CN"/>
              </w:rPr>
            </w:pPr>
            <w:r w:rsidRPr="00A604A3">
              <w:rPr>
                <w:lang w:eastAsia="zh-CN"/>
              </w:rPr>
              <w:t>Frame structure</w:t>
            </w:r>
          </w:p>
        </w:tc>
        <w:tc>
          <w:tcPr>
            <w:tcW w:w="1101" w:type="pct"/>
            <w:vAlign w:val="center"/>
          </w:tcPr>
          <w:p w:rsidR="00AE0549" w:rsidRPr="00A604A3" w:rsidRDefault="00AE0549" w:rsidP="004E6B1F">
            <w:pPr>
              <w:pStyle w:val="Tablehead"/>
            </w:pPr>
            <w:r w:rsidRPr="00A604A3">
              <w:rPr>
                <w:lang w:eastAsia="zh-CN"/>
              </w:rPr>
              <w:t>Assumed system bandwidth [MHz]</w:t>
            </w:r>
          </w:p>
        </w:tc>
        <w:tc>
          <w:tcPr>
            <w:tcW w:w="901" w:type="pct"/>
            <w:vAlign w:val="center"/>
          </w:tcPr>
          <w:p w:rsidR="00AE0549" w:rsidRPr="00A604A3" w:rsidRDefault="00AE0549" w:rsidP="004E6B1F">
            <w:pPr>
              <w:pStyle w:val="Tablehead"/>
            </w:pPr>
            <w:r w:rsidRPr="00A604A3">
              <w:rPr>
                <w:lang w:eastAsia="zh-CN"/>
              </w:rPr>
              <w:t>User experienced data rate [Mbps]</w:t>
            </w:r>
          </w:p>
        </w:tc>
        <w:tc>
          <w:tcPr>
            <w:tcW w:w="997" w:type="pct"/>
            <w:vAlign w:val="center"/>
          </w:tcPr>
          <w:p w:rsidR="00AE0549" w:rsidRPr="00A604A3" w:rsidRDefault="00AE0549" w:rsidP="004E6B1F">
            <w:pPr>
              <w:pStyle w:val="Tablehead"/>
            </w:pPr>
            <w:r w:rsidRPr="00A604A3">
              <w:rPr>
                <w:lang w:eastAsia="zh-CN"/>
              </w:rPr>
              <w:t>ITU Requirements  [Mbps]</w:t>
            </w:r>
          </w:p>
        </w:tc>
      </w:tr>
      <w:tr w:rsidR="00AE0549" w:rsidRPr="00A604A3" w:rsidTr="004E6B1F">
        <w:trPr>
          <w:trHeight w:val="312"/>
          <w:jc w:val="center"/>
        </w:trPr>
        <w:tc>
          <w:tcPr>
            <w:tcW w:w="624" w:type="pct"/>
          </w:tcPr>
          <w:p w:rsidR="00AE0549" w:rsidRPr="00A604A3" w:rsidRDefault="00AE0549" w:rsidP="004E6B1F">
            <w:pPr>
              <w:pStyle w:val="Tabletext"/>
              <w:rPr>
                <w:lang w:eastAsia="zh-CN"/>
              </w:rPr>
            </w:pPr>
            <w:r w:rsidRPr="00A604A3">
              <w:rPr>
                <w:lang w:eastAsia="zh-CN"/>
              </w:rPr>
              <w:t>Downlink</w:t>
            </w:r>
          </w:p>
        </w:tc>
        <w:tc>
          <w:tcPr>
            <w:tcW w:w="1376" w:type="pct"/>
          </w:tcPr>
          <w:p w:rsidR="00AE0549" w:rsidRPr="00A604A3" w:rsidRDefault="00AE0549" w:rsidP="004E6B1F">
            <w:pPr>
              <w:pStyle w:val="Tabletext"/>
              <w:jc w:val="center"/>
              <w:rPr>
                <w:lang w:eastAsia="zh-CN"/>
              </w:rPr>
            </w:pPr>
            <w:r w:rsidRPr="00A604A3">
              <w:rPr>
                <w:lang w:eastAsia="zh-CN"/>
              </w:rPr>
              <w:t>DSUUD</w:t>
            </w:r>
          </w:p>
        </w:tc>
        <w:tc>
          <w:tcPr>
            <w:tcW w:w="1101" w:type="pct"/>
          </w:tcPr>
          <w:p w:rsidR="00AE0549" w:rsidRPr="00A604A3" w:rsidRDefault="00AE0549" w:rsidP="004E6B1F">
            <w:pPr>
              <w:pStyle w:val="Tabletext"/>
              <w:jc w:val="center"/>
              <w:rPr>
                <w:lang w:eastAsia="zh-CN"/>
              </w:rPr>
            </w:pPr>
            <w:r w:rsidRPr="00A604A3">
              <w:rPr>
                <w:lang w:eastAsia="zh-CN"/>
              </w:rPr>
              <w:t>1</w:t>
            </w:r>
            <w:r w:rsidR="004E6B1F" w:rsidRPr="00A604A3">
              <w:rPr>
                <w:lang w:eastAsia="zh-CN"/>
              </w:rPr>
              <w:t> </w:t>
            </w:r>
            <w:r w:rsidRPr="00A604A3">
              <w:rPr>
                <w:lang w:eastAsia="zh-CN"/>
              </w:rPr>
              <w:t>200</w:t>
            </w:r>
          </w:p>
        </w:tc>
        <w:tc>
          <w:tcPr>
            <w:tcW w:w="901" w:type="pct"/>
          </w:tcPr>
          <w:p w:rsidR="00AE0549" w:rsidRPr="00A604A3" w:rsidDel="00194D07" w:rsidRDefault="00AE0549" w:rsidP="004E6B1F">
            <w:pPr>
              <w:pStyle w:val="Tabletext"/>
              <w:jc w:val="center"/>
              <w:rPr>
                <w:lang w:eastAsia="zh-CN"/>
              </w:rPr>
            </w:pPr>
            <w:r w:rsidRPr="00A604A3">
              <w:rPr>
                <w:lang w:eastAsia="zh-CN"/>
              </w:rPr>
              <w:t>104.71</w:t>
            </w:r>
          </w:p>
        </w:tc>
        <w:tc>
          <w:tcPr>
            <w:tcW w:w="997" w:type="pct"/>
          </w:tcPr>
          <w:p w:rsidR="00AE0549" w:rsidRPr="00A604A3" w:rsidRDefault="00AE0549" w:rsidP="004E6B1F">
            <w:pPr>
              <w:pStyle w:val="Tabletext"/>
              <w:jc w:val="center"/>
              <w:rPr>
                <w:lang w:eastAsia="zh-CN"/>
              </w:rPr>
            </w:pPr>
            <w:r w:rsidRPr="00A604A3">
              <w:rPr>
                <w:lang w:eastAsia="zh-CN"/>
              </w:rPr>
              <w:t>100</w:t>
            </w:r>
          </w:p>
        </w:tc>
      </w:tr>
    </w:tbl>
    <w:p w:rsidR="00AE0549" w:rsidRPr="00A604A3" w:rsidRDefault="00AE0549" w:rsidP="004E6B1F">
      <w:pPr>
        <w:pStyle w:val="Tablefin"/>
        <w:rPr>
          <w:lang w:eastAsia="zh-CN"/>
        </w:rPr>
      </w:pPr>
    </w:p>
    <w:p w:rsidR="00AE0549" w:rsidRPr="00A604A3" w:rsidRDefault="00AE0549" w:rsidP="004E6B1F">
      <w:pPr>
        <w:rPr>
          <w:lang w:eastAsia="zh-CN"/>
        </w:rPr>
      </w:pPr>
      <w:r w:rsidRPr="00A604A3">
        <w:rPr>
          <w:lang w:eastAsia="zh-CN"/>
        </w:rPr>
        <w:t xml:space="preserve">It is observed that NR can meet the downlink user experienced data rate requirement </w:t>
      </w:r>
      <w:r w:rsidRPr="00A604A3">
        <w:t>for Dense Urban – eMBB test environment</w:t>
      </w:r>
      <w:r w:rsidRPr="00A604A3">
        <w:rPr>
          <w:lang w:eastAsia="zh-CN"/>
        </w:rPr>
        <w:t xml:space="preserve"> in evaluation configuration C with single band multi-layer deployment.</w:t>
      </w:r>
    </w:p>
    <w:p w:rsidR="00AE0549" w:rsidRPr="00A604A3" w:rsidRDefault="001E74CD" w:rsidP="00DE62A5">
      <w:pPr>
        <w:pStyle w:val="Heading3"/>
        <w:rPr>
          <w:rFonts w:eastAsia="MS Mincho"/>
        </w:rPr>
      </w:pPr>
      <w:bookmarkStart w:id="149" w:name="_Toc32412964"/>
      <w:r w:rsidRPr="00A604A3">
        <w:rPr>
          <w:rFonts w:eastAsia="MS Mincho"/>
        </w:rPr>
        <w:t>II.5.4</w:t>
      </w:r>
      <w:r w:rsidRPr="00A604A3">
        <w:rPr>
          <w:rFonts w:eastAsia="MS Mincho"/>
        </w:rPr>
        <w:tab/>
      </w:r>
      <w:r w:rsidR="00AE0549" w:rsidRPr="00A604A3">
        <w:rPr>
          <w:rFonts w:eastAsia="MS Mincho"/>
        </w:rPr>
        <w:t>5th percentile user spectral efficiency</w:t>
      </w:r>
      <w:bookmarkEnd w:id="149"/>
    </w:p>
    <w:p w:rsidR="00AE0549" w:rsidRPr="00A604A3" w:rsidRDefault="00AE0549" w:rsidP="001E74CD">
      <w:r w:rsidRPr="00A604A3">
        <w:t>The ITU-R minimum requirements on 5</w:t>
      </w:r>
      <w:r w:rsidRPr="00A604A3">
        <w:rPr>
          <w:vertAlign w:val="superscript"/>
        </w:rPr>
        <w:t>th</w:t>
      </w:r>
      <w:r w:rsidRPr="00A604A3">
        <w:t xml:space="preserve"> percentile user spectral efficiency are given in [1]. The following requirements and remarks are extracted from [1]:</w:t>
      </w:r>
    </w:p>
    <w:p w:rsidR="00AE0549" w:rsidRPr="00A604A3" w:rsidRDefault="001E74CD" w:rsidP="001E74CD">
      <w:pPr>
        <w:pStyle w:val="enumlev1"/>
        <w:rPr>
          <w:i/>
          <w:iCs/>
        </w:rPr>
      </w:pPr>
      <w:r w:rsidRPr="00A604A3">
        <w:rPr>
          <w:i/>
          <w:iCs/>
        </w:rPr>
        <w:tab/>
      </w:r>
      <w:r w:rsidR="00AE0549" w:rsidRPr="00A604A3">
        <w:rPr>
          <w:i/>
          <w:iCs/>
        </w:rPr>
        <w:t>The 5</w:t>
      </w:r>
      <w:r w:rsidR="00AE0549" w:rsidRPr="00A604A3">
        <w:rPr>
          <w:i/>
          <w:iCs/>
          <w:vertAlign w:val="superscript"/>
        </w:rPr>
        <w:t>th</w:t>
      </w:r>
      <w:r w:rsidR="00AE0549" w:rsidRPr="00A604A3">
        <w:rPr>
          <w:i/>
          <w:iC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AE0549" w:rsidRPr="00A604A3" w:rsidRDefault="001E74CD" w:rsidP="001E74CD">
      <w:pPr>
        <w:pStyle w:val="enumlev1"/>
        <w:rPr>
          <w:i/>
          <w:iCs/>
        </w:rPr>
      </w:pPr>
      <w:r w:rsidRPr="00A604A3">
        <w:rPr>
          <w:i/>
          <w:iCs/>
        </w:rPr>
        <w:tab/>
      </w:r>
      <w:r w:rsidR="00AE0549" w:rsidRPr="00A604A3">
        <w:rPr>
          <w:i/>
          <w:iCs/>
        </w:rPr>
        <w:t>The channel bandwidth for this purpose is defined as the effective bandwidth times the frequency reuse factor, where the effective bandwidth is the operating bandwidth normalized appropriately considering the uplink/downlink ratio.</w:t>
      </w:r>
    </w:p>
    <w:p w:rsidR="00AE0549" w:rsidRPr="00A604A3" w:rsidRDefault="001E74CD" w:rsidP="001E74CD">
      <w:pPr>
        <w:pStyle w:val="enumlev1"/>
        <w:rPr>
          <w:i/>
          <w:iCs/>
        </w:rPr>
      </w:pPr>
      <w:r w:rsidRPr="00A604A3">
        <w:rPr>
          <w:i/>
          <w:iCs/>
        </w:rPr>
        <w:tab/>
      </w:r>
      <w:r w:rsidR="00AE0549" w:rsidRPr="00A604A3">
        <w:rPr>
          <w:i/>
          <w:iCs/>
        </w:rPr>
        <w:t>With R</w:t>
      </w:r>
      <w:r w:rsidR="00AE0549" w:rsidRPr="00A604A3">
        <w:rPr>
          <w:i/>
          <w:iCs/>
          <w:vertAlign w:val="subscript"/>
        </w:rPr>
        <w:t>i</w:t>
      </w:r>
      <w:r w:rsidR="00AE0549" w:rsidRPr="00A604A3">
        <w:rPr>
          <w:i/>
          <w:iCs/>
          <w:vertAlign w:val="subscript"/>
          <w:lang w:eastAsia="ja-JP"/>
        </w:rPr>
        <w:t xml:space="preserve"> </w:t>
      </w:r>
      <w:r w:rsidR="00AE0549" w:rsidRPr="00A604A3">
        <w:rPr>
          <w:i/>
          <w:iCs/>
        </w:rPr>
        <w:t>(T</w:t>
      </w:r>
      <w:r w:rsidR="00AE0549" w:rsidRPr="00A604A3" w:rsidDel="008B536D">
        <w:rPr>
          <w:i/>
          <w:iCs/>
          <w:vertAlign w:val="subscript"/>
        </w:rPr>
        <w:t>i</w:t>
      </w:r>
      <w:r w:rsidR="00AE0549" w:rsidRPr="00A604A3">
        <w:rPr>
          <w:i/>
          <w:iCs/>
        </w:rPr>
        <w:t xml:space="preserve">) denoting the number of correctly received bits of </w:t>
      </w:r>
      <w:r w:rsidR="00AE0549" w:rsidRPr="00A604A3" w:rsidDel="008B536D">
        <w:rPr>
          <w:i/>
          <w:iCs/>
        </w:rPr>
        <w:t>user i, T</w:t>
      </w:r>
      <w:r w:rsidR="00AE0549" w:rsidRPr="00A604A3" w:rsidDel="008B536D">
        <w:rPr>
          <w:i/>
          <w:iCs/>
          <w:vertAlign w:val="subscript"/>
        </w:rPr>
        <w:t>i</w:t>
      </w:r>
      <w:r w:rsidR="00AE0549" w:rsidRPr="00A604A3" w:rsidDel="008B536D">
        <w:rPr>
          <w:i/>
          <w:iCs/>
        </w:rPr>
        <w:t xml:space="preserve"> </w:t>
      </w:r>
      <w:r w:rsidR="00AE0549" w:rsidRPr="00A604A3">
        <w:rPr>
          <w:i/>
          <w:iCs/>
        </w:rPr>
        <w:t xml:space="preserve">the active session time for </w:t>
      </w:r>
      <w:r w:rsidR="00AE0549" w:rsidRPr="00A604A3" w:rsidDel="008B536D">
        <w:rPr>
          <w:i/>
          <w:iCs/>
        </w:rPr>
        <w:t xml:space="preserve">user </w:t>
      </w:r>
      <w:r w:rsidR="00AE0549" w:rsidRPr="00A604A3">
        <w:rPr>
          <w:i/>
          <w:iCs/>
        </w:rPr>
        <w:t xml:space="preserve">i and W the channel bandwidth, the (normalized) user throughput of </w:t>
      </w:r>
      <w:r w:rsidR="00AE0549" w:rsidRPr="00A604A3" w:rsidDel="008B536D">
        <w:rPr>
          <w:i/>
          <w:iCs/>
        </w:rPr>
        <w:t xml:space="preserve">user </w:t>
      </w:r>
      <w:r w:rsidR="00AE0549" w:rsidRPr="00A604A3">
        <w:rPr>
          <w:i/>
          <w:iCs/>
        </w:rPr>
        <w:t xml:space="preserve">i, </w:t>
      </w:r>
      <w:r w:rsidR="00AE0549" w:rsidRPr="00A604A3">
        <w:rPr>
          <w:i/>
          <w:iCs/>
          <w:lang w:eastAsia="ja-JP"/>
        </w:rPr>
        <w:t>r</w:t>
      </w:r>
      <w:r w:rsidR="00AE0549" w:rsidRPr="00A604A3" w:rsidDel="008B536D">
        <w:rPr>
          <w:i/>
          <w:iCs/>
          <w:vertAlign w:val="subscript"/>
        </w:rPr>
        <w:t>i</w:t>
      </w:r>
      <w:r w:rsidR="00AE0549" w:rsidRPr="00A604A3">
        <w:rPr>
          <w:i/>
          <w:iCs/>
        </w:rPr>
        <w:t>, is defined according to equation (</w:t>
      </w:r>
      <w:r w:rsidR="00AE0549" w:rsidRPr="00A604A3">
        <w:rPr>
          <w:i/>
          <w:iCs/>
          <w:lang w:eastAsia="ja-JP"/>
        </w:rPr>
        <w:t>4</w:t>
      </w:r>
      <w:r w:rsidR="00AE0549" w:rsidRPr="00A604A3">
        <w:rPr>
          <w:i/>
          <w:iCs/>
        </w:rPr>
        <w:t>).</w:t>
      </w:r>
    </w:p>
    <w:p w:rsidR="00AE0549" w:rsidRPr="00A604A3" w:rsidRDefault="00AE0549" w:rsidP="00470885">
      <w:pPr>
        <w:pStyle w:val="Equation"/>
        <w:spacing w:before="0"/>
        <w:ind w:left="720"/>
        <w:rPr>
          <w:i/>
          <w:lang w:eastAsia="ja-JP"/>
        </w:rPr>
      </w:pPr>
      <w:r w:rsidRPr="00A604A3">
        <w:rPr>
          <w:i/>
        </w:rPr>
        <w:tab/>
      </w:r>
      <w:r w:rsidRPr="00A604A3">
        <w:rPr>
          <w:i/>
        </w:rPr>
        <w:tab/>
      </w:r>
      <w:r w:rsidR="006853C6">
        <w:rPr>
          <w:i/>
          <w:position w:val="-30"/>
        </w:rPr>
        <w:pict>
          <v:shape id="_x0000_i1028" type="#_x0000_t75" style="width:50.75pt;height:28.15pt">
            <v:imagedata r:id="rId16" o:title=""/>
          </v:shape>
        </w:pict>
      </w:r>
    </w:p>
    <w:p w:rsidR="00AE0549" w:rsidRPr="00A604A3" w:rsidRDefault="001E74CD" w:rsidP="001E74CD">
      <w:pPr>
        <w:pStyle w:val="enumlev1"/>
        <w:rPr>
          <w:i/>
          <w:iCs/>
        </w:rPr>
      </w:pPr>
      <w:r w:rsidRPr="00A604A3">
        <w:rPr>
          <w:i/>
          <w:iCs/>
        </w:rPr>
        <w:tab/>
      </w:r>
      <w:r w:rsidR="00AE0549" w:rsidRPr="00A604A3">
        <w:rPr>
          <w:i/>
          <w:iCs/>
        </w:rPr>
        <w:t xml:space="preserve">This requirement is defined for the purpose of evaluation in the eMBB usage scenario. </w:t>
      </w:r>
    </w:p>
    <w:p w:rsidR="00AE0549" w:rsidRPr="00A604A3" w:rsidRDefault="001E74CD" w:rsidP="001E74CD">
      <w:pPr>
        <w:pStyle w:val="enumlev1"/>
        <w:rPr>
          <w:i/>
          <w:iCs/>
        </w:rPr>
      </w:pPr>
      <w:r w:rsidRPr="00A604A3">
        <w:tab/>
      </w:r>
      <w:r w:rsidR="00AE0549" w:rsidRPr="00A604A3">
        <w:rPr>
          <w:i/>
          <w:iCs/>
        </w:rPr>
        <w:t>The minimum requirements for 5th percentile user spectral efficiency for various test environments are summarized in</w:t>
      </w:r>
      <w:r w:rsidRPr="00A604A3">
        <w:rPr>
          <w:i/>
          <w:iCs/>
        </w:rPr>
        <w:t xml:space="preserve"> Table 12</w:t>
      </w:r>
      <w:r w:rsidR="00AE0549" w:rsidRPr="00A604A3">
        <w:rPr>
          <w:i/>
          <w:iCs/>
        </w:rPr>
        <w:t>.</w:t>
      </w:r>
    </w:p>
    <w:p w:rsidR="001E74CD" w:rsidRPr="00A604A3" w:rsidRDefault="00AE0549" w:rsidP="001E74CD">
      <w:pPr>
        <w:pStyle w:val="TableNo"/>
        <w:rPr>
          <w:b/>
          <w:i/>
          <w:iCs/>
        </w:rPr>
      </w:pPr>
      <w:bookmarkStart w:id="150" w:name="_Ref536805365"/>
      <w:r w:rsidRPr="00A604A3">
        <w:rPr>
          <w:i/>
          <w:iCs/>
        </w:rPr>
        <w:t>Table 12</w:t>
      </w:r>
    </w:p>
    <w:p w:rsidR="00AE0549" w:rsidRPr="00A604A3" w:rsidRDefault="00AE0549" w:rsidP="00470885">
      <w:pPr>
        <w:pStyle w:val="Tabletitle"/>
        <w:ind w:left="360"/>
        <w:rPr>
          <w:b w:val="0"/>
          <w:i/>
        </w:rPr>
      </w:pPr>
      <w:r w:rsidRPr="00A604A3">
        <w:rPr>
          <w:b w:val="0"/>
          <w:i/>
        </w:rPr>
        <w:t>5</w:t>
      </w:r>
      <w:r w:rsidRPr="00A604A3">
        <w:rPr>
          <w:b w:val="0"/>
          <w:i/>
          <w:vertAlign w:val="superscript"/>
        </w:rPr>
        <w:t>th</w:t>
      </w:r>
      <w:r w:rsidRPr="00A604A3">
        <w:rPr>
          <w:b w:val="0"/>
          <w:i/>
        </w:rPr>
        <w:t xml:space="preserve"> percentile user spectral efficiency</w:t>
      </w:r>
      <w:bookmarkEnd w:id="150"/>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2845"/>
      </w:tblGrid>
      <w:tr w:rsidR="00AE0549" w:rsidRPr="00A604A3" w:rsidTr="001E74CD">
        <w:trPr>
          <w:trHeight w:val="42"/>
          <w:jc w:val="center"/>
        </w:trPr>
        <w:tc>
          <w:tcPr>
            <w:tcW w:w="3085" w:type="dxa"/>
            <w:vAlign w:val="center"/>
          </w:tcPr>
          <w:p w:rsidR="00AE0549" w:rsidRPr="00A604A3" w:rsidRDefault="00AE0549" w:rsidP="001E74CD">
            <w:pPr>
              <w:pStyle w:val="Tablehead"/>
              <w:rPr>
                <w:rFonts w:asciiTheme="majorBidi" w:hAnsiTheme="majorBidi" w:cstheme="majorBidi"/>
                <w:i/>
                <w:lang w:eastAsia="ja-JP"/>
              </w:rPr>
            </w:pPr>
            <w:r w:rsidRPr="00A604A3">
              <w:rPr>
                <w:rFonts w:asciiTheme="majorBidi" w:hAnsiTheme="majorBidi" w:cstheme="majorBidi"/>
                <w:i/>
              </w:rPr>
              <w:t>Test environment</w:t>
            </w:r>
          </w:p>
        </w:tc>
        <w:tc>
          <w:tcPr>
            <w:tcW w:w="2727" w:type="dxa"/>
            <w:vAlign w:val="center"/>
          </w:tcPr>
          <w:p w:rsidR="00AE0549" w:rsidRPr="00A604A3" w:rsidRDefault="00AE0549" w:rsidP="001E74CD">
            <w:pPr>
              <w:pStyle w:val="Tablehead"/>
              <w:rPr>
                <w:rFonts w:asciiTheme="majorBidi" w:hAnsiTheme="majorBidi" w:cstheme="majorBidi"/>
                <w:i/>
              </w:rPr>
            </w:pPr>
            <w:r w:rsidRPr="00A604A3">
              <w:rPr>
                <w:rFonts w:asciiTheme="majorBidi" w:hAnsiTheme="majorBidi" w:cstheme="majorBidi"/>
                <w:i/>
              </w:rPr>
              <w:t>Downlink</w:t>
            </w:r>
            <w:r w:rsidRPr="00A604A3">
              <w:rPr>
                <w:rFonts w:asciiTheme="majorBidi" w:hAnsiTheme="majorBidi" w:cstheme="majorBidi"/>
                <w:i/>
                <w:lang w:eastAsia="ja-JP"/>
              </w:rPr>
              <w:t xml:space="preserve"> </w:t>
            </w:r>
            <w:r w:rsidRPr="00A604A3">
              <w:rPr>
                <w:rFonts w:asciiTheme="majorBidi" w:hAnsiTheme="majorBidi" w:cstheme="majorBidi"/>
                <w:i/>
                <w:lang w:eastAsia="zh-CN"/>
              </w:rPr>
              <w:br/>
            </w:r>
            <w:r w:rsidRPr="00A604A3">
              <w:rPr>
                <w:rFonts w:asciiTheme="majorBidi" w:hAnsiTheme="majorBidi" w:cstheme="majorBidi"/>
                <w:i/>
              </w:rPr>
              <w:t>(bit/s/Hz)</w:t>
            </w:r>
          </w:p>
        </w:tc>
        <w:tc>
          <w:tcPr>
            <w:tcW w:w="2845" w:type="dxa"/>
            <w:vAlign w:val="center"/>
          </w:tcPr>
          <w:p w:rsidR="00AE0549" w:rsidRPr="00A604A3" w:rsidRDefault="00AE0549" w:rsidP="001E74CD">
            <w:pPr>
              <w:pStyle w:val="Tablehead"/>
              <w:rPr>
                <w:rFonts w:asciiTheme="majorBidi" w:hAnsiTheme="majorBidi" w:cstheme="majorBidi"/>
                <w:i/>
              </w:rPr>
            </w:pPr>
            <w:r w:rsidRPr="00A604A3">
              <w:rPr>
                <w:rFonts w:asciiTheme="majorBidi" w:hAnsiTheme="majorBidi" w:cstheme="majorBidi"/>
                <w:i/>
              </w:rPr>
              <w:t>Uplink</w:t>
            </w:r>
            <w:r w:rsidRPr="00A604A3">
              <w:rPr>
                <w:rFonts w:asciiTheme="majorBidi" w:hAnsiTheme="majorBidi" w:cstheme="majorBidi"/>
                <w:i/>
                <w:lang w:eastAsia="ja-JP"/>
              </w:rPr>
              <w:t xml:space="preserve"> </w:t>
            </w:r>
            <w:r w:rsidRPr="00A604A3">
              <w:rPr>
                <w:rFonts w:asciiTheme="majorBidi" w:hAnsiTheme="majorBidi" w:cstheme="majorBidi"/>
                <w:i/>
                <w:lang w:eastAsia="zh-CN"/>
              </w:rPr>
              <w:br/>
            </w:r>
            <w:r w:rsidRPr="00A604A3">
              <w:rPr>
                <w:rFonts w:asciiTheme="majorBidi" w:hAnsiTheme="majorBidi" w:cstheme="majorBidi"/>
                <w:i/>
              </w:rPr>
              <w:t>(bit/s/Hz)</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Indoor Hotspot – eMBB</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0.3</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0.21</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Dense Urban – eMBB (NOTE 1)</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0.225</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0.15</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Rural – eMBB</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0.12</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0.045</w:t>
            </w:r>
          </w:p>
        </w:tc>
      </w:tr>
      <w:tr w:rsidR="00AE0549" w:rsidRPr="00A604A3" w:rsidTr="00470885">
        <w:trPr>
          <w:jc w:val="center"/>
        </w:trPr>
        <w:tc>
          <w:tcPr>
            <w:tcW w:w="8657" w:type="dxa"/>
            <w:gridSpan w:val="3"/>
          </w:tcPr>
          <w:p w:rsidR="00AE0549" w:rsidRPr="00A604A3" w:rsidRDefault="00AE0549" w:rsidP="001E74CD">
            <w:pPr>
              <w:pStyle w:val="Tablelegend"/>
              <w:rPr>
                <w:i/>
                <w:iCs/>
                <w:szCs w:val="18"/>
                <w:lang w:eastAsia="zh-CN"/>
              </w:rPr>
            </w:pPr>
            <w:r w:rsidRPr="00A604A3">
              <w:rPr>
                <w:i/>
                <w:iCs/>
                <w:szCs w:val="18"/>
                <w:lang w:eastAsia="ja-JP"/>
              </w:rPr>
              <w:t xml:space="preserve">NOTE 1 – This requirement </w:t>
            </w:r>
            <w:r w:rsidRPr="00A604A3">
              <w:rPr>
                <w:i/>
                <w:iCs/>
                <w:szCs w:val="18"/>
                <w:lang w:eastAsia="zh-CN"/>
              </w:rPr>
              <w:t>will be evaluated under</w:t>
            </w:r>
            <w:r w:rsidRPr="00A604A3">
              <w:rPr>
                <w:i/>
                <w:iCs/>
                <w:szCs w:val="18"/>
                <w:lang w:eastAsia="ja-JP"/>
              </w:rPr>
              <w:t xml:space="preserve"> Macro TRxP </w:t>
            </w:r>
            <w:r w:rsidRPr="00A604A3">
              <w:rPr>
                <w:i/>
                <w:iCs/>
                <w:szCs w:val="18"/>
                <w:lang w:eastAsia="zh-CN"/>
              </w:rPr>
              <w:t>layer</w:t>
            </w:r>
            <w:r w:rsidRPr="00A604A3">
              <w:rPr>
                <w:i/>
                <w:iCs/>
                <w:szCs w:val="18"/>
                <w:lang w:eastAsia="ja-JP"/>
              </w:rPr>
              <w:t xml:space="preserve"> of Dense Urban – eMBB </w:t>
            </w:r>
            <w:r w:rsidRPr="00A604A3">
              <w:rPr>
                <w:i/>
                <w:iCs/>
                <w:szCs w:val="18"/>
                <w:lang w:eastAsia="zh-CN"/>
              </w:rPr>
              <w:t xml:space="preserve">test </w:t>
            </w:r>
            <w:r w:rsidRPr="00A604A3">
              <w:rPr>
                <w:i/>
                <w:iCs/>
                <w:szCs w:val="18"/>
                <w:lang w:eastAsia="ja-JP"/>
              </w:rPr>
              <w:t xml:space="preserve">environment as described in Report </w:t>
            </w:r>
            <w:r w:rsidRPr="00A604A3">
              <w:rPr>
                <w:i/>
                <w:iCs/>
                <w:szCs w:val="18"/>
                <w:lang w:eastAsia="ko-KR"/>
              </w:rPr>
              <w:t>ITU-R M.2412-0</w:t>
            </w:r>
            <w:r w:rsidRPr="00A604A3">
              <w:rPr>
                <w:i/>
                <w:iCs/>
                <w:szCs w:val="18"/>
                <w:lang w:eastAsia="ja-JP"/>
              </w:rPr>
              <w:t>.</w:t>
            </w:r>
          </w:p>
        </w:tc>
      </w:tr>
    </w:tbl>
    <w:p w:rsidR="00AE0549" w:rsidRPr="00A604A3" w:rsidRDefault="00AE0549" w:rsidP="001E74CD">
      <w:pPr>
        <w:pStyle w:val="Tablefin"/>
      </w:pPr>
    </w:p>
    <w:p w:rsidR="00AE0549" w:rsidRPr="00A604A3" w:rsidRDefault="001E74CD" w:rsidP="001E74CD">
      <w:pPr>
        <w:pStyle w:val="enumlev1"/>
        <w:rPr>
          <w:i/>
          <w:iCs/>
          <w:lang w:eastAsia="zh-CN"/>
        </w:rPr>
      </w:pPr>
      <w:r w:rsidRPr="00A604A3">
        <w:rPr>
          <w:i/>
          <w:iCs/>
          <w:lang w:eastAsia="zh-CN"/>
        </w:rPr>
        <w:lastRenderedPageBreak/>
        <w:tab/>
      </w:r>
      <w:r w:rsidR="00AE0549" w:rsidRPr="00A604A3">
        <w:rPr>
          <w:i/>
          <w:iCs/>
          <w:lang w:eastAsia="zh-CN"/>
        </w:rPr>
        <w:t xml:space="preserve">The performance requirement for Rural-eMBB is not applicable to Rural-eMBB LMLC (low mobility large cell) which is one of the evaluation configurations under the Rural- eMBB test environment. </w:t>
      </w:r>
    </w:p>
    <w:p w:rsidR="00AE0549" w:rsidRPr="00A604A3" w:rsidRDefault="001E74CD" w:rsidP="001E74CD">
      <w:pPr>
        <w:pStyle w:val="enumlev1"/>
        <w:rPr>
          <w:i/>
          <w:iCs/>
          <w:lang w:eastAsia="ko-KR"/>
        </w:rPr>
      </w:pPr>
      <w:r w:rsidRPr="00A604A3">
        <w:rPr>
          <w:i/>
          <w:iCs/>
          <w:lang w:eastAsia="zh-CN"/>
        </w:rPr>
        <w:tab/>
      </w:r>
      <w:r w:rsidR="00AE0549" w:rsidRPr="00A604A3">
        <w:rPr>
          <w:i/>
          <w:iCs/>
          <w:lang w:eastAsia="zh-CN"/>
        </w:rPr>
        <w:t>T</w:t>
      </w:r>
      <w:r w:rsidR="00AE0549" w:rsidRPr="00A604A3">
        <w:rPr>
          <w:i/>
          <w:iCs/>
        </w:rPr>
        <w:t xml:space="preserve">he conditions for evaluation </w:t>
      </w:r>
      <w:r w:rsidR="00AE0549" w:rsidRPr="00A604A3">
        <w:rPr>
          <w:i/>
          <w:iCs/>
          <w:lang w:eastAsia="zh-CN"/>
        </w:rPr>
        <w:t xml:space="preserve">including </w:t>
      </w:r>
      <w:r w:rsidR="00AE0549" w:rsidRPr="00A604A3">
        <w:rPr>
          <w:i/>
          <w:iCs/>
          <w:lang w:eastAsia="ko-KR"/>
        </w:rPr>
        <w:t>carrier frequency and antenna configuration are described in Report ITU-R M.2412-0 for each test environment.</w:t>
      </w:r>
    </w:p>
    <w:p w:rsidR="00AE0549" w:rsidRPr="00A604A3" w:rsidRDefault="00AE0549" w:rsidP="001E74CD">
      <w:r w:rsidRPr="00A604A3">
        <w:t xml:space="preserve">Based on the reasoning given at the beginning of Section </w:t>
      </w:r>
      <w:r w:rsidR="00AA0B2B">
        <w:t>II.5</w:t>
      </w:r>
      <w:r w:rsidRPr="00A604A3">
        <w:t>.3 only 5G-NR RIT is evaluated.</w:t>
      </w:r>
    </w:p>
    <w:p w:rsidR="00AE0549" w:rsidRPr="00A604A3" w:rsidRDefault="00AE441C" w:rsidP="00AE441C">
      <w:pPr>
        <w:pStyle w:val="Heading4"/>
        <w:rPr>
          <w:rFonts w:eastAsia="MS Mincho"/>
        </w:rPr>
      </w:pPr>
      <w:r w:rsidRPr="00A604A3">
        <w:rPr>
          <w:rFonts w:eastAsia="MS Mincho"/>
        </w:rPr>
        <w:t>II.5.4.1</w:t>
      </w:r>
      <w:r w:rsidRPr="00A604A3">
        <w:rPr>
          <w:rFonts w:eastAsia="MS Mincho"/>
        </w:rPr>
        <w:tab/>
      </w:r>
      <w:r w:rsidR="00AE0549" w:rsidRPr="00A604A3">
        <w:rPr>
          <w:rFonts w:eastAsia="MS Mincho"/>
        </w:rPr>
        <w:t>Basic parameters</w:t>
      </w:r>
    </w:p>
    <w:p w:rsidR="00AE0549" w:rsidRPr="00A604A3" w:rsidRDefault="00AE0549" w:rsidP="00AE441C">
      <w:pPr>
        <w:rPr>
          <w:rFonts w:eastAsia="MS Mincho"/>
        </w:rPr>
      </w:pPr>
      <w:r w:rsidRPr="00A604A3">
        <w:rPr>
          <w:rFonts w:eastAsia="MS Mincho"/>
        </w:rPr>
        <w:t>The 5</w:t>
      </w:r>
      <w:r w:rsidRPr="00A604A3">
        <w:rPr>
          <w:rFonts w:eastAsia="MS Mincho"/>
          <w:vertAlign w:val="superscript"/>
        </w:rPr>
        <w:t>th</w:t>
      </w:r>
      <w:r w:rsidRPr="00A604A3">
        <w:rPr>
          <w:rFonts w:eastAsia="MS Mincho"/>
        </w:rPr>
        <w:t xml:space="preserve"> percentile user spectral efficiency (SE) is evaluated by system level simulations. The used simulator is calibrated against the results of the calibration which 3GPP performed in the context of self-evaluation, see [13]. System level simulations are performed for TDD technique.</w:t>
      </w:r>
    </w:p>
    <w:p w:rsidR="00AE0549" w:rsidRPr="00A604A3" w:rsidRDefault="00AE0549" w:rsidP="00AE441C">
      <w:pPr>
        <w:rPr>
          <w:rFonts w:eastAsia="MS Mincho"/>
        </w:rPr>
      </w:pPr>
      <w:r w:rsidRPr="00A604A3">
        <w:rPr>
          <w:rFonts w:eastAsia="MS Mincho"/>
        </w:rPr>
        <w:t>Furthermore, as required in [3], the 5</w:t>
      </w:r>
      <w:r w:rsidRPr="00A604A3">
        <w:rPr>
          <w:rFonts w:eastAsia="MS Mincho"/>
          <w:vertAlign w:val="superscript"/>
        </w:rPr>
        <w:t>th</w:t>
      </w:r>
      <w:r w:rsidRPr="00A604A3">
        <w:rPr>
          <w:rFonts w:eastAsia="MS Mincho"/>
        </w:rPr>
        <w:t xml:space="preserve"> percentile user spectral efficiency is assessed jointly with the average spectral efficiency using the same simulations.</w:t>
      </w:r>
    </w:p>
    <w:p w:rsidR="00AE0549" w:rsidRPr="00A604A3" w:rsidRDefault="00AE441C" w:rsidP="00AE441C">
      <w:pPr>
        <w:pStyle w:val="Heading4"/>
        <w:rPr>
          <w:rFonts w:eastAsia="MS Mincho"/>
        </w:rPr>
      </w:pPr>
      <w:r w:rsidRPr="00A604A3">
        <w:rPr>
          <w:rFonts w:eastAsia="MS Mincho"/>
        </w:rPr>
        <w:t>II.5.4.2</w:t>
      </w:r>
      <w:r w:rsidRPr="00A604A3">
        <w:rPr>
          <w:rFonts w:eastAsia="MS Mincho"/>
        </w:rPr>
        <w:tab/>
      </w:r>
      <w:r w:rsidR="00AE0549" w:rsidRPr="00A604A3">
        <w:rPr>
          <w:rFonts w:eastAsia="MS Mincho"/>
        </w:rPr>
        <w:t>5G NR</w:t>
      </w:r>
    </w:p>
    <w:p w:rsidR="00AE0549" w:rsidRPr="00A604A3" w:rsidRDefault="00AE0549" w:rsidP="00AE441C">
      <w:r w:rsidRPr="00A604A3">
        <w:t>The evaluation of t</w:t>
      </w:r>
      <w:r w:rsidRPr="00A604A3">
        <w:rPr>
          <w:rFonts w:eastAsia="MS Mincho"/>
        </w:rPr>
        <w:t>he 5</w:t>
      </w:r>
      <w:r w:rsidRPr="00A604A3">
        <w:rPr>
          <w:rFonts w:eastAsia="MS Mincho"/>
          <w:vertAlign w:val="superscript"/>
        </w:rPr>
        <w:t>th</w:t>
      </w:r>
      <w:r w:rsidRPr="00A604A3">
        <w:rPr>
          <w:rFonts w:eastAsia="MS Mincho"/>
        </w:rPr>
        <w:t xml:space="preserve"> percentile user spectral efficiency </w:t>
      </w:r>
      <w:r w:rsidRPr="00A604A3">
        <w:t xml:space="preserve">is conducted for </w:t>
      </w:r>
      <w:r w:rsidRPr="00A604A3">
        <w:rPr>
          <w:rFonts w:eastAsia="MS Mincho"/>
        </w:rPr>
        <w:t>the three different test environments of eMBB indoor hotspot, dense urban and rural</w:t>
      </w:r>
      <w:r w:rsidRPr="00A604A3">
        <w:t>. The test environments and evaluation configuration parameters are described in [3]. Further evaluation assumptions can be found in Appendix [1], [2].</w:t>
      </w:r>
    </w:p>
    <w:p w:rsidR="00AE0549" w:rsidRPr="00A604A3" w:rsidRDefault="00AE441C" w:rsidP="00AE441C">
      <w:pPr>
        <w:pStyle w:val="Heading5"/>
        <w:rPr>
          <w:rFonts w:eastAsia="MS Mincho"/>
        </w:rPr>
      </w:pPr>
      <w:r w:rsidRPr="00A604A3">
        <w:rPr>
          <w:rFonts w:eastAsia="MS Mincho"/>
        </w:rPr>
        <w:t>II.5.4.2.1</w:t>
      </w:r>
      <w:r w:rsidRPr="00A604A3">
        <w:rPr>
          <w:rFonts w:eastAsia="MS Mincho"/>
        </w:rPr>
        <w:tab/>
      </w:r>
      <w:r w:rsidR="00AE0549" w:rsidRPr="00A604A3">
        <w:rPr>
          <w:rFonts w:eastAsia="MS Mincho"/>
        </w:rPr>
        <w:t>Indoor Hotspot – eMBB</w:t>
      </w:r>
    </w:p>
    <w:p w:rsidR="00AE0549" w:rsidRPr="00A604A3" w:rsidRDefault="00AE0549" w:rsidP="00AE441C">
      <w:pPr>
        <w:rPr>
          <w:rFonts w:eastAsia="MS Mincho"/>
        </w:rPr>
      </w:pPr>
      <w:r w:rsidRPr="00A604A3">
        <w:rPr>
          <w:rFonts w:eastAsia="MS Mincho"/>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E441C" w:rsidP="00AE441C">
      <w:pPr>
        <w:pStyle w:val="Heading6"/>
        <w:rPr>
          <w:rFonts w:eastAsia="MS Mincho"/>
        </w:rPr>
      </w:pPr>
      <w:r w:rsidRPr="00A604A3">
        <w:rPr>
          <w:rFonts w:eastAsia="MS Mincho"/>
        </w:rPr>
        <w:t>II.5.4.2.1.1</w:t>
      </w:r>
      <w:r w:rsidRPr="00A604A3">
        <w:rPr>
          <w:rFonts w:eastAsia="MS Mincho"/>
        </w:rPr>
        <w:tab/>
      </w:r>
      <w:r w:rsidR="0014157C" w:rsidRPr="00A604A3">
        <w:rPr>
          <w:rFonts w:eastAsia="MS Mincho"/>
        </w:rPr>
        <w:tab/>
      </w:r>
      <w:r w:rsidR="00AE0549" w:rsidRPr="00A604A3">
        <w:rPr>
          <w:rFonts w:eastAsia="MS Mincho"/>
        </w:rPr>
        <w:t>Evaluation configuration A (CF = 4 GHz)</w:t>
      </w:r>
    </w:p>
    <w:p w:rsidR="00AE0549" w:rsidRPr="00A604A3" w:rsidRDefault="00AE0549" w:rsidP="00AE441C">
      <w:pPr>
        <w:rPr>
          <w:rFonts w:eastAsia="MS Mincho"/>
        </w:rPr>
      </w:pPr>
      <w:r w:rsidRPr="00A604A3">
        <w:rPr>
          <w:rFonts w:eastAsia="MS Mincho"/>
        </w:rPr>
        <w:t>Table 29 and Table 30 show the evaluation results for NR TDD of downlink and uplink 5</w:t>
      </w:r>
      <w:r w:rsidRPr="00A604A3">
        <w:rPr>
          <w:rFonts w:eastAsia="MS Mincho"/>
          <w:vertAlign w:val="superscript"/>
        </w:rPr>
        <w:t>th</w:t>
      </w:r>
      <w:r w:rsidRPr="00A604A3">
        <w:rPr>
          <w:rFonts w:eastAsia="MS Mincho"/>
        </w:rPr>
        <w:t xml:space="preserve"> percentile user spectral efficiency for Indoor Hotspot – eMBB Configuration A in both operation modes.</w:t>
      </w:r>
    </w:p>
    <w:p w:rsidR="00AE441C" w:rsidRPr="00A604A3" w:rsidRDefault="00AE441C" w:rsidP="00AE441C">
      <w:pPr>
        <w:pStyle w:val="TableNo"/>
        <w:rPr>
          <w:rFonts w:eastAsia="MS Mincho"/>
        </w:rPr>
      </w:pPr>
      <w:bookmarkStart w:id="151" w:name="_Ref22555354"/>
      <w:bookmarkStart w:id="152" w:name="_Ref25433654"/>
      <w:bookmarkStart w:id="153" w:name="_Toc27919524"/>
      <w:bookmarkStart w:id="154" w:name="_Toc28265688"/>
      <w:bookmarkStart w:id="155" w:name="_Toc28276923"/>
      <w:bookmarkStart w:id="156" w:name="_Toc32066311"/>
      <w:r w:rsidRPr="00A604A3">
        <w:rPr>
          <w:rFonts w:eastAsia="MS Mincho"/>
        </w:rPr>
        <w:t>table 29</w:t>
      </w:r>
    </w:p>
    <w:p w:rsidR="00AE441C" w:rsidRPr="00A604A3" w:rsidRDefault="00AE441C" w:rsidP="00AE441C">
      <w:pPr>
        <w:pStyle w:val="Tabletitle"/>
        <w:rPr>
          <w:rFonts w:eastAsia="MS Mincho"/>
        </w:rPr>
      </w:pPr>
      <w:r w:rsidRPr="00A604A3">
        <w:rPr>
          <w:rFonts w:eastAsia="MS Mincho"/>
        </w:rPr>
        <w:t xml:space="preserve">5th percentile user SE for NR TDD with frame structure ‘DSUUD’ in Indoor Hotspot – eMBB </w:t>
      </w:r>
      <w:r w:rsidR="00CF1011" w:rsidRPr="00A604A3">
        <w:rPr>
          <w:rFonts w:eastAsia="MS Mincho"/>
        </w:rPr>
        <w:br/>
      </w:r>
      <w:r w:rsidRPr="00A604A3">
        <w:rPr>
          <w:rFonts w:eastAsia="MS Mincho"/>
        </w:rPr>
        <w:t>Config. A</w:t>
      </w:r>
      <w:bookmarkEnd w:id="151"/>
      <w:bookmarkEnd w:id="152"/>
      <w:bookmarkEnd w:id="153"/>
      <w:bookmarkEnd w:id="154"/>
      <w:bookmarkEnd w:id="155"/>
      <w:r w:rsidRPr="00A604A3">
        <w:rPr>
          <w:rFonts w:eastAsia="MS Mincho"/>
        </w:rPr>
        <w:t xml:space="preserve"> (Source 1)</w:t>
      </w:r>
      <w:bookmarkEnd w:id="156"/>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CF1011">
        <w:trPr>
          <w:jc w:val="center"/>
        </w:trPr>
        <w:tc>
          <w:tcPr>
            <w:tcW w:w="1152" w:type="dxa"/>
            <w:vAlign w:val="center"/>
          </w:tcPr>
          <w:p w:rsidR="00AE0549" w:rsidRPr="00A604A3" w:rsidRDefault="00AE0549" w:rsidP="00CF1011">
            <w:pPr>
              <w:pStyle w:val="Tablehead"/>
            </w:pPr>
          </w:p>
        </w:tc>
        <w:tc>
          <w:tcPr>
            <w:tcW w:w="3744" w:type="dxa"/>
            <w:gridSpan w:val="2"/>
            <w:vAlign w:val="center"/>
          </w:tcPr>
          <w:p w:rsidR="00AE0549" w:rsidRPr="00A604A3" w:rsidRDefault="00AE0549" w:rsidP="00CF1011">
            <w:pPr>
              <w:pStyle w:val="Tablehead"/>
            </w:pPr>
            <w:r w:rsidRPr="00A604A3">
              <w:t>5th percentile user SE [bit/s/Hz]</w:t>
            </w:r>
          </w:p>
        </w:tc>
        <w:tc>
          <w:tcPr>
            <w:tcW w:w="1872" w:type="dxa"/>
            <w:vAlign w:val="center"/>
          </w:tcPr>
          <w:p w:rsidR="00AE0549" w:rsidRPr="00A604A3" w:rsidRDefault="00AE0549" w:rsidP="00CF1011">
            <w:pPr>
              <w:pStyle w:val="Tablehead"/>
              <w:rPr>
                <w:rFonts w:eastAsia="SimSun"/>
                <w:bCs/>
                <w:lang w:eastAsia="zh-CN"/>
              </w:rPr>
            </w:pPr>
            <w:r w:rsidRPr="00A604A3">
              <w:rPr>
                <w:rFonts w:eastAsia="SimSun"/>
                <w:lang w:eastAsia="zh-CN"/>
              </w:rPr>
              <w:t>Requirement [bit/s/Hz]</w:t>
            </w:r>
          </w:p>
        </w:tc>
      </w:tr>
      <w:tr w:rsidR="00AE0549" w:rsidRPr="00A604A3" w:rsidTr="00CF1011">
        <w:trPr>
          <w:jc w:val="center"/>
        </w:trPr>
        <w:tc>
          <w:tcPr>
            <w:tcW w:w="1152" w:type="dxa"/>
            <w:vAlign w:val="center"/>
          </w:tcPr>
          <w:p w:rsidR="00AE0549" w:rsidRPr="00A604A3" w:rsidRDefault="00AE0549" w:rsidP="00CF1011">
            <w:pPr>
              <w:pStyle w:val="Tablehead"/>
            </w:pPr>
            <w:r w:rsidRPr="00A604A3">
              <w:t>Operation mode</w:t>
            </w:r>
          </w:p>
        </w:tc>
        <w:tc>
          <w:tcPr>
            <w:tcW w:w="1872" w:type="dxa"/>
            <w:vAlign w:val="center"/>
          </w:tcPr>
          <w:p w:rsidR="00AE0549" w:rsidRPr="00A604A3" w:rsidRDefault="00AE0549" w:rsidP="00CF1011">
            <w:pPr>
              <w:pStyle w:val="Tablehead"/>
              <w:rPr>
                <w:rFonts w:eastAsia="Calibri"/>
                <w:kern w:val="24"/>
              </w:rPr>
            </w:pPr>
            <w:r w:rsidRPr="00A604A3">
              <w:t>1 sector per site</w:t>
            </w:r>
          </w:p>
        </w:tc>
        <w:tc>
          <w:tcPr>
            <w:tcW w:w="1872" w:type="dxa"/>
            <w:vAlign w:val="center"/>
          </w:tcPr>
          <w:p w:rsidR="00AE0549" w:rsidRPr="00A604A3" w:rsidRDefault="00AE0549" w:rsidP="00CF1011">
            <w:pPr>
              <w:pStyle w:val="Tablehead"/>
              <w:rPr>
                <w:rFonts w:eastAsia="Calibri"/>
                <w:kern w:val="24"/>
              </w:rPr>
            </w:pPr>
            <w:r w:rsidRPr="00A604A3">
              <w:t>3 sectors per site</w:t>
            </w:r>
          </w:p>
        </w:tc>
        <w:tc>
          <w:tcPr>
            <w:tcW w:w="1872" w:type="dxa"/>
            <w:vAlign w:val="center"/>
          </w:tcPr>
          <w:p w:rsidR="00AE0549" w:rsidRPr="00A604A3" w:rsidRDefault="00AE0549" w:rsidP="00CF1011">
            <w:pPr>
              <w:pStyle w:val="Tablehead"/>
              <w:rPr>
                <w:rFonts w:eastAsia="Calibri"/>
                <w:kern w:val="24"/>
              </w:rPr>
            </w:pPr>
          </w:p>
        </w:tc>
      </w:tr>
      <w:tr w:rsidR="00AE0549" w:rsidRPr="00A604A3" w:rsidTr="00CF1011">
        <w:trPr>
          <w:jc w:val="center"/>
        </w:trPr>
        <w:tc>
          <w:tcPr>
            <w:tcW w:w="1152" w:type="dxa"/>
          </w:tcPr>
          <w:p w:rsidR="00AE0549" w:rsidRPr="00A604A3" w:rsidRDefault="00AE0549" w:rsidP="00CF1011">
            <w:pPr>
              <w:pStyle w:val="Tabletext"/>
            </w:pPr>
            <w:r w:rsidRPr="00A604A3">
              <w:t>Downlink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0.36</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0.34</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w:t>
            </w:r>
          </w:p>
        </w:tc>
      </w:tr>
      <w:tr w:rsidR="00AE0549" w:rsidRPr="00A604A3" w:rsidTr="00CF1011">
        <w:trPr>
          <w:jc w:val="center"/>
        </w:trPr>
        <w:tc>
          <w:tcPr>
            <w:tcW w:w="1152" w:type="dxa"/>
          </w:tcPr>
          <w:p w:rsidR="00AE0549" w:rsidRPr="00A604A3" w:rsidRDefault="00AE0549" w:rsidP="00CF1011">
            <w:pPr>
              <w:pStyle w:val="Tabletext"/>
            </w:pPr>
            <w:r w:rsidRPr="00A604A3">
              <w:t>Uplink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0.49</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0.31</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0.21</w:t>
            </w:r>
          </w:p>
        </w:tc>
      </w:tr>
    </w:tbl>
    <w:p w:rsidR="00AE441C" w:rsidRPr="00A604A3" w:rsidRDefault="00AE441C" w:rsidP="00AE441C">
      <w:pPr>
        <w:pStyle w:val="Tablefin"/>
      </w:pPr>
    </w:p>
    <w:p w:rsidR="00AE441C" w:rsidRPr="00A604A3" w:rsidRDefault="00AE441C" w:rsidP="00AE441C">
      <w:pPr>
        <w:pStyle w:val="TableNo"/>
        <w:rPr>
          <w:rFonts w:eastAsia="MS Mincho"/>
        </w:rPr>
      </w:pPr>
      <w:bookmarkStart w:id="157" w:name="_Ref22399252"/>
      <w:bookmarkStart w:id="158" w:name="_Toc27919525"/>
      <w:bookmarkStart w:id="159" w:name="_Toc28265689"/>
      <w:bookmarkStart w:id="160" w:name="_Toc28276924"/>
      <w:bookmarkStart w:id="161" w:name="_Toc32066312"/>
      <w:r w:rsidRPr="00A604A3">
        <w:rPr>
          <w:rFonts w:eastAsia="MS Mincho"/>
        </w:rPr>
        <w:lastRenderedPageBreak/>
        <w:t>table 30</w:t>
      </w:r>
    </w:p>
    <w:p w:rsidR="00AE441C" w:rsidRPr="00A604A3" w:rsidRDefault="00AE441C" w:rsidP="00AE441C">
      <w:pPr>
        <w:pStyle w:val="Tabletitle"/>
        <w:rPr>
          <w:rFonts w:eastAsia="MS Mincho"/>
        </w:rPr>
      </w:pPr>
      <w:r w:rsidRPr="00A604A3">
        <w:rPr>
          <w:rFonts w:eastAsia="MS Mincho"/>
        </w:rPr>
        <w:t xml:space="preserve">5th percentile user SE for NR TDD with frame structure ‘DDDSU’ in Indoor Hotspot – eMBB </w:t>
      </w:r>
      <w:r w:rsidR="00CF1011" w:rsidRPr="00A604A3">
        <w:rPr>
          <w:rFonts w:eastAsia="MS Mincho"/>
        </w:rPr>
        <w:br/>
      </w:r>
      <w:r w:rsidRPr="00A604A3">
        <w:rPr>
          <w:rFonts w:eastAsia="MS Mincho"/>
        </w:rPr>
        <w:t>Config. A</w:t>
      </w:r>
      <w:bookmarkEnd w:id="157"/>
      <w:bookmarkEnd w:id="158"/>
      <w:bookmarkEnd w:id="159"/>
      <w:bookmarkEnd w:id="160"/>
      <w:r w:rsidRPr="00A604A3">
        <w:rPr>
          <w:rFonts w:eastAsia="MS Mincho"/>
        </w:rPr>
        <w:t xml:space="preserve"> (Source 2)</w:t>
      </w:r>
      <w:bookmarkEnd w:id="161"/>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CF1011">
        <w:trPr>
          <w:jc w:val="center"/>
        </w:trPr>
        <w:tc>
          <w:tcPr>
            <w:tcW w:w="1152" w:type="dxa"/>
            <w:vAlign w:val="center"/>
          </w:tcPr>
          <w:p w:rsidR="00AE0549" w:rsidRPr="00A604A3" w:rsidRDefault="00AE0549" w:rsidP="00CF1011">
            <w:pPr>
              <w:pStyle w:val="Tablehead"/>
            </w:pPr>
          </w:p>
        </w:tc>
        <w:tc>
          <w:tcPr>
            <w:tcW w:w="3744" w:type="dxa"/>
            <w:gridSpan w:val="2"/>
            <w:vAlign w:val="center"/>
          </w:tcPr>
          <w:p w:rsidR="00AE0549" w:rsidRPr="00A604A3" w:rsidRDefault="00AE0549" w:rsidP="00CF1011">
            <w:pPr>
              <w:pStyle w:val="Tablehead"/>
            </w:pPr>
            <w:r w:rsidRPr="00A604A3">
              <w:t>5th percentile user SE [bit/s/Hz]</w:t>
            </w:r>
          </w:p>
        </w:tc>
        <w:tc>
          <w:tcPr>
            <w:tcW w:w="1872" w:type="dxa"/>
            <w:vAlign w:val="center"/>
          </w:tcPr>
          <w:p w:rsidR="00AE0549" w:rsidRPr="00A604A3" w:rsidRDefault="00AE0549" w:rsidP="00CF1011">
            <w:pPr>
              <w:pStyle w:val="Tablehead"/>
              <w:rPr>
                <w:rFonts w:eastAsia="SimSun"/>
                <w:bCs/>
                <w:lang w:eastAsia="zh-CN"/>
              </w:rPr>
            </w:pPr>
            <w:r w:rsidRPr="00A604A3">
              <w:rPr>
                <w:rFonts w:eastAsia="SimSun"/>
                <w:lang w:eastAsia="zh-CN"/>
              </w:rPr>
              <w:t>Requirement [bit/s/Hz]</w:t>
            </w:r>
          </w:p>
        </w:tc>
      </w:tr>
      <w:tr w:rsidR="00AE0549" w:rsidRPr="00A604A3" w:rsidTr="00CF1011">
        <w:trPr>
          <w:jc w:val="center"/>
        </w:trPr>
        <w:tc>
          <w:tcPr>
            <w:tcW w:w="1152" w:type="dxa"/>
            <w:vAlign w:val="center"/>
          </w:tcPr>
          <w:p w:rsidR="00AE0549" w:rsidRPr="00A604A3" w:rsidRDefault="00AE0549" w:rsidP="00CF1011">
            <w:pPr>
              <w:pStyle w:val="Tablehead"/>
            </w:pPr>
            <w:r w:rsidRPr="00A604A3">
              <w:t>Operation mode</w:t>
            </w:r>
          </w:p>
        </w:tc>
        <w:tc>
          <w:tcPr>
            <w:tcW w:w="1872" w:type="dxa"/>
            <w:vAlign w:val="center"/>
          </w:tcPr>
          <w:p w:rsidR="00AE0549" w:rsidRPr="00A604A3" w:rsidRDefault="00AE0549" w:rsidP="00CF1011">
            <w:pPr>
              <w:pStyle w:val="Tablehead"/>
              <w:rPr>
                <w:rFonts w:eastAsia="Calibri"/>
                <w:kern w:val="24"/>
              </w:rPr>
            </w:pPr>
            <w:r w:rsidRPr="00A604A3">
              <w:t>1 sector per site</w:t>
            </w:r>
          </w:p>
        </w:tc>
        <w:tc>
          <w:tcPr>
            <w:tcW w:w="1872" w:type="dxa"/>
            <w:vAlign w:val="center"/>
          </w:tcPr>
          <w:p w:rsidR="00AE0549" w:rsidRPr="00A604A3" w:rsidRDefault="00AE0549" w:rsidP="00CF1011">
            <w:pPr>
              <w:pStyle w:val="Tablehead"/>
              <w:rPr>
                <w:rFonts w:eastAsia="Calibri"/>
                <w:kern w:val="24"/>
              </w:rPr>
            </w:pPr>
            <w:r w:rsidRPr="00A604A3">
              <w:t>3 sectors per site</w:t>
            </w:r>
          </w:p>
        </w:tc>
        <w:tc>
          <w:tcPr>
            <w:tcW w:w="1872" w:type="dxa"/>
            <w:vAlign w:val="center"/>
          </w:tcPr>
          <w:p w:rsidR="00AE0549" w:rsidRPr="00A604A3" w:rsidRDefault="00AE0549" w:rsidP="00CF1011">
            <w:pPr>
              <w:pStyle w:val="Tablehead"/>
              <w:rPr>
                <w:rFonts w:eastAsia="Calibri"/>
                <w:kern w:val="24"/>
              </w:rPr>
            </w:pPr>
          </w:p>
        </w:tc>
      </w:tr>
      <w:tr w:rsidR="00AE0549" w:rsidRPr="00A604A3" w:rsidTr="00CF1011">
        <w:trPr>
          <w:jc w:val="center"/>
        </w:trPr>
        <w:tc>
          <w:tcPr>
            <w:tcW w:w="1152" w:type="dxa"/>
          </w:tcPr>
          <w:p w:rsidR="00AE0549" w:rsidRPr="00A604A3" w:rsidRDefault="00AE0549" w:rsidP="004038B0">
            <w:pPr>
              <w:pStyle w:val="Tabletext"/>
            </w:pPr>
            <w:r w:rsidRPr="00A604A3">
              <w:t>Downlink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0.39</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0.35</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w:t>
            </w:r>
          </w:p>
        </w:tc>
      </w:tr>
      <w:tr w:rsidR="00AE0549" w:rsidRPr="00A604A3" w:rsidTr="00CF1011">
        <w:trPr>
          <w:jc w:val="center"/>
        </w:trPr>
        <w:tc>
          <w:tcPr>
            <w:tcW w:w="1152" w:type="dxa"/>
          </w:tcPr>
          <w:p w:rsidR="00AE0549" w:rsidRPr="00A604A3" w:rsidRDefault="00AE0549" w:rsidP="004038B0">
            <w:pPr>
              <w:pStyle w:val="Tabletext"/>
            </w:pPr>
            <w:r w:rsidRPr="00A604A3">
              <w:t>Uplink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0.43</w:t>
            </w:r>
          </w:p>
        </w:tc>
        <w:tc>
          <w:tcPr>
            <w:tcW w:w="1872" w:type="dxa"/>
          </w:tcPr>
          <w:p w:rsidR="00AE0549" w:rsidRPr="00A604A3" w:rsidRDefault="004038B0" w:rsidP="00CF1011">
            <w:pPr>
              <w:pStyle w:val="Tabletext"/>
              <w:jc w:val="center"/>
              <w:rPr>
                <w:rFonts w:eastAsia="Calibri"/>
                <w:kern w:val="24"/>
              </w:rPr>
            </w:pPr>
            <w:r w:rsidRPr="00A604A3">
              <w:rPr>
                <w:rFonts w:eastAsia="Calibri"/>
                <w:kern w:val="24"/>
              </w:rPr>
              <w:t>–</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0.21</w:t>
            </w:r>
          </w:p>
        </w:tc>
      </w:tr>
    </w:tbl>
    <w:p w:rsidR="00AE0549" w:rsidRPr="00A604A3" w:rsidRDefault="00AE0549" w:rsidP="00AE441C">
      <w:pPr>
        <w:pStyle w:val="Tablefin"/>
      </w:pPr>
    </w:p>
    <w:p w:rsidR="00AE0549" w:rsidRPr="00A604A3" w:rsidRDefault="00AE0549" w:rsidP="00CF1011">
      <w:pPr>
        <w:rPr>
          <w:rFonts w:eastAsia="MS Mincho"/>
        </w:rPr>
      </w:pPr>
      <w:r w:rsidRPr="00A604A3">
        <w:rPr>
          <w:rFonts w:eastAsia="MS Mincho"/>
        </w:rPr>
        <w:t>It is observed that NR TDD fulfills downlink and uplink 5th percentile user spectral efficiency requirement for Indoor Hotspot – eMBB test environment in Configuration A in both operation modes.</w:t>
      </w:r>
    </w:p>
    <w:p w:rsidR="00AE0549" w:rsidRPr="00A604A3" w:rsidRDefault="00AE0549" w:rsidP="00CF1011">
      <w:pPr>
        <w:rPr>
          <w:rFonts w:eastAsia="MS Mincho"/>
        </w:rPr>
      </w:pPr>
      <w:r w:rsidRPr="00A604A3">
        <w:rPr>
          <w:rFonts w:eastAsia="MS Mincho"/>
        </w:rPr>
        <w:t>Table 31 and Table 32 are summarizing the results for NR FDD from different contributions.</w:t>
      </w:r>
    </w:p>
    <w:p w:rsidR="00FD685D" w:rsidRPr="00A604A3" w:rsidRDefault="00FD685D" w:rsidP="00FD685D">
      <w:pPr>
        <w:pStyle w:val="TableNo"/>
        <w:rPr>
          <w:rFonts w:eastAsia="MS Mincho"/>
        </w:rPr>
      </w:pPr>
      <w:bookmarkStart w:id="162" w:name="_Ref25413023"/>
      <w:bookmarkStart w:id="163" w:name="_Toc27919526"/>
      <w:bookmarkStart w:id="164" w:name="_Toc28265690"/>
      <w:bookmarkStart w:id="165" w:name="_Toc28276925"/>
      <w:bookmarkStart w:id="166" w:name="_Toc32066313"/>
      <w:r w:rsidRPr="00A604A3">
        <w:rPr>
          <w:rFonts w:eastAsia="MS Mincho"/>
        </w:rPr>
        <w:t>table 31</w:t>
      </w:r>
    </w:p>
    <w:p w:rsidR="00CF1011" w:rsidRPr="00A604A3" w:rsidRDefault="00CF1011" w:rsidP="00FD685D">
      <w:pPr>
        <w:pStyle w:val="Tabletitle"/>
        <w:rPr>
          <w:rFonts w:eastAsia="MS Mincho"/>
        </w:rPr>
      </w:pPr>
      <w:r w:rsidRPr="00A604A3">
        <w:rPr>
          <w:rFonts w:eastAsia="MS Mincho"/>
        </w:rPr>
        <w:t>5th percentile user SE for NR FDD in Indoor Hotspot – eMBB Config. A</w:t>
      </w:r>
      <w:bookmarkEnd w:id="162"/>
      <w:bookmarkEnd w:id="163"/>
      <w:bookmarkEnd w:id="164"/>
      <w:bookmarkEnd w:id="165"/>
      <w:r w:rsidRPr="00A604A3">
        <w:rPr>
          <w:rFonts w:eastAsia="MS Mincho"/>
        </w:rPr>
        <w:t xml:space="preserve"> (Source 1)</w:t>
      </w:r>
      <w:bookmarkEnd w:id="166"/>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FD685D">
        <w:trPr>
          <w:cantSplit/>
          <w:jc w:val="center"/>
        </w:trPr>
        <w:tc>
          <w:tcPr>
            <w:tcW w:w="1152" w:type="dxa"/>
            <w:vAlign w:val="center"/>
          </w:tcPr>
          <w:p w:rsidR="00AE0549" w:rsidRPr="00A604A3" w:rsidRDefault="00AE0549" w:rsidP="00FD685D">
            <w:pPr>
              <w:pStyle w:val="Tablehead"/>
            </w:pPr>
          </w:p>
        </w:tc>
        <w:tc>
          <w:tcPr>
            <w:tcW w:w="3744" w:type="dxa"/>
            <w:gridSpan w:val="2"/>
            <w:vAlign w:val="center"/>
          </w:tcPr>
          <w:p w:rsidR="00AE0549" w:rsidRPr="00A604A3" w:rsidRDefault="00AE0549" w:rsidP="00FD685D">
            <w:pPr>
              <w:pStyle w:val="Tablehead"/>
            </w:pPr>
            <w:r w:rsidRPr="00A604A3">
              <w:t>5th percentile user SE [bit/s/Hz]</w:t>
            </w:r>
          </w:p>
        </w:tc>
        <w:tc>
          <w:tcPr>
            <w:tcW w:w="1872" w:type="dxa"/>
            <w:vAlign w:val="center"/>
          </w:tcPr>
          <w:p w:rsidR="00AE0549" w:rsidRPr="00A604A3" w:rsidRDefault="00AE0549" w:rsidP="00FD685D">
            <w:pPr>
              <w:pStyle w:val="Tablehead"/>
              <w:rPr>
                <w:rFonts w:eastAsia="SimSun"/>
                <w:bCs/>
                <w:lang w:eastAsia="zh-CN"/>
              </w:rPr>
            </w:pPr>
            <w:r w:rsidRPr="00A604A3">
              <w:rPr>
                <w:rFonts w:eastAsia="SimSun"/>
                <w:lang w:eastAsia="zh-CN"/>
              </w:rPr>
              <w:t>Requirement [bit/s/Hz]</w:t>
            </w:r>
          </w:p>
        </w:tc>
      </w:tr>
      <w:tr w:rsidR="00AE0549" w:rsidRPr="00A604A3" w:rsidTr="00FD685D">
        <w:trPr>
          <w:cantSplit/>
          <w:jc w:val="center"/>
        </w:trPr>
        <w:tc>
          <w:tcPr>
            <w:tcW w:w="1152" w:type="dxa"/>
            <w:vAlign w:val="center"/>
          </w:tcPr>
          <w:p w:rsidR="00AE0549" w:rsidRPr="00A604A3" w:rsidRDefault="00AE0549" w:rsidP="00FD685D">
            <w:pPr>
              <w:pStyle w:val="Tablehead"/>
            </w:pPr>
            <w:r w:rsidRPr="00A604A3">
              <w:t>Operation mode</w:t>
            </w:r>
          </w:p>
        </w:tc>
        <w:tc>
          <w:tcPr>
            <w:tcW w:w="1872" w:type="dxa"/>
            <w:vAlign w:val="center"/>
          </w:tcPr>
          <w:p w:rsidR="00AE0549" w:rsidRPr="00A604A3" w:rsidRDefault="00AE0549" w:rsidP="00FD685D">
            <w:pPr>
              <w:pStyle w:val="Tablehead"/>
              <w:rPr>
                <w:rFonts w:eastAsia="Calibri"/>
                <w:kern w:val="24"/>
              </w:rPr>
            </w:pPr>
            <w:r w:rsidRPr="00A604A3">
              <w:t>1 sector per site</w:t>
            </w:r>
          </w:p>
        </w:tc>
        <w:tc>
          <w:tcPr>
            <w:tcW w:w="1872" w:type="dxa"/>
            <w:vAlign w:val="center"/>
          </w:tcPr>
          <w:p w:rsidR="00AE0549" w:rsidRPr="00A604A3" w:rsidRDefault="00AE0549" w:rsidP="00FD685D">
            <w:pPr>
              <w:pStyle w:val="Tablehead"/>
              <w:rPr>
                <w:rFonts w:eastAsia="Calibri"/>
                <w:kern w:val="24"/>
              </w:rPr>
            </w:pPr>
            <w:r w:rsidRPr="00A604A3">
              <w:t>3 sectors per site</w:t>
            </w:r>
          </w:p>
        </w:tc>
        <w:tc>
          <w:tcPr>
            <w:tcW w:w="1872" w:type="dxa"/>
            <w:vAlign w:val="center"/>
          </w:tcPr>
          <w:p w:rsidR="00AE0549" w:rsidRPr="00A604A3" w:rsidRDefault="00AE0549" w:rsidP="00FD685D">
            <w:pPr>
              <w:pStyle w:val="Tablehead"/>
              <w:rPr>
                <w:rFonts w:eastAsia="Calibri"/>
                <w:kern w:val="24"/>
              </w:rPr>
            </w:pPr>
          </w:p>
        </w:tc>
      </w:tr>
      <w:tr w:rsidR="00AE0549" w:rsidRPr="00A604A3" w:rsidTr="00FD685D">
        <w:trPr>
          <w:cantSplit/>
          <w:jc w:val="center"/>
        </w:trPr>
        <w:tc>
          <w:tcPr>
            <w:tcW w:w="1152" w:type="dxa"/>
          </w:tcPr>
          <w:p w:rsidR="00AE0549" w:rsidRPr="00A604A3" w:rsidRDefault="00AE0549" w:rsidP="00FD685D">
            <w:pPr>
              <w:pStyle w:val="Tabletext"/>
            </w:pPr>
            <w:r w:rsidRPr="00A604A3">
              <w:t>Downlink</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0.37</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0.31</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w:t>
            </w:r>
          </w:p>
        </w:tc>
      </w:tr>
      <w:tr w:rsidR="00AE0549" w:rsidRPr="00A604A3" w:rsidTr="00FD685D">
        <w:trPr>
          <w:cantSplit/>
          <w:jc w:val="center"/>
        </w:trPr>
        <w:tc>
          <w:tcPr>
            <w:tcW w:w="1152" w:type="dxa"/>
          </w:tcPr>
          <w:p w:rsidR="00AE0549" w:rsidRPr="00A604A3" w:rsidRDefault="00AE0549" w:rsidP="00FD685D">
            <w:pPr>
              <w:pStyle w:val="Tabletext"/>
            </w:pPr>
            <w:r w:rsidRPr="00A604A3">
              <w:t>Uplink</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0.48</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0.28</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0.21</w:t>
            </w:r>
          </w:p>
        </w:tc>
      </w:tr>
    </w:tbl>
    <w:p w:rsidR="00FD685D" w:rsidRPr="00A604A3" w:rsidRDefault="00FD685D" w:rsidP="00FD685D">
      <w:pPr>
        <w:pStyle w:val="Tablefin"/>
      </w:pPr>
      <w:bookmarkStart w:id="167" w:name="_Ref25435056"/>
      <w:bookmarkStart w:id="168" w:name="_Toc27919527"/>
      <w:bookmarkStart w:id="169" w:name="_Toc28265691"/>
      <w:bookmarkStart w:id="170" w:name="_Toc28276926"/>
      <w:bookmarkStart w:id="171" w:name="_Toc32066314"/>
    </w:p>
    <w:p w:rsidR="00FD685D" w:rsidRPr="00A604A3" w:rsidRDefault="00FD685D" w:rsidP="00FD685D">
      <w:pPr>
        <w:pStyle w:val="TableNo"/>
        <w:rPr>
          <w:rFonts w:eastAsia="MS Mincho"/>
        </w:rPr>
      </w:pPr>
      <w:r w:rsidRPr="00A604A3">
        <w:rPr>
          <w:rFonts w:eastAsia="MS Mincho"/>
        </w:rPr>
        <w:t>table 32</w:t>
      </w:r>
    </w:p>
    <w:p w:rsidR="00CF1011" w:rsidRPr="00A604A3" w:rsidRDefault="00CF1011" w:rsidP="00FD685D">
      <w:pPr>
        <w:pStyle w:val="Tabletitle"/>
        <w:rPr>
          <w:rFonts w:eastAsia="MS Mincho"/>
        </w:rPr>
      </w:pPr>
      <w:r w:rsidRPr="00A604A3">
        <w:rPr>
          <w:rFonts w:eastAsia="MS Mincho"/>
        </w:rPr>
        <w:t>5th percentile user SE for NR FDD in Indoor Hotspot – eMBB Config. A</w:t>
      </w:r>
      <w:bookmarkEnd w:id="167"/>
      <w:bookmarkEnd w:id="168"/>
      <w:bookmarkEnd w:id="169"/>
      <w:bookmarkEnd w:id="170"/>
      <w:r w:rsidRPr="00A604A3">
        <w:rPr>
          <w:rFonts w:eastAsia="MS Mincho"/>
        </w:rPr>
        <w:t xml:space="preserve"> (Source 2)</w:t>
      </w:r>
      <w:bookmarkEnd w:id="171"/>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14157C">
        <w:trPr>
          <w:cantSplit/>
          <w:jc w:val="center"/>
        </w:trPr>
        <w:tc>
          <w:tcPr>
            <w:tcW w:w="1152" w:type="dxa"/>
            <w:vAlign w:val="center"/>
          </w:tcPr>
          <w:p w:rsidR="00AE0549" w:rsidRPr="00A604A3" w:rsidRDefault="00AE0549" w:rsidP="0014157C">
            <w:pPr>
              <w:pStyle w:val="Tablehead"/>
            </w:pPr>
          </w:p>
        </w:tc>
        <w:tc>
          <w:tcPr>
            <w:tcW w:w="3744" w:type="dxa"/>
            <w:gridSpan w:val="2"/>
            <w:vAlign w:val="center"/>
          </w:tcPr>
          <w:p w:rsidR="00AE0549" w:rsidRPr="00A604A3" w:rsidRDefault="00AE0549" w:rsidP="0014157C">
            <w:pPr>
              <w:pStyle w:val="Tablehead"/>
            </w:pPr>
            <w:r w:rsidRPr="00A604A3">
              <w:t>5th percentile user SE [bit/s/Hz]</w:t>
            </w:r>
          </w:p>
        </w:tc>
        <w:tc>
          <w:tcPr>
            <w:tcW w:w="1872" w:type="dxa"/>
            <w:vAlign w:val="center"/>
          </w:tcPr>
          <w:p w:rsidR="00AE0549" w:rsidRPr="00A604A3" w:rsidRDefault="00AE0549" w:rsidP="0014157C">
            <w:pPr>
              <w:pStyle w:val="Tablehead"/>
              <w:rPr>
                <w:rFonts w:eastAsia="SimSun"/>
                <w:bCs/>
                <w:lang w:eastAsia="zh-CN"/>
              </w:rPr>
            </w:pPr>
            <w:r w:rsidRPr="00A604A3">
              <w:rPr>
                <w:rFonts w:eastAsia="SimSun"/>
                <w:lang w:eastAsia="zh-CN"/>
              </w:rPr>
              <w:t>Requirement [bit/s/Hz]</w:t>
            </w:r>
          </w:p>
        </w:tc>
      </w:tr>
      <w:tr w:rsidR="00AE0549" w:rsidRPr="00A604A3" w:rsidTr="0014157C">
        <w:trPr>
          <w:cantSplit/>
          <w:jc w:val="center"/>
        </w:trPr>
        <w:tc>
          <w:tcPr>
            <w:tcW w:w="1152" w:type="dxa"/>
            <w:vAlign w:val="center"/>
          </w:tcPr>
          <w:p w:rsidR="00AE0549" w:rsidRPr="00A604A3" w:rsidRDefault="00AE0549" w:rsidP="0014157C">
            <w:pPr>
              <w:pStyle w:val="Tablehead"/>
            </w:pPr>
            <w:r w:rsidRPr="00A604A3">
              <w:t>Operation mode</w:t>
            </w:r>
          </w:p>
        </w:tc>
        <w:tc>
          <w:tcPr>
            <w:tcW w:w="1872" w:type="dxa"/>
            <w:vAlign w:val="center"/>
          </w:tcPr>
          <w:p w:rsidR="00AE0549" w:rsidRPr="00A604A3" w:rsidRDefault="00AE0549" w:rsidP="0014157C">
            <w:pPr>
              <w:pStyle w:val="Tablehead"/>
              <w:rPr>
                <w:rFonts w:eastAsia="Calibri"/>
                <w:kern w:val="24"/>
              </w:rPr>
            </w:pPr>
            <w:r w:rsidRPr="00A604A3">
              <w:t>1 sector per site</w:t>
            </w:r>
          </w:p>
        </w:tc>
        <w:tc>
          <w:tcPr>
            <w:tcW w:w="1872" w:type="dxa"/>
            <w:vAlign w:val="center"/>
          </w:tcPr>
          <w:p w:rsidR="00AE0549" w:rsidRPr="00A604A3" w:rsidRDefault="00AE0549" w:rsidP="0014157C">
            <w:pPr>
              <w:pStyle w:val="Tablehead"/>
              <w:rPr>
                <w:rFonts w:eastAsia="Calibri"/>
                <w:kern w:val="24"/>
              </w:rPr>
            </w:pPr>
            <w:r w:rsidRPr="00A604A3">
              <w:t>3 sectors per site</w:t>
            </w:r>
          </w:p>
        </w:tc>
        <w:tc>
          <w:tcPr>
            <w:tcW w:w="1872" w:type="dxa"/>
            <w:vAlign w:val="center"/>
          </w:tcPr>
          <w:p w:rsidR="00AE0549" w:rsidRPr="00A604A3" w:rsidRDefault="00AE0549" w:rsidP="0014157C">
            <w:pPr>
              <w:pStyle w:val="Tablehead"/>
              <w:rPr>
                <w:rFonts w:eastAsia="Calibri"/>
                <w:kern w:val="24"/>
              </w:rPr>
            </w:pPr>
          </w:p>
        </w:tc>
      </w:tr>
      <w:tr w:rsidR="00AE0549" w:rsidRPr="00A604A3" w:rsidTr="00FD685D">
        <w:trPr>
          <w:cantSplit/>
          <w:jc w:val="center"/>
        </w:trPr>
        <w:tc>
          <w:tcPr>
            <w:tcW w:w="1152" w:type="dxa"/>
          </w:tcPr>
          <w:p w:rsidR="00AE0549" w:rsidRPr="00A604A3" w:rsidRDefault="00AE0549" w:rsidP="00FD685D">
            <w:pPr>
              <w:pStyle w:val="Tabletext"/>
            </w:pPr>
            <w:r w:rsidRPr="00A604A3">
              <w:t>Downlink</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0.39</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0.36</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w:t>
            </w:r>
          </w:p>
        </w:tc>
      </w:tr>
      <w:tr w:rsidR="00AE0549" w:rsidRPr="00A604A3" w:rsidTr="00FD685D">
        <w:trPr>
          <w:cantSplit/>
          <w:jc w:val="center"/>
        </w:trPr>
        <w:tc>
          <w:tcPr>
            <w:tcW w:w="1152" w:type="dxa"/>
          </w:tcPr>
          <w:p w:rsidR="00AE0549" w:rsidRPr="00A604A3" w:rsidRDefault="00AE0549" w:rsidP="00FD685D">
            <w:pPr>
              <w:pStyle w:val="Tabletext"/>
            </w:pPr>
            <w:r w:rsidRPr="00A604A3">
              <w:t>Uplink</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0.55</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0.59</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0.21</w:t>
            </w:r>
          </w:p>
        </w:tc>
      </w:tr>
    </w:tbl>
    <w:p w:rsidR="00AE0549" w:rsidRPr="00A604A3" w:rsidRDefault="00AE0549" w:rsidP="00FD685D">
      <w:pPr>
        <w:pStyle w:val="Tablefin"/>
      </w:pPr>
    </w:p>
    <w:p w:rsidR="00AE0549" w:rsidRPr="00A604A3" w:rsidRDefault="00AE0549" w:rsidP="0014157C">
      <w:pPr>
        <w:rPr>
          <w:rFonts w:eastAsia="MS Mincho"/>
        </w:rPr>
      </w:pPr>
      <w:r w:rsidRPr="00A604A3">
        <w:rPr>
          <w:rFonts w:eastAsia="MS Mincho"/>
        </w:rPr>
        <w:t>It is observed that NR FDD fulfils the uplink 5th percentile user spectral efficiency requirement for Indoor Hotspot – eMBB test environment in Configuration A in both operation modes.</w:t>
      </w:r>
    </w:p>
    <w:p w:rsidR="00AE0549" w:rsidRPr="00A604A3" w:rsidRDefault="0014157C" w:rsidP="0014157C">
      <w:pPr>
        <w:pStyle w:val="Heading6"/>
        <w:rPr>
          <w:rFonts w:eastAsia="MS Mincho"/>
        </w:rPr>
      </w:pPr>
      <w:r w:rsidRPr="00A604A3">
        <w:rPr>
          <w:rFonts w:eastAsia="MS Mincho"/>
        </w:rPr>
        <w:t>II.5.4.2.1.2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14157C">
      <w:pPr>
        <w:rPr>
          <w:rFonts w:eastAsia="MS Mincho"/>
        </w:rPr>
      </w:pPr>
      <w:r w:rsidRPr="00A604A3">
        <w:rPr>
          <w:rFonts w:eastAsia="MS Mincho"/>
        </w:rPr>
        <w:t>Table 33 and Table 34 show the evaluation results for NR TDD of downlink and uplink 5</w:t>
      </w:r>
      <w:r w:rsidRPr="00A604A3">
        <w:rPr>
          <w:rFonts w:eastAsia="MS Mincho"/>
          <w:vertAlign w:val="superscript"/>
        </w:rPr>
        <w:t>th</w:t>
      </w:r>
      <w:r w:rsidRPr="00A604A3">
        <w:rPr>
          <w:rFonts w:eastAsia="MS Mincho"/>
        </w:rPr>
        <w:t xml:space="preserve"> percentile user spectral efficiency for Indoor Hotspot – eMBB Configuration B in both operation modes.</w:t>
      </w:r>
    </w:p>
    <w:p w:rsidR="00BC0384" w:rsidRPr="00A604A3" w:rsidRDefault="004038B0" w:rsidP="004038B0">
      <w:pPr>
        <w:pStyle w:val="TableNo"/>
        <w:rPr>
          <w:rFonts w:eastAsia="MS Mincho"/>
        </w:rPr>
      </w:pPr>
      <w:bookmarkStart w:id="172" w:name="_Ref22555502"/>
      <w:bookmarkStart w:id="173" w:name="_Ref25413444"/>
      <w:bookmarkStart w:id="174" w:name="_Toc27919529"/>
      <w:bookmarkStart w:id="175" w:name="_Toc28265693"/>
      <w:bookmarkStart w:id="176" w:name="_Toc28276928"/>
      <w:bookmarkStart w:id="177" w:name="_Toc32066316"/>
      <w:r w:rsidRPr="00A604A3">
        <w:rPr>
          <w:rFonts w:eastAsia="MS Mincho"/>
        </w:rPr>
        <w:lastRenderedPageBreak/>
        <w:t>table 33</w:t>
      </w:r>
    </w:p>
    <w:p w:rsidR="0014157C" w:rsidRPr="00A604A3" w:rsidRDefault="0014157C" w:rsidP="0014157C">
      <w:pPr>
        <w:pStyle w:val="Tabletitle"/>
        <w:rPr>
          <w:rFonts w:eastAsia="MS Mincho"/>
        </w:rPr>
      </w:pPr>
      <w:r w:rsidRPr="00A604A3">
        <w:rPr>
          <w:rFonts w:eastAsia="MS Mincho"/>
        </w:rPr>
        <w:t xml:space="preserve">5th percentile user SE for NR TDD with frame structure ‘DSUUD’ in Indoor Hotspot – eMBB </w:t>
      </w:r>
      <w:r w:rsidRPr="00A604A3">
        <w:rPr>
          <w:rFonts w:eastAsia="MS Mincho"/>
        </w:rPr>
        <w:br/>
        <w:t>Config. B</w:t>
      </w:r>
      <w:bookmarkEnd w:id="172"/>
      <w:bookmarkEnd w:id="173"/>
      <w:bookmarkEnd w:id="174"/>
      <w:bookmarkEnd w:id="175"/>
      <w:bookmarkEnd w:id="176"/>
      <w:r w:rsidRPr="00A604A3">
        <w:rPr>
          <w:rFonts w:eastAsia="MS Mincho"/>
        </w:rPr>
        <w:t xml:space="preserve"> (Source 1)</w:t>
      </w:r>
      <w:bookmarkEnd w:id="177"/>
    </w:p>
    <w:tbl>
      <w:tblPr>
        <w:tblStyle w:val="TableGrid"/>
        <w:tblW w:w="6426" w:type="dxa"/>
        <w:jc w:val="center"/>
        <w:tblLook w:val="04A0" w:firstRow="1" w:lastRow="0" w:firstColumn="1" w:lastColumn="0" w:noHBand="0" w:noVBand="1"/>
      </w:tblPr>
      <w:tblGrid>
        <w:gridCol w:w="1417"/>
        <w:gridCol w:w="1701"/>
        <w:gridCol w:w="1701"/>
        <w:gridCol w:w="1607"/>
      </w:tblGrid>
      <w:tr w:rsidR="00AE0549" w:rsidRPr="00A604A3" w:rsidTr="00BE4075">
        <w:trPr>
          <w:cantSplit/>
          <w:jc w:val="center"/>
        </w:trPr>
        <w:tc>
          <w:tcPr>
            <w:tcW w:w="1417" w:type="dxa"/>
            <w:vAlign w:val="center"/>
          </w:tcPr>
          <w:p w:rsidR="00AE0549" w:rsidRPr="00A604A3" w:rsidRDefault="00AE0549" w:rsidP="004038B0">
            <w:pPr>
              <w:pStyle w:val="Tablehead"/>
            </w:pPr>
          </w:p>
        </w:tc>
        <w:tc>
          <w:tcPr>
            <w:tcW w:w="3402" w:type="dxa"/>
            <w:gridSpan w:val="2"/>
            <w:vAlign w:val="center"/>
          </w:tcPr>
          <w:p w:rsidR="00AE0549" w:rsidRPr="00A604A3" w:rsidRDefault="00AE0549" w:rsidP="004038B0">
            <w:pPr>
              <w:pStyle w:val="Tablehead"/>
            </w:pPr>
            <w:r w:rsidRPr="00A604A3">
              <w:t>5th percentile user SE [bit/s/Hz]</w:t>
            </w:r>
          </w:p>
        </w:tc>
        <w:tc>
          <w:tcPr>
            <w:tcW w:w="1607" w:type="dxa"/>
            <w:vAlign w:val="center"/>
          </w:tcPr>
          <w:p w:rsidR="00AE0549" w:rsidRPr="00A604A3" w:rsidRDefault="00AE0549" w:rsidP="004038B0">
            <w:pPr>
              <w:pStyle w:val="Tablehead"/>
              <w:rPr>
                <w:rFonts w:eastAsia="SimSun"/>
                <w:bCs/>
                <w:lang w:eastAsia="zh-CN"/>
              </w:rPr>
            </w:pPr>
            <w:r w:rsidRPr="00A604A3">
              <w:rPr>
                <w:rFonts w:eastAsia="SimSun"/>
                <w:lang w:eastAsia="zh-CN"/>
              </w:rPr>
              <w:t>Requirement [bit/s/Hz]</w:t>
            </w:r>
          </w:p>
        </w:tc>
      </w:tr>
      <w:tr w:rsidR="00AE0549" w:rsidRPr="00A604A3" w:rsidTr="00BE4075">
        <w:trPr>
          <w:cantSplit/>
          <w:jc w:val="center"/>
        </w:trPr>
        <w:tc>
          <w:tcPr>
            <w:tcW w:w="1417" w:type="dxa"/>
            <w:vAlign w:val="center"/>
          </w:tcPr>
          <w:p w:rsidR="00AE0549" w:rsidRPr="00A604A3" w:rsidRDefault="00AE0549" w:rsidP="004038B0">
            <w:pPr>
              <w:pStyle w:val="Tablehead"/>
            </w:pPr>
            <w:r w:rsidRPr="00A604A3">
              <w:t>Operation mode</w:t>
            </w:r>
          </w:p>
        </w:tc>
        <w:tc>
          <w:tcPr>
            <w:tcW w:w="1701" w:type="dxa"/>
            <w:vAlign w:val="center"/>
          </w:tcPr>
          <w:p w:rsidR="00AE0549" w:rsidRPr="00A604A3" w:rsidRDefault="00AE0549" w:rsidP="004038B0">
            <w:pPr>
              <w:pStyle w:val="Tablehead"/>
              <w:rPr>
                <w:rFonts w:eastAsia="Calibri"/>
                <w:kern w:val="24"/>
              </w:rPr>
            </w:pPr>
            <w:r w:rsidRPr="00A604A3">
              <w:t>1 sector per site</w:t>
            </w:r>
          </w:p>
        </w:tc>
        <w:tc>
          <w:tcPr>
            <w:tcW w:w="1701" w:type="dxa"/>
            <w:vAlign w:val="center"/>
          </w:tcPr>
          <w:p w:rsidR="00AE0549" w:rsidRPr="00A604A3" w:rsidRDefault="00AE0549" w:rsidP="004038B0">
            <w:pPr>
              <w:pStyle w:val="Tablehead"/>
              <w:rPr>
                <w:rFonts w:eastAsia="Calibri"/>
                <w:kern w:val="24"/>
              </w:rPr>
            </w:pPr>
            <w:r w:rsidRPr="00A604A3">
              <w:t>3 sectors per site</w:t>
            </w:r>
          </w:p>
        </w:tc>
        <w:tc>
          <w:tcPr>
            <w:tcW w:w="1607" w:type="dxa"/>
            <w:vAlign w:val="center"/>
          </w:tcPr>
          <w:p w:rsidR="00AE0549" w:rsidRPr="00A604A3" w:rsidRDefault="00AE0549" w:rsidP="004038B0">
            <w:pPr>
              <w:pStyle w:val="Tablehead"/>
              <w:rPr>
                <w:rFonts w:eastAsia="Calibri"/>
                <w:kern w:val="24"/>
              </w:rPr>
            </w:pPr>
          </w:p>
        </w:tc>
      </w:tr>
      <w:tr w:rsidR="00AE0549" w:rsidRPr="00A604A3" w:rsidTr="00BE4075">
        <w:trPr>
          <w:cantSplit/>
          <w:jc w:val="center"/>
        </w:trPr>
        <w:tc>
          <w:tcPr>
            <w:tcW w:w="1417" w:type="dxa"/>
          </w:tcPr>
          <w:p w:rsidR="00AE0549" w:rsidRPr="00A604A3" w:rsidRDefault="00AE0549" w:rsidP="004038B0">
            <w:pPr>
              <w:pStyle w:val="Tabletext"/>
            </w:pPr>
            <w:r w:rsidRPr="00A604A3">
              <w:t>Downlink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0.48</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0.34</w:t>
            </w:r>
          </w:p>
        </w:tc>
        <w:tc>
          <w:tcPr>
            <w:tcW w:w="1607" w:type="dxa"/>
          </w:tcPr>
          <w:p w:rsidR="00AE0549" w:rsidRPr="00A604A3" w:rsidRDefault="00AE0549" w:rsidP="004038B0">
            <w:pPr>
              <w:pStyle w:val="Tabletext"/>
              <w:jc w:val="center"/>
              <w:rPr>
                <w:rFonts w:eastAsia="Calibri"/>
                <w:kern w:val="24"/>
              </w:rPr>
            </w:pPr>
            <w:r w:rsidRPr="00A604A3">
              <w:rPr>
                <w:rFonts w:eastAsia="Calibri"/>
                <w:kern w:val="24"/>
              </w:rPr>
              <w:t>0.3</w:t>
            </w:r>
          </w:p>
        </w:tc>
      </w:tr>
      <w:tr w:rsidR="00AE0549" w:rsidRPr="00A604A3" w:rsidTr="00BE4075">
        <w:trPr>
          <w:cantSplit/>
          <w:jc w:val="center"/>
        </w:trPr>
        <w:tc>
          <w:tcPr>
            <w:tcW w:w="1417" w:type="dxa"/>
          </w:tcPr>
          <w:p w:rsidR="00AE0549" w:rsidRPr="00A604A3" w:rsidRDefault="00AE0549" w:rsidP="004038B0">
            <w:pPr>
              <w:pStyle w:val="Tabletext"/>
            </w:pPr>
            <w:r w:rsidRPr="00A604A3">
              <w:t>Uplink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0.40</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0.23</w:t>
            </w:r>
          </w:p>
        </w:tc>
        <w:tc>
          <w:tcPr>
            <w:tcW w:w="1607" w:type="dxa"/>
          </w:tcPr>
          <w:p w:rsidR="00AE0549" w:rsidRPr="00A604A3" w:rsidRDefault="00AE0549" w:rsidP="004038B0">
            <w:pPr>
              <w:pStyle w:val="Tabletext"/>
              <w:jc w:val="center"/>
              <w:rPr>
                <w:rFonts w:eastAsia="Calibri"/>
                <w:kern w:val="24"/>
              </w:rPr>
            </w:pPr>
            <w:r w:rsidRPr="00A604A3">
              <w:rPr>
                <w:rFonts w:eastAsia="Calibri"/>
                <w:kern w:val="24"/>
              </w:rPr>
              <w:t>0.21</w:t>
            </w:r>
          </w:p>
        </w:tc>
      </w:tr>
    </w:tbl>
    <w:p w:rsidR="00BC0384" w:rsidRPr="00A604A3" w:rsidRDefault="00BC0384" w:rsidP="00BC0384">
      <w:pPr>
        <w:pStyle w:val="Tablefin"/>
      </w:pPr>
      <w:bookmarkStart w:id="178" w:name="_Ref22399273"/>
      <w:bookmarkStart w:id="179" w:name="_Toc27919530"/>
      <w:bookmarkStart w:id="180" w:name="_Toc28265694"/>
      <w:bookmarkStart w:id="181" w:name="_Toc28276929"/>
      <w:bookmarkStart w:id="182" w:name="_Toc32066317"/>
    </w:p>
    <w:p w:rsidR="00BC0384" w:rsidRPr="00A604A3" w:rsidRDefault="004038B0" w:rsidP="004038B0">
      <w:pPr>
        <w:pStyle w:val="TableNo"/>
        <w:rPr>
          <w:rFonts w:eastAsia="MS Mincho"/>
        </w:rPr>
      </w:pPr>
      <w:r w:rsidRPr="00A604A3">
        <w:rPr>
          <w:rFonts w:eastAsia="MS Mincho"/>
        </w:rPr>
        <w:t>table 34</w:t>
      </w:r>
    </w:p>
    <w:p w:rsidR="0014157C" w:rsidRPr="00A604A3" w:rsidRDefault="0014157C" w:rsidP="0014157C">
      <w:pPr>
        <w:pStyle w:val="Tabletitle"/>
        <w:rPr>
          <w:rFonts w:eastAsia="MS Mincho"/>
        </w:rPr>
      </w:pPr>
      <w:r w:rsidRPr="00A604A3">
        <w:rPr>
          <w:rFonts w:eastAsia="MS Mincho"/>
        </w:rPr>
        <w:t xml:space="preserve">5th percentile user SE for NR TDD with frame structure ‘DDDSU’ in Indoor Hotspot – eMBB </w:t>
      </w:r>
      <w:r w:rsidRPr="00A604A3">
        <w:rPr>
          <w:rFonts w:eastAsia="MS Mincho"/>
        </w:rPr>
        <w:br/>
        <w:t>Config. B</w:t>
      </w:r>
      <w:bookmarkEnd w:id="178"/>
      <w:bookmarkEnd w:id="179"/>
      <w:bookmarkEnd w:id="180"/>
      <w:bookmarkEnd w:id="181"/>
      <w:r w:rsidRPr="00A604A3">
        <w:rPr>
          <w:rFonts w:eastAsia="MS Mincho"/>
        </w:rPr>
        <w:t xml:space="preserve"> (Source 2)</w:t>
      </w:r>
      <w:bookmarkEnd w:id="182"/>
    </w:p>
    <w:tbl>
      <w:tblPr>
        <w:tblStyle w:val="TableGrid"/>
        <w:tblW w:w="6497" w:type="dxa"/>
        <w:jc w:val="center"/>
        <w:tblLook w:val="04A0" w:firstRow="1" w:lastRow="0" w:firstColumn="1" w:lastColumn="0" w:noHBand="0" w:noVBand="1"/>
      </w:tblPr>
      <w:tblGrid>
        <w:gridCol w:w="1417"/>
        <w:gridCol w:w="1701"/>
        <w:gridCol w:w="1701"/>
        <w:gridCol w:w="1678"/>
      </w:tblGrid>
      <w:tr w:rsidR="00AE0549" w:rsidRPr="00A604A3" w:rsidTr="008E3BCC">
        <w:trPr>
          <w:cantSplit/>
          <w:jc w:val="center"/>
        </w:trPr>
        <w:tc>
          <w:tcPr>
            <w:tcW w:w="1417" w:type="dxa"/>
            <w:vAlign w:val="center"/>
          </w:tcPr>
          <w:p w:rsidR="00AE0549" w:rsidRPr="00A604A3" w:rsidRDefault="00AE0549" w:rsidP="004038B0">
            <w:pPr>
              <w:pStyle w:val="Tablehead"/>
            </w:pPr>
          </w:p>
        </w:tc>
        <w:tc>
          <w:tcPr>
            <w:tcW w:w="3402" w:type="dxa"/>
            <w:gridSpan w:val="2"/>
            <w:vAlign w:val="center"/>
          </w:tcPr>
          <w:p w:rsidR="00AE0549" w:rsidRPr="00A604A3" w:rsidRDefault="00AE0549" w:rsidP="004038B0">
            <w:pPr>
              <w:pStyle w:val="Tablehead"/>
            </w:pPr>
            <w:r w:rsidRPr="00A604A3">
              <w:t>5th percentile user SE [bit/s/Hz]</w:t>
            </w:r>
          </w:p>
        </w:tc>
        <w:tc>
          <w:tcPr>
            <w:tcW w:w="1678" w:type="dxa"/>
            <w:vAlign w:val="center"/>
          </w:tcPr>
          <w:p w:rsidR="00AE0549" w:rsidRPr="00A604A3" w:rsidRDefault="00AE0549" w:rsidP="004038B0">
            <w:pPr>
              <w:pStyle w:val="Tablehead"/>
              <w:rPr>
                <w:rFonts w:eastAsia="SimSun"/>
                <w:bCs/>
                <w:lang w:eastAsia="zh-CN"/>
              </w:rPr>
            </w:pPr>
            <w:r w:rsidRPr="00A604A3">
              <w:rPr>
                <w:rFonts w:eastAsia="SimSun"/>
                <w:lang w:eastAsia="zh-CN"/>
              </w:rPr>
              <w:t>Requirement [bit/s/Hz]</w:t>
            </w:r>
          </w:p>
        </w:tc>
      </w:tr>
      <w:tr w:rsidR="00AE0549" w:rsidRPr="00A604A3" w:rsidTr="008E3BCC">
        <w:trPr>
          <w:cantSplit/>
          <w:jc w:val="center"/>
        </w:trPr>
        <w:tc>
          <w:tcPr>
            <w:tcW w:w="1417" w:type="dxa"/>
            <w:vAlign w:val="center"/>
          </w:tcPr>
          <w:p w:rsidR="00AE0549" w:rsidRPr="00A604A3" w:rsidRDefault="00AE0549" w:rsidP="004038B0">
            <w:pPr>
              <w:pStyle w:val="Tablehead"/>
            </w:pPr>
            <w:r w:rsidRPr="00A604A3">
              <w:t>Operation mode</w:t>
            </w:r>
          </w:p>
        </w:tc>
        <w:tc>
          <w:tcPr>
            <w:tcW w:w="1701" w:type="dxa"/>
            <w:vAlign w:val="center"/>
          </w:tcPr>
          <w:p w:rsidR="00AE0549" w:rsidRPr="00A604A3" w:rsidRDefault="00AE0549" w:rsidP="004038B0">
            <w:pPr>
              <w:pStyle w:val="Tablehead"/>
              <w:rPr>
                <w:rFonts w:eastAsia="Calibri"/>
                <w:kern w:val="24"/>
              </w:rPr>
            </w:pPr>
            <w:r w:rsidRPr="00A604A3">
              <w:t>1 sector per site</w:t>
            </w:r>
          </w:p>
        </w:tc>
        <w:tc>
          <w:tcPr>
            <w:tcW w:w="1701" w:type="dxa"/>
            <w:vAlign w:val="center"/>
          </w:tcPr>
          <w:p w:rsidR="00AE0549" w:rsidRPr="00A604A3" w:rsidRDefault="00AE0549" w:rsidP="004038B0">
            <w:pPr>
              <w:pStyle w:val="Tablehead"/>
              <w:rPr>
                <w:rFonts w:eastAsia="Calibri"/>
                <w:kern w:val="24"/>
              </w:rPr>
            </w:pPr>
            <w:r w:rsidRPr="00A604A3">
              <w:t>3 sectors per site</w:t>
            </w:r>
          </w:p>
        </w:tc>
        <w:tc>
          <w:tcPr>
            <w:tcW w:w="1678" w:type="dxa"/>
            <w:vAlign w:val="center"/>
          </w:tcPr>
          <w:p w:rsidR="00AE0549" w:rsidRPr="00A604A3" w:rsidRDefault="00AE0549" w:rsidP="004038B0">
            <w:pPr>
              <w:pStyle w:val="Tablehead"/>
              <w:rPr>
                <w:rFonts w:eastAsia="Calibri"/>
                <w:kern w:val="24"/>
              </w:rPr>
            </w:pPr>
          </w:p>
        </w:tc>
      </w:tr>
      <w:tr w:rsidR="00AE0549" w:rsidRPr="00A604A3" w:rsidTr="008E3BCC">
        <w:trPr>
          <w:cantSplit/>
          <w:jc w:val="center"/>
        </w:trPr>
        <w:tc>
          <w:tcPr>
            <w:tcW w:w="1417" w:type="dxa"/>
          </w:tcPr>
          <w:p w:rsidR="00AE0549" w:rsidRPr="00A604A3" w:rsidRDefault="00AE0549" w:rsidP="004038B0">
            <w:pPr>
              <w:pStyle w:val="Tabletext"/>
            </w:pPr>
            <w:r w:rsidRPr="00A604A3">
              <w:t>Downlink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0.35</w:t>
            </w:r>
          </w:p>
        </w:tc>
        <w:tc>
          <w:tcPr>
            <w:tcW w:w="1701" w:type="dxa"/>
          </w:tcPr>
          <w:p w:rsidR="00AE0549" w:rsidRPr="00A604A3" w:rsidRDefault="00BE4075" w:rsidP="004038B0">
            <w:pPr>
              <w:pStyle w:val="Tabletext"/>
              <w:jc w:val="center"/>
              <w:rPr>
                <w:rFonts w:eastAsia="Calibri"/>
                <w:kern w:val="24"/>
              </w:rPr>
            </w:pPr>
            <w:r w:rsidRPr="00A604A3">
              <w:rPr>
                <w:rFonts w:eastAsia="Calibri"/>
                <w:kern w:val="24"/>
              </w:rPr>
              <w:t>–</w:t>
            </w:r>
          </w:p>
        </w:tc>
        <w:tc>
          <w:tcPr>
            <w:tcW w:w="1678" w:type="dxa"/>
          </w:tcPr>
          <w:p w:rsidR="00AE0549" w:rsidRPr="00A604A3" w:rsidRDefault="00AE0549" w:rsidP="004038B0">
            <w:pPr>
              <w:pStyle w:val="Tabletext"/>
              <w:jc w:val="center"/>
              <w:rPr>
                <w:rFonts w:eastAsia="Calibri"/>
                <w:kern w:val="24"/>
              </w:rPr>
            </w:pPr>
            <w:r w:rsidRPr="00A604A3">
              <w:rPr>
                <w:rFonts w:eastAsia="Calibri"/>
                <w:kern w:val="24"/>
              </w:rPr>
              <w:t>0.3</w:t>
            </w:r>
          </w:p>
        </w:tc>
      </w:tr>
      <w:tr w:rsidR="00AE0549" w:rsidRPr="00A604A3" w:rsidTr="008E3BCC">
        <w:trPr>
          <w:cantSplit/>
          <w:jc w:val="center"/>
        </w:trPr>
        <w:tc>
          <w:tcPr>
            <w:tcW w:w="1417" w:type="dxa"/>
          </w:tcPr>
          <w:p w:rsidR="00AE0549" w:rsidRPr="00A604A3" w:rsidRDefault="00AE0549" w:rsidP="004038B0">
            <w:pPr>
              <w:pStyle w:val="Tabletext"/>
            </w:pPr>
            <w:r w:rsidRPr="00A604A3">
              <w:t>Uplink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0.41</w:t>
            </w:r>
          </w:p>
        </w:tc>
        <w:tc>
          <w:tcPr>
            <w:tcW w:w="1701" w:type="dxa"/>
          </w:tcPr>
          <w:p w:rsidR="00AE0549" w:rsidRPr="00A604A3" w:rsidRDefault="00BE4075" w:rsidP="004038B0">
            <w:pPr>
              <w:pStyle w:val="Tabletext"/>
              <w:jc w:val="center"/>
              <w:rPr>
                <w:rFonts w:eastAsia="Calibri"/>
                <w:kern w:val="24"/>
              </w:rPr>
            </w:pPr>
            <w:r w:rsidRPr="00A604A3">
              <w:rPr>
                <w:rFonts w:eastAsia="Calibri"/>
                <w:kern w:val="24"/>
              </w:rPr>
              <w:t>–</w:t>
            </w:r>
          </w:p>
        </w:tc>
        <w:tc>
          <w:tcPr>
            <w:tcW w:w="1678" w:type="dxa"/>
          </w:tcPr>
          <w:p w:rsidR="00AE0549" w:rsidRPr="00A604A3" w:rsidRDefault="00AE0549" w:rsidP="004038B0">
            <w:pPr>
              <w:pStyle w:val="Tabletext"/>
              <w:jc w:val="center"/>
              <w:rPr>
                <w:rFonts w:eastAsia="Calibri"/>
                <w:kern w:val="24"/>
              </w:rPr>
            </w:pPr>
            <w:r w:rsidRPr="00A604A3">
              <w:rPr>
                <w:rFonts w:eastAsia="Calibri"/>
                <w:kern w:val="24"/>
              </w:rPr>
              <w:t>0.21</w:t>
            </w:r>
          </w:p>
        </w:tc>
      </w:tr>
    </w:tbl>
    <w:p w:rsidR="00AE0549" w:rsidRPr="00A604A3" w:rsidRDefault="00AE0549" w:rsidP="00BC0384">
      <w:pPr>
        <w:pStyle w:val="Tablefin"/>
      </w:pPr>
    </w:p>
    <w:p w:rsidR="00AE0549" w:rsidRPr="00A604A3" w:rsidRDefault="00AE0549" w:rsidP="008E3BCC">
      <w:pPr>
        <w:rPr>
          <w:rFonts w:eastAsia="MS Mincho"/>
        </w:rPr>
      </w:pPr>
      <w:r w:rsidRPr="00A604A3">
        <w:rPr>
          <w:rFonts w:eastAsia="MS Mincho"/>
        </w:rPr>
        <w:t>Results for NR FDD are shown in Table 35.</w:t>
      </w:r>
    </w:p>
    <w:p w:rsidR="008E3BCC" w:rsidRPr="00A604A3" w:rsidRDefault="008E3BCC" w:rsidP="008E3BCC">
      <w:pPr>
        <w:pStyle w:val="TableNo"/>
        <w:rPr>
          <w:rFonts w:eastAsia="MS Mincho"/>
        </w:rPr>
      </w:pPr>
      <w:bookmarkStart w:id="183" w:name="_Ref25413708"/>
      <w:bookmarkStart w:id="184" w:name="_Toc27919531"/>
      <w:bookmarkStart w:id="185" w:name="_Toc28265695"/>
      <w:bookmarkStart w:id="186" w:name="_Toc28276930"/>
      <w:bookmarkStart w:id="187" w:name="_Toc32066318"/>
      <w:r w:rsidRPr="00A604A3">
        <w:rPr>
          <w:rFonts w:eastAsia="MS Mincho"/>
        </w:rPr>
        <w:t>table 35</w:t>
      </w:r>
    </w:p>
    <w:p w:rsidR="008E3BCC" w:rsidRPr="00A604A3" w:rsidRDefault="008E3BCC" w:rsidP="008E3BCC">
      <w:pPr>
        <w:pStyle w:val="Tabletitle"/>
        <w:rPr>
          <w:rFonts w:eastAsia="MS Mincho"/>
        </w:rPr>
      </w:pPr>
      <w:r w:rsidRPr="00A604A3">
        <w:rPr>
          <w:rFonts w:eastAsia="MS Mincho"/>
        </w:rPr>
        <w:t>5th percentile user SE for NR FDD in Indoor Hotspot – eMBB Config. B</w:t>
      </w:r>
      <w:bookmarkEnd w:id="183"/>
      <w:bookmarkEnd w:id="184"/>
      <w:bookmarkEnd w:id="185"/>
      <w:bookmarkEnd w:id="186"/>
      <w:r w:rsidRPr="00A604A3">
        <w:rPr>
          <w:rFonts w:eastAsia="MS Mincho"/>
        </w:rPr>
        <w:t xml:space="preserve"> (Source 1)</w:t>
      </w:r>
      <w:bookmarkEnd w:id="187"/>
    </w:p>
    <w:tbl>
      <w:tblPr>
        <w:tblStyle w:val="TableGrid"/>
        <w:tblW w:w="6426" w:type="dxa"/>
        <w:jc w:val="center"/>
        <w:tblLook w:val="04A0" w:firstRow="1" w:lastRow="0" w:firstColumn="1" w:lastColumn="0" w:noHBand="0" w:noVBand="1"/>
      </w:tblPr>
      <w:tblGrid>
        <w:gridCol w:w="1417"/>
        <w:gridCol w:w="1701"/>
        <w:gridCol w:w="1701"/>
        <w:gridCol w:w="1607"/>
      </w:tblGrid>
      <w:tr w:rsidR="00AE0549" w:rsidRPr="00A604A3" w:rsidTr="00F15310">
        <w:trPr>
          <w:cantSplit/>
          <w:jc w:val="center"/>
        </w:trPr>
        <w:tc>
          <w:tcPr>
            <w:tcW w:w="1417" w:type="dxa"/>
            <w:vAlign w:val="center"/>
          </w:tcPr>
          <w:p w:rsidR="00AE0549" w:rsidRPr="00A604A3" w:rsidRDefault="00AE0549" w:rsidP="008E3BCC">
            <w:pPr>
              <w:pStyle w:val="Tablehead"/>
            </w:pPr>
            <w:r w:rsidRPr="00A604A3">
              <w:t>NR FDD are shown in</w:t>
            </w:r>
          </w:p>
        </w:tc>
        <w:tc>
          <w:tcPr>
            <w:tcW w:w="3402" w:type="dxa"/>
            <w:gridSpan w:val="2"/>
            <w:vAlign w:val="center"/>
          </w:tcPr>
          <w:p w:rsidR="00AE0549" w:rsidRPr="00A604A3" w:rsidRDefault="00AE0549" w:rsidP="008E3BCC">
            <w:pPr>
              <w:pStyle w:val="Tablehead"/>
            </w:pPr>
            <w:r w:rsidRPr="00A604A3">
              <w:t>5th percentile user SE [bit/s/Hz]</w:t>
            </w:r>
          </w:p>
        </w:tc>
        <w:tc>
          <w:tcPr>
            <w:tcW w:w="1607" w:type="dxa"/>
            <w:vAlign w:val="center"/>
          </w:tcPr>
          <w:p w:rsidR="00AE0549" w:rsidRPr="00A604A3" w:rsidRDefault="00AE0549" w:rsidP="008E3BCC">
            <w:pPr>
              <w:pStyle w:val="Tablehead"/>
              <w:rPr>
                <w:rFonts w:eastAsia="SimSun"/>
                <w:bCs/>
                <w:lang w:eastAsia="zh-CN"/>
              </w:rPr>
            </w:pPr>
            <w:r w:rsidRPr="00A604A3">
              <w:rPr>
                <w:rFonts w:eastAsia="SimSun"/>
                <w:lang w:eastAsia="zh-CN"/>
              </w:rPr>
              <w:t>Requirement [bit/s/Hz]</w:t>
            </w:r>
          </w:p>
        </w:tc>
      </w:tr>
      <w:tr w:rsidR="00AE0549" w:rsidRPr="00A604A3" w:rsidTr="00F15310">
        <w:trPr>
          <w:cantSplit/>
          <w:jc w:val="center"/>
        </w:trPr>
        <w:tc>
          <w:tcPr>
            <w:tcW w:w="1417" w:type="dxa"/>
            <w:vAlign w:val="center"/>
          </w:tcPr>
          <w:p w:rsidR="00AE0549" w:rsidRPr="00A604A3" w:rsidRDefault="00AE0549" w:rsidP="008E3BCC">
            <w:pPr>
              <w:pStyle w:val="Tablehead"/>
            </w:pPr>
            <w:r w:rsidRPr="00A604A3">
              <w:t>Operation mode</w:t>
            </w:r>
          </w:p>
        </w:tc>
        <w:tc>
          <w:tcPr>
            <w:tcW w:w="1701" w:type="dxa"/>
            <w:vAlign w:val="center"/>
          </w:tcPr>
          <w:p w:rsidR="00AE0549" w:rsidRPr="00A604A3" w:rsidRDefault="00AE0549" w:rsidP="008E3BCC">
            <w:pPr>
              <w:pStyle w:val="Tablehead"/>
              <w:rPr>
                <w:rFonts w:eastAsia="Calibri"/>
                <w:kern w:val="24"/>
              </w:rPr>
            </w:pPr>
            <w:r w:rsidRPr="00A604A3">
              <w:t>1 sector per site</w:t>
            </w:r>
          </w:p>
        </w:tc>
        <w:tc>
          <w:tcPr>
            <w:tcW w:w="1701" w:type="dxa"/>
            <w:vAlign w:val="center"/>
          </w:tcPr>
          <w:p w:rsidR="00AE0549" w:rsidRPr="00A604A3" w:rsidRDefault="00AE0549" w:rsidP="008E3BCC">
            <w:pPr>
              <w:pStyle w:val="Tablehead"/>
              <w:rPr>
                <w:rFonts w:eastAsia="Calibri"/>
                <w:kern w:val="24"/>
              </w:rPr>
            </w:pPr>
            <w:r w:rsidRPr="00A604A3">
              <w:t>3 sectors per site</w:t>
            </w:r>
          </w:p>
        </w:tc>
        <w:tc>
          <w:tcPr>
            <w:tcW w:w="1607" w:type="dxa"/>
            <w:vAlign w:val="center"/>
          </w:tcPr>
          <w:p w:rsidR="00AE0549" w:rsidRPr="00A604A3" w:rsidRDefault="00AE0549" w:rsidP="008E3BCC">
            <w:pPr>
              <w:pStyle w:val="Tablehead"/>
              <w:rPr>
                <w:rFonts w:eastAsia="Calibri"/>
                <w:kern w:val="24"/>
              </w:rPr>
            </w:pPr>
          </w:p>
        </w:tc>
      </w:tr>
      <w:tr w:rsidR="00AE0549" w:rsidRPr="00A604A3" w:rsidTr="00F15310">
        <w:trPr>
          <w:cantSplit/>
          <w:jc w:val="center"/>
        </w:trPr>
        <w:tc>
          <w:tcPr>
            <w:tcW w:w="1417" w:type="dxa"/>
          </w:tcPr>
          <w:p w:rsidR="00AE0549" w:rsidRPr="00A604A3" w:rsidRDefault="00AE0549" w:rsidP="008E3BCC">
            <w:pPr>
              <w:pStyle w:val="Tabletext"/>
            </w:pPr>
            <w:r w:rsidRPr="00A604A3">
              <w:t>Downlink</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0.39</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0.30</w:t>
            </w:r>
          </w:p>
        </w:tc>
        <w:tc>
          <w:tcPr>
            <w:tcW w:w="1607" w:type="dxa"/>
          </w:tcPr>
          <w:p w:rsidR="00AE0549" w:rsidRPr="00A604A3" w:rsidRDefault="00AE0549" w:rsidP="00F15310">
            <w:pPr>
              <w:pStyle w:val="Tabletext"/>
              <w:jc w:val="center"/>
              <w:rPr>
                <w:rFonts w:eastAsia="Calibri"/>
                <w:kern w:val="24"/>
              </w:rPr>
            </w:pPr>
            <w:r w:rsidRPr="00A604A3">
              <w:rPr>
                <w:rFonts w:eastAsia="Calibri"/>
                <w:kern w:val="24"/>
              </w:rPr>
              <w:t>0.3</w:t>
            </w:r>
          </w:p>
        </w:tc>
      </w:tr>
      <w:tr w:rsidR="00AE0549" w:rsidRPr="00A604A3" w:rsidTr="00F15310">
        <w:trPr>
          <w:cantSplit/>
          <w:jc w:val="center"/>
        </w:trPr>
        <w:tc>
          <w:tcPr>
            <w:tcW w:w="1417" w:type="dxa"/>
          </w:tcPr>
          <w:p w:rsidR="00AE0549" w:rsidRPr="00A604A3" w:rsidRDefault="00AE0549" w:rsidP="008E3BCC">
            <w:pPr>
              <w:pStyle w:val="Tabletext"/>
            </w:pPr>
            <w:r w:rsidRPr="00A604A3">
              <w:t>Uplink</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0.41</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0.31</w:t>
            </w:r>
          </w:p>
        </w:tc>
        <w:tc>
          <w:tcPr>
            <w:tcW w:w="1607" w:type="dxa"/>
          </w:tcPr>
          <w:p w:rsidR="00AE0549" w:rsidRPr="00A604A3" w:rsidRDefault="00AE0549" w:rsidP="00F15310">
            <w:pPr>
              <w:pStyle w:val="Tabletext"/>
              <w:jc w:val="center"/>
              <w:rPr>
                <w:rFonts w:eastAsia="Calibri"/>
                <w:kern w:val="24"/>
              </w:rPr>
            </w:pPr>
            <w:r w:rsidRPr="00A604A3">
              <w:rPr>
                <w:rFonts w:eastAsia="Calibri"/>
                <w:kern w:val="24"/>
              </w:rPr>
              <w:t>0.21</w:t>
            </w:r>
          </w:p>
        </w:tc>
      </w:tr>
    </w:tbl>
    <w:p w:rsidR="00AE0549" w:rsidRPr="00A604A3" w:rsidRDefault="00AE0549" w:rsidP="00F15310">
      <w:pPr>
        <w:pStyle w:val="Tablefin"/>
      </w:pPr>
    </w:p>
    <w:p w:rsidR="00AE0549" w:rsidRPr="00A604A3" w:rsidRDefault="00AE0549" w:rsidP="00F15310">
      <w:pPr>
        <w:rPr>
          <w:rFonts w:eastAsia="MS Mincho"/>
        </w:rPr>
      </w:pPr>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Indoor Hotspot – eMBB test environment in Configuration B in both operation modes.</w:t>
      </w:r>
    </w:p>
    <w:p w:rsidR="00AE0549" w:rsidRPr="00A604A3" w:rsidRDefault="00F15310" w:rsidP="00F15310">
      <w:pPr>
        <w:pStyle w:val="Heading5"/>
        <w:rPr>
          <w:rFonts w:eastAsia="MS Mincho"/>
        </w:rPr>
      </w:pPr>
      <w:r w:rsidRPr="00A604A3">
        <w:rPr>
          <w:rFonts w:eastAsia="MS Mincho"/>
        </w:rPr>
        <w:t>II.5.4.2.2</w:t>
      </w:r>
      <w:r w:rsidRPr="00A604A3">
        <w:rPr>
          <w:rFonts w:eastAsia="MS Mincho"/>
        </w:rPr>
        <w:tab/>
      </w:r>
      <w:r w:rsidR="00AE0549" w:rsidRPr="00A604A3">
        <w:rPr>
          <w:rFonts w:eastAsia="MS Mincho"/>
        </w:rPr>
        <w:t>Dense Urban – eMBB</w:t>
      </w:r>
    </w:p>
    <w:p w:rsidR="00AE0549" w:rsidRPr="00A604A3" w:rsidRDefault="00AE0549" w:rsidP="00F15310">
      <w:pPr>
        <w:rPr>
          <w:rFonts w:eastAsia="MS Mincho"/>
        </w:rPr>
      </w:pPr>
      <w:r w:rsidRPr="00A604A3">
        <w:rPr>
          <w:rFonts w:eastAsia="MS Mincho"/>
        </w:rPr>
        <w:t>Configuration A (carrier frequency of 4</w:t>
      </w:r>
      <w:r w:rsidR="00F15310" w:rsidRPr="00A604A3">
        <w:rPr>
          <w:rFonts w:eastAsia="MS Mincho"/>
        </w:rPr>
        <w:t> </w:t>
      </w:r>
      <w:r w:rsidRPr="00A604A3">
        <w:rPr>
          <w:rFonts w:eastAsia="MS Mincho"/>
        </w:rPr>
        <w:t>GHz) and Configuration B (carrier frequency of 30</w:t>
      </w:r>
      <w:r w:rsidR="00F15310" w:rsidRPr="00A604A3">
        <w:rPr>
          <w:rFonts w:eastAsia="MS Mincho"/>
        </w:rPr>
        <w:t> </w:t>
      </w:r>
      <w:r w:rsidRPr="00A604A3">
        <w:rPr>
          <w:rFonts w:eastAsia="MS Mincho"/>
        </w:rPr>
        <w:t>GHz) are applied for the Dense Urban – eMBB test environment.</w:t>
      </w:r>
    </w:p>
    <w:p w:rsidR="00AE0549" w:rsidRPr="00A604A3" w:rsidRDefault="00AE0549" w:rsidP="00AA0B2B">
      <w:pPr>
        <w:rPr>
          <w:rFonts w:eastAsia="MS Mincho"/>
        </w:rPr>
      </w:pPr>
      <w:r w:rsidRPr="00A604A3">
        <w:rPr>
          <w:rFonts w:eastAsia="MS Mincho"/>
        </w:rPr>
        <w:t xml:space="preserve">In addition to the system bandwidth determined in </w:t>
      </w:r>
      <w:r w:rsidRPr="00A604A3">
        <w:t>ITU-R M.2412-0 [3]</w:t>
      </w:r>
      <w:r w:rsidRPr="00A604A3">
        <w:rPr>
          <w:rFonts w:eastAsia="MS Mincho"/>
        </w:rPr>
        <w:t xml:space="preserve">, downlink system-level simulations are performed with a larger component carrier bandwidth. The larger bandwidth provides a more efficient usage of bandwidth and a smaller overhead. The </w:t>
      </w:r>
      <w:r w:rsidRPr="00A604A3">
        <w:rPr>
          <w:rFonts w:eastAsia="MS Mincho"/>
        </w:rPr>
        <w:lastRenderedPageBreak/>
        <w:t>simulation results with the larger bandwidth are used to calculate the user experienced data rate, see Section II</w:t>
      </w:r>
      <w:r w:rsidR="00AA0B2B">
        <w:rPr>
          <w:rFonts w:eastAsia="MS Mincho"/>
        </w:rPr>
        <w:t>.5</w:t>
      </w:r>
      <w:r w:rsidRPr="00A604A3">
        <w:rPr>
          <w:rFonts w:eastAsia="MS Mincho"/>
        </w:rPr>
        <w:t>.3.</w:t>
      </w:r>
    </w:p>
    <w:p w:rsidR="00AE0549" w:rsidRPr="00A604A3" w:rsidRDefault="00F15310" w:rsidP="00F15310">
      <w:pPr>
        <w:pStyle w:val="Heading6"/>
        <w:rPr>
          <w:rFonts w:eastAsia="MS Mincho"/>
        </w:rPr>
      </w:pPr>
      <w:r w:rsidRPr="00A604A3">
        <w:rPr>
          <w:rFonts w:eastAsia="MS Mincho"/>
        </w:rPr>
        <w:t>II.5.4.2.2.1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F15310">
      <w:pPr>
        <w:rPr>
          <w:rFonts w:eastAsia="MS Mincho"/>
        </w:rPr>
      </w:pPr>
      <w:r w:rsidRPr="00A604A3">
        <w:rPr>
          <w:rFonts w:eastAsia="MS Mincho"/>
        </w:rPr>
        <w:t xml:space="preserve">The downlink and uplink evaluation results for NR TDD for Dense Urban – eMBB Configuration A are provided in Table 36 and Table 37. </w:t>
      </w:r>
    </w:p>
    <w:p w:rsidR="001D43A3" w:rsidRPr="00A604A3" w:rsidRDefault="001D43A3" w:rsidP="001D43A3">
      <w:pPr>
        <w:pStyle w:val="TableNo"/>
        <w:spacing w:before="480"/>
        <w:rPr>
          <w:rFonts w:eastAsia="MS Mincho"/>
        </w:rPr>
      </w:pPr>
      <w:bookmarkStart w:id="188" w:name="_Ref11769380"/>
      <w:bookmarkStart w:id="189" w:name="_Ref25413991"/>
      <w:bookmarkStart w:id="190" w:name="_Toc27919534"/>
      <w:bookmarkStart w:id="191" w:name="_Toc28265698"/>
      <w:bookmarkStart w:id="192" w:name="_Toc28276933"/>
      <w:bookmarkStart w:id="193" w:name="_Toc32066321"/>
      <w:r w:rsidRPr="00A604A3">
        <w:rPr>
          <w:rFonts w:eastAsia="MS Mincho"/>
        </w:rPr>
        <w:t>Table 36</w:t>
      </w:r>
    </w:p>
    <w:p w:rsidR="001D43A3" w:rsidRPr="00A604A3" w:rsidRDefault="001D43A3" w:rsidP="001D43A3">
      <w:pPr>
        <w:pStyle w:val="Tabletitle"/>
        <w:rPr>
          <w:rFonts w:eastAsia="MS Mincho"/>
        </w:rPr>
      </w:pPr>
      <w:r w:rsidRPr="00A604A3">
        <w:rPr>
          <w:rFonts w:eastAsia="MS Mincho"/>
        </w:rPr>
        <w:t xml:space="preserve">5th percentile user SE for NR TDD with frame structure ‘DSUUD’ in Dense Urban – eMBB </w:t>
      </w:r>
      <w:r w:rsidRPr="00A604A3">
        <w:rPr>
          <w:rFonts w:eastAsia="MS Mincho"/>
        </w:rPr>
        <w:br/>
        <w:t>Config. A</w:t>
      </w:r>
      <w:bookmarkEnd w:id="188"/>
      <w:bookmarkEnd w:id="189"/>
      <w:bookmarkEnd w:id="190"/>
      <w:bookmarkEnd w:id="191"/>
      <w:bookmarkEnd w:id="192"/>
      <w:r w:rsidRPr="00A604A3">
        <w:rPr>
          <w:rFonts w:eastAsia="MS Mincho"/>
        </w:rPr>
        <w:t xml:space="preserve"> (Source 1)</w:t>
      </w:r>
      <w:bookmarkEnd w:id="193"/>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1D43A3">
        <w:trPr>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1D43A3">
        <w:trPr>
          <w:jc w:val="center"/>
        </w:trPr>
        <w:tc>
          <w:tcPr>
            <w:tcW w:w="1152" w:type="dxa"/>
            <w:vMerge w:val="restart"/>
            <w:vAlign w:val="center"/>
          </w:tcPr>
          <w:p w:rsidR="00AE0549" w:rsidRPr="00A604A3" w:rsidRDefault="00AE0549" w:rsidP="001D43A3">
            <w:pPr>
              <w:pStyle w:val="Tabletext"/>
            </w:pPr>
            <w:r w:rsidRPr="00A604A3">
              <w:t>Downlink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0.30</w:t>
            </w:r>
          </w:p>
        </w:tc>
        <w:tc>
          <w:tcPr>
            <w:tcW w:w="1872" w:type="dxa"/>
            <w:vMerge w:val="restart"/>
            <w:vAlign w:val="center"/>
          </w:tcPr>
          <w:p w:rsidR="00AE0549" w:rsidRPr="00A604A3" w:rsidRDefault="00AE0549" w:rsidP="001D43A3">
            <w:pPr>
              <w:pStyle w:val="Tabletext"/>
              <w:jc w:val="center"/>
              <w:rPr>
                <w:rFonts w:eastAsia="Calibri"/>
                <w:kern w:val="24"/>
              </w:rPr>
            </w:pPr>
            <w:r w:rsidRPr="00A604A3">
              <w:rPr>
                <w:rFonts w:eastAsia="Calibri"/>
                <w:kern w:val="24"/>
              </w:rPr>
              <w:t>0.225</w:t>
            </w:r>
          </w:p>
        </w:tc>
      </w:tr>
      <w:tr w:rsidR="00AE0549" w:rsidRPr="00A604A3" w:rsidTr="001D43A3">
        <w:trPr>
          <w:jc w:val="center"/>
        </w:trPr>
        <w:tc>
          <w:tcPr>
            <w:tcW w:w="1152" w:type="dxa"/>
            <w:vMerge/>
            <w:vAlign w:val="center"/>
          </w:tcPr>
          <w:p w:rsidR="00AE0549" w:rsidRPr="00A604A3" w:rsidRDefault="00AE0549" w:rsidP="001D43A3">
            <w:pPr>
              <w:pStyle w:val="Tabletext"/>
            </w:pP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0.32</w:t>
            </w:r>
          </w:p>
        </w:tc>
        <w:tc>
          <w:tcPr>
            <w:tcW w:w="1872" w:type="dxa"/>
            <w:vMerge/>
            <w:vAlign w:val="center"/>
          </w:tcPr>
          <w:p w:rsidR="00AE0549" w:rsidRPr="00A604A3" w:rsidRDefault="00AE0549" w:rsidP="001D43A3">
            <w:pPr>
              <w:pStyle w:val="Tabletext"/>
              <w:jc w:val="center"/>
              <w:rPr>
                <w:rFonts w:eastAsia="Calibri"/>
                <w:kern w:val="24"/>
              </w:rPr>
            </w:pPr>
          </w:p>
        </w:tc>
      </w:tr>
      <w:tr w:rsidR="00AE0549" w:rsidRPr="00A604A3" w:rsidTr="001D43A3">
        <w:trPr>
          <w:jc w:val="center"/>
        </w:trPr>
        <w:tc>
          <w:tcPr>
            <w:tcW w:w="1152" w:type="dxa"/>
            <w:vAlign w:val="center"/>
          </w:tcPr>
          <w:p w:rsidR="00AE0549" w:rsidRPr="00A604A3" w:rsidRDefault="00AE0549" w:rsidP="001D43A3">
            <w:pPr>
              <w:pStyle w:val="Tabletext"/>
            </w:pPr>
            <w:r w:rsidRPr="00A604A3">
              <w:t>Uplink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r>
    </w:tbl>
    <w:p w:rsidR="001D43A3" w:rsidRPr="00A604A3" w:rsidRDefault="001D43A3" w:rsidP="001D43A3">
      <w:pPr>
        <w:pStyle w:val="Tablefin"/>
      </w:pPr>
      <w:bookmarkStart w:id="194" w:name="_Ref22399307"/>
      <w:bookmarkStart w:id="195" w:name="_Toc27919535"/>
      <w:bookmarkStart w:id="196" w:name="_Toc28265699"/>
      <w:bookmarkStart w:id="197" w:name="_Toc28276934"/>
      <w:bookmarkStart w:id="198" w:name="_Toc32066322"/>
    </w:p>
    <w:p w:rsidR="001D43A3" w:rsidRPr="00A604A3" w:rsidRDefault="001D43A3" w:rsidP="001D43A3">
      <w:pPr>
        <w:pStyle w:val="TableNo"/>
        <w:spacing w:before="480"/>
        <w:rPr>
          <w:rFonts w:eastAsia="MS Mincho"/>
        </w:rPr>
      </w:pPr>
      <w:r w:rsidRPr="00A604A3">
        <w:rPr>
          <w:rFonts w:eastAsia="MS Mincho"/>
        </w:rPr>
        <w:t>table 37</w:t>
      </w:r>
    </w:p>
    <w:p w:rsidR="001D43A3" w:rsidRPr="00A604A3" w:rsidRDefault="001D43A3" w:rsidP="001D43A3">
      <w:pPr>
        <w:pStyle w:val="Tabletitle"/>
        <w:rPr>
          <w:rFonts w:eastAsia="MS Mincho"/>
        </w:rPr>
      </w:pPr>
      <w:r w:rsidRPr="00A604A3">
        <w:rPr>
          <w:rFonts w:eastAsia="MS Mincho"/>
        </w:rPr>
        <w:t xml:space="preserve">5th percentile user SE for NR TDD with frame structure ‘DDDSU’ in Dense Urban – eMBB </w:t>
      </w:r>
      <w:r w:rsidRPr="00A604A3">
        <w:rPr>
          <w:rFonts w:eastAsia="MS Mincho"/>
        </w:rPr>
        <w:br/>
        <w:t>Config. A</w:t>
      </w:r>
      <w:bookmarkEnd w:id="194"/>
      <w:bookmarkEnd w:id="195"/>
      <w:bookmarkEnd w:id="196"/>
      <w:bookmarkEnd w:id="197"/>
      <w:r w:rsidRPr="00A604A3">
        <w:rPr>
          <w:rFonts w:eastAsia="MS Mincho"/>
        </w:rPr>
        <w:t xml:space="preserve"> (Source 2)</w:t>
      </w:r>
      <w:bookmarkEnd w:id="198"/>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1D43A3">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1D43A3">
        <w:trPr>
          <w:cantSplit/>
          <w:jc w:val="center"/>
        </w:trPr>
        <w:tc>
          <w:tcPr>
            <w:tcW w:w="1152" w:type="dxa"/>
            <w:vMerge w:val="restart"/>
            <w:vAlign w:val="center"/>
          </w:tcPr>
          <w:p w:rsidR="00AE0549" w:rsidRPr="00A604A3" w:rsidRDefault="00AE0549" w:rsidP="001D43A3">
            <w:pPr>
              <w:pStyle w:val="Tabletext"/>
            </w:pPr>
            <w:r w:rsidRPr="00A604A3">
              <w:t>Downlink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0.39</w:t>
            </w:r>
          </w:p>
        </w:tc>
        <w:tc>
          <w:tcPr>
            <w:tcW w:w="1872" w:type="dxa"/>
            <w:vMerge w:val="restart"/>
            <w:vAlign w:val="center"/>
          </w:tcPr>
          <w:p w:rsidR="00AE0549" w:rsidRPr="00A604A3" w:rsidRDefault="00AE0549" w:rsidP="001D43A3">
            <w:pPr>
              <w:pStyle w:val="Tabletext"/>
              <w:jc w:val="center"/>
              <w:rPr>
                <w:rFonts w:eastAsia="Calibri"/>
                <w:kern w:val="24"/>
              </w:rPr>
            </w:pPr>
            <w:r w:rsidRPr="00A604A3">
              <w:rPr>
                <w:rFonts w:eastAsia="Calibri"/>
                <w:kern w:val="24"/>
              </w:rPr>
              <w:t>0.225</w:t>
            </w:r>
          </w:p>
        </w:tc>
      </w:tr>
      <w:tr w:rsidR="00AE0549" w:rsidRPr="00A604A3" w:rsidTr="001D43A3">
        <w:trPr>
          <w:cantSplit/>
          <w:jc w:val="center"/>
        </w:trPr>
        <w:tc>
          <w:tcPr>
            <w:tcW w:w="1152" w:type="dxa"/>
            <w:vMerge/>
            <w:vAlign w:val="center"/>
          </w:tcPr>
          <w:p w:rsidR="00AE0549" w:rsidRPr="00A604A3" w:rsidRDefault="00AE0549" w:rsidP="001D43A3">
            <w:pPr>
              <w:pStyle w:val="Tabletext"/>
            </w:pP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0.46</w:t>
            </w:r>
          </w:p>
        </w:tc>
        <w:tc>
          <w:tcPr>
            <w:tcW w:w="1872" w:type="dxa"/>
            <w:vMerge/>
            <w:vAlign w:val="center"/>
          </w:tcPr>
          <w:p w:rsidR="00AE0549" w:rsidRPr="00A604A3" w:rsidRDefault="00AE0549" w:rsidP="001D43A3">
            <w:pPr>
              <w:pStyle w:val="Tabletext"/>
              <w:rPr>
                <w:rFonts w:eastAsia="Calibri"/>
                <w:kern w:val="24"/>
              </w:rPr>
            </w:pPr>
          </w:p>
        </w:tc>
      </w:tr>
      <w:tr w:rsidR="00AE0549" w:rsidRPr="00A604A3" w:rsidTr="001D43A3">
        <w:trPr>
          <w:cantSplit/>
          <w:jc w:val="center"/>
        </w:trPr>
        <w:tc>
          <w:tcPr>
            <w:tcW w:w="1152" w:type="dxa"/>
            <w:vAlign w:val="center"/>
          </w:tcPr>
          <w:p w:rsidR="00AE0549" w:rsidRPr="00A604A3" w:rsidRDefault="00AE0549" w:rsidP="001D43A3">
            <w:pPr>
              <w:pStyle w:val="Tabletext"/>
            </w:pPr>
            <w:r w:rsidRPr="00A604A3">
              <w:t>Uplink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0.25</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r>
    </w:tbl>
    <w:p w:rsidR="00AE0549" w:rsidRPr="00A604A3" w:rsidRDefault="00AE0549" w:rsidP="001D43A3">
      <w:pPr>
        <w:pStyle w:val="Tablefin"/>
      </w:pPr>
    </w:p>
    <w:p w:rsidR="00AE0549" w:rsidRPr="00A604A3" w:rsidRDefault="00AE0549" w:rsidP="00470885">
      <w:pPr>
        <w:spacing w:before="0" w:after="120"/>
        <w:rPr>
          <w:rFonts w:eastAsia="MS Mincho"/>
        </w:rPr>
      </w:pPr>
      <w:r w:rsidRPr="00A604A3">
        <w:rPr>
          <w:rFonts w:eastAsia="MS Mincho"/>
        </w:rPr>
        <w:t>Table 38 and Table 39 are summarizing the NR FDD results from different contributions.</w:t>
      </w:r>
    </w:p>
    <w:p w:rsidR="001D43A3" w:rsidRPr="00A604A3" w:rsidRDefault="001D43A3" w:rsidP="001D43A3">
      <w:pPr>
        <w:pStyle w:val="TableNo"/>
        <w:rPr>
          <w:rFonts w:eastAsia="MS Mincho"/>
        </w:rPr>
      </w:pPr>
      <w:bookmarkStart w:id="199" w:name="_Ref25414045"/>
      <w:bookmarkStart w:id="200" w:name="_Toc27919536"/>
      <w:bookmarkStart w:id="201" w:name="_Toc28265700"/>
      <w:bookmarkStart w:id="202" w:name="_Toc28276935"/>
      <w:bookmarkStart w:id="203" w:name="_Toc32066323"/>
      <w:r w:rsidRPr="00A604A3">
        <w:rPr>
          <w:rFonts w:eastAsia="MS Mincho"/>
        </w:rPr>
        <w:t>Table 38</w:t>
      </w:r>
    </w:p>
    <w:p w:rsidR="001D43A3" w:rsidRPr="00A604A3" w:rsidRDefault="001D43A3" w:rsidP="001D43A3">
      <w:pPr>
        <w:pStyle w:val="Tabletitle"/>
        <w:rPr>
          <w:rFonts w:eastAsia="MS Mincho"/>
        </w:rPr>
      </w:pPr>
      <w:r w:rsidRPr="00A604A3">
        <w:rPr>
          <w:rFonts w:eastAsia="MS Mincho"/>
        </w:rPr>
        <w:t>5th percentile user SE for NR FDD in Dense Urban – eMBB Config. A</w:t>
      </w:r>
      <w:bookmarkEnd w:id="199"/>
      <w:bookmarkEnd w:id="200"/>
      <w:bookmarkEnd w:id="201"/>
      <w:bookmarkEnd w:id="202"/>
      <w:r w:rsidRPr="00A604A3">
        <w:rPr>
          <w:rFonts w:eastAsia="MS Mincho"/>
        </w:rPr>
        <w:t xml:space="preserve"> (Source 1)</w:t>
      </w:r>
      <w:bookmarkEnd w:id="203"/>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1D43A3">
            <w:pPr>
              <w:pStyle w:val="Tabletext"/>
            </w:pPr>
            <w:r w:rsidRPr="00A604A3">
              <w:t>Downlink</w:t>
            </w:r>
          </w:p>
        </w:tc>
        <w:tc>
          <w:tcPr>
            <w:tcW w:w="936" w:type="dxa"/>
          </w:tcPr>
          <w:p w:rsidR="00AE0549" w:rsidRPr="00A604A3" w:rsidRDefault="00AE0549" w:rsidP="004725C1">
            <w:pPr>
              <w:pStyle w:val="Tabletext"/>
              <w:jc w:val="center"/>
              <w:rPr>
                <w:rFonts w:eastAsia="Calibri"/>
                <w:kern w:val="24"/>
              </w:rPr>
            </w:pPr>
            <w:r w:rsidRPr="00A604A3">
              <w:rPr>
                <w:rFonts w:eastAsia="Calibri"/>
                <w:kern w:val="24"/>
              </w:rPr>
              <w:t>20</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0.25</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0.225</w:t>
            </w:r>
          </w:p>
        </w:tc>
      </w:tr>
      <w:tr w:rsidR="00AE0549" w:rsidRPr="00A604A3" w:rsidTr="004725C1">
        <w:trPr>
          <w:cantSplit/>
          <w:jc w:val="center"/>
        </w:trPr>
        <w:tc>
          <w:tcPr>
            <w:tcW w:w="1152" w:type="dxa"/>
          </w:tcPr>
          <w:p w:rsidR="00AE0549" w:rsidRPr="00A604A3" w:rsidRDefault="00AE0549" w:rsidP="001D43A3">
            <w:pPr>
              <w:pStyle w:val="Tabletext"/>
            </w:pPr>
            <w:r w:rsidRPr="00A604A3">
              <w:t>Uplink</w:t>
            </w:r>
          </w:p>
        </w:tc>
        <w:tc>
          <w:tcPr>
            <w:tcW w:w="936" w:type="dxa"/>
          </w:tcPr>
          <w:p w:rsidR="00AE0549" w:rsidRPr="00A604A3" w:rsidRDefault="00AE0549" w:rsidP="004725C1">
            <w:pPr>
              <w:pStyle w:val="Tabletext"/>
              <w:jc w:val="center"/>
              <w:rPr>
                <w:rFonts w:eastAsia="Calibri"/>
                <w:kern w:val="24"/>
              </w:rPr>
            </w:pPr>
            <w:r w:rsidRPr="00A604A3">
              <w:rPr>
                <w:rFonts w:eastAsia="Calibri"/>
                <w:kern w:val="24"/>
              </w:rPr>
              <w:t>20</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0.3</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0.15</w:t>
            </w:r>
          </w:p>
        </w:tc>
      </w:tr>
    </w:tbl>
    <w:p w:rsidR="001D43A3" w:rsidRPr="00A604A3" w:rsidRDefault="001D43A3" w:rsidP="001D43A3">
      <w:pPr>
        <w:pStyle w:val="Tablefin"/>
      </w:pPr>
      <w:bookmarkStart w:id="204" w:name="_Ref25436121"/>
      <w:bookmarkStart w:id="205" w:name="_Toc27919537"/>
      <w:bookmarkStart w:id="206" w:name="_Toc28265701"/>
      <w:bookmarkStart w:id="207" w:name="_Toc28276936"/>
      <w:bookmarkStart w:id="208" w:name="_Toc32066324"/>
    </w:p>
    <w:p w:rsidR="001D43A3" w:rsidRPr="00A604A3" w:rsidRDefault="001D43A3" w:rsidP="001D43A3">
      <w:pPr>
        <w:pStyle w:val="TableNo"/>
        <w:rPr>
          <w:rFonts w:eastAsia="MS Mincho"/>
        </w:rPr>
      </w:pPr>
      <w:r w:rsidRPr="00A604A3">
        <w:rPr>
          <w:rFonts w:eastAsia="MS Mincho"/>
        </w:rPr>
        <w:t>Table 39</w:t>
      </w:r>
    </w:p>
    <w:p w:rsidR="001D43A3" w:rsidRPr="00A604A3" w:rsidRDefault="001D43A3" w:rsidP="001D43A3">
      <w:pPr>
        <w:pStyle w:val="Tabletitle"/>
        <w:rPr>
          <w:rFonts w:eastAsia="MS Mincho"/>
        </w:rPr>
      </w:pPr>
      <w:r w:rsidRPr="00A604A3">
        <w:rPr>
          <w:rFonts w:eastAsia="MS Mincho"/>
        </w:rPr>
        <w:t>5th percentile user SE for NR FDD in Dense Urban – eMBB Config. A</w:t>
      </w:r>
      <w:bookmarkEnd w:id="204"/>
      <w:bookmarkEnd w:id="205"/>
      <w:bookmarkEnd w:id="206"/>
      <w:bookmarkEnd w:id="207"/>
      <w:r w:rsidRPr="00A604A3">
        <w:rPr>
          <w:rFonts w:eastAsia="MS Mincho"/>
        </w:rPr>
        <w:t xml:space="preserve"> (Source 2)</w:t>
      </w:r>
      <w:bookmarkEnd w:id="208"/>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1D43A3">
            <w:pPr>
              <w:pStyle w:val="Tabletext"/>
            </w:pPr>
            <w:r w:rsidRPr="00A604A3">
              <w:t>Downlink</w:t>
            </w:r>
          </w:p>
        </w:tc>
        <w:tc>
          <w:tcPr>
            <w:tcW w:w="936" w:type="dxa"/>
          </w:tcPr>
          <w:p w:rsidR="00AE0549" w:rsidRPr="00A604A3" w:rsidRDefault="00AE0549" w:rsidP="001D43A3">
            <w:pPr>
              <w:pStyle w:val="Tabletext"/>
              <w:rPr>
                <w:rFonts w:eastAsia="Calibri"/>
                <w:kern w:val="24"/>
              </w:rPr>
            </w:pPr>
            <w:r w:rsidRPr="00A604A3">
              <w:rPr>
                <w:rFonts w:eastAsia="Calibri"/>
                <w:kern w:val="24"/>
              </w:rPr>
              <w:t>10</w:t>
            </w:r>
          </w:p>
        </w:tc>
        <w:tc>
          <w:tcPr>
            <w:tcW w:w="1872" w:type="dxa"/>
          </w:tcPr>
          <w:p w:rsidR="00AE0549" w:rsidRPr="00A604A3" w:rsidRDefault="00AE0549" w:rsidP="001D43A3">
            <w:pPr>
              <w:pStyle w:val="Tabletext"/>
              <w:rPr>
                <w:rFonts w:eastAsiaTheme="minorEastAsia"/>
                <w:kern w:val="24"/>
                <w:lang w:eastAsia="zh-CN"/>
              </w:rPr>
            </w:pPr>
            <w:r w:rsidRPr="00A604A3">
              <w:rPr>
                <w:rFonts w:eastAsiaTheme="minorEastAsia"/>
                <w:kern w:val="24"/>
                <w:lang w:eastAsia="zh-CN"/>
              </w:rPr>
              <w:t>0.43</w:t>
            </w:r>
          </w:p>
        </w:tc>
        <w:tc>
          <w:tcPr>
            <w:tcW w:w="1872" w:type="dxa"/>
          </w:tcPr>
          <w:p w:rsidR="00AE0549" w:rsidRPr="00A604A3" w:rsidRDefault="00AE0549" w:rsidP="001D43A3">
            <w:pPr>
              <w:pStyle w:val="Tabletext"/>
              <w:rPr>
                <w:rFonts w:eastAsia="Calibri"/>
                <w:kern w:val="24"/>
              </w:rPr>
            </w:pPr>
            <w:r w:rsidRPr="00A604A3">
              <w:rPr>
                <w:rFonts w:eastAsia="Calibri"/>
                <w:kern w:val="24"/>
              </w:rPr>
              <w:t>0.225</w:t>
            </w:r>
          </w:p>
        </w:tc>
      </w:tr>
      <w:tr w:rsidR="00AE0549" w:rsidRPr="00A604A3" w:rsidTr="004725C1">
        <w:trPr>
          <w:cantSplit/>
          <w:jc w:val="center"/>
        </w:trPr>
        <w:tc>
          <w:tcPr>
            <w:tcW w:w="1152" w:type="dxa"/>
          </w:tcPr>
          <w:p w:rsidR="00AE0549" w:rsidRPr="00A604A3" w:rsidRDefault="00AE0549" w:rsidP="001D43A3">
            <w:pPr>
              <w:pStyle w:val="Tabletext"/>
            </w:pPr>
            <w:r w:rsidRPr="00A604A3">
              <w:t>Uplink</w:t>
            </w:r>
          </w:p>
        </w:tc>
        <w:tc>
          <w:tcPr>
            <w:tcW w:w="936" w:type="dxa"/>
          </w:tcPr>
          <w:p w:rsidR="00AE0549" w:rsidRPr="00A604A3" w:rsidRDefault="00AE0549" w:rsidP="001D43A3">
            <w:pPr>
              <w:pStyle w:val="Tabletext"/>
              <w:rPr>
                <w:rFonts w:eastAsia="Calibri"/>
                <w:kern w:val="24"/>
              </w:rPr>
            </w:pPr>
            <w:r w:rsidRPr="00A604A3">
              <w:rPr>
                <w:rFonts w:eastAsia="Calibri"/>
                <w:kern w:val="24"/>
              </w:rPr>
              <w:t>10</w:t>
            </w:r>
          </w:p>
        </w:tc>
        <w:tc>
          <w:tcPr>
            <w:tcW w:w="1872" w:type="dxa"/>
          </w:tcPr>
          <w:p w:rsidR="00AE0549" w:rsidRPr="00A604A3" w:rsidRDefault="00AE0549" w:rsidP="001D43A3">
            <w:pPr>
              <w:pStyle w:val="Tabletext"/>
              <w:rPr>
                <w:rFonts w:eastAsiaTheme="minorEastAsia"/>
                <w:kern w:val="24"/>
                <w:lang w:eastAsia="zh-CN"/>
              </w:rPr>
            </w:pPr>
            <w:r w:rsidRPr="00A604A3">
              <w:rPr>
                <w:rFonts w:eastAsiaTheme="minorEastAsia"/>
                <w:kern w:val="24"/>
                <w:lang w:eastAsia="zh-CN"/>
              </w:rPr>
              <w:t>0.37</w:t>
            </w:r>
          </w:p>
        </w:tc>
        <w:tc>
          <w:tcPr>
            <w:tcW w:w="1872" w:type="dxa"/>
          </w:tcPr>
          <w:p w:rsidR="00AE0549" w:rsidRPr="00A604A3" w:rsidRDefault="00AE0549" w:rsidP="001D43A3">
            <w:pPr>
              <w:pStyle w:val="Tabletext"/>
              <w:rPr>
                <w:rFonts w:eastAsia="Calibri"/>
                <w:kern w:val="24"/>
              </w:rPr>
            </w:pPr>
            <w:r w:rsidRPr="00A604A3">
              <w:rPr>
                <w:rFonts w:eastAsia="Calibri"/>
                <w:kern w:val="24"/>
              </w:rPr>
              <w:t>0.15</w:t>
            </w:r>
          </w:p>
        </w:tc>
      </w:tr>
    </w:tbl>
    <w:p w:rsidR="00AE0549" w:rsidRPr="00A604A3" w:rsidRDefault="00AE0549" w:rsidP="001D43A3">
      <w:pPr>
        <w:pStyle w:val="Tablefin"/>
      </w:pPr>
    </w:p>
    <w:p w:rsidR="00AE0549" w:rsidRPr="00A604A3" w:rsidRDefault="00AE0549" w:rsidP="004725C1">
      <w:pPr>
        <w:rPr>
          <w:rFonts w:eastAsia="MS Mincho"/>
        </w:rPr>
      </w:pPr>
      <w:r w:rsidRPr="00A604A3">
        <w:rPr>
          <w:rFonts w:eastAsia="MS Mincho"/>
        </w:rPr>
        <w:t>It is observed that NR TDD and FDD fulfil the downlink and uplink 5</w:t>
      </w:r>
      <w:r w:rsidRPr="00A604A3">
        <w:rPr>
          <w:rFonts w:eastAsia="MS Mincho"/>
          <w:vertAlign w:val="superscript"/>
        </w:rPr>
        <w:t>th</w:t>
      </w:r>
      <w:r w:rsidRPr="00A604A3">
        <w:rPr>
          <w:rFonts w:eastAsia="MS Mincho"/>
        </w:rPr>
        <w:t xml:space="preserve"> percentile user spectral efficiency requirement for Dense Urban – eMBB test environment in Configuration A.</w:t>
      </w:r>
    </w:p>
    <w:p w:rsidR="00AE0549" w:rsidRPr="00A604A3" w:rsidRDefault="004725C1" w:rsidP="004725C1">
      <w:pPr>
        <w:pStyle w:val="Heading6"/>
        <w:rPr>
          <w:rFonts w:eastAsia="MS Mincho"/>
        </w:rPr>
      </w:pPr>
      <w:bookmarkStart w:id="209" w:name="_Ref12448413"/>
      <w:r w:rsidRPr="00A604A3">
        <w:rPr>
          <w:rFonts w:eastAsia="MS Mincho"/>
        </w:rPr>
        <w:t>II.5.4.2.2.2</w:t>
      </w:r>
      <w:r w:rsidRPr="00A604A3">
        <w:rPr>
          <w:rFonts w:eastAsia="MS Mincho"/>
        </w:rPr>
        <w:tab/>
      </w:r>
      <w:r w:rsidRPr="00A604A3">
        <w:rPr>
          <w:rFonts w:eastAsia="MS Mincho"/>
        </w:rPr>
        <w:tab/>
      </w:r>
      <w:r w:rsidR="00AE0549" w:rsidRPr="00A604A3">
        <w:rPr>
          <w:rFonts w:eastAsia="MS Mincho"/>
        </w:rPr>
        <w:t>Evaluation configuration B (CF = 30 GHz)</w:t>
      </w:r>
      <w:bookmarkEnd w:id="209"/>
    </w:p>
    <w:p w:rsidR="00AE0549" w:rsidRPr="00A604A3" w:rsidRDefault="00AE0549" w:rsidP="004725C1">
      <w:pPr>
        <w:rPr>
          <w:rFonts w:eastAsia="MS Mincho"/>
        </w:rPr>
      </w:pPr>
      <w:r w:rsidRPr="00A604A3">
        <w:rPr>
          <w:rFonts w:eastAsia="MS Mincho"/>
        </w:rPr>
        <w:t>The downlink and uplink evaluation results for NR FDD for Dense Urban – eMBB Configuration B are provided in Table 40.</w:t>
      </w:r>
    </w:p>
    <w:p w:rsidR="004725C1" w:rsidRPr="00A604A3" w:rsidRDefault="004725C1" w:rsidP="004725C1">
      <w:pPr>
        <w:pStyle w:val="TableNo"/>
        <w:rPr>
          <w:rFonts w:eastAsia="MS Mincho"/>
        </w:rPr>
      </w:pPr>
      <w:bookmarkStart w:id="210" w:name="_Ref11833548"/>
      <w:bookmarkStart w:id="211" w:name="_Toc27919539"/>
      <w:bookmarkStart w:id="212" w:name="_Toc28265703"/>
      <w:bookmarkStart w:id="213" w:name="_Toc28276938"/>
      <w:bookmarkStart w:id="214" w:name="_Toc32066326"/>
      <w:r w:rsidRPr="00A604A3">
        <w:rPr>
          <w:rFonts w:eastAsia="MS Mincho"/>
        </w:rPr>
        <w:t>table 40</w:t>
      </w:r>
    </w:p>
    <w:p w:rsidR="004725C1" w:rsidRPr="00A604A3" w:rsidRDefault="004725C1" w:rsidP="004725C1">
      <w:pPr>
        <w:pStyle w:val="Tabletitle"/>
        <w:rPr>
          <w:rFonts w:eastAsia="MS Mincho"/>
        </w:rPr>
      </w:pPr>
      <w:r w:rsidRPr="00A604A3">
        <w:rPr>
          <w:rFonts w:eastAsia="MS Mincho"/>
        </w:rPr>
        <w:t>5th percentile user SE for NR FDD with in Dense Urban – eMBB Config. B</w:t>
      </w:r>
      <w:bookmarkEnd w:id="210"/>
      <w:bookmarkEnd w:id="211"/>
      <w:bookmarkEnd w:id="212"/>
      <w:bookmarkEnd w:id="213"/>
      <w:r w:rsidRPr="00A604A3">
        <w:rPr>
          <w:rFonts w:eastAsia="MS Mincho"/>
        </w:rPr>
        <w:t xml:space="preserve"> (Source 1)</w:t>
      </w:r>
      <w:bookmarkEnd w:id="214"/>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4725C1">
            <w:pPr>
              <w:pStyle w:val="Tablehead"/>
            </w:pPr>
          </w:p>
        </w:tc>
        <w:tc>
          <w:tcPr>
            <w:tcW w:w="936" w:type="dxa"/>
          </w:tcPr>
          <w:p w:rsidR="00AE0549" w:rsidRPr="00A604A3" w:rsidRDefault="00AE0549" w:rsidP="004725C1">
            <w:pPr>
              <w:pStyle w:val="Tablehead"/>
            </w:pPr>
            <w:r w:rsidRPr="00A604A3">
              <w:t>BW [MHz]</w:t>
            </w:r>
          </w:p>
        </w:tc>
        <w:tc>
          <w:tcPr>
            <w:tcW w:w="1872" w:type="dxa"/>
          </w:tcPr>
          <w:p w:rsidR="00AE0549" w:rsidRPr="00A604A3" w:rsidRDefault="00AE0549" w:rsidP="004725C1">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4725C1">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4725C1">
            <w:pPr>
              <w:pStyle w:val="Tabletext"/>
            </w:pPr>
            <w:r w:rsidRPr="00A604A3">
              <w:t>Downlink</w:t>
            </w:r>
          </w:p>
        </w:tc>
        <w:tc>
          <w:tcPr>
            <w:tcW w:w="936"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80</w:t>
            </w:r>
          </w:p>
        </w:tc>
        <w:tc>
          <w:tcPr>
            <w:tcW w:w="1872" w:type="dxa"/>
          </w:tcPr>
          <w:p w:rsidR="00AE0549" w:rsidRPr="00A604A3" w:rsidRDefault="00AE0549" w:rsidP="004725C1">
            <w:pPr>
              <w:pStyle w:val="Tabletext"/>
              <w:jc w:val="center"/>
              <w:rPr>
                <w:rFonts w:eastAsia="Calibri"/>
                <w:color w:val="FF0000"/>
                <w:kern w:val="24"/>
              </w:rPr>
            </w:pPr>
            <w:r w:rsidRPr="00A604A3">
              <w:rPr>
                <w:rFonts w:eastAsia="Calibri"/>
                <w:color w:val="FF0000"/>
                <w:kern w:val="24"/>
              </w:rPr>
              <w:t>0.0004</w:t>
            </w:r>
          </w:p>
        </w:tc>
        <w:tc>
          <w:tcPr>
            <w:tcW w:w="1872"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0.225</w:t>
            </w:r>
          </w:p>
        </w:tc>
      </w:tr>
      <w:tr w:rsidR="00AE0549" w:rsidRPr="00A604A3" w:rsidTr="004725C1">
        <w:trPr>
          <w:cantSplit/>
          <w:jc w:val="center"/>
        </w:trPr>
        <w:tc>
          <w:tcPr>
            <w:tcW w:w="1152" w:type="dxa"/>
          </w:tcPr>
          <w:p w:rsidR="00AE0549" w:rsidRPr="00A604A3" w:rsidRDefault="00AE0549" w:rsidP="004725C1">
            <w:pPr>
              <w:pStyle w:val="Tabletext"/>
            </w:pPr>
            <w:r w:rsidRPr="00A604A3">
              <w:t>Uplink</w:t>
            </w:r>
          </w:p>
        </w:tc>
        <w:tc>
          <w:tcPr>
            <w:tcW w:w="936"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80</w:t>
            </w:r>
          </w:p>
        </w:tc>
        <w:tc>
          <w:tcPr>
            <w:tcW w:w="1872" w:type="dxa"/>
          </w:tcPr>
          <w:p w:rsidR="00AE0549" w:rsidRPr="00A604A3" w:rsidRDefault="00AE0549" w:rsidP="004725C1">
            <w:pPr>
              <w:pStyle w:val="Tabletext"/>
              <w:jc w:val="center"/>
              <w:rPr>
                <w:rFonts w:eastAsia="Calibri"/>
                <w:color w:val="0F243E" w:themeColor="text2" w:themeShade="80"/>
                <w:kern w:val="24"/>
              </w:rPr>
            </w:pPr>
            <w:r w:rsidRPr="00A604A3">
              <w:rPr>
                <w:rFonts w:eastAsia="Calibri"/>
                <w:color w:val="FF0000"/>
                <w:kern w:val="24"/>
              </w:rPr>
              <w:t>0.029</w:t>
            </w:r>
          </w:p>
        </w:tc>
        <w:tc>
          <w:tcPr>
            <w:tcW w:w="1872"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0.15</w:t>
            </w:r>
          </w:p>
        </w:tc>
      </w:tr>
    </w:tbl>
    <w:p w:rsidR="00AE0549" w:rsidRPr="00A604A3" w:rsidRDefault="00AE0549" w:rsidP="004725C1">
      <w:pPr>
        <w:pStyle w:val="Tablefin"/>
      </w:pPr>
    </w:p>
    <w:p w:rsidR="00AE0549" w:rsidRPr="00A604A3" w:rsidRDefault="00AE0549" w:rsidP="00C11948">
      <w:pPr>
        <w:rPr>
          <w:rFonts w:eastAsia="MS Mincho"/>
        </w:rPr>
      </w:pPr>
      <w:r w:rsidRPr="00A604A3">
        <w:rPr>
          <w:rFonts w:eastAsia="MS Mincho"/>
        </w:rPr>
        <w:t>It is observed that NR FDD fulfils neither downlink nor uplink 5</w:t>
      </w:r>
      <w:r w:rsidRPr="00A604A3">
        <w:rPr>
          <w:rFonts w:eastAsia="MS Mincho"/>
          <w:vertAlign w:val="superscript"/>
        </w:rPr>
        <w:t>th</w:t>
      </w:r>
      <w:r w:rsidRPr="00A604A3">
        <w:rPr>
          <w:rFonts w:eastAsia="MS Mincho"/>
        </w:rPr>
        <w:t xml:space="preserve"> percentile user spectral efficiency requirement for Dense Urban – eMBB test environment in Configuration B. Considering the CDF of geometry received during the calibration process, see Figure 14 in </w:t>
      </w:r>
      <w:r w:rsidRPr="00A604A3">
        <w:t>[13], this does not seem to be all that surprising</w:t>
      </w:r>
      <w:r w:rsidRPr="00A604A3">
        <w:rPr>
          <w:rFonts w:eastAsia="MS Mincho"/>
        </w:rPr>
        <w:t xml:space="preserve"> because there are geometry values down to </w:t>
      </w:r>
      <w:r w:rsidR="00C11948" w:rsidRPr="00A604A3">
        <w:rPr>
          <w:rFonts w:eastAsia="MS Mincho"/>
        </w:rPr>
        <w:t>−</w:t>
      </w:r>
      <w:r w:rsidRPr="00A604A3">
        <w:rPr>
          <w:rFonts w:eastAsia="MS Mincho"/>
        </w:rPr>
        <w:t xml:space="preserve">30 dB (c.f. Section </w:t>
      </w:r>
      <w:r w:rsidR="00AA0B2B">
        <w:rPr>
          <w:rFonts w:eastAsia="MS Mincho"/>
        </w:rPr>
        <w:t>II.5</w:t>
      </w:r>
      <w:r w:rsidRPr="00A604A3">
        <w:rPr>
          <w:rFonts w:eastAsia="MS Mincho"/>
        </w:rPr>
        <w:t>.3.2.2). Besides, it is general knowledge that for large frequencies the penetration loss and pathloss is significantly higher and therefore it is difficult to achieve high spectral efficiency in scenarios with outdoor-to-indoor coverage. However, as pointed out above, fulfillment of the requirement in one of multiple configurations of a test environment is sufficient.</w:t>
      </w:r>
    </w:p>
    <w:p w:rsidR="00AE0549" w:rsidRPr="00A604A3" w:rsidRDefault="004725C1" w:rsidP="004725C1">
      <w:pPr>
        <w:pStyle w:val="Heading5"/>
        <w:rPr>
          <w:rFonts w:eastAsia="MS Mincho"/>
        </w:rPr>
      </w:pPr>
      <w:r w:rsidRPr="00A604A3">
        <w:rPr>
          <w:rFonts w:eastAsia="MS Mincho"/>
        </w:rPr>
        <w:t>II.5.4.2.3</w:t>
      </w:r>
      <w:r w:rsidRPr="00A604A3">
        <w:rPr>
          <w:rFonts w:eastAsia="MS Mincho"/>
        </w:rPr>
        <w:tab/>
      </w:r>
      <w:r w:rsidR="00AE0549" w:rsidRPr="00A604A3">
        <w:rPr>
          <w:rFonts w:eastAsia="MS Mincho"/>
        </w:rPr>
        <w:t>Rural – eMBB</w:t>
      </w:r>
    </w:p>
    <w:p w:rsidR="00AE0549" w:rsidRPr="00A604A3" w:rsidRDefault="00AE0549" w:rsidP="004725C1">
      <w:pPr>
        <w:rPr>
          <w:rFonts w:eastAsia="MS Mincho"/>
        </w:rPr>
      </w:pPr>
      <w:r w:rsidRPr="00A604A3">
        <w:rPr>
          <w:rFonts w:eastAsia="MS Mincho"/>
        </w:rPr>
        <w:t>For Rural – eMBB test environment two configurations in FR1 are applied, namely Configuration A with a carrier frequency of 700 MHz and Configuration B with carrier frequency of 4 GHz.</w:t>
      </w:r>
    </w:p>
    <w:p w:rsidR="00AE0549" w:rsidRPr="00A604A3" w:rsidRDefault="00C11948" w:rsidP="00C11948">
      <w:pPr>
        <w:pStyle w:val="Heading6"/>
        <w:rPr>
          <w:rFonts w:eastAsia="MS Mincho"/>
        </w:rPr>
      </w:pPr>
      <w:r w:rsidRPr="00A604A3">
        <w:rPr>
          <w:rFonts w:eastAsia="MS Mincho"/>
        </w:rPr>
        <w:t>II.5.4.2.3.1</w:t>
      </w:r>
      <w:r w:rsidRPr="00A604A3">
        <w:rPr>
          <w:rFonts w:eastAsia="MS Mincho"/>
        </w:rPr>
        <w:tab/>
      </w:r>
      <w:r w:rsidR="00AE0549" w:rsidRPr="00A604A3">
        <w:rPr>
          <w:rFonts w:eastAsia="MS Mincho"/>
        </w:rPr>
        <w:t>Evaluation configuration A (CF = 700 MHz)</w:t>
      </w:r>
    </w:p>
    <w:p w:rsidR="00AE0549" w:rsidRPr="00A604A3" w:rsidRDefault="00AE0549" w:rsidP="00C11948">
      <w:pPr>
        <w:rPr>
          <w:rFonts w:eastAsia="MS Mincho"/>
        </w:rPr>
      </w:pPr>
      <w:r w:rsidRPr="00A604A3">
        <w:rPr>
          <w:rFonts w:eastAsia="MS Mincho"/>
        </w:rPr>
        <w:t>The evaluation results for NR TDD for downlink and uplink in Rural – eMBB Configuration A are provided in Table 41 and Table 42.</w:t>
      </w:r>
    </w:p>
    <w:p w:rsidR="00C11948" w:rsidRPr="00A604A3" w:rsidRDefault="00C11948" w:rsidP="00C11948">
      <w:pPr>
        <w:pStyle w:val="TableNo"/>
        <w:rPr>
          <w:rFonts w:eastAsia="MS Mincho"/>
        </w:rPr>
      </w:pPr>
      <w:bookmarkStart w:id="215" w:name="_Ref11833535"/>
      <w:bookmarkStart w:id="216" w:name="_Ref25414641"/>
      <w:bookmarkStart w:id="217" w:name="_Toc27919542"/>
      <w:bookmarkStart w:id="218" w:name="_Toc28265706"/>
      <w:bookmarkStart w:id="219" w:name="_Toc28276941"/>
      <w:bookmarkStart w:id="220" w:name="_Toc32066329"/>
      <w:r w:rsidRPr="00A604A3">
        <w:rPr>
          <w:rFonts w:eastAsia="MS Mincho"/>
        </w:rPr>
        <w:t>Table 41</w:t>
      </w:r>
    </w:p>
    <w:p w:rsidR="00C11948" w:rsidRPr="00A604A3" w:rsidRDefault="00C11948" w:rsidP="00C11948">
      <w:pPr>
        <w:pStyle w:val="Tabletitle"/>
        <w:rPr>
          <w:rFonts w:eastAsia="MS Mincho"/>
        </w:rPr>
      </w:pPr>
      <w:r w:rsidRPr="00A604A3">
        <w:rPr>
          <w:rFonts w:eastAsia="MS Mincho"/>
        </w:rPr>
        <w:t>5th percentile user SE for NR TDD with frame structure ‘DSUUD’ in Rural – eMBB Config. A</w:t>
      </w:r>
      <w:bookmarkEnd w:id="215"/>
      <w:bookmarkEnd w:id="216"/>
      <w:bookmarkEnd w:id="217"/>
      <w:bookmarkEnd w:id="218"/>
      <w:bookmarkEnd w:id="219"/>
      <w:r w:rsidRPr="00A604A3">
        <w:rPr>
          <w:rFonts w:eastAsia="MS Mincho"/>
        </w:rPr>
        <w:t xml:space="preserve"> (Source 1)</w:t>
      </w:r>
      <w:bookmarkEnd w:id="220"/>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6C06F4">
        <w:trPr>
          <w:jc w:val="center"/>
        </w:trPr>
        <w:tc>
          <w:tcPr>
            <w:tcW w:w="1152" w:type="dxa"/>
          </w:tcPr>
          <w:p w:rsidR="00AE0549" w:rsidRPr="00A604A3" w:rsidRDefault="00AE0549" w:rsidP="00C11948">
            <w:pPr>
              <w:pStyle w:val="Tablehead"/>
            </w:pPr>
          </w:p>
        </w:tc>
        <w:tc>
          <w:tcPr>
            <w:tcW w:w="1872" w:type="dxa"/>
          </w:tcPr>
          <w:p w:rsidR="00AE0549" w:rsidRPr="00A604A3" w:rsidRDefault="00AE0549" w:rsidP="00C11948">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2573C6" w:rsidRPr="00A604A3" w:rsidTr="006C06F4">
        <w:trPr>
          <w:trHeight w:val="270"/>
          <w:jc w:val="center"/>
        </w:trPr>
        <w:tc>
          <w:tcPr>
            <w:tcW w:w="1152" w:type="dxa"/>
          </w:tcPr>
          <w:p w:rsidR="002573C6" w:rsidRPr="00A604A3" w:rsidRDefault="002573C6" w:rsidP="002573C6">
            <w:pPr>
              <w:pStyle w:val="Tabletext"/>
            </w:pPr>
            <w:r w:rsidRPr="00A604A3">
              <w:t>Downlink</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0.21</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0.12</w:t>
            </w:r>
          </w:p>
        </w:tc>
      </w:tr>
      <w:tr w:rsidR="002573C6" w:rsidRPr="00A604A3" w:rsidTr="006C06F4">
        <w:trPr>
          <w:jc w:val="center"/>
        </w:trPr>
        <w:tc>
          <w:tcPr>
            <w:tcW w:w="1152" w:type="dxa"/>
          </w:tcPr>
          <w:p w:rsidR="002573C6" w:rsidRPr="00A604A3" w:rsidRDefault="002573C6" w:rsidP="002573C6">
            <w:pPr>
              <w:pStyle w:val="Tabletext"/>
            </w:pPr>
            <w:r w:rsidRPr="00A604A3">
              <w:t>Uplink</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0.06</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0.045</w:t>
            </w:r>
          </w:p>
        </w:tc>
      </w:tr>
    </w:tbl>
    <w:p w:rsidR="00C11948" w:rsidRPr="00A604A3" w:rsidRDefault="00C11948" w:rsidP="00C11948">
      <w:pPr>
        <w:pStyle w:val="Tablefin"/>
      </w:pPr>
      <w:bookmarkStart w:id="221" w:name="_Ref22399343"/>
      <w:bookmarkStart w:id="222" w:name="_Toc27919543"/>
      <w:bookmarkStart w:id="223" w:name="_Toc28265707"/>
      <w:bookmarkStart w:id="224" w:name="_Toc28276942"/>
      <w:bookmarkStart w:id="225" w:name="_Toc32066330"/>
    </w:p>
    <w:p w:rsidR="00C11948" w:rsidRPr="00A604A3" w:rsidRDefault="00C11948" w:rsidP="00C11948">
      <w:pPr>
        <w:pStyle w:val="TableNo"/>
        <w:rPr>
          <w:rFonts w:eastAsia="MS Mincho"/>
        </w:rPr>
      </w:pPr>
      <w:r w:rsidRPr="00A604A3">
        <w:rPr>
          <w:rFonts w:eastAsia="MS Mincho"/>
        </w:rPr>
        <w:lastRenderedPageBreak/>
        <w:t>Table 42</w:t>
      </w:r>
    </w:p>
    <w:p w:rsidR="00C11948" w:rsidRPr="00A604A3" w:rsidRDefault="00C11948" w:rsidP="00C11948">
      <w:pPr>
        <w:pStyle w:val="Tabletitle"/>
        <w:rPr>
          <w:rFonts w:eastAsia="MS Mincho"/>
        </w:rPr>
      </w:pPr>
      <w:r w:rsidRPr="00A604A3">
        <w:rPr>
          <w:rFonts w:eastAsia="MS Mincho"/>
        </w:rPr>
        <w:t>5th percentile user SE for NR TDD with frame structure ‘DDDSU’ in Rural – eMBB Config. A</w:t>
      </w:r>
      <w:bookmarkEnd w:id="221"/>
      <w:bookmarkEnd w:id="222"/>
      <w:bookmarkEnd w:id="223"/>
      <w:bookmarkEnd w:id="224"/>
      <w:r w:rsidRPr="00A604A3">
        <w:rPr>
          <w:rFonts w:eastAsia="MS Mincho"/>
        </w:rPr>
        <w:t xml:space="preserve"> (Source 2)</w:t>
      </w:r>
      <w:bookmarkEnd w:id="22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0.16</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jc w:val="center"/>
              <w:rPr>
                <w:rFonts w:eastAsia="Calibri"/>
                <w:kern w:val="24"/>
              </w:rPr>
            </w:pPr>
            <w:r w:rsidRPr="00A604A3">
              <w:rPr>
                <w:rFonts w:eastAsia="Calibri"/>
                <w:kern w:val="24"/>
              </w:rPr>
              <w:t>0.09</w:t>
            </w:r>
          </w:p>
        </w:tc>
        <w:tc>
          <w:tcPr>
            <w:tcW w:w="1872" w:type="dxa"/>
            <w:tcBorders>
              <w:top w:val="single" w:sz="8" w:space="0" w:color="4D4D4D"/>
              <w:left w:val="single" w:sz="8" w:space="0" w:color="4D4D4D"/>
              <w:bottom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AE0549" w:rsidRPr="00A604A3" w:rsidRDefault="00AE0549" w:rsidP="00C11948">
      <w:pPr>
        <w:pStyle w:val="Tablefin"/>
      </w:pPr>
    </w:p>
    <w:p w:rsidR="00AE0549" w:rsidRPr="00A604A3" w:rsidRDefault="00AE0549" w:rsidP="00833540">
      <w:r w:rsidRPr="00A604A3">
        <w:t>Table 43 and Table 44 show the results for NR FDD from different contributions.</w:t>
      </w:r>
    </w:p>
    <w:p w:rsidR="00C11948" w:rsidRPr="00A604A3" w:rsidRDefault="00C11948" w:rsidP="00C11948">
      <w:pPr>
        <w:pStyle w:val="TableNo"/>
        <w:rPr>
          <w:rFonts w:eastAsia="MS Mincho"/>
        </w:rPr>
      </w:pPr>
      <w:bookmarkStart w:id="226" w:name="_Ref25414779"/>
      <w:bookmarkStart w:id="227" w:name="_Toc27919544"/>
      <w:bookmarkStart w:id="228" w:name="_Toc28265708"/>
      <w:bookmarkStart w:id="229" w:name="_Toc28276943"/>
      <w:bookmarkStart w:id="230" w:name="_Toc32066331"/>
      <w:r w:rsidRPr="00A604A3">
        <w:rPr>
          <w:rFonts w:eastAsia="MS Mincho"/>
        </w:rPr>
        <w:t>Table 43</w:t>
      </w:r>
    </w:p>
    <w:p w:rsidR="00C11948" w:rsidRPr="00A604A3" w:rsidRDefault="00C11948" w:rsidP="00C11948">
      <w:pPr>
        <w:pStyle w:val="Tabletitle"/>
        <w:rPr>
          <w:rFonts w:eastAsia="MS Mincho"/>
        </w:rPr>
      </w:pPr>
      <w:r w:rsidRPr="00A604A3">
        <w:rPr>
          <w:rFonts w:eastAsia="MS Mincho"/>
        </w:rPr>
        <w:t>5th percentile user SE for NR FDD in Rural – eMBB Config. A</w:t>
      </w:r>
      <w:bookmarkEnd w:id="226"/>
      <w:bookmarkEnd w:id="227"/>
      <w:bookmarkEnd w:id="228"/>
      <w:bookmarkEnd w:id="229"/>
      <w:r w:rsidRPr="00A604A3">
        <w:rPr>
          <w:rFonts w:eastAsia="MS Mincho"/>
        </w:rPr>
        <w:t xml:space="preserve"> (Source 1)</w:t>
      </w:r>
      <w:bookmarkEnd w:id="23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0.19</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jc w:val="center"/>
              <w:rPr>
                <w:rFonts w:eastAsia="Calibri"/>
                <w:kern w:val="24"/>
              </w:rPr>
            </w:pPr>
            <w:r w:rsidRPr="00A604A3">
              <w:rPr>
                <w:rFonts w:eastAsia="Calibri"/>
                <w:kern w:val="24"/>
              </w:rPr>
              <w:t>0.24</w:t>
            </w:r>
          </w:p>
        </w:tc>
        <w:tc>
          <w:tcPr>
            <w:tcW w:w="1872" w:type="dxa"/>
            <w:tcBorders>
              <w:top w:val="single" w:sz="8" w:space="0" w:color="4D4D4D"/>
              <w:left w:val="single" w:sz="8" w:space="0" w:color="4D4D4D"/>
              <w:bottom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C11948" w:rsidRPr="00A604A3" w:rsidRDefault="00C11948" w:rsidP="00C11948">
      <w:pPr>
        <w:pStyle w:val="Tablefin"/>
      </w:pPr>
      <w:bookmarkStart w:id="231" w:name="_Ref25436469"/>
      <w:bookmarkStart w:id="232" w:name="_Toc27919545"/>
      <w:bookmarkStart w:id="233" w:name="_Toc28265709"/>
      <w:bookmarkStart w:id="234" w:name="_Toc28276944"/>
      <w:bookmarkStart w:id="235" w:name="_Toc32066332"/>
    </w:p>
    <w:p w:rsidR="00C11948" w:rsidRPr="00A604A3" w:rsidRDefault="00C11948" w:rsidP="00C11948">
      <w:pPr>
        <w:pStyle w:val="TableNo"/>
        <w:rPr>
          <w:rFonts w:eastAsia="MS Mincho"/>
        </w:rPr>
      </w:pPr>
      <w:r w:rsidRPr="00A604A3">
        <w:rPr>
          <w:rFonts w:eastAsia="MS Mincho"/>
        </w:rPr>
        <w:t>Table 44</w:t>
      </w:r>
    </w:p>
    <w:p w:rsidR="00C11948" w:rsidRPr="00A604A3" w:rsidRDefault="00C11948" w:rsidP="00C11948">
      <w:pPr>
        <w:pStyle w:val="Tabletitle"/>
        <w:rPr>
          <w:rFonts w:eastAsia="MS Mincho"/>
        </w:rPr>
      </w:pPr>
      <w:r w:rsidRPr="00A604A3">
        <w:rPr>
          <w:rFonts w:eastAsia="MS Mincho"/>
        </w:rPr>
        <w:t>5th percentile user SE for NR FDD in Rural – eMBB Config. A</w:t>
      </w:r>
      <w:bookmarkEnd w:id="231"/>
      <w:bookmarkEnd w:id="232"/>
      <w:bookmarkEnd w:id="233"/>
      <w:bookmarkEnd w:id="234"/>
      <w:r w:rsidRPr="00A604A3">
        <w:rPr>
          <w:rFonts w:eastAsia="MS Mincho"/>
        </w:rPr>
        <w:t xml:space="preserve"> (Source 2)</w:t>
      </w:r>
      <w:bookmarkEnd w:id="235"/>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833540">
        <w:trPr>
          <w:jc w:val="center"/>
        </w:trPr>
        <w:tc>
          <w:tcPr>
            <w:tcW w:w="1152" w:type="dxa"/>
          </w:tcPr>
          <w:p w:rsidR="00AE0549" w:rsidRPr="00A604A3" w:rsidRDefault="00AE0549" w:rsidP="00C11948">
            <w:pPr>
              <w:pStyle w:val="Tablehead"/>
            </w:pPr>
          </w:p>
        </w:tc>
        <w:tc>
          <w:tcPr>
            <w:tcW w:w="1872" w:type="dxa"/>
          </w:tcPr>
          <w:p w:rsidR="00AE0549" w:rsidRPr="00A604A3" w:rsidRDefault="00AE0549" w:rsidP="00C11948">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Pr>
          <w:p w:rsidR="00833540" w:rsidRPr="00A604A3" w:rsidRDefault="00833540" w:rsidP="00833540">
            <w:pPr>
              <w:pStyle w:val="Tabletext"/>
            </w:pPr>
            <w:r w:rsidRPr="00A604A3">
              <w:t>Downlink</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0.15</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Pr>
          <w:p w:rsidR="00833540" w:rsidRPr="00A604A3" w:rsidRDefault="00833540" w:rsidP="00833540">
            <w:pPr>
              <w:pStyle w:val="Tabletext"/>
            </w:pPr>
            <w:r w:rsidRPr="00A604A3">
              <w:t>Uplink</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0.13</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AE0549" w:rsidRPr="00A604A3" w:rsidRDefault="00AE0549" w:rsidP="00C11948">
      <w:pPr>
        <w:pStyle w:val="Tablefin"/>
      </w:pPr>
    </w:p>
    <w:p w:rsidR="00AE0549" w:rsidRPr="00A604A3" w:rsidRDefault="00AE0549" w:rsidP="00833540">
      <w:pPr>
        <w:rPr>
          <w:rFonts w:eastAsia="MS Mincho"/>
        </w:rPr>
      </w:pPr>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A.</w:t>
      </w:r>
    </w:p>
    <w:p w:rsidR="00AE0549" w:rsidRPr="00A604A3" w:rsidRDefault="00973E02" w:rsidP="00973E02">
      <w:pPr>
        <w:pStyle w:val="Heading6"/>
        <w:rPr>
          <w:rFonts w:eastAsia="MS Mincho"/>
        </w:rPr>
      </w:pPr>
      <w:r w:rsidRPr="00A604A3">
        <w:rPr>
          <w:rFonts w:eastAsia="MS Mincho"/>
        </w:rPr>
        <w:t>II.5.4.2.3.2</w:t>
      </w:r>
      <w:r w:rsidRPr="00A604A3">
        <w:rPr>
          <w:rFonts w:eastAsia="MS Mincho"/>
        </w:rPr>
        <w:tab/>
      </w:r>
      <w:r w:rsidRPr="00A604A3">
        <w:rPr>
          <w:rFonts w:eastAsia="MS Mincho"/>
        </w:rPr>
        <w:tab/>
      </w:r>
      <w:r w:rsidR="00AE0549" w:rsidRPr="00A604A3">
        <w:rPr>
          <w:rFonts w:eastAsia="MS Mincho"/>
        </w:rPr>
        <w:t>Evaluation configuration B (CF = 4 GHz)</w:t>
      </w:r>
    </w:p>
    <w:p w:rsidR="00AE0549" w:rsidRPr="00A604A3" w:rsidRDefault="00AE0549" w:rsidP="00973E02">
      <w:pPr>
        <w:rPr>
          <w:rFonts w:eastAsia="MS Mincho"/>
        </w:rPr>
      </w:pPr>
      <w:r w:rsidRPr="00A604A3">
        <w:rPr>
          <w:rFonts w:eastAsia="MS Mincho"/>
        </w:rPr>
        <w:t>The evaluation results for NR TDD for downlink and uplink in Rural – eMBB Configuration B are provided in Table 45 and Table 46.</w:t>
      </w:r>
    </w:p>
    <w:p w:rsidR="00973E02" w:rsidRPr="00A604A3" w:rsidRDefault="00973E02" w:rsidP="00973E02">
      <w:pPr>
        <w:pStyle w:val="TableNo"/>
        <w:rPr>
          <w:rFonts w:eastAsia="MS Mincho"/>
        </w:rPr>
      </w:pPr>
      <w:bookmarkStart w:id="236" w:name="_Ref11834666"/>
      <w:bookmarkStart w:id="237" w:name="_Ref25415088"/>
      <w:bookmarkStart w:id="238" w:name="_Toc27919547"/>
      <w:bookmarkStart w:id="239" w:name="_Toc28265711"/>
      <w:bookmarkStart w:id="240" w:name="_Toc28276946"/>
      <w:bookmarkStart w:id="241" w:name="_Toc32066334"/>
      <w:r w:rsidRPr="00A604A3">
        <w:rPr>
          <w:rFonts w:eastAsia="MS Mincho"/>
        </w:rPr>
        <w:t>TAble 45</w:t>
      </w:r>
    </w:p>
    <w:p w:rsidR="00973E02" w:rsidRPr="00A604A3" w:rsidRDefault="00973E02" w:rsidP="00973E02">
      <w:pPr>
        <w:pStyle w:val="Tabletitle"/>
        <w:rPr>
          <w:rFonts w:eastAsia="MS Mincho"/>
        </w:rPr>
      </w:pPr>
      <w:r w:rsidRPr="00A604A3">
        <w:rPr>
          <w:rFonts w:eastAsia="MS Mincho"/>
        </w:rPr>
        <w:t>5th percentile user SE for NR TDD with frame structure ‘DSUUD’ in Rural – eMBB Config. B</w:t>
      </w:r>
      <w:bookmarkEnd w:id="236"/>
      <w:bookmarkEnd w:id="237"/>
      <w:bookmarkEnd w:id="238"/>
      <w:bookmarkEnd w:id="239"/>
      <w:bookmarkEnd w:id="240"/>
      <w:r w:rsidRPr="00A604A3">
        <w:rPr>
          <w:rFonts w:eastAsia="MS Mincho"/>
        </w:rPr>
        <w:t xml:space="preserve"> (Source 1)</w:t>
      </w:r>
      <w:bookmarkEnd w:id="241"/>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973E02">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973E02">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0.23</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973E02">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0.062</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bookmarkStart w:id="242" w:name="_Ref22399375"/>
      <w:bookmarkStart w:id="243" w:name="_Toc27919548"/>
      <w:bookmarkStart w:id="244" w:name="_Toc28265712"/>
      <w:bookmarkStart w:id="245" w:name="_Toc28276947"/>
      <w:bookmarkStart w:id="246" w:name="_Toc32066335"/>
    </w:p>
    <w:p w:rsidR="00973E02" w:rsidRPr="00A604A3" w:rsidRDefault="00973E02" w:rsidP="00973E02">
      <w:pPr>
        <w:pStyle w:val="TableNo"/>
        <w:rPr>
          <w:rFonts w:eastAsia="MS Mincho"/>
        </w:rPr>
      </w:pPr>
      <w:r w:rsidRPr="00A604A3">
        <w:rPr>
          <w:rFonts w:eastAsia="MS Mincho"/>
        </w:rPr>
        <w:lastRenderedPageBreak/>
        <w:t>TAble 46</w:t>
      </w:r>
    </w:p>
    <w:p w:rsidR="00973E02" w:rsidRPr="00A604A3" w:rsidRDefault="00973E02" w:rsidP="00973E02">
      <w:pPr>
        <w:pStyle w:val="Tabletitle"/>
        <w:rPr>
          <w:rFonts w:eastAsia="MS Mincho"/>
        </w:rPr>
      </w:pPr>
      <w:r w:rsidRPr="00A604A3">
        <w:rPr>
          <w:rFonts w:eastAsia="MS Mincho"/>
        </w:rPr>
        <w:t>5th percentile user SE for NR TDD with frame structure ‘DDDSU’ in Rural – eMBB Config. B</w:t>
      </w:r>
      <w:bookmarkEnd w:id="242"/>
      <w:bookmarkEnd w:id="243"/>
      <w:bookmarkEnd w:id="244"/>
      <w:bookmarkEnd w:id="245"/>
      <w:r w:rsidRPr="00A604A3">
        <w:rPr>
          <w:rFonts w:eastAsia="MS Mincho"/>
        </w:rPr>
        <w:t xml:space="preserve"> (Source 2)</w:t>
      </w:r>
      <w:bookmarkEnd w:id="246"/>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AC1BA5">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0.38</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AC1BA5">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0.13</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p>
    <w:p w:rsidR="00AE0549" w:rsidRPr="00A604A3" w:rsidRDefault="00AE0549" w:rsidP="00973E02">
      <w:r w:rsidRPr="00A604A3">
        <w:t>NR FDD results are shown in Table 47 and Table 48 from different contributions.</w:t>
      </w:r>
    </w:p>
    <w:p w:rsidR="00973E02" w:rsidRPr="00A604A3" w:rsidRDefault="00973E02" w:rsidP="00973E02">
      <w:pPr>
        <w:pStyle w:val="TableNo"/>
        <w:rPr>
          <w:rFonts w:eastAsia="MS Mincho"/>
        </w:rPr>
      </w:pPr>
      <w:bookmarkStart w:id="247" w:name="_Ref25415153"/>
      <w:bookmarkStart w:id="248" w:name="_Toc27919549"/>
      <w:bookmarkStart w:id="249" w:name="_Toc28265713"/>
      <w:bookmarkStart w:id="250" w:name="_Toc28276948"/>
      <w:bookmarkStart w:id="251" w:name="_Toc32066336"/>
      <w:r w:rsidRPr="00A604A3">
        <w:rPr>
          <w:rFonts w:eastAsia="MS Mincho"/>
        </w:rPr>
        <w:t>TAble 47</w:t>
      </w:r>
    </w:p>
    <w:p w:rsidR="00973E02" w:rsidRPr="00A604A3" w:rsidRDefault="00973E02" w:rsidP="00973E02">
      <w:pPr>
        <w:pStyle w:val="Tabletitle"/>
        <w:rPr>
          <w:rFonts w:eastAsia="MS Mincho"/>
        </w:rPr>
      </w:pPr>
      <w:r w:rsidRPr="00A604A3">
        <w:rPr>
          <w:rFonts w:eastAsia="MS Mincho"/>
        </w:rPr>
        <w:t>5th percentile user SE for NR FDD in Rural – eMBB Config. B</w:t>
      </w:r>
      <w:bookmarkEnd w:id="247"/>
      <w:bookmarkEnd w:id="248"/>
      <w:bookmarkEnd w:id="249"/>
      <w:bookmarkEnd w:id="250"/>
      <w:r w:rsidRPr="00A604A3">
        <w:rPr>
          <w:rFonts w:eastAsia="MS Mincho"/>
        </w:rPr>
        <w:t xml:space="preserve"> (Source 1)</w:t>
      </w:r>
      <w:bookmarkEnd w:id="251"/>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AC1BA5">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0.25</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AC1BA5">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bookmarkStart w:id="252" w:name="_Ref25436735"/>
      <w:bookmarkStart w:id="253" w:name="_Toc27919550"/>
      <w:bookmarkStart w:id="254" w:name="_Toc28265714"/>
      <w:bookmarkStart w:id="255" w:name="_Toc28276949"/>
      <w:bookmarkStart w:id="256" w:name="_Toc32066337"/>
    </w:p>
    <w:p w:rsidR="00973E02" w:rsidRPr="00A604A3" w:rsidRDefault="00973E02" w:rsidP="00973E02">
      <w:pPr>
        <w:pStyle w:val="TableNo"/>
        <w:rPr>
          <w:rFonts w:eastAsia="MS Mincho"/>
        </w:rPr>
      </w:pPr>
      <w:r w:rsidRPr="00A604A3">
        <w:rPr>
          <w:rFonts w:eastAsia="MS Mincho"/>
        </w:rPr>
        <w:t>TAble 48</w:t>
      </w:r>
    </w:p>
    <w:p w:rsidR="00973E02" w:rsidRPr="00A604A3" w:rsidRDefault="00973E02" w:rsidP="00973E02">
      <w:pPr>
        <w:pStyle w:val="Tabletitle"/>
        <w:rPr>
          <w:rFonts w:eastAsia="MS Mincho"/>
        </w:rPr>
      </w:pPr>
      <w:r w:rsidRPr="00A604A3">
        <w:rPr>
          <w:rFonts w:eastAsia="MS Mincho"/>
        </w:rPr>
        <w:t>5th percentile user SE for NR FDD in Rural – eMBB Config. B</w:t>
      </w:r>
      <w:bookmarkEnd w:id="252"/>
      <w:bookmarkEnd w:id="253"/>
      <w:bookmarkEnd w:id="254"/>
      <w:bookmarkEnd w:id="255"/>
      <w:r w:rsidRPr="00A604A3">
        <w:rPr>
          <w:rFonts w:eastAsia="MS Mincho"/>
        </w:rPr>
        <w:t xml:space="preserve"> (Source 2)</w:t>
      </w:r>
      <w:bookmarkEnd w:id="256"/>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BA5">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0.39</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BA5">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0.21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E0549" w:rsidRPr="00A604A3" w:rsidRDefault="00AE0549" w:rsidP="00AC1BA5">
      <w:pPr>
        <w:pStyle w:val="Tablefin"/>
      </w:pPr>
    </w:p>
    <w:p w:rsidR="00AE0549" w:rsidRPr="00A604A3" w:rsidRDefault="00AE0549" w:rsidP="00AC1BA5">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B.</w:t>
      </w:r>
    </w:p>
    <w:p w:rsidR="00AE0549" w:rsidRPr="00A604A3" w:rsidRDefault="00AC1BA5" w:rsidP="00AC1BA5">
      <w:pPr>
        <w:pStyle w:val="Heading6"/>
        <w:rPr>
          <w:rFonts w:eastAsia="MS Mincho"/>
        </w:rPr>
      </w:pPr>
      <w:r w:rsidRPr="00A604A3">
        <w:rPr>
          <w:rFonts w:eastAsia="MS Mincho"/>
        </w:rPr>
        <w:t>II.5.4.2.3.3</w:t>
      </w:r>
      <w:r w:rsidRPr="00A604A3">
        <w:rPr>
          <w:rFonts w:eastAsia="MS Mincho"/>
        </w:rPr>
        <w:tab/>
      </w:r>
      <w:r w:rsidRPr="00A604A3">
        <w:rPr>
          <w:rFonts w:eastAsia="MS Mincho"/>
        </w:rPr>
        <w:tab/>
      </w:r>
      <w:r w:rsidR="00AE0549" w:rsidRPr="00A604A3">
        <w:rPr>
          <w:rFonts w:eastAsia="MS Mincho"/>
        </w:rPr>
        <w:t>Evaluation configuration C (CF = 700 MHz)</w:t>
      </w:r>
    </w:p>
    <w:p w:rsidR="00AE0549" w:rsidRPr="00A604A3" w:rsidRDefault="00AE0549" w:rsidP="00AC1BA5">
      <w:pPr>
        <w:rPr>
          <w:rFonts w:eastAsia="MS Mincho"/>
        </w:rPr>
      </w:pPr>
      <w:r w:rsidRPr="00A604A3">
        <w:rPr>
          <w:rFonts w:eastAsia="MS Mincho"/>
        </w:rPr>
        <w:t>The evaluation results for downlink and uplink in Rural – eMBB Configuration C are provided in Table 49 to Table 52 from different contributions.</w:t>
      </w:r>
    </w:p>
    <w:p w:rsidR="00AC1BA5" w:rsidRPr="00A604A3" w:rsidRDefault="00AC1BA5" w:rsidP="00AC1BA5">
      <w:pPr>
        <w:pStyle w:val="TableNo"/>
        <w:rPr>
          <w:rFonts w:eastAsia="MS Mincho"/>
        </w:rPr>
      </w:pPr>
      <w:bookmarkStart w:id="257" w:name="_Ref25311660"/>
      <w:bookmarkStart w:id="258" w:name="_Toc27919552"/>
      <w:bookmarkStart w:id="259" w:name="_Toc28265716"/>
      <w:bookmarkStart w:id="260" w:name="_Toc28276951"/>
      <w:bookmarkStart w:id="261" w:name="_Toc32066339"/>
      <w:r w:rsidRPr="00A604A3">
        <w:rPr>
          <w:rFonts w:eastAsia="MS Mincho"/>
        </w:rPr>
        <w:t>Table 49</w:t>
      </w:r>
    </w:p>
    <w:p w:rsidR="00AC1BA5" w:rsidRPr="00A604A3" w:rsidRDefault="00AC1BA5" w:rsidP="00AC1BA5">
      <w:pPr>
        <w:pStyle w:val="Tabletitle"/>
        <w:rPr>
          <w:rFonts w:eastAsia="MS Mincho"/>
        </w:rPr>
      </w:pPr>
      <w:r w:rsidRPr="00A604A3">
        <w:rPr>
          <w:rFonts w:eastAsia="MS Mincho"/>
        </w:rPr>
        <w:t>5th percentile user SE for NR TDD with frame structure ‘DSUUD’ in Rural – eMBB Config. C</w:t>
      </w:r>
      <w:bookmarkEnd w:id="257"/>
      <w:bookmarkEnd w:id="258"/>
      <w:bookmarkEnd w:id="259"/>
      <w:bookmarkEnd w:id="260"/>
      <w:r w:rsidRPr="00A604A3">
        <w:rPr>
          <w:rFonts w:eastAsia="MS Mincho"/>
        </w:rPr>
        <w:t xml:space="preserve"> (Source 1)</w:t>
      </w:r>
      <w:bookmarkEnd w:id="261"/>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0.13</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62" w:name="_Ref25442104"/>
      <w:bookmarkStart w:id="263" w:name="_Toc27919553"/>
      <w:bookmarkStart w:id="264" w:name="_Toc28265717"/>
      <w:bookmarkStart w:id="265" w:name="_Toc28276952"/>
      <w:bookmarkStart w:id="266" w:name="_Toc32066340"/>
      <w:r w:rsidRPr="00A604A3">
        <w:rPr>
          <w:rFonts w:eastAsia="MS Mincho"/>
        </w:rPr>
        <w:lastRenderedPageBreak/>
        <w:t>Table 50</w:t>
      </w:r>
    </w:p>
    <w:p w:rsidR="00AC1BA5" w:rsidRPr="00A604A3" w:rsidRDefault="00AC1BA5" w:rsidP="00AC1BA5">
      <w:pPr>
        <w:pStyle w:val="Tabletitle"/>
        <w:rPr>
          <w:rFonts w:eastAsia="MS Mincho"/>
        </w:rPr>
      </w:pPr>
      <w:r w:rsidRPr="00A604A3">
        <w:rPr>
          <w:rFonts w:eastAsia="MS Mincho"/>
        </w:rPr>
        <w:t>5th percentile user SE for NR TDD with frame structure ‘DDDSU’ in Rural – eMBB Config. C</w:t>
      </w:r>
      <w:bookmarkEnd w:id="262"/>
      <w:bookmarkEnd w:id="263"/>
      <w:bookmarkEnd w:id="264"/>
      <w:bookmarkEnd w:id="265"/>
      <w:r w:rsidRPr="00A604A3">
        <w:rPr>
          <w:rFonts w:eastAsia="MS Mincho"/>
        </w:rPr>
        <w:t xml:space="preserve"> (Source 2)</w:t>
      </w:r>
      <w:bookmarkEnd w:id="266"/>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0.195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FF0000"/>
                <w:kern w:val="24"/>
              </w:rPr>
            </w:pPr>
            <w:r w:rsidRPr="00A604A3">
              <w:rPr>
                <w:rFonts w:eastAsia="Calibri"/>
                <w:color w:val="FF0000"/>
                <w:kern w:val="24"/>
              </w:rPr>
              <w:t>0.042</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67" w:name="_Toc27919554"/>
      <w:bookmarkStart w:id="268" w:name="_Toc28265718"/>
      <w:bookmarkStart w:id="269" w:name="_Toc28276953"/>
      <w:bookmarkStart w:id="270" w:name="_Toc32066341"/>
      <w:r w:rsidRPr="00A604A3">
        <w:rPr>
          <w:rFonts w:eastAsia="MS Mincho"/>
        </w:rPr>
        <w:t>Table 51</w:t>
      </w:r>
    </w:p>
    <w:p w:rsidR="00AC1BA5" w:rsidRPr="00A604A3" w:rsidRDefault="00AC1BA5" w:rsidP="00AC1BA5">
      <w:pPr>
        <w:pStyle w:val="Tabletitle"/>
        <w:rPr>
          <w:rFonts w:eastAsia="MS Mincho"/>
        </w:rPr>
      </w:pPr>
      <w:r w:rsidRPr="00A604A3">
        <w:rPr>
          <w:rFonts w:eastAsia="MS Mincho"/>
        </w:rPr>
        <w:t>5th percentile user SE for NR FDD in Rural – eMBB Config. C</w:t>
      </w:r>
      <w:bookmarkEnd w:id="267"/>
      <w:bookmarkEnd w:id="268"/>
      <w:bookmarkEnd w:id="269"/>
      <w:r w:rsidRPr="00A604A3">
        <w:rPr>
          <w:rFonts w:eastAsia="MS Mincho"/>
        </w:rPr>
        <w:t xml:space="preserve"> (Source 1)</w:t>
      </w:r>
      <w:bookmarkEnd w:id="27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0.13</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71" w:name="_Ref25311671"/>
      <w:bookmarkStart w:id="272" w:name="_Toc27919555"/>
      <w:bookmarkStart w:id="273" w:name="_Toc28265719"/>
      <w:bookmarkStart w:id="274" w:name="_Toc28276954"/>
      <w:bookmarkStart w:id="275" w:name="_Toc32066342"/>
      <w:r w:rsidRPr="00A604A3">
        <w:rPr>
          <w:rFonts w:eastAsia="MS Mincho"/>
        </w:rPr>
        <w:t>Table 52</w:t>
      </w:r>
    </w:p>
    <w:p w:rsidR="00AC1BA5" w:rsidRPr="00A604A3" w:rsidRDefault="00AC1BA5" w:rsidP="00AC1BA5">
      <w:pPr>
        <w:pStyle w:val="Tabletitle"/>
        <w:rPr>
          <w:rFonts w:eastAsia="MS Mincho"/>
        </w:rPr>
      </w:pPr>
      <w:r w:rsidRPr="00A604A3">
        <w:rPr>
          <w:rFonts w:eastAsia="MS Mincho"/>
        </w:rPr>
        <w:t>5th percentile user SE for NR FDD in Rural – eMBB Config. C</w:t>
      </w:r>
      <w:bookmarkEnd w:id="271"/>
      <w:bookmarkEnd w:id="272"/>
      <w:bookmarkEnd w:id="273"/>
      <w:bookmarkEnd w:id="274"/>
      <w:r w:rsidRPr="00A604A3">
        <w:rPr>
          <w:rFonts w:eastAsia="MS Mincho"/>
        </w:rPr>
        <w:t xml:space="preserve"> (Source 2)</w:t>
      </w:r>
      <w:bookmarkEnd w:id="27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0.182</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E0549" w:rsidRPr="00A604A3" w:rsidRDefault="00AE0549" w:rsidP="00AC1F84">
      <w:pPr>
        <w:pStyle w:val="Tablefin"/>
      </w:pPr>
    </w:p>
    <w:p w:rsidR="00AE0549" w:rsidRPr="00A604A3" w:rsidRDefault="00AE0549" w:rsidP="00AC1F84">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C. In the case of Table 50 the performance is slightly below the requirement. However, as pointed out above, fulfillment of the requirement in one of multiple configurations of a test environment is sufficient.</w:t>
      </w:r>
    </w:p>
    <w:p w:rsidR="00AE0549" w:rsidRPr="00A604A3" w:rsidRDefault="00AC1F84" w:rsidP="00AC1F84">
      <w:pPr>
        <w:pStyle w:val="Heading3"/>
        <w:rPr>
          <w:rFonts w:eastAsia="MS Mincho"/>
        </w:rPr>
      </w:pPr>
      <w:bookmarkStart w:id="276" w:name="_Toc32412965"/>
      <w:r w:rsidRPr="00A604A3">
        <w:rPr>
          <w:rFonts w:eastAsia="MS Mincho"/>
        </w:rPr>
        <w:t>II.5.5</w:t>
      </w:r>
      <w:r w:rsidRPr="00A604A3">
        <w:rPr>
          <w:rFonts w:eastAsia="MS Mincho"/>
        </w:rPr>
        <w:tab/>
      </w:r>
      <w:r w:rsidR="00AE0549" w:rsidRPr="00A604A3">
        <w:rPr>
          <w:rFonts w:eastAsia="MS Mincho"/>
        </w:rPr>
        <w:t>Average spectral efficiency</w:t>
      </w:r>
      <w:bookmarkEnd w:id="276"/>
    </w:p>
    <w:p w:rsidR="00AE0549" w:rsidRPr="00A604A3" w:rsidRDefault="00AE0549" w:rsidP="00AC1F84">
      <w:r w:rsidRPr="00A604A3">
        <w:t>The ITU-R minimum requirements on average spectral efficiency are given in [1]. The following requirements and remarks are extracted from [1]:</w:t>
      </w:r>
    </w:p>
    <w:p w:rsidR="00AE0549" w:rsidRPr="00A604A3" w:rsidRDefault="00AC1F84" w:rsidP="00AC1F84">
      <w:pPr>
        <w:pStyle w:val="enumlev1"/>
        <w:rPr>
          <w:i/>
          <w:iCs/>
          <w:lang w:eastAsia="zh-CN"/>
        </w:rPr>
      </w:pPr>
      <w:r w:rsidRPr="00A604A3">
        <w:rPr>
          <w:i/>
          <w:iCs/>
        </w:rPr>
        <w:tab/>
      </w:r>
      <w:r w:rsidR="00AE0549" w:rsidRPr="00A604A3">
        <w:rPr>
          <w:i/>
          <w:iCs/>
        </w:rPr>
        <w:t>Average</w:t>
      </w:r>
      <w:r w:rsidR="00AE0549" w:rsidRPr="00A604A3">
        <w:rPr>
          <w:i/>
          <w:iCs/>
          <w:lang w:eastAsia="ko-KR"/>
        </w:rPr>
        <w:t xml:space="preserve"> spectral efficiency</w:t>
      </w:r>
      <w:r w:rsidR="00AE0549" w:rsidRPr="00A604A3">
        <w:rPr>
          <w:rStyle w:val="FootnoteReference"/>
          <w:i/>
          <w:iCs/>
        </w:rPr>
        <w:footnoteReference w:id="3"/>
      </w:r>
      <w:r w:rsidR="00AE0549" w:rsidRPr="00A604A3">
        <w:rPr>
          <w:b/>
          <w:i/>
          <w:iCs/>
        </w:rPr>
        <w:t xml:space="preserve"> </w:t>
      </w:r>
      <w:r w:rsidR="00AE0549" w:rsidRPr="00A604A3">
        <w:rPr>
          <w:i/>
          <w:iCs/>
          <w:lang w:eastAsia="ko-KR"/>
        </w:rPr>
        <w:t>is t</w:t>
      </w:r>
      <w:r w:rsidR="00AE0549" w:rsidRPr="00A604A3">
        <w:rPr>
          <w:i/>
          <w:iCs/>
        </w:rPr>
        <w:t xml:space="preserve">he aggregate throughput of all users (the number of correctly received bits, i.e. the number of bits contained in the SDUs delivered to Layer 3, over a certain period of time) divided by the channel bandwidth </w:t>
      </w:r>
      <w:r w:rsidR="00AE0549" w:rsidRPr="00A604A3">
        <w:rPr>
          <w:i/>
          <w:iCs/>
          <w:lang w:eastAsia="zh-CN"/>
        </w:rPr>
        <w:t xml:space="preserve">of a specific band </w:t>
      </w:r>
      <w:r w:rsidR="00AE0549" w:rsidRPr="00A604A3">
        <w:rPr>
          <w:i/>
          <w:iCs/>
        </w:rPr>
        <w:t xml:space="preserve">divided by the number of </w:t>
      </w:r>
      <w:r w:rsidR="00AE0549" w:rsidRPr="00A604A3">
        <w:rPr>
          <w:i/>
          <w:iCs/>
          <w:szCs w:val="24"/>
        </w:rPr>
        <w:t>TRxPs and is measured in bit/s/Hz/TRxP</w:t>
      </w:r>
      <w:r w:rsidR="00AE0549" w:rsidRPr="00A604A3">
        <w:rPr>
          <w:i/>
          <w:iCs/>
        </w:rPr>
        <w:t>.</w:t>
      </w:r>
      <w:r w:rsidR="00AE0549" w:rsidRPr="00A604A3">
        <w:rPr>
          <w:i/>
          <w:iCs/>
          <w:lang w:eastAsia="zh-CN"/>
        </w:rPr>
        <w:t xml:space="preserve"> </w:t>
      </w:r>
    </w:p>
    <w:p w:rsidR="00AE0549" w:rsidRPr="00A604A3" w:rsidRDefault="00AC1F84" w:rsidP="00AC1F84">
      <w:pPr>
        <w:pStyle w:val="enumlev1"/>
        <w:rPr>
          <w:i/>
          <w:iCs/>
          <w:szCs w:val="24"/>
        </w:rPr>
      </w:pPr>
      <w:r w:rsidRPr="00A604A3">
        <w:rPr>
          <w:i/>
          <w:iCs/>
          <w:szCs w:val="24"/>
        </w:rPr>
        <w:tab/>
      </w:r>
      <w:r w:rsidR="00AE0549" w:rsidRPr="00A604A3">
        <w:rPr>
          <w:i/>
          <w:iCs/>
          <w:szCs w:val="24"/>
        </w:rPr>
        <w:t xml:space="preserve">The channel bandwidth for this purpose is defined as the effective bandwidth times the frequency reuse factor, where the effective bandwidth is the operating bandwidth normalized appropriately considering the uplink/downlink ratio. </w:t>
      </w:r>
    </w:p>
    <w:p w:rsidR="00AE0549" w:rsidRPr="00A604A3" w:rsidRDefault="00AC1F84" w:rsidP="00AC1F84">
      <w:pPr>
        <w:pStyle w:val="enumlev1"/>
        <w:rPr>
          <w:i/>
          <w:iCs/>
          <w:color w:val="000000" w:themeColor="text1"/>
          <w:lang w:eastAsia="zh-CN"/>
        </w:rPr>
      </w:pPr>
      <w:r w:rsidRPr="00A604A3">
        <w:rPr>
          <w:i/>
          <w:iCs/>
          <w:color w:val="000000" w:themeColor="text1"/>
        </w:rPr>
        <w:lastRenderedPageBreak/>
        <w:tab/>
      </w:r>
      <w:r w:rsidR="00AE0549" w:rsidRPr="00A604A3">
        <w:rPr>
          <w:i/>
          <w:iCs/>
          <w:color w:val="000000" w:themeColor="text1"/>
        </w:rPr>
        <w:t>Let R</w:t>
      </w:r>
      <w:r w:rsidR="00AE0549" w:rsidRPr="00A604A3">
        <w:rPr>
          <w:i/>
          <w:iCs/>
          <w:color w:val="000000" w:themeColor="text1"/>
          <w:vertAlign w:val="subscript"/>
        </w:rPr>
        <w:t xml:space="preserve">i </w:t>
      </w:r>
      <w:r w:rsidR="00AE0549" w:rsidRPr="00A604A3">
        <w:rPr>
          <w:i/>
          <w:iCs/>
          <w:color w:val="000000" w:themeColor="text1"/>
        </w:rPr>
        <w:t>(T) denote the number of correctly received bits by user i (downlink) or from user i (uplink) in</w:t>
      </w:r>
      <w:r w:rsidR="00AE0549" w:rsidRPr="00A604A3">
        <w:rPr>
          <w:i/>
          <w:iCs/>
          <w:color w:val="000000" w:themeColor="text1"/>
          <w:lang w:eastAsia="zh-CN"/>
        </w:rPr>
        <w:t xml:space="preserve"> </w:t>
      </w:r>
      <w:r w:rsidR="00AE0549" w:rsidRPr="00A604A3">
        <w:rPr>
          <w:i/>
          <w:iCs/>
          <w:color w:val="000000" w:themeColor="text1"/>
        </w:rPr>
        <w:t>a system comprising a user population of N users and M TRxPs. Furthermore, let W denote the</w:t>
      </w:r>
      <w:r w:rsidR="00AE0549" w:rsidRPr="00A604A3">
        <w:rPr>
          <w:i/>
          <w:iCs/>
          <w:color w:val="000000" w:themeColor="text1"/>
          <w:lang w:eastAsia="zh-CN"/>
        </w:rPr>
        <w:t xml:space="preserve"> </w:t>
      </w:r>
      <w:r w:rsidR="00AE0549" w:rsidRPr="00A604A3">
        <w:rPr>
          <w:i/>
          <w:iCs/>
          <w:color w:val="000000" w:themeColor="text1"/>
        </w:rPr>
        <w:t>channel bandwidth and T the time over which the data bits are received. The average spectral</w:t>
      </w:r>
      <w:r w:rsidR="00AE0549" w:rsidRPr="00A604A3">
        <w:rPr>
          <w:rFonts w:eastAsia="Malgun Gothic"/>
          <w:i/>
          <w:iCs/>
          <w:color w:val="000000" w:themeColor="text1"/>
          <w:lang w:eastAsia="ko-KR"/>
        </w:rPr>
        <w:t xml:space="preserve"> efficiency</w:t>
      </w:r>
      <w:r w:rsidR="00AE0549" w:rsidRPr="00A604A3">
        <w:rPr>
          <w:i/>
          <w:iCs/>
          <w:color w:val="000000" w:themeColor="text1"/>
          <w:lang w:eastAsia="zh-CN"/>
        </w:rPr>
        <w:t>,</w:t>
      </w:r>
      <w:r w:rsidR="00AE0549" w:rsidRPr="00A604A3">
        <w:rPr>
          <w:i/>
          <w:iCs/>
          <w:color w:val="000000" w:themeColor="text1"/>
        </w:rPr>
        <w:t xml:space="preserve"> SE</w:t>
      </w:r>
      <w:r w:rsidR="00AE0549" w:rsidRPr="00A604A3">
        <w:rPr>
          <w:i/>
          <w:iCs/>
          <w:color w:val="000000" w:themeColor="text1"/>
          <w:vertAlign w:val="subscript"/>
        </w:rPr>
        <w:t>avg</w:t>
      </w:r>
      <w:r w:rsidR="00AE0549" w:rsidRPr="00A604A3">
        <w:rPr>
          <w:i/>
          <w:iCs/>
          <w:color w:val="000000" w:themeColor="text1"/>
        </w:rPr>
        <w:t xml:space="preserve"> is then defined </w:t>
      </w:r>
      <w:r w:rsidR="00AE0549" w:rsidRPr="00A604A3">
        <w:rPr>
          <w:i/>
          <w:iCs/>
          <w:color w:val="000000" w:themeColor="text1"/>
          <w:lang w:eastAsia="zh-CN"/>
        </w:rPr>
        <w:t>according to</w:t>
      </w:r>
      <w:r w:rsidR="00AE0549" w:rsidRPr="00A604A3">
        <w:rPr>
          <w:i/>
          <w:iCs/>
          <w:color w:val="000000" w:themeColor="text1"/>
        </w:rPr>
        <w:t xml:space="preserve"> </w:t>
      </w:r>
      <w:r w:rsidR="00AE0549" w:rsidRPr="00A604A3">
        <w:rPr>
          <w:i/>
          <w:iCs/>
          <w:color w:val="000000" w:themeColor="text1"/>
          <w:lang w:eastAsia="zh-CN"/>
        </w:rPr>
        <w:t xml:space="preserve">equation </w:t>
      </w:r>
      <w:r w:rsidR="00AE0549" w:rsidRPr="00A604A3">
        <w:rPr>
          <w:i/>
          <w:iCs/>
          <w:color w:val="000000" w:themeColor="text1"/>
        </w:rPr>
        <w:t>(</w:t>
      </w:r>
      <w:r w:rsidR="00AE0549" w:rsidRPr="00A604A3">
        <w:rPr>
          <w:i/>
          <w:iCs/>
          <w:color w:val="000000" w:themeColor="text1"/>
          <w:lang w:eastAsia="zh-CN"/>
        </w:rPr>
        <w:t>5</w:t>
      </w:r>
      <w:r w:rsidR="00AE0549" w:rsidRPr="00A604A3">
        <w:rPr>
          <w:i/>
          <w:iCs/>
          <w:color w:val="000000" w:themeColor="text1"/>
        </w:rPr>
        <w:t>).</w:t>
      </w:r>
    </w:p>
    <w:p w:rsidR="00AE0549" w:rsidRPr="00A604A3" w:rsidRDefault="00AE0549" w:rsidP="00AC1F84">
      <w:pPr>
        <w:pStyle w:val="Equation"/>
        <w:rPr>
          <w:b/>
          <w:color w:val="000000" w:themeColor="text1"/>
          <w:lang w:eastAsia="zh-CN"/>
        </w:rPr>
      </w:pPr>
      <w:r w:rsidRPr="00A604A3">
        <w:tab/>
      </w:r>
      <w:r w:rsidRPr="00A604A3">
        <w:tab/>
      </w:r>
      <w:r w:rsidR="006853C6">
        <w:pict>
          <v:shape id="_x0000_i1029" type="#_x0000_t75" style="width:86.75pt;height:50.75pt">
            <v:imagedata r:id="rId17" o:title=""/>
          </v:shape>
        </w:pict>
      </w:r>
    </w:p>
    <w:p w:rsidR="00AE0549" w:rsidRPr="00A604A3" w:rsidRDefault="00ED1900" w:rsidP="00AC1F84">
      <w:pPr>
        <w:pStyle w:val="enumlev1"/>
        <w:rPr>
          <w:i/>
          <w:iCs/>
        </w:rPr>
      </w:pPr>
      <w:r w:rsidRPr="00A604A3">
        <w:rPr>
          <w:i/>
          <w:iCs/>
        </w:rPr>
        <w:tab/>
      </w:r>
      <w:r w:rsidR="00AE0549" w:rsidRPr="00A604A3">
        <w:rPr>
          <w:i/>
          <w:iCs/>
        </w:rPr>
        <w:t>This requirement is defined for the purpose of evaluation in the eMBB usage scenario.</w:t>
      </w:r>
    </w:p>
    <w:p w:rsidR="00AE0549" w:rsidRPr="00A604A3" w:rsidRDefault="00ED1900" w:rsidP="00ED1900">
      <w:pPr>
        <w:pStyle w:val="enumlev1"/>
        <w:rPr>
          <w:i/>
          <w:iCs/>
        </w:rPr>
      </w:pPr>
      <w:r w:rsidRPr="00A604A3">
        <w:rPr>
          <w:i/>
          <w:iCs/>
        </w:rPr>
        <w:tab/>
      </w:r>
      <w:r w:rsidR="00AE0549" w:rsidRPr="00A604A3">
        <w:rPr>
          <w:i/>
          <w:iCs/>
        </w:rPr>
        <w:t>The minimum requirements for average spectral efficiency for various test environments are summarized in</w:t>
      </w:r>
      <w:r w:rsidRPr="00A604A3">
        <w:rPr>
          <w:i/>
          <w:iCs/>
        </w:rPr>
        <w:t xml:space="preserve"> Table 13</w:t>
      </w:r>
      <w:r w:rsidR="00AE0549" w:rsidRPr="00A604A3">
        <w:rPr>
          <w:i/>
          <w:iCs/>
        </w:rPr>
        <w:t>.</w:t>
      </w:r>
    </w:p>
    <w:p w:rsidR="00ED1900" w:rsidRPr="00A604A3" w:rsidRDefault="00AE0549" w:rsidP="00ED1900">
      <w:pPr>
        <w:pStyle w:val="TableNo"/>
        <w:spacing w:before="240"/>
        <w:rPr>
          <w:i/>
          <w:iCs/>
          <w:lang w:eastAsia="ja-JP"/>
        </w:rPr>
      </w:pPr>
      <w:bookmarkStart w:id="277" w:name="_Ref536805366"/>
      <w:r w:rsidRPr="00A604A3">
        <w:rPr>
          <w:i/>
          <w:iCs/>
          <w:lang w:eastAsia="ja-JP"/>
        </w:rPr>
        <w:t>Table 13</w:t>
      </w:r>
    </w:p>
    <w:p w:rsidR="00AE0549" w:rsidRPr="00A604A3" w:rsidRDefault="00AE0549" w:rsidP="00470885">
      <w:pPr>
        <w:pStyle w:val="Tabletitle"/>
        <w:ind w:left="360"/>
        <w:rPr>
          <w:b w:val="0"/>
          <w:i/>
        </w:rPr>
      </w:pPr>
      <w:r w:rsidRPr="00A604A3">
        <w:rPr>
          <w:b w:val="0"/>
          <w:i/>
          <w:lang w:eastAsia="ja-JP"/>
        </w:rPr>
        <w:t xml:space="preserve">Average </w:t>
      </w:r>
      <w:r w:rsidRPr="00A604A3">
        <w:rPr>
          <w:b w:val="0"/>
          <w:i/>
        </w:rPr>
        <w:t>spectral efficiency</w:t>
      </w:r>
      <w:bookmarkEnd w:id="27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13"/>
        <w:gridCol w:w="2174"/>
      </w:tblGrid>
      <w:tr w:rsidR="00AE0549" w:rsidRPr="00A604A3" w:rsidTr="00470885">
        <w:trPr>
          <w:trHeight w:val="42"/>
          <w:jc w:val="center"/>
        </w:trPr>
        <w:tc>
          <w:tcPr>
            <w:tcW w:w="3118" w:type="dxa"/>
          </w:tcPr>
          <w:p w:rsidR="00AE0549" w:rsidRPr="00A604A3" w:rsidRDefault="00AE0549" w:rsidP="00470885">
            <w:pPr>
              <w:pStyle w:val="Tablehead"/>
              <w:rPr>
                <w:rFonts w:asciiTheme="majorBidi" w:hAnsiTheme="majorBidi" w:cstheme="majorBidi"/>
                <w:i/>
                <w:lang w:eastAsia="ja-JP"/>
              </w:rPr>
            </w:pPr>
            <w:r w:rsidRPr="00A604A3">
              <w:rPr>
                <w:rFonts w:asciiTheme="majorBidi" w:hAnsiTheme="majorBidi" w:cstheme="majorBidi"/>
                <w:i/>
              </w:rPr>
              <w:t>Test environment</w:t>
            </w:r>
          </w:p>
        </w:tc>
        <w:tc>
          <w:tcPr>
            <w:tcW w:w="3213" w:type="dxa"/>
          </w:tcPr>
          <w:p w:rsidR="00AE0549" w:rsidRPr="00A604A3" w:rsidRDefault="00AE0549" w:rsidP="00470885">
            <w:pPr>
              <w:pStyle w:val="Tablehead"/>
              <w:rPr>
                <w:rFonts w:asciiTheme="majorBidi" w:hAnsiTheme="majorBidi" w:cstheme="majorBidi"/>
                <w:i/>
              </w:rPr>
            </w:pPr>
            <w:r w:rsidRPr="00A604A3">
              <w:rPr>
                <w:rFonts w:asciiTheme="majorBidi" w:hAnsiTheme="majorBidi" w:cstheme="majorBidi"/>
                <w:i/>
              </w:rPr>
              <w:t>Downlink</w:t>
            </w:r>
            <w:r w:rsidRPr="00A604A3">
              <w:rPr>
                <w:rFonts w:asciiTheme="majorBidi" w:hAnsiTheme="majorBidi" w:cstheme="majorBidi"/>
                <w:i/>
                <w:lang w:eastAsia="ja-JP"/>
              </w:rPr>
              <w:br/>
            </w:r>
            <w:r w:rsidRPr="00A604A3">
              <w:rPr>
                <w:rFonts w:asciiTheme="majorBidi" w:hAnsiTheme="majorBidi" w:cstheme="majorBidi"/>
                <w:i/>
              </w:rPr>
              <w:t>(bit/s/Hz/</w:t>
            </w:r>
            <w:r w:rsidRPr="00A604A3">
              <w:rPr>
                <w:rFonts w:asciiTheme="majorBidi" w:hAnsiTheme="majorBidi" w:cstheme="majorBidi"/>
                <w:i/>
                <w:lang w:eastAsia="ja-JP"/>
              </w:rPr>
              <w:t>TRxP</w:t>
            </w:r>
            <w:r w:rsidRPr="00A604A3">
              <w:rPr>
                <w:rFonts w:asciiTheme="majorBidi" w:hAnsiTheme="majorBidi" w:cstheme="majorBidi"/>
                <w:i/>
              </w:rPr>
              <w:t>)</w:t>
            </w:r>
          </w:p>
        </w:tc>
        <w:tc>
          <w:tcPr>
            <w:tcW w:w="2174" w:type="dxa"/>
          </w:tcPr>
          <w:p w:rsidR="00AE0549" w:rsidRPr="00A604A3" w:rsidRDefault="00AE0549" w:rsidP="00470885">
            <w:pPr>
              <w:pStyle w:val="Tablehead"/>
              <w:rPr>
                <w:rFonts w:asciiTheme="majorBidi" w:hAnsiTheme="majorBidi" w:cstheme="majorBidi"/>
                <w:i/>
              </w:rPr>
            </w:pPr>
            <w:r w:rsidRPr="00A604A3">
              <w:rPr>
                <w:rFonts w:asciiTheme="majorBidi" w:hAnsiTheme="majorBidi" w:cstheme="majorBidi"/>
                <w:i/>
              </w:rPr>
              <w:t>Uplink</w:t>
            </w:r>
            <w:r w:rsidRPr="00A604A3">
              <w:rPr>
                <w:rFonts w:asciiTheme="majorBidi" w:hAnsiTheme="majorBidi" w:cstheme="majorBidi"/>
                <w:i/>
                <w:lang w:eastAsia="ja-JP"/>
              </w:rPr>
              <w:br/>
            </w:r>
            <w:r w:rsidRPr="00A604A3">
              <w:rPr>
                <w:rFonts w:asciiTheme="majorBidi" w:hAnsiTheme="majorBidi" w:cstheme="majorBidi"/>
                <w:i/>
              </w:rPr>
              <w:t>(bit/s/Hz/</w:t>
            </w:r>
            <w:r w:rsidRPr="00A604A3">
              <w:rPr>
                <w:rFonts w:asciiTheme="majorBidi" w:hAnsiTheme="majorBidi" w:cstheme="majorBidi"/>
                <w:i/>
                <w:lang w:eastAsia="ja-JP"/>
              </w:rPr>
              <w:t>TRxP</w:t>
            </w:r>
            <w:r w:rsidRPr="00A604A3">
              <w:rPr>
                <w:rFonts w:asciiTheme="majorBidi" w:hAnsiTheme="majorBidi" w:cstheme="majorBidi"/>
                <w:i/>
              </w:rPr>
              <w:t>)</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Indoor Hotspot – eMBB</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9</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6.75</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Dense Urban – eMBB (Note 1)</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7.8</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5.4</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Rural – eMBB</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3.3</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1.6</w:t>
            </w:r>
          </w:p>
        </w:tc>
      </w:tr>
      <w:tr w:rsidR="00AE0549" w:rsidRPr="00A604A3" w:rsidTr="00470885">
        <w:trPr>
          <w:jc w:val="center"/>
        </w:trPr>
        <w:tc>
          <w:tcPr>
            <w:tcW w:w="8505" w:type="dxa"/>
            <w:gridSpan w:val="3"/>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 xml:space="preserve">NOTE 1 – This requirement applies to Macro TRxP layer of the Dense Urban – eMBB test environment as described in Report </w:t>
            </w:r>
            <w:r w:rsidRPr="00A604A3">
              <w:rPr>
                <w:rFonts w:asciiTheme="majorBidi" w:hAnsiTheme="majorBidi" w:cstheme="majorBidi"/>
                <w:i/>
                <w:lang w:eastAsia="ko-KR"/>
              </w:rPr>
              <w:t>ITU-R M.2412-0</w:t>
            </w:r>
            <w:r w:rsidRPr="00A604A3">
              <w:rPr>
                <w:rFonts w:asciiTheme="majorBidi" w:hAnsiTheme="majorBidi" w:cstheme="majorBidi"/>
                <w:i/>
                <w:lang w:eastAsia="ja-JP"/>
              </w:rPr>
              <w:t>.</w:t>
            </w:r>
          </w:p>
        </w:tc>
      </w:tr>
    </w:tbl>
    <w:p w:rsidR="00AE0549" w:rsidRPr="00A604A3" w:rsidRDefault="00AE0549" w:rsidP="00470885">
      <w:pPr>
        <w:pStyle w:val="Tablefin"/>
        <w:ind w:left="720"/>
        <w:rPr>
          <w:i/>
        </w:rPr>
      </w:pPr>
    </w:p>
    <w:p w:rsidR="00AE0549" w:rsidRPr="00A604A3" w:rsidRDefault="00ED1900" w:rsidP="00ED1900">
      <w:pPr>
        <w:pStyle w:val="enumlev1"/>
        <w:rPr>
          <w:i/>
          <w:iCs/>
          <w:lang w:eastAsia="zh-CN"/>
        </w:rPr>
      </w:pPr>
      <w:r w:rsidRPr="00A604A3">
        <w:rPr>
          <w:i/>
          <w:iCs/>
          <w:lang w:eastAsia="zh-CN"/>
        </w:rPr>
        <w:tab/>
      </w:r>
      <w:r w:rsidR="00AE0549" w:rsidRPr="00A604A3">
        <w:rPr>
          <w:i/>
          <w:iCs/>
          <w:lang w:eastAsia="zh-CN"/>
        </w:rPr>
        <w:t>The performance requirement for Rural-eMBB is also applicable to Rural-eMBB LMLC which is one of the evaluation configurations under the Rural- eMBB test environment. The details (e.g. 8 km inter-site distance) can be found in Report ITU</w:t>
      </w:r>
      <w:r w:rsidR="00AE0549" w:rsidRPr="00A604A3">
        <w:rPr>
          <w:i/>
          <w:iCs/>
          <w:lang w:eastAsia="zh-CN"/>
        </w:rPr>
        <w:noBreakHyphen/>
        <w:t xml:space="preserve">R M.2412-0. </w:t>
      </w:r>
    </w:p>
    <w:p w:rsidR="00AE0549" w:rsidRPr="00A604A3" w:rsidRDefault="00ED1900" w:rsidP="00ED1900">
      <w:pPr>
        <w:pStyle w:val="enumlev1"/>
        <w:rPr>
          <w:i/>
          <w:iCs/>
          <w:lang w:eastAsia="ko-KR"/>
        </w:rPr>
      </w:pPr>
      <w:r w:rsidRPr="00A604A3">
        <w:rPr>
          <w:i/>
          <w:iCs/>
          <w:lang w:eastAsia="zh-CN"/>
        </w:rPr>
        <w:tab/>
      </w:r>
      <w:r w:rsidR="00AE0549" w:rsidRPr="00A604A3">
        <w:rPr>
          <w:i/>
          <w:iCs/>
          <w:lang w:eastAsia="zh-CN"/>
        </w:rPr>
        <w:t>T</w:t>
      </w:r>
      <w:r w:rsidR="00AE0549" w:rsidRPr="00A604A3">
        <w:rPr>
          <w:i/>
          <w:iCs/>
        </w:rPr>
        <w:t xml:space="preserve">he conditions for evaluation </w:t>
      </w:r>
      <w:r w:rsidR="00AE0549" w:rsidRPr="00A604A3">
        <w:rPr>
          <w:i/>
          <w:iCs/>
          <w:lang w:eastAsia="zh-CN"/>
        </w:rPr>
        <w:t xml:space="preserve">including </w:t>
      </w:r>
      <w:r w:rsidR="00AE0549" w:rsidRPr="00A604A3">
        <w:rPr>
          <w:i/>
          <w:iCs/>
          <w:lang w:eastAsia="ko-KR"/>
        </w:rPr>
        <w:t>carrier frequency and antenna configuration are described in Report ITU-R M.2412-0 for each test environment.</w:t>
      </w:r>
    </w:p>
    <w:p w:rsidR="00AE0549" w:rsidRPr="00A604A3" w:rsidRDefault="00AE0549" w:rsidP="00ED1900">
      <w:r w:rsidRPr="00A604A3">
        <w:t xml:space="preserve">Based on the reasoning given at the beginning of Section </w:t>
      </w:r>
      <w:r w:rsidR="00AA0B2B">
        <w:t>II.5</w:t>
      </w:r>
      <w:r w:rsidRPr="00A604A3">
        <w:t>.3 only 5G-NR RIT is evaluated.</w:t>
      </w:r>
    </w:p>
    <w:p w:rsidR="00AE0549" w:rsidRPr="00A604A3" w:rsidRDefault="004E0838" w:rsidP="004E0838">
      <w:pPr>
        <w:pStyle w:val="Heading4"/>
        <w:rPr>
          <w:rFonts w:eastAsia="MS Mincho"/>
        </w:rPr>
      </w:pPr>
      <w:r w:rsidRPr="00A604A3">
        <w:rPr>
          <w:rFonts w:eastAsia="MS Mincho"/>
        </w:rPr>
        <w:t>II.5.5.1</w:t>
      </w:r>
      <w:r w:rsidRPr="00A604A3">
        <w:rPr>
          <w:rFonts w:eastAsia="MS Mincho"/>
        </w:rPr>
        <w:tab/>
      </w:r>
      <w:r w:rsidR="00AE0549" w:rsidRPr="00A604A3">
        <w:rPr>
          <w:rFonts w:eastAsia="MS Mincho"/>
        </w:rPr>
        <w:t>Basic parameters</w:t>
      </w:r>
    </w:p>
    <w:p w:rsidR="00AE0549" w:rsidRPr="00A604A3" w:rsidRDefault="00AE0549" w:rsidP="004E0838">
      <w:pPr>
        <w:rPr>
          <w:rFonts w:eastAsia="MS Mincho"/>
        </w:rPr>
      </w:pPr>
      <w:r w:rsidRPr="00A604A3">
        <w:rPr>
          <w:rFonts w:eastAsia="MS Mincho"/>
        </w:rPr>
        <w:t>The average spectral efficiency (SE) is evaluated by system level simulations. The used simulator is calibrated against the results of the calibration which 3GPP performed in the context of self-evaluation, see [13]. System level simulations are performed for TDD technique.</w:t>
      </w:r>
    </w:p>
    <w:p w:rsidR="00AE0549" w:rsidRPr="00A604A3" w:rsidRDefault="00AE0549" w:rsidP="004E0838">
      <w:pPr>
        <w:rPr>
          <w:rFonts w:eastAsia="MS Mincho"/>
        </w:rPr>
      </w:pPr>
      <w:r w:rsidRPr="00A604A3">
        <w:rPr>
          <w:rFonts w:eastAsia="MS Mincho"/>
        </w:rPr>
        <w:t>Furthermore, as required in [3] and as mentioned in Section III-4.1, the average spectral efficiency is assessed jointly with the 5</w:t>
      </w:r>
      <w:r w:rsidRPr="00A604A3">
        <w:rPr>
          <w:rFonts w:eastAsia="MS Mincho"/>
          <w:vertAlign w:val="superscript"/>
        </w:rPr>
        <w:t>th</w:t>
      </w:r>
      <w:r w:rsidRPr="00A604A3">
        <w:rPr>
          <w:rFonts w:eastAsia="MS Mincho"/>
        </w:rPr>
        <w:t xml:space="preserve"> percentile user spectral efficiency using the same simulations.</w:t>
      </w:r>
    </w:p>
    <w:p w:rsidR="00AE0549" w:rsidRPr="00A604A3" w:rsidRDefault="004E0838" w:rsidP="004E0838">
      <w:pPr>
        <w:pStyle w:val="Heading4"/>
        <w:rPr>
          <w:rFonts w:eastAsia="MS Mincho"/>
        </w:rPr>
      </w:pPr>
      <w:r w:rsidRPr="00A604A3">
        <w:rPr>
          <w:rFonts w:eastAsia="MS Mincho"/>
        </w:rPr>
        <w:t>II.5.5.2</w:t>
      </w:r>
      <w:r w:rsidRPr="00A604A3">
        <w:rPr>
          <w:rFonts w:eastAsia="MS Mincho"/>
        </w:rPr>
        <w:tab/>
      </w:r>
      <w:r w:rsidR="00AE0549" w:rsidRPr="00A604A3">
        <w:rPr>
          <w:rFonts w:eastAsia="MS Mincho"/>
        </w:rPr>
        <w:t>5G NR</w:t>
      </w:r>
    </w:p>
    <w:p w:rsidR="00AE0549" w:rsidRPr="00A604A3" w:rsidRDefault="00AE0549" w:rsidP="004023AA">
      <w:r w:rsidRPr="00A604A3">
        <w:t>The evaluation of t</w:t>
      </w:r>
      <w:r w:rsidRPr="00A604A3">
        <w:rPr>
          <w:rFonts w:eastAsia="MS Mincho"/>
        </w:rPr>
        <w:t xml:space="preserve">he average spectral efficiency </w:t>
      </w:r>
      <w:r w:rsidRPr="00A604A3">
        <w:t xml:space="preserve">is conducted for </w:t>
      </w:r>
      <w:r w:rsidRPr="00A604A3">
        <w:rPr>
          <w:rFonts w:eastAsia="MS Mincho"/>
        </w:rPr>
        <w:t>the three different test environments of eMBB</w:t>
      </w:r>
      <w:r w:rsidRPr="00A604A3">
        <w:t>. The test environments and evaluation configuration parameters are described in [3]. Further evaluation assumptions can be found in Appendix [1], [2].</w:t>
      </w:r>
    </w:p>
    <w:p w:rsidR="00AE0549" w:rsidRPr="00A604A3" w:rsidRDefault="004023AA" w:rsidP="004023AA">
      <w:pPr>
        <w:pStyle w:val="Heading5"/>
        <w:rPr>
          <w:rFonts w:eastAsia="MS Mincho"/>
        </w:rPr>
      </w:pPr>
      <w:r w:rsidRPr="00A604A3">
        <w:rPr>
          <w:rFonts w:eastAsia="MS Mincho"/>
        </w:rPr>
        <w:lastRenderedPageBreak/>
        <w:t>II.5.5.2.1</w:t>
      </w:r>
      <w:r w:rsidRPr="00A604A3">
        <w:rPr>
          <w:rFonts w:eastAsia="MS Mincho"/>
        </w:rPr>
        <w:tab/>
      </w:r>
      <w:r w:rsidR="00AE0549" w:rsidRPr="00A604A3">
        <w:rPr>
          <w:rFonts w:eastAsia="MS Mincho"/>
        </w:rPr>
        <w:t>Indoor Hotspot – eMBB</w:t>
      </w:r>
    </w:p>
    <w:p w:rsidR="00AE0549" w:rsidRPr="00A604A3" w:rsidRDefault="00AE0549" w:rsidP="004023AA">
      <w:pPr>
        <w:rPr>
          <w:rFonts w:eastAsia="MS Mincho"/>
        </w:rPr>
      </w:pPr>
      <w:r w:rsidRPr="00A604A3">
        <w:rPr>
          <w:rFonts w:eastAsia="MS Mincho"/>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E0549" w:rsidP="004023AA">
      <w:pPr>
        <w:rPr>
          <w:rFonts w:eastAsia="MS Mincho"/>
        </w:rPr>
      </w:pPr>
      <w:r w:rsidRPr="00A604A3">
        <w:rPr>
          <w:rFonts w:eastAsia="MS Mincho"/>
        </w:rPr>
        <w:t xml:space="preserve">In addition to the system bandwidth determined in </w:t>
      </w:r>
      <w:r w:rsidRPr="00A604A3">
        <w:t>ITU-R M.2412-0 [3]</w:t>
      </w:r>
      <w:r w:rsidRPr="00A604A3">
        <w:rPr>
          <w:rFonts w:eastAsia="MS Mincho"/>
        </w:rPr>
        <w:t>, downlink system-level simulations are performed with a larger component carrier bandwidth. The larger bandwidth provides a more efficient usage of bandwidth and a smaller overhead. The simulation results with the larger bandwidth are used to calculate the area traffic capacity, see Section III-6.</w:t>
      </w:r>
    </w:p>
    <w:p w:rsidR="00AE0549" w:rsidRPr="00A604A3" w:rsidRDefault="004023AA" w:rsidP="004023AA">
      <w:pPr>
        <w:pStyle w:val="Heading6"/>
        <w:rPr>
          <w:rFonts w:eastAsia="MS Mincho"/>
        </w:rPr>
      </w:pPr>
      <w:r w:rsidRPr="00A604A3">
        <w:rPr>
          <w:rFonts w:eastAsia="MS Mincho"/>
        </w:rPr>
        <w:t>II.5.5.2.1.1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4023AA">
      <w:pPr>
        <w:rPr>
          <w:rFonts w:eastAsia="MS Mincho"/>
        </w:rPr>
      </w:pPr>
      <w:r w:rsidRPr="00A604A3">
        <w:rPr>
          <w:rFonts w:eastAsia="MS Mincho"/>
        </w:rPr>
        <w:t>Table 53 and Table 54 provide the evaluation results for NR TDD of downlink and uplink average spectral efficiency for Indoor Hotspot – eMBB Configuration A in both operation modes.</w:t>
      </w:r>
    </w:p>
    <w:p w:rsidR="004023AA" w:rsidRPr="00A604A3" w:rsidRDefault="004023AA" w:rsidP="004023AA">
      <w:pPr>
        <w:pStyle w:val="TableNo"/>
        <w:rPr>
          <w:rFonts w:eastAsia="MS Mincho"/>
        </w:rPr>
      </w:pPr>
      <w:bookmarkStart w:id="278" w:name="_Ref11842445"/>
      <w:bookmarkStart w:id="279" w:name="_Ref25415470"/>
      <w:bookmarkStart w:id="280" w:name="_Toc27919561"/>
      <w:bookmarkStart w:id="281" w:name="_Toc28265725"/>
      <w:bookmarkStart w:id="282" w:name="_Toc28276960"/>
      <w:bookmarkStart w:id="283" w:name="_Toc32066348"/>
      <w:r w:rsidRPr="00A604A3">
        <w:rPr>
          <w:rFonts w:eastAsia="MS Mincho"/>
        </w:rPr>
        <w:t>Table 53</w:t>
      </w:r>
    </w:p>
    <w:p w:rsidR="004023AA" w:rsidRPr="00A604A3" w:rsidRDefault="004023AA" w:rsidP="004023AA">
      <w:pPr>
        <w:pStyle w:val="Tabletitle"/>
        <w:rPr>
          <w:rFonts w:eastAsia="MS Mincho"/>
        </w:rPr>
      </w:pPr>
      <w:r w:rsidRPr="00A604A3">
        <w:rPr>
          <w:rFonts w:eastAsia="MS Mincho"/>
        </w:rPr>
        <w:t>Average SE for NR TDD with frame structure ‘DSUUD’ in Indoor Hotspot – eMBB Config. A</w:t>
      </w:r>
      <w:bookmarkEnd w:id="278"/>
      <w:bookmarkEnd w:id="279"/>
      <w:bookmarkEnd w:id="280"/>
      <w:bookmarkEnd w:id="281"/>
      <w:bookmarkEnd w:id="282"/>
      <w:r w:rsidRPr="00A604A3">
        <w:rPr>
          <w:rFonts w:eastAsia="MS Mincho"/>
        </w:rPr>
        <w:t xml:space="preserve"> (Source 1)</w:t>
      </w:r>
      <w:bookmarkEnd w:id="283"/>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rPr>
                <w:b/>
                <w:bCs/>
              </w:rPr>
            </w:pPr>
            <w:r w:rsidRPr="00A604A3">
              <w:rPr>
                <w:b/>
                <w:bCs/>
              </w:rPr>
              <w:t>Operation mode</w:t>
            </w:r>
          </w:p>
        </w:tc>
        <w:tc>
          <w:tcPr>
            <w:tcW w:w="1152" w:type="dxa"/>
            <w:vAlign w:val="center"/>
          </w:tcPr>
          <w:p w:rsidR="00AE0549" w:rsidRPr="00A604A3" w:rsidRDefault="00AE0549" w:rsidP="004023AA">
            <w:pPr>
              <w:pStyle w:val="Tabletext"/>
              <w:jc w:val="center"/>
              <w:rPr>
                <w:rFonts w:eastAsia="Yu Mincho"/>
                <w:b/>
                <w:bCs/>
              </w:rPr>
            </w:pPr>
          </w:p>
        </w:tc>
        <w:tc>
          <w:tcPr>
            <w:tcW w:w="1872" w:type="dxa"/>
            <w:vAlign w:val="center"/>
          </w:tcPr>
          <w:p w:rsidR="00AE0549" w:rsidRPr="00A604A3" w:rsidRDefault="00AE0549" w:rsidP="004023AA">
            <w:pPr>
              <w:pStyle w:val="Tabletext"/>
              <w:jc w:val="center"/>
              <w:rPr>
                <w:rFonts w:eastAsia="Calibri"/>
                <w:b/>
                <w:bCs/>
                <w:kern w:val="24"/>
              </w:rPr>
            </w:pPr>
            <w:r w:rsidRPr="00A604A3">
              <w:rPr>
                <w:rFonts w:eastAsia="Yu Mincho"/>
                <w:b/>
                <w:bCs/>
              </w:rPr>
              <w:t>1 sector per site</w:t>
            </w:r>
          </w:p>
        </w:tc>
        <w:tc>
          <w:tcPr>
            <w:tcW w:w="1872" w:type="dxa"/>
            <w:vAlign w:val="center"/>
          </w:tcPr>
          <w:p w:rsidR="00AE0549" w:rsidRPr="00A604A3" w:rsidRDefault="00AE0549" w:rsidP="004023AA">
            <w:pPr>
              <w:pStyle w:val="Tabletext"/>
              <w:jc w:val="center"/>
              <w:rPr>
                <w:rFonts w:eastAsia="Calibri"/>
                <w:b/>
                <w:bCs/>
                <w:kern w:val="24"/>
              </w:rPr>
            </w:pPr>
            <w:r w:rsidRPr="00A604A3">
              <w:rPr>
                <w:rFonts w:eastAsia="Yu Mincho"/>
                <w:b/>
                <w:bCs/>
              </w:rPr>
              <w:t>3 sectors per site</w:t>
            </w:r>
          </w:p>
        </w:tc>
        <w:tc>
          <w:tcPr>
            <w:tcW w:w="1872" w:type="dxa"/>
            <w:vAlign w:val="center"/>
          </w:tcPr>
          <w:p w:rsidR="00AE0549" w:rsidRPr="00A604A3" w:rsidRDefault="00AE0549" w:rsidP="004023AA">
            <w:pPr>
              <w:pStyle w:val="Tabletext"/>
              <w:jc w:val="center"/>
              <w:rPr>
                <w:rFonts w:eastAsia="Calibri"/>
                <w:b/>
                <w:bCs/>
                <w:kern w:val="24"/>
              </w:rPr>
            </w:pPr>
          </w:p>
        </w:tc>
      </w:tr>
      <w:tr w:rsidR="00AE0549" w:rsidRPr="00A604A3" w:rsidTr="004023AA">
        <w:trPr>
          <w:jc w:val="center"/>
        </w:trPr>
        <w:tc>
          <w:tcPr>
            <w:tcW w:w="1152" w:type="dxa"/>
            <w:vMerge w:val="restart"/>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13.6</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12.9</w:t>
            </w:r>
          </w:p>
        </w:tc>
        <w:tc>
          <w:tcPr>
            <w:tcW w:w="1872" w:type="dxa"/>
            <w:vMerge w:val="restart"/>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jc w:val="center"/>
        </w:trPr>
        <w:tc>
          <w:tcPr>
            <w:tcW w:w="1152" w:type="dxa"/>
            <w:vMerge/>
            <w:shd w:val="clear" w:color="auto" w:fill="auto"/>
            <w:tcMar>
              <w:top w:w="15" w:type="dxa"/>
              <w:left w:w="63" w:type="dxa"/>
              <w:bottom w:w="0" w:type="dxa"/>
              <w:right w:w="63" w:type="dxa"/>
            </w:tcMar>
            <w:vAlign w:val="center"/>
          </w:tcPr>
          <w:p w:rsidR="00AE0549" w:rsidRPr="00A604A3" w:rsidRDefault="00AE0549" w:rsidP="004023AA">
            <w:pPr>
              <w:pStyle w:val="Tabletext"/>
            </w:pP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15.5</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15.3</w:t>
            </w:r>
          </w:p>
        </w:tc>
        <w:tc>
          <w:tcPr>
            <w:tcW w:w="1872" w:type="dxa"/>
            <w:vMerge/>
            <w:vAlign w:val="center"/>
          </w:tcPr>
          <w:p w:rsidR="00AE0549" w:rsidRPr="00A604A3" w:rsidRDefault="00AE0549" w:rsidP="004023AA">
            <w:pPr>
              <w:pStyle w:val="Tabletext"/>
              <w:jc w:val="center"/>
              <w:rPr>
                <w:rFonts w:eastAsia="Calibri"/>
                <w:kern w:val="24"/>
              </w:rPr>
            </w:pP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7.4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4023AA" w:rsidRPr="00A604A3" w:rsidRDefault="004023AA" w:rsidP="004023AA">
      <w:pPr>
        <w:pStyle w:val="Tablefin"/>
      </w:pPr>
      <w:bookmarkStart w:id="284" w:name="_Ref22399528"/>
      <w:bookmarkStart w:id="285" w:name="_Toc27919562"/>
      <w:bookmarkStart w:id="286" w:name="_Toc28265726"/>
      <w:bookmarkStart w:id="287" w:name="_Toc28276961"/>
      <w:bookmarkStart w:id="288" w:name="_Toc32066349"/>
    </w:p>
    <w:p w:rsidR="004023AA" w:rsidRPr="00A604A3" w:rsidRDefault="004023AA" w:rsidP="004023AA">
      <w:pPr>
        <w:pStyle w:val="TableNo"/>
        <w:rPr>
          <w:rFonts w:eastAsia="MS Mincho"/>
        </w:rPr>
      </w:pPr>
      <w:r w:rsidRPr="00A604A3">
        <w:rPr>
          <w:rFonts w:eastAsia="MS Mincho"/>
        </w:rPr>
        <w:t>table 54</w:t>
      </w:r>
    </w:p>
    <w:p w:rsidR="004023AA" w:rsidRPr="00A604A3" w:rsidRDefault="004023AA" w:rsidP="004023AA">
      <w:pPr>
        <w:pStyle w:val="Tabletitle"/>
        <w:rPr>
          <w:rFonts w:eastAsia="MS Mincho"/>
        </w:rPr>
      </w:pPr>
      <w:r w:rsidRPr="00A604A3">
        <w:rPr>
          <w:rFonts w:eastAsia="MS Mincho"/>
        </w:rPr>
        <w:t>Average SE for NR TDD with frame structure ‘DDDSU’ in Indoor Hotspot – eMBB Config. A</w:t>
      </w:r>
      <w:bookmarkEnd w:id="284"/>
      <w:bookmarkEnd w:id="285"/>
      <w:bookmarkEnd w:id="286"/>
      <w:bookmarkEnd w:id="287"/>
      <w:r w:rsidRPr="00A604A3">
        <w:rPr>
          <w:rFonts w:eastAsia="MS Mincho"/>
        </w:rPr>
        <w:t xml:space="preserve"> (Source 2)</w:t>
      </w:r>
      <w:bookmarkEnd w:id="28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cantSplit/>
          <w:jc w:val="center"/>
        </w:trPr>
        <w:tc>
          <w:tcPr>
            <w:tcW w:w="1152" w:type="dxa"/>
            <w:vMerge w:val="restart"/>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12.94</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14.25</w:t>
            </w:r>
          </w:p>
        </w:tc>
        <w:tc>
          <w:tcPr>
            <w:tcW w:w="1872" w:type="dxa"/>
            <w:vMerge w:val="restart"/>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cantSplit/>
          <w:jc w:val="center"/>
        </w:trPr>
        <w:tc>
          <w:tcPr>
            <w:tcW w:w="1152" w:type="dxa"/>
            <w:vMerge/>
            <w:shd w:val="clear" w:color="auto" w:fill="auto"/>
            <w:tcMar>
              <w:top w:w="15" w:type="dxa"/>
              <w:left w:w="63" w:type="dxa"/>
              <w:bottom w:w="0" w:type="dxa"/>
              <w:right w:w="63" w:type="dxa"/>
            </w:tcMar>
            <w:vAlign w:val="center"/>
          </w:tcPr>
          <w:p w:rsidR="00AE0549" w:rsidRPr="00A604A3" w:rsidRDefault="00AE0549" w:rsidP="004023AA">
            <w:pPr>
              <w:pStyle w:val="Tabletext"/>
            </w:pP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15.23</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16.77</w:t>
            </w:r>
          </w:p>
        </w:tc>
        <w:tc>
          <w:tcPr>
            <w:tcW w:w="1872" w:type="dxa"/>
            <w:vMerge/>
            <w:vAlign w:val="center"/>
          </w:tcPr>
          <w:p w:rsidR="00AE0549" w:rsidRPr="00A604A3" w:rsidRDefault="00AE0549" w:rsidP="004023AA">
            <w:pPr>
              <w:pStyle w:val="Tabletext"/>
              <w:jc w:val="center"/>
              <w:rPr>
                <w:rFonts w:eastAsia="Calibri"/>
                <w:kern w:val="24"/>
              </w:rPr>
            </w:pP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7.62</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AE0549" w:rsidRPr="00A604A3" w:rsidRDefault="00AE0549" w:rsidP="00470885">
      <w:pPr>
        <w:rPr>
          <w:rFonts w:eastAsia="MS Mincho"/>
        </w:rPr>
      </w:pPr>
    </w:p>
    <w:p w:rsidR="00AE0549" w:rsidRPr="00A604A3" w:rsidRDefault="00AE0549" w:rsidP="00470885">
      <w:pPr>
        <w:spacing w:before="0" w:after="120"/>
      </w:pPr>
      <w:r w:rsidRPr="00A604A3">
        <w:t>Table 55 and Table 56 provide the NR FDD results from different contributions.</w:t>
      </w:r>
    </w:p>
    <w:p w:rsidR="004023AA" w:rsidRPr="00A604A3" w:rsidRDefault="004023AA" w:rsidP="004023AA">
      <w:pPr>
        <w:pStyle w:val="TableNo"/>
        <w:rPr>
          <w:rFonts w:eastAsia="MS Mincho"/>
        </w:rPr>
      </w:pPr>
      <w:bookmarkStart w:id="289" w:name="_Ref25415524"/>
      <w:bookmarkStart w:id="290" w:name="_Toc27919563"/>
      <w:bookmarkStart w:id="291" w:name="_Toc28265727"/>
      <w:bookmarkStart w:id="292" w:name="_Toc28276962"/>
      <w:bookmarkStart w:id="293" w:name="_Toc32066350"/>
      <w:r w:rsidRPr="00A604A3">
        <w:rPr>
          <w:rFonts w:eastAsia="MS Mincho"/>
        </w:rPr>
        <w:lastRenderedPageBreak/>
        <w:t>Table 55</w:t>
      </w:r>
    </w:p>
    <w:p w:rsidR="004023AA" w:rsidRPr="00A604A3" w:rsidRDefault="004023AA" w:rsidP="004023AA">
      <w:pPr>
        <w:pStyle w:val="Tabletitle"/>
        <w:rPr>
          <w:rFonts w:eastAsia="MS Mincho"/>
        </w:rPr>
      </w:pPr>
      <w:r w:rsidRPr="00A604A3">
        <w:rPr>
          <w:rFonts w:eastAsia="MS Mincho"/>
        </w:rPr>
        <w:t>Average SE for NR FDD in Indoor Hotspot – eMBB Config. A</w:t>
      </w:r>
      <w:bookmarkEnd w:id="289"/>
      <w:bookmarkEnd w:id="290"/>
      <w:bookmarkEnd w:id="291"/>
      <w:bookmarkEnd w:id="292"/>
      <w:r w:rsidRPr="00A604A3">
        <w:rPr>
          <w:rFonts w:eastAsia="MS Mincho"/>
        </w:rPr>
        <w:t xml:space="preserve"> (Source 1)</w:t>
      </w:r>
      <w:bookmarkEnd w:id="293"/>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12.14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12.17</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8.49</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7.48</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4023AA" w:rsidRPr="00A604A3" w:rsidRDefault="004023AA" w:rsidP="004023AA">
      <w:pPr>
        <w:pStyle w:val="TableNo"/>
        <w:rPr>
          <w:rFonts w:eastAsia="MS Mincho"/>
        </w:rPr>
      </w:pPr>
      <w:bookmarkStart w:id="294" w:name="_Ref25436997"/>
      <w:bookmarkStart w:id="295" w:name="_Toc27919564"/>
      <w:bookmarkStart w:id="296" w:name="_Toc28265728"/>
      <w:bookmarkStart w:id="297" w:name="_Toc28276963"/>
      <w:bookmarkStart w:id="298" w:name="_Toc32066351"/>
      <w:r w:rsidRPr="00A604A3">
        <w:rPr>
          <w:rFonts w:eastAsia="MS Mincho"/>
        </w:rPr>
        <w:t>table 56</w:t>
      </w:r>
    </w:p>
    <w:p w:rsidR="004023AA" w:rsidRPr="00A604A3" w:rsidRDefault="004023AA" w:rsidP="004023AA">
      <w:pPr>
        <w:pStyle w:val="Tabletitle"/>
        <w:rPr>
          <w:rFonts w:eastAsia="MS Mincho"/>
        </w:rPr>
      </w:pPr>
      <w:r w:rsidRPr="00A604A3">
        <w:rPr>
          <w:rFonts w:eastAsia="MS Mincho"/>
        </w:rPr>
        <w:t>Average SE for NR FDD in Indoor Hotspot – eMBB Config. A</w:t>
      </w:r>
      <w:bookmarkEnd w:id="294"/>
      <w:bookmarkEnd w:id="295"/>
      <w:bookmarkEnd w:id="296"/>
      <w:bookmarkEnd w:id="297"/>
      <w:r w:rsidRPr="00A604A3">
        <w:rPr>
          <w:rFonts w:eastAsia="MS Mincho"/>
        </w:rPr>
        <w:t xml:space="preserve"> (Source 2)</w:t>
      </w:r>
      <w:bookmarkEnd w:id="29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12.78</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15.26</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10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8.87</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9.44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AE0549" w:rsidRPr="00A604A3" w:rsidRDefault="00AE0549" w:rsidP="004023AA">
      <w:pPr>
        <w:pStyle w:val="Tablefin"/>
      </w:pPr>
    </w:p>
    <w:p w:rsidR="00AE0549" w:rsidRPr="00A604A3" w:rsidRDefault="00AE0549" w:rsidP="004023AA">
      <w:pPr>
        <w:rPr>
          <w:rFonts w:eastAsia="MS Mincho"/>
        </w:rPr>
      </w:pPr>
      <w:r w:rsidRPr="00A604A3">
        <w:rPr>
          <w:rFonts w:eastAsia="MS Mincho"/>
        </w:rPr>
        <w:t>It is observed that NR TDD and FDD fulfil downlink and uplink average spectral efficiency requirement for Indoor Hotspot – eMBB test environment in Configuration A in both operation modes.</w:t>
      </w:r>
    </w:p>
    <w:p w:rsidR="00AE0549" w:rsidRPr="00A604A3" w:rsidRDefault="007C140C" w:rsidP="007C140C">
      <w:pPr>
        <w:pStyle w:val="Heading6"/>
        <w:rPr>
          <w:rFonts w:eastAsia="MS Mincho"/>
        </w:rPr>
      </w:pPr>
      <w:r w:rsidRPr="00A604A3">
        <w:rPr>
          <w:rFonts w:eastAsia="MS Mincho"/>
        </w:rPr>
        <w:t>II.5.5.2.1.2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7C140C">
      <w:pPr>
        <w:rPr>
          <w:rFonts w:eastAsia="MS Mincho"/>
        </w:rPr>
      </w:pPr>
      <w:r w:rsidRPr="00A604A3">
        <w:rPr>
          <w:rFonts w:eastAsia="MS Mincho"/>
        </w:rPr>
        <w:t>The Table 57 and Table 58 provide the evaluation results for NR TDD of downlink and uplink average spectral efficiency for Indoor Hotspot – eMBB Configuration B in both operation</w:t>
      </w:r>
      <w:r w:rsidR="007C140C" w:rsidRPr="00A604A3">
        <w:t xml:space="preserve"> </w:t>
      </w:r>
      <w:r w:rsidR="007C140C" w:rsidRPr="00A604A3">
        <w:rPr>
          <w:rFonts w:eastAsia="MS Mincho"/>
        </w:rPr>
        <w:t>modes</w:t>
      </w:r>
      <w:r w:rsidRPr="00A604A3">
        <w:rPr>
          <w:rFonts w:eastAsia="MS Mincho"/>
        </w:rPr>
        <w:t>.</w:t>
      </w:r>
    </w:p>
    <w:p w:rsidR="007C140C" w:rsidRPr="00A604A3" w:rsidRDefault="00324328" w:rsidP="007C140C">
      <w:pPr>
        <w:pStyle w:val="TableNo"/>
        <w:rPr>
          <w:rFonts w:eastAsia="MS Mincho"/>
        </w:rPr>
      </w:pPr>
      <w:bookmarkStart w:id="299" w:name="_Ref11842707"/>
      <w:bookmarkStart w:id="300" w:name="_Ref25415810"/>
      <w:bookmarkStart w:id="301" w:name="_Toc27919566"/>
      <w:bookmarkStart w:id="302" w:name="_Toc28265730"/>
      <w:bookmarkStart w:id="303" w:name="_Toc28276965"/>
      <w:bookmarkStart w:id="304" w:name="_Toc32066353"/>
      <w:r w:rsidRPr="00A604A3">
        <w:rPr>
          <w:rFonts w:eastAsia="MS Mincho"/>
        </w:rPr>
        <w:t>Table 57</w:t>
      </w:r>
    </w:p>
    <w:p w:rsidR="007C140C" w:rsidRPr="00A604A3" w:rsidRDefault="007C140C" w:rsidP="007C140C">
      <w:pPr>
        <w:pStyle w:val="Tabletitle"/>
        <w:rPr>
          <w:rFonts w:eastAsia="MS Mincho"/>
        </w:rPr>
      </w:pPr>
      <w:r w:rsidRPr="00A604A3">
        <w:rPr>
          <w:rFonts w:eastAsia="MS Mincho"/>
        </w:rPr>
        <w:t>Average SE for NR TDD with frame structure ‘DSUUD’ in Indoor Hotspot – eMBB Config. B</w:t>
      </w:r>
      <w:bookmarkEnd w:id="299"/>
      <w:bookmarkEnd w:id="300"/>
      <w:bookmarkEnd w:id="301"/>
      <w:bookmarkEnd w:id="302"/>
      <w:bookmarkEnd w:id="303"/>
      <w:r w:rsidRPr="00A604A3">
        <w:rPr>
          <w:rFonts w:eastAsia="MS Mincho"/>
        </w:rPr>
        <w:t xml:space="preserve"> (Source 1)</w:t>
      </w:r>
      <w:bookmarkEnd w:id="304"/>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r w:rsidRPr="00A604A3">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324328">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tcBorders>
              <w:top w:val="single" w:sz="8" w:space="0" w:color="4D4D4D"/>
              <w:left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324328">
        <w:trPr>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14.7</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11.2</w:t>
            </w:r>
          </w:p>
        </w:tc>
        <w:tc>
          <w:tcPr>
            <w:tcW w:w="1607" w:type="dxa"/>
            <w:vMerge w:val="restart"/>
            <w:tcBorders>
              <w:top w:val="single" w:sz="8" w:space="0" w:color="4D4D4D"/>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324328">
        <w:trPr>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200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15.2</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12.0</w:t>
            </w:r>
          </w:p>
        </w:tc>
        <w:tc>
          <w:tcPr>
            <w:tcW w:w="1607" w:type="dxa"/>
            <w:vMerge/>
            <w:tcBorders>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p>
        </w:tc>
      </w:tr>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7.4</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kern w:val="24"/>
              </w:rPr>
              <w:t>7.33</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7C140C" w:rsidRPr="00A604A3" w:rsidRDefault="00324328" w:rsidP="007C140C">
      <w:pPr>
        <w:pStyle w:val="TableNo"/>
        <w:rPr>
          <w:rFonts w:eastAsia="MS Mincho"/>
        </w:rPr>
      </w:pPr>
      <w:bookmarkStart w:id="305" w:name="_Ref22563414"/>
      <w:bookmarkStart w:id="306" w:name="_Toc27919567"/>
      <w:bookmarkStart w:id="307" w:name="_Toc28265731"/>
      <w:bookmarkStart w:id="308" w:name="_Toc28276966"/>
      <w:bookmarkStart w:id="309" w:name="_Toc32066354"/>
      <w:r w:rsidRPr="00A604A3">
        <w:rPr>
          <w:rFonts w:eastAsia="MS Mincho"/>
        </w:rPr>
        <w:lastRenderedPageBreak/>
        <w:t>Table 58</w:t>
      </w:r>
    </w:p>
    <w:p w:rsidR="007C140C" w:rsidRPr="00A604A3" w:rsidRDefault="007C140C" w:rsidP="007C140C">
      <w:pPr>
        <w:pStyle w:val="Tabletitle"/>
        <w:rPr>
          <w:rFonts w:eastAsia="MS Mincho"/>
        </w:rPr>
      </w:pPr>
      <w:r w:rsidRPr="00A604A3">
        <w:rPr>
          <w:rFonts w:eastAsia="MS Mincho"/>
        </w:rPr>
        <w:t>Average SE for NR TDD with frame structure ‘DDDSU’ in Indoor Hotspot – eMBB Config. B</w:t>
      </w:r>
      <w:bookmarkEnd w:id="305"/>
      <w:bookmarkEnd w:id="306"/>
      <w:bookmarkEnd w:id="307"/>
      <w:bookmarkEnd w:id="308"/>
      <w:r w:rsidRPr="00A604A3">
        <w:rPr>
          <w:rFonts w:eastAsia="MS Mincho"/>
        </w:rPr>
        <w:t xml:space="preserve"> (Source 2)</w:t>
      </w:r>
      <w:bookmarkEnd w:id="309"/>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r w:rsidRPr="00A604A3">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324328">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tcBorders>
              <w:top w:val="single" w:sz="8" w:space="0" w:color="4D4D4D"/>
              <w:left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324328">
        <w:trPr>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11.41</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vMerge w:val="restart"/>
            <w:tcBorders>
              <w:top w:val="single" w:sz="8" w:space="0" w:color="4D4D4D"/>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324328">
        <w:trPr>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200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13.27</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vMerge/>
            <w:tcBorders>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p>
        </w:tc>
      </w:tr>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7.04</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AE0549" w:rsidRPr="00A604A3" w:rsidRDefault="00AE0549" w:rsidP="00324328">
      <w:pPr>
        <w:pStyle w:val="Tablefin"/>
      </w:pPr>
    </w:p>
    <w:p w:rsidR="00AE0549" w:rsidRPr="00A604A3" w:rsidRDefault="00AE0549" w:rsidP="00324328">
      <w:pPr>
        <w:rPr>
          <w:rFonts w:eastAsia="MS Mincho"/>
        </w:rPr>
      </w:pPr>
      <w:r w:rsidRPr="00A604A3">
        <w:rPr>
          <w:rFonts w:eastAsia="MS Mincho"/>
        </w:rPr>
        <w:t>NR FDD results are available in Table 59.</w:t>
      </w:r>
    </w:p>
    <w:p w:rsidR="007C140C" w:rsidRPr="00A604A3" w:rsidRDefault="00324328" w:rsidP="007C140C">
      <w:pPr>
        <w:pStyle w:val="TableNo"/>
        <w:rPr>
          <w:rFonts w:eastAsia="MS Mincho"/>
        </w:rPr>
      </w:pPr>
      <w:bookmarkStart w:id="310" w:name="_Ref25415842"/>
      <w:bookmarkStart w:id="311" w:name="_Toc27919568"/>
      <w:bookmarkStart w:id="312" w:name="_Toc28265732"/>
      <w:bookmarkStart w:id="313" w:name="_Toc28276967"/>
      <w:bookmarkStart w:id="314" w:name="_Toc32066355"/>
      <w:r w:rsidRPr="00A604A3">
        <w:rPr>
          <w:rFonts w:eastAsia="MS Mincho"/>
        </w:rPr>
        <w:t>Table 59</w:t>
      </w:r>
    </w:p>
    <w:p w:rsidR="007C140C" w:rsidRPr="00A604A3" w:rsidRDefault="007C140C" w:rsidP="007C140C">
      <w:pPr>
        <w:pStyle w:val="Tabletitle"/>
        <w:rPr>
          <w:rFonts w:eastAsia="MS Mincho"/>
        </w:rPr>
      </w:pPr>
      <w:r w:rsidRPr="00A604A3">
        <w:rPr>
          <w:rFonts w:eastAsia="MS Mincho"/>
        </w:rPr>
        <w:t>Average SE for NR FDD in Indoor Hotspot – eMBB Config. B</w:t>
      </w:r>
      <w:bookmarkEnd w:id="310"/>
      <w:bookmarkEnd w:id="311"/>
      <w:bookmarkEnd w:id="312"/>
      <w:bookmarkEnd w:id="313"/>
      <w:r w:rsidRPr="00A604A3">
        <w:rPr>
          <w:rFonts w:eastAsia="MS Mincho"/>
        </w:rPr>
        <w:t xml:space="preserve"> (Source 1)</w:t>
      </w:r>
      <w:bookmarkEnd w:id="314"/>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vAlign w:val="center"/>
          </w:tcPr>
          <w:p w:rsidR="00AE0549" w:rsidRPr="00A604A3" w:rsidRDefault="00AE0549" w:rsidP="00324328">
            <w:pPr>
              <w:pStyle w:val="Tablehead"/>
              <w:rPr>
                <w:rFonts w:eastAsia="Yu Mincho"/>
              </w:rPr>
            </w:pPr>
            <w:r w:rsidRPr="00A604A3">
              <w:t>BW [MHz]</w:t>
            </w:r>
          </w:p>
        </w:tc>
        <w:tc>
          <w:tcPr>
            <w:tcW w:w="3417" w:type="dxa"/>
            <w:gridSpan w:val="2"/>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vAlign w:val="center"/>
          </w:tcPr>
          <w:p w:rsidR="00AE0549" w:rsidRPr="00A604A3" w:rsidRDefault="00AE0549" w:rsidP="00324328">
            <w:pPr>
              <w:pStyle w:val="Tablehead"/>
              <w:rPr>
                <w:rFonts w:eastAsia="Yu Mincho"/>
              </w:rPr>
            </w:pPr>
          </w:p>
        </w:tc>
        <w:tc>
          <w:tcPr>
            <w:tcW w:w="1630" w:type="dxa"/>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F243E" w:themeColor="text2" w:themeShade="80"/>
                <w:kern w:val="24"/>
              </w:rPr>
              <w:t>13.06</w:t>
            </w:r>
          </w:p>
        </w:tc>
        <w:tc>
          <w:tcPr>
            <w:tcW w:w="178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10.66</w:t>
            </w:r>
          </w:p>
        </w:tc>
        <w:tc>
          <w:tcPr>
            <w:tcW w:w="160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7.58</w:t>
            </w:r>
          </w:p>
        </w:tc>
        <w:tc>
          <w:tcPr>
            <w:tcW w:w="1787" w:type="dxa"/>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6.94</w:t>
            </w:r>
          </w:p>
        </w:tc>
        <w:tc>
          <w:tcPr>
            <w:tcW w:w="160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324328" w:rsidRPr="00A604A3" w:rsidRDefault="00324328" w:rsidP="00324328">
      <w:pPr>
        <w:pStyle w:val="Tablefin"/>
      </w:pPr>
    </w:p>
    <w:p w:rsidR="00AE0549" w:rsidRPr="00A604A3" w:rsidRDefault="00AE0549" w:rsidP="00324328">
      <w:pPr>
        <w:rPr>
          <w:rFonts w:eastAsia="MS Mincho"/>
        </w:rPr>
      </w:pPr>
      <w:r w:rsidRPr="00A604A3">
        <w:rPr>
          <w:rFonts w:eastAsia="MS Mincho"/>
        </w:rPr>
        <w:t>It is observed that NR TDD and FDD fulfil downlink and uplink average spectral efficiency requirement for Indoor Hotspot – eMBB test environment in Configuration B in both operation modes.</w:t>
      </w:r>
    </w:p>
    <w:p w:rsidR="00AE0549" w:rsidRPr="00A604A3" w:rsidRDefault="009C0978" w:rsidP="009C0978">
      <w:pPr>
        <w:pStyle w:val="Heading5"/>
        <w:rPr>
          <w:rFonts w:eastAsia="MS Mincho"/>
        </w:rPr>
      </w:pPr>
      <w:r w:rsidRPr="00A604A3">
        <w:rPr>
          <w:rFonts w:eastAsia="MS Mincho"/>
        </w:rPr>
        <w:t>II.5.5.2.2</w:t>
      </w:r>
      <w:r w:rsidRPr="00A604A3">
        <w:rPr>
          <w:rFonts w:eastAsia="MS Mincho"/>
        </w:rPr>
        <w:tab/>
      </w:r>
      <w:r w:rsidR="00AE0549" w:rsidRPr="00A604A3">
        <w:rPr>
          <w:rFonts w:eastAsia="MS Mincho"/>
        </w:rPr>
        <w:t>Dense Urban – eMBB</w:t>
      </w:r>
    </w:p>
    <w:p w:rsidR="00AE0549" w:rsidRPr="00A604A3" w:rsidRDefault="00AE0549" w:rsidP="00695800">
      <w:pPr>
        <w:rPr>
          <w:rFonts w:eastAsia="MS Mincho"/>
        </w:rPr>
      </w:pPr>
      <w:r w:rsidRPr="00A604A3">
        <w:rPr>
          <w:rFonts w:eastAsia="MS Mincho"/>
        </w:rPr>
        <w:t>Configuration A (carrier frequency of 4 GHz) and Configuration B (carrier frequency 30</w:t>
      </w:r>
      <w:r w:rsidR="00695800" w:rsidRPr="00A604A3">
        <w:rPr>
          <w:rFonts w:eastAsia="MS Mincho"/>
        </w:rPr>
        <w:t> </w:t>
      </w:r>
      <w:r w:rsidRPr="00A604A3">
        <w:rPr>
          <w:rFonts w:eastAsia="MS Mincho"/>
        </w:rPr>
        <w:t>GHz) are applied for the Dense Urban – eMBB test environment.</w:t>
      </w:r>
    </w:p>
    <w:p w:rsidR="00AE0549" w:rsidRPr="00A604A3" w:rsidRDefault="00695800" w:rsidP="00695800">
      <w:pPr>
        <w:pStyle w:val="Heading6"/>
        <w:rPr>
          <w:rFonts w:eastAsia="MS Mincho"/>
        </w:rPr>
      </w:pPr>
      <w:r w:rsidRPr="00A604A3">
        <w:rPr>
          <w:rFonts w:eastAsia="MS Mincho"/>
        </w:rPr>
        <w:t>II.5.5.2.2.1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695800">
      <w:pPr>
        <w:rPr>
          <w:rFonts w:eastAsia="MS Mincho"/>
        </w:rPr>
      </w:pPr>
      <w:r w:rsidRPr="00A604A3">
        <w:rPr>
          <w:rFonts w:eastAsia="MS Mincho"/>
        </w:rPr>
        <w:t xml:space="preserve">The downlink and uplink evaluation results for NR TDD for Dense Urban – eMBB Configuration A are provided in Table 60 and Table 61. </w:t>
      </w:r>
    </w:p>
    <w:p w:rsidR="00695800" w:rsidRPr="00A604A3" w:rsidRDefault="00695800" w:rsidP="00695800">
      <w:pPr>
        <w:pStyle w:val="TableNo"/>
        <w:rPr>
          <w:rFonts w:eastAsia="MS Mincho"/>
        </w:rPr>
      </w:pPr>
      <w:bookmarkStart w:id="315" w:name="_Ref11842927"/>
      <w:bookmarkStart w:id="316" w:name="_Ref25438008"/>
      <w:bookmarkStart w:id="317" w:name="_Toc27919571"/>
      <w:bookmarkStart w:id="318" w:name="_Toc28265735"/>
      <w:bookmarkStart w:id="319" w:name="_Toc28276970"/>
      <w:bookmarkStart w:id="320" w:name="_Toc32066358"/>
      <w:r w:rsidRPr="00A604A3">
        <w:rPr>
          <w:rFonts w:eastAsia="MS Mincho"/>
        </w:rPr>
        <w:t>Table 60</w:t>
      </w:r>
    </w:p>
    <w:p w:rsidR="00695800" w:rsidRPr="00A604A3" w:rsidRDefault="00695800" w:rsidP="00695800">
      <w:pPr>
        <w:pStyle w:val="Tabletitle"/>
        <w:rPr>
          <w:rFonts w:eastAsia="MS Mincho"/>
        </w:rPr>
      </w:pPr>
      <w:r w:rsidRPr="00A604A3">
        <w:rPr>
          <w:rFonts w:eastAsia="MS Mincho"/>
        </w:rPr>
        <w:t>Average SE for NR TDD with frame structure ‘DSUUD’ in Dense Urban – eMBB Config. A</w:t>
      </w:r>
      <w:bookmarkEnd w:id="315"/>
      <w:bookmarkEnd w:id="316"/>
      <w:bookmarkEnd w:id="317"/>
      <w:bookmarkEnd w:id="318"/>
      <w:bookmarkEnd w:id="319"/>
      <w:r w:rsidRPr="00A604A3">
        <w:rPr>
          <w:rFonts w:eastAsia="MS Mincho"/>
        </w:rPr>
        <w:t xml:space="preserve"> (Source 1)</w:t>
      </w:r>
      <w:bookmarkEnd w:id="320"/>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16.9</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8.4</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695800" w:rsidRPr="00A604A3" w:rsidRDefault="00695800" w:rsidP="00695800">
      <w:pPr>
        <w:pStyle w:val="TableNo"/>
        <w:rPr>
          <w:rFonts w:eastAsia="MS Mincho"/>
        </w:rPr>
      </w:pPr>
      <w:bookmarkStart w:id="321" w:name="_Ref22400108"/>
      <w:bookmarkStart w:id="322" w:name="_Toc27919572"/>
      <w:bookmarkStart w:id="323" w:name="_Toc28265736"/>
      <w:bookmarkStart w:id="324" w:name="_Toc28276971"/>
      <w:bookmarkStart w:id="325" w:name="_Toc32066359"/>
      <w:r w:rsidRPr="00A604A3">
        <w:rPr>
          <w:rFonts w:eastAsia="MS Mincho"/>
        </w:rPr>
        <w:lastRenderedPageBreak/>
        <w:t>Table 61</w:t>
      </w:r>
    </w:p>
    <w:p w:rsidR="00695800" w:rsidRPr="00A604A3" w:rsidRDefault="00695800" w:rsidP="00695800">
      <w:pPr>
        <w:pStyle w:val="Tabletitle"/>
        <w:rPr>
          <w:rFonts w:eastAsia="MS Mincho"/>
        </w:rPr>
      </w:pPr>
      <w:r w:rsidRPr="00A604A3">
        <w:rPr>
          <w:rFonts w:eastAsia="MS Mincho"/>
        </w:rPr>
        <w:t>Average SE for NR TDD with frame structure ‘DDDSU’ in Dense Urban – eMBB Config. A</w:t>
      </w:r>
      <w:bookmarkEnd w:id="321"/>
      <w:bookmarkEnd w:id="322"/>
      <w:bookmarkEnd w:id="323"/>
      <w:bookmarkEnd w:id="324"/>
      <w:r w:rsidRPr="00A604A3">
        <w:rPr>
          <w:rFonts w:eastAsia="MS Mincho"/>
        </w:rPr>
        <w:t xml:space="preserve"> (Source 2)</w:t>
      </w:r>
      <w:bookmarkEnd w:id="325"/>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color w:val="000000" w:themeColor="text1"/>
                <w:kern w:val="24"/>
                <w:lang w:eastAsia="zh-CN"/>
              </w:rPr>
              <w:t>12.75</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00000" w:themeColor="text1"/>
                <w:kern w:val="24"/>
              </w:rPr>
            </w:pPr>
            <w:r w:rsidRPr="00A604A3">
              <w:rPr>
                <w:color w:val="000000" w:themeColor="text1"/>
                <w:kern w:val="24"/>
                <w:lang w:eastAsia="zh-CN"/>
              </w:rPr>
              <w:t>6.11</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Table 62 and Table 63 are summarizing the NR FDD results from different contributions.</w:t>
      </w:r>
    </w:p>
    <w:p w:rsidR="00695800" w:rsidRPr="00A604A3" w:rsidRDefault="00695800" w:rsidP="00695800">
      <w:pPr>
        <w:pStyle w:val="TableNo"/>
        <w:rPr>
          <w:rFonts w:eastAsia="MS Mincho"/>
        </w:rPr>
      </w:pPr>
      <w:bookmarkStart w:id="326" w:name="_Ref25416274"/>
      <w:bookmarkStart w:id="327" w:name="_Toc27919573"/>
      <w:bookmarkStart w:id="328" w:name="_Toc28265737"/>
      <w:bookmarkStart w:id="329" w:name="_Toc28276972"/>
      <w:bookmarkStart w:id="330" w:name="_Toc32066360"/>
      <w:r w:rsidRPr="00A604A3">
        <w:rPr>
          <w:rFonts w:eastAsia="MS Mincho"/>
        </w:rPr>
        <w:t>Table 63</w:t>
      </w:r>
    </w:p>
    <w:p w:rsidR="00695800" w:rsidRPr="00A604A3" w:rsidRDefault="00695800" w:rsidP="00695800">
      <w:pPr>
        <w:pStyle w:val="Tabletitle"/>
        <w:rPr>
          <w:rFonts w:eastAsia="MS Mincho"/>
        </w:rPr>
      </w:pPr>
      <w:r w:rsidRPr="00A604A3">
        <w:rPr>
          <w:rFonts w:eastAsia="MS Mincho"/>
        </w:rPr>
        <w:t>Average SE for NR FDD in Dense Urban – eMBB Config. A</w:t>
      </w:r>
      <w:bookmarkEnd w:id="326"/>
      <w:bookmarkEnd w:id="327"/>
      <w:bookmarkEnd w:id="328"/>
      <w:bookmarkEnd w:id="329"/>
      <w:r w:rsidRPr="00A604A3">
        <w:rPr>
          <w:rFonts w:eastAsia="MS Mincho"/>
        </w:rPr>
        <w:t xml:space="preserve"> (Source 1)</w:t>
      </w:r>
      <w:bookmarkEnd w:id="33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00000" w:themeColor="text1"/>
                <w:kern w:val="24"/>
              </w:rPr>
              <w:t>12.35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00000" w:themeColor="text1"/>
                <w:kern w:val="24"/>
              </w:rPr>
              <w:t>8.5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695800" w:rsidRPr="00A604A3" w:rsidRDefault="00695800" w:rsidP="00695800">
      <w:pPr>
        <w:pStyle w:val="TableNo"/>
        <w:rPr>
          <w:rFonts w:eastAsia="MS Mincho"/>
        </w:rPr>
      </w:pPr>
      <w:bookmarkStart w:id="331" w:name="_Ref25438048"/>
      <w:bookmarkStart w:id="332" w:name="_Toc27919574"/>
      <w:bookmarkStart w:id="333" w:name="_Toc28265738"/>
      <w:bookmarkStart w:id="334" w:name="_Toc28276973"/>
      <w:bookmarkStart w:id="335" w:name="_Toc32066361"/>
      <w:r w:rsidRPr="00A604A3">
        <w:rPr>
          <w:rFonts w:eastAsia="MS Mincho"/>
        </w:rPr>
        <w:t>Table 63</w:t>
      </w:r>
    </w:p>
    <w:p w:rsidR="00695800" w:rsidRPr="00A604A3" w:rsidRDefault="00695800" w:rsidP="00695800">
      <w:pPr>
        <w:pStyle w:val="Tabletitle"/>
        <w:rPr>
          <w:rFonts w:eastAsia="MS Mincho"/>
        </w:rPr>
      </w:pPr>
      <w:r w:rsidRPr="00A604A3">
        <w:rPr>
          <w:rFonts w:eastAsia="MS Mincho"/>
        </w:rPr>
        <w:t>Average SE for NR FDD in Dense Urban – eMBB Config. A</w:t>
      </w:r>
      <w:bookmarkEnd w:id="331"/>
      <w:bookmarkEnd w:id="332"/>
      <w:bookmarkEnd w:id="333"/>
      <w:bookmarkEnd w:id="334"/>
      <w:r w:rsidRPr="00A604A3">
        <w:rPr>
          <w:rFonts w:eastAsia="MS Mincho"/>
        </w:rPr>
        <w:t xml:space="preserve"> (Source 2)</w:t>
      </w:r>
      <w:bookmarkEnd w:id="33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12.86</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7.8</w:t>
            </w:r>
          </w:p>
        </w:tc>
      </w:tr>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8.8</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It is observed that NR TDD and FDD fulfil the downlink and uplink average spectral efficiency requirement for Dense Urban – eMBB test environment in Configuration A.</w:t>
      </w:r>
    </w:p>
    <w:p w:rsidR="00AE0549" w:rsidRPr="00A604A3" w:rsidRDefault="008A2BA0" w:rsidP="008A2BA0">
      <w:pPr>
        <w:pStyle w:val="Heading6"/>
        <w:rPr>
          <w:rFonts w:eastAsia="MS Mincho"/>
        </w:rPr>
      </w:pPr>
      <w:r w:rsidRPr="00A604A3">
        <w:rPr>
          <w:rFonts w:eastAsia="MS Mincho"/>
        </w:rPr>
        <w:t>II.5.5.2.2.2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8A2BA0">
      <w:pPr>
        <w:rPr>
          <w:rFonts w:eastAsia="MS Mincho"/>
        </w:rPr>
      </w:pPr>
      <w:r w:rsidRPr="00A604A3">
        <w:rPr>
          <w:rFonts w:eastAsia="MS Mincho"/>
        </w:rPr>
        <w:t>The downlink and uplink evaluation results for NR TDD for Dense Urban – eMBB Configuration B are provided in Table 64.</w:t>
      </w:r>
    </w:p>
    <w:p w:rsidR="008A2BA0" w:rsidRPr="00A604A3" w:rsidRDefault="008A2BA0" w:rsidP="008A2BA0">
      <w:pPr>
        <w:pStyle w:val="TableNo"/>
        <w:rPr>
          <w:rFonts w:eastAsia="MS Mincho"/>
        </w:rPr>
      </w:pPr>
      <w:bookmarkStart w:id="336" w:name="_Ref11842944"/>
      <w:bookmarkStart w:id="337" w:name="_Toc27919576"/>
      <w:bookmarkStart w:id="338" w:name="_Toc28265740"/>
      <w:bookmarkStart w:id="339" w:name="_Toc28276975"/>
      <w:bookmarkStart w:id="340" w:name="_Toc32066363"/>
      <w:r w:rsidRPr="00A604A3">
        <w:rPr>
          <w:rFonts w:eastAsia="MS Mincho"/>
        </w:rPr>
        <w:t>Table 64</w:t>
      </w:r>
    </w:p>
    <w:p w:rsidR="008A2BA0" w:rsidRPr="00A604A3" w:rsidRDefault="008A2BA0" w:rsidP="008A2BA0">
      <w:pPr>
        <w:pStyle w:val="Tabletitle"/>
        <w:rPr>
          <w:rFonts w:eastAsia="MS Mincho"/>
        </w:rPr>
      </w:pPr>
      <w:r w:rsidRPr="00A604A3">
        <w:rPr>
          <w:rFonts w:eastAsia="MS Mincho"/>
        </w:rPr>
        <w:t>Average SE for NR FDD Dense Urban – eMBB Config. B</w:t>
      </w:r>
      <w:bookmarkEnd w:id="336"/>
      <w:bookmarkEnd w:id="337"/>
      <w:bookmarkEnd w:id="338"/>
      <w:bookmarkEnd w:id="339"/>
      <w:r w:rsidRPr="00A604A3">
        <w:rPr>
          <w:rFonts w:eastAsia="MS Mincho"/>
        </w:rPr>
        <w:t xml:space="preserve"> (Source 1)</w:t>
      </w:r>
      <w:bookmarkEnd w:id="340"/>
    </w:p>
    <w:tbl>
      <w:tblPr>
        <w:tblW w:w="4896"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kern w:val="24"/>
              </w:rPr>
              <w:t>9.62</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kern w:val="24"/>
              </w:rPr>
              <w:t>7.42</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It is observed that NR FDD fulfils downlink and uplink average spectral efficiency requirement for Dense Urban – eMBB test environment in Configuration B, due to very high spectral efficiency for UEs in advantageous channel conditions.</w:t>
      </w:r>
    </w:p>
    <w:p w:rsidR="00AE0549" w:rsidRPr="00A604A3" w:rsidRDefault="008A2BA0" w:rsidP="008A2BA0">
      <w:pPr>
        <w:pStyle w:val="Heading5"/>
        <w:rPr>
          <w:rFonts w:eastAsia="MS Mincho"/>
        </w:rPr>
      </w:pPr>
      <w:r w:rsidRPr="00A604A3">
        <w:rPr>
          <w:rFonts w:eastAsia="MS Mincho"/>
        </w:rPr>
        <w:lastRenderedPageBreak/>
        <w:t>II.5.5.2.3</w:t>
      </w:r>
      <w:r w:rsidRPr="00A604A3">
        <w:rPr>
          <w:rFonts w:eastAsia="MS Mincho"/>
        </w:rPr>
        <w:tab/>
      </w:r>
      <w:r w:rsidR="00AE0549" w:rsidRPr="00A604A3">
        <w:rPr>
          <w:rFonts w:eastAsia="MS Mincho"/>
        </w:rPr>
        <w:t>Rural – eMBB</w:t>
      </w:r>
    </w:p>
    <w:p w:rsidR="00AE0549" w:rsidRPr="00A604A3" w:rsidRDefault="00AE0549" w:rsidP="00E85929">
      <w:pPr>
        <w:rPr>
          <w:rFonts w:eastAsia="MS Mincho"/>
        </w:rPr>
      </w:pPr>
      <w:r w:rsidRPr="00A604A3">
        <w:rPr>
          <w:rFonts w:eastAsia="MS Mincho"/>
        </w:rPr>
        <w:t>For Rural – eMBB test environment two configurations in FR1 are applied, namely Configuration A with a carrier frequency of 700 MHz and Configuration B with carrier frequency of 4 GHz.</w:t>
      </w:r>
    </w:p>
    <w:p w:rsidR="00AE0549" w:rsidRPr="00A604A3" w:rsidRDefault="00E85929" w:rsidP="00E85929">
      <w:pPr>
        <w:pStyle w:val="Heading6"/>
        <w:rPr>
          <w:rFonts w:eastAsia="MS Mincho"/>
        </w:rPr>
      </w:pPr>
      <w:r w:rsidRPr="00A604A3">
        <w:rPr>
          <w:rFonts w:eastAsia="MS Mincho"/>
        </w:rPr>
        <w:t>II.5.5.2.3.1</w:t>
      </w:r>
      <w:r w:rsidRPr="00A604A3">
        <w:rPr>
          <w:rFonts w:eastAsia="MS Mincho"/>
        </w:rPr>
        <w:tab/>
      </w:r>
      <w:r w:rsidRPr="00A604A3">
        <w:rPr>
          <w:rFonts w:eastAsia="MS Mincho"/>
        </w:rPr>
        <w:tab/>
      </w:r>
      <w:r w:rsidR="00AE0549" w:rsidRPr="00A604A3">
        <w:rPr>
          <w:rFonts w:eastAsia="MS Mincho"/>
        </w:rPr>
        <w:t>Evaluation configuration A (CF = 700 MHz)</w:t>
      </w:r>
    </w:p>
    <w:p w:rsidR="00AE0549" w:rsidRPr="00A604A3" w:rsidRDefault="00AE0549" w:rsidP="00E85929">
      <w:pPr>
        <w:rPr>
          <w:rFonts w:eastAsia="MS Mincho"/>
        </w:rPr>
      </w:pPr>
      <w:r w:rsidRPr="00A604A3">
        <w:rPr>
          <w:rFonts w:eastAsia="MS Mincho"/>
        </w:rPr>
        <w:t>The evaluation results for NR TDD for downlink and uplink in Rural – eMBB Configuration A are provided in Table 65 and Table 66.</w:t>
      </w:r>
    </w:p>
    <w:p w:rsidR="00E85929" w:rsidRPr="00A604A3" w:rsidRDefault="00E85929" w:rsidP="00E85929">
      <w:pPr>
        <w:pStyle w:val="TableNo"/>
        <w:rPr>
          <w:rFonts w:eastAsia="MS Mincho"/>
        </w:rPr>
      </w:pPr>
      <w:bookmarkStart w:id="341" w:name="_Ref11843369"/>
      <w:bookmarkStart w:id="342" w:name="_Toc27919579"/>
      <w:bookmarkStart w:id="343" w:name="_Toc28265743"/>
      <w:bookmarkStart w:id="344" w:name="_Toc28276978"/>
      <w:bookmarkStart w:id="345" w:name="_Toc32066366"/>
      <w:r w:rsidRPr="00A604A3">
        <w:rPr>
          <w:rFonts w:eastAsia="MS Mincho"/>
        </w:rPr>
        <w:t>Table 65</w:t>
      </w:r>
    </w:p>
    <w:p w:rsidR="00E85929" w:rsidRPr="00A604A3" w:rsidRDefault="00E85929" w:rsidP="00E85929">
      <w:pPr>
        <w:pStyle w:val="Tabletitle"/>
        <w:rPr>
          <w:rFonts w:eastAsia="MS Mincho"/>
        </w:rPr>
      </w:pPr>
      <w:r w:rsidRPr="00A604A3">
        <w:rPr>
          <w:rFonts w:eastAsia="MS Mincho"/>
        </w:rPr>
        <w:t>Average SE for NR TDD with frame structure ‘DSUUD’ in Rural – eMBB Config. A</w:t>
      </w:r>
      <w:bookmarkEnd w:id="341"/>
      <w:bookmarkEnd w:id="342"/>
      <w:bookmarkEnd w:id="343"/>
      <w:bookmarkEnd w:id="344"/>
      <w:r w:rsidRPr="00A604A3">
        <w:rPr>
          <w:rFonts w:eastAsia="MS Mincho"/>
        </w:rPr>
        <w:t xml:space="preserve"> (Source 1)</w:t>
      </w:r>
      <w:bookmarkEnd w:id="34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trHeight w:val="270"/>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8.45</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4.74</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1.6</w:t>
            </w:r>
          </w:p>
        </w:tc>
      </w:tr>
    </w:tbl>
    <w:p w:rsidR="00E85929" w:rsidRPr="00A604A3" w:rsidRDefault="00E85929" w:rsidP="00E85929">
      <w:pPr>
        <w:pStyle w:val="TableNo"/>
        <w:rPr>
          <w:rFonts w:eastAsia="MS Mincho"/>
        </w:rPr>
      </w:pPr>
      <w:bookmarkStart w:id="346" w:name="_Ref22400164"/>
      <w:bookmarkStart w:id="347" w:name="_Toc27919580"/>
      <w:bookmarkStart w:id="348" w:name="_Toc28265744"/>
      <w:bookmarkStart w:id="349" w:name="_Toc28276979"/>
      <w:bookmarkStart w:id="350" w:name="_Toc32066367"/>
      <w:r w:rsidRPr="00A604A3">
        <w:rPr>
          <w:rFonts w:eastAsia="MS Mincho"/>
        </w:rPr>
        <w:t>Table 66</w:t>
      </w:r>
    </w:p>
    <w:p w:rsidR="00E85929" w:rsidRPr="00A604A3" w:rsidRDefault="00E85929" w:rsidP="00E85929">
      <w:pPr>
        <w:pStyle w:val="Tabletitle"/>
        <w:rPr>
          <w:rFonts w:eastAsia="MS Mincho"/>
        </w:rPr>
      </w:pPr>
      <w:r w:rsidRPr="00A604A3">
        <w:rPr>
          <w:rFonts w:eastAsia="MS Mincho"/>
        </w:rPr>
        <w:t>Average SE for NR TDD with frame structure ‘DDDSU’ in Rural – eMBB Config. A</w:t>
      </w:r>
      <w:bookmarkEnd w:id="346"/>
      <w:bookmarkEnd w:id="347"/>
      <w:bookmarkEnd w:id="348"/>
      <w:bookmarkEnd w:id="349"/>
      <w:r w:rsidRPr="00A604A3">
        <w:rPr>
          <w:rFonts w:eastAsia="MS Mincho"/>
        </w:rPr>
        <w:t xml:space="preserve"> (Source 2)</w:t>
      </w:r>
      <w:bookmarkEnd w:id="35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trHeight w:val="270"/>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color w:val="000000" w:themeColor="text1"/>
                <w:kern w:val="24"/>
                <w:lang w:eastAsia="zh-CN"/>
              </w:rPr>
              <w:t>7.54</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00000" w:themeColor="text1"/>
                <w:kern w:val="24"/>
              </w:rPr>
            </w:pPr>
            <w:r w:rsidRPr="00A604A3">
              <w:rPr>
                <w:color w:val="000000" w:themeColor="text1"/>
                <w:kern w:val="24"/>
                <w:lang w:eastAsia="zh-CN"/>
              </w:rPr>
              <w:t>5.05</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1.6</w:t>
            </w:r>
          </w:p>
        </w:tc>
      </w:tr>
    </w:tbl>
    <w:p w:rsidR="00AE0549" w:rsidRPr="00A604A3" w:rsidRDefault="00AE0549" w:rsidP="00E85929">
      <w:pPr>
        <w:pStyle w:val="Tablefin"/>
      </w:pPr>
    </w:p>
    <w:p w:rsidR="00AE0549" w:rsidRPr="00A604A3" w:rsidRDefault="00AE0549" w:rsidP="00E85929">
      <w:pPr>
        <w:rPr>
          <w:rFonts w:eastAsia="MS Mincho"/>
        </w:rPr>
      </w:pPr>
      <w:r w:rsidRPr="00A604A3">
        <w:rPr>
          <w:rFonts w:eastAsia="MS Mincho"/>
        </w:rPr>
        <w:t>NR FDD results are provided in Table 67 and Table 68 from different contributions.</w:t>
      </w:r>
    </w:p>
    <w:p w:rsidR="00E85929" w:rsidRPr="00A604A3" w:rsidRDefault="00E85929" w:rsidP="00E85929">
      <w:pPr>
        <w:pStyle w:val="TableNo"/>
        <w:rPr>
          <w:rFonts w:eastAsia="MS Mincho"/>
        </w:rPr>
      </w:pPr>
      <w:bookmarkStart w:id="351" w:name="_Ref25417214"/>
      <w:bookmarkStart w:id="352" w:name="_Toc27919581"/>
      <w:bookmarkStart w:id="353" w:name="_Toc28265745"/>
      <w:bookmarkStart w:id="354" w:name="_Toc28276980"/>
      <w:bookmarkStart w:id="355" w:name="_Toc32066368"/>
      <w:r w:rsidRPr="00A604A3">
        <w:rPr>
          <w:rFonts w:eastAsia="MS Mincho"/>
        </w:rPr>
        <w:t>Table 67</w:t>
      </w:r>
    </w:p>
    <w:p w:rsidR="00E85929" w:rsidRPr="00A604A3" w:rsidRDefault="00E85929" w:rsidP="00E85929">
      <w:pPr>
        <w:pStyle w:val="Tabletitle"/>
        <w:rPr>
          <w:rFonts w:eastAsia="MS Mincho"/>
        </w:rPr>
      </w:pPr>
      <w:r w:rsidRPr="00A604A3">
        <w:rPr>
          <w:rFonts w:eastAsia="MS Mincho"/>
        </w:rPr>
        <w:t>Average SE for NR FDD in Rural – eMBB Config. A</w:t>
      </w:r>
      <w:bookmarkEnd w:id="351"/>
      <w:bookmarkEnd w:id="352"/>
      <w:bookmarkEnd w:id="353"/>
      <w:bookmarkEnd w:id="354"/>
      <w:r w:rsidRPr="00A604A3">
        <w:rPr>
          <w:rFonts w:eastAsia="MS Mincho"/>
        </w:rPr>
        <w:t xml:space="preserve"> (Source 1)</w:t>
      </w:r>
      <w:bookmarkEnd w:id="35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6.24</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4.1</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1.6</w:t>
            </w:r>
          </w:p>
        </w:tc>
      </w:tr>
    </w:tbl>
    <w:p w:rsidR="00E85929" w:rsidRPr="00A604A3" w:rsidRDefault="00E85929" w:rsidP="00E85929">
      <w:pPr>
        <w:pStyle w:val="TableNo"/>
        <w:rPr>
          <w:rFonts w:eastAsia="MS Mincho"/>
        </w:rPr>
      </w:pPr>
      <w:bookmarkStart w:id="356" w:name="_Ref25438346"/>
      <w:bookmarkStart w:id="357" w:name="_Toc27919582"/>
      <w:bookmarkStart w:id="358" w:name="_Toc28265746"/>
      <w:bookmarkStart w:id="359" w:name="_Toc28276981"/>
      <w:bookmarkStart w:id="360" w:name="_Toc32066369"/>
      <w:r w:rsidRPr="00A604A3">
        <w:rPr>
          <w:rFonts w:eastAsia="MS Mincho"/>
        </w:rPr>
        <w:t>Table 68</w:t>
      </w:r>
    </w:p>
    <w:p w:rsidR="00E85929" w:rsidRPr="00A604A3" w:rsidRDefault="00E85929" w:rsidP="00E85929">
      <w:pPr>
        <w:pStyle w:val="Tabletitle"/>
        <w:rPr>
          <w:rFonts w:eastAsia="MS Mincho"/>
        </w:rPr>
      </w:pPr>
      <w:r w:rsidRPr="00A604A3">
        <w:rPr>
          <w:rFonts w:eastAsia="MS Mincho"/>
        </w:rPr>
        <w:t>Average SE for NR FDD in Rural – eMBB Config. A</w:t>
      </w:r>
      <w:bookmarkEnd w:id="356"/>
      <w:bookmarkEnd w:id="357"/>
      <w:bookmarkEnd w:id="358"/>
      <w:bookmarkEnd w:id="359"/>
      <w:r w:rsidRPr="00A604A3">
        <w:rPr>
          <w:rFonts w:eastAsia="MS Mincho"/>
        </w:rPr>
        <w:t xml:space="preserve"> (Source 2)</w:t>
      </w:r>
      <w:bookmarkEnd w:id="36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7.30</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4.29</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1.6</w:t>
            </w:r>
          </w:p>
        </w:tc>
      </w:tr>
    </w:tbl>
    <w:p w:rsidR="00AE0549" w:rsidRPr="00A604A3" w:rsidRDefault="00AE0549" w:rsidP="00E85929">
      <w:pPr>
        <w:pStyle w:val="Tablefin"/>
      </w:pPr>
    </w:p>
    <w:p w:rsidR="00AE0549" w:rsidRPr="00A604A3" w:rsidRDefault="00AE0549" w:rsidP="00E85929">
      <w:pPr>
        <w:rPr>
          <w:rFonts w:eastAsia="MS Mincho"/>
        </w:rPr>
      </w:pPr>
      <w:r w:rsidRPr="00A604A3">
        <w:rPr>
          <w:rFonts w:eastAsia="MS Mincho"/>
        </w:rPr>
        <w:lastRenderedPageBreak/>
        <w:t>It is observed that NR TDD and FDD fulfi downlink and uplink average spectral efficiency requirement for Rural – eMBB test environment in Configuration A.</w:t>
      </w:r>
    </w:p>
    <w:p w:rsidR="00AE0549" w:rsidRPr="00A604A3" w:rsidRDefault="00D86F9C" w:rsidP="00D86F9C">
      <w:pPr>
        <w:pStyle w:val="Heading6"/>
        <w:rPr>
          <w:rFonts w:eastAsia="MS Mincho"/>
        </w:rPr>
      </w:pPr>
      <w:r w:rsidRPr="00A604A3">
        <w:rPr>
          <w:rFonts w:eastAsia="MS Mincho"/>
        </w:rPr>
        <w:t>II.5.5.2.3.2</w:t>
      </w:r>
      <w:r w:rsidRPr="00A604A3">
        <w:rPr>
          <w:rFonts w:eastAsia="MS Mincho"/>
        </w:rPr>
        <w:tab/>
      </w:r>
      <w:r w:rsidRPr="00A604A3">
        <w:rPr>
          <w:rFonts w:eastAsia="MS Mincho"/>
        </w:rPr>
        <w:tab/>
      </w:r>
      <w:r w:rsidR="00AE0549" w:rsidRPr="00A604A3">
        <w:rPr>
          <w:rFonts w:eastAsia="MS Mincho"/>
        </w:rPr>
        <w:t>Evaluation configuration B (CF = 4 GHz)</w:t>
      </w:r>
    </w:p>
    <w:p w:rsidR="00AE0549" w:rsidRPr="00A604A3" w:rsidRDefault="00AE0549" w:rsidP="00D86F9C">
      <w:pPr>
        <w:rPr>
          <w:rFonts w:eastAsia="MS Mincho"/>
        </w:rPr>
      </w:pPr>
      <w:r w:rsidRPr="00A604A3">
        <w:rPr>
          <w:rFonts w:eastAsia="MS Mincho"/>
        </w:rPr>
        <w:t>The evaluation results for NR TDD for downlink and uplink in Rural – eMBB Configuration B are provided in Table 69 and Table 70.</w:t>
      </w:r>
    </w:p>
    <w:p w:rsidR="00D86F9C" w:rsidRPr="00A604A3" w:rsidRDefault="00D86F9C" w:rsidP="00D86F9C">
      <w:pPr>
        <w:pStyle w:val="TableNo"/>
        <w:rPr>
          <w:rFonts w:eastAsia="MS Mincho"/>
        </w:rPr>
      </w:pPr>
      <w:bookmarkStart w:id="361" w:name="_Ref11843381"/>
      <w:bookmarkStart w:id="362" w:name="_Toc27919584"/>
      <w:bookmarkStart w:id="363" w:name="_Toc28265748"/>
      <w:bookmarkStart w:id="364" w:name="_Toc28276983"/>
      <w:bookmarkStart w:id="365" w:name="_Toc32066371"/>
      <w:r w:rsidRPr="00A604A3">
        <w:rPr>
          <w:rFonts w:eastAsia="MS Mincho"/>
        </w:rPr>
        <w:t>Table 69</w:t>
      </w:r>
    </w:p>
    <w:p w:rsidR="00D86F9C" w:rsidRPr="00A604A3" w:rsidRDefault="00D86F9C" w:rsidP="00D86F9C">
      <w:pPr>
        <w:pStyle w:val="Tabletitle"/>
        <w:rPr>
          <w:rFonts w:eastAsia="MS Mincho"/>
        </w:rPr>
      </w:pPr>
      <w:r w:rsidRPr="00A604A3">
        <w:rPr>
          <w:rFonts w:eastAsia="MS Mincho"/>
        </w:rPr>
        <w:t>Average SE for NR TDD with frame structure ‘DSUUD’ in Rural – eMBB Config. B</w:t>
      </w:r>
      <w:bookmarkEnd w:id="361"/>
      <w:bookmarkEnd w:id="362"/>
      <w:bookmarkEnd w:id="363"/>
      <w:bookmarkEnd w:id="364"/>
      <w:r w:rsidRPr="00A604A3">
        <w:rPr>
          <w:rFonts w:eastAsia="MS Mincho"/>
        </w:rPr>
        <w:t xml:space="preserve"> (Source 1)</w:t>
      </w:r>
      <w:bookmarkEnd w:id="36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D86F9C">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head"/>
              <w:rPr>
                <w:rFonts w:eastAsia="SimSun"/>
                <w:bCs/>
                <w:lang w:eastAsia="zh-CN"/>
              </w:rPr>
            </w:pPr>
            <w:r w:rsidRPr="00A604A3">
              <w:rPr>
                <w:rFonts w:eastAsia="SimSun"/>
                <w:lang w:eastAsia="zh-CN"/>
              </w:rPr>
              <w:t>Requirement [bit/s/Hz/TRxP]</w:t>
            </w:r>
          </w:p>
        </w:tc>
      </w:tr>
      <w:tr w:rsidR="00AE0549" w:rsidRPr="00A604A3" w:rsidTr="00D86F9C">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3.3</w:t>
            </w:r>
          </w:p>
        </w:tc>
      </w:tr>
      <w:tr w:rsidR="00AE0549" w:rsidRPr="00A604A3" w:rsidTr="00D86F9C">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jc w:val="center"/>
              <w:rPr>
                <w:rFonts w:eastAsia="Calibri"/>
                <w:kern w:val="24"/>
              </w:rPr>
            </w:pPr>
            <w:r w:rsidRPr="00A604A3">
              <w:rPr>
                <w:rFonts w:eastAsia="Calibri"/>
                <w:kern w:val="24"/>
              </w:rPr>
              <w:t>7.01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w:t>
            </w:r>
          </w:p>
        </w:tc>
      </w:tr>
    </w:tbl>
    <w:p w:rsidR="00D86F9C" w:rsidRPr="00A604A3" w:rsidRDefault="00D86F9C" w:rsidP="00D86F9C">
      <w:pPr>
        <w:pStyle w:val="TableNo"/>
        <w:rPr>
          <w:rFonts w:eastAsia="MS Mincho"/>
        </w:rPr>
      </w:pPr>
      <w:bookmarkStart w:id="366" w:name="_Ref22400179"/>
      <w:bookmarkStart w:id="367" w:name="_Toc27919585"/>
      <w:bookmarkStart w:id="368" w:name="_Toc28265749"/>
      <w:bookmarkStart w:id="369" w:name="_Toc28276984"/>
      <w:bookmarkStart w:id="370" w:name="_Toc32066372"/>
      <w:r w:rsidRPr="00A604A3">
        <w:rPr>
          <w:rFonts w:eastAsia="MS Mincho"/>
        </w:rPr>
        <w:t>Table 70</w:t>
      </w:r>
    </w:p>
    <w:p w:rsidR="00D86F9C" w:rsidRPr="00A604A3" w:rsidRDefault="00D86F9C" w:rsidP="00D86F9C">
      <w:pPr>
        <w:pStyle w:val="Tabletitle"/>
        <w:rPr>
          <w:rFonts w:eastAsia="MS Mincho"/>
        </w:rPr>
      </w:pPr>
      <w:r w:rsidRPr="00A604A3">
        <w:rPr>
          <w:rFonts w:eastAsia="MS Mincho"/>
        </w:rPr>
        <w:t>Average SE for NR TDD with frame structure ‘DDDSU’ in Rural – eMBB Config. B</w:t>
      </w:r>
      <w:bookmarkEnd w:id="366"/>
      <w:bookmarkEnd w:id="367"/>
      <w:bookmarkEnd w:id="368"/>
      <w:bookmarkEnd w:id="369"/>
      <w:r w:rsidRPr="00A604A3">
        <w:rPr>
          <w:rFonts w:eastAsia="MS Mincho"/>
        </w:rPr>
        <w:t xml:space="preserve"> (Source 2)</w:t>
      </w:r>
      <w:bookmarkEnd w:id="37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D86F9C">
        <w:trPr>
          <w:cantSplit/>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head"/>
              <w:rPr>
                <w:rFonts w:eastAsia="SimSun"/>
                <w:bCs/>
                <w:lang w:eastAsia="zh-CN"/>
              </w:rPr>
            </w:pPr>
            <w:r w:rsidRPr="00A604A3">
              <w:rPr>
                <w:rFonts w:eastAsia="SimSun"/>
                <w:lang w:eastAsia="zh-CN"/>
              </w:rPr>
              <w:t>Requirement [bit/s/Hz/TRxP]</w:t>
            </w:r>
          </w:p>
        </w:tc>
      </w:tr>
      <w:tr w:rsidR="00AE0549" w:rsidRPr="00A604A3" w:rsidTr="00D86F9C">
        <w:trPr>
          <w:cantSplit/>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kern w:val="24"/>
                <w:lang w:eastAsia="zh-CN"/>
              </w:rPr>
              <w:t>15.14</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3.3</w:t>
            </w:r>
          </w:p>
        </w:tc>
      </w:tr>
      <w:tr w:rsidR="00AE0549" w:rsidRPr="00A604A3" w:rsidTr="00D86F9C">
        <w:trPr>
          <w:cantSplit/>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jc w:val="center"/>
              <w:rPr>
                <w:rFonts w:eastAsia="Calibri"/>
                <w:kern w:val="24"/>
              </w:rPr>
            </w:pPr>
            <w:r w:rsidRPr="00A604A3">
              <w:rPr>
                <w:kern w:val="24"/>
                <w:lang w:eastAsia="zh-CN"/>
              </w:rPr>
              <w:t>5.76</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w:t>
            </w:r>
          </w:p>
        </w:tc>
      </w:tr>
    </w:tbl>
    <w:p w:rsidR="00AE0549" w:rsidRPr="00A604A3" w:rsidRDefault="00AE0549" w:rsidP="00516409">
      <w:pPr>
        <w:pStyle w:val="Tablefin"/>
      </w:pPr>
    </w:p>
    <w:p w:rsidR="00AE0549" w:rsidRPr="00A604A3" w:rsidRDefault="00AE0549" w:rsidP="00516409">
      <w:r w:rsidRPr="00A604A3">
        <w:t>FDD results are shown in Table 71 and Table 72.</w:t>
      </w:r>
    </w:p>
    <w:p w:rsidR="00516409" w:rsidRPr="00A604A3" w:rsidRDefault="00516409" w:rsidP="00516409">
      <w:pPr>
        <w:pStyle w:val="TableNo"/>
        <w:rPr>
          <w:rFonts w:eastAsia="MS Mincho"/>
        </w:rPr>
      </w:pPr>
      <w:bookmarkStart w:id="371" w:name="_Ref25417579"/>
      <w:bookmarkStart w:id="372" w:name="_Toc27919586"/>
      <w:bookmarkStart w:id="373" w:name="_Toc28265750"/>
      <w:bookmarkStart w:id="374" w:name="_Toc28276985"/>
      <w:bookmarkStart w:id="375" w:name="_Toc32066373"/>
      <w:r w:rsidRPr="00A604A3">
        <w:rPr>
          <w:rFonts w:eastAsia="MS Mincho"/>
        </w:rPr>
        <w:t>Table 71</w:t>
      </w:r>
    </w:p>
    <w:p w:rsidR="00516409" w:rsidRPr="00A604A3" w:rsidRDefault="00516409" w:rsidP="00516409">
      <w:pPr>
        <w:pStyle w:val="Tabletitle"/>
        <w:rPr>
          <w:rFonts w:eastAsia="MS Mincho"/>
        </w:rPr>
      </w:pPr>
      <w:r w:rsidRPr="00A604A3">
        <w:rPr>
          <w:rFonts w:eastAsia="MS Mincho"/>
        </w:rPr>
        <w:t>Average SE for NR FDD in Rural – eMBB Config. B</w:t>
      </w:r>
      <w:bookmarkEnd w:id="371"/>
      <w:bookmarkEnd w:id="372"/>
      <w:bookmarkEnd w:id="373"/>
      <w:bookmarkEnd w:id="374"/>
      <w:r w:rsidRPr="00A604A3">
        <w:rPr>
          <w:rFonts w:eastAsia="MS Mincho"/>
        </w:rPr>
        <w:t xml:space="preserve"> (Source 1)</w:t>
      </w:r>
      <w:bookmarkEnd w:id="37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516409">
            <w:pPr>
              <w:pStyle w:val="Tablehead"/>
              <w:rPr>
                <w:rFonts w:eastAsia="SimSun"/>
                <w:bCs/>
                <w:lang w:eastAsia="zh-CN"/>
              </w:rPr>
            </w:pPr>
            <w:r w:rsidRPr="00A604A3">
              <w:rPr>
                <w:rFonts w:eastAsia="SimSun"/>
                <w:lang w:eastAsia="zh-CN"/>
              </w:rPr>
              <w:t>Requirement [bit/s/Hz/TRxP]</w:t>
            </w:r>
          </w:p>
        </w:tc>
      </w:tr>
      <w:tr w:rsidR="00AE0549" w:rsidRPr="00A604A3" w:rsidTr="003716C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14.67</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3.3</w:t>
            </w:r>
          </w:p>
        </w:tc>
      </w:tr>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716C0">
            <w:pPr>
              <w:pStyle w:val="Tabletext"/>
              <w:jc w:val="center"/>
              <w:rPr>
                <w:rFonts w:eastAsia="Calibri"/>
                <w:kern w:val="24"/>
              </w:rPr>
            </w:pPr>
            <w:r w:rsidRPr="00A604A3">
              <w:rPr>
                <w:rFonts w:eastAsia="Calibri"/>
                <w:kern w:val="24"/>
              </w:rPr>
              <w:t>6.88</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76" w:name="_Ref25438555"/>
      <w:bookmarkStart w:id="377" w:name="_Toc27919587"/>
      <w:bookmarkStart w:id="378" w:name="_Toc28265751"/>
      <w:bookmarkStart w:id="379" w:name="_Toc28276986"/>
      <w:bookmarkStart w:id="380" w:name="_Toc32066374"/>
    </w:p>
    <w:p w:rsidR="00516409" w:rsidRPr="00A604A3" w:rsidRDefault="00516409" w:rsidP="00516409">
      <w:pPr>
        <w:pStyle w:val="TableNo"/>
        <w:rPr>
          <w:rFonts w:eastAsia="MS Mincho"/>
        </w:rPr>
      </w:pPr>
      <w:r w:rsidRPr="00A604A3">
        <w:rPr>
          <w:rFonts w:eastAsia="MS Mincho"/>
        </w:rPr>
        <w:t>Table 72</w:t>
      </w:r>
    </w:p>
    <w:p w:rsidR="00516409" w:rsidRPr="00A604A3" w:rsidRDefault="00516409" w:rsidP="00516409">
      <w:pPr>
        <w:pStyle w:val="Tabletitle"/>
        <w:rPr>
          <w:rFonts w:eastAsia="MS Mincho"/>
        </w:rPr>
      </w:pPr>
      <w:r w:rsidRPr="00A604A3">
        <w:rPr>
          <w:rFonts w:eastAsia="MS Mincho"/>
        </w:rPr>
        <w:t>Average SE for NR FDD in Rural – eMBB Config. B</w:t>
      </w:r>
      <w:bookmarkEnd w:id="376"/>
      <w:bookmarkEnd w:id="377"/>
      <w:bookmarkEnd w:id="378"/>
      <w:bookmarkEnd w:id="379"/>
      <w:r w:rsidRPr="00A604A3">
        <w:rPr>
          <w:rFonts w:eastAsia="MS Mincho"/>
        </w:rPr>
        <w:t xml:space="preserve"> (Source 2)</w:t>
      </w:r>
      <w:bookmarkEnd w:id="38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516409">
            <w:pPr>
              <w:pStyle w:val="Tablehead"/>
              <w:rPr>
                <w:rFonts w:eastAsia="SimSun"/>
                <w:bCs/>
                <w:lang w:eastAsia="zh-CN"/>
              </w:rPr>
            </w:pPr>
            <w:r w:rsidRPr="00A604A3">
              <w:rPr>
                <w:rFonts w:eastAsia="SimSun"/>
                <w:lang w:eastAsia="zh-CN"/>
              </w:rPr>
              <w:t>Requirement [bit/s/Hz/TRxP]</w:t>
            </w:r>
          </w:p>
        </w:tc>
      </w:tr>
      <w:tr w:rsidR="00AE0549" w:rsidRPr="00A604A3" w:rsidTr="003716C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15.25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3.3</w:t>
            </w:r>
          </w:p>
        </w:tc>
      </w:tr>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716C0">
            <w:pPr>
              <w:pStyle w:val="Tabletext"/>
              <w:jc w:val="center"/>
              <w:rPr>
                <w:rFonts w:eastAsia="Calibri"/>
                <w:kern w:val="24"/>
              </w:rPr>
            </w:pPr>
            <w:r w:rsidRPr="00A604A3">
              <w:rPr>
                <w:rFonts w:eastAsia="Calibri"/>
                <w:kern w:val="24"/>
              </w:rPr>
              <w:t>7.56</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1.6</w:t>
            </w:r>
          </w:p>
        </w:tc>
      </w:tr>
    </w:tbl>
    <w:p w:rsidR="00AE0549" w:rsidRPr="00A604A3" w:rsidRDefault="00AE0549" w:rsidP="003716C0">
      <w:pPr>
        <w:pStyle w:val="Tablefin"/>
      </w:pPr>
    </w:p>
    <w:p w:rsidR="00AE0549" w:rsidRPr="00A604A3" w:rsidRDefault="00AE0549" w:rsidP="003716C0">
      <w:r w:rsidRPr="00A604A3">
        <w:rPr>
          <w:rFonts w:eastAsia="MS Mincho"/>
        </w:rPr>
        <w:t>It is observed that NR TDD and FDD fulfil downlink and uplink average spectral efficiency requirement for Rural – eMBB test environment in Configuration B.</w:t>
      </w:r>
    </w:p>
    <w:p w:rsidR="00AE0549" w:rsidRPr="00A604A3" w:rsidRDefault="003716C0" w:rsidP="003716C0">
      <w:pPr>
        <w:pStyle w:val="Heading6"/>
        <w:rPr>
          <w:rFonts w:eastAsia="MS Mincho"/>
        </w:rPr>
      </w:pPr>
      <w:r w:rsidRPr="00A604A3">
        <w:rPr>
          <w:rFonts w:eastAsia="MS Mincho"/>
        </w:rPr>
        <w:lastRenderedPageBreak/>
        <w:t>II.5.5.2.3.3</w:t>
      </w:r>
      <w:r w:rsidRPr="00A604A3">
        <w:rPr>
          <w:rFonts w:eastAsia="MS Mincho"/>
        </w:rPr>
        <w:tab/>
      </w:r>
      <w:r w:rsidRPr="00A604A3">
        <w:rPr>
          <w:rFonts w:eastAsia="MS Mincho"/>
        </w:rPr>
        <w:tab/>
      </w:r>
      <w:r w:rsidR="00AE0549" w:rsidRPr="00A604A3">
        <w:rPr>
          <w:rFonts w:eastAsia="MS Mincho"/>
        </w:rPr>
        <w:t>Evaluation configuration C (CF = 700 MHz)</w:t>
      </w:r>
    </w:p>
    <w:p w:rsidR="00AE0549" w:rsidRPr="00A604A3" w:rsidRDefault="00AE0549" w:rsidP="003716C0">
      <w:pPr>
        <w:rPr>
          <w:rFonts w:eastAsia="MS Mincho"/>
        </w:rPr>
      </w:pPr>
      <w:r w:rsidRPr="00A604A3">
        <w:rPr>
          <w:rFonts w:eastAsia="MS Mincho"/>
        </w:rPr>
        <w:t>The evaluation results for downlink and uplink in Rural – eMBB Configuration C are provided in Table 73 to Table 76 from different contributions.</w:t>
      </w:r>
    </w:p>
    <w:p w:rsidR="003716C0" w:rsidRPr="00A604A3" w:rsidRDefault="00286E68" w:rsidP="003716C0">
      <w:pPr>
        <w:pStyle w:val="TableNo"/>
        <w:rPr>
          <w:rFonts w:eastAsia="MS Mincho"/>
        </w:rPr>
      </w:pPr>
      <w:bookmarkStart w:id="381" w:name="_Ref25442923"/>
      <w:bookmarkStart w:id="382" w:name="_Toc27919589"/>
      <w:bookmarkStart w:id="383" w:name="_Toc28265753"/>
      <w:bookmarkStart w:id="384" w:name="_Toc28276988"/>
      <w:bookmarkStart w:id="385" w:name="_Toc32066376"/>
      <w:r w:rsidRPr="00A604A3">
        <w:rPr>
          <w:rFonts w:eastAsia="MS Mincho"/>
        </w:rPr>
        <w:t>Table 73</w:t>
      </w:r>
    </w:p>
    <w:p w:rsidR="003716C0" w:rsidRPr="00A604A3" w:rsidRDefault="003716C0" w:rsidP="003716C0">
      <w:pPr>
        <w:pStyle w:val="Tabletitle"/>
        <w:rPr>
          <w:rFonts w:eastAsia="MS Mincho"/>
        </w:rPr>
      </w:pPr>
      <w:r w:rsidRPr="00A604A3">
        <w:rPr>
          <w:rFonts w:eastAsia="MS Mincho"/>
        </w:rPr>
        <w:t>Average SE for NR TDD with frame structure ‘DSUUD’ in Rural – eMBB Config. C</w:t>
      </w:r>
      <w:bookmarkEnd w:id="381"/>
      <w:bookmarkEnd w:id="382"/>
      <w:bookmarkEnd w:id="383"/>
      <w:bookmarkEnd w:id="384"/>
      <w:r w:rsidRPr="00A604A3">
        <w:rPr>
          <w:rFonts w:eastAsia="MS Mincho"/>
        </w:rPr>
        <w:t xml:space="preserve"> (Source 1)</w:t>
      </w:r>
      <w:bookmarkEnd w:id="38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6.86</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7D70F7">
            <w:pPr>
              <w:pStyle w:val="Tabletext"/>
              <w:jc w:val="center"/>
              <w:rPr>
                <w:rFonts w:eastAsia="Calibri"/>
                <w:kern w:val="24"/>
              </w:rPr>
            </w:pPr>
            <w:r w:rsidRPr="00A604A3">
              <w:rPr>
                <w:rFonts w:eastAsia="Calibri"/>
                <w:kern w:val="24"/>
              </w:rPr>
              <w:t>3.42</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86" w:name="_Toc27919590"/>
      <w:bookmarkStart w:id="387" w:name="_Toc28265754"/>
      <w:bookmarkStart w:id="388" w:name="_Toc28276989"/>
      <w:bookmarkStart w:id="389" w:name="_Toc32066377"/>
    </w:p>
    <w:p w:rsidR="003716C0" w:rsidRPr="00A604A3" w:rsidRDefault="00286E68" w:rsidP="003716C0">
      <w:pPr>
        <w:pStyle w:val="TableNo"/>
        <w:rPr>
          <w:rFonts w:eastAsia="MS Mincho"/>
        </w:rPr>
      </w:pPr>
      <w:r w:rsidRPr="00A604A3">
        <w:rPr>
          <w:rFonts w:eastAsia="MS Mincho"/>
        </w:rPr>
        <w:t>Table 74</w:t>
      </w:r>
    </w:p>
    <w:p w:rsidR="003716C0" w:rsidRPr="00A604A3" w:rsidRDefault="003716C0" w:rsidP="003716C0">
      <w:pPr>
        <w:pStyle w:val="Tabletitle"/>
        <w:rPr>
          <w:rFonts w:eastAsia="MS Mincho"/>
        </w:rPr>
      </w:pPr>
      <w:r w:rsidRPr="00A604A3">
        <w:rPr>
          <w:rFonts w:eastAsia="MS Mincho"/>
        </w:rPr>
        <w:t>Average SE for NR TDD with frame structure ‘DDDSU’ in Rural – eMBB Config. C</w:t>
      </w:r>
      <w:bookmarkEnd w:id="386"/>
      <w:bookmarkEnd w:id="387"/>
      <w:bookmarkEnd w:id="388"/>
      <w:r w:rsidRPr="00A604A3">
        <w:rPr>
          <w:rFonts w:eastAsia="MS Mincho"/>
        </w:rPr>
        <w:t xml:space="preserve"> (Source 2)</w:t>
      </w:r>
      <w:bookmarkEnd w:id="389"/>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7.98</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7D70F7">
            <w:pPr>
              <w:pStyle w:val="Tabletext"/>
              <w:jc w:val="center"/>
              <w:rPr>
                <w:rFonts w:eastAsia="Calibri"/>
                <w:kern w:val="24"/>
              </w:rPr>
            </w:pPr>
            <w:r w:rsidRPr="00A604A3">
              <w:rPr>
                <w:kern w:val="24"/>
                <w:lang w:eastAsia="zh-CN"/>
              </w:rPr>
              <w:t>3.53</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90" w:name="_Toc27919591"/>
      <w:bookmarkStart w:id="391" w:name="_Toc28265755"/>
      <w:bookmarkStart w:id="392" w:name="_Toc28276990"/>
      <w:bookmarkStart w:id="393" w:name="_Toc32066378"/>
    </w:p>
    <w:p w:rsidR="00286E68" w:rsidRPr="00A604A3" w:rsidRDefault="00286E68" w:rsidP="00286E68">
      <w:pPr>
        <w:pStyle w:val="TableNo"/>
        <w:rPr>
          <w:rFonts w:eastAsia="MS Mincho"/>
        </w:rPr>
      </w:pPr>
      <w:r w:rsidRPr="00A604A3">
        <w:rPr>
          <w:rFonts w:eastAsia="MS Mincho"/>
        </w:rPr>
        <w:t>Table 77</w:t>
      </w:r>
    </w:p>
    <w:p w:rsidR="00286E68" w:rsidRPr="00A604A3" w:rsidRDefault="00286E68" w:rsidP="00286E68">
      <w:pPr>
        <w:pStyle w:val="Tabletitle"/>
        <w:rPr>
          <w:rFonts w:eastAsia="MS Mincho"/>
        </w:rPr>
      </w:pPr>
      <w:r w:rsidRPr="00A604A3">
        <w:rPr>
          <w:rFonts w:eastAsia="MS Mincho"/>
        </w:rPr>
        <w:t>Average SE for NR FDD in Rural – eMBB Config. C</w:t>
      </w:r>
      <w:bookmarkEnd w:id="390"/>
      <w:bookmarkEnd w:id="391"/>
      <w:bookmarkEnd w:id="392"/>
      <w:r w:rsidRPr="00A604A3">
        <w:rPr>
          <w:rFonts w:eastAsia="MS Mincho"/>
        </w:rPr>
        <w:t xml:space="preserve"> (Source 1)</w:t>
      </w:r>
      <w:bookmarkEnd w:id="393"/>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5.59</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3.59</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1.6</w:t>
            </w:r>
          </w:p>
        </w:tc>
      </w:tr>
    </w:tbl>
    <w:p w:rsidR="007D70F7" w:rsidRPr="00A604A3" w:rsidRDefault="007D70F7" w:rsidP="007D70F7">
      <w:pPr>
        <w:pStyle w:val="Tablefin"/>
      </w:pPr>
      <w:bookmarkStart w:id="394" w:name="_Ref25442934"/>
      <w:bookmarkStart w:id="395" w:name="_Toc27919592"/>
      <w:bookmarkStart w:id="396" w:name="_Toc28265756"/>
      <w:bookmarkStart w:id="397" w:name="_Toc28276991"/>
      <w:bookmarkStart w:id="398" w:name="_Toc32066379"/>
    </w:p>
    <w:p w:rsidR="00286E68" w:rsidRPr="00A604A3" w:rsidRDefault="00286E68" w:rsidP="00286E68">
      <w:pPr>
        <w:pStyle w:val="TableNo"/>
        <w:rPr>
          <w:rFonts w:eastAsia="MS Mincho"/>
        </w:rPr>
      </w:pPr>
      <w:r w:rsidRPr="00A604A3">
        <w:rPr>
          <w:rFonts w:eastAsia="MS Mincho"/>
        </w:rPr>
        <w:t>Table 76</w:t>
      </w:r>
    </w:p>
    <w:p w:rsidR="00286E68" w:rsidRPr="00A604A3" w:rsidRDefault="00286E68" w:rsidP="00286E68">
      <w:pPr>
        <w:pStyle w:val="Tabletitle"/>
        <w:rPr>
          <w:rFonts w:eastAsia="MS Mincho"/>
        </w:rPr>
      </w:pPr>
      <w:r w:rsidRPr="00A604A3">
        <w:rPr>
          <w:rFonts w:eastAsia="MS Mincho"/>
        </w:rPr>
        <w:t>Average SE for NR FDD in Rural – eMBB Config. C</w:t>
      </w:r>
      <w:bookmarkEnd w:id="394"/>
      <w:bookmarkEnd w:id="395"/>
      <w:bookmarkEnd w:id="396"/>
      <w:bookmarkEnd w:id="397"/>
      <w:r w:rsidRPr="00A604A3">
        <w:rPr>
          <w:rFonts w:eastAsia="MS Mincho"/>
        </w:rPr>
        <w:t xml:space="preserve"> (Source 2)</w:t>
      </w:r>
      <w:bookmarkEnd w:id="398"/>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7.55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4.10</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1.6</w:t>
            </w:r>
          </w:p>
        </w:tc>
      </w:tr>
    </w:tbl>
    <w:p w:rsidR="007D70F7" w:rsidRPr="00A604A3" w:rsidRDefault="007D70F7" w:rsidP="007D70F7">
      <w:pPr>
        <w:pStyle w:val="Tablefin"/>
      </w:pPr>
    </w:p>
    <w:p w:rsidR="00AE0549" w:rsidRPr="00A604A3" w:rsidRDefault="00AE0549" w:rsidP="007D70F7">
      <w:r w:rsidRPr="00A604A3">
        <w:rPr>
          <w:rFonts w:eastAsia="MS Mincho"/>
        </w:rPr>
        <w:t>It is observed that NR TDD and FDD fulfill downlink and uplink average spectral efficiency requirement for Rural – eMBB test environment in Configuration C.</w:t>
      </w:r>
    </w:p>
    <w:p w:rsidR="00AE0549" w:rsidRPr="00A604A3" w:rsidRDefault="007D70F7" w:rsidP="007D70F7">
      <w:pPr>
        <w:pStyle w:val="Heading3"/>
        <w:rPr>
          <w:rFonts w:eastAsia="MS Mincho"/>
        </w:rPr>
      </w:pPr>
      <w:bookmarkStart w:id="399" w:name="_Toc32412966"/>
      <w:r w:rsidRPr="00A604A3">
        <w:rPr>
          <w:rFonts w:eastAsia="MS Mincho"/>
        </w:rPr>
        <w:t>II.5.6</w:t>
      </w:r>
      <w:r w:rsidRPr="00A604A3">
        <w:rPr>
          <w:rFonts w:eastAsia="MS Mincho"/>
        </w:rPr>
        <w:tab/>
      </w:r>
      <w:r w:rsidR="00AE0549" w:rsidRPr="00A604A3">
        <w:rPr>
          <w:rFonts w:eastAsia="MS Mincho"/>
        </w:rPr>
        <w:t>Area traffic capacity</w:t>
      </w:r>
      <w:bookmarkEnd w:id="399"/>
    </w:p>
    <w:p w:rsidR="00AE0549" w:rsidRPr="00A604A3" w:rsidRDefault="00AE0549" w:rsidP="007D70F7">
      <w:r w:rsidRPr="00A604A3">
        <w:t>The ITU-R minimum requirements on area traffic capacity are given in [1]. The following requirements and remarks are extracted from [1]:</w:t>
      </w:r>
    </w:p>
    <w:p w:rsidR="00AE0549" w:rsidRPr="00A604A3" w:rsidRDefault="007D70F7" w:rsidP="007D70F7">
      <w:pPr>
        <w:pStyle w:val="enumlev1"/>
        <w:rPr>
          <w:i/>
          <w:iCs/>
        </w:rPr>
      </w:pPr>
      <w:r w:rsidRPr="00A604A3">
        <w:rPr>
          <w:rFonts w:eastAsia="+mn-ea"/>
          <w:i/>
          <w:iCs/>
        </w:rPr>
        <w:lastRenderedPageBreak/>
        <w:tab/>
      </w:r>
      <w:r w:rsidR="00AE0549" w:rsidRPr="00A604A3">
        <w:rPr>
          <w:rFonts w:eastAsia="+mn-ea"/>
          <w:i/>
          <w:iCs/>
        </w:rPr>
        <w:t>Area traffic capacity</w:t>
      </w:r>
      <w:r w:rsidR="00AE0549" w:rsidRPr="00A604A3">
        <w:rPr>
          <w:i/>
          <w:iCs/>
        </w:rPr>
        <w:t xml:space="preserve"> is the total traffic throughput served per geographic area (in Mbit/s/m</w:t>
      </w:r>
      <w:r w:rsidR="00AE0549" w:rsidRPr="00A604A3">
        <w:rPr>
          <w:i/>
          <w:iCs/>
          <w:vertAlign w:val="superscript"/>
        </w:rPr>
        <w:t>2</w:t>
      </w:r>
      <w:r w:rsidR="00AE0549" w:rsidRPr="00A604A3">
        <w:rPr>
          <w:i/>
          <w:iCs/>
        </w:rPr>
        <w:t>).</w:t>
      </w:r>
      <w:r w:rsidR="00AE0549" w:rsidRPr="00A604A3">
        <w:rPr>
          <w:i/>
          <w:iCs/>
          <w:lang w:eastAsia="ko-KR"/>
        </w:rPr>
        <w:t xml:space="preserve"> </w:t>
      </w:r>
      <w:r w:rsidR="00AE0549" w:rsidRPr="00A604A3">
        <w:rPr>
          <w:i/>
          <w:iCs/>
        </w:rPr>
        <w:t>The throughput is the number of correctly received bits, i.e. the number of bits contained in the SDUs delivered to Layer 3, over a certain period of time.</w:t>
      </w:r>
    </w:p>
    <w:p w:rsidR="00AE0549" w:rsidRPr="00A604A3" w:rsidRDefault="007D70F7" w:rsidP="007D70F7">
      <w:pPr>
        <w:pStyle w:val="enumlev1"/>
        <w:rPr>
          <w:i/>
          <w:iCs/>
          <w:lang w:eastAsia="zh-CN"/>
        </w:rPr>
      </w:pPr>
      <w:r w:rsidRPr="00A604A3">
        <w:rPr>
          <w:i/>
          <w:iCs/>
        </w:rPr>
        <w:tab/>
      </w:r>
      <w:r w:rsidR="00AE0549" w:rsidRPr="00A604A3">
        <w:rPr>
          <w:i/>
          <w:iCs/>
        </w:rPr>
        <w:t xml:space="preserve">This can be derived for a particular use case (or deployment scenario) </w:t>
      </w:r>
      <w:r w:rsidR="00AE0549" w:rsidRPr="00A604A3">
        <w:rPr>
          <w:i/>
          <w:iCs/>
          <w:lang w:eastAsia="zh-CN"/>
        </w:rPr>
        <w:t xml:space="preserve">of </w:t>
      </w:r>
      <w:r w:rsidR="00AE0549" w:rsidRPr="00A604A3">
        <w:rPr>
          <w:i/>
          <w:iCs/>
        </w:rPr>
        <w:t xml:space="preserve">one </w:t>
      </w:r>
      <w:r w:rsidR="00AE0549" w:rsidRPr="00A604A3">
        <w:rPr>
          <w:i/>
          <w:iCs/>
          <w:lang w:eastAsia="zh-CN"/>
        </w:rPr>
        <w:t xml:space="preserve">frequency </w:t>
      </w:r>
      <w:r w:rsidR="00AE0549" w:rsidRPr="00A604A3">
        <w:rPr>
          <w:i/>
          <w:iCs/>
        </w:rPr>
        <w:t>band and one TRxP layer</w:t>
      </w:r>
      <w:r w:rsidR="00AE0549" w:rsidRPr="00A604A3">
        <w:rPr>
          <w:i/>
          <w:iCs/>
          <w:lang w:eastAsia="zh-CN"/>
        </w:rPr>
        <w:t>,</w:t>
      </w:r>
      <w:r w:rsidR="00AE0549" w:rsidRPr="00A604A3">
        <w:rPr>
          <w:i/>
          <w:iCs/>
        </w:rPr>
        <w:t xml:space="preserve"> based on the achievable </w:t>
      </w:r>
      <w:r w:rsidR="00AE0549" w:rsidRPr="00A604A3">
        <w:rPr>
          <w:i/>
          <w:iCs/>
          <w:lang w:eastAsia="zh-CN"/>
        </w:rPr>
        <w:t>average</w:t>
      </w:r>
      <w:r w:rsidR="00AE0549" w:rsidRPr="00A604A3">
        <w:rPr>
          <w:i/>
          <w:iCs/>
        </w:rPr>
        <w:t xml:space="preserve"> spectral efficiency, network deployment (e.g. TRxP (site) density) and bandwidth.</w:t>
      </w:r>
      <w:r w:rsidR="00AE0549" w:rsidRPr="00A604A3">
        <w:rPr>
          <w:i/>
          <w:iCs/>
          <w:lang w:eastAsia="zh-CN"/>
        </w:rPr>
        <w:t xml:space="preserve"> </w:t>
      </w:r>
    </w:p>
    <w:p w:rsidR="00AE0549" w:rsidRPr="00A604A3" w:rsidRDefault="007D70F7" w:rsidP="007D70F7">
      <w:pPr>
        <w:pStyle w:val="enumlev1"/>
        <w:rPr>
          <w:i/>
          <w:iCs/>
        </w:rPr>
      </w:pPr>
      <w:r w:rsidRPr="00A604A3">
        <w:rPr>
          <w:i/>
          <w:iCs/>
          <w:lang w:eastAsia="zh-CN"/>
        </w:rPr>
        <w:tab/>
      </w:r>
      <w:r w:rsidR="00AE0549" w:rsidRPr="00A604A3">
        <w:rPr>
          <w:i/>
          <w:iCs/>
          <w:lang w:eastAsia="zh-CN"/>
        </w:rPr>
        <w:t xml:space="preserve">Let </w:t>
      </w:r>
      <w:r w:rsidR="00AE0549" w:rsidRPr="00A604A3">
        <w:rPr>
          <w:i/>
          <w:iCs/>
          <w:color w:val="000000" w:themeColor="text1"/>
        </w:rPr>
        <w:t>W denote the</w:t>
      </w:r>
      <w:r w:rsidR="00AE0549" w:rsidRPr="00A604A3">
        <w:rPr>
          <w:i/>
          <w:iCs/>
          <w:color w:val="000000" w:themeColor="text1"/>
          <w:lang w:eastAsia="zh-CN"/>
        </w:rPr>
        <w:t xml:space="preserve"> </w:t>
      </w:r>
      <w:r w:rsidR="00AE0549" w:rsidRPr="00A604A3">
        <w:rPr>
          <w:i/>
          <w:iCs/>
          <w:color w:val="000000" w:themeColor="text1"/>
        </w:rPr>
        <w:t>channel bandwidth and</w:t>
      </w:r>
      <w:r w:rsidR="00AE0549" w:rsidRPr="00A604A3">
        <w:rPr>
          <w:i/>
          <w:iCs/>
          <w:color w:val="000000" w:themeColor="text1"/>
          <w:lang w:eastAsia="zh-CN"/>
        </w:rPr>
        <w:t xml:space="preserve"> </w:t>
      </w:r>
      <m:oMath>
        <m:r>
          <w:rPr>
            <w:rFonts w:ascii="Cambria Math" w:hAnsi="Cambria Math"/>
            <w:color w:val="000000" w:themeColor="text1"/>
          </w:rPr>
          <m:t>ρ</m:t>
        </m:r>
      </m:oMath>
      <w:r w:rsidR="00AE0549" w:rsidRPr="00A604A3">
        <w:rPr>
          <w:i/>
          <w:iCs/>
          <w:color w:val="000000" w:themeColor="text1"/>
          <w:lang w:eastAsia="zh-CN"/>
        </w:rPr>
        <w:t xml:space="preserve"> t</w:t>
      </w:r>
      <w:r w:rsidR="00AE0549" w:rsidRPr="00A604A3">
        <w:rPr>
          <w:i/>
          <w:iCs/>
          <w:color w:val="000000" w:themeColor="text1"/>
        </w:rPr>
        <w:t xml:space="preserve">he </w:t>
      </w:r>
      <w:r w:rsidR="00AE0549" w:rsidRPr="00A604A3">
        <w:rPr>
          <w:i/>
          <w:iCs/>
        </w:rPr>
        <w:t>TRxP density (TRxP/m</w:t>
      </w:r>
      <w:r w:rsidR="00AE0549" w:rsidRPr="00A604A3">
        <w:rPr>
          <w:i/>
          <w:iCs/>
          <w:vertAlign w:val="superscript"/>
        </w:rPr>
        <w:t>2</w:t>
      </w:r>
      <w:r w:rsidR="00AE0549" w:rsidRPr="00A604A3">
        <w:rPr>
          <w:i/>
          <w:iCs/>
        </w:rPr>
        <w:t>)</w:t>
      </w:r>
      <w:r w:rsidR="00AE0549" w:rsidRPr="00A604A3">
        <w:rPr>
          <w:i/>
          <w:iCs/>
          <w:lang w:eastAsia="zh-CN"/>
        </w:rPr>
        <w:t>.</w:t>
      </w:r>
      <w:r w:rsidR="00AE0549" w:rsidRPr="00A604A3">
        <w:rPr>
          <w:i/>
          <w:iCs/>
          <w:color w:val="000000" w:themeColor="text1"/>
        </w:rPr>
        <w:t xml:space="preserve"> T</w:t>
      </w:r>
      <w:r w:rsidR="00AE0549" w:rsidRPr="00A604A3">
        <w:rPr>
          <w:i/>
          <w:iCs/>
        </w:rPr>
        <w:t xml:space="preserve">he </w:t>
      </w:r>
      <w:r w:rsidR="00AE0549" w:rsidRPr="00A604A3">
        <w:rPr>
          <w:i/>
          <w:iCs/>
          <w:lang w:eastAsia="zh-CN"/>
        </w:rPr>
        <w:t>a</w:t>
      </w:r>
      <w:r w:rsidR="00AE0549" w:rsidRPr="00A604A3">
        <w:rPr>
          <w:i/>
          <w:iCs/>
        </w:rPr>
        <w:t xml:space="preserve">rea traffic capacity </w:t>
      </w:r>
      <w:r w:rsidR="00AE0549" w:rsidRPr="00A604A3">
        <w:rPr>
          <w:i/>
          <w:iCs/>
          <w:lang w:eastAsia="zh-CN"/>
        </w:rPr>
        <w:t>C</w:t>
      </w:r>
      <w:r w:rsidR="00AE0549" w:rsidRPr="00A604A3">
        <w:rPr>
          <w:i/>
          <w:iCs/>
          <w:vertAlign w:val="subscript"/>
          <w:lang w:eastAsia="zh-CN"/>
        </w:rPr>
        <w:t>area</w:t>
      </w:r>
      <w:r w:rsidR="00AE0549" w:rsidRPr="00A604A3">
        <w:rPr>
          <w:i/>
          <w:iCs/>
          <w:lang w:eastAsia="zh-CN"/>
        </w:rPr>
        <w:t xml:space="preserve"> </w:t>
      </w:r>
      <w:r w:rsidR="00AE0549" w:rsidRPr="00A604A3">
        <w:rPr>
          <w:i/>
          <w:iCs/>
        </w:rPr>
        <w:t xml:space="preserve">is related to </w:t>
      </w:r>
      <w:r w:rsidR="00AE0549" w:rsidRPr="00A604A3">
        <w:rPr>
          <w:i/>
          <w:iCs/>
          <w:lang w:eastAsia="zh-CN"/>
        </w:rPr>
        <w:t>average</w:t>
      </w:r>
      <w:r w:rsidR="00AE0549" w:rsidRPr="00A604A3">
        <w:rPr>
          <w:i/>
          <w:iCs/>
        </w:rPr>
        <w:t xml:space="preserve"> spectral efficiency SE</w:t>
      </w:r>
      <w:r w:rsidR="00AE0549" w:rsidRPr="00A604A3">
        <w:rPr>
          <w:i/>
          <w:iCs/>
          <w:vertAlign w:val="subscript"/>
        </w:rPr>
        <w:t>avg</w:t>
      </w:r>
      <w:r w:rsidR="00AE0549" w:rsidRPr="00A604A3">
        <w:rPr>
          <w:i/>
          <w:iCs/>
        </w:rPr>
        <w:t xml:space="preserve"> through</w:t>
      </w:r>
      <w:r w:rsidR="00AE0549" w:rsidRPr="00A604A3">
        <w:rPr>
          <w:i/>
          <w:iCs/>
          <w:lang w:eastAsia="zh-CN"/>
        </w:rPr>
        <w:t xml:space="preserve"> </w:t>
      </w:r>
      <w:r w:rsidR="00AE0549" w:rsidRPr="00A604A3">
        <w:rPr>
          <w:i/>
          <w:iCs/>
        </w:rPr>
        <w:t>equation</w:t>
      </w:r>
      <w:r w:rsidR="00AE0549" w:rsidRPr="00A604A3">
        <w:rPr>
          <w:i/>
          <w:iCs/>
          <w:lang w:eastAsia="zh-CN"/>
        </w:rPr>
        <w:t xml:space="preserve"> (6).</w:t>
      </w:r>
    </w:p>
    <w:p w:rsidR="00AE0549" w:rsidRPr="00A604A3" w:rsidRDefault="00AE0549" w:rsidP="007D70F7">
      <w:pPr>
        <w:pStyle w:val="Equation"/>
        <w:rPr>
          <w:lang w:eastAsia="zh-CN"/>
        </w:rPr>
      </w:pPr>
      <w:r w:rsidRPr="00A604A3">
        <w:tab/>
      </w:r>
      <w:r w:rsidRPr="00A604A3">
        <w:tab/>
      </w:r>
      <w:r w:rsidRPr="00A604A3">
        <w:rPr>
          <w:i/>
          <w:iCs/>
        </w:rPr>
        <w:t>C</w:t>
      </w:r>
      <w:r w:rsidRPr="00A604A3">
        <w:rPr>
          <w:i/>
          <w:iCs/>
          <w:vertAlign w:val="subscript"/>
        </w:rPr>
        <w:t>area</w:t>
      </w:r>
      <w:r w:rsidRPr="00A604A3">
        <w:t xml:space="preserve"> = ρ × </w:t>
      </w:r>
      <w:r w:rsidRPr="00A604A3">
        <w:rPr>
          <w:i/>
          <w:iCs/>
        </w:rPr>
        <w:t>W</w:t>
      </w:r>
      <w:r w:rsidRPr="00A604A3">
        <w:t xml:space="preserve"> × </w:t>
      </w:r>
      <w:r w:rsidRPr="00A604A3">
        <w:rPr>
          <w:i/>
          <w:iCs/>
        </w:rPr>
        <w:t>SE</w:t>
      </w:r>
      <w:r w:rsidRPr="00A604A3">
        <w:rPr>
          <w:i/>
          <w:iCs/>
          <w:vertAlign w:val="subscript"/>
        </w:rPr>
        <w:t>avg</w:t>
      </w:r>
    </w:p>
    <w:p w:rsidR="00AE0549" w:rsidRPr="00A604A3" w:rsidRDefault="007D70F7" w:rsidP="007D70F7">
      <w:pPr>
        <w:pStyle w:val="enumlev1"/>
        <w:rPr>
          <w:i/>
          <w:iCs/>
          <w:color w:val="000000" w:themeColor="text1"/>
          <w:lang w:eastAsia="zh-CN"/>
        </w:rPr>
      </w:pPr>
      <w:r w:rsidRPr="00A604A3">
        <w:rPr>
          <w:i/>
          <w:iCs/>
        </w:rPr>
        <w:tab/>
      </w:r>
      <w:r w:rsidR="00AE0549" w:rsidRPr="00A604A3">
        <w:rPr>
          <w:i/>
          <w:iCs/>
        </w:rPr>
        <w:t>In case bandwidth is aggregated across multiple bands, the area traffic capacity will be summed over the bands.</w:t>
      </w:r>
    </w:p>
    <w:p w:rsidR="00AE0549" w:rsidRPr="00A604A3" w:rsidRDefault="007D70F7" w:rsidP="007D70F7">
      <w:pPr>
        <w:pStyle w:val="enumlev1"/>
        <w:rPr>
          <w:i/>
          <w:iCs/>
        </w:rPr>
      </w:pPr>
      <w:r w:rsidRPr="00A604A3">
        <w:rPr>
          <w:i/>
          <w:iCs/>
        </w:rPr>
        <w:tab/>
      </w:r>
      <w:r w:rsidR="00AE0549" w:rsidRPr="00A604A3">
        <w:rPr>
          <w:i/>
          <w:iCs/>
        </w:rPr>
        <w:t>This requirement is defined for the purpose of evaluation in the related eMBB test environment.</w:t>
      </w:r>
    </w:p>
    <w:p w:rsidR="00AE0549" w:rsidRPr="00A604A3" w:rsidRDefault="007D70F7" w:rsidP="007D70F7">
      <w:pPr>
        <w:pStyle w:val="enumlev1"/>
        <w:rPr>
          <w:i/>
          <w:iCs/>
          <w:lang w:eastAsia="zh-CN"/>
        </w:rPr>
      </w:pPr>
      <w:r w:rsidRPr="00A604A3">
        <w:rPr>
          <w:i/>
          <w:iCs/>
        </w:rPr>
        <w:tab/>
      </w:r>
      <w:r w:rsidR="00AE0549" w:rsidRPr="00A604A3">
        <w:rPr>
          <w:i/>
          <w:iCs/>
        </w:rPr>
        <w:t xml:space="preserve">The target value for </w:t>
      </w:r>
      <w:r w:rsidR="00AE0549" w:rsidRPr="00A604A3">
        <w:rPr>
          <w:rFonts w:eastAsia="MS Mincho"/>
          <w:i/>
          <w:iCs/>
        </w:rPr>
        <w:t>Area traffic capacity</w:t>
      </w:r>
      <w:r w:rsidR="00AE0549" w:rsidRPr="00A604A3">
        <w:rPr>
          <w:i/>
          <w:iCs/>
          <w:lang w:eastAsia="zh-CN"/>
        </w:rPr>
        <w:t xml:space="preserve"> in downlink is 10 Mbit/s/m</w:t>
      </w:r>
      <w:r w:rsidR="00AE0549" w:rsidRPr="00A604A3">
        <w:rPr>
          <w:i/>
          <w:iCs/>
          <w:vertAlign w:val="superscript"/>
          <w:lang w:eastAsia="zh-CN"/>
        </w:rPr>
        <w:t>2</w:t>
      </w:r>
      <w:r w:rsidR="00AE0549" w:rsidRPr="00A604A3">
        <w:rPr>
          <w:i/>
          <w:iCs/>
          <w:lang w:eastAsia="zh-CN"/>
        </w:rPr>
        <w:t xml:space="preserve"> in the </w:t>
      </w:r>
      <w:r w:rsidR="00AE0549" w:rsidRPr="00A604A3">
        <w:rPr>
          <w:i/>
          <w:iCs/>
        </w:rPr>
        <w:t>Indoor</w:t>
      </w:r>
      <w:r w:rsidR="00AE0549" w:rsidRPr="00A604A3">
        <w:rPr>
          <w:rFonts w:eastAsia="MS Mincho"/>
          <w:i/>
          <w:iCs/>
        </w:rPr>
        <w:t xml:space="preserve"> Hotspot – eMBB test environment</w:t>
      </w:r>
      <w:r w:rsidR="00AE0549" w:rsidRPr="00A604A3">
        <w:rPr>
          <w:i/>
          <w:iCs/>
          <w:lang w:eastAsia="zh-CN"/>
        </w:rPr>
        <w:t>.</w:t>
      </w:r>
    </w:p>
    <w:p w:rsidR="00AE0549" w:rsidRPr="00A604A3" w:rsidRDefault="007D70F7" w:rsidP="007D70F7">
      <w:pPr>
        <w:pStyle w:val="enumlev1"/>
        <w:rPr>
          <w:rFonts w:eastAsia="Malgun Gothic"/>
          <w:i/>
          <w:iCs/>
          <w:lang w:eastAsia="ko-KR"/>
        </w:rPr>
      </w:pPr>
      <w:r w:rsidRPr="00A604A3">
        <w:rPr>
          <w:rFonts w:eastAsia="Malgun Gothic"/>
          <w:i/>
          <w:iCs/>
          <w:lang w:eastAsia="ko-KR"/>
        </w:rPr>
        <w:tab/>
      </w:r>
      <w:r w:rsidR="00AE0549" w:rsidRPr="00A604A3">
        <w:rPr>
          <w:rFonts w:eastAsia="Malgun Gothic"/>
          <w:i/>
          <w:iCs/>
          <w:lang w:eastAsia="ko-KR"/>
        </w:rPr>
        <w:t xml:space="preserve">The </w:t>
      </w:r>
      <w:r w:rsidR="00AE0549" w:rsidRPr="00A604A3">
        <w:rPr>
          <w:i/>
          <w:iCs/>
        </w:rPr>
        <w:t xml:space="preserve">conditions for evaluation </w:t>
      </w:r>
      <w:r w:rsidR="00AE0549" w:rsidRPr="00A604A3">
        <w:rPr>
          <w:rFonts w:eastAsia="Malgun Gothic"/>
          <w:i/>
          <w:iCs/>
          <w:lang w:eastAsia="ko-KR"/>
        </w:rPr>
        <w:t xml:space="preserve">including </w:t>
      </w:r>
      <w:r w:rsidR="00AE0549" w:rsidRPr="00A604A3">
        <w:rPr>
          <w:i/>
          <w:iCs/>
          <w:lang w:eastAsia="zh-CN"/>
        </w:rPr>
        <w:t xml:space="preserve">supportable bandwidth </w:t>
      </w:r>
      <w:r w:rsidR="00AE0549" w:rsidRPr="00A604A3">
        <w:rPr>
          <w:rFonts w:eastAsia="Malgun Gothic"/>
          <w:i/>
          <w:iCs/>
          <w:lang w:eastAsia="ko-KR"/>
        </w:rPr>
        <w:t xml:space="preserve">are </w:t>
      </w:r>
      <w:r w:rsidR="00AE0549" w:rsidRPr="00A604A3">
        <w:rPr>
          <w:i/>
          <w:iCs/>
          <w:lang w:eastAsia="ko-KR"/>
        </w:rPr>
        <w:t>described in Report ITU</w:t>
      </w:r>
      <w:r w:rsidR="00AE0549" w:rsidRPr="00A604A3">
        <w:rPr>
          <w:i/>
          <w:iCs/>
          <w:lang w:eastAsia="ko-KR"/>
        </w:rPr>
        <w:noBreakHyphen/>
        <w:t>R M.2412-0 for the test environment</w:t>
      </w:r>
      <w:r w:rsidR="00AE0549" w:rsidRPr="00A604A3">
        <w:rPr>
          <w:rFonts w:eastAsia="Malgun Gothic"/>
          <w:i/>
          <w:iCs/>
          <w:lang w:eastAsia="ko-KR"/>
        </w:rPr>
        <w:t>.</w:t>
      </w:r>
    </w:p>
    <w:p w:rsidR="00AE0549" w:rsidRPr="00A604A3" w:rsidRDefault="00AE0549" w:rsidP="007D70F7">
      <w:r w:rsidRPr="00A604A3">
        <w:t xml:space="preserve">Based on the reasoning given at the beginning of Section </w:t>
      </w:r>
      <w:r w:rsidR="00AA0B2B">
        <w:t>II.5</w:t>
      </w:r>
      <w:r w:rsidRPr="00A604A3">
        <w:t>.3 only 5G-NR RIT is evaluated.</w:t>
      </w:r>
    </w:p>
    <w:p w:rsidR="00AE0549" w:rsidRPr="00A604A3" w:rsidRDefault="00AB006A" w:rsidP="00AB006A">
      <w:pPr>
        <w:pStyle w:val="Heading4"/>
        <w:rPr>
          <w:rFonts w:eastAsia="MS Mincho"/>
        </w:rPr>
      </w:pPr>
      <w:r w:rsidRPr="00A604A3">
        <w:rPr>
          <w:rFonts w:eastAsia="MS Mincho"/>
        </w:rPr>
        <w:t>II.5.6.1</w:t>
      </w:r>
      <w:r w:rsidRPr="00A604A3">
        <w:rPr>
          <w:rFonts w:eastAsia="MS Mincho"/>
        </w:rPr>
        <w:tab/>
      </w:r>
      <w:r w:rsidR="00AE0549" w:rsidRPr="00A604A3">
        <w:rPr>
          <w:rFonts w:eastAsia="MS Mincho"/>
        </w:rPr>
        <w:t>Basic parameters</w:t>
      </w:r>
    </w:p>
    <w:p w:rsidR="00AE0549" w:rsidRPr="00A604A3" w:rsidRDefault="00AE0549" w:rsidP="00AB006A">
      <w:r w:rsidRPr="00A604A3">
        <w:t>As described above, the area traffic capacity is derived from the average spectral efficiency, which is discussed in Section III-5.</w:t>
      </w:r>
    </w:p>
    <w:p w:rsidR="00AE0549" w:rsidRPr="00A604A3" w:rsidRDefault="00AB006A" w:rsidP="00AB006A">
      <w:pPr>
        <w:pStyle w:val="Heading4"/>
        <w:rPr>
          <w:rFonts w:eastAsia="MS Mincho"/>
        </w:rPr>
      </w:pPr>
      <w:r w:rsidRPr="00A604A3">
        <w:rPr>
          <w:rFonts w:eastAsia="MS Mincho"/>
        </w:rPr>
        <w:t>II.5.6.2</w:t>
      </w:r>
      <w:r w:rsidRPr="00A604A3">
        <w:rPr>
          <w:rFonts w:eastAsia="MS Mincho"/>
        </w:rPr>
        <w:tab/>
      </w:r>
      <w:r w:rsidR="00AE0549" w:rsidRPr="00A604A3">
        <w:rPr>
          <w:rFonts w:eastAsia="MS Mincho"/>
        </w:rPr>
        <w:t>5G NR Indoor Hotspot – eMBB</w:t>
      </w:r>
    </w:p>
    <w:p w:rsidR="00AE0549" w:rsidRPr="00A604A3" w:rsidRDefault="00AE0549" w:rsidP="00AB006A">
      <w:pPr>
        <w:rPr>
          <w:rFonts w:eastAsia="MS Mincho"/>
        </w:rPr>
      </w:pPr>
      <w:r w:rsidRPr="00A604A3">
        <w:t xml:space="preserve">The evaluation of average spectral efficiency is conducted for 5G NR TDD in Indoor Hotspot – eMBB test environment. There are two operation modes considered, namely 1 sector per scenario and 3 sectors per scenario. </w:t>
      </w:r>
      <w:r w:rsidRPr="00A604A3">
        <w:rPr>
          <w:rFonts w:eastAsia="MS Mincho"/>
        </w:rPr>
        <w:t>For each mode, two configurations are applied. Evaluation configuration A with a carrier frequency of 4 GHz represents FR1, while evaluation configuration B with a carrier frequency of 30 GHz represents FR2. Detailed evaluation assumptions are based on average spectral efficiency evaluation and can be found in [1], [2].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B006A" w:rsidP="00AB006A">
      <w:pPr>
        <w:pStyle w:val="Heading5"/>
        <w:rPr>
          <w:rFonts w:eastAsia="MS Mincho"/>
        </w:rPr>
      </w:pPr>
      <w:r w:rsidRPr="00A604A3">
        <w:rPr>
          <w:rFonts w:eastAsia="MS Mincho"/>
        </w:rPr>
        <w:t>II.5.6.2.1</w:t>
      </w:r>
      <w:r w:rsidRPr="00A604A3">
        <w:rPr>
          <w:rFonts w:eastAsia="MS Mincho"/>
        </w:rPr>
        <w:tab/>
      </w:r>
      <w:r w:rsidR="00AE0549" w:rsidRPr="00A604A3">
        <w:rPr>
          <w:rFonts w:eastAsia="MS Mincho"/>
        </w:rPr>
        <w:t>Evaluation configuration A (CF = 4 GHz)</w:t>
      </w:r>
    </w:p>
    <w:p w:rsidR="00AE0549" w:rsidRPr="00A604A3" w:rsidRDefault="00AE0549" w:rsidP="00AB006A">
      <w:pPr>
        <w:rPr>
          <w:rFonts w:eastAsia="MS Mincho"/>
        </w:rPr>
      </w:pPr>
      <w:r w:rsidRPr="00A604A3">
        <w:rPr>
          <w:rFonts w:eastAsia="MS Mincho"/>
        </w:rPr>
        <w:t>For Configuration A, it is assumed that a component carrier of 40 MHz bandwidth is used. Additionally, carrier aggregation is applied to achieve the ITU-R requirement. The assumed aggregated system bandwidths are given in Table 77 and Table 78.</w:t>
      </w:r>
    </w:p>
    <w:p w:rsidR="00AB006A" w:rsidRPr="00A604A3" w:rsidRDefault="00AB006A" w:rsidP="00AB006A">
      <w:pPr>
        <w:pStyle w:val="TableNo"/>
        <w:rPr>
          <w:rFonts w:eastAsia="MS Mincho"/>
        </w:rPr>
      </w:pPr>
      <w:bookmarkStart w:id="400" w:name="_Ref11845405"/>
      <w:bookmarkStart w:id="401" w:name="_Ref25417898"/>
      <w:bookmarkStart w:id="402" w:name="_Toc28265761"/>
      <w:bookmarkStart w:id="403" w:name="_Toc28276996"/>
      <w:bookmarkStart w:id="404" w:name="_Toc32066384"/>
      <w:r w:rsidRPr="00A604A3">
        <w:rPr>
          <w:rFonts w:eastAsia="MS Mincho"/>
        </w:rPr>
        <w:lastRenderedPageBreak/>
        <w:t>Table 77</w:t>
      </w:r>
    </w:p>
    <w:p w:rsidR="00AB006A" w:rsidRPr="00A604A3" w:rsidRDefault="00AB006A" w:rsidP="00AB006A">
      <w:pPr>
        <w:pStyle w:val="Tabletitle"/>
        <w:rPr>
          <w:rFonts w:eastAsia="MS Mincho"/>
        </w:rPr>
      </w:pPr>
      <w:r w:rsidRPr="00A604A3">
        <w:rPr>
          <w:rFonts w:eastAsia="MS Mincho"/>
        </w:rPr>
        <w:t xml:space="preserve">Area traffic capacity for NR TDD with frame structure ‘DSUUD’ in Indoor Hotspot – eMBB </w:t>
      </w:r>
      <w:r w:rsidRPr="00A604A3">
        <w:rPr>
          <w:rFonts w:eastAsia="MS Mincho"/>
        </w:rPr>
        <w:br/>
        <w:t>Config. A</w:t>
      </w:r>
      <w:bookmarkEnd w:id="400"/>
      <w:bookmarkEnd w:id="401"/>
      <w:bookmarkEnd w:id="402"/>
      <w:bookmarkEnd w:id="403"/>
      <w:r w:rsidRPr="00A604A3">
        <w:rPr>
          <w:rFonts w:eastAsia="MS Mincho"/>
        </w:rPr>
        <w:t xml:space="preserve"> (Source 1)</w:t>
      </w:r>
      <w:bookmarkEnd w:id="404"/>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AB006A">
            <w:pPr>
              <w:pStyle w:val="Tabletext"/>
              <w:jc w:val="center"/>
              <w:rPr>
                <w:rFonts w:eastAsia="Calibri"/>
                <w:kern w:val="24"/>
              </w:rPr>
            </w:pPr>
            <w:r w:rsidRPr="00A604A3">
              <w:rPr>
                <w:rFonts w:eastAsia="Calibri"/>
                <w:kern w:val="24"/>
              </w:rPr>
              <w:t>600</w:t>
            </w:r>
          </w:p>
        </w:tc>
        <w:tc>
          <w:tcPr>
            <w:tcW w:w="1295" w:type="dxa"/>
          </w:tcPr>
          <w:p w:rsidR="00AE0549" w:rsidRPr="00A604A3" w:rsidRDefault="00AE0549" w:rsidP="00AB006A">
            <w:pPr>
              <w:pStyle w:val="Tabletext"/>
              <w:jc w:val="center"/>
              <w:rPr>
                <w:rFonts w:eastAsia="Calibri"/>
                <w:kern w:val="24"/>
              </w:rPr>
            </w:pPr>
            <w:r w:rsidRPr="00A604A3">
              <w:rPr>
                <w:rFonts w:eastAsia="Calibri"/>
                <w:kern w:val="24"/>
              </w:rPr>
              <w:t>10.60</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AB006A">
            <w:pPr>
              <w:pStyle w:val="Tabletext"/>
              <w:jc w:val="center"/>
              <w:rPr>
                <w:rFonts w:eastAsia="Calibri"/>
                <w:kern w:val="24"/>
              </w:rPr>
            </w:pPr>
            <w:r w:rsidRPr="00A604A3">
              <w:rPr>
                <w:rFonts w:eastAsia="Calibri"/>
                <w:kern w:val="24"/>
              </w:rPr>
              <w:t>200</w:t>
            </w:r>
          </w:p>
        </w:tc>
        <w:tc>
          <w:tcPr>
            <w:tcW w:w="1295" w:type="dxa"/>
          </w:tcPr>
          <w:p w:rsidR="00AE0549" w:rsidRPr="00A604A3" w:rsidRDefault="00AE0549" w:rsidP="00AB006A">
            <w:pPr>
              <w:pStyle w:val="Tabletext"/>
              <w:jc w:val="center"/>
              <w:rPr>
                <w:rFonts w:eastAsia="Calibri"/>
                <w:kern w:val="24"/>
              </w:rPr>
            </w:pPr>
            <w:r w:rsidRPr="00A604A3">
              <w:rPr>
                <w:rFonts w:eastAsia="Calibri"/>
                <w:kern w:val="24"/>
              </w:rPr>
              <w:t>10.04</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B006A" w:rsidRPr="00A604A3" w:rsidRDefault="00AB006A" w:rsidP="00AB006A">
      <w:pPr>
        <w:pStyle w:val="Tablefin"/>
      </w:pPr>
      <w:bookmarkStart w:id="405" w:name="_Ref22549577"/>
      <w:bookmarkStart w:id="406" w:name="_Toc28265762"/>
      <w:bookmarkStart w:id="407" w:name="_Toc28276997"/>
      <w:bookmarkStart w:id="408" w:name="_Toc32066385"/>
    </w:p>
    <w:p w:rsidR="00AB006A" w:rsidRPr="00A604A3" w:rsidRDefault="00AB006A" w:rsidP="00AB006A">
      <w:pPr>
        <w:pStyle w:val="TableNo"/>
        <w:rPr>
          <w:rFonts w:eastAsia="MS Mincho"/>
        </w:rPr>
      </w:pPr>
      <w:r w:rsidRPr="00A604A3">
        <w:rPr>
          <w:rFonts w:eastAsia="MS Mincho"/>
        </w:rPr>
        <w:t>Tabl</w:t>
      </w:r>
      <w:r w:rsidR="00885CA9" w:rsidRPr="00A604A3">
        <w:rPr>
          <w:rFonts w:eastAsia="MS Mincho"/>
        </w:rPr>
        <w:t>e 78</w:t>
      </w:r>
    </w:p>
    <w:p w:rsidR="00AB006A" w:rsidRPr="00A604A3" w:rsidRDefault="00AB006A" w:rsidP="00AB006A">
      <w:pPr>
        <w:pStyle w:val="Tabletitle"/>
        <w:rPr>
          <w:rFonts w:eastAsia="MS Mincho"/>
        </w:rPr>
      </w:pPr>
      <w:r w:rsidRPr="00A604A3">
        <w:rPr>
          <w:rFonts w:eastAsia="MS Mincho"/>
        </w:rPr>
        <w:t xml:space="preserve">Area traffic capacity for NR TDD with frame structure ‘DDDSU’ in Indoor Hotspot – eMBB </w:t>
      </w:r>
      <w:r w:rsidRPr="00A604A3">
        <w:rPr>
          <w:rFonts w:eastAsia="MS Mincho"/>
        </w:rPr>
        <w:br/>
        <w:t>Config. A</w:t>
      </w:r>
      <w:bookmarkEnd w:id="405"/>
      <w:bookmarkEnd w:id="406"/>
      <w:bookmarkEnd w:id="407"/>
      <w:r w:rsidRPr="00A604A3">
        <w:rPr>
          <w:rFonts w:eastAsia="MS Mincho"/>
        </w:rPr>
        <w:t xml:space="preserve"> (Source 2)</w:t>
      </w:r>
      <w:bookmarkEnd w:id="408"/>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440</w:t>
            </w:r>
          </w:p>
        </w:tc>
        <w:tc>
          <w:tcPr>
            <w:tcW w:w="1295"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10.15</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160</w:t>
            </w:r>
          </w:p>
        </w:tc>
        <w:tc>
          <w:tcPr>
            <w:tcW w:w="1295"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12.19</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E0549" w:rsidRPr="00A604A3" w:rsidRDefault="00AE0549" w:rsidP="00AB006A">
      <w:pPr>
        <w:pStyle w:val="Tablefin"/>
      </w:pPr>
    </w:p>
    <w:p w:rsidR="00AE0549" w:rsidRPr="00A604A3" w:rsidRDefault="00AE0549" w:rsidP="00AB006A">
      <w:pPr>
        <w:rPr>
          <w:rFonts w:eastAsia="MS Mincho"/>
        </w:rPr>
      </w:pPr>
      <w:r w:rsidRPr="00A604A3">
        <w:rPr>
          <w:rFonts w:eastAsia="MS Mincho"/>
        </w:rPr>
        <w:t>Table 79 and Table 80 show NR FDD results from different contributions.</w:t>
      </w:r>
    </w:p>
    <w:p w:rsidR="00AB006A" w:rsidRPr="00A604A3" w:rsidRDefault="00AB006A" w:rsidP="00AB006A">
      <w:pPr>
        <w:pStyle w:val="TableNo"/>
        <w:rPr>
          <w:rFonts w:eastAsia="MS Mincho"/>
        </w:rPr>
      </w:pPr>
      <w:bookmarkStart w:id="409" w:name="_Ref25417829"/>
      <w:bookmarkStart w:id="410" w:name="_Toc28265763"/>
      <w:bookmarkStart w:id="411" w:name="_Toc28276998"/>
      <w:bookmarkStart w:id="412" w:name="_Toc32066386"/>
      <w:r w:rsidRPr="00A604A3">
        <w:rPr>
          <w:rFonts w:eastAsia="MS Mincho"/>
        </w:rPr>
        <w:t>Table 7</w:t>
      </w:r>
      <w:r w:rsidR="00885CA9" w:rsidRPr="00A604A3">
        <w:rPr>
          <w:rFonts w:eastAsia="MS Mincho"/>
        </w:rPr>
        <w:t>9</w:t>
      </w:r>
    </w:p>
    <w:p w:rsidR="00AB006A" w:rsidRPr="00A604A3" w:rsidRDefault="00AB006A" w:rsidP="00AB006A">
      <w:pPr>
        <w:pStyle w:val="Tabletitle"/>
        <w:rPr>
          <w:rFonts w:eastAsia="MS Mincho"/>
        </w:rPr>
      </w:pPr>
      <w:r w:rsidRPr="00A604A3">
        <w:rPr>
          <w:rFonts w:eastAsia="MS Mincho"/>
        </w:rPr>
        <w:t>Area traffic capacity for NR FDD in Indoor Hotspot – eMBB Config. A</w:t>
      </w:r>
      <w:bookmarkEnd w:id="409"/>
      <w:bookmarkEnd w:id="410"/>
      <w:bookmarkEnd w:id="411"/>
      <w:r w:rsidRPr="00A604A3">
        <w:rPr>
          <w:rFonts w:eastAsia="MS Mincho"/>
        </w:rPr>
        <w:t xml:space="preserve"> (Source 1)</w:t>
      </w:r>
      <w:bookmarkEnd w:id="412"/>
    </w:p>
    <w:tbl>
      <w:tblPr>
        <w:tblStyle w:val="TableGrid"/>
        <w:tblW w:w="5663" w:type="dxa"/>
        <w:jc w:val="center"/>
        <w:tblLook w:val="04A0" w:firstRow="1" w:lastRow="0" w:firstColumn="1" w:lastColumn="0" w:noHBand="0" w:noVBand="1"/>
      </w:tblPr>
      <w:tblGrid>
        <w:gridCol w:w="1728"/>
        <w:gridCol w:w="1296"/>
        <w:gridCol w:w="1296"/>
        <w:gridCol w:w="1343"/>
      </w:tblGrid>
      <w:tr w:rsidR="00AE0549" w:rsidRPr="00A604A3" w:rsidTr="00AB006A">
        <w:trPr>
          <w:jc w:val="center"/>
        </w:trPr>
        <w:tc>
          <w:tcPr>
            <w:tcW w:w="1728" w:type="dxa"/>
            <w:vAlign w:val="center"/>
          </w:tcPr>
          <w:p w:rsidR="00AE0549" w:rsidRPr="00A604A3" w:rsidRDefault="00AE0549" w:rsidP="00AB006A">
            <w:pPr>
              <w:pStyle w:val="Tablehead"/>
            </w:pPr>
          </w:p>
        </w:tc>
        <w:tc>
          <w:tcPr>
            <w:tcW w:w="1296"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6"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728" w:type="dxa"/>
          </w:tcPr>
          <w:p w:rsidR="00AE0549" w:rsidRPr="00A604A3" w:rsidRDefault="00AE0549" w:rsidP="00AB006A">
            <w:pPr>
              <w:pStyle w:val="Tabletext"/>
            </w:pPr>
            <w:r w:rsidRPr="00A604A3">
              <w:t>1 sector per site</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400</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11.77</w:t>
            </w:r>
          </w:p>
        </w:tc>
        <w:tc>
          <w:tcPr>
            <w:tcW w:w="1343"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728" w:type="dxa"/>
          </w:tcPr>
          <w:p w:rsidR="00AE0549" w:rsidRPr="00A604A3" w:rsidRDefault="00AE0549" w:rsidP="00AB006A">
            <w:pPr>
              <w:pStyle w:val="Tabletext"/>
            </w:pPr>
            <w:r w:rsidRPr="00A604A3">
              <w:t>3 sectors per site</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120</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12.04</w:t>
            </w:r>
          </w:p>
        </w:tc>
        <w:tc>
          <w:tcPr>
            <w:tcW w:w="1343"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B006A" w:rsidRPr="00A604A3" w:rsidRDefault="00AB006A" w:rsidP="00AB006A">
      <w:pPr>
        <w:pStyle w:val="Tablefin"/>
      </w:pPr>
      <w:bookmarkStart w:id="413" w:name="_Ref25438929"/>
      <w:bookmarkStart w:id="414" w:name="_Toc28265764"/>
      <w:bookmarkStart w:id="415" w:name="_Toc28276999"/>
      <w:bookmarkStart w:id="416" w:name="_Toc32066387"/>
    </w:p>
    <w:p w:rsidR="00AB006A" w:rsidRPr="00A604A3" w:rsidRDefault="00AB006A" w:rsidP="00885CA9">
      <w:pPr>
        <w:pStyle w:val="TableNo"/>
        <w:rPr>
          <w:rFonts w:eastAsia="MS Mincho"/>
        </w:rPr>
      </w:pPr>
      <w:r w:rsidRPr="00A604A3">
        <w:rPr>
          <w:rFonts w:eastAsia="MS Mincho"/>
        </w:rPr>
        <w:t xml:space="preserve">Table </w:t>
      </w:r>
      <w:r w:rsidR="00885CA9" w:rsidRPr="00A604A3">
        <w:rPr>
          <w:rFonts w:eastAsia="MS Mincho"/>
        </w:rPr>
        <w:t>80</w:t>
      </w:r>
    </w:p>
    <w:p w:rsidR="00AB006A" w:rsidRPr="00A604A3" w:rsidRDefault="00AB006A" w:rsidP="00AB006A">
      <w:pPr>
        <w:pStyle w:val="Tabletitle"/>
        <w:rPr>
          <w:rFonts w:eastAsia="MS Mincho"/>
        </w:rPr>
      </w:pPr>
      <w:r w:rsidRPr="00A604A3">
        <w:rPr>
          <w:rFonts w:eastAsia="MS Mincho"/>
        </w:rPr>
        <w:t>Area traffic capacity for NR FDD in Indoor Hotspot – eMBB Config. A</w:t>
      </w:r>
      <w:bookmarkEnd w:id="413"/>
      <w:bookmarkEnd w:id="414"/>
      <w:bookmarkEnd w:id="415"/>
      <w:r w:rsidRPr="00A604A3">
        <w:rPr>
          <w:rFonts w:eastAsia="MS Mincho"/>
        </w:rPr>
        <w:t xml:space="preserve"> (Source 2)</w:t>
      </w:r>
      <w:bookmarkEnd w:id="416"/>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400</w:t>
            </w:r>
          </w:p>
        </w:tc>
        <w:tc>
          <w:tcPr>
            <w:tcW w:w="1295"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10.22</w:t>
            </w:r>
          </w:p>
        </w:tc>
        <w:tc>
          <w:tcPr>
            <w:tcW w:w="1451" w:type="dxa"/>
          </w:tcPr>
          <w:p w:rsidR="00AE0549" w:rsidRPr="00A604A3" w:rsidRDefault="00AE0549" w:rsidP="00885CA9">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120</w:t>
            </w:r>
          </w:p>
        </w:tc>
        <w:tc>
          <w:tcPr>
            <w:tcW w:w="1295"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10.99</w:t>
            </w:r>
          </w:p>
        </w:tc>
        <w:tc>
          <w:tcPr>
            <w:tcW w:w="1451" w:type="dxa"/>
          </w:tcPr>
          <w:p w:rsidR="00AE0549" w:rsidRPr="00A604A3" w:rsidRDefault="00AE0549" w:rsidP="00885CA9">
            <w:pPr>
              <w:pStyle w:val="Tabletext"/>
              <w:jc w:val="center"/>
              <w:rPr>
                <w:rFonts w:eastAsia="Calibri"/>
                <w:kern w:val="24"/>
              </w:rPr>
            </w:pPr>
            <w:r w:rsidRPr="00A604A3">
              <w:rPr>
                <w:rFonts w:eastAsia="Calibri"/>
                <w:kern w:val="24"/>
              </w:rPr>
              <w:t>10</w:t>
            </w:r>
          </w:p>
        </w:tc>
      </w:tr>
    </w:tbl>
    <w:p w:rsidR="00AE0549" w:rsidRPr="00A604A3" w:rsidRDefault="00AE0549" w:rsidP="00AB006A">
      <w:pPr>
        <w:pStyle w:val="Tablefin"/>
      </w:pPr>
    </w:p>
    <w:p w:rsidR="00AE0549" w:rsidRPr="00A604A3" w:rsidRDefault="00AE0549" w:rsidP="00885CA9">
      <w:r w:rsidRPr="00A604A3">
        <w:t>It is observed that NR TDD and FDD meet the ITU-R requirement in terms of area traffic capacity in downlink for Indoor Hotspot – eMBB test environment in Configuration A.</w:t>
      </w:r>
    </w:p>
    <w:p w:rsidR="00AE0549" w:rsidRPr="00A604A3" w:rsidRDefault="00885CA9" w:rsidP="00885CA9">
      <w:pPr>
        <w:pStyle w:val="Heading5"/>
        <w:rPr>
          <w:rFonts w:eastAsia="MS Mincho"/>
        </w:rPr>
      </w:pPr>
      <w:r w:rsidRPr="00A604A3">
        <w:rPr>
          <w:rFonts w:eastAsia="MS Mincho"/>
        </w:rPr>
        <w:lastRenderedPageBreak/>
        <w:t>II.5.6.2.2</w:t>
      </w:r>
      <w:r w:rsidRPr="00A604A3">
        <w:rPr>
          <w:rFonts w:eastAsia="MS Mincho"/>
        </w:rPr>
        <w:tab/>
      </w:r>
      <w:r w:rsidR="00AE0549" w:rsidRPr="00A604A3">
        <w:rPr>
          <w:rFonts w:eastAsia="MS Mincho"/>
        </w:rPr>
        <w:t>Evaluation configuration B (CF = 30 GHz)</w:t>
      </w:r>
    </w:p>
    <w:p w:rsidR="00AE0549" w:rsidRPr="00A604A3" w:rsidRDefault="00AE0549" w:rsidP="00885CA9">
      <w:pPr>
        <w:rPr>
          <w:rFonts w:eastAsia="MS Mincho"/>
        </w:rPr>
      </w:pPr>
      <w:r w:rsidRPr="00A604A3">
        <w:rPr>
          <w:rFonts w:eastAsia="SimSun"/>
          <w:szCs w:val="24"/>
          <w:lang w:eastAsia="zh-CN"/>
        </w:rPr>
        <w:t xml:space="preserve">For Configuration B, it is assumed that a component carrier of 200 MHz bandwidth is used. </w:t>
      </w:r>
      <w:r w:rsidRPr="00A604A3">
        <w:rPr>
          <w:rFonts w:eastAsia="MS Mincho"/>
        </w:rPr>
        <w:t>Additionally, carrier aggregation is applied to achieve the ITU-R requirement. The assumed aggregated system bandwidths are given in Table 81 and Table 82.</w:t>
      </w:r>
    </w:p>
    <w:p w:rsidR="00FF3272" w:rsidRPr="00A604A3" w:rsidRDefault="00FF3272" w:rsidP="00FF3272">
      <w:pPr>
        <w:pStyle w:val="TableNo"/>
        <w:rPr>
          <w:rFonts w:eastAsia="MS Mincho"/>
        </w:rPr>
      </w:pPr>
      <w:bookmarkStart w:id="417" w:name="_Ref11845924"/>
      <w:bookmarkStart w:id="418" w:name="_Ref25418271"/>
      <w:bookmarkStart w:id="419" w:name="_Toc28265766"/>
      <w:bookmarkStart w:id="420" w:name="_Toc28277001"/>
      <w:bookmarkStart w:id="421" w:name="_Toc32066389"/>
      <w:r w:rsidRPr="00A604A3">
        <w:rPr>
          <w:rFonts w:eastAsia="MS Mincho"/>
        </w:rPr>
        <w:t>tABLE 81</w:t>
      </w:r>
    </w:p>
    <w:p w:rsidR="00885CA9" w:rsidRPr="00A604A3" w:rsidRDefault="00885CA9" w:rsidP="00FF3272">
      <w:pPr>
        <w:pStyle w:val="Tabletitle"/>
        <w:rPr>
          <w:rFonts w:eastAsia="MS Mincho"/>
        </w:rPr>
      </w:pPr>
      <w:r w:rsidRPr="00A604A3">
        <w:rPr>
          <w:rFonts w:eastAsia="MS Mincho"/>
        </w:rPr>
        <w:t>Area traffic capacity for NR TDD with frame structure ‘DSUUD’ in Indoor Hotspot – eMBB Config. B</w:t>
      </w:r>
      <w:bookmarkEnd w:id="417"/>
      <w:bookmarkEnd w:id="418"/>
      <w:bookmarkEnd w:id="419"/>
      <w:bookmarkEnd w:id="420"/>
      <w:r w:rsidRPr="00A604A3">
        <w:rPr>
          <w:rFonts w:eastAsia="MS Mincho"/>
        </w:rPr>
        <w:t xml:space="preserve"> (Source 1)</w:t>
      </w:r>
      <w:bookmarkEnd w:id="421"/>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600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11.41</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3 sectors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400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17.43</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FF3272" w:rsidRPr="00A604A3" w:rsidRDefault="00FF3272" w:rsidP="00FF3272">
      <w:pPr>
        <w:pStyle w:val="Tablefin"/>
      </w:pPr>
      <w:bookmarkStart w:id="422" w:name="_Ref22550975"/>
      <w:bookmarkStart w:id="423" w:name="_Toc28265767"/>
      <w:bookmarkStart w:id="424" w:name="_Toc28277002"/>
      <w:bookmarkStart w:id="425" w:name="_Toc32066390"/>
    </w:p>
    <w:p w:rsidR="00FF3272" w:rsidRPr="00A604A3" w:rsidRDefault="00FF3272" w:rsidP="00FF3272">
      <w:pPr>
        <w:pStyle w:val="TableNo"/>
        <w:rPr>
          <w:rFonts w:eastAsia="MS Mincho"/>
        </w:rPr>
      </w:pPr>
      <w:r w:rsidRPr="00A604A3">
        <w:rPr>
          <w:rFonts w:eastAsia="MS Mincho"/>
        </w:rPr>
        <w:t>tABLE 82</w:t>
      </w:r>
    </w:p>
    <w:p w:rsidR="00885CA9" w:rsidRPr="00A604A3" w:rsidRDefault="00885CA9" w:rsidP="00FF3272">
      <w:pPr>
        <w:pStyle w:val="Tabletitle"/>
        <w:rPr>
          <w:rFonts w:eastAsia="MS Mincho"/>
        </w:rPr>
      </w:pPr>
      <w:r w:rsidRPr="00A604A3">
        <w:rPr>
          <w:rFonts w:eastAsia="MS Mincho"/>
        </w:rPr>
        <w:t>Area traffic capacity for NR TDD with frame structure ‘DDDSU’ in Indoor Hotspot – eMBB Config. B</w:t>
      </w:r>
      <w:bookmarkEnd w:id="422"/>
      <w:bookmarkEnd w:id="423"/>
      <w:bookmarkEnd w:id="424"/>
      <w:r w:rsidRPr="00A604A3">
        <w:rPr>
          <w:rFonts w:eastAsia="MS Mincho"/>
        </w:rPr>
        <w:t xml:space="preserve"> (Source 2)</w:t>
      </w:r>
      <w:bookmarkEnd w:id="425"/>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kern w:val="24"/>
                <w:lang w:eastAsia="zh-CN"/>
              </w:rPr>
            </w:pPr>
            <w:r w:rsidRPr="00A604A3">
              <w:rPr>
                <w:kern w:val="24"/>
                <w:lang w:eastAsia="zh-CN"/>
              </w:rPr>
              <w:t>600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kern w:val="24"/>
                <w:lang w:eastAsia="zh-CN"/>
              </w:rPr>
            </w:pPr>
            <w:r w:rsidRPr="00A604A3">
              <w:rPr>
                <w:kern w:val="24"/>
                <w:lang w:eastAsia="zh-CN"/>
              </w:rPr>
              <w:t>12.06</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AE0549" w:rsidRPr="00A604A3" w:rsidRDefault="00AE0549" w:rsidP="00FF3272">
      <w:pPr>
        <w:pStyle w:val="Tablefin"/>
      </w:pPr>
    </w:p>
    <w:p w:rsidR="00AE0549" w:rsidRPr="00A604A3" w:rsidRDefault="00AE0549" w:rsidP="00470885">
      <w:pPr>
        <w:spacing w:before="0" w:after="120"/>
      </w:pPr>
      <w:r w:rsidRPr="00A604A3">
        <w:t>NR FDD results are shown in Table 83.</w:t>
      </w:r>
    </w:p>
    <w:p w:rsidR="00FF3272" w:rsidRPr="00A604A3" w:rsidRDefault="00FF3272" w:rsidP="00FF3272">
      <w:pPr>
        <w:pStyle w:val="TableNo"/>
        <w:rPr>
          <w:rFonts w:eastAsia="MS Mincho"/>
        </w:rPr>
      </w:pPr>
      <w:bookmarkStart w:id="426" w:name="_Ref25418202"/>
      <w:bookmarkStart w:id="427" w:name="_Toc28265768"/>
      <w:bookmarkStart w:id="428" w:name="_Toc28277003"/>
      <w:bookmarkStart w:id="429" w:name="_Toc32066391"/>
      <w:r w:rsidRPr="00A604A3">
        <w:rPr>
          <w:rFonts w:eastAsia="MS Mincho"/>
        </w:rPr>
        <w:t>Table 83</w:t>
      </w:r>
    </w:p>
    <w:p w:rsidR="00885CA9" w:rsidRPr="00A604A3" w:rsidRDefault="00885CA9" w:rsidP="00FF3272">
      <w:pPr>
        <w:pStyle w:val="Tabletitle"/>
        <w:rPr>
          <w:rFonts w:eastAsia="MS Mincho"/>
        </w:rPr>
      </w:pPr>
      <w:r w:rsidRPr="00A604A3">
        <w:rPr>
          <w:rFonts w:eastAsia="MS Mincho"/>
        </w:rPr>
        <w:t>Area traffic capacity for NR FDD in Indoor Hotspot – eMBB Config. B</w:t>
      </w:r>
      <w:bookmarkEnd w:id="426"/>
      <w:bookmarkEnd w:id="427"/>
      <w:bookmarkEnd w:id="428"/>
      <w:r w:rsidRPr="00A604A3">
        <w:rPr>
          <w:rFonts w:eastAsia="MS Mincho"/>
        </w:rPr>
        <w:t xml:space="preserve"> (Source 1)</w:t>
      </w:r>
      <w:bookmarkEnd w:id="429"/>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400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12.63</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3 sectors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200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15.17</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FF3272" w:rsidRPr="00A604A3" w:rsidRDefault="00FF3272" w:rsidP="00FF3272">
      <w:pPr>
        <w:pStyle w:val="Tablefin"/>
      </w:pPr>
    </w:p>
    <w:p w:rsidR="00AE0549" w:rsidRPr="00A604A3" w:rsidRDefault="00AE0549" w:rsidP="00FF3272">
      <w:r w:rsidRPr="00A604A3">
        <w:t>It is observed that NR TDD and FDD meet the ITU-R requirement in terms of area traffic capacity in downlink for Indoor Hotspot – eMBB test environment in Configuration B.</w:t>
      </w:r>
    </w:p>
    <w:p w:rsidR="00AE0549" w:rsidRPr="00A604A3" w:rsidRDefault="00C36D01" w:rsidP="00C36D01">
      <w:pPr>
        <w:pStyle w:val="Heading3"/>
        <w:rPr>
          <w:rFonts w:eastAsia="MS Mincho"/>
        </w:rPr>
      </w:pPr>
      <w:bookmarkStart w:id="430" w:name="_Toc32412967"/>
      <w:r w:rsidRPr="00A604A3">
        <w:rPr>
          <w:rFonts w:eastAsia="MS Mincho"/>
        </w:rPr>
        <w:t>II.5.7</w:t>
      </w:r>
      <w:r w:rsidRPr="00A604A3">
        <w:rPr>
          <w:rFonts w:eastAsia="MS Mincho"/>
        </w:rPr>
        <w:tab/>
      </w:r>
      <w:r w:rsidR="00AE0549" w:rsidRPr="00A604A3">
        <w:rPr>
          <w:rFonts w:eastAsia="MS Mincho"/>
        </w:rPr>
        <w:t>User plane latency</w:t>
      </w:r>
      <w:bookmarkEnd w:id="430"/>
    </w:p>
    <w:p w:rsidR="00AE0549" w:rsidRPr="00A604A3" w:rsidRDefault="00AE0549" w:rsidP="00C36D01">
      <w:r w:rsidRPr="00A604A3">
        <w:t>The ITU-R minimum requirements on user plane latency are given in [1]. The following requirements and remarks are extracted from [1]:</w:t>
      </w:r>
    </w:p>
    <w:p w:rsidR="00AE0549" w:rsidRPr="00A604A3" w:rsidRDefault="00C36D01" w:rsidP="00C36D01">
      <w:pPr>
        <w:pStyle w:val="enumlev1"/>
        <w:rPr>
          <w:i/>
          <w:iCs/>
          <w:szCs w:val="24"/>
        </w:rPr>
      </w:pPr>
      <w:r w:rsidRPr="00A604A3">
        <w:rPr>
          <w:i/>
          <w:iCs/>
        </w:rPr>
        <w:tab/>
      </w:r>
      <w:r w:rsidR="00AE0549" w:rsidRPr="00A604A3">
        <w:rPr>
          <w:i/>
          <w:iCs/>
        </w:rPr>
        <w:t xml:space="preserve">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w:t>
      </w:r>
      <w:r w:rsidR="00AE0549" w:rsidRPr="00A604A3">
        <w:rPr>
          <w:i/>
          <w:iCs/>
        </w:rPr>
        <w:lastRenderedPageBreak/>
        <w:t xml:space="preserve">protocol layer 2/3 SDU egress point of the radio interface </w:t>
      </w:r>
      <w:r w:rsidR="00AE0549" w:rsidRPr="00A604A3">
        <w:rPr>
          <w:i/>
          <w:iCs/>
          <w:lang w:eastAsia="ko-KR"/>
        </w:rPr>
        <w:t xml:space="preserve">in either uplink or downlink </w:t>
      </w:r>
      <w:r w:rsidR="00AE0549" w:rsidRPr="00A604A3">
        <w:rPr>
          <w:i/>
          <w:iCs/>
        </w:rPr>
        <w:t xml:space="preserve">in the network for a given service in unloaded conditions, </w:t>
      </w:r>
      <w:r w:rsidR="00AE0549" w:rsidRPr="00A604A3">
        <w:rPr>
          <w:i/>
          <w:iCs/>
          <w:szCs w:val="24"/>
        </w:rPr>
        <w:t xml:space="preserve">assuming the </w:t>
      </w:r>
      <w:r w:rsidR="00AE0549" w:rsidRPr="00A604A3">
        <w:rPr>
          <w:i/>
          <w:iCs/>
          <w:lang w:eastAsia="ja-JP"/>
        </w:rPr>
        <w:t>mobile station</w:t>
      </w:r>
      <w:r w:rsidR="00AE0549" w:rsidRPr="00A604A3">
        <w:rPr>
          <w:i/>
          <w:iCs/>
          <w:szCs w:val="24"/>
        </w:rPr>
        <w:t xml:space="preserve"> is in the active state. </w:t>
      </w:r>
    </w:p>
    <w:p w:rsidR="00AE0549" w:rsidRPr="00A604A3" w:rsidRDefault="00C36D01" w:rsidP="00C36D01">
      <w:pPr>
        <w:pStyle w:val="enumlev1"/>
        <w:rPr>
          <w:i/>
          <w:iCs/>
        </w:rPr>
      </w:pPr>
      <w:r w:rsidRPr="00A604A3">
        <w:rPr>
          <w:i/>
          <w:iCs/>
        </w:rPr>
        <w:tab/>
      </w:r>
      <w:r w:rsidR="00AE0549" w:rsidRPr="00A604A3">
        <w:rPr>
          <w:i/>
          <w:iCs/>
        </w:rPr>
        <w:t>This requirement is defined for the purpose of evaluation in the eMBB and URLLC usage scenarios.</w:t>
      </w:r>
    </w:p>
    <w:p w:rsidR="00AE0549" w:rsidRPr="00A604A3" w:rsidRDefault="00C36D01" w:rsidP="00C36D01">
      <w:pPr>
        <w:pStyle w:val="enumlev1"/>
        <w:rPr>
          <w:i/>
          <w:iCs/>
          <w:szCs w:val="24"/>
          <w:lang w:eastAsia="zh-CN"/>
        </w:rPr>
      </w:pPr>
      <w:r w:rsidRPr="00A604A3">
        <w:rPr>
          <w:i/>
          <w:iCs/>
          <w:szCs w:val="24"/>
          <w:lang w:eastAsia="zh-CN"/>
        </w:rPr>
        <w:tab/>
      </w:r>
      <w:r w:rsidR="00AE0549" w:rsidRPr="00A604A3">
        <w:rPr>
          <w:i/>
          <w:iCs/>
          <w:szCs w:val="24"/>
          <w:lang w:eastAsia="zh-CN"/>
        </w:rPr>
        <w:t>The minimum requirements for user plane latency are:</w:t>
      </w:r>
    </w:p>
    <w:p w:rsidR="00AE0549" w:rsidRPr="00A604A3" w:rsidRDefault="00AE0549" w:rsidP="00C36D01">
      <w:pPr>
        <w:pStyle w:val="enumlev2"/>
        <w:rPr>
          <w:i/>
          <w:iCs/>
          <w:lang w:eastAsia="zh-CN"/>
        </w:rPr>
      </w:pPr>
      <w:r w:rsidRPr="00A604A3">
        <w:rPr>
          <w:i/>
          <w:iCs/>
          <w:lang w:eastAsia="zh-CN"/>
        </w:rPr>
        <w:t>–</w:t>
      </w:r>
      <w:r w:rsidRPr="00A604A3">
        <w:rPr>
          <w:i/>
          <w:iCs/>
          <w:lang w:eastAsia="zh-CN"/>
        </w:rPr>
        <w:tab/>
        <w:t>4 ms for eMBB</w:t>
      </w:r>
    </w:p>
    <w:p w:rsidR="00AE0549" w:rsidRPr="00A604A3" w:rsidRDefault="00AE0549" w:rsidP="00C36D01">
      <w:pPr>
        <w:pStyle w:val="enumlev2"/>
        <w:rPr>
          <w:i/>
          <w:iCs/>
          <w:lang w:eastAsia="zh-CN"/>
        </w:rPr>
      </w:pPr>
      <w:r w:rsidRPr="00A604A3">
        <w:rPr>
          <w:i/>
          <w:iCs/>
          <w:lang w:eastAsia="zh-CN"/>
        </w:rPr>
        <w:t>–</w:t>
      </w:r>
      <w:r w:rsidRPr="00A604A3">
        <w:rPr>
          <w:i/>
          <w:iCs/>
          <w:lang w:eastAsia="zh-CN"/>
        </w:rPr>
        <w:tab/>
        <w:t xml:space="preserve">1 ms for URLLC </w:t>
      </w:r>
    </w:p>
    <w:p w:rsidR="00AE0549" w:rsidRPr="00A604A3" w:rsidRDefault="00C36D01" w:rsidP="00C36D01">
      <w:pPr>
        <w:pStyle w:val="enumlev1"/>
        <w:rPr>
          <w:i/>
          <w:iCs/>
          <w:szCs w:val="24"/>
          <w:lang w:eastAsia="zh-CN"/>
        </w:rPr>
      </w:pPr>
      <w:r w:rsidRPr="00A604A3">
        <w:rPr>
          <w:i/>
          <w:iCs/>
          <w:szCs w:val="24"/>
          <w:lang w:eastAsia="zh-CN"/>
        </w:rPr>
        <w:tab/>
      </w:r>
      <w:r w:rsidR="00AE0549" w:rsidRPr="00A604A3">
        <w:rPr>
          <w:i/>
          <w:iCs/>
          <w:szCs w:val="24"/>
          <w:lang w:eastAsia="zh-CN"/>
        </w:rPr>
        <w:t>assuming unloaded conditions (i.e. a single user) for small IP packets (e.g. 0 byte payload + IP header), for both downlink and uplink.</w:t>
      </w:r>
    </w:p>
    <w:p w:rsidR="00AE0549" w:rsidRPr="00A604A3" w:rsidRDefault="00C36D01" w:rsidP="00C36D01">
      <w:pPr>
        <w:pStyle w:val="Heading4"/>
        <w:rPr>
          <w:rFonts w:eastAsia="MS Mincho"/>
          <w:szCs w:val="24"/>
        </w:rPr>
      </w:pPr>
      <w:r w:rsidRPr="00A604A3">
        <w:rPr>
          <w:rFonts w:eastAsia="MS Mincho"/>
        </w:rPr>
        <w:t>II.5.7.1</w:t>
      </w:r>
      <w:r w:rsidRPr="00A604A3">
        <w:rPr>
          <w:rFonts w:eastAsia="MS Mincho"/>
        </w:rPr>
        <w:tab/>
      </w:r>
      <w:r w:rsidR="00AE0549" w:rsidRPr="00A604A3">
        <w:rPr>
          <w:rFonts w:eastAsia="MS Mincho"/>
          <w:szCs w:val="24"/>
        </w:rPr>
        <w:t>Basic parameters / results</w:t>
      </w:r>
      <w:r w:rsidR="00AE0549" w:rsidRPr="00A604A3">
        <w:t xml:space="preserve"> NR</w:t>
      </w:r>
      <w:r w:rsidR="00AE0549" w:rsidRPr="00A604A3">
        <w:rPr>
          <w:lang w:eastAsia="zh-CN"/>
        </w:rPr>
        <w:t xml:space="preserve"> </w:t>
      </w:r>
      <w:r w:rsidR="00AE0549" w:rsidRPr="00A604A3">
        <w:t>Rel-15, user plane latency</w:t>
      </w:r>
    </w:p>
    <w:p w:rsidR="00AE0549" w:rsidRPr="00A604A3" w:rsidRDefault="00AE0549" w:rsidP="00C36D01">
      <w:r w:rsidRPr="00A604A3">
        <w:rPr>
          <w:lang w:eastAsia="zh-CN"/>
        </w:rPr>
        <w:t xml:space="preserve">As defined in Report ITU-R M.2410 [1], </w:t>
      </w:r>
      <w:r w:rsidRPr="00A604A3">
        <w:t>user plane latency is the contribution of the radio network to the time from when the source sends a packet to when the destination receives it (in ms). The user plane latency procedure is given in the Figure 2.</w:t>
      </w:r>
    </w:p>
    <w:p w:rsidR="00C36D01" w:rsidRPr="00A604A3" w:rsidRDefault="00C36D01" w:rsidP="00C36D01">
      <w:pPr>
        <w:pStyle w:val="FigureNo"/>
      </w:pPr>
      <w:r w:rsidRPr="00A604A3">
        <w:t>Figure 2</w:t>
      </w:r>
    </w:p>
    <w:p w:rsidR="00C36D01" w:rsidRPr="00A604A3" w:rsidRDefault="00C36D01" w:rsidP="00C36D01">
      <w:pPr>
        <w:pStyle w:val="Figuretitle"/>
        <w:rPr>
          <w:noProof w:val="0"/>
          <w:lang w:val="en-GB"/>
        </w:rPr>
      </w:pPr>
      <w:r w:rsidRPr="00A604A3">
        <w:rPr>
          <w:noProof w:val="0"/>
          <w:lang w:val="en-GB"/>
        </w:rPr>
        <w:t>User plane procedure (Figure 5.7.1.1-1 in TR 37.910 [14])</w:t>
      </w:r>
    </w:p>
    <w:p w:rsidR="00AE0549" w:rsidRPr="00A604A3" w:rsidRDefault="00AE0549" w:rsidP="00C36D01">
      <w:pPr>
        <w:pStyle w:val="Figure"/>
        <w:rPr>
          <w:noProof w:val="0"/>
        </w:rPr>
      </w:pPr>
      <w:r w:rsidRPr="00A604A3">
        <w:drawing>
          <wp:inline distT="0" distB="0" distL="0" distR="0" wp14:anchorId="4AF2B3E3" wp14:editId="5BEBE740">
            <wp:extent cx="3105812" cy="1688782"/>
            <wp:effectExtent l="19050" t="0" r="0" b="0"/>
            <wp:docPr id="4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srcRect/>
                    <a:stretch>
                      <a:fillRect/>
                    </a:stretch>
                  </pic:blipFill>
                  <pic:spPr bwMode="auto">
                    <a:xfrm>
                      <a:off x="0" y="0"/>
                      <a:ext cx="3104747" cy="1688203"/>
                    </a:xfrm>
                    <a:prstGeom prst="rect">
                      <a:avLst/>
                    </a:prstGeom>
                    <a:noFill/>
                  </pic:spPr>
                </pic:pic>
              </a:graphicData>
            </a:graphic>
          </wp:inline>
        </w:drawing>
      </w:r>
    </w:p>
    <w:p w:rsidR="00AE0549" w:rsidRPr="00A604A3" w:rsidRDefault="00AE0549" w:rsidP="00C36D01">
      <w:r w:rsidRPr="00A604A3">
        <w:t>General assumptions followed by 3GPP are listed below:</w:t>
      </w:r>
    </w:p>
    <w:p w:rsidR="00AE0549" w:rsidRPr="00A604A3" w:rsidRDefault="00C36D01" w:rsidP="00C36D01">
      <w:pPr>
        <w:pStyle w:val="enumlev1"/>
      </w:pPr>
      <w:r w:rsidRPr="00A604A3">
        <w:t>–</w:t>
      </w:r>
      <w:r w:rsidRPr="00A604A3">
        <w:tab/>
      </w:r>
      <w:r w:rsidR="00AE0549" w:rsidRPr="00A604A3">
        <w:t>It is assumed that the packet arrives at any time of any OFDM symbol. In this case, the 0.5 symbol length is added as the “average symbol alignment time” at the beginning of the procedure.</w:t>
      </w:r>
    </w:p>
    <w:p w:rsidR="00AE0549" w:rsidRPr="00A604A3" w:rsidRDefault="00C36D01" w:rsidP="00C36D01">
      <w:pPr>
        <w:pStyle w:val="enumlev1"/>
      </w:pPr>
      <w:r w:rsidRPr="00A604A3">
        <w:t>–</w:t>
      </w:r>
      <w:r w:rsidRPr="00A604A3">
        <w:tab/>
      </w:r>
      <w:r w:rsidR="00AE0549" w:rsidRPr="00A604A3">
        <w:t>The transmission of PDCCH, PDSCH, PUCCH, PUSCH cannot be across the slot. Otherwise the transmission will wait for the next slot.</w:t>
      </w:r>
    </w:p>
    <w:p w:rsidR="00AE0549" w:rsidRPr="00A604A3" w:rsidRDefault="00C36D01" w:rsidP="00C36D01">
      <w:pPr>
        <w:pStyle w:val="enumlev1"/>
      </w:pPr>
      <w:r w:rsidRPr="00A604A3">
        <w:t>–</w:t>
      </w:r>
      <w:r w:rsidRPr="00A604A3">
        <w:tab/>
      </w:r>
      <w:r w:rsidR="00AE0549" w:rsidRPr="00A604A3">
        <w:t>The PDSCH/PUSCH allocation (transmission duration) of 2/4/7/14-os non-slot or slot are evaluated.</w:t>
      </w:r>
    </w:p>
    <w:p w:rsidR="00AE0549" w:rsidRPr="00A604A3" w:rsidRDefault="00C36D01" w:rsidP="00C36D01">
      <w:pPr>
        <w:pStyle w:val="enumlev2"/>
      </w:pPr>
      <w:r w:rsidRPr="00A604A3">
        <w:t>•</w:t>
      </w:r>
      <w:r w:rsidRPr="00A604A3">
        <w:tab/>
      </w:r>
      <w:r w:rsidR="00AE0549" w:rsidRPr="00A604A3">
        <w:t>If the evaluation is for 14 OFDM Symbol length slot, then slot-based scheduling is used.</w:t>
      </w:r>
    </w:p>
    <w:p w:rsidR="00AE0549" w:rsidRPr="00A604A3" w:rsidRDefault="00C36D01" w:rsidP="00C36D01">
      <w:pPr>
        <w:pStyle w:val="enumlev2"/>
      </w:pPr>
      <w:r w:rsidRPr="00A604A3">
        <w:t>•</w:t>
      </w:r>
      <w:r w:rsidRPr="00A604A3">
        <w:tab/>
      </w:r>
      <w:r w:rsidR="00AE0549" w:rsidRPr="00A604A3">
        <w:t>Otherwise non-slot-based scheduling is used.</w:t>
      </w:r>
    </w:p>
    <w:p w:rsidR="00AE0549" w:rsidRPr="00A604A3" w:rsidRDefault="00C36D01" w:rsidP="00C36D01">
      <w:pPr>
        <w:pStyle w:val="enumlev1"/>
      </w:pPr>
      <w:r w:rsidRPr="00A604A3">
        <w:t>–</w:t>
      </w:r>
      <w:r w:rsidRPr="00A604A3">
        <w:tab/>
      </w:r>
      <w:r w:rsidR="00AE0549" w:rsidRPr="00A604A3">
        <w:t>The resource mapping type A and B are considered, which impact the start timing of a transmission. Details on resource mapping mechanism can be found in TS 38.214 [15].</w:t>
      </w:r>
    </w:p>
    <w:p w:rsidR="00AE0549" w:rsidRPr="00A604A3" w:rsidRDefault="00C36D01" w:rsidP="00C36D01">
      <w:pPr>
        <w:pStyle w:val="enumlev1"/>
      </w:pPr>
      <w:r w:rsidRPr="00A604A3">
        <w:t>–</w:t>
      </w:r>
      <w:r w:rsidRPr="00A604A3">
        <w:tab/>
      </w:r>
      <w:r w:rsidR="00AE0549" w:rsidRPr="00A604A3">
        <w:t>It is assumed that PDCCH monitoring occasion occurs at every OFDM symbol in the evaluation.</w:t>
      </w:r>
    </w:p>
    <w:p w:rsidR="00AE0549" w:rsidRPr="00A604A3" w:rsidRDefault="00AE0549" w:rsidP="00470885">
      <w:r w:rsidRPr="00A604A3">
        <w:lastRenderedPageBreak/>
        <w:t>The evaluation procedure is separated for downlink and uplink.</w:t>
      </w:r>
    </w:p>
    <w:p w:rsidR="00AE0549" w:rsidRPr="00A604A3" w:rsidRDefault="00C36D01" w:rsidP="00C36D01">
      <w:pPr>
        <w:pStyle w:val="Heading4"/>
        <w:rPr>
          <w:rFonts w:eastAsia="MS Mincho"/>
        </w:rPr>
      </w:pPr>
      <w:r w:rsidRPr="00A604A3">
        <w:rPr>
          <w:rFonts w:eastAsia="MS Mincho"/>
        </w:rPr>
        <w:t>II.5.7.2</w:t>
      </w:r>
      <w:r w:rsidRPr="00A604A3">
        <w:rPr>
          <w:rFonts w:eastAsia="MS Mincho"/>
        </w:rPr>
        <w:tab/>
      </w:r>
      <w:r w:rsidR="00AE0549" w:rsidRPr="00A604A3">
        <w:rPr>
          <w:rFonts w:eastAsia="MS Mincho"/>
        </w:rPr>
        <w:t>Downlink NR User Plane procedure</w:t>
      </w:r>
    </w:p>
    <w:p w:rsidR="00AE0549" w:rsidRPr="00A604A3" w:rsidRDefault="00AE0549" w:rsidP="00C36D01">
      <w:r w:rsidRPr="00A604A3">
        <w:t>The detailed assumptions for user plane evaluation at the downlink are given in Table 84.</w:t>
      </w:r>
    </w:p>
    <w:p w:rsidR="00C36D01" w:rsidRPr="00A604A3" w:rsidRDefault="00C36D01" w:rsidP="00C36D01">
      <w:pPr>
        <w:pStyle w:val="TableNo"/>
        <w:rPr>
          <w:rFonts w:eastAsia="MS Mincho"/>
        </w:rPr>
      </w:pPr>
      <w:bookmarkStart w:id="431" w:name="_Ref31707508"/>
      <w:bookmarkStart w:id="432" w:name="_Toc32066395"/>
      <w:r w:rsidRPr="00A604A3">
        <w:rPr>
          <w:rFonts w:eastAsia="MS Mincho"/>
        </w:rPr>
        <w:t>Table 84</w:t>
      </w:r>
    </w:p>
    <w:p w:rsidR="00C36D01" w:rsidRPr="00A604A3" w:rsidRDefault="00C36D01" w:rsidP="00C36D01">
      <w:pPr>
        <w:pStyle w:val="Tabletitle"/>
        <w:rPr>
          <w:rFonts w:eastAsia="MS Mincho"/>
        </w:rPr>
      </w:pPr>
      <w:r w:rsidRPr="00A604A3">
        <w:rPr>
          <w:rFonts w:eastAsia="MS Mincho"/>
        </w:rPr>
        <w:t>DL user plane procedure for NR (Table 5.7.1.1.1-1 in TR 37.910 [14])</w:t>
      </w:r>
      <w:bookmarkEnd w:id="431"/>
      <w:bookmarkEnd w:id="432"/>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376"/>
        <w:gridCol w:w="3431"/>
        <w:gridCol w:w="3115"/>
      </w:tblGrid>
      <w:tr w:rsidR="00AE0549" w:rsidRPr="00A604A3" w:rsidTr="00D145FD">
        <w:trPr>
          <w:trHeight w:val="249"/>
          <w:tblHeader/>
          <w:jc w:val="center"/>
        </w:trPr>
        <w:tc>
          <w:tcPr>
            <w:tcW w:w="709"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ID</w:t>
            </w:r>
          </w:p>
        </w:tc>
        <w:tc>
          <w:tcPr>
            <w:tcW w:w="2376"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Component</w:t>
            </w:r>
          </w:p>
        </w:tc>
        <w:tc>
          <w:tcPr>
            <w:tcW w:w="3431"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Notations</w:t>
            </w:r>
          </w:p>
        </w:tc>
        <w:tc>
          <w:tcPr>
            <w:tcW w:w="3115" w:type="dxa"/>
            <w:shd w:val="clear" w:color="auto" w:fill="auto"/>
          </w:tcPr>
          <w:p w:rsidR="00AE0549" w:rsidRPr="00A604A3" w:rsidRDefault="00AE0549" w:rsidP="00D145FD">
            <w:pPr>
              <w:pStyle w:val="Tablehead"/>
              <w:rPr>
                <w:lang w:eastAsia="zh-CN"/>
              </w:rPr>
            </w:pPr>
            <w:r w:rsidRPr="00A604A3">
              <w:rPr>
                <w:lang w:eastAsia="zh-CN"/>
              </w:rPr>
              <w:t>Value</w:t>
            </w:r>
          </w:p>
        </w:tc>
      </w:tr>
      <w:tr w:rsidR="00AE0549" w:rsidRPr="009002F1"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DL data transfer</w:t>
            </w:r>
          </w:p>
        </w:tc>
        <w:tc>
          <w:tcPr>
            <w:tcW w:w="3431" w:type="dxa"/>
            <w:tcMar>
              <w:top w:w="0" w:type="dxa"/>
              <w:left w:w="108" w:type="dxa"/>
              <w:bottom w:w="0" w:type="dxa"/>
              <w:right w:w="108" w:type="dxa"/>
            </w:tcMar>
            <w:vAlign w:val="center"/>
          </w:tcPr>
          <w:p w:rsidR="00AE0549" w:rsidRPr="009002F1" w:rsidRDefault="00AE0549" w:rsidP="00C36D01">
            <w:pPr>
              <w:pStyle w:val="Tabletext"/>
              <w:rPr>
                <w:i/>
                <w:sz w:val="18"/>
                <w:szCs w:val="18"/>
                <w:lang w:val="fr-CH" w:eastAsia="zh-CN"/>
              </w:rPr>
            </w:pPr>
            <w:r w:rsidRPr="009002F1">
              <w:rPr>
                <w:i/>
                <w:sz w:val="18"/>
                <w:szCs w:val="18"/>
                <w:lang w:val="fr-CH" w:eastAsia="zh-CN"/>
              </w:rPr>
              <w:t>T</w:t>
            </w:r>
            <w:r w:rsidRPr="009002F1">
              <w:rPr>
                <w:sz w:val="18"/>
                <w:szCs w:val="18"/>
                <w:vertAlign w:val="subscript"/>
                <w:lang w:val="fr-CH" w:eastAsia="zh-CN"/>
              </w:rPr>
              <w:t>1</w:t>
            </w:r>
            <w:r w:rsidRPr="009002F1">
              <w:rPr>
                <w:sz w:val="18"/>
                <w:szCs w:val="18"/>
                <w:lang w:val="fr-CH" w:eastAsia="zh-CN"/>
              </w:rPr>
              <w:t xml:space="preserve"> = (</w:t>
            </w:r>
            <w:r w:rsidRPr="009002F1">
              <w:rPr>
                <w:i/>
                <w:sz w:val="18"/>
                <w:szCs w:val="18"/>
                <w:lang w:val="fr-CH" w:eastAsia="zh-CN"/>
              </w:rPr>
              <w:t>t</w:t>
            </w:r>
            <w:r w:rsidRPr="009002F1">
              <w:rPr>
                <w:sz w:val="18"/>
                <w:szCs w:val="18"/>
                <w:vertAlign w:val="subscript"/>
                <w:lang w:val="fr-CH" w:eastAsia="zh-CN"/>
              </w:rPr>
              <w:t>BS,tx</w:t>
            </w:r>
            <w:r w:rsidRPr="009002F1">
              <w:rPr>
                <w:sz w:val="18"/>
                <w:szCs w:val="18"/>
                <w:lang w:val="fr-CH" w:eastAsia="zh-CN"/>
              </w:rPr>
              <w:t xml:space="preserve"> + </w:t>
            </w:r>
            <w:r w:rsidRPr="009002F1">
              <w:rPr>
                <w:i/>
                <w:sz w:val="18"/>
                <w:szCs w:val="18"/>
                <w:lang w:val="fr-CH" w:eastAsia="zh-CN"/>
              </w:rPr>
              <w:t>t</w:t>
            </w:r>
            <w:r w:rsidRPr="009002F1">
              <w:rPr>
                <w:sz w:val="18"/>
                <w:szCs w:val="18"/>
                <w:vertAlign w:val="subscript"/>
                <w:lang w:val="fr-CH" w:eastAsia="zh-CN"/>
              </w:rPr>
              <w:t>FA,DL</w:t>
            </w:r>
            <w:r w:rsidRPr="009002F1">
              <w:rPr>
                <w:sz w:val="18"/>
                <w:szCs w:val="18"/>
                <w:lang w:val="fr-CH" w:eastAsia="zh-CN"/>
              </w:rPr>
              <w:t xml:space="preserve">) + </w:t>
            </w:r>
            <w:r w:rsidRPr="009002F1">
              <w:rPr>
                <w:i/>
                <w:sz w:val="18"/>
                <w:szCs w:val="18"/>
                <w:lang w:val="fr-CH" w:eastAsia="zh-CN"/>
              </w:rPr>
              <w:t>t</w:t>
            </w:r>
            <w:r w:rsidRPr="009002F1">
              <w:rPr>
                <w:sz w:val="18"/>
                <w:szCs w:val="18"/>
                <w:vertAlign w:val="subscript"/>
                <w:lang w:val="fr-CH" w:eastAsia="zh-CN"/>
              </w:rPr>
              <w:t>DL_duration</w:t>
            </w:r>
            <w:r w:rsidRPr="009002F1">
              <w:rPr>
                <w:sz w:val="18"/>
                <w:szCs w:val="18"/>
                <w:lang w:val="fr-CH" w:eastAsia="zh-CN"/>
              </w:rPr>
              <w:t xml:space="preserve"> + </w:t>
            </w:r>
            <w:r w:rsidRPr="009002F1">
              <w:rPr>
                <w:i/>
                <w:sz w:val="18"/>
                <w:szCs w:val="18"/>
                <w:lang w:val="fr-CH" w:eastAsia="zh-CN"/>
              </w:rPr>
              <w:t>t</w:t>
            </w:r>
            <w:r w:rsidRPr="009002F1">
              <w:rPr>
                <w:sz w:val="18"/>
                <w:szCs w:val="18"/>
                <w:vertAlign w:val="subscript"/>
                <w:lang w:val="fr-CH" w:eastAsia="zh-CN"/>
              </w:rPr>
              <w:t>UE,rx</w:t>
            </w:r>
          </w:p>
        </w:tc>
        <w:tc>
          <w:tcPr>
            <w:tcW w:w="3115" w:type="dxa"/>
          </w:tcPr>
          <w:p w:rsidR="00AE0549" w:rsidRPr="009002F1" w:rsidRDefault="00AE0549" w:rsidP="00C36D01">
            <w:pPr>
              <w:pStyle w:val="Tabletext"/>
              <w:rPr>
                <w:i/>
                <w:sz w:val="18"/>
                <w:szCs w:val="18"/>
                <w:lang w:val="fr-CH" w:eastAsia="zh-CN"/>
              </w:rPr>
            </w:pP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1.1</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BS,tx</w:t>
            </w:r>
          </w:p>
          <w:p w:rsidR="00AE0549" w:rsidRPr="00A604A3" w:rsidRDefault="00AE0549" w:rsidP="00C36D01">
            <w:pPr>
              <w:pStyle w:val="Tabletext"/>
              <w:rPr>
                <w:sz w:val="18"/>
                <w:szCs w:val="18"/>
              </w:rPr>
            </w:pPr>
            <w:r w:rsidRPr="00A604A3">
              <w:rPr>
                <w:sz w:val="18"/>
                <w:szCs w:val="18"/>
                <w:lang w:eastAsia="zh-CN"/>
              </w:rPr>
              <w:t>The time interval between the data is arrived, and packet is generated.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 (T</w:t>
            </w:r>
            <w:r w:rsidRPr="00A604A3">
              <w:rPr>
                <w:sz w:val="18"/>
                <w:szCs w:val="18"/>
                <w:vertAlign w:val="subscript"/>
                <w:lang w:eastAsia="zh-CN"/>
              </w:rPr>
              <w:t xml:space="preserve">proc,2 </w:t>
            </w:r>
            <w:r w:rsidRPr="00A604A3">
              <w:rPr>
                <w:sz w:val="18"/>
                <w:szCs w:val="18"/>
                <w:lang w:eastAsia="zh-CN"/>
              </w:rPr>
              <w:t>is defined in Section 6.4 of TS38.214) (NOTE 1, NOTE 2)</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1.2</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DL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FA,DL</w:t>
            </w:r>
          </w:p>
          <w:p w:rsidR="00AE0549" w:rsidRPr="00A604A3" w:rsidRDefault="00AE0549" w:rsidP="00C36D01">
            <w:pPr>
              <w:pStyle w:val="Tabletext"/>
              <w:rPr>
                <w:i/>
                <w:sz w:val="18"/>
                <w:szCs w:val="18"/>
                <w:lang w:eastAsia="zh-CN"/>
              </w:rPr>
            </w:pPr>
            <w:r w:rsidRPr="00A604A3">
              <w:rPr>
                <w:sz w:val="18"/>
                <w:szCs w:val="18"/>
                <w:lang w:eastAsia="zh-CN"/>
              </w:rPr>
              <w:t>It includes frame alignment time, and the waiting time for next available DL slot</w:t>
            </w:r>
          </w:p>
        </w:tc>
        <w:tc>
          <w:tcPr>
            <w:tcW w:w="3115" w:type="dxa"/>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DL slot;</w:t>
            </w:r>
            <w:r w:rsidRPr="00A604A3">
              <w:rPr>
                <w:i/>
                <w:sz w:val="18"/>
                <w:szCs w:val="18"/>
                <w:lang w:eastAsia="zh-CN"/>
              </w:rPr>
              <w:t xml:space="preserve"> </w:t>
            </w:r>
          </w:p>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DL slot if the current slot is not DL slot. </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1.3</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TTI for DL data packet 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DL_duration</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Length of one slot (14 OFDM symbol length) or non-slot (2/4/7 OFDM symbol length), depending on slot or non-slot selected in evaluation.</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1.4</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w:t>
            </w:r>
          </w:p>
          <w:p w:rsidR="00AE0549" w:rsidRPr="00A604A3" w:rsidRDefault="00AE0549" w:rsidP="00C36D01">
            <w:pPr>
              <w:pStyle w:val="Tabletext"/>
              <w:rPr>
                <w:i/>
                <w:sz w:val="18"/>
                <w:szCs w:val="18"/>
                <w:lang w:eastAsia="zh-CN"/>
              </w:rPr>
            </w:pPr>
            <w:r w:rsidRPr="00A604A3">
              <w:rPr>
                <w:sz w:val="18"/>
                <w:szCs w:val="18"/>
                <w:lang w:eastAsia="zh-CN"/>
              </w:rPr>
              <w:t>The time interval between the PDSCH is received and the data is decoded;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(NOTE 3)</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HARQ retransmission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vertAlign w:val="subscript"/>
                <w:lang w:eastAsia="zh-CN"/>
              </w:rPr>
            </w:pPr>
            <w:r w:rsidRPr="00A604A3">
              <w:rPr>
                <w:i/>
                <w:sz w:val="18"/>
                <w:szCs w:val="18"/>
                <w:lang w:eastAsia="zh-CN"/>
              </w:rPr>
              <w:t>T</w:t>
            </w:r>
            <w:r w:rsidRPr="00A604A3">
              <w:rPr>
                <w:sz w:val="18"/>
                <w:szCs w:val="18"/>
                <w:vertAlign w:val="subscript"/>
                <w:lang w:eastAsia="zh-CN"/>
              </w:rPr>
              <w:t xml:space="preserve">HARQ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2</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FA,UL</w:t>
            </w:r>
            <w:r w:rsidRPr="00A604A3">
              <w:rPr>
                <w:sz w:val="18"/>
                <w:szCs w:val="18"/>
                <w:lang w:eastAsia="zh-CN"/>
              </w:rPr>
              <w:t>)</w:t>
            </w:r>
            <w:r w:rsidRPr="00A604A3">
              <w:rPr>
                <w:sz w:val="18"/>
                <w:szCs w:val="18"/>
                <w:vertAlign w:val="subscript"/>
                <w:lang w:eastAsia="zh-CN"/>
              </w:rPr>
              <w:t xml:space="preserve">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 xml:space="preserve">UL_duration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(For Steps 2.1 to 2.4)</w:t>
            </w:r>
          </w:p>
        </w:tc>
        <w:tc>
          <w:tcPr>
            <w:tcW w:w="3115" w:type="dxa"/>
          </w:tcPr>
          <w:p w:rsidR="00AE0549" w:rsidRPr="00A604A3" w:rsidRDefault="00AE0549" w:rsidP="00C36D01">
            <w:pPr>
              <w:pStyle w:val="Tabletext"/>
              <w:rPr>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2.1</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w:t>
            </w:r>
          </w:p>
          <w:p w:rsidR="00AE0549" w:rsidRPr="00A604A3" w:rsidRDefault="00AE0549" w:rsidP="00C36D01">
            <w:pPr>
              <w:pStyle w:val="Tabletext"/>
              <w:rPr>
                <w:sz w:val="18"/>
                <w:szCs w:val="18"/>
                <w:lang w:eastAsia="zh-CN"/>
              </w:rPr>
            </w:pPr>
            <w:r w:rsidRPr="00A604A3">
              <w:rPr>
                <w:sz w:val="18"/>
                <w:szCs w:val="18"/>
                <w:lang w:eastAsia="zh-CN"/>
              </w:rPr>
              <w:t>The time interval between the data is decoded, and ACK/NACK packet is generated.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(NOTE 4)</w:t>
            </w: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2.2</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lang w:eastAsia="zh-CN"/>
              </w:rPr>
            </w:pPr>
            <w:r w:rsidRPr="00A604A3">
              <w:rPr>
                <w:sz w:val="18"/>
                <w:szCs w:val="18"/>
              </w:rPr>
              <w:t>UL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FA,UL</w:t>
            </w:r>
          </w:p>
          <w:p w:rsidR="00AE0549" w:rsidRPr="00A604A3" w:rsidRDefault="00AE0549" w:rsidP="00C36D01">
            <w:pPr>
              <w:pStyle w:val="Tabletext"/>
              <w:rPr>
                <w:sz w:val="18"/>
                <w:szCs w:val="18"/>
                <w:lang w:eastAsia="zh-CN"/>
              </w:rPr>
            </w:pPr>
            <w:r w:rsidRPr="00A604A3">
              <w:rPr>
                <w:sz w:val="18"/>
                <w:szCs w:val="18"/>
                <w:lang w:eastAsia="zh-CN"/>
              </w:rPr>
              <w:t>It includes frame alignment time, and the waiting time for the next available UL slot</w:t>
            </w:r>
          </w:p>
        </w:tc>
        <w:tc>
          <w:tcPr>
            <w:tcW w:w="3115" w:type="dxa"/>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UL slot;</w:t>
            </w:r>
            <w:r w:rsidRPr="00A604A3">
              <w:rPr>
                <w:i/>
                <w:sz w:val="18"/>
                <w:szCs w:val="18"/>
                <w:lang w:eastAsia="zh-CN"/>
              </w:rPr>
              <w:t xml:space="preserve"> </w:t>
            </w:r>
          </w:p>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UL slot if the current slot is not UL slot</w:t>
            </w: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2.3</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TTI for ACK/NACK 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UL_duration</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1 OFDM symbol</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2.4</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w:t>
            </w:r>
          </w:p>
          <w:p w:rsidR="00AE0549" w:rsidRPr="00A604A3" w:rsidRDefault="00AE0549" w:rsidP="00C36D01">
            <w:pPr>
              <w:pStyle w:val="Tabletext"/>
              <w:rPr>
                <w:i/>
                <w:sz w:val="18"/>
                <w:szCs w:val="18"/>
                <w:lang w:eastAsia="zh-CN"/>
              </w:rPr>
            </w:pPr>
            <w:r w:rsidRPr="00A604A3">
              <w:rPr>
                <w:sz w:val="18"/>
                <w:szCs w:val="18"/>
                <w:lang w:eastAsia="zh-CN"/>
              </w:rPr>
              <w:t>The time interval between the ACK is received and the ACK is decoded.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 2</w:t>
            </w:r>
            <w:r w:rsidRPr="00A604A3">
              <w:rPr>
                <w:sz w:val="18"/>
                <w:szCs w:val="18"/>
                <w:lang w:eastAsia="zh-CN"/>
              </w:rPr>
              <w:t>/2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    (NOTE 1, NOTE 5)</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2.5</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Repeat DL data transfer from 1.1 to 1.4</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p>
        </w:tc>
        <w:tc>
          <w:tcPr>
            <w:tcW w:w="3115" w:type="dxa"/>
          </w:tcPr>
          <w:p w:rsidR="00AE0549" w:rsidRPr="00A604A3" w:rsidRDefault="00AE0549" w:rsidP="00C36D01">
            <w:pPr>
              <w:pStyle w:val="Tabletext"/>
              <w:rPr>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lang w:eastAsia="zh-CN"/>
              </w:rPr>
            </w:pPr>
            <w:r w:rsidRPr="00A604A3">
              <w:rPr>
                <w:sz w:val="18"/>
                <w:szCs w:val="18"/>
              </w:rPr>
              <w:t>Total one-way user plane latency</w:t>
            </w:r>
            <w:r w:rsidRPr="00A604A3">
              <w:rPr>
                <w:sz w:val="18"/>
                <w:szCs w:val="18"/>
                <w:lang w:eastAsia="zh-CN"/>
              </w:rPr>
              <w:t xml:space="preserve"> for DL</w:t>
            </w:r>
          </w:p>
        </w:tc>
        <w:tc>
          <w:tcPr>
            <w:tcW w:w="6546" w:type="dxa"/>
            <w:gridSpan w:val="2"/>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UP</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n</w:t>
            </w:r>
            <w:r w:rsidRPr="00A604A3">
              <w:rPr>
                <w:sz w:val="18"/>
                <w:szCs w:val="18"/>
                <w:lang w:eastAsia="zh-CN"/>
              </w:rPr>
              <w:t>×</w:t>
            </w:r>
            <w:r w:rsidRPr="00A604A3">
              <w:rPr>
                <w:i/>
                <w:sz w:val="18"/>
                <w:szCs w:val="18"/>
                <w:lang w:eastAsia="zh-CN"/>
              </w:rPr>
              <w:t>T</w:t>
            </w:r>
            <w:r w:rsidRPr="00A604A3">
              <w:rPr>
                <w:sz w:val="18"/>
                <w:szCs w:val="18"/>
                <w:vertAlign w:val="subscript"/>
                <w:lang w:eastAsia="zh-CN"/>
              </w:rPr>
              <w:t>HARQ</w:t>
            </w:r>
          </w:p>
          <w:p w:rsidR="00AE0549" w:rsidRPr="00A604A3" w:rsidRDefault="00AE0549" w:rsidP="00C36D01">
            <w:pPr>
              <w:pStyle w:val="Tabletext"/>
              <w:rPr>
                <w:sz w:val="18"/>
                <w:szCs w:val="18"/>
                <w:lang w:eastAsia="zh-CN"/>
              </w:rPr>
            </w:pPr>
            <w:r w:rsidRPr="00A604A3">
              <w:rPr>
                <w:sz w:val="18"/>
                <w:szCs w:val="18"/>
                <w:lang w:eastAsia="zh-CN"/>
              </w:rPr>
              <w:t xml:space="preserve">where </w:t>
            </w:r>
            <w:r w:rsidRPr="00A604A3">
              <w:rPr>
                <w:i/>
                <w:sz w:val="18"/>
                <w:szCs w:val="18"/>
                <w:lang w:eastAsia="zh-CN"/>
              </w:rPr>
              <w:t>n</w:t>
            </w:r>
            <w:r w:rsidRPr="00A604A3">
              <w:rPr>
                <w:sz w:val="18"/>
                <w:szCs w:val="18"/>
                <w:lang w:eastAsia="zh-CN"/>
              </w:rPr>
              <w:t xml:space="preserve"> is the number of re-transmissions (</w:t>
            </w:r>
            <w:r w:rsidRPr="00A604A3">
              <w:rPr>
                <w:i/>
                <w:sz w:val="18"/>
                <w:szCs w:val="18"/>
                <w:lang w:eastAsia="zh-CN"/>
              </w:rPr>
              <w:t>n</w:t>
            </w:r>
            <w:r w:rsidRPr="00A604A3">
              <w:rPr>
                <w:sz w:val="18"/>
                <w:szCs w:val="18"/>
                <w:lang w:eastAsia="zh-CN"/>
              </w:rPr>
              <w:t>≥0)</w:t>
            </w:r>
          </w:p>
        </w:tc>
      </w:tr>
      <w:tr w:rsidR="00AE0549" w:rsidRPr="00A604A3" w:rsidTr="00470885">
        <w:trPr>
          <w:jc w:val="center"/>
        </w:trPr>
        <w:tc>
          <w:tcPr>
            <w:tcW w:w="9631" w:type="dxa"/>
            <w:gridSpan w:val="4"/>
            <w:noWrap/>
            <w:tcMar>
              <w:top w:w="0" w:type="dxa"/>
              <w:left w:w="108" w:type="dxa"/>
              <w:bottom w:w="0" w:type="dxa"/>
              <w:right w:w="108" w:type="dxa"/>
            </w:tcMar>
            <w:vAlign w:val="center"/>
          </w:tcPr>
          <w:p w:rsidR="00AE0549" w:rsidRPr="00A604A3" w:rsidRDefault="00AE0549" w:rsidP="00C36D01">
            <w:pPr>
              <w:pStyle w:val="Tablelegend"/>
              <w:rPr>
                <w:lang w:eastAsia="zh-CN"/>
              </w:rPr>
            </w:pPr>
            <w:r w:rsidRPr="00A604A3">
              <w:rPr>
                <w:lang w:eastAsia="zh-CN"/>
              </w:rPr>
              <w:t>Note:</w:t>
            </w:r>
          </w:p>
          <w:p w:rsidR="00AE0549" w:rsidRPr="00A604A3" w:rsidRDefault="00D145FD" w:rsidP="00C36D01">
            <w:pPr>
              <w:pStyle w:val="Tablelegend"/>
              <w:rPr>
                <w:lang w:eastAsia="zh-CN"/>
              </w:rPr>
            </w:pPr>
            <w:r w:rsidRPr="00A604A3">
              <w:rPr>
                <w:lang w:eastAsia="zh-CN"/>
              </w:rPr>
              <w:t>1</w:t>
            </w:r>
            <w:r w:rsidR="00AE0549" w:rsidRPr="00A604A3">
              <w:rPr>
                <w:lang w:eastAsia="zh-CN"/>
              </w:rPr>
              <w:tab/>
              <w:t>The value is used for evaluation only; gNB processing delay may vary depending on implementation.</w:t>
            </w:r>
          </w:p>
          <w:p w:rsidR="00AE0549" w:rsidRPr="00A604A3" w:rsidRDefault="00D145FD" w:rsidP="00C36D01">
            <w:pPr>
              <w:pStyle w:val="Tablelegend"/>
              <w:rPr>
                <w:lang w:eastAsia="zh-CN"/>
              </w:rPr>
            </w:pPr>
            <w:r w:rsidRPr="00A604A3">
              <w:rPr>
                <w:lang w:eastAsia="zh-CN"/>
              </w:rPr>
              <w:t>2</w:t>
            </w:r>
            <w:r w:rsidR="00AE0549" w:rsidRPr="00A604A3">
              <w:rPr>
                <w:lang w:eastAsia="zh-CN"/>
              </w:rPr>
              <w:tab/>
              <w:t>For the case of a TDD band (30 kHz SCS) with an SUL band (15 kHz SCS), the value of this step is T</w:t>
            </w:r>
            <w:r w:rsidR="00AE0549" w:rsidRPr="00A604A3">
              <w:rPr>
                <w:vertAlign w:val="subscript"/>
                <w:lang w:eastAsia="zh-CN"/>
              </w:rPr>
              <w:t>proc,2</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 / 2 for Initial transmission, and T</w:t>
            </w:r>
            <w:r w:rsidR="00AE0549" w:rsidRPr="00A604A3">
              <w:rPr>
                <w:vertAlign w:val="subscript"/>
                <w:lang w:eastAsia="zh-CN"/>
              </w:rPr>
              <w:t>proc,2</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15</w:t>
            </w:r>
            <w:r w:rsidRPr="00A604A3">
              <w:rPr>
                <w:lang w:eastAsia="zh-CN"/>
              </w:rPr>
              <w:t> </w:t>
            </w:r>
            <w:r w:rsidR="00AE0549" w:rsidRPr="00A604A3">
              <w:rPr>
                <w:lang w:eastAsia="zh-CN"/>
              </w:rPr>
              <w:t>kHz) / 2 for re-transmission.</w:t>
            </w:r>
          </w:p>
          <w:p w:rsidR="00AE0549" w:rsidRPr="00A604A3" w:rsidRDefault="00D145FD" w:rsidP="00C36D01">
            <w:pPr>
              <w:pStyle w:val="Tablelegend"/>
              <w:rPr>
                <w:lang w:eastAsia="zh-CN"/>
              </w:rPr>
            </w:pPr>
            <w:r w:rsidRPr="00A604A3">
              <w:rPr>
                <w:lang w:eastAsia="zh-CN"/>
              </w:rPr>
              <w:lastRenderedPageBreak/>
              <w:t>3</w:t>
            </w:r>
            <w:r w:rsidR="00AE0549" w:rsidRPr="00A604A3">
              <w:rPr>
                <w:lang w:eastAsia="zh-CN"/>
              </w:rPr>
              <w:tab/>
              <w:t>For the above case, the UE is processing PDSCH reception on TDD band with 30kHz SCS, and it is assumed that the value of this step is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kHz)/2.</w:t>
            </w:r>
          </w:p>
          <w:p w:rsidR="00AE0549" w:rsidRPr="00A604A3" w:rsidRDefault="00D145FD" w:rsidP="00D145FD">
            <w:pPr>
              <w:pStyle w:val="Tablelegend"/>
              <w:rPr>
                <w:lang w:eastAsia="zh-CN"/>
              </w:rPr>
            </w:pPr>
            <w:r w:rsidRPr="00A604A3">
              <w:rPr>
                <w:lang w:eastAsia="zh-CN"/>
              </w:rPr>
              <w:t>4</w:t>
            </w:r>
            <w:r w:rsidR="00AE0549" w:rsidRPr="00A604A3">
              <w:rPr>
                <w:lang w:eastAsia="zh-CN"/>
              </w:rPr>
              <w:tab/>
              <w:t>For the above case, the value of this step is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15</w:t>
            </w:r>
            <w:r w:rsidRPr="00A604A3">
              <w:rPr>
                <w:lang w:eastAsia="zh-CN"/>
              </w:rPr>
              <w:t> </w:t>
            </w:r>
            <w:r w:rsidR="00AE0549" w:rsidRPr="00A604A3">
              <w:rPr>
                <w:lang w:eastAsia="zh-CN"/>
              </w:rPr>
              <w:t xml:space="preserve">kHz) </w:t>
            </w:r>
            <w:r w:rsidRPr="00A604A3">
              <w:rPr>
                <w:lang w:eastAsia="zh-CN"/>
              </w:rPr>
              <w:t>−</w:t>
            </w:r>
            <w:r w:rsidR="00AE0549" w:rsidRPr="00A604A3">
              <w:rPr>
                <w:lang w:eastAsia="zh-CN"/>
              </w:rPr>
              <w:t xml:space="preserve">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kHz)/2.</w:t>
            </w:r>
          </w:p>
          <w:p w:rsidR="00AE0549" w:rsidRPr="00A604A3" w:rsidRDefault="00AE0549" w:rsidP="00D145FD">
            <w:pPr>
              <w:pStyle w:val="Tablelegend"/>
              <w:rPr>
                <w:lang w:eastAsia="zh-CN"/>
              </w:rPr>
            </w:pPr>
            <w:r w:rsidRPr="00A604A3">
              <w:rPr>
                <w:lang w:eastAsia="zh-CN"/>
              </w:rPr>
              <w:t>5</w:t>
            </w:r>
            <w:r w:rsidRPr="00A604A3">
              <w:rPr>
                <w:lang w:eastAsia="zh-CN"/>
              </w:rPr>
              <w:tab/>
              <w:t>For the above case, the value of this step is T</w:t>
            </w:r>
            <w:r w:rsidRPr="00A604A3">
              <w:rPr>
                <w:vertAlign w:val="subscript"/>
                <w:lang w:eastAsia="zh-CN"/>
              </w:rPr>
              <w:t>proc,2</w:t>
            </w:r>
            <w:r w:rsidRPr="00A604A3">
              <w:rPr>
                <w:lang w:eastAsia="zh-CN"/>
              </w:rPr>
              <w:t>(</w:t>
            </w:r>
            <w:r w:rsidRPr="00A604A3">
              <w:rPr>
                <w:rFonts w:ascii="Symbol" w:hAnsi="Symbol"/>
                <w:lang w:eastAsia="zh-CN"/>
              </w:rPr>
              <w:t></w:t>
            </w:r>
            <w:r w:rsidRPr="00A604A3">
              <w:rPr>
                <w:lang w:eastAsia="zh-CN"/>
              </w:rPr>
              <w:t xml:space="preserve"> =</w:t>
            </w:r>
            <w:r w:rsidR="00D145FD" w:rsidRPr="00A604A3">
              <w:rPr>
                <w:lang w:eastAsia="zh-CN"/>
              </w:rPr>
              <w:t> </w:t>
            </w:r>
            <w:r w:rsidRPr="00A604A3">
              <w:rPr>
                <w:lang w:eastAsia="zh-CN"/>
              </w:rPr>
              <w:t>15</w:t>
            </w:r>
            <w:r w:rsidR="00D145FD" w:rsidRPr="00A604A3">
              <w:rPr>
                <w:lang w:eastAsia="zh-CN"/>
              </w:rPr>
              <w:t> </w:t>
            </w:r>
            <w:r w:rsidRPr="00A604A3">
              <w:rPr>
                <w:lang w:eastAsia="zh-CN"/>
              </w:rPr>
              <w:t>kHz)/2.</w:t>
            </w:r>
          </w:p>
        </w:tc>
      </w:tr>
    </w:tbl>
    <w:p w:rsidR="00AE0549" w:rsidRPr="00A604A3" w:rsidRDefault="00AE0549" w:rsidP="00D145FD">
      <w:pPr>
        <w:pStyle w:val="Tablefin"/>
        <w:rPr>
          <w:lang w:eastAsia="zh-CN"/>
        </w:rPr>
      </w:pPr>
    </w:p>
    <w:p w:rsidR="00AE0549" w:rsidRPr="00A604A3" w:rsidRDefault="00D145FD" w:rsidP="00D145FD">
      <w:pPr>
        <w:pStyle w:val="Heading5"/>
        <w:rPr>
          <w:rFonts w:eastAsia="MS Mincho"/>
        </w:rPr>
      </w:pPr>
      <w:r w:rsidRPr="00A604A3">
        <w:rPr>
          <w:rFonts w:eastAsia="MS Mincho"/>
        </w:rPr>
        <w:t>II.5.7.2.1</w:t>
      </w:r>
      <w:r w:rsidRPr="00A604A3">
        <w:rPr>
          <w:rFonts w:eastAsia="MS Mincho"/>
        </w:rPr>
        <w:tab/>
      </w:r>
      <w:r w:rsidR="00AE0549" w:rsidRPr="00A604A3">
        <w:rPr>
          <w:rFonts w:eastAsia="MS Mincho"/>
        </w:rPr>
        <w:t>Evaluation Methodology</w:t>
      </w:r>
    </w:p>
    <w:p w:rsidR="00AE0549" w:rsidRPr="00A604A3" w:rsidRDefault="00AE0549" w:rsidP="00D145FD">
      <w:pPr>
        <w:rPr>
          <w:lang w:eastAsia="zh-CN"/>
        </w:rPr>
      </w:pPr>
      <w:r w:rsidRPr="00A604A3">
        <w:rPr>
          <w:lang w:eastAsia="zh-CN"/>
        </w:rPr>
        <w:t>The user plane latency was evaluated by means of Table 84 applying for each step the corresponding time delays.</w:t>
      </w:r>
    </w:p>
    <w:p w:rsidR="00AE0549" w:rsidRPr="00A604A3" w:rsidRDefault="00AE0549" w:rsidP="00D145FD">
      <w:r w:rsidRPr="00A604A3">
        <w:t>Specifically, the calculation of BS processing delay (steps 1.1 and 2.4) and UE processing delay (steps 1.4 and 2.1) is realized by means of N</w:t>
      </w:r>
      <w:r w:rsidRPr="00A604A3">
        <w:rPr>
          <w:vertAlign w:val="subscript"/>
        </w:rPr>
        <w:t>2</w:t>
      </w:r>
      <w:r w:rsidRPr="00A604A3">
        <w:t xml:space="preserve"> symbols duration (i.e. </w:t>
      </w:r>
      <w:r w:rsidRPr="00A604A3">
        <w:rPr>
          <w:color w:val="000000"/>
        </w:rPr>
        <w:t>PUSCH preparation time) and N</w:t>
      </w:r>
      <w:r w:rsidRPr="00A604A3">
        <w:rPr>
          <w:color w:val="000000"/>
          <w:vertAlign w:val="subscript"/>
        </w:rPr>
        <w:t>1</w:t>
      </w:r>
      <w:r w:rsidRPr="00A604A3">
        <w:rPr>
          <w:color w:val="000000"/>
        </w:rPr>
        <w:t xml:space="preserve"> </w:t>
      </w:r>
      <w:r w:rsidRPr="00A604A3">
        <w:t>symbols duration (i.e.</w:t>
      </w:r>
      <w:r w:rsidRPr="00A604A3">
        <w:rPr>
          <w:lang w:eastAsia="zh-CN"/>
        </w:rPr>
        <w:t xml:space="preserve"> PDSCH decoding time), described in the following two subsections.</w:t>
      </w:r>
    </w:p>
    <w:p w:rsidR="00AE0549" w:rsidRPr="00A604A3" w:rsidRDefault="00D145FD" w:rsidP="00D145FD">
      <w:pPr>
        <w:pStyle w:val="Heading6"/>
        <w:rPr>
          <w:rFonts w:eastAsia="MS Mincho"/>
        </w:rPr>
      </w:pPr>
      <w:r w:rsidRPr="00A604A3">
        <w:rPr>
          <w:rFonts w:eastAsia="MS Mincho"/>
        </w:rPr>
        <w:t>II.5.7.2.1.1</w:t>
      </w:r>
      <w:r w:rsidRPr="00A604A3">
        <w:rPr>
          <w:rFonts w:eastAsia="MS Mincho"/>
        </w:rPr>
        <w:tab/>
      </w:r>
      <w:r w:rsidRPr="00A604A3">
        <w:rPr>
          <w:rFonts w:eastAsia="MS Mincho"/>
        </w:rPr>
        <w:tab/>
      </w:r>
      <w:r w:rsidR="00AE0549" w:rsidRPr="00A604A3">
        <w:rPr>
          <w:rFonts w:eastAsia="MS Mincho"/>
        </w:rPr>
        <w:t>UE PDSCH processing procedure time for Capability 1 and 2</w:t>
      </w:r>
    </w:p>
    <w:p w:rsidR="00AE0549" w:rsidRPr="00A604A3" w:rsidRDefault="00AE0549" w:rsidP="00D145FD">
      <w:r w:rsidRPr="00A604A3">
        <w:t>N</w:t>
      </w:r>
      <w:r w:rsidRPr="00A604A3">
        <w:rPr>
          <w:vertAlign w:val="subscript"/>
        </w:rPr>
        <w:t>1</w:t>
      </w:r>
      <w:r w:rsidRPr="00A604A3">
        <w:t xml:space="preserve"> symbols for UE Capability 1 are given by Table 5.3-1 of TS38.214 [15] which is rewritten below while N</w:t>
      </w:r>
      <w:r w:rsidRPr="00A604A3">
        <w:rPr>
          <w:vertAlign w:val="subscript"/>
        </w:rPr>
        <w:t>1,0</w:t>
      </w:r>
      <w:r w:rsidRPr="00A604A3">
        <w:t xml:space="preserve"> equals to 13 or 14 (Table 85).</w:t>
      </w:r>
    </w:p>
    <w:p w:rsidR="00D145FD" w:rsidRPr="00A604A3" w:rsidRDefault="00D145FD" w:rsidP="00D145FD">
      <w:pPr>
        <w:pStyle w:val="TableNo"/>
        <w:rPr>
          <w:rFonts w:eastAsia="MS Mincho"/>
        </w:rPr>
      </w:pPr>
      <w:bookmarkStart w:id="433" w:name="_Ref31306196"/>
      <w:bookmarkStart w:id="434" w:name="_Toc32066398"/>
      <w:r w:rsidRPr="00A604A3">
        <w:rPr>
          <w:rFonts w:eastAsia="MS Mincho"/>
        </w:rPr>
        <w:t>Table 85</w:t>
      </w:r>
    </w:p>
    <w:p w:rsidR="00D145FD" w:rsidRPr="00A604A3" w:rsidRDefault="00D145FD" w:rsidP="00D145FD">
      <w:pPr>
        <w:pStyle w:val="Tabletitle"/>
        <w:rPr>
          <w:rFonts w:eastAsia="MS Mincho"/>
        </w:rPr>
      </w:pPr>
      <w:r w:rsidRPr="00A604A3">
        <w:rPr>
          <w:rFonts w:eastAsia="MS Mincho"/>
        </w:rPr>
        <w:t>PDSCH processing time for PDSCH processing capability 1</w:t>
      </w:r>
      <w:bookmarkEnd w:id="433"/>
      <w:bookmarkEnd w:id="4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737"/>
        <w:gridCol w:w="3738"/>
      </w:tblGrid>
      <w:tr w:rsidR="00AE0549" w:rsidRPr="00A604A3" w:rsidTr="00470885">
        <w:trPr>
          <w:jc w:val="center"/>
        </w:trPr>
        <w:tc>
          <w:tcPr>
            <w:tcW w:w="821" w:type="dxa"/>
            <w:vMerge w:val="restart"/>
            <w:tcBorders>
              <w:top w:val="single" w:sz="4" w:space="0" w:color="auto"/>
            </w:tcBorders>
            <w:shd w:val="clear" w:color="auto" w:fill="auto"/>
            <w:vAlign w:val="center"/>
          </w:tcPr>
          <w:p w:rsidR="00AE0549" w:rsidRPr="00A604A3" w:rsidRDefault="006853C6" w:rsidP="001E6814">
            <w:pPr>
              <w:pStyle w:val="Tablehead"/>
              <w:rPr>
                <w:rFonts w:eastAsia="Batang"/>
                <w:i/>
                <w:iCs/>
              </w:rPr>
            </w:pPr>
            <w:r>
              <w:rPr>
                <w:rFonts w:eastAsia="Batang"/>
                <w:i/>
                <w:iCs/>
                <w:position w:val="-10"/>
              </w:rPr>
              <w:pict>
                <v:shape id="_x0000_i1030" type="#_x0000_t75" style="width:15.7pt;height:17.1pt">
                  <v:imagedata r:id="rId19" o:title=""/>
                </v:shape>
              </w:pict>
            </w:r>
          </w:p>
        </w:tc>
        <w:tc>
          <w:tcPr>
            <w:tcW w:w="7475" w:type="dxa"/>
            <w:gridSpan w:val="2"/>
            <w:tcBorders>
              <w:top w:val="single" w:sz="4" w:space="0" w:color="auto"/>
            </w:tcBorders>
            <w:shd w:val="clear" w:color="auto" w:fill="auto"/>
          </w:tcPr>
          <w:p w:rsidR="00AE0549" w:rsidRPr="00A604A3" w:rsidRDefault="00AE0549" w:rsidP="001E6814">
            <w:pPr>
              <w:pStyle w:val="Tablehead"/>
              <w:rPr>
                <w:rFonts w:eastAsia="Batang"/>
              </w:rPr>
            </w:pPr>
            <w:r w:rsidRPr="00A604A3">
              <w:rPr>
                <w:rFonts w:eastAsia="Batang"/>
              </w:rPr>
              <w:t xml:space="preserve">PDSCH decoding time </w:t>
            </w:r>
            <w:r w:rsidRPr="00A604A3">
              <w:rPr>
                <w:rFonts w:eastAsia="Batang"/>
                <w:i/>
              </w:rPr>
              <w:t>N</w:t>
            </w:r>
            <w:r w:rsidRPr="00A604A3">
              <w:rPr>
                <w:rFonts w:eastAsia="Batang"/>
                <w:i/>
                <w:vertAlign w:val="subscript"/>
              </w:rPr>
              <w:t>1</w:t>
            </w:r>
            <w:r w:rsidRPr="00A604A3">
              <w:rPr>
                <w:rFonts w:eastAsia="Batang"/>
              </w:rPr>
              <w:t xml:space="preserve"> [symbols]</w:t>
            </w:r>
          </w:p>
        </w:tc>
      </w:tr>
      <w:tr w:rsidR="00AE0549" w:rsidRPr="00A604A3" w:rsidTr="00470885">
        <w:trPr>
          <w:jc w:val="center"/>
        </w:trPr>
        <w:tc>
          <w:tcPr>
            <w:tcW w:w="821" w:type="dxa"/>
            <w:vMerge/>
            <w:shd w:val="clear" w:color="auto" w:fill="auto"/>
          </w:tcPr>
          <w:p w:rsidR="00AE0549" w:rsidRPr="00A604A3" w:rsidRDefault="00AE0549" w:rsidP="001E6814">
            <w:pPr>
              <w:pStyle w:val="Tablehead"/>
              <w:rPr>
                <w:rFonts w:eastAsia="Batang"/>
              </w:rPr>
            </w:pPr>
          </w:p>
        </w:tc>
        <w:tc>
          <w:tcPr>
            <w:tcW w:w="3737" w:type="dxa"/>
            <w:shd w:val="clear" w:color="auto" w:fill="auto"/>
          </w:tcPr>
          <w:p w:rsidR="00AE0549" w:rsidRPr="00A604A3" w:rsidRDefault="00AE0549" w:rsidP="001E6814">
            <w:pPr>
              <w:pStyle w:val="Tablehead"/>
              <w:rPr>
                <w:rFonts w:eastAsia="Batang"/>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both of </w:t>
            </w:r>
            <w:r w:rsidRPr="00A604A3">
              <w:rPr>
                <w:rFonts w:eastAsia="Batang"/>
              </w:rPr>
              <w:br/>
            </w:r>
            <w:r w:rsidRPr="00A604A3">
              <w:rPr>
                <w:i/>
              </w:rPr>
              <w:t>dmrs-DownlinkForPDSCH-MappingTypeA</w:t>
            </w:r>
            <w:r w:rsidRPr="00A604A3">
              <w:t xml:space="preserve">, </w:t>
            </w:r>
            <w:r w:rsidRPr="00A604A3">
              <w:rPr>
                <w:i/>
              </w:rPr>
              <w:t>dmrs-DownlinkForPDSCH-MappingTypeB</w:t>
            </w:r>
          </w:p>
        </w:tc>
        <w:tc>
          <w:tcPr>
            <w:tcW w:w="3738" w:type="dxa"/>
          </w:tcPr>
          <w:p w:rsidR="00AE0549" w:rsidRPr="00A604A3" w:rsidRDefault="00AE0549" w:rsidP="001E6814">
            <w:pPr>
              <w:pStyle w:val="Tablehead"/>
              <w:rPr>
                <w:rFonts w:eastAsia="Batang"/>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either of </w:t>
            </w:r>
            <w:r w:rsidRPr="00A604A3">
              <w:rPr>
                <w:rFonts w:eastAsia="Batang"/>
              </w:rPr>
              <w:br/>
            </w:r>
            <w:r w:rsidRPr="00A604A3">
              <w:rPr>
                <w:i/>
              </w:rPr>
              <w:t>dmrs-DownlinkForPDSCH-MappingTypeA</w:t>
            </w:r>
            <w:r w:rsidRPr="00A604A3">
              <w:t xml:space="preserve">, </w:t>
            </w:r>
            <w:r w:rsidRPr="00A604A3">
              <w:rPr>
                <w:i/>
              </w:rPr>
              <w:t>dmrs-DownlinkForPDSCH-MappingTypeB</w:t>
            </w:r>
            <w:r w:rsidRPr="00A604A3">
              <w:rPr>
                <w:rFonts w:eastAsia="Batang"/>
                <w:i/>
              </w:rPr>
              <w:t xml:space="preserve"> </w:t>
            </w:r>
            <w:r w:rsidR="001E6814" w:rsidRPr="00A604A3">
              <w:rPr>
                <w:rFonts w:eastAsia="Batang"/>
                <w:i/>
              </w:rPr>
              <w:br/>
            </w:r>
            <w:r w:rsidR="001E6814" w:rsidRPr="00A604A3">
              <w:rPr>
                <w:rFonts w:eastAsia="Batang"/>
                <w:i/>
              </w:rPr>
              <w:br/>
            </w:r>
            <w:r w:rsidRPr="00A604A3">
              <w:rPr>
                <w:rFonts w:eastAsia="Batang"/>
                <w:i/>
              </w:rPr>
              <w:t xml:space="preserve">or if the higher layer parameter is not configured </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0</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8</w:t>
            </w:r>
          </w:p>
        </w:tc>
        <w:tc>
          <w:tcPr>
            <w:tcW w:w="3738" w:type="dxa"/>
          </w:tcPr>
          <w:p w:rsidR="00AE0549" w:rsidRPr="00A604A3" w:rsidRDefault="00AE0549" w:rsidP="001E6814">
            <w:pPr>
              <w:pStyle w:val="Tabletext"/>
              <w:jc w:val="center"/>
              <w:rPr>
                <w:rFonts w:eastAsia="Batang"/>
              </w:rPr>
            </w:pPr>
            <w:r w:rsidRPr="00A604A3">
              <w:rPr>
                <w:rFonts w:eastAsia="Batang"/>
                <w:i/>
              </w:rPr>
              <w:t>N</w:t>
            </w:r>
            <w:r w:rsidRPr="00A604A3">
              <w:rPr>
                <w:rFonts w:eastAsia="Batang"/>
                <w:i/>
                <w:vertAlign w:val="subscript"/>
              </w:rPr>
              <w:t>1,0</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1</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10</w:t>
            </w:r>
          </w:p>
        </w:tc>
        <w:tc>
          <w:tcPr>
            <w:tcW w:w="3738" w:type="dxa"/>
          </w:tcPr>
          <w:p w:rsidR="00AE0549" w:rsidRPr="00A604A3" w:rsidRDefault="00AE0549" w:rsidP="001E6814">
            <w:pPr>
              <w:pStyle w:val="Tabletext"/>
              <w:jc w:val="center"/>
              <w:rPr>
                <w:rFonts w:eastAsia="Batang"/>
              </w:rPr>
            </w:pPr>
            <w:r w:rsidRPr="00A604A3">
              <w:rPr>
                <w:rFonts w:eastAsia="Batang"/>
              </w:rPr>
              <w:t>13</w:t>
            </w:r>
          </w:p>
        </w:tc>
      </w:tr>
      <w:tr w:rsidR="00AE0549" w:rsidRPr="00A604A3" w:rsidTr="00470885">
        <w:trPr>
          <w:trHeight w:val="47"/>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2</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17</w:t>
            </w:r>
          </w:p>
        </w:tc>
        <w:tc>
          <w:tcPr>
            <w:tcW w:w="3738" w:type="dxa"/>
          </w:tcPr>
          <w:p w:rsidR="00AE0549" w:rsidRPr="00A604A3" w:rsidRDefault="00AE0549" w:rsidP="001E6814">
            <w:pPr>
              <w:pStyle w:val="Tabletext"/>
              <w:jc w:val="center"/>
              <w:rPr>
                <w:rFonts w:eastAsia="Batang"/>
              </w:rPr>
            </w:pPr>
            <w:r w:rsidRPr="00A604A3">
              <w:rPr>
                <w:rFonts w:eastAsia="Batang"/>
              </w:rPr>
              <w:t>20</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3</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20</w:t>
            </w:r>
          </w:p>
        </w:tc>
        <w:tc>
          <w:tcPr>
            <w:tcW w:w="3738" w:type="dxa"/>
          </w:tcPr>
          <w:p w:rsidR="00AE0549" w:rsidRPr="00A604A3" w:rsidRDefault="00AE0549" w:rsidP="001E6814">
            <w:pPr>
              <w:pStyle w:val="Tabletext"/>
              <w:jc w:val="center"/>
              <w:rPr>
                <w:rFonts w:eastAsia="Batang"/>
              </w:rPr>
            </w:pPr>
            <w:r w:rsidRPr="00A604A3">
              <w:rPr>
                <w:rFonts w:eastAsia="Batang"/>
              </w:rPr>
              <w:t>24</w:t>
            </w:r>
          </w:p>
        </w:tc>
      </w:tr>
    </w:tbl>
    <w:p w:rsidR="00AE0549" w:rsidRPr="00A604A3" w:rsidRDefault="00AE0549" w:rsidP="00B918A0">
      <w:pPr>
        <w:pStyle w:val="Tablefin"/>
      </w:pPr>
    </w:p>
    <w:p w:rsidR="00AE0549" w:rsidRPr="00A604A3" w:rsidRDefault="00AE0549" w:rsidP="00B918A0">
      <w:r w:rsidRPr="00A604A3">
        <w:t>Our calculations were conducted with dmrs-AdditionalPosition = pos0.</w:t>
      </w:r>
    </w:p>
    <w:p w:rsidR="00AE0549" w:rsidRPr="00A604A3" w:rsidRDefault="00AE0549" w:rsidP="00B918A0">
      <w:r w:rsidRPr="00A604A3">
        <w:t>For UE Capability 2, N</w:t>
      </w:r>
      <w:r w:rsidRPr="00A604A3">
        <w:rPr>
          <w:vertAlign w:val="subscript"/>
        </w:rPr>
        <w:t>1</w:t>
      </w:r>
      <w:r w:rsidRPr="00A604A3">
        <w:t xml:space="preserve"> symbols are given by Table 5.3-2 of TS38.214 [15] which is rewritten below in Table 86.</w:t>
      </w:r>
    </w:p>
    <w:p w:rsidR="00B918A0" w:rsidRPr="00A604A3" w:rsidRDefault="00B918A0" w:rsidP="00B918A0">
      <w:pPr>
        <w:pStyle w:val="TableNo"/>
        <w:rPr>
          <w:rFonts w:eastAsia="MS Mincho"/>
        </w:rPr>
      </w:pPr>
      <w:bookmarkStart w:id="435" w:name="_Ref31306199"/>
      <w:bookmarkStart w:id="436" w:name="_Toc32066399"/>
      <w:r w:rsidRPr="00A604A3">
        <w:rPr>
          <w:rFonts w:eastAsia="MS Mincho"/>
        </w:rPr>
        <w:t>Table 86</w:t>
      </w:r>
    </w:p>
    <w:p w:rsidR="00B918A0" w:rsidRPr="00A604A3" w:rsidRDefault="00B918A0" w:rsidP="00B918A0">
      <w:pPr>
        <w:pStyle w:val="Tabletitle"/>
        <w:rPr>
          <w:rFonts w:eastAsia="MS Mincho"/>
        </w:rPr>
      </w:pPr>
      <w:r w:rsidRPr="00A604A3">
        <w:rPr>
          <w:rFonts w:eastAsia="MS Mincho"/>
        </w:rPr>
        <w:t>PDSCH processing time for PDSCH processing capability 2</w:t>
      </w:r>
      <w:bookmarkEnd w:id="435"/>
      <w:bookmarkEnd w:id="436"/>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688"/>
        <w:gridCol w:w="7608"/>
      </w:tblGrid>
      <w:tr w:rsidR="00AE0549" w:rsidRPr="00A604A3" w:rsidTr="00470885">
        <w:trPr>
          <w:jc w:val="center"/>
        </w:trPr>
        <w:tc>
          <w:tcPr>
            <w:tcW w:w="688" w:type="dxa"/>
            <w:vMerge w:val="restart"/>
            <w:tcBorders>
              <w:top w:val="single" w:sz="4" w:space="0" w:color="auto"/>
              <w:left w:val="single" w:sz="4" w:space="0" w:color="auto"/>
            </w:tcBorders>
            <w:shd w:val="clear" w:color="auto" w:fill="auto"/>
            <w:vAlign w:val="center"/>
          </w:tcPr>
          <w:p w:rsidR="00AE0549" w:rsidRPr="00A604A3" w:rsidRDefault="006853C6" w:rsidP="00B918A0">
            <w:pPr>
              <w:pStyle w:val="Tabletext"/>
              <w:rPr>
                <w:rFonts w:eastAsia="Batang"/>
              </w:rPr>
            </w:pPr>
            <w:r>
              <w:rPr>
                <w:rFonts w:eastAsia="Batang"/>
              </w:rPr>
              <w:pict>
                <v:shape id="_x0000_i1031" type="#_x0000_t75" style="width:14.75pt;height:14.75pt">
                  <v:imagedata r:id="rId20" o:title=""/>
                </v:shape>
              </w:pic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head"/>
              <w:rPr>
                <w:rFonts w:eastAsia="Batang"/>
              </w:rPr>
            </w:pPr>
            <w:r w:rsidRPr="00A604A3">
              <w:rPr>
                <w:rFonts w:eastAsia="Batang"/>
              </w:rPr>
              <w:t xml:space="preserve">PDSCH decoding time </w:t>
            </w:r>
            <w:r w:rsidRPr="00A604A3">
              <w:rPr>
                <w:rFonts w:eastAsia="Batang"/>
                <w:i/>
              </w:rPr>
              <w:t>N</w:t>
            </w:r>
            <w:r w:rsidRPr="00A604A3">
              <w:rPr>
                <w:rFonts w:eastAsia="Batang"/>
                <w:i/>
                <w:vertAlign w:val="subscript"/>
              </w:rPr>
              <w:t>1</w:t>
            </w:r>
            <w:r w:rsidRPr="00A604A3">
              <w:rPr>
                <w:rFonts w:eastAsia="Batang"/>
              </w:rPr>
              <w:t xml:space="preserve"> [symbols]</w:t>
            </w:r>
          </w:p>
        </w:tc>
      </w:tr>
      <w:tr w:rsidR="00AE0549" w:rsidRPr="00A604A3" w:rsidTr="00470885">
        <w:trPr>
          <w:jc w:val="center"/>
        </w:trPr>
        <w:tc>
          <w:tcPr>
            <w:tcW w:w="688" w:type="dxa"/>
            <w:vMerge/>
            <w:tcBorders>
              <w:top w:val="single" w:sz="4" w:space="0" w:color="auto"/>
              <w:left w:val="single" w:sz="4" w:space="0" w:color="auto"/>
            </w:tcBorders>
            <w:shd w:val="clear" w:color="auto" w:fill="auto"/>
          </w:tcPr>
          <w:p w:rsidR="00AE0549" w:rsidRPr="00A604A3" w:rsidRDefault="00AE0549" w:rsidP="00B918A0">
            <w:pPr>
              <w:pStyle w:val="Tabletext"/>
              <w:rPr>
                <w:rFonts w:eastAsia="Batang"/>
              </w:rPr>
            </w:pP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head"/>
              <w:rPr>
                <w:rFonts w:eastAsia="Batang"/>
                <w:i/>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both of </w:t>
            </w:r>
            <w:r w:rsidRPr="00A604A3">
              <w:rPr>
                <w:rFonts w:eastAsia="Batang"/>
              </w:rPr>
              <w:br/>
            </w:r>
            <w:r w:rsidRPr="00A604A3">
              <w:rPr>
                <w:i/>
              </w:rPr>
              <w:lastRenderedPageBreak/>
              <w:t>dmrs-DownlinkForPDSCH-MappingTypeA</w:t>
            </w:r>
            <w:r w:rsidRPr="00A604A3">
              <w:t xml:space="preserve">, </w:t>
            </w:r>
            <w:r w:rsidRPr="00A604A3">
              <w:rPr>
                <w:i/>
              </w:rPr>
              <w:t>dmrs-DownlinkForPDSCH-MappingTypeB</w:t>
            </w:r>
          </w:p>
        </w:tc>
      </w:tr>
      <w:tr w:rsidR="00AE0549" w:rsidRPr="00A604A3" w:rsidTr="00470885">
        <w:trPr>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lastRenderedPageBreak/>
              <w:t>0</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3</w:t>
            </w:r>
          </w:p>
        </w:tc>
      </w:tr>
      <w:tr w:rsidR="00AE0549" w:rsidRPr="00A604A3" w:rsidTr="00470885">
        <w:trPr>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4.5</w:t>
            </w:r>
          </w:p>
        </w:tc>
      </w:tr>
      <w:tr w:rsidR="00AE0549" w:rsidRPr="00A604A3" w:rsidTr="00470885">
        <w:trPr>
          <w:trHeight w:val="47"/>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9 for frequency range 1</w:t>
            </w:r>
          </w:p>
        </w:tc>
      </w:tr>
    </w:tbl>
    <w:p w:rsidR="00AE0549" w:rsidRPr="00A604A3" w:rsidRDefault="00AE0549" w:rsidP="00B918A0">
      <w:pPr>
        <w:pStyle w:val="Tablefin"/>
      </w:pPr>
    </w:p>
    <w:p w:rsidR="00AE0549" w:rsidRPr="00A604A3" w:rsidRDefault="00210A7B" w:rsidP="00B918A0">
      <w:pPr>
        <w:pStyle w:val="Heading6"/>
        <w:rPr>
          <w:rFonts w:eastAsia="MS Mincho"/>
        </w:rPr>
      </w:pPr>
      <w:r w:rsidRPr="00A604A3">
        <w:rPr>
          <w:rFonts w:eastAsia="MS Mincho"/>
        </w:rPr>
        <w:t>II.5.7.2.1.2</w:t>
      </w:r>
      <w:r w:rsidRPr="00A604A3">
        <w:rPr>
          <w:rFonts w:eastAsia="MS Mincho"/>
        </w:rPr>
        <w:tab/>
      </w:r>
      <w:r w:rsidRPr="00A604A3">
        <w:rPr>
          <w:rFonts w:eastAsia="MS Mincho"/>
        </w:rPr>
        <w:tab/>
      </w:r>
      <w:r w:rsidR="00AE0549" w:rsidRPr="00A604A3">
        <w:rPr>
          <w:rFonts w:eastAsia="MS Mincho"/>
        </w:rPr>
        <w:t>UE PUSCH preparation procedure time for Capability 1 and 2</w:t>
      </w:r>
    </w:p>
    <w:p w:rsidR="00AE0549" w:rsidRPr="00A604A3" w:rsidRDefault="00AE0549" w:rsidP="00210A7B">
      <w:r w:rsidRPr="00A604A3">
        <w:t>N</w:t>
      </w:r>
      <w:r w:rsidRPr="00A604A3">
        <w:rPr>
          <w:vertAlign w:val="subscript"/>
        </w:rPr>
        <w:t xml:space="preserve">2 </w:t>
      </w:r>
      <w:r w:rsidRPr="00A604A3">
        <w:t>symbols are given for UE Capability 1 in Table 6.4-1 and for UE Capability 2 in Table 6.4-2 of TS38.214 [15]. Both tables are rewritten below in Table 87 and Table 88.</w:t>
      </w:r>
    </w:p>
    <w:p w:rsidR="00210A7B" w:rsidRPr="00A604A3" w:rsidRDefault="00210A7B" w:rsidP="00210A7B">
      <w:pPr>
        <w:pStyle w:val="TableNo"/>
        <w:rPr>
          <w:rFonts w:eastAsia="MS Mincho"/>
        </w:rPr>
      </w:pPr>
      <w:bookmarkStart w:id="437" w:name="_Ref31306052"/>
      <w:bookmarkStart w:id="438" w:name="_Toc32066401"/>
      <w:r w:rsidRPr="00A604A3">
        <w:rPr>
          <w:rFonts w:eastAsia="MS Mincho"/>
        </w:rPr>
        <w:t>Table 87</w:t>
      </w:r>
    </w:p>
    <w:p w:rsidR="00210A7B" w:rsidRPr="00A604A3" w:rsidRDefault="00210A7B" w:rsidP="00210A7B">
      <w:pPr>
        <w:pStyle w:val="Tabletitle"/>
        <w:rPr>
          <w:rFonts w:eastAsia="MS Mincho"/>
        </w:rPr>
      </w:pPr>
      <w:r w:rsidRPr="00A604A3">
        <w:rPr>
          <w:rFonts w:eastAsia="MS Mincho"/>
        </w:rPr>
        <w:t>PUSCH preparation time for PUSCH timing capability 1</w:t>
      </w:r>
      <w:bookmarkEnd w:id="437"/>
      <w:bookmarkEnd w:id="4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AE0549" w:rsidRPr="00A604A3" w:rsidTr="00470885">
        <w:trPr>
          <w:jc w:val="center"/>
        </w:trPr>
        <w:tc>
          <w:tcPr>
            <w:tcW w:w="828" w:type="dxa"/>
            <w:tcBorders>
              <w:top w:val="single" w:sz="4" w:space="0" w:color="auto"/>
            </w:tcBorders>
            <w:shd w:val="clear" w:color="auto" w:fill="auto"/>
            <w:vAlign w:val="center"/>
          </w:tcPr>
          <w:p w:rsidR="00AE0549" w:rsidRPr="00A604A3" w:rsidRDefault="006853C6" w:rsidP="00210A7B">
            <w:pPr>
              <w:pStyle w:val="Tablehead"/>
              <w:rPr>
                <w:rFonts w:eastAsia="Batang"/>
              </w:rPr>
            </w:pPr>
            <w:r>
              <w:rPr>
                <w:rFonts w:eastAsia="Batang"/>
              </w:rPr>
              <w:pict>
                <v:shape id="_x0000_i1032" type="#_x0000_t75" style="width:14.75pt;height:14.75pt">
                  <v:imagedata r:id="rId21" o:title=""/>
                </v:shape>
              </w:pict>
            </w:r>
          </w:p>
        </w:tc>
        <w:tc>
          <w:tcPr>
            <w:tcW w:w="4165" w:type="dxa"/>
            <w:tcBorders>
              <w:top w:val="single" w:sz="4" w:space="0" w:color="auto"/>
            </w:tcBorders>
            <w:shd w:val="clear" w:color="auto" w:fill="auto"/>
          </w:tcPr>
          <w:p w:rsidR="00AE0549" w:rsidRPr="00A604A3" w:rsidRDefault="00AE0549" w:rsidP="00210A7B">
            <w:pPr>
              <w:pStyle w:val="Tablehead"/>
              <w:rPr>
                <w:rFonts w:eastAsia="Batang"/>
              </w:rPr>
            </w:pPr>
            <w:r w:rsidRPr="00A604A3">
              <w:rPr>
                <w:rFonts w:eastAsia="Batang"/>
              </w:rPr>
              <w:t xml:space="preserve">PUSCH preparation time </w:t>
            </w:r>
            <w:r w:rsidRPr="00A604A3">
              <w:rPr>
                <w:rFonts w:eastAsia="Batang"/>
                <w:i/>
              </w:rPr>
              <w:t>N</w:t>
            </w:r>
            <w:r w:rsidRPr="00A604A3">
              <w:rPr>
                <w:rFonts w:eastAsia="Batang"/>
                <w:i/>
                <w:vertAlign w:val="subscript"/>
              </w:rPr>
              <w:t>2</w:t>
            </w:r>
            <w:r w:rsidRPr="00A604A3">
              <w:rPr>
                <w:rFonts w:eastAsia="Batang"/>
              </w:rPr>
              <w:t xml:space="preserve"> [symbols]</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10</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12</w:t>
            </w:r>
          </w:p>
        </w:tc>
      </w:tr>
      <w:tr w:rsidR="00AE0549" w:rsidRPr="00A604A3" w:rsidTr="00470885">
        <w:trPr>
          <w:trHeight w:val="47"/>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23</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3</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36</w:t>
            </w:r>
          </w:p>
        </w:tc>
      </w:tr>
    </w:tbl>
    <w:p w:rsidR="00210A7B" w:rsidRPr="00A604A3" w:rsidRDefault="00210A7B" w:rsidP="00210A7B">
      <w:pPr>
        <w:pStyle w:val="TableNo"/>
        <w:rPr>
          <w:rFonts w:eastAsia="MS Mincho"/>
        </w:rPr>
      </w:pPr>
      <w:bookmarkStart w:id="439" w:name="_Ref31306061"/>
      <w:bookmarkStart w:id="440" w:name="_Toc32066402"/>
      <w:r w:rsidRPr="00A604A3">
        <w:rPr>
          <w:rFonts w:eastAsia="MS Mincho"/>
        </w:rPr>
        <w:t>Table 88</w:t>
      </w:r>
    </w:p>
    <w:p w:rsidR="00210A7B" w:rsidRPr="00A604A3" w:rsidRDefault="00210A7B" w:rsidP="00210A7B">
      <w:pPr>
        <w:pStyle w:val="Tabletitle"/>
        <w:rPr>
          <w:rFonts w:eastAsia="MS Mincho"/>
        </w:rPr>
      </w:pPr>
      <w:r w:rsidRPr="00A604A3">
        <w:rPr>
          <w:rFonts w:eastAsia="MS Mincho"/>
        </w:rPr>
        <w:t>PUSCH preparation time for PUSCH timing capability 2</w:t>
      </w:r>
      <w:bookmarkEnd w:id="439"/>
      <w:bookmarkEnd w:id="4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AE0549" w:rsidRPr="00A604A3" w:rsidTr="00470885">
        <w:trPr>
          <w:jc w:val="center"/>
        </w:trPr>
        <w:tc>
          <w:tcPr>
            <w:tcW w:w="828" w:type="dxa"/>
            <w:shd w:val="clear" w:color="auto" w:fill="auto"/>
            <w:vAlign w:val="center"/>
          </w:tcPr>
          <w:p w:rsidR="00AE0549" w:rsidRPr="00A604A3" w:rsidRDefault="006853C6" w:rsidP="00210A7B">
            <w:pPr>
              <w:pStyle w:val="Tablehead"/>
              <w:rPr>
                <w:rFonts w:eastAsia="Batang"/>
              </w:rPr>
            </w:pPr>
            <w:r>
              <w:rPr>
                <w:rFonts w:eastAsia="Batang"/>
              </w:rPr>
              <w:pict>
                <v:shape id="_x0000_i1033" type="#_x0000_t75" style="width:14.75pt;height:14.75pt">
                  <v:imagedata r:id="rId21" o:title=""/>
                </v:shape>
              </w:pict>
            </w:r>
          </w:p>
        </w:tc>
        <w:tc>
          <w:tcPr>
            <w:tcW w:w="4165" w:type="dxa"/>
            <w:shd w:val="clear" w:color="auto" w:fill="auto"/>
          </w:tcPr>
          <w:p w:rsidR="00AE0549" w:rsidRPr="00A604A3" w:rsidRDefault="00AE0549" w:rsidP="00210A7B">
            <w:pPr>
              <w:pStyle w:val="Tablehead"/>
              <w:rPr>
                <w:rFonts w:eastAsia="Batang"/>
              </w:rPr>
            </w:pPr>
            <w:r w:rsidRPr="00A604A3">
              <w:rPr>
                <w:rFonts w:eastAsia="Batang"/>
              </w:rPr>
              <w:t xml:space="preserve">PUSCH preparation time </w:t>
            </w:r>
            <w:r w:rsidRPr="00A604A3">
              <w:rPr>
                <w:rFonts w:eastAsia="Batang"/>
                <w:i/>
              </w:rPr>
              <w:t>N</w:t>
            </w:r>
            <w:r w:rsidRPr="00A604A3">
              <w:rPr>
                <w:rFonts w:eastAsia="Batang"/>
                <w:i/>
                <w:vertAlign w:val="subscript"/>
              </w:rPr>
              <w:t>2</w:t>
            </w:r>
            <w:r w:rsidRPr="00A604A3">
              <w:rPr>
                <w:rFonts w:eastAsia="Batang"/>
              </w:rPr>
              <w:t xml:space="preserve"> [symbols]</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5</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5.5</w:t>
            </w:r>
          </w:p>
        </w:tc>
      </w:tr>
      <w:tr w:rsidR="00AE0549" w:rsidRPr="00A604A3" w:rsidTr="00470885">
        <w:trPr>
          <w:trHeight w:val="47"/>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11 for frequency range 1</w:t>
            </w:r>
          </w:p>
        </w:tc>
      </w:tr>
    </w:tbl>
    <w:p w:rsidR="00AE0549" w:rsidRPr="00A604A3" w:rsidRDefault="00AE0549" w:rsidP="00210A7B">
      <w:pPr>
        <w:pStyle w:val="Tablefin"/>
        <w:rPr>
          <w:lang w:eastAsia="zh-CN"/>
        </w:rPr>
      </w:pPr>
    </w:p>
    <w:p w:rsidR="00AE0549" w:rsidRPr="00A604A3" w:rsidRDefault="00AE0549" w:rsidP="00210A7B">
      <w:r w:rsidRPr="00A604A3">
        <w:t>Based on the above values, time parameters T</w:t>
      </w:r>
      <w:r w:rsidRPr="00A604A3">
        <w:rPr>
          <w:vertAlign w:val="subscript"/>
        </w:rPr>
        <w:t>proc,2</w:t>
      </w:r>
      <w:r w:rsidRPr="00A604A3">
        <w:t xml:space="preserve"> of steps 1.1 and 2.4 (defined in section 6.4, TS38.214, [15]) and T</w:t>
      </w:r>
      <w:r w:rsidRPr="00A604A3">
        <w:rPr>
          <w:vertAlign w:val="subscript"/>
        </w:rPr>
        <w:t>proc,1</w:t>
      </w:r>
      <w:r w:rsidRPr="00A604A3">
        <w:t xml:space="preserve"> of steps 1.4 and 2.1 (defined in section 5.3, TS38.214, [15]) are calculated as follows:</w:t>
      </w:r>
    </w:p>
    <w:p w:rsidR="00AE0549" w:rsidRPr="00A604A3" w:rsidRDefault="00210A7B" w:rsidP="00210A7B">
      <w:pPr>
        <w:pStyle w:val="Equation"/>
      </w:pPr>
      <w:r w:rsidRPr="00A604A3">
        <w:tab/>
      </w:r>
      <w:r w:rsidRPr="00A604A3">
        <w:tab/>
      </w:r>
      <w:r w:rsidR="006853C6">
        <w:pict>
          <v:shape id="_x0000_i1034" type="#_x0000_t75" style="width:244.15pt;height:21.25pt">
            <v:imagedata r:id="rId22" o:title=""/>
          </v:shape>
        </w:pict>
      </w:r>
      <w:r w:rsidR="00AE0549" w:rsidRPr="00A604A3">
        <w:tab/>
        <w:t>(3)</w:t>
      </w:r>
    </w:p>
    <w:p w:rsidR="00AE0549" w:rsidRPr="00A604A3" w:rsidRDefault="00210A7B" w:rsidP="00210A7B">
      <w:pPr>
        <w:pStyle w:val="Equation"/>
      </w:pPr>
      <w:bookmarkStart w:id="441" w:name="_Hlk500865557"/>
      <w:bookmarkStart w:id="442" w:name="_Hlk508187268"/>
      <w:r w:rsidRPr="00A604A3">
        <w:tab/>
      </w:r>
      <w:r w:rsidRPr="00A604A3">
        <w:tab/>
      </w:r>
      <w:r w:rsidR="006853C6">
        <w:rPr>
          <w:position w:val="-14"/>
        </w:rPr>
        <w:pict>
          <v:shape id="_x0000_i1035" type="#_x0000_t75" style="width:180pt;height:21.25pt">
            <v:imagedata r:id="rId23" o:title=""/>
          </v:shape>
        </w:pict>
      </w:r>
      <w:bookmarkEnd w:id="441"/>
      <w:bookmarkEnd w:id="442"/>
      <w:r w:rsidR="00AE0549" w:rsidRPr="00A604A3">
        <w:tab/>
        <w:t>(4)</w:t>
      </w:r>
    </w:p>
    <w:p w:rsidR="00AE0549" w:rsidRPr="00A604A3" w:rsidRDefault="00AE0549" w:rsidP="00470885">
      <w:pPr>
        <w:rPr>
          <w:color w:val="000000"/>
        </w:rPr>
      </w:pPr>
      <w:r w:rsidRPr="00A604A3">
        <w:rPr>
          <w:color w:val="000000"/>
        </w:rPr>
        <w:t xml:space="preserve">where, </w:t>
      </w:r>
    </w:p>
    <w:p w:rsidR="00AE0549" w:rsidRPr="00A604A3" w:rsidRDefault="00210A7B" w:rsidP="00210A7B">
      <w:pPr>
        <w:pStyle w:val="Equationlegend"/>
      </w:pPr>
      <w:r w:rsidRPr="00A604A3">
        <w:tab/>
      </w:r>
      <w:r w:rsidR="00AE0549" w:rsidRPr="00A604A3">
        <w:rPr>
          <w:i/>
          <w:iCs/>
        </w:rPr>
        <w:t>d</w:t>
      </w:r>
      <w:r w:rsidR="00AE0549" w:rsidRPr="00A604A3">
        <w:rPr>
          <w:vertAlign w:val="subscript"/>
        </w:rPr>
        <w:t>1,1</w:t>
      </w:r>
      <w:r w:rsidR="00AE0549" w:rsidRPr="00A604A3">
        <w:t xml:space="preserve"> </w:t>
      </w:r>
      <w:r w:rsidR="00AC2058" w:rsidRPr="00A604A3">
        <w:tab/>
      </w:r>
      <w:r w:rsidR="00AE0549" w:rsidRPr="00A604A3">
        <w:t xml:space="preserve">= </w:t>
      </w:r>
      <w:r w:rsidR="00AE0549" w:rsidRPr="00A604A3">
        <w:rPr>
          <w:i/>
          <w:iCs/>
        </w:rPr>
        <w:t>d</w:t>
      </w:r>
      <w:r w:rsidR="00AE0549" w:rsidRPr="00A604A3">
        <w:rPr>
          <w:vertAlign w:val="subscript"/>
        </w:rPr>
        <w:t>2,1</w:t>
      </w:r>
      <w:r w:rsidR="00AE0549" w:rsidRPr="00A604A3">
        <w:t xml:space="preserve"> = </w:t>
      </w:r>
      <w:r w:rsidR="00AE0549" w:rsidRPr="00A604A3">
        <w:rPr>
          <w:i/>
          <w:iCs/>
        </w:rPr>
        <w:t>d</w:t>
      </w:r>
      <w:r w:rsidR="00AE0549" w:rsidRPr="00A604A3">
        <w:rPr>
          <w:vertAlign w:val="subscript"/>
        </w:rPr>
        <w:t xml:space="preserve">2,2 </w:t>
      </w:r>
      <w:r w:rsidR="00AE0549" w:rsidRPr="00A604A3">
        <w:t xml:space="preserve">= 0, </w:t>
      </w:r>
    </w:p>
    <w:p w:rsidR="00AE0549" w:rsidRPr="00A604A3" w:rsidRDefault="00AC2058" w:rsidP="00210A7B">
      <w:pPr>
        <w:pStyle w:val="Equationlegend"/>
      </w:pPr>
      <w:r w:rsidRPr="00A604A3">
        <w:tab/>
      </w:r>
      <w:r w:rsidR="006853C6">
        <w:rPr>
          <w:position w:val="-26"/>
        </w:rPr>
        <w:pict>
          <v:shape id="_x0000_i1036" type="#_x0000_t75" style="width:93.25pt;height:29.1pt">
            <v:imagedata r:id="rId24" o:title=""/>
          </v:shape>
        </w:pict>
      </w:r>
      <w:r w:rsidR="00AE0549" w:rsidRPr="00A604A3">
        <w:tab/>
        <w:t xml:space="preserve">is the basic time unit for NR, </w:t>
      </w:r>
    </w:p>
    <w:p w:rsidR="00AE0549" w:rsidRPr="00A604A3" w:rsidRDefault="00AC2058" w:rsidP="00210A7B">
      <w:pPr>
        <w:pStyle w:val="Equationlegend"/>
      </w:pPr>
      <w:r w:rsidRPr="00A604A3">
        <w:tab/>
      </w:r>
      <w:r w:rsidRPr="00A604A3">
        <w:tab/>
      </w:r>
      <w:r w:rsidR="00AE0549" w:rsidRPr="00A604A3">
        <w:t>Δ</w:t>
      </w:r>
      <w:r w:rsidR="00AE0549" w:rsidRPr="00A604A3">
        <w:rPr>
          <w:i/>
          <w:iCs/>
        </w:rPr>
        <w:t>f</w:t>
      </w:r>
      <w:r w:rsidR="00AE0549" w:rsidRPr="00A604A3">
        <w:rPr>
          <w:i/>
          <w:iCs/>
          <w:vertAlign w:val="subscript"/>
        </w:rPr>
        <w:t>max</w:t>
      </w:r>
      <w:r w:rsidR="00AE0549" w:rsidRPr="00A604A3">
        <w:t xml:space="preserve"> = </w:t>
      </w:r>
      <w:r w:rsidRPr="00A604A3">
        <w:tab/>
      </w:r>
      <w:r w:rsidR="00AE0549" w:rsidRPr="00A604A3">
        <w:t>480</w:t>
      </w:r>
      <w:r w:rsidR="00AE0549" w:rsidRPr="00A604A3">
        <w:rPr>
          <w:rFonts w:cstheme="minorHAnsi"/>
        </w:rPr>
        <w:t>∙</w:t>
      </w:r>
      <w:r w:rsidR="00AE0549" w:rsidRPr="00A604A3">
        <w:t>10</w:t>
      </w:r>
      <w:r w:rsidR="00AE0549" w:rsidRPr="00A604A3">
        <w:rPr>
          <w:vertAlign w:val="superscript"/>
        </w:rPr>
        <w:t>3</w:t>
      </w:r>
      <w:r w:rsidR="00AE0549" w:rsidRPr="00A604A3">
        <w:t xml:space="preserve"> Hz, </w:t>
      </w:r>
    </w:p>
    <w:p w:rsidR="00AE0549" w:rsidRPr="00A604A3" w:rsidRDefault="00AC2058" w:rsidP="00210A7B">
      <w:pPr>
        <w:pStyle w:val="Equationlegend"/>
      </w:pPr>
      <w:r w:rsidRPr="00A604A3">
        <w:tab/>
      </w:r>
      <w:r w:rsidRPr="00A604A3">
        <w:tab/>
      </w:r>
      <w:r w:rsidR="00AE0549" w:rsidRPr="00A604A3">
        <w:rPr>
          <w:i/>
          <w:iCs/>
        </w:rPr>
        <w:t>N</w:t>
      </w:r>
      <w:r w:rsidR="00AE0549" w:rsidRPr="00A604A3">
        <w:rPr>
          <w:i/>
          <w:iCs/>
          <w:vertAlign w:val="subscript"/>
        </w:rPr>
        <w:t>f</w:t>
      </w:r>
      <w:r w:rsidR="00AE0549" w:rsidRPr="00A604A3">
        <w:t xml:space="preserve"> = </w:t>
      </w:r>
      <w:r w:rsidRPr="00A604A3">
        <w:tab/>
      </w:r>
      <w:r w:rsidR="00AE0549" w:rsidRPr="00A604A3">
        <w:t>4</w:t>
      </w:r>
      <w:r w:rsidRPr="00A604A3">
        <w:t> </w:t>
      </w:r>
      <w:r w:rsidR="00AE0549" w:rsidRPr="00A604A3">
        <w:t xml:space="preserve">096, </w:t>
      </w:r>
    </w:p>
    <w:p w:rsidR="00AE0549" w:rsidRPr="00A604A3" w:rsidRDefault="00AC2058" w:rsidP="00210A7B">
      <w:pPr>
        <w:pStyle w:val="Equationlegend"/>
      </w:pPr>
      <w:r w:rsidRPr="00A604A3">
        <w:tab/>
      </w:r>
      <w:r w:rsidR="00AE0549" w:rsidRPr="00A604A3">
        <w:rPr>
          <w:i/>
          <w:iCs/>
        </w:rPr>
        <w:t>T</w:t>
      </w:r>
      <w:r w:rsidR="00AE0549" w:rsidRPr="00A604A3">
        <w:rPr>
          <w:i/>
          <w:iCs/>
          <w:vertAlign w:val="subscript"/>
        </w:rPr>
        <w:t>s</w:t>
      </w:r>
      <w:r w:rsidR="00AE0549" w:rsidRPr="00A604A3">
        <w:t xml:space="preserve"> </w:t>
      </w:r>
      <w:r w:rsidRPr="00A604A3">
        <w:tab/>
      </w:r>
      <w:r w:rsidR="00AE0549" w:rsidRPr="00A604A3">
        <w:t xml:space="preserve">is the basic time unit for LTE with </w:t>
      </w:r>
      <w:r w:rsidR="006853C6">
        <w:rPr>
          <w:position w:val="-30"/>
        </w:rPr>
        <w:pict>
          <v:shape id="_x0000_i1037" type="#_x0000_t75" style="width:64.15pt;height:36pt">
            <v:imagedata r:id="rId25" o:title=""/>
          </v:shape>
        </w:pict>
      </w:r>
      <w:r w:rsidRPr="00A604A3">
        <w:t xml:space="preserve">; </w:t>
      </w:r>
      <w:r w:rsidR="00AE0549" w:rsidRPr="00A604A3">
        <w:t>and</w:t>
      </w:r>
    </w:p>
    <w:p w:rsidR="00AE0549" w:rsidRPr="00A604A3" w:rsidRDefault="00AC2058" w:rsidP="00210A7B">
      <w:pPr>
        <w:pStyle w:val="Equationlegend"/>
      </w:pPr>
      <w:r w:rsidRPr="00A604A3">
        <w:lastRenderedPageBreak/>
        <w:tab/>
      </w:r>
      <w:r w:rsidR="00AE0549" w:rsidRPr="00A604A3">
        <w:t xml:space="preserve">μ </w:t>
      </w:r>
      <w:r w:rsidRPr="00A604A3">
        <w:tab/>
      </w:r>
      <w:r w:rsidR="00AE0549" w:rsidRPr="00A604A3">
        <w:t>the subcarrier spacing configuration (parameters definition given in section 4.1 of TS 38.211, [10]).</w:t>
      </w:r>
    </w:p>
    <w:p w:rsidR="00AE0549" w:rsidRPr="00A604A3" w:rsidRDefault="00505DC7" w:rsidP="00AC2058">
      <w:pPr>
        <w:pStyle w:val="Heading6"/>
        <w:rPr>
          <w:rFonts w:eastAsia="MS Mincho"/>
        </w:rPr>
      </w:pPr>
      <w:r w:rsidRPr="00A604A3">
        <w:rPr>
          <w:rFonts w:eastAsia="MS Mincho"/>
        </w:rPr>
        <w:t>II.5.7.2.1.3</w:t>
      </w:r>
      <w:r w:rsidRPr="00A604A3">
        <w:rPr>
          <w:rFonts w:eastAsia="MS Mincho"/>
        </w:rPr>
        <w:tab/>
      </w:r>
      <w:r w:rsidRPr="00A604A3">
        <w:rPr>
          <w:rFonts w:eastAsia="MS Mincho"/>
        </w:rPr>
        <w:tab/>
      </w:r>
      <w:r w:rsidR="00AE0549" w:rsidRPr="00A604A3">
        <w:rPr>
          <w:rFonts w:eastAsia="MS Mincho"/>
        </w:rPr>
        <w:t>Resource mapping type A and B</w:t>
      </w:r>
    </w:p>
    <w:p w:rsidR="00AE0549" w:rsidRPr="00A604A3" w:rsidRDefault="00AE0549" w:rsidP="001C0062">
      <w:r w:rsidRPr="00A604A3">
        <w:t>The type A and type B resource allocation has different constraints that must be taken into account when calculating the control plane latency.</w:t>
      </w:r>
    </w:p>
    <w:p w:rsidR="00AE0549" w:rsidRPr="00A604A3" w:rsidRDefault="00AE0549" w:rsidP="001C0062">
      <w:pPr>
        <w:spacing w:after="120"/>
      </w:pPr>
      <w:r w:rsidRPr="00A604A3">
        <w:t>The constraints for the uplink are given in TS 38.214 Table 6.1.2.1-1 [15] (Table 89):</w:t>
      </w:r>
    </w:p>
    <w:p w:rsidR="0011470E" w:rsidRPr="00A604A3" w:rsidRDefault="0011470E" w:rsidP="0011470E">
      <w:pPr>
        <w:pStyle w:val="TableNo"/>
        <w:rPr>
          <w:rFonts w:eastAsia="MS Mincho"/>
        </w:rPr>
      </w:pPr>
      <w:bookmarkStart w:id="443" w:name="_Ref31307345"/>
      <w:bookmarkStart w:id="444" w:name="_Toc32066404"/>
      <w:r w:rsidRPr="00A604A3">
        <w:rPr>
          <w:rFonts w:eastAsia="MS Mincho"/>
        </w:rPr>
        <w:t>Table 89</w:t>
      </w:r>
    </w:p>
    <w:p w:rsidR="001C0062" w:rsidRPr="00A604A3" w:rsidRDefault="001C0062" w:rsidP="0011470E">
      <w:pPr>
        <w:pStyle w:val="Tabletitle"/>
        <w:rPr>
          <w:rFonts w:eastAsia="MS Mincho"/>
        </w:rPr>
      </w:pPr>
      <w:r w:rsidRPr="00A604A3">
        <w:rPr>
          <w:rFonts w:eastAsia="MS Mincho"/>
        </w:rPr>
        <w:t>Valid S and L combinations</w:t>
      </w:r>
      <w:bookmarkEnd w:id="443"/>
      <w:bookmarkEnd w:id="444"/>
    </w:p>
    <w:tbl>
      <w:tblPr>
        <w:tblStyle w:val="TableGrid"/>
        <w:tblW w:w="0" w:type="auto"/>
        <w:jc w:val="center"/>
        <w:tblLook w:val="04A0" w:firstRow="1" w:lastRow="0" w:firstColumn="1" w:lastColumn="0" w:noHBand="0" w:noVBand="1"/>
      </w:tblPr>
      <w:tblGrid>
        <w:gridCol w:w="1472"/>
        <w:gridCol w:w="1073"/>
        <w:gridCol w:w="1095"/>
        <w:gridCol w:w="1562"/>
        <w:gridCol w:w="1172"/>
        <w:gridCol w:w="1134"/>
        <w:gridCol w:w="1508"/>
      </w:tblGrid>
      <w:tr w:rsidR="00AE0549" w:rsidRPr="00A604A3" w:rsidTr="0011470E">
        <w:trPr>
          <w:jc w:val="center"/>
        </w:trPr>
        <w:tc>
          <w:tcPr>
            <w:tcW w:w="1472" w:type="dxa"/>
            <w:vMerge w:val="restart"/>
          </w:tcPr>
          <w:p w:rsidR="00AE0549" w:rsidRPr="00A604A3" w:rsidRDefault="00AE0549" w:rsidP="0011470E">
            <w:pPr>
              <w:pStyle w:val="Tablehead"/>
            </w:pPr>
            <w:r w:rsidRPr="00A604A3">
              <w:t>PUSCH mapping type</w:t>
            </w:r>
          </w:p>
        </w:tc>
        <w:tc>
          <w:tcPr>
            <w:tcW w:w="3730" w:type="dxa"/>
            <w:gridSpan w:val="3"/>
          </w:tcPr>
          <w:p w:rsidR="00AE0549" w:rsidRPr="00A604A3" w:rsidRDefault="00AE0549" w:rsidP="0011470E">
            <w:pPr>
              <w:pStyle w:val="Tablehead"/>
            </w:pPr>
            <w:r w:rsidRPr="00A604A3">
              <w:t>Normal cyclic prefix</w:t>
            </w:r>
          </w:p>
        </w:tc>
        <w:tc>
          <w:tcPr>
            <w:tcW w:w="3814" w:type="dxa"/>
            <w:gridSpan w:val="3"/>
          </w:tcPr>
          <w:p w:rsidR="00AE0549" w:rsidRPr="00A604A3" w:rsidRDefault="00AE0549" w:rsidP="0011470E">
            <w:pPr>
              <w:pStyle w:val="Tablehead"/>
            </w:pPr>
            <w:r w:rsidRPr="00A604A3">
              <w:t>Extended cyclic prefix</w:t>
            </w:r>
          </w:p>
        </w:tc>
      </w:tr>
      <w:tr w:rsidR="00AE0549" w:rsidRPr="00A604A3" w:rsidTr="0011470E">
        <w:trPr>
          <w:jc w:val="center"/>
        </w:trPr>
        <w:tc>
          <w:tcPr>
            <w:tcW w:w="1472" w:type="dxa"/>
            <w:vMerge/>
          </w:tcPr>
          <w:p w:rsidR="00AE0549" w:rsidRPr="00A604A3" w:rsidRDefault="00AE0549" w:rsidP="0011470E">
            <w:pPr>
              <w:pStyle w:val="Tablehead"/>
            </w:pPr>
          </w:p>
        </w:tc>
        <w:tc>
          <w:tcPr>
            <w:tcW w:w="1073" w:type="dxa"/>
          </w:tcPr>
          <w:p w:rsidR="00AE0549" w:rsidRPr="00A604A3" w:rsidRDefault="00AE0549" w:rsidP="0011470E">
            <w:pPr>
              <w:pStyle w:val="Tablehead"/>
              <w:rPr>
                <w:i/>
              </w:rPr>
            </w:pPr>
            <w:r w:rsidRPr="00A604A3">
              <w:rPr>
                <w:i/>
              </w:rPr>
              <w:t>S</w:t>
            </w:r>
          </w:p>
        </w:tc>
        <w:tc>
          <w:tcPr>
            <w:tcW w:w="1095" w:type="dxa"/>
          </w:tcPr>
          <w:p w:rsidR="00AE0549" w:rsidRPr="00A604A3" w:rsidRDefault="00AE0549" w:rsidP="0011470E">
            <w:pPr>
              <w:pStyle w:val="Tablehead"/>
              <w:rPr>
                <w:i/>
              </w:rPr>
            </w:pPr>
            <w:r w:rsidRPr="00A604A3">
              <w:rPr>
                <w:i/>
              </w:rPr>
              <w:t>L</w:t>
            </w:r>
          </w:p>
        </w:tc>
        <w:tc>
          <w:tcPr>
            <w:tcW w:w="1562" w:type="dxa"/>
          </w:tcPr>
          <w:p w:rsidR="00AE0549" w:rsidRPr="00A604A3" w:rsidRDefault="00AE0549" w:rsidP="0011470E">
            <w:pPr>
              <w:pStyle w:val="Tablehead"/>
              <w:rPr>
                <w:i/>
              </w:rPr>
            </w:pPr>
            <w:r w:rsidRPr="00A604A3">
              <w:rPr>
                <w:i/>
              </w:rPr>
              <w:t>S+L</w:t>
            </w:r>
          </w:p>
        </w:tc>
        <w:tc>
          <w:tcPr>
            <w:tcW w:w="1172" w:type="dxa"/>
          </w:tcPr>
          <w:p w:rsidR="00AE0549" w:rsidRPr="00A604A3" w:rsidRDefault="00AE0549" w:rsidP="0011470E">
            <w:pPr>
              <w:pStyle w:val="Tablehead"/>
              <w:rPr>
                <w:i/>
              </w:rPr>
            </w:pPr>
            <w:r w:rsidRPr="00A604A3">
              <w:rPr>
                <w:i/>
              </w:rPr>
              <w:t>S</w:t>
            </w:r>
          </w:p>
        </w:tc>
        <w:tc>
          <w:tcPr>
            <w:tcW w:w="1134" w:type="dxa"/>
          </w:tcPr>
          <w:p w:rsidR="00AE0549" w:rsidRPr="00A604A3" w:rsidRDefault="00AE0549" w:rsidP="0011470E">
            <w:pPr>
              <w:pStyle w:val="Tablehead"/>
              <w:rPr>
                <w:i/>
              </w:rPr>
            </w:pPr>
            <w:r w:rsidRPr="00A604A3">
              <w:rPr>
                <w:i/>
              </w:rPr>
              <w:t>L</w:t>
            </w:r>
          </w:p>
        </w:tc>
        <w:tc>
          <w:tcPr>
            <w:tcW w:w="1508" w:type="dxa"/>
          </w:tcPr>
          <w:p w:rsidR="00AE0549" w:rsidRPr="00A604A3" w:rsidRDefault="00AE0549" w:rsidP="0011470E">
            <w:pPr>
              <w:pStyle w:val="Tablehead"/>
              <w:rPr>
                <w:i/>
              </w:rPr>
            </w:pPr>
            <w:r w:rsidRPr="00A604A3">
              <w:rPr>
                <w:i/>
              </w:rPr>
              <w:t>S+L</w:t>
            </w:r>
          </w:p>
        </w:tc>
      </w:tr>
      <w:tr w:rsidR="00AE0549" w:rsidRPr="00A604A3" w:rsidTr="0011470E">
        <w:trPr>
          <w:jc w:val="center"/>
        </w:trPr>
        <w:tc>
          <w:tcPr>
            <w:tcW w:w="1472" w:type="dxa"/>
          </w:tcPr>
          <w:p w:rsidR="00AE0549" w:rsidRPr="00A604A3" w:rsidRDefault="00AE0549" w:rsidP="0011470E">
            <w:pPr>
              <w:pStyle w:val="Tabletext"/>
            </w:pPr>
            <w:r w:rsidRPr="00A604A3">
              <w:t>Type A</w:t>
            </w:r>
          </w:p>
        </w:tc>
        <w:tc>
          <w:tcPr>
            <w:tcW w:w="1073" w:type="dxa"/>
          </w:tcPr>
          <w:p w:rsidR="00AE0549" w:rsidRPr="00A604A3" w:rsidRDefault="00AE0549" w:rsidP="0011470E">
            <w:pPr>
              <w:pStyle w:val="Tabletext"/>
              <w:jc w:val="center"/>
            </w:pPr>
            <w:r w:rsidRPr="00A604A3">
              <w:t>0</w:t>
            </w:r>
          </w:p>
        </w:tc>
        <w:tc>
          <w:tcPr>
            <w:tcW w:w="1095" w:type="dxa"/>
          </w:tcPr>
          <w:p w:rsidR="00AE0549" w:rsidRPr="00A604A3" w:rsidRDefault="00AE0549" w:rsidP="0011470E">
            <w:pPr>
              <w:pStyle w:val="Tabletext"/>
              <w:jc w:val="center"/>
            </w:pPr>
            <w:r w:rsidRPr="00A604A3">
              <w:t>{4,…,14}</w:t>
            </w:r>
          </w:p>
        </w:tc>
        <w:tc>
          <w:tcPr>
            <w:tcW w:w="1562" w:type="dxa"/>
          </w:tcPr>
          <w:p w:rsidR="00AE0549" w:rsidRPr="00A604A3" w:rsidRDefault="00AE0549" w:rsidP="0011470E">
            <w:pPr>
              <w:pStyle w:val="Tabletext"/>
              <w:jc w:val="center"/>
            </w:pPr>
            <w:r w:rsidRPr="00A604A3">
              <w:t>{4,…,14}</w:t>
            </w:r>
          </w:p>
        </w:tc>
        <w:tc>
          <w:tcPr>
            <w:tcW w:w="1172" w:type="dxa"/>
          </w:tcPr>
          <w:p w:rsidR="00AE0549" w:rsidRPr="00A604A3" w:rsidRDefault="00AE0549" w:rsidP="0011470E">
            <w:pPr>
              <w:pStyle w:val="Tabletext"/>
              <w:jc w:val="center"/>
            </w:pPr>
            <w:r w:rsidRPr="00A604A3">
              <w:t>0</w:t>
            </w:r>
          </w:p>
        </w:tc>
        <w:tc>
          <w:tcPr>
            <w:tcW w:w="1134" w:type="dxa"/>
          </w:tcPr>
          <w:p w:rsidR="00AE0549" w:rsidRPr="00A604A3" w:rsidRDefault="00AE0549" w:rsidP="0011470E">
            <w:pPr>
              <w:pStyle w:val="Tabletext"/>
              <w:jc w:val="center"/>
            </w:pPr>
            <w:r w:rsidRPr="00A604A3">
              <w:t>{4,…,12}</w:t>
            </w:r>
          </w:p>
        </w:tc>
        <w:tc>
          <w:tcPr>
            <w:tcW w:w="1508" w:type="dxa"/>
          </w:tcPr>
          <w:p w:rsidR="00AE0549" w:rsidRPr="00A604A3" w:rsidRDefault="00AE0549" w:rsidP="0011470E">
            <w:pPr>
              <w:pStyle w:val="Tabletext"/>
              <w:jc w:val="center"/>
            </w:pPr>
            <w:r w:rsidRPr="00A604A3">
              <w:t>{4,…,12}</w:t>
            </w:r>
          </w:p>
        </w:tc>
      </w:tr>
      <w:tr w:rsidR="00AE0549" w:rsidRPr="00A604A3" w:rsidTr="0011470E">
        <w:trPr>
          <w:jc w:val="center"/>
        </w:trPr>
        <w:tc>
          <w:tcPr>
            <w:tcW w:w="1472" w:type="dxa"/>
            <w:tcBorders>
              <w:bottom w:val="single" w:sz="4" w:space="0" w:color="auto"/>
            </w:tcBorders>
          </w:tcPr>
          <w:p w:rsidR="00AE0549" w:rsidRPr="00A604A3" w:rsidRDefault="00AE0549" w:rsidP="0011470E">
            <w:pPr>
              <w:pStyle w:val="Tabletext"/>
            </w:pPr>
            <w:r w:rsidRPr="00A604A3">
              <w:t>Type B</w:t>
            </w:r>
          </w:p>
        </w:tc>
        <w:tc>
          <w:tcPr>
            <w:tcW w:w="1073" w:type="dxa"/>
            <w:tcBorders>
              <w:bottom w:val="single" w:sz="4" w:space="0" w:color="auto"/>
            </w:tcBorders>
          </w:tcPr>
          <w:p w:rsidR="00AE0549" w:rsidRPr="00A604A3" w:rsidRDefault="00AE0549" w:rsidP="0011470E">
            <w:pPr>
              <w:pStyle w:val="Tabletext"/>
              <w:jc w:val="center"/>
            </w:pPr>
            <w:r w:rsidRPr="00A604A3">
              <w:t>{0,…,13}</w:t>
            </w:r>
          </w:p>
        </w:tc>
        <w:tc>
          <w:tcPr>
            <w:tcW w:w="1095" w:type="dxa"/>
            <w:tcBorders>
              <w:bottom w:val="single" w:sz="4" w:space="0" w:color="auto"/>
            </w:tcBorders>
          </w:tcPr>
          <w:p w:rsidR="00AE0549" w:rsidRPr="00A604A3" w:rsidRDefault="00AE0549" w:rsidP="0011470E">
            <w:pPr>
              <w:pStyle w:val="Tabletext"/>
              <w:jc w:val="center"/>
            </w:pPr>
            <w:r w:rsidRPr="00A604A3">
              <w:t>{1,…,14}</w:t>
            </w:r>
          </w:p>
        </w:tc>
        <w:tc>
          <w:tcPr>
            <w:tcW w:w="1562" w:type="dxa"/>
            <w:tcBorders>
              <w:bottom w:val="single" w:sz="4" w:space="0" w:color="auto"/>
            </w:tcBorders>
          </w:tcPr>
          <w:p w:rsidR="00AE0549" w:rsidRPr="00A604A3" w:rsidRDefault="00AE0549" w:rsidP="0011470E">
            <w:pPr>
              <w:pStyle w:val="Tabletext"/>
              <w:jc w:val="center"/>
            </w:pPr>
            <w:r w:rsidRPr="00A604A3">
              <w:t>{1,…,14}</w:t>
            </w:r>
          </w:p>
        </w:tc>
        <w:tc>
          <w:tcPr>
            <w:tcW w:w="1172" w:type="dxa"/>
            <w:tcBorders>
              <w:bottom w:val="single" w:sz="4" w:space="0" w:color="auto"/>
            </w:tcBorders>
          </w:tcPr>
          <w:p w:rsidR="00AE0549" w:rsidRPr="00A604A3" w:rsidRDefault="00AE0549" w:rsidP="0011470E">
            <w:pPr>
              <w:pStyle w:val="Tabletext"/>
              <w:jc w:val="center"/>
            </w:pPr>
            <w:r w:rsidRPr="00A604A3">
              <w:t>{0,…, 11}</w:t>
            </w:r>
          </w:p>
        </w:tc>
        <w:tc>
          <w:tcPr>
            <w:tcW w:w="1134" w:type="dxa"/>
            <w:tcBorders>
              <w:bottom w:val="single" w:sz="4" w:space="0" w:color="auto"/>
            </w:tcBorders>
          </w:tcPr>
          <w:p w:rsidR="00AE0549" w:rsidRPr="00A604A3" w:rsidRDefault="00AE0549" w:rsidP="0011470E">
            <w:pPr>
              <w:pStyle w:val="Tabletext"/>
              <w:jc w:val="center"/>
            </w:pPr>
            <w:r w:rsidRPr="00A604A3">
              <w:t>{1,…,12}</w:t>
            </w:r>
          </w:p>
        </w:tc>
        <w:tc>
          <w:tcPr>
            <w:tcW w:w="1508" w:type="dxa"/>
            <w:tcBorders>
              <w:bottom w:val="single" w:sz="4" w:space="0" w:color="auto"/>
            </w:tcBorders>
          </w:tcPr>
          <w:p w:rsidR="00AE0549" w:rsidRPr="00A604A3" w:rsidRDefault="00AE0549" w:rsidP="0011470E">
            <w:pPr>
              <w:pStyle w:val="Tabletext"/>
              <w:jc w:val="center"/>
            </w:pPr>
            <w:r w:rsidRPr="00A604A3">
              <w:t>{1,…,12}</w:t>
            </w:r>
          </w:p>
        </w:tc>
      </w:tr>
      <w:tr w:rsidR="0011470E" w:rsidRPr="00A604A3" w:rsidTr="0011470E">
        <w:trPr>
          <w:jc w:val="center"/>
        </w:trPr>
        <w:tc>
          <w:tcPr>
            <w:tcW w:w="9016" w:type="dxa"/>
            <w:gridSpan w:val="7"/>
            <w:tcBorders>
              <w:top w:val="single" w:sz="4" w:space="0" w:color="auto"/>
              <w:left w:val="nil"/>
              <w:bottom w:val="nil"/>
              <w:right w:val="nil"/>
            </w:tcBorders>
          </w:tcPr>
          <w:p w:rsidR="0011470E" w:rsidRPr="00A604A3" w:rsidRDefault="0011470E" w:rsidP="0011470E">
            <w:pPr>
              <w:pStyle w:val="Tablelegend"/>
            </w:pPr>
            <w:r w:rsidRPr="00A604A3">
              <w:rPr>
                <w:b/>
              </w:rPr>
              <w:t>S</w:t>
            </w:r>
            <w:r w:rsidRPr="00A604A3">
              <w:t xml:space="preserve"> = starting OFDM symbol relative to the start of the slot (numbered from 0 to 13).</w:t>
            </w:r>
          </w:p>
          <w:p w:rsidR="0011470E" w:rsidRPr="00A604A3" w:rsidRDefault="0011470E" w:rsidP="0011470E">
            <w:pPr>
              <w:pStyle w:val="Tablelegend"/>
            </w:pPr>
            <w:r w:rsidRPr="00A604A3">
              <w:rPr>
                <w:b/>
              </w:rPr>
              <w:t>L</w:t>
            </w:r>
            <w:r w:rsidRPr="00A604A3">
              <w:t xml:space="preserve"> = number of consecutive OFDM symbols in scheduled PUSCH resource.</w:t>
            </w:r>
          </w:p>
        </w:tc>
      </w:tr>
    </w:tbl>
    <w:p w:rsidR="00AE0549" w:rsidRPr="00A604A3" w:rsidRDefault="00AE0549" w:rsidP="0011470E">
      <w:pPr>
        <w:pStyle w:val="Tablefin"/>
      </w:pPr>
    </w:p>
    <w:p w:rsidR="00AE0549" w:rsidRPr="00A604A3" w:rsidRDefault="00AE0549" w:rsidP="0011470E">
      <w:r w:rsidRPr="00A604A3">
        <w:t>For mapping type A the uplink transmission always starts with OFDM symbol 0 in the slot, while the transmission can start at any OFDM symbol for mapping type B. For both mapping type A and B, the whole transmission must fit inside a slot (i.e. it cannot cross the slot boundary).</w:t>
      </w:r>
    </w:p>
    <w:p w:rsidR="00AE0549" w:rsidRPr="00A604A3" w:rsidRDefault="00AE0549" w:rsidP="0011470E">
      <w:r w:rsidRPr="00A604A3">
        <w:t>The constraints for the downlink are given in TS 38.214 Table 5.1.2.1-1 [15] (Table 90):</w:t>
      </w:r>
    </w:p>
    <w:p w:rsidR="0011470E" w:rsidRPr="00A604A3" w:rsidRDefault="0011470E" w:rsidP="0011470E">
      <w:pPr>
        <w:pStyle w:val="TableNo"/>
        <w:rPr>
          <w:rFonts w:eastAsia="MS Mincho"/>
        </w:rPr>
      </w:pPr>
      <w:bookmarkStart w:id="445" w:name="_Ref31294097"/>
      <w:bookmarkStart w:id="446" w:name="_Toc32066405"/>
      <w:r w:rsidRPr="00A604A3">
        <w:rPr>
          <w:rFonts w:eastAsia="MS Mincho"/>
        </w:rPr>
        <w:t>Table 90</w:t>
      </w:r>
    </w:p>
    <w:p w:rsidR="001C0062" w:rsidRPr="00A604A3" w:rsidRDefault="001C0062" w:rsidP="0011470E">
      <w:pPr>
        <w:pStyle w:val="Tabletitle"/>
        <w:rPr>
          <w:rFonts w:eastAsia="MS Mincho"/>
        </w:rPr>
      </w:pPr>
      <w:r w:rsidRPr="00A604A3">
        <w:rPr>
          <w:rFonts w:eastAsia="MS Mincho"/>
        </w:rPr>
        <w:t>Valid S and L combinations</w:t>
      </w:r>
      <w:bookmarkEnd w:id="445"/>
      <w:bookmarkEnd w:id="446"/>
    </w:p>
    <w:tbl>
      <w:tblPr>
        <w:tblStyle w:val="TableGrid"/>
        <w:tblW w:w="0" w:type="auto"/>
        <w:jc w:val="center"/>
        <w:tblLook w:val="04A0" w:firstRow="1" w:lastRow="0" w:firstColumn="1" w:lastColumn="0" w:noHBand="0" w:noVBand="1"/>
      </w:tblPr>
      <w:tblGrid>
        <w:gridCol w:w="1462"/>
        <w:gridCol w:w="1070"/>
        <w:gridCol w:w="1092"/>
        <w:gridCol w:w="1551"/>
        <w:gridCol w:w="1090"/>
        <w:gridCol w:w="1092"/>
        <w:gridCol w:w="1659"/>
      </w:tblGrid>
      <w:tr w:rsidR="00AE0549" w:rsidRPr="00A604A3" w:rsidTr="0011470E">
        <w:trPr>
          <w:jc w:val="center"/>
        </w:trPr>
        <w:tc>
          <w:tcPr>
            <w:tcW w:w="1462" w:type="dxa"/>
            <w:vMerge w:val="restart"/>
          </w:tcPr>
          <w:p w:rsidR="00AE0549" w:rsidRPr="00A604A3" w:rsidRDefault="00AE0549" w:rsidP="0011470E">
            <w:pPr>
              <w:pStyle w:val="Tablehead"/>
            </w:pPr>
            <w:r w:rsidRPr="00A604A3">
              <w:t>PDSCH mapping type</w:t>
            </w:r>
          </w:p>
        </w:tc>
        <w:tc>
          <w:tcPr>
            <w:tcW w:w="3713" w:type="dxa"/>
            <w:gridSpan w:val="3"/>
          </w:tcPr>
          <w:p w:rsidR="00AE0549" w:rsidRPr="00A604A3" w:rsidRDefault="00AE0549" w:rsidP="0011470E">
            <w:pPr>
              <w:pStyle w:val="Tablehead"/>
            </w:pPr>
            <w:r w:rsidRPr="00A604A3">
              <w:t>Normal cyclic prefix</w:t>
            </w:r>
          </w:p>
        </w:tc>
        <w:tc>
          <w:tcPr>
            <w:tcW w:w="3841" w:type="dxa"/>
            <w:gridSpan w:val="3"/>
          </w:tcPr>
          <w:p w:rsidR="00AE0549" w:rsidRPr="00A604A3" w:rsidRDefault="00AE0549" w:rsidP="0011470E">
            <w:pPr>
              <w:pStyle w:val="Tablehead"/>
            </w:pPr>
            <w:r w:rsidRPr="00A604A3">
              <w:t>Extended cyclic prefix</w:t>
            </w:r>
          </w:p>
        </w:tc>
      </w:tr>
      <w:tr w:rsidR="00AE0549" w:rsidRPr="00A604A3" w:rsidTr="0011470E">
        <w:trPr>
          <w:jc w:val="center"/>
        </w:trPr>
        <w:tc>
          <w:tcPr>
            <w:tcW w:w="1462" w:type="dxa"/>
            <w:vMerge/>
          </w:tcPr>
          <w:p w:rsidR="00AE0549" w:rsidRPr="00A604A3" w:rsidRDefault="00AE0549" w:rsidP="0011470E">
            <w:pPr>
              <w:pStyle w:val="Tablehead"/>
            </w:pPr>
          </w:p>
        </w:tc>
        <w:tc>
          <w:tcPr>
            <w:tcW w:w="1070" w:type="dxa"/>
          </w:tcPr>
          <w:p w:rsidR="00AE0549" w:rsidRPr="00A604A3" w:rsidRDefault="00AE0549" w:rsidP="0011470E">
            <w:pPr>
              <w:pStyle w:val="Tablehead"/>
              <w:rPr>
                <w:i/>
              </w:rPr>
            </w:pPr>
            <w:r w:rsidRPr="00A604A3">
              <w:rPr>
                <w:i/>
              </w:rPr>
              <w:t>S</w:t>
            </w:r>
          </w:p>
        </w:tc>
        <w:tc>
          <w:tcPr>
            <w:tcW w:w="1092" w:type="dxa"/>
          </w:tcPr>
          <w:p w:rsidR="00AE0549" w:rsidRPr="00A604A3" w:rsidRDefault="00AE0549" w:rsidP="0011470E">
            <w:pPr>
              <w:pStyle w:val="Tablehead"/>
              <w:rPr>
                <w:i/>
              </w:rPr>
            </w:pPr>
            <w:r w:rsidRPr="00A604A3">
              <w:rPr>
                <w:i/>
              </w:rPr>
              <w:t>L</w:t>
            </w:r>
          </w:p>
        </w:tc>
        <w:tc>
          <w:tcPr>
            <w:tcW w:w="1551" w:type="dxa"/>
          </w:tcPr>
          <w:p w:rsidR="00AE0549" w:rsidRPr="00A604A3" w:rsidRDefault="00AE0549" w:rsidP="0011470E">
            <w:pPr>
              <w:pStyle w:val="Tablehead"/>
              <w:rPr>
                <w:i/>
              </w:rPr>
            </w:pPr>
            <w:r w:rsidRPr="00A604A3">
              <w:rPr>
                <w:i/>
              </w:rPr>
              <w:t>S+L</w:t>
            </w:r>
          </w:p>
        </w:tc>
        <w:tc>
          <w:tcPr>
            <w:tcW w:w="1090" w:type="dxa"/>
          </w:tcPr>
          <w:p w:rsidR="00AE0549" w:rsidRPr="00A604A3" w:rsidRDefault="00AE0549" w:rsidP="0011470E">
            <w:pPr>
              <w:pStyle w:val="Tablehead"/>
              <w:rPr>
                <w:i/>
              </w:rPr>
            </w:pPr>
            <w:r w:rsidRPr="00A604A3">
              <w:rPr>
                <w:i/>
              </w:rPr>
              <w:t>S</w:t>
            </w:r>
          </w:p>
        </w:tc>
        <w:tc>
          <w:tcPr>
            <w:tcW w:w="1092" w:type="dxa"/>
          </w:tcPr>
          <w:p w:rsidR="00AE0549" w:rsidRPr="00A604A3" w:rsidRDefault="00AE0549" w:rsidP="0011470E">
            <w:pPr>
              <w:pStyle w:val="Tablehead"/>
              <w:rPr>
                <w:i/>
              </w:rPr>
            </w:pPr>
            <w:r w:rsidRPr="00A604A3">
              <w:rPr>
                <w:i/>
              </w:rPr>
              <w:t>L</w:t>
            </w:r>
          </w:p>
        </w:tc>
        <w:tc>
          <w:tcPr>
            <w:tcW w:w="1659" w:type="dxa"/>
          </w:tcPr>
          <w:p w:rsidR="00AE0549" w:rsidRPr="00A604A3" w:rsidRDefault="00AE0549" w:rsidP="0011470E">
            <w:pPr>
              <w:pStyle w:val="Tablehead"/>
              <w:rPr>
                <w:i/>
              </w:rPr>
            </w:pPr>
            <w:r w:rsidRPr="00A604A3">
              <w:rPr>
                <w:i/>
              </w:rPr>
              <w:t>S+L</w:t>
            </w:r>
          </w:p>
        </w:tc>
      </w:tr>
      <w:tr w:rsidR="00AE0549" w:rsidRPr="00A604A3" w:rsidTr="0011470E">
        <w:trPr>
          <w:jc w:val="center"/>
        </w:trPr>
        <w:tc>
          <w:tcPr>
            <w:tcW w:w="1462" w:type="dxa"/>
          </w:tcPr>
          <w:p w:rsidR="00AE0549" w:rsidRPr="00A604A3" w:rsidRDefault="00AE0549" w:rsidP="0011470E">
            <w:pPr>
              <w:pStyle w:val="Tabletext"/>
            </w:pPr>
            <w:r w:rsidRPr="00A604A3">
              <w:t>Type A</w:t>
            </w:r>
          </w:p>
        </w:tc>
        <w:tc>
          <w:tcPr>
            <w:tcW w:w="1070" w:type="dxa"/>
          </w:tcPr>
          <w:p w:rsidR="00AE0549" w:rsidRPr="00A604A3" w:rsidRDefault="00AE0549" w:rsidP="0011470E">
            <w:pPr>
              <w:pStyle w:val="Tabletext"/>
              <w:jc w:val="center"/>
            </w:pPr>
            <w:r w:rsidRPr="00A604A3">
              <w:t>{0,1,2,3}</w:t>
            </w:r>
          </w:p>
          <w:p w:rsidR="00AE0549" w:rsidRPr="00A604A3" w:rsidRDefault="00AE0549" w:rsidP="0011470E">
            <w:pPr>
              <w:pStyle w:val="Tabletext"/>
              <w:jc w:val="center"/>
            </w:pPr>
            <w:r w:rsidRPr="00A604A3">
              <w:t>(Note 1)</w:t>
            </w:r>
          </w:p>
        </w:tc>
        <w:tc>
          <w:tcPr>
            <w:tcW w:w="1092" w:type="dxa"/>
          </w:tcPr>
          <w:p w:rsidR="00AE0549" w:rsidRPr="00A604A3" w:rsidRDefault="00AE0549" w:rsidP="0011470E">
            <w:pPr>
              <w:pStyle w:val="Tabletext"/>
              <w:jc w:val="center"/>
            </w:pPr>
            <w:r w:rsidRPr="00A604A3">
              <w:t>{3,…,14}</w:t>
            </w:r>
          </w:p>
        </w:tc>
        <w:tc>
          <w:tcPr>
            <w:tcW w:w="1551" w:type="dxa"/>
          </w:tcPr>
          <w:p w:rsidR="00AE0549" w:rsidRPr="00A604A3" w:rsidRDefault="00AE0549" w:rsidP="0011470E">
            <w:pPr>
              <w:pStyle w:val="Tabletext"/>
              <w:jc w:val="center"/>
            </w:pPr>
            <w:r w:rsidRPr="00A604A3">
              <w:t>{3,…,14}</w:t>
            </w:r>
          </w:p>
        </w:tc>
        <w:tc>
          <w:tcPr>
            <w:tcW w:w="1090" w:type="dxa"/>
          </w:tcPr>
          <w:p w:rsidR="00AE0549" w:rsidRPr="00A604A3" w:rsidRDefault="00AE0549" w:rsidP="0011470E">
            <w:pPr>
              <w:pStyle w:val="Tabletext"/>
              <w:jc w:val="center"/>
            </w:pPr>
            <w:r w:rsidRPr="00A604A3">
              <w:t>{0,1,2,3}</w:t>
            </w:r>
          </w:p>
          <w:p w:rsidR="00AE0549" w:rsidRPr="00A604A3" w:rsidRDefault="00AE0549" w:rsidP="0011470E">
            <w:pPr>
              <w:pStyle w:val="Tabletext"/>
              <w:jc w:val="center"/>
            </w:pPr>
            <w:r w:rsidRPr="00A604A3">
              <w:t>(Note 1)</w:t>
            </w:r>
          </w:p>
        </w:tc>
        <w:tc>
          <w:tcPr>
            <w:tcW w:w="1092" w:type="dxa"/>
          </w:tcPr>
          <w:p w:rsidR="00AE0549" w:rsidRPr="00A604A3" w:rsidRDefault="00AE0549" w:rsidP="0011470E">
            <w:pPr>
              <w:pStyle w:val="Tabletext"/>
              <w:jc w:val="center"/>
            </w:pPr>
            <w:r w:rsidRPr="00A604A3">
              <w:t>{3,…,12}</w:t>
            </w:r>
          </w:p>
        </w:tc>
        <w:tc>
          <w:tcPr>
            <w:tcW w:w="1659" w:type="dxa"/>
          </w:tcPr>
          <w:p w:rsidR="00AE0549" w:rsidRPr="00A604A3" w:rsidRDefault="00AE0549" w:rsidP="0011470E">
            <w:pPr>
              <w:pStyle w:val="Tabletext"/>
              <w:jc w:val="center"/>
            </w:pPr>
            <w:r w:rsidRPr="00A604A3">
              <w:t>{3,…,12}</w:t>
            </w:r>
          </w:p>
        </w:tc>
      </w:tr>
      <w:tr w:rsidR="00AE0549" w:rsidRPr="00A604A3" w:rsidTr="0011470E">
        <w:trPr>
          <w:jc w:val="center"/>
        </w:trPr>
        <w:tc>
          <w:tcPr>
            <w:tcW w:w="1462" w:type="dxa"/>
            <w:tcBorders>
              <w:bottom w:val="single" w:sz="4" w:space="0" w:color="auto"/>
            </w:tcBorders>
          </w:tcPr>
          <w:p w:rsidR="00AE0549" w:rsidRPr="00A604A3" w:rsidRDefault="00AE0549" w:rsidP="0011470E">
            <w:pPr>
              <w:pStyle w:val="Tabletext"/>
            </w:pPr>
            <w:r w:rsidRPr="00A604A3">
              <w:t>Type B</w:t>
            </w:r>
          </w:p>
        </w:tc>
        <w:tc>
          <w:tcPr>
            <w:tcW w:w="1070" w:type="dxa"/>
            <w:tcBorders>
              <w:bottom w:val="single" w:sz="4" w:space="0" w:color="auto"/>
            </w:tcBorders>
          </w:tcPr>
          <w:p w:rsidR="00AE0549" w:rsidRPr="00A604A3" w:rsidRDefault="00AE0549" w:rsidP="0011470E">
            <w:pPr>
              <w:pStyle w:val="Tabletext"/>
              <w:jc w:val="center"/>
            </w:pPr>
            <w:r w:rsidRPr="00A604A3">
              <w:t>{0,…,12}</w:t>
            </w:r>
          </w:p>
        </w:tc>
        <w:tc>
          <w:tcPr>
            <w:tcW w:w="1092" w:type="dxa"/>
            <w:tcBorders>
              <w:bottom w:val="single" w:sz="4" w:space="0" w:color="auto"/>
            </w:tcBorders>
          </w:tcPr>
          <w:p w:rsidR="00AE0549" w:rsidRPr="00A604A3" w:rsidRDefault="00AE0549" w:rsidP="0011470E">
            <w:pPr>
              <w:pStyle w:val="Tabletext"/>
              <w:jc w:val="center"/>
            </w:pPr>
            <w:r w:rsidRPr="00A604A3">
              <w:t>{2,4,7}</w:t>
            </w:r>
          </w:p>
        </w:tc>
        <w:tc>
          <w:tcPr>
            <w:tcW w:w="1551" w:type="dxa"/>
            <w:tcBorders>
              <w:bottom w:val="single" w:sz="4" w:space="0" w:color="auto"/>
            </w:tcBorders>
          </w:tcPr>
          <w:p w:rsidR="00AE0549" w:rsidRPr="00A604A3" w:rsidRDefault="00AE0549" w:rsidP="0011470E">
            <w:pPr>
              <w:pStyle w:val="Tabletext"/>
              <w:jc w:val="center"/>
            </w:pPr>
            <w:r w:rsidRPr="00A604A3">
              <w:t>{2,…,14}</w:t>
            </w:r>
          </w:p>
        </w:tc>
        <w:tc>
          <w:tcPr>
            <w:tcW w:w="1090" w:type="dxa"/>
            <w:tcBorders>
              <w:bottom w:val="single" w:sz="4" w:space="0" w:color="auto"/>
            </w:tcBorders>
          </w:tcPr>
          <w:p w:rsidR="00AE0549" w:rsidRPr="00A604A3" w:rsidRDefault="00AE0549" w:rsidP="0011470E">
            <w:pPr>
              <w:pStyle w:val="Tabletext"/>
              <w:jc w:val="center"/>
            </w:pPr>
            <w:r w:rsidRPr="00A604A3">
              <w:t>{0,…,10}</w:t>
            </w:r>
          </w:p>
        </w:tc>
        <w:tc>
          <w:tcPr>
            <w:tcW w:w="1092" w:type="dxa"/>
            <w:tcBorders>
              <w:bottom w:val="single" w:sz="4" w:space="0" w:color="auto"/>
            </w:tcBorders>
          </w:tcPr>
          <w:p w:rsidR="00AE0549" w:rsidRPr="00A604A3" w:rsidRDefault="00AE0549" w:rsidP="0011470E">
            <w:pPr>
              <w:pStyle w:val="Tabletext"/>
              <w:jc w:val="center"/>
            </w:pPr>
            <w:r w:rsidRPr="00A604A3">
              <w:t>{2,4,6}</w:t>
            </w:r>
          </w:p>
        </w:tc>
        <w:tc>
          <w:tcPr>
            <w:tcW w:w="1659" w:type="dxa"/>
            <w:tcBorders>
              <w:bottom w:val="single" w:sz="4" w:space="0" w:color="auto"/>
            </w:tcBorders>
          </w:tcPr>
          <w:p w:rsidR="00AE0549" w:rsidRPr="00A604A3" w:rsidRDefault="00AE0549" w:rsidP="0011470E">
            <w:pPr>
              <w:pStyle w:val="Tabletext"/>
              <w:jc w:val="center"/>
            </w:pPr>
            <w:r w:rsidRPr="00A604A3">
              <w:t>{2,…,12}</w:t>
            </w:r>
          </w:p>
        </w:tc>
      </w:tr>
      <w:tr w:rsidR="00AE0549" w:rsidRPr="00A604A3" w:rsidTr="0011470E">
        <w:trPr>
          <w:jc w:val="center"/>
        </w:trPr>
        <w:tc>
          <w:tcPr>
            <w:tcW w:w="9016" w:type="dxa"/>
            <w:gridSpan w:val="7"/>
            <w:tcBorders>
              <w:top w:val="single" w:sz="4" w:space="0" w:color="auto"/>
              <w:left w:val="nil"/>
              <w:bottom w:val="nil"/>
              <w:right w:val="nil"/>
            </w:tcBorders>
          </w:tcPr>
          <w:p w:rsidR="00AE0549" w:rsidRPr="00A604A3" w:rsidRDefault="00AE0549" w:rsidP="0011470E">
            <w:pPr>
              <w:pStyle w:val="Tablelegend"/>
            </w:pPr>
            <w:r w:rsidRPr="00A604A3">
              <w:t>Note 1:</w:t>
            </w:r>
            <w:r w:rsidRPr="00A604A3">
              <w:tab/>
              <w:t xml:space="preserve">S = 3 is applicable only if </w:t>
            </w:r>
            <w:r w:rsidRPr="00A604A3">
              <w:rPr>
                <w:i/>
              </w:rPr>
              <w:t>dmrs-TypeA-Position</w:t>
            </w:r>
            <w:r w:rsidRPr="00A604A3">
              <w:t xml:space="preserve"> = 3</w:t>
            </w:r>
            <w:r w:rsidR="0011470E" w:rsidRPr="00A604A3">
              <w:t>.</w:t>
            </w:r>
          </w:p>
        </w:tc>
      </w:tr>
    </w:tbl>
    <w:p w:rsidR="00AE0549" w:rsidRPr="00A604A3" w:rsidRDefault="00AE0549" w:rsidP="0011470E">
      <w:pPr>
        <w:pStyle w:val="Tablefin"/>
      </w:pPr>
    </w:p>
    <w:p w:rsidR="00AE0549" w:rsidRPr="00A604A3" w:rsidRDefault="00AE0549" w:rsidP="0034756C">
      <w:r w:rsidRPr="00A604A3">
        <w:t>For mapping type A the downlink transmission can start at OFDM symbol 0, 1 or 2 (and 3 if dmrs-TypeA-Position=3) in the slot. In the calculations only S = 0, 1 or 2 was considered for Type A PDSCH. For mapping type B the transmission can start at any of the first 12 OFDM symbols (i.e. it cannot start at the last symbol) in the slot. For both mapping type A and B, the whole transmission must fit inside a slot (i.e. it cannot cross the slot boundary).</w:t>
      </w:r>
    </w:p>
    <w:p w:rsidR="00AE0549" w:rsidRPr="00A604A3" w:rsidRDefault="0034756C" w:rsidP="003E2FBE">
      <w:pPr>
        <w:pStyle w:val="Heading5"/>
        <w:rPr>
          <w:rFonts w:eastAsia="MS Mincho"/>
        </w:rPr>
      </w:pPr>
      <w:r w:rsidRPr="00A604A3">
        <w:rPr>
          <w:rFonts w:eastAsia="MS Mincho"/>
        </w:rPr>
        <w:t>II.5.7.2.2</w:t>
      </w:r>
      <w:r w:rsidRPr="00A604A3">
        <w:rPr>
          <w:rFonts w:eastAsia="MS Mincho"/>
        </w:rPr>
        <w:tab/>
      </w:r>
      <w:r w:rsidR="00AE0549" w:rsidRPr="00A604A3">
        <w:rPr>
          <w:rFonts w:eastAsia="MS Mincho"/>
        </w:rPr>
        <w:t>Downlink User Plane latency calculations</w:t>
      </w:r>
    </w:p>
    <w:p w:rsidR="00AE0549" w:rsidRPr="00A604A3" w:rsidRDefault="00AE0549" w:rsidP="0034756C">
      <w:r w:rsidRPr="00A604A3">
        <w:t>Based on the above analysis, our calculations in each step of the procedure are shown in Table 91.</w:t>
      </w:r>
    </w:p>
    <w:p w:rsidR="0011470E" w:rsidRPr="00A604A3" w:rsidRDefault="0034756C" w:rsidP="0034756C">
      <w:pPr>
        <w:pStyle w:val="TableNo"/>
        <w:rPr>
          <w:rFonts w:eastAsia="MS Mincho"/>
        </w:rPr>
      </w:pPr>
      <w:bookmarkStart w:id="447" w:name="_Ref31291725"/>
      <w:bookmarkStart w:id="448" w:name="_Toc32066407"/>
      <w:r w:rsidRPr="00A604A3">
        <w:rPr>
          <w:rFonts w:eastAsia="MS Mincho"/>
        </w:rPr>
        <w:lastRenderedPageBreak/>
        <w:t>Table 91</w:t>
      </w:r>
    </w:p>
    <w:p w:rsidR="001C0062" w:rsidRPr="00A604A3" w:rsidRDefault="001C0062" w:rsidP="0011470E">
      <w:pPr>
        <w:pStyle w:val="Tabletitle"/>
        <w:rPr>
          <w:rFonts w:eastAsia="MS Mincho"/>
        </w:rPr>
      </w:pPr>
      <w:r w:rsidRPr="00A604A3">
        <w:rPr>
          <w:rFonts w:eastAsia="MS Mincho"/>
        </w:rPr>
        <w:t>DL User Plane Latency calculation</w:t>
      </w:r>
      <w:bookmarkEnd w:id="447"/>
      <w:bookmarkEnd w:id="448"/>
    </w:p>
    <w:tbl>
      <w:tblPr>
        <w:tblStyle w:val="TableGrid"/>
        <w:tblW w:w="0" w:type="auto"/>
        <w:tblLook w:val="04A0" w:firstRow="1" w:lastRow="0" w:firstColumn="1" w:lastColumn="0" w:noHBand="0" w:noVBand="1"/>
      </w:tblPr>
      <w:tblGrid>
        <w:gridCol w:w="816"/>
        <w:gridCol w:w="8200"/>
      </w:tblGrid>
      <w:tr w:rsidR="00AE0549" w:rsidRPr="00A604A3" w:rsidTr="0034756C">
        <w:tc>
          <w:tcPr>
            <w:tcW w:w="816" w:type="dxa"/>
          </w:tcPr>
          <w:p w:rsidR="00AE0549" w:rsidRPr="00A604A3" w:rsidRDefault="00AE0549" w:rsidP="00470885">
            <w:pPr>
              <w:pStyle w:val="Tablehead"/>
              <w:rPr>
                <w:color w:val="000000" w:themeColor="text1"/>
                <w:lang w:eastAsia="zh-CN"/>
              </w:rPr>
            </w:pPr>
            <w:r w:rsidRPr="00A604A3">
              <w:rPr>
                <w:color w:val="000000" w:themeColor="text1"/>
                <w:lang w:eastAsia="zh-CN"/>
              </w:rPr>
              <w:t>ID</w:t>
            </w:r>
          </w:p>
        </w:tc>
        <w:tc>
          <w:tcPr>
            <w:tcW w:w="8200" w:type="dxa"/>
          </w:tcPr>
          <w:p w:rsidR="00AE0549" w:rsidRPr="00A604A3" w:rsidRDefault="00AE0549" w:rsidP="00470885">
            <w:pPr>
              <w:pStyle w:val="Tablehead"/>
              <w:rPr>
                <w:color w:val="000000" w:themeColor="text1"/>
                <w:lang w:eastAsia="zh-CN"/>
              </w:rPr>
            </w:pPr>
            <w:r w:rsidRPr="00A604A3">
              <w:rPr>
                <w:color w:val="000000" w:themeColor="text1"/>
                <w:lang w:eastAsia="zh-CN"/>
              </w:rPr>
              <w:t>Latency contribution</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1.1</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,2</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(3)</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1.2</w:t>
            </w:r>
          </w:p>
        </w:tc>
        <w:tc>
          <w:tcPr>
            <w:tcW w:w="8200" w:type="dxa"/>
          </w:tcPr>
          <w:p w:rsidR="00AE0549" w:rsidRPr="00A604A3" w:rsidRDefault="00AE0549" w:rsidP="00470885">
            <w:pPr>
              <w:jc w:val="center"/>
              <w:rPr>
                <w:sz w:val="20"/>
              </w:rPr>
            </w:pPr>
            <w:r w:rsidRPr="00A604A3">
              <w:rPr>
                <w:color w:val="000000" w:themeColor="text1"/>
                <w:sz w:val="20"/>
                <w:lang w:eastAsia="zh-CN"/>
              </w:rPr>
              <w:t>frame alignment time and the waiting time for next available DL slot with random starting points</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1.3</w:t>
            </w:r>
          </w:p>
        </w:tc>
        <w:tc>
          <w:tcPr>
            <w:tcW w:w="8200" w:type="dxa"/>
          </w:tcPr>
          <w:p w:rsidR="00AE0549" w:rsidRPr="00A604A3" w:rsidRDefault="00AE0549" w:rsidP="00470885">
            <w:pPr>
              <w:jc w:val="center"/>
              <w:rPr>
                <w:sz w:val="20"/>
              </w:rPr>
            </w:pPr>
            <w:r w:rsidRPr="00A604A3">
              <w:rPr>
                <w:sz w:val="20"/>
              </w:rPr>
              <w:t xml:space="preserve">Slot/non-slot duration = </w:t>
            </w:r>
            <m:oMath>
              <m:f>
                <m:fPr>
                  <m:ctrlPr>
                    <w:rPr>
                      <w:rFonts w:ascii="Cambria Math" w:hAnsi="Cambria Math"/>
                      <w:i/>
                      <w:color w:val="000000"/>
                      <w:sz w:val="20"/>
                    </w:rPr>
                  </m:ctrlPr>
                </m:fPr>
                <m:num>
                  <m:r>
                    <w:rPr>
                      <w:rFonts w:ascii="Cambria Math" w:hAnsi="Cambria Math"/>
                      <w:color w:val="000000"/>
                      <w:sz w:val="20"/>
                    </w:rPr>
                    <m:t>M</m:t>
                  </m:r>
                </m:num>
                <m:den>
                  <m:r>
                    <w:rPr>
                      <w:rFonts w:ascii="Cambria Math" w:hAnsi="Cambria Math"/>
                      <w:color w:val="000000"/>
                      <w:sz w:val="20"/>
                    </w:rPr>
                    <m:t>14</m:t>
                  </m:r>
                </m:den>
              </m:f>
              <m:r>
                <w:rPr>
                  <w:rFonts w:ascii="Cambria Math" w:hAnsi="Cambria Math"/>
                  <w:color w:val="000000"/>
                  <w:sz w:val="20"/>
                </w:rPr>
                <m:t>∙</m:t>
              </m:r>
              <m:sSup>
                <m:sSupPr>
                  <m:ctrlPr>
                    <w:rPr>
                      <w:rFonts w:ascii="Cambria Math" w:hAnsi="Cambria Math"/>
                      <w:i/>
                      <w:color w:val="000000"/>
                      <w:sz w:val="20"/>
                    </w:rPr>
                  </m:ctrlPr>
                </m:sSupPr>
                <m:e>
                  <m:r>
                    <w:rPr>
                      <w:rFonts w:ascii="Cambria Math" w:hAnsi="Cambria Math"/>
                      <w:color w:val="000000"/>
                      <w:sz w:val="20"/>
                    </w:rPr>
                    <m:t>2</m:t>
                  </m:r>
                </m:e>
                <m:sup>
                  <m:r>
                    <w:rPr>
                      <w:rFonts w:ascii="Cambria Math" w:hAnsi="Cambria Math"/>
                      <w:color w:val="000000"/>
                      <w:sz w:val="20"/>
                    </w:rPr>
                    <m:t>-μ</m:t>
                  </m:r>
                </m:sup>
              </m:sSup>
            </m:oMath>
            <w:r w:rsidRPr="00A604A3">
              <w:rPr>
                <w:rFonts w:eastAsiaTheme="minorEastAsia"/>
                <w:color w:val="000000"/>
                <w:sz w:val="20"/>
              </w:rPr>
              <w:t xml:space="preserve"> (</w:t>
            </w:r>
            <w:r w:rsidRPr="00A604A3">
              <w:rPr>
                <w:rFonts w:eastAsiaTheme="minorEastAsia"/>
                <w:i/>
                <w:color w:val="000000"/>
                <w:sz w:val="20"/>
              </w:rPr>
              <w:t>M</w:t>
            </w:r>
            <w:r w:rsidRPr="00A604A3">
              <w:rPr>
                <w:rFonts w:eastAsiaTheme="minorEastAsia"/>
                <w:color w:val="000000"/>
                <w:sz w:val="20"/>
              </w:rPr>
              <w:t xml:space="preserve"> = 2,4,7,14 OFDM symbols, </w:t>
            </w:r>
            <w:r w:rsidRPr="00A604A3">
              <w:rPr>
                <w:rFonts w:eastAsiaTheme="minorEastAsia"/>
                <w:i/>
                <w:color w:val="000000"/>
                <w:sz w:val="20"/>
              </w:rPr>
              <w:t>μ</w:t>
            </w:r>
            <w:r w:rsidRPr="00A604A3">
              <w:rPr>
                <w:rFonts w:eastAsiaTheme="minorEastAsia"/>
                <w:color w:val="000000"/>
                <w:sz w:val="20"/>
              </w:rPr>
              <w:t xml:space="preserve"> = subcarriers spacing)</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1.4</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,1</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(4)</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2.1</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,1</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(4)</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2.2</w:t>
            </w:r>
          </w:p>
        </w:tc>
        <w:tc>
          <w:tcPr>
            <w:tcW w:w="8200" w:type="dxa"/>
          </w:tcPr>
          <w:p w:rsidR="00AE0549" w:rsidRPr="00A604A3" w:rsidRDefault="00AE0549" w:rsidP="00470885">
            <w:pPr>
              <w:jc w:val="center"/>
              <w:rPr>
                <w:sz w:val="20"/>
              </w:rPr>
            </w:pPr>
            <w:r w:rsidRPr="00A604A3">
              <w:rPr>
                <w:color w:val="000000" w:themeColor="text1"/>
                <w:sz w:val="20"/>
                <w:lang w:eastAsia="zh-CN"/>
              </w:rPr>
              <w:t>frame alignment time and the waiting time for next available UL slot with random starting points</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2.3</w:t>
            </w:r>
          </w:p>
        </w:tc>
        <w:tc>
          <w:tcPr>
            <w:tcW w:w="8200" w:type="dxa"/>
          </w:tcPr>
          <w:p w:rsidR="00AE0549" w:rsidRPr="00A604A3" w:rsidRDefault="00AE0549" w:rsidP="00470885">
            <w:pPr>
              <w:jc w:val="center"/>
              <w:rPr>
                <w:sz w:val="20"/>
              </w:rPr>
            </w:pPr>
            <w:r w:rsidRPr="00A604A3">
              <w:rPr>
                <w:sz w:val="20"/>
              </w:rPr>
              <w:t xml:space="preserve">1 OFDM symbol = </w:t>
            </w:r>
            <m:oMath>
              <m:f>
                <m:fPr>
                  <m:ctrlPr>
                    <w:rPr>
                      <w:rFonts w:ascii="Cambria Math" w:hAnsi="Cambria Math"/>
                      <w:i/>
                      <w:color w:val="000000"/>
                      <w:sz w:val="20"/>
                    </w:rPr>
                  </m:ctrlPr>
                </m:fPr>
                <m:num>
                  <m:r>
                    <w:rPr>
                      <w:rFonts w:ascii="Cambria Math" w:hAnsi="Cambria Math"/>
                      <w:color w:val="000000"/>
                      <w:sz w:val="20"/>
                    </w:rPr>
                    <m:t>1</m:t>
                  </m:r>
                </m:num>
                <m:den>
                  <m:r>
                    <w:rPr>
                      <w:rFonts w:ascii="Cambria Math" w:hAnsi="Cambria Math"/>
                      <w:color w:val="000000"/>
                      <w:sz w:val="20"/>
                    </w:rPr>
                    <m:t>14</m:t>
                  </m:r>
                </m:den>
              </m:f>
              <m:r>
                <w:rPr>
                  <w:rFonts w:ascii="Cambria Math" w:hAnsi="Cambria Math"/>
                  <w:color w:val="000000"/>
                  <w:sz w:val="20"/>
                </w:rPr>
                <m:t>∙</m:t>
              </m:r>
              <m:sSup>
                <m:sSupPr>
                  <m:ctrlPr>
                    <w:rPr>
                      <w:rFonts w:ascii="Cambria Math" w:hAnsi="Cambria Math"/>
                      <w:i/>
                      <w:color w:val="000000"/>
                      <w:sz w:val="20"/>
                    </w:rPr>
                  </m:ctrlPr>
                </m:sSupPr>
                <m:e>
                  <m:r>
                    <w:rPr>
                      <w:rFonts w:ascii="Cambria Math" w:hAnsi="Cambria Math"/>
                      <w:color w:val="000000"/>
                      <w:sz w:val="20"/>
                    </w:rPr>
                    <m:t>2</m:t>
                  </m:r>
                </m:e>
                <m:sup>
                  <m:r>
                    <w:rPr>
                      <w:rFonts w:ascii="Cambria Math" w:hAnsi="Cambria Math"/>
                      <w:color w:val="000000"/>
                      <w:sz w:val="20"/>
                    </w:rPr>
                    <m:t>-μ</m:t>
                  </m:r>
                </m:sup>
              </m:sSup>
            </m:oMath>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2.4</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,2</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(3)</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2.5</w:t>
            </w:r>
          </w:p>
        </w:tc>
        <w:tc>
          <w:tcPr>
            <w:tcW w:w="8200" w:type="dxa"/>
          </w:tcPr>
          <w:p w:rsidR="00AE0549" w:rsidRPr="00A604A3" w:rsidRDefault="00AE0549" w:rsidP="00470885">
            <w:pPr>
              <w:jc w:val="center"/>
              <w:rPr>
                <w:sz w:val="20"/>
              </w:rPr>
            </w:pPr>
            <w:r w:rsidRPr="00A604A3">
              <w:rPr>
                <w:sz w:val="20"/>
              </w:rPr>
              <w:t>Re-calculate steps 1.1 to 1.4</w:t>
            </w:r>
          </w:p>
        </w:tc>
      </w:tr>
      <w:tr w:rsidR="00AE0549" w:rsidRPr="00A604A3" w:rsidTr="0034756C">
        <w:tc>
          <w:tcPr>
            <w:tcW w:w="816" w:type="dxa"/>
          </w:tcPr>
          <w:p w:rsidR="00AE0549" w:rsidRPr="00A604A3" w:rsidRDefault="0034756C" w:rsidP="00470885">
            <w:pPr>
              <w:pStyle w:val="Tabletext"/>
              <w:jc w:val="center"/>
              <w:rPr>
                <w:color w:val="000000" w:themeColor="text1"/>
              </w:rPr>
            </w:pPr>
            <w:r w:rsidRPr="00A604A3">
              <w:rPr>
                <w:color w:val="000000" w:themeColor="text1"/>
              </w:rPr>
              <w:t>–</w:t>
            </w:r>
          </w:p>
        </w:tc>
        <w:tc>
          <w:tcPr>
            <w:tcW w:w="8200" w:type="dxa"/>
          </w:tcPr>
          <w:p w:rsidR="00AE0549" w:rsidRPr="00A604A3" w:rsidRDefault="00AE0549" w:rsidP="00470885">
            <w:pPr>
              <w:jc w:val="center"/>
              <w:rPr>
                <w:sz w:val="20"/>
              </w:rPr>
            </w:pPr>
            <w:r w:rsidRPr="00A604A3">
              <w:rPr>
                <w:sz w:val="20"/>
              </w:rPr>
              <w:t>Random number of retransmissions</w:t>
            </w:r>
          </w:p>
        </w:tc>
      </w:tr>
    </w:tbl>
    <w:p w:rsidR="00AE0549" w:rsidRPr="00A604A3" w:rsidRDefault="00AE0549" w:rsidP="0034756C">
      <w:pPr>
        <w:pStyle w:val="Tablefin"/>
      </w:pPr>
    </w:p>
    <w:p w:rsidR="00AE0549" w:rsidRPr="00A604A3" w:rsidRDefault="00AE0549" w:rsidP="002072FE">
      <w:r w:rsidRPr="00A604A3">
        <w:t>The calculations are repeated a large number of times with random starting points and number of</w:t>
      </w:r>
      <w:r w:rsidRPr="00A604A3">
        <w:rPr>
          <w:sz w:val="20"/>
        </w:rPr>
        <w:t xml:space="preserve"> </w:t>
      </w:r>
      <w:r w:rsidRPr="00A604A3">
        <w:t xml:space="preserve">retransmissions. Then the results are averaged. The calculations have been realized for the same configurations provided in TR 37.910 assuming an initial transmission error probability of </w:t>
      </w:r>
      <w:r w:rsidRPr="00A604A3">
        <w:rPr>
          <w:i/>
        </w:rPr>
        <w:t>p</w:t>
      </w:r>
      <w:r w:rsidRPr="00A604A3">
        <w:t xml:space="preserve">=0 and </w:t>
      </w:r>
      <w:r w:rsidRPr="00A604A3">
        <w:rPr>
          <w:i/>
        </w:rPr>
        <w:t>p</w:t>
      </w:r>
      <w:r w:rsidRPr="00A604A3">
        <w:t>=0.1.</w:t>
      </w:r>
      <w:r w:rsidRPr="00A604A3">
        <w:rPr>
          <w:lang w:eastAsia="zh-CN"/>
        </w:rPr>
        <w:t xml:space="preserve"> 5G PPP IMT2020 Evaluation Group results are given below in Table 92.</w:t>
      </w:r>
    </w:p>
    <w:p w:rsidR="002072FE" w:rsidRPr="00A604A3" w:rsidRDefault="00B6548C" w:rsidP="00B6548C">
      <w:pPr>
        <w:pStyle w:val="TableNo"/>
        <w:rPr>
          <w:rFonts w:eastAsia="MS Mincho"/>
        </w:rPr>
      </w:pPr>
      <w:bookmarkStart w:id="449" w:name="_Ref31709790"/>
      <w:bookmarkStart w:id="450" w:name="_Toc32066408"/>
      <w:r w:rsidRPr="00A604A3">
        <w:rPr>
          <w:rFonts w:eastAsia="MS Mincho"/>
        </w:rPr>
        <w:t>Table 92</w:t>
      </w:r>
    </w:p>
    <w:p w:rsidR="002072FE" w:rsidRPr="00A604A3" w:rsidRDefault="002072FE" w:rsidP="002072FE">
      <w:pPr>
        <w:pStyle w:val="Tabletitle"/>
        <w:rPr>
          <w:rFonts w:eastAsia="MS Mincho"/>
        </w:rPr>
      </w:pPr>
      <w:r w:rsidRPr="00A604A3">
        <w:rPr>
          <w:rFonts w:eastAsia="MS Mincho"/>
        </w:rPr>
        <w:t>DL user plane latency for NR FDD (ms)</w:t>
      </w:r>
      <w:bookmarkEnd w:id="449"/>
      <w:bookmarkEnd w:id="450"/>
    </w:p>
    <w:tbl>
      <w:tblPr>
        <w:tblStyle w:val="TableGrid"/>
        <w:tblW w:w="4492" w:type="pct"/>
        <w:jc w:val="center"/>
        <w:tblLayout w:type="fixed"/>
        <w:tblCellMar>
          <w:left w:w="28" w:type="dxa"/>
          <w:right w:w="28" w:type="dxa"/>
        </w:tblCellMar>
        <w:tblLook w:val="04A0" w:firstRow="1" w:lastRow="0" w:firstColumn="1" w:lastColumn="0" w:noHBand="0" w:noVBand="1"/>
      </w:tblPr>
      <w:tblGrid>
        <w:gridCol w:w="989"/>
        <w:gridCol w:w="1003"/>
        <w:gridCol w:w="669"/>
        <w:gridCol w:w="776"/>
        <w:gridCol w:w="776"/>
        <w:gridCol w:w="776"/>
        <w:gridCol w:w="821"/>
        <w:gridCol w:w="735"/>
        <w:gridCol w:w="776"/>
        <w:gridCol w:w="779"/>
      </w:tblGrid>
      <w:tr w:rsidR="00AE0549" w:rsidRPr="00A604A3" w:rsidTr="002072FE">
        <w:trPr>
          <w:jc w:val="center"/>
        </w:trPr>
        <w:tc>
          <w:tcPr>
            <w:tcW w:w="1642" w:type="pct"/>
            <w:gridSpan w:val="3"/>
            <w:vMerge w:val="restart"/>
            <w:vAlign w:val="center"/>
            <w:hideMark/>
          </w:tcPr>
          <w:p w:rsidR="00AE0549" w:rsidRPr="00A604A3" w:rsidRDefault="00AE0549" w:rsidP="002072FE">
            <w:pPr>
              <w:pStyle w:val="Tablehead"/>
              <w:rPr>
                <w:lang w:eastAsia="zh-CN"/>
              </w:rPr>
            </w:pPr>
            <w:r w:rsidRPr="00A604A3">
              <w:rPr>
                <w:lang w:eastAsia="zh-CN"/>
              </w:rPr>
              <w:t>DL user plane latency – NR FDD</w:t>
            </w:r>
          </w:p>
        </w:tc>
        <w:tc>
          <w:tcPr>
            <w:tcW w:w="1944" w:type="pct"/>
            <w:gridSpan w:val="4"/>
            <w:vAlign w:val="center"/>
            <w:hideMark/>
          </w:tcPr>
          <w:p w:rsidR="00AE0549" w:rsidRPr="00A604A3" w:rsidRDefault="00AE0549" w:rsidP="002072FE">
            <w:pPr>
              <w:pStyle w:val="Tablehead"/>
              <w:rPr>
                <w:lang w:eastAsia="zh-CN"/>
              </w:rPr>
            </w:pPr>
            <w:r w:rsidRPr="00A604A3">
              <w:rPr>
                <w:lang w:eastAsia="zh-CN"/>
              </w:rPr>
              <w:t>UE capability 1</w:t>
            </w:r>
          </w:p>
        </w:tc>
        <w:tc>
          <w:tcPr>
            <w:tcW w:w="1414" w:type="pct"/>
            <w:gridSpan w:val="3"/>
            <w:vAlign w:val="center"/>
            <w:hideMark/>
          </w:tcPr>
          <w:p w:rsidR="00AE0549" w:rsidRPr="00A604A3" w:rsidRDefault="00AE0549" w:rsidP="002072FE">
            <w:pPr>
              <w:pStyle w:val="Tablehead"/>
              <w:rPr>
                <w:lang w:eastAsia="zh-CN"/>
              </w:rPr>
            </w:pPr>
            <w:r w:rsidRPr="00A604A3">
              <w:rPr>
                <w:lang w:eastAsia="zh-CN"/>
              </w:rPr>
              <w:t>UE capability 2</w:t>
            </w:r>
          </w:p>
        </w:tc>
      </w:tr>
      <w:tr w:rsidR="00AE0549" w:rsidRPr="00A604A3" w:rsidTr="002072FE">
        <w:trPr>
          <w:jc w:val="center"/>
        </w:trPr>
        <w:tc>
          <w:tcPr>
            <w:tcW w:w="1642" w:type="pct"/>
            <w:gridSpan w:val="3"/>
            <w:vMerge/>
            <w:vAlign w:val="center"/>
            <w:hideMark/>
          </w:tcPr>
          <w:p w:rsidR="00AE0549" w:rsidRPr="00A604A3" w:rsidRDefault="00AE0549" w:rsidP="002072FE">
            <w:pPr>
              <w:pStyle w:val="Tablehead"/>
              <w:rPr>
                <w:sz w:val="16"/>
                <w:szCs w:val="16"/>
                <w:lang w:eastAsia="zh-CN"/>
              </w:rPr>
            </w:pPr>
          </w:p>
        </w:tc>
        <w:tc>
          <w:tcPr>
            <w:tcW w:w="1944" w:type="pct"/>
            <w:gridSpan w:val="4"/>
            <w:vAlign w:val="center"/>
            <w:hideMark/>
          </w:tcPr>
          <w:p w:rsidR="00AE0549" w:rsidRPr="00A604A3" w:rsidRDefault="00AE0549" w:rsidP="002072FE">
            <w:pPr>
              <w:pStyle w:val="Tablehead"/>
              <w:rPr>
                <w:lang w:eastAsia="zh-CN"/>
              </w:rPr>
            </w:pPr>
            <w:r w:rsidRPr="00A604A3">
              <w:rPr>
                <w:lang w:eastAsia="zh-CN"/>
              </w:rPr>
              <w:t>SCS</w:t>
            </w:r>
          </w:p>
        </w:tc>
        <w:tc>
          <w:tcPr>
            <w:tcW w:w="1414" w:type="pct"/>
            <w:gridSpan w:val="3"/>
            <w:vAlign w:val="center"/>
            <w:hideMark/>
          </w:tcPr>
          <w:p w:rsidR="00AE0549" w:rsidRPr="00A604A3" w:rsidRDefault="00AE0549" w:rsidP="002072FE">
            <w:pPr>
              <w:pStyle w:val="Tablehead"/>
              <w:rPr>
                <w:lang w:eastAsia="zh-CN"/>
              </w:rPr>
            </w:pPr>
            <w:r w:rsidRPr="00A604A3">
              <w:rPr>
                <w:lang w:eastAsia="zh-CN"/>
              </w:rPr>
              <w:t>SCS</w:t>
            </w:r>
          </w:p>
        </w:tc>
      </w:tr>
      <w:tr w:rsidR="00AE0549" w:rsidRPr="00A604A3" w:rsidTr="002072FE">
        <w:trPr>
          <w:jc w:val="center"/>
        </w:trPr>
        <w:tc>
          <w:tcPr>
            <w:tcW w:w="1642" w:type="pct"/>
            <w:gridSpan w:val="3"/>
            <w:vMerge/>
            <w:vAlign w:val="center"/>
            <w:hideMark/>
          </w:tcPr>
          <w:p w:rsidR="00AE0549" w:rsidRPr="00A604A3" w:rsidRDefault="00AE0549" w:rsidP="002072FE">
            <w:pPr>
              <w:pStyle w:val="Tablehead"/>
              <w:rPr>
                <w:sz w:val="16"/>
                <w:szCs w:val="16"/>
                <w:lang w:eastAsia="zh-CN"/>
              </w:rPr>
            </w:pPr>
          </w:p>
        </w:tc>
        <w:tc>
          <w:tcPr>
            <w:tcW w:w="479"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2072FE">
            <w:pPr>
              <w:pStyle w:val="Tablehead"/>
              <w:rPr>
                <w:sz w:val="16"/>
                <w:szCs w:val="16"/>
                <w:lang w:eastAsia="zh-CN"/>
              </w:rPr>
            </w:pPr>
            <w:r w:rsidRPr="00A604A3">
              <w:rPr>
                <w:sz w:val="16"/>
                <w:szCs w:val="16"/>
                <w:lang w:eastAsia="zh-CN"/>
              </w:rPr>
              <w:t>30 kHz</w:t>
            </w:r>
          </w:p>
        </w:tc>
        <w:tc>
          <w:tcPr>
            <w:tcW w:w="479"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60 kHz</w:t>
            </w:r>
          </w:p>
        </w:tc>
        <w:tc>
          <w:tcPr>
            <w:tcW w:w="507"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120 kHz</w:t>
            </w:r>
          </w:p>
        </w:tc>
        <w:tc>
          <w:tcPr>
            <w:tcW w:w="454" w:type="pct"/>
            <w:vAlign w:val="center"/>
            <w:hideMark/>
          </w:tcPr>
          <w:p w:rsidR="00AE0549" w:rsidRPr="00A604A3" w:rsidRDefault="00AE0549" w:rsidP="002072FE">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2072FE">
            <w:pPr>
              <w:pStyle w:val="Tablehead"/>
              <w:rPr>
                <w:sz w:val="16"/>
                <w:szCs w:val="16"/>
                <w:lang w:eastAsia="zh-CN"/>
              </w:rPr>
            </w:pPr>
            <w:r w:rsidRPr="00A604A3">
              <w:rPr>
                <w:sz w:val="16"/>
                <w:szCs w:val="16"/>
                <w:lang w:eastAsia="zh-CN"/>
              </w:rPr>
              <w:t>30 kHz</w:t>
            </w:r>
          </w:p>
        </w:tc>
        <w:tc>
          <w:tcPr>
            <w:tcW w:w="481" w:type="pct"/>
            <w:vAlign w:val="center"/>
            <w:hideMark/>
          </w:tcPr>
          <w:p w:rsidR="00AE0549" w:rsidRPr="00A604A3" w:rsidRDefault="00AE0549" w:rsidP="002072FE">
            <w:pPr>
              <w:pStyle w:val="Tablehead"/>
              <w:rPr>
                <w:sz w:val="16"/>
                <w:szCs w:val="16"/>
                <w:lang w:eastAsia="zh-CN"/>
              </w:rPr>
            </w:pPr>
            <w:r w:rsidRPr="00A604A3">
              <w:rPr>
                <w:sz w:val="16"/>
                <w:szCs w:val="16"/>
                <w:lang w:eastAsia="zh-CN"/>
              </w:rPr>
              <w:t>60 kHz</w:t>
            </w:r>
          </w:p>
        </w:tc>
      </w:tr>
      <w:tr w:rsidR="00AE0549" w:rsidRPr="00A604A3" w:rsidTr="002072FE">
        <w:trPr>
          <w:jc w:val="center"/>
        </w:trPr>
        <w:tc>
          <w:tcPr>
            <w:tcW w:w="610" w:type="pct"/>
            <w:vMerge w:val="restart"/>
            <w:vAlign w:val="center"/>
            <w:hideMark/>
          </w:tcPr>
          <w:p w:rsidR="00AE0549" w:rsidRPr="00A604A3" w:rsidRDefault="00AE0549" w:rsidP="002072FE">
            <w:pPr>
              <w:pStyle w:val="Tabletext"/>
              <w:rPr>
                <w:b/>
                <w:bCs/>
                <w:lang w:eastAsia="zh-CN"/>
              </w:rPr>
            </w:pPr>
            <w:r w:rsidRPr="00A604A3">
              <w:rPr>
                <w:b/>
                <w:bCs/>
                <w:lang w:eastAsia="zh-CN"/>
              </w:rPr>
              <w:t>Resource mapping Type A</w:t>
            </w: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M=4 (4OS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1.33</w:t>
            </w:r>
          </w:p>
        </w:tc>
        <w:tc>
          <w:tcPr>
            <w:tcW w:w="479" w:type="pct"/>
          </w:tcPr>
          <w:p w:rsidR="00AE0549" w:rsidRPr="00A604A3" w:rsidRDefault="00AE0549" w:rsidP="002072FE">
            <w:pPr>
              <w:pStyle w:val="Tabletext"/>
              <w:jc w:val="center"/>
              <w:rPr>
                <w:color w:val="000000"/>
              </w:rPr>
            </w:pPr>
            <w:r w:rsidRPr="00A604A3">
              <w:rPr>
                <w:color w:val="000000"/>
              </w:rPr>
              <w:t>0.74</w:t>
            </w:r>
          </w:p>
        </w:tc>
        <w:tc>
          <w:tcPr>
            <w:tcW w:w="479" w:type="pct"/>
            <w:noWrap/>
          </w:tcPr>
          <w:p w:rsidR="00AE0549" w:rsidRPr="00A604A3" w:rsidRDefault="00AE0549" w:rsidP="002072FE">
            <w:pPr>
              <w:pStyle w:val="Tabletext"/>
              <w:jc w:val="center"/>
              <w:rPr>
                <w:color w:val="000000"/>
              </w:rPr>
            </w:pPr>
            <w:r w:rsidRPr="00A604A3">
              <w:rPr>
                <w:color w:val="000000"/>
              </w:rPr>
              <w:t>0.54</w:t>
            </w:r>
          </w:p>
        </w:tc>
        <w:tc>
          <w:tcPr>
            <w:tcW w:w="507" w:type="pct"/>
            <w:noWrap/>
          </w:tcPr>
          <w:p w:rsidR="00AE0549" w:rsidRPr="00A604A3" w:rsidRDefault="00AE0549" w:rsidP="002072FE">
            <w:pPr>
              <w:pStyle w:val="Tabletext"/>
              <w:jc w:val="center"/>
              <w:rPr>
                <w:color w:val="000000"/>
              </w:rPr>
            </w:pPr>
            <w:r w:rsidRPr="00A604A3">
              <w:rPr>
                <w:color w:val="000000"/>
              </w:rPr>
              <w:t>0.34</w:t>
            </w:r>
          </w:p>
        </w:tc>
        <w:tc>
          <w:tcPr>
            <w:tcW w:w="454" w:type="pct"/>
          </w:tcPr>
          <w:p w:rsidR="00AE0549" w:rsidRPr="00A604A3" w:rsidRDefault="00AE0549" w:rsidP="002072FE">
            <w:pPr>
              <w:pStyle w:val="Tabletext"/>
              <w:jc w:val="center"/>
              <w:rPr>
                <w:color w:val="000000"/>
              </w:rPr>
            </w:pPr>
            <w:r w:rsidRPr="00A604A3">
              <w:rPr>
                <w:color w:val="000000"/>
              </w:rPr>
              <w:t>1.02</w:t>
            </w:r>
          </w:p>
        </w:tc>
        <w:tc>
          <w:tcPr>
            <w:tcW w:w="479" w:type="pct"/>
          </w:tcPr>
          <w:p w:rsidR="00AE0549" w:rsidRPr="00A604A3" w:rsidRDefault="00AE0549" w:rsidP="002072FE">
            <w:pPr>
              <w:pStyle w:val="Tabletext"/>
              <w:jc w:val="center"/>
              <w:rPr>
                <w:color w:val="000000"/>
              </w:rPr>
            </w:pPr>
            <w:r w:rsidRPr="00A604A3">
              <w:rPr>
                <w:color w:val="000000"/>
              </w:rPr>
              <w:t>0.55</w:t>
            </w:r>
          </w:p>
        </w:tc>
        <w:tc>
          <w:tcPr>
            <w:tcW w:w="481" w:type="pct"/>
          </w:tcPr>
          <w:p w:rsidR="00AE0549" w:rsidRPr="00A604A3" w:rsidRDefault="00AE0549" w:rsidP="002072FE">
            <w:pPr>
              <w:pStyle w:val="Tabletext"/>
              <w:jc w:val="center"/>
              <w:rPr>
                <w:color w:val="000000"/>
              </w:rPr>
            </w:pPr>
            <w:r w:rsidRPr="00A604A3">
              <w:rPr>
                <w:color w:val="000000"/>
              </w:rPr>
              <w:t>0.36</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1.55</w:t>
            </w:r>
          </w:p>
        </w:tc>
        <w:tc>
          <w:tcPr>
            <w:tcW w:w="479" w:type="pct"/>
          </w:tcPr>
          <w:p w:rsidR="00AE0549" w:rsidRPr="00A604A3" w:rsidRDefault="00AE0549" w:rsidP="002072FE">
            <w:pPr>
              <w:pStyle w:val="Tabletext"/>
              <w:jc w:val="center"/>
              <w:rPr>
                <w:color w:val="000000"/>
              </w:rPr>
            </w:pPr>
            <w:r w:rsidRPr="00A604A3">
              <w:rPr>
                <w:color w:val="000000"/>
              </w:rPr>
              <w:t>0.85</w:t>
            </w:r>
          </w:p>
        </w:tc>
        <w:tc>
          <w:tcPr>
            <w:tcW w:w="479" w:type="pct"/>
            <w:noWrap/>
          </w:tcPr>
          <w:p w:rsidR="00AE0549" w:rsidRPr="00A604A3" w:rsidRDefault="00AE0549" w:rsidP="002072FE">
            <w:pPr>
              <w:pStyle w:val="Tabletext"/>
              <w:jc w:val="center"/>
              <w:rPr>
                <w:color w:val="000000"/>
              </w:rPr>
            </w:pPr>
            <w:r w:rsidRPr="00A604A3">
              <w:rPr>
                <w:color w:val="000000"/>
              </w:rPr>
              <w:t>0.65</w:t>
            </w:r>
          </w:p>
        </w:tc>
        <w:tc>
          <w:tcPr>
            <w:tcW w:w="507" w:type="pct"/>
            <w:noWrap/>
          </w:tcPr>
          <w:p w:rsidR="00AE0549" w:rsidRPr="00A604A3" w:rsidRDefault="00AE0549" w:rsidP="002072FE">
            <w:pPr>
              <w:pStyle w:val="Tabletext"/>
              <w:jc w:val="center"/>
              <w:rPr>
                <w:color w:val="000000"/>
              </w:rPr>
            </w:pPr>
            <w:r w:rsidRPr="00A604A3">
              <w:rPr>
                <w:color w:val="000000"/>
              </w:rPr>
              <w:t>0.41</w:t>
            </w:r>
          </w:p>
        </w:tc>
        <w:tc>
          <w:tcPr>
            <w:tcW w:w="454" w:type="pct"/>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0.66</w:t>
            </w:r>
          </w:p>
        </w:tc>
        <w:tc>
          <w:tcPr>
            <w:tcW w:w="481" w:type="pct"/>
          </w:tcPr>
          <w:p w:rsidR="00AE0549" w:rsidRPr="00A604A3" w:rsidRDefault="00AE0549" w:rsidP="002072FE">
            <w:pPr>
              <w:pStyle w:val="Tabletext"/>
              <w:jc w:val="center"/>
              <w:rPr>
                <w:color w:val="000000"/>
              </w:rPr>
            </w:pPr>
            <w:r w:rsidRPr="00A604A3">
              <w:rPr>
                <w:color w:val="000000"/>
              </w:rPr>
              <w:t>0.42</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M=7 (7OS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1.55</w:t>
            </w:r>
          </w:p>
        </w:tc>
        <w:tc>
          <w:tcPr>
            <w:tcW w:w="479" w:type="pct"/>
          </w:tcPr>
          <w:p w:rsidR="00AE0549" w:rsidRPr="00A604A3" w:rsidRDefault="00AE0549" w:rsidP="002072FE">
            <w:pPr>
              <w:pStyle w:val="Tabletext"/>
              <w:jc w:val="center"/>
              <w:rPr>
                <w:color w:val="000000"/>
              </w:rPr>
            </w:pPr>
            <w:r w:rsidRPr="00A604A3">
              <w:rPr>
                <w:color w:val="000000"/>
              </w:rPr>
              <w:t>0.85</w:t>
            </w:r>
          </w:p>
        </w:tc>
        <w:tc>
          <w:tcPr>
            <w:tcW w:w="479" w:type="pct"/>
            <w:noWrap/>
          </w:tcPr>
          <w:p w:rsidR="00AE0549" w:rsidRPr="00A604A3" w:rsidRDefault="00AE0549" w:rsidP="002072FE">
            <w:pPr>
              <w:pStyle w:val="Tabletext"/>
              <w:jc w:val="center"/>
              <w:rPr>
                <w:color w:val="000000"/>
              </w:rPr>
            </w:pPr>
            <w:r w:rsidRPr="00A604A3">
              <w:rPr>
                <w:color w:val="000000"/>
              </w:rPr>
              <w:t>0.59</w:t>
            </w:r>
          </w:p>
        </w:tc>
        <w:tc>
          <w:tcPr>
            <w:tcW w:w="507" w:type="pct"/>
            <w:noWrap/>
          </w:tcPr>
          <w:p w:rsidR="00AE0549" w:rsidRPr="00A604A3" w:rsidRDefault="00AE0549" w:rsidP="002072FE">
            <w:pPr>
              <w:pStyle w:val="Tabletext"/>
              <w:jc w:val="center"/>
              <w:rPr>
                <w:color w:val="000000"/>
              </w:rPr>
            </w:pPr>
            <w:r w:rsidRPr="00A604A3">
              <w:rPr>
                <w:color w:val="000000"/>
              </w:rPr>
              <w:t>0.36</w:t>
            </w:r>
          </w:p>
        </w:tc>
        <w:tc>
          <w:tcPr>
            <w:tcW w:w="454" w:type="pct"/>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0.66</w:t>
            </w:r>
          </w:p>
        </w:tc>
        <w:tc>
          <w:tcPr>
            <w:tcW w:w="481" w:type="pct"/>
          </w:tcPr>
          <w:p w:rsidR="00AE0549" w:rsidRPr="00A604A3" w:rsidRDefault="00AE0549" w:rsidP="002072FE">
            <w:pPr>
              <w:pStyle w:val="Tabletext"/>
              <w:jc w:val="center"/>
              <w:rPr>
                <w:color w:val="000000"/>
              </w:rPr>
            </w:pPr>
            <w:r w:rsidRPr="00A604A3">
              <w:rPr>
                <w:color w:val="000000"/>
              </w:rPr>
              <w:t>0.42</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1.89</w:t>
            </w:r>
          </w:p>
        </w:tc>
        <w:tc>
          <w:tcPr>
            <w:tcW w:w="479" w:type="pct"/>
          </w:tcPr>
          <w:p w:rsidR="00AE0549" w:rsidRPr="00A604A3" w:rsidRDefault="00AE0549" w:rsidP="002072FE">
            <w:pPr>
              <w:pStyle w:val="Tabletext"/>
              <w:jc w:val="center"/>
              <w:rPr>
                <w:color w:val="000000"/>
              </w:rPr>
            </w:pPr>
            <w:r w:rsidRPr="00A604A3">
              <w:rPr>
                <w:color w:val="000000"/>
              </w:rPr>
              <w:t>1.02</w:t>
            </w:r>
          </w:p>
        </w:tc>
        <w:tc>
          <w:tcPr>
            <w:tcW w:w="479" w:type="pct"/>
            <w:noWrap/>
          </w:tcPr>
          <w:p w:rsidR="00AE0549" w:rsidRPr="00A604A3" w:rsidRDefault="00AE0549" w:rsidP="002072FE">
            <w:pPr>
              <w:pStyle w:val="Tabletext"/>
              <w:jc w:val="center"/>
              <w:rPr>
                <w:color w:val="000000"/>
              </w:rPr>
            </w:pPr>
            <w:r w:rsidRPr="00A604A3">
              <w:rPr>
                <w:color w:val="000000"/>
              </w:rPr>
              <w:t>0.71</w:t>
            </w:r>
          </w:p>
        </w:tc>
        <w:tc>
          <w:tcPr>
            <w:tcW w:w="507" w:type="pct"/>
            <w:noWrap/>
          </w:tcPr>
          <w:p w:rsidR="00AE0549" w:rsidRPr="00A604A3" w:rsidRDefault="00AE0549" w:rsidP="002072FE">
            <w:pPr>
              <w:pStyle w:val="Tabletext"/>
              <w:jc w:val="center"/>
              <w:rPr>
                <w:color w:val="000000"/>
              </w:rPr>
            </w:pPr>
            <w:r w:rsidRPr="00A604A3">
              <w:rPr>
                <w:color w:val="000000"/>
              </w:rPr>
              <w:t>0.44</w:t>
            </w:r>
          </w:p>
        </w:tc>
        <w:tc>
          <w:tcPr>
            <w:tcW w:w="454" w:type="pct"/>
          </w:tcPr>
          <w:p w:rsidR="00AE0549" w:rsidRPr="00A604A3" w:rsidRDefault="00AE0549" w:rsidP="002072FE">
            <w:pPr>
              <w:pStyle w:val="Tabletext"/>
              <w:jc w:val="center"/>
              <w:rPr>
                <w:color w:val="000000"/>
              </w:rPr>
            </w:pPr>
            <w:r w:rsidRPr="00A604A3">
              <w:rPr>
                <w:color w:val="000000"/>
              </w:rPr>
              <w:t>1.45</w:t>
            </w:r>
          </w:p>
        </w:tc>
        <w:tc>
          <w:tcPr>
            <w:tcW w:w="479" w:type="pct"/>
          </w:tcPr>
          <w:p w:rsidR="00AE0549" w:rsidRPr="00A604A3" w:rsidRDefault="00AE0549" w:rsidP="002072FE">
            <w:pPr>
              <w:pStyle w:val="Tabletext"/>
              <w:jc w:val="center"/>
              <w:rPr>
                <w:color w:val="000000"/>
              </w:rPr>
            </w:pPr>
            <w:r w:rsidRPr="00A604A3">
              <w:rPr>
                <w:color w:val="000000"/>
              </w:rPr>
              <w:t>0.78</w:t>
            </w:r>
          </w:p>
        </w:tc>
        <w:tc>
          <w:tcPr>
            <w:tcW w:w="481" w:type="pct"/>
          </w:tcPr>
          <w:p w:rsidR="00AE0549" w:rsidRPr="00A604A3" w:rsidRDefault="00AE0549" w:rsidP="002072FE">
            <w:pPr>
              <w:pStyle w:val="Tabletext"/>
              <w:jc w:val="center"/>
              <w:rPr>
                <w:color w:val="000000"/>
              </w:rPr>
            </w:pPr>
            <w:r w:rsidRPr="00A604A3">
              <w:rPr>
                <w:color w:val="000000"/>
              </w:rPr>
              <w:t>0.50</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M=14 (14OS 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2.18</w:t>
            </w:r>
          </w:p>
        </w:tc>
        <w:tc>
          <w:tcPr>
            <w:tcW w:w="479" w:type="pct"/>
          </w:tcPr>
          <w:p w:rsidR="00AE0549" w:rsidRPr="00A604A3" w:rsidRDefault="00AE0549" w:rsidP="002072FE">
            <w:pPr>
              <w:pStyle w:val="Tabletext"/>
              <w:jc w:val="center"/>
              <w:rPr>
                <w:color w:val="000000"/>
              </w:rPr>
            </w:pPr>
            <w:r w:rsidRPr="00A604A3">
              <w:rPr>
                <w:color w:val="000000"/>
              </w:rPr>
              <w:t>1.16</w:t>
            </w:r>
          </w:p>
        </w:tc>
        <w:tc>
          <w:tcPr>
            <w:tcW w:w="479" w:type="pct"/>
            <w:noWrap/>
          </w:tcPr>
          <w:p w:rsidR="00AE0549" w:rsidRPr="00A604A3" w:rsidRDefault="00AE0549" w:rsidP="002072FE">
            <w:pPr>
              <w:pStyle w:val="Tabletext"/>
              <w:jc w:val="center"/>
              <w:rPr>
                <w:color w:val="000000"/>
              </w:rPr>
            </w:pPr>
            <w:r w:rsidRPr="00A604A3">
              <w:rPr>
                <w:color w:val="000000"/>
              </w:rPr>
              <w:t>0.75</w:t>
            </w:r>
          </w:p>
        </w:tc>
        <w:tc>
          <w:tcPr>
            <w:tcW w:w="507" w:type="pct"/>
            <w:noWrap/>
          </w:tcPr>
          <w:p w:rsidR="00AE0549" w:rsidRPr="00A604A3" w:rsidRDefault="00AE0549" w:rsidP="002072FE">
            <w:pPr>
              <w:pStyle w:val="Tabletext"/>
              <w:jc w:val="center"/>
              <w:rPr>
                <w:color w:val="000000"/>
              </w:rPr>
            </w:pPr>
            <w:r w:rsidRPr="00A604A3">
              <w:rPr>
                <w:color w:val="000000"/>
              </w:rPr>
              <w:t>0.44</w:t>
            </w:r>
          </w:p>
        </w:tc>
        <w:tc>
          <w:tcPr>
            <w:tcW w:w="454" w:type="pct"/>
          </w:tcPr>
          <w:p w:rsidR="00AE0549" w:rsidRPr="00A604A3" w:rsidRDefault="00AE0549" w:rsidP="002072FE">
            <w:pPr>
              <w:pStyle w:val="Tabletext"/>
              <w:jc w:val="center"/>
              <w:rPr>
                <w:color w:val="000000"/>
              </w:rPr>
            </w:pPr>
            <w:r w:rsidRPr="00A604A3">
              <w:rPr>
                <w:color w:val="000000"/>
              </w:rPr>
              <w:t>1.86</w:t>
            </w:r>
          </w:p>
        </w:tc>
        <w:tc>
          <w:tcPr>
            <w:tcW w:w="479" w:type="pct"/>
          </w:tcPr>
          <w:p w:rsidR="00AE0549" w:rsidRPr="00A604A3" w:rsidRDefault="00AE0549" w:rsidP="002072FE">
            <w:pPr>
              <w:pStyle w:val="Tabletext"/>
              <w:jc w:val="center"/>
              <w:rPr>
                <w:color w:val="000000"/>
              </w:rPr>
            </w:pPr>
            <w:r w:rsidRPr="00A604A3">
              <w:rPr>
                <w:color w:val="000000"/>
              </w:rPr>
              <w:t>0.98</w:t>
            </w:r>
          </w:p>
        </w:tc>
        <w:tc>
          <w:tcPr>
            <w:tcW w:w="481" w:type="pct"/>
          </w:tcPr>
          <w:p w:rsidR="00AE0549" w:rsidRPr="00A604A3" w:rsidRDefault="00AE0549" w:rsidP="002072FE">
            <w:pPr>
              <w:pStyle w:val="Tabletext"/>
              <w:jc w:val="center"/>
              <w:rPr>
                <w:color w:val="000000"/>
              </w:rPr>
            </w:pPr>
            <w:r w:rsidRPr="00A604A3">
              <w:rPr>
                <w:color w:val="000000"/>
              </w:rPr>
              <w:t>0.57</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2.50</w:t>
            </w:r>
          </w:p>
        </w:tc>
        <w:tc>
          <w:tcPr>
            <w:tcW w:w="479" w:type="pct"/>
          </w:tcPr>
          <w:p w:rsidR="00AE0549" w:rsidRPr="00A604A3" w:rsidRDefault="00AE0549" w:rsidP="002072FE">
            <w:pPr>
              <w:pStyle w:val="Tabletext"/>
              <w:jc w:val="center"/>
              <w:rPr>
                <w:color w:val="000000"/>
              </w:rPr>
            </w:pPr>
            <w:r w:rsidRPr="00A604A3">
              <w:rPr>
                <w:color w:val="000000"/>
              </w:rPr>
              <w:t>1.32</w:t>
            </w:r>
          </w:p>
        </w:tc>
        <w:tc>
          <w:tcPr>
            <w:tcW w:w="479" w:type="pct"/>
            <w:noWrap/>
          </w:tcPr>
          <w:p w:rsidR="00AE0549" w:rsidRPr="00A604A3" w:rsidRDefault="00AE0549" w:rsidP="002072FE">
            <w:pPr>
              <w:pStyle w:val="Tabletext"/>
              <w:jc w:val="center"/>
              <w:rPr>
                <w:color w:val="000000"/>
              </w:rPr>
            </w:pPr>
            <w:r w:rsidRPr="00A604A3">
              <w:rPr>
                <w:color w:val="000000"/>
              </w:rPr>
              <w:t>0.89</w:t>
            </w:r>
          </w:p>
        </w:tc>
        <w:tc>
          <w:tcPr>
            <w:tcW w:w="507" w:type="pct"/>
            <w:noWrap/>
          </w:tcPr>
          <w:p w:rsidR="00AE0549" w:rsidRPr="00A604A3" w:rsidRDefault="00AE0549" w:rsidP="002072FE">
            <w:pPr>
              <w:pStyle w:val="Tabletext"/>
              <w:jc w:val="center"/>
              <w:rPr>
                <w:color w:val="000000"/>
              </w:rPr>
            </w:pPr>
            <w:r w:rsidRPr="00A604A3">
              <w:rPr>
                <w:color w:val="000000"/>
              </w:rPr>
              <w:t>0.53</w:t>
            </w:r>
          </w:p>
        </w:tc>
        <w:tc>
          <w:tcPr>
            <w:tcW w:w="454" w:type="pct"/>
          </w:tcPr>
          <w:p w:rsidR="00AE0549" w:rsidRPr="00A604A3" w:rsidRDefault="00AE0549" w:rsidP="002072FE">
            <w:pPr>
              <w:pStyle w:val="Tabletext"/>
              <w:jc w:val="center"/>
              <w:rPr>
                <w:color w:val="000000"/>
              </w:rPr>
            </w:pPr>
            <w:r w:rsidRPr="00A604A3">
              <w:rPr>
                <w:color w:val="000000"/>
              </w:rPr>
              <w:t>2.19</w:t>
            </w:r>
          </w:p>
        </w:tc>
        <w:tc>
          <w:tcPr>
            <w:tcW w:w="479" w:type="pct"/>
          </w:tcPr>
          <w:p w:rsidR="00AE0549" w:rsidRPr="00A604A3" w:rsidRDefault="00AE0549" w:rsidP="002072FE">
            <w:pPr>
              <w:pStyle w:val="Tabletext"/>
              <w:jc w:val="center"/>
              <w:rPr>
                <w:color w:val="000000"/>
              </w:rPr>
            </w:pPr>
            <w:r w:rsidRPr="00A604A3">
              <w:rPr>
                <w:color w:val="000000"/>
              </w:rPr>
              <w:t>1.14</w:t>
            </w:r>
          </w:p>
        </w:tc>
        <w:tc>
          <w:tcPr>
            <w:tcW w:w="481" w:type="pct"/>
          </w:tcPr>
          <w:p w:rsidR="00AE0549" w:rsidRPr="00A604A3" w:rsidRDefault="00AE0549" w:rsidP="002072FE">
            <w:pPr>
              <w:pStyle w:val="Tabletext"/>
              <w:jc w:val="center"/>
              <w:rPr>
                <w:color w:val="000000"/>
              </w:rPr>
            </w:pPr>
            <w:r w:rsidRPr="00A604A3">
              <w:rPr>
                <w:color w:val="000000"/>
              </w:rPr>
              <w:t>0.65</w:t>
            </w:r>
          </w:p>
        </w:tc>
      </w:tr>
      <w:tr w:rsidR="00AE0549" w:rsidRPr="00A604A3" w:rsidTr="002072FE">
        <w:trPr>
          <w:jc w:val="center"/>
        </w:trPr>
        <w:tc>
          <w:tcPr>
            <w:tcW w:w="610" w:type="pct"/>
            <w:vMerge w:val="restart"/>
            <w:vAlign w:val="center"/>
            <w:hideMark/>
          </w:tcPr>
          <w:p w:rsidR="00AE0549" w:rsidRPr="00A604A3" w:rsidRDefault="00AE0549" w:rsidP="002072FE">
            <w:pPr>
              <w:pStyle w:val="Tabletext"/>
              <w:rPr>
                <w:b/>
                <w:bCs/>
                <w:lang w:eastAsia="zh-CN"/>
              </w:rPr>
            </w:pPr>
            <w:r w:rsidRPr="00A604A3">
              <w:rPr>
                <w:b/>
                <w:bCs/>
                <w:lang w:eastAsia="zh-CN"/>
              </w:rPr>
              <w:t>Resource mapping Type B</w:t>
            </w: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M=2 (2OS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0.86</w:t>
            </w:r>
          </w:p>
        </w:tc>
        <w:tc>
          <w:tcPr>
            <w:tcW w:w="479" w:type="pct"/>
          </w:tcPr>
          <w:p w:rsidR="00AE0549" w:rsidRPr="00A604A3" w:rsidRDefault="00AE0549" w:rsidP="002072FE">
            <w:pPr>
              <w:pStyle w:val="Tabletext"/>
              <w:jc w:val="center"/>
              <w:rPr>
                <w:color w:val="000000"/>
              </w:rPr>
            </w:pPr>
            <w:r w:rsidRPr="00A604A3">
              <w:rPr>
                <w:color w:val="000000"/>
              </w:rPr>
              <w:t>0.50</w:t>
            </w:r>
          </w:p>
        </w:tc>
        <w:tc>
          <w:tcPr>
            <w:tcW w:w="479" w:type="pct"/>
            <w:noWrap/>
          </w:tcPr>
          <w:p w:rsidR="00AE0549" w:rsidRPr="00A604A3" w:rsidRDefault="00AE0549" w:rsidP="002072FE">
            <w:pPr>
              <w:pStyle w:val="Tabletext"/>
              <w:jc w:val="center"/>
              <w:rPr>
                <w:color w:val="000000"/>
              </w:rPr>
            </w:pPr>
            <w:r w:rsidRPr="00A604A3">
              <w:rPr>
                <w:color w:val="000000"/>
              </w:rPr>
              <w:t>0.42</w:t>
            </w:r>
          </w:p>
        </w:tc>
        <w:tc>
          <w:tcPr>
            <w:tcW w:w="507" w:type="pct"/>
            <w:noWrap/>
          </w:tcPr>
          <w:p w:rsidR="00AE0549" w:rsidRPr="00A604A3" w:rsidRDefault="00AE0549" w:rsidP="002072FE">
            <w:pPr>
              <w:pStyle w:val="Tabletext"/>
              <w:jc w:val="center"/>
              <w:rPr>
                <w:color w:val="000000"/>
              </w:rPr>
            </w:pPr>
            <w:r w:rsidRPr="00A604A3">
              <w:rPr>
                <w:color w:val="000000"/>
              </w:rPr>
              <w:t>0.28</w:t>
            </w:r>
          </w:p>
        </w:tc>
        <w:tc>
          <w:tcPr>
            <w:tcW w:w="454" w:type="pct"/>
          </w:tcPr>
          <w:p w:rsidR="00AE0549" w:rsidRPr="00A604A3" w:rsidRDefault="00AE0549" w:rsidP="002072FE">
            <w:pPr>
              <w:pStyle w:val="Tabletext"/>
              <w:jc w:val="center"/>
              <w:rPr>
                <w:color w:val="000000"/>
              </w:rPr>
            </w:pPr>
            <w:r w:rsidRPr="00A604A3">
              <w:rPr>
                <w:color w:val="000000"/>
              </w:rPr>
              <w:t>0.54</w:t>
            </w:r>
          </w:p>
        </w:tc>
        <w:tc>
          <w:tcPr>
            <w:tcW w:w="479" w:type="pct"/>
          </w:tcPr>
          <w:p w:rsidR="00AE0549" w:rsidRPr="00A604A3" w:rsidRDefault="00AE0549" w:rsidP="002072FE">
            <w:pPr>
              <w:pStyle w:val="Tabletext"/>
              <w:jc w:val="center"/>
              <w:rPr>
                <w:color w:val="000000"/>
              </w:rPr>
            </w:pPr>
            <w:r w:rsidRPr="00A604A3">
              <w:rPr>
                <w:color w:val="000000"/>
              </w:rPr>
              <w:t>0.32</w:t>
            </w:r>
          </w:p>
        </w:tc>
        <w:tc>
          <w:tcPr>
            <w:tcW w:w="481" w:type="pct"/>
          </w:tcPr>
          <w:p w:rsidR="00AE0549" w:rsidRPr="00A604A3" w:rsidRDefault="00AE0549" w:rsidP="002072FE">
            <w:pPr>
              <w:pStyle w:val="Tabletext"/>
              <w:jc w:val="center"/>
              <w:rPr>
                <w:color w:val="000000"/>
              </w:rPr>
            </w:pPr>
            <w:r w:rsidRPr="00A604A3">
              <w:rPr>
                <w:color w:val="000000"/>
              </w:rPr>
              <w:t>0.24</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1.03</w:t>
            </w:r>
          </w:p>
        </w:tc>
        <w:tc>
          <w:tcPr>
            <w:tcW w:w="479" w:type="pct"/>
          </w:tcPr>
          <w:p w:rsidR="00AE0549" w:rsidRPr="00A604A3" w:rsidRDefault="00AE0549" w:rsidP="002072FE">
            <w:pPr>
              <w:pStyle w:val="Tabletext"/>
              <w:jc w:val="center"/>
              <w:rPr>
                <w:color w:val="000000"/>
              </w:rPr>
            </w:pPr>
            <w:r w:rsidRPr="00A604A3">
              <w:rPr>
                <w:color w:val="000000"/>
              </w:rPr>
              <w:t>0.60</w:t>
            </w:r>
          </w:p>
        </w:tc>
        <w:tc>
          <w:tcPr>
            <w:tcW w:w="479" w:type="pct"/>
            <w:noWrap/>
          </w:tcPr>
          <w:p w:rsidR="00AE0549" w:rsidRPr="00A604A3" w:rsidRDefault="00AE0549" w:rsidP="002072FE">
            <w:pPr>
              <w:pStyle w:val="Tabletext"/>
              <w:jc w:val="center"/>
              <w:rPr>
                <w:color w:val="000000"/>
              </w:rPr>
            </w:pPr>
            <w:r w:rsidRPr="00A604A3">
              <w:rPr>
                <w:color w:val="000000"/>
              </w:rPr>
              <w:t>0.51</w:t>
            </w:r>
          </w:p>
        </w:tc>
        <w:tc>
          <w:tcPr>
            <w:tcW w:w="507" w:type="pct"/>
            <w:noWrap/>
          </w:tcPr>
          <w:p w:rsidR="00AE0549" w:rsidRPr="00A604A3" w:rsidRDefault="00AE0549" w:rsidP="002072FE">
            <w:pPr>
              <w:pStyle w:val="Tabletext"/>
              <w:jc w:val="center"/>
              <w:rPr>
                <w:color w:val="000000"/>
              </w:rPr>
            </w:pPr>
            <w:r w:rsidRPr="00A604A3">
              <w:rPr>
                <w:color w:val="000000"/>
              </w:rPr>
              <w:t>0.34</w:t>
            </w:r>
          </w:p>
        </w:tc>
        <w:tc>
          <w:tcPr>
            <w:tcW w:w="454" w:type="pct"/>
          </w:tcPr>
          <w:p w:rsidR="00AE0549" w:rsidRPr="00A604A3" w:rsidRDefault="00AE0549" w:rsidP="002072FE">
            <w:pPr>
              <w:pStyle w:val="Tabletext"/>
              <w:jc w:val="center"/>
              <w:rPr>
                <w:color w:val="000000"/>
              </w:rPr>
            </w:pPr>
            <w:r w:rsidRPr="00A604A3">
              <w:rPr>
                <w:color w:val="000000"/>
              </w:rPr>
              <w:t>0.64</w:t>
            </w:r>
          </w:p>
        </w:tc>
        <w:tc>
          <w:tcPr>
            <w:tcW w:w="479" w:type="pct"/>
          </w:tcPr>
          <w:p w:rsidR="00AE0549" w:rsidRPr="00A604A3" w:rsidRDefault="00AE0549" w:rsidP="002072FE">
            <w:pPr>
              <w:pStyle w:val="Tabletext"/>
              <w:jc w:val="center"/>
              <w:rPr>
                <w:color w:val="000000"/>
              </w:rPr>
            </w:pPr>
            <w:r w:rsidRPr="00A604A3">
              <w:rPr>
                <w:color w:val="000000"/>
              </w:rPr>
              <w:t>0.38</w:t>
            </w:r>
          </w:p>
        </w:tc>
        <w:tc>
          <w:tcPr>
            <w:tcW w:w="481" w:type="pct"/>
          </w:tcPr>
          <w:p w:rsidR="00AE0549" w:rsidRPr="00A604A3" w:rsidRDefault="00AE0549" w:rsidP="002072FE">
            <w:pPr>
              <w:pStyle w:val="Tabletext"/>
              <w:jc w:val="center"/>
              <w:rPr>
                <w:color w:val="000000"/>
              </w:rPr>
            </w:pPr>
            <w:r w:rsidRPr="00A604A3">
              <w:rPr>
                <w:color w:val="000000"/>
              </w:rPr>
              <w:t>0.29</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M=4 (4OS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1.03</w:t>
            </w:r>
          </w:p>
        </w:tc>
        <w:tc>
          <w:tcPr>
            <w:tcW w:w="479" w:type="pct"/>
          </w:tcPr>
          <w:p w:rsidR="00AE0549" w:rsidRPr="00A604A3" w:rsidRDefault="00AE0549" w:rsidP="002072FE">
            <w:pPr>
              <w:pStyle w:val="Tabletext"/>
              <w:jc w:val="center"/>
              <w:rPr>
                <w:color w:val="000000"/>
              </w:rPr>
            </w:pPr>
            <w:r w:rsidRPr="00A604A3">
              <w:rPr>
                <w:color w:val="000000"/>
              </w:rPr>
              <w:t>0.59</w:t>
            </w:r>
          </w:p>
        </w:tc>
        <w:tc>
          <w:tcPr>
            <w:tcW w:w="479" w:type="pct"/>
            <w:noWrap/>
          </w:tcPr>
          <w:p w:rsidR="00AE0549" w:rsidRPr="00A604A3" w:rsidRDefault="00AE0549" w:rsidP="002072FE">
            <w:pPr>
              <w:pStyle w:val="Tabletext"/>
              <w:jc w:val="center"/>
              <w:rPr>
                <w:color w:val="000000"/>
              </w:rPr>
            </w:pPr>
            <w:r w:rsidRPr="00A604A3">
              <w:rPr>
                <w:color w:val="000000"/>
              </w:rPr>
              <w:t>0.46</w:t>
            </w:r>
          </w:p>
        </w:tc>
        <w:tc>
          <w:tcPr>
            <w:tcW w:w="507" w:type="pct"/>
            <w:noWrap/>
          </w:tcPr>
          <w:p w:rsidR="00AE0549" w:rsidRPr="00A604A3" w:rsidRDefault="00AE0549" w:rsidP="002072FE">
            <w:pPr>
              <w:pStyle w:val="Tabletext"/>
              <w:jc w:val="center"/>
              <w:rPr>
                <w:color w:val="000000"/>
              </w:rPr>
            </w:pPr>
            <w:r w:rsidRPr="00A604A3">
              <w:rPr>
                <w:color w:val="000000"/>
              </w:rPr>
              <w:t>0.30</w:t>
            </w:r>
          </w:p>
        </w:tc>
        <w:tc>
          <w:tcPr>
            <w:tcW w:w="454" w:type="pct"/>
          </w:tcPr>
          <w:p w:rsidR="00AE0549" w:rsidRPr="00A604A3" w:rsidRDefault="00AE0549" w:rsidP="002072FE">
            <w:pPr>
              <w:pStyle w:val="Tabletext"/>
              <w:jc w:val="center"/>
              <w:rPr>
                <w:color w:val="000000"/>
              </w:rPr>
            </w:pPr>
            <w:r w:rsidRPr="00A604A3">
              <w:rPr>
                <w:color w:val="000000"/>
              </w:rPr>
              <w:t>0.71</w:t>
            </w:r>
          </w:p>
        </w:tc>
        <w:tc>
          <w:tcPr>
            <w:tcW w:w="479" w:type="pct"/>
          </w:tcPr>
          <w:p w:rsidR="00AE0549" w:rsidRPr="00A604A3" w:rsidRDefault="00AE0549" w:rsidP="002072FE">
            <w:pPr>
              <w:pStyle w:val="Tabletext"/>
              <w:jc w:val="center"/>
              <w:rPr>
                <w:color w:val="000000"/>
              </w:rPr>
            </w:pPr>
            <w:r w:rsidRPr="00A604A3">
              <w:rPr>
                <w:color w:val="000000"/>
              </w:rPr>
              <w:t>0.40</w:t>
            </w:r>
          </w:p>
        </w:tc>
        <w:tc>
          <w:tcPr>
            <w:tcW w:w="481" w:type="pct"/>
          </w:tcPr>
          <w:p w:rsidR="00AE0549" w:rsidRPr="00A604A3" w:rsidRDefault="00AE0549" w:rsidP="002072FE">
            <w:pPr>
              <w:pStyle w:val="Tabletext"/>
              <w:jc w:val="center"/>
              <w:rPr>
                <w:color w:val="000000"/>
              </w:rPr>
            </w:pPr>
            <w:r w:rsidRPr="00A604A3">
              <w:rPr>
                <w:color w:val="000000"/>
              </w:rPr>
              <w:t>0.28</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0.70</w:t>
            </w:r>
          </w:p>
        </w:tc>
        <w:tc>
          <w:tcPr>
            <w:tcW w:w="479" w:type="pct"/>
            <w:noWrap/>
          </w:tcPr>
          <w:p w:rsidR="00AE0549" w:rsidRPr="00A604A3" w:rsidRDefault="00AE0549" w:rsidP="002072FE">
            <w:pPr>
              <w:pStyle w:val="Tabletext"/>
              <w:jc w:val="center"/>
              <w:rPr>
                <w:color w:val="000000"/>
              </w:rPr>
            </w:pPr>
            <w:r w:rsidRPr="00A604A3">
              <w:rPr>
                <w:color w:val="000000"/>
              </w:rPr>
              <w:t>0.56</w:t>
            </w:r>
          </w:p>
        </w:tc>
        <w:tc>
          <w:tcPr>
            <w:tcW w:w="507" w:type="pct"/>
            <w:noWrap/>
          </w:tcPr>
          <w:p w:rsidR="00AE0549" w:rsidRPr="00A604A3" w:rsidRDefault="00AE0549" w:rsidP="002072FE">
            <w:pPr>
              <w:pStyle w:val="Tabletext"/>
              <w:jc w:val="center"/>
              <w:rPr>
                <w:color w:val="000000"/>
              </w:rPr>
            </w:pPr>
            <w:r w:rsidRPr="00A604A3">
              <w:rPr>
                <w:color w:val="000000"/>
              </w:rPr>
              <w:t>0.36</w:t>
            </w:r>
          </w:p>
        </w:tc>
        <w:tc>
          <w:tcPr>
            <w:tcW w:w="454" w:type="pct"/>
          </w:tcPr>
          <w:p w:rsidR="00AE0549" w:rsidRPr="00A604A3" w:rsidRDefault="00AE0549" w:rsidP="002072FE">
            <w:pPr>
              <w:pStyle w:val="Tabletext"/>
              <w:jc w:val="center"/>
              <w:rPr>
                <w:color w:val="000000"/>
              </w:rPr>
            </w:pPr>
            <w:r w:rsidRPr="00A604A3">
              <w:rPr>
                <w:color w:val="000000"/>
              </w:rPr>
              <w:t>0.83</w:t>
            </w:r>
          </w:p>
        </w:tc>
        <w:tc>
          <w:tcPr>
            <w:tcW w:w="479" w:type="pct"/>
          </w:tcPr>
          <w:p w:rsidR="00AE0549" w:rsidRPr="00A604A3" w:rsidRDefault="00AE0549" w:rsidP="002072FE">
            <w:pPr>
              <w:pStyle w:val="Tabletext"/>
              <w:jc w:val="center"/>
              <w:rPr>
                <w:color w:val="000000"/>
              </w:rPr>
            </w:pPr>
            <w:r w:rsidRPr="00A604A3">
              <w:rPr>
                <w:color w:val="000000"/>
              </w:rPr>
              <w:t>0.47</w:t>
            </w:r>
          </w:p>
        </w:tc>
        <w:tc>
          <w:tcPr>
            <w:tcW w:w="481" w:type="pct"/>
          </w:tcPr>
          <w:p w:rsidR="00AE0549" w:rsidRPr="00A604A3" w:rsidRDefault="00AE0549" w:rsidP="002072FE">
            <w:pPr>
              <w:pStyle w:val="Tabletext"/>
              <w:jc w:val="center"/>
              <w:rPr>
                <w:color w:val="000000"/>
              </w:rPr>
            </w:pPr>
            <w:r w:rsidRPr="00A604A3">
              <w:rPr>
                <w:color w:val="000000"/>
              </w:rPr>
              <w:t>0.34</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M=7 (7OS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1.32</w:t>
            </w:r>
          </w:p>
        </w:tc>
        <w:tc>
          <w:tcPr>
            <w:tcW w:w="479" w:type="pct"/>
          </w:tcPr>
          <w:p w:rsidR="00AE0549" w:rsidRPr="00A604A3" w:rsidRDefault="00AE0549" w:rsidP="002072FE">
            <w:pPr>
              <w:pStyle w:val="Tabletext"/>
              <w:jc w:val="center"/>
              <w:rPr>
                <w:color w:val="000000"/>
              </w:rPr>
            </w:pPr>
            <w:r w:rsidRPr="00A604A3">
              <w:rPr>
                <w:color w:val="000000"/>
              </w:rPr>
              <w:t>0.73</w:t>
            </w:r>
          </w:p>
        </w:tc>
        <w:tc>
          <w:tcPr>
            <w:tcW w:w="479" w:type="pct"/>
            <w:noWrap/>
          </w:tcPr>
          <w:p w:rsidR="00AE0549" w:rsidRPr="00A604A3" w:rsidRDefault="00AE0549" w:rsidP="002072FE">
            <w:pPr>
              <w:pStyle w:val="Tabletext"/>
              <w:jc w:val="center"/>
              <w:rPr>
                <w:color w:val="000000"/>
              </w:rPr>
            </w:pPr>
            <w:r w:rsidRPr="00A604A3">
              <w:rPr>
                <w:color w:val="000000"/>
              </w:rPr>
              <w:t>0.54</w:t>
            </w:r>
          </w:p>
        </w:tc>
        <w:tc>
          <w:tcPr>
            <w:tcW w:w="507" w:type="pct"/>
            <w:noWrap/>
          </w:tcPr>
          <w:p w:rsidR="00AE0549" w:rsidRPr="00A604A3" w:rsidRDefault="00AE0549" w:rsidP="002072FE">
            <w:pPr>
              <w:pStyle w:val="Tabletext"/>
              <w:jc w:val="center"/>
              <w:rPr>
                <w:color w:val="000000"/>
              </w:rPr>
            </w:pPr>
            <w:r w:rsidRPr="00A604A3">
              <w:rPr>
                <w:color w:val="000000"/>
              </w:rPr>
              <w:t>0.33</w:t>
            </w:r>
          </w:p>
        </w:tc>
        <w:tc>
          <w:tcPr>
            <w:tcW w:w="454" w:type="pct"/>
          </w:tcPr>
          <w:p w:rsidR="00AE0549" w:rsidRPr="00A604A3" w:rsidRDefault="00AE0549" w:rsidP="002072FE">
            <w:pPr>
              <w:pStyle w:val="Tabletext"/>
              <w:jc w:val="center"/>
              <w:rPr>
                <w:color w:val="000000"/>
              </w:rPr>
            </w:pPr>
            <w:r w:rsidRPr="00A604A3">
              <w:rPr>
                <w:color w:val="000000"/>
              </w:rPr>
              <w:t>1.00</w:t>
            </w:r>
          </w:p>
        </w:tc>
        <w:tc>
          <w:tcPr>
            <w:tcW w:w="479" w:type="pct"/>
          </w:tcPr>
          <w:p w:rsidR="00AE0549" w:rsidRPr="00A604A3" w:rsidRDefault="00AE0549" w:rsidP="002072FE">
            <w:pPr>
              <w:pStyle w:val="Tabletext"/>
              <w:jc w:val="center"/>
              <w:rPr>
                <w:color w:val="000000"/>
              </w:rPr>
            </w:pPr>
            <w:r w:rsidRPr="00A604A3">
              <w:rPr>
                <w:color w:val="000000"/>
              </w:rPr>
              <w:t>0.54</w:t>
            </w:r>
          </w:p>
        </w:tc>
        <w:tc>
          <w:tcPr>
            <w:tcW w:w="481" w:type="pct"/>
          </w:tcPr>
          <w:p w:rsidR="00AE0549" w:rsidRPr="00A604A3" w:rsidRDefault="00AE0549" w:rsidP="002072FE">
            <w:pPr>
              <w:pStyle w:val="Tabletext"/>
              <w:jc w:val="center"/>
              <w:rPr>
                <w:color w:val="000000"/>
              </w:rPr>
            </w:pPr>
            <w:r w:rsidRPr="00A604A3">
              <w:rPr>
                <w:color w:val="000000"/>
              </w:rPr>
              <w:t>0.36</w:t>
            </w:r>
          </w:p>
        </w:tc>
      </w:tr>
      <w:tr w:rsidR="00AE0549" w:rsidRPr="00A604A3" w:rsidTr="002072FE">
        <w:trPr>
          <w:jc w:val="center"/>
        </w:trPr>
        <w:tc>
          <w:tcPr>
            <w:tcW w:w="610" w:type="pct"/>
            <w:vMerge/>
            <w:hideMark/>
          </w:tcPr>
          <w:p w:rsidR="00AE0549" w:rsidRPr="00A604A3" w:rsidRDefault="00AE0549" w:rsidP="002072FE">
            <w:pPr>
              <w:pStyle w:val="Tabletext"/>
              <w:rPr>
                <w:b/>
                <w:bCs/>
                <w:sz w:val="16"/>
                <w:szCs w:val="16"/>
                <w:lang w:eastAsia="zh-CN"/>
              </w:rPr>
            </w:pPr>
          </w:p>
        </w:tc>
        <w:tc>
          <w:tcPr>
            <w:tcW w:w="619" w:type="pct"/>
            <w:vMerge/>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1.54</w:t>
            </w:r>
          </w:p>
        </w:tc>
        <w:tc>
          <w:tcPr>
            <w:tcW w:w="479" w:type="pct"/>
          </w:tcPr>
          <w:p w:rsidR="00AE0549" w:rsidRPr="00A604A3" w:rsidRDefault="00AE0549" w:rsidP="002072FE">
            <w:pPr>
              <w:pStyle w:val="Tabletext"/>
              <w:jc w:val="center"/>
              <w:rPr>
                <w:color w:val="000000"/>
              </w:rPr>
            </w:pPr>
            <w:r w:rsidRPr="00A604A3">
              <w:rPr>
                <w:color w:val="000000"/>
              </w:rPr>
              <w:t>0.86</w:t>
            </w:r>
          </w:p>
        </w:tc>
        <w:tc>
          <w:tcPr>
            <w:tcW w:w="479" w:type="pct"/>
            <w:noWrap/>
          </w:tcPr>
          <w:p w:rsidR="00AE0549" w:rsidRPr="00A604A3" w:rsidRDefault="00AE0549" w:rsidP="002072FE">
            <w:pPr>
              <w:pStyle w:val="Tabletext"/>
              <w:jc w:val="center"/>
              <w:rPr>
                <w:color w:val="000000"/>
              </w:rPr>
            </w:pPr>
            <w:r w:rsidRPr="00A604A3">
              <w:rPr>
                <w:color w:val="000000"/>
              </w:rPr>
              <w:t>0.64</w:t>
            </w:r>
          </w:p>
        </w:tc>
        <w:tc>
          <w:tcPr>
            <w:tcW w:w="507" w:type="pct"/>
            <w:noWrap/>
          </w:tcPr>
          <w:p w:rsidR="00AE0549" w:rsidRPr="00A604A3" w:rsidRDefault="00AE0549" w:rsidP="002072FE">
            <w:pPr>
              <w:pStyle w:val="Tabletext"/>
              <w:jc w:val="center"/>
              <w:rPr>
                <w:color w:val="000000"/>
              </w:rPr>
            </w:pPr>
            <w:r w:rsidRPr="00A604A3">
              <w:rPr>
                <w:color w:val="000000"/>
              </w:rPr>
              <w:t>0.40</w:t>
            </w:r>
          </w:p>
        </w:tc>
        <w:tc>
          <w:tcPr>
            <w:tcW w:w="454" w:type="pct"/>
          </w:tcPr>
          <w:p w:rsidR="00AE0549" w:rsidRPr="00A604A3" w:rsidRDefault="00AE0549" w:rsidP="002072FE">
            <w:pPr>
              <w:pStyle w:val="Tabletext"/>
              <w:jc w:val="center"/>
              <w:rPr>
                <w:color w:val="000000"/>
              </w:rPr>
            </w:pPr>
            <w:r w:rsidRPr="00A604A3">
              <w:rPr>
                <w:color w:val="000000"/>
              </w:rPr>
              <w:t>1.16</w:t>
            </w:r>
          </w:p>
        </w:tc>
        <w:tc>
          <w:tcPr>
            <w:tcW w:w="479" w:type="pct"/>
          </w:tcPr>
          <w:p w:rsidR="00AE0549" w:rsidRPr="00A604A3" w:rsidRDefault="00AE0549" w:rsidP="002072FE">
            <w:pPr>
              <w:pStyle w:val="Tabletext"/>
              <w:jc w:val="center"/>
              <w:rPr>
                <w:color w:val="000000"/>
              </w:rPr>
            </w:pPr>
            <w:r w:rsidRPr="00A604A3">
              <w:rPr>
                <w:color w:val="000000"/>
              </w:rPr>
              <w:t>0.65</w:t>
            </w:r>
          </w:p>
        </w:tc>
        <w:tc>
          <w:tcPr>
            <w:tcW w:w="481" w:type="pct"/>
          </w:tcPr>
          <w:p w:rsidR="00AE0549" w:rsidRPr="00A604A3" w:rsidRDefault="00AE0549" w:rsidP="002072FE">
            <w:pPr>
              <w:pStyle w:val="Tabletext"/>
              <w:jc w:val="center"/>
              <w:rPr>
                <w:color w:val="000000"/>
              </w:rPr>
            </w:pPr>
            <w:r w:rsidRPr="00A604A3">
              <w:rPr>
                <w:color w:val="000000"/>
              </w:rPr>
              <w:t>0.42</w:t>
            </w:r>
          </w:p>
        </w:tc>
      </w:tr>
    </w:tbl>
    <w:p w:rsidR="00AE0549" w:rsidRPr="00A604A3" w:rsidRDefault="00AE0549" w:rsidP="002072FE">
      <w:pPr>
        <w:pStyle w:val="Tablefin"/>
      </w:pPr>
    </w:p>
    <w:p w:rsidR="00AE0549" w:rsidRPr="00A604A3" w:rsidRDefault="00AE0549" w:rsidP="002072FE">
      <w:pPr>
        <w:rPr>
          <w:lang w:eastAsia="zh-CN"/>
        </w:rPr>
      </w:pPr>
      <w:r w:rsidRPr="00A604A3">
        <w:lastRenderedPageBreak/>
        <w:t>For NR TDD</w:t>
      </w:r>
      <w:r w:rsidRPr="00A604A3">
        <w:rPr>
          <w:lang w:eastAsia="zh-CN"/>
        </w:rPr>
        <w:t xml:space="preserve"> of DDDSU (with S slot = 11DL:1GP:2UL), DSUUD (with S slot = 11DL:1GP:2UL), and DUDU (without GP) have been evaluated and given in Table 93 to Table 95.</w:t>
      </w:r>
    </w:p>
    <w:p w:rsidR="002072FE" w:rsidRPr="00A604A3" w:rsidRDefault="00B6548C" w:rsidP="00B6548C">
      <w:pPr>
        <w:pStyle w:val="TableNo"/>
        <w:rPr>
          <w:rFonts w:eastAsia="MS Mincho"/>
        </w:rPr>
      </w:pPr>
      <w:bookmarkStart w:id="451" w:name="_Ref31709902"/>
      <w:bookmarkStart w:id="452" w:name="_Toc32066409"/>
      <w:r w:rsidRPr="00A604A3">
        <w:rPr>
          <w:rFonts w:eastAsia="MS Mincho"/>
        </w:rPr>
        <w:t>Table 93</w:t>
      </w:r>
    </w:p>
    <w:p w:rsidR="002072FE" w:rsidRPr="00A604A3" w:rsidRDefault="002072FE" w:rsidP="002072FE">
      <w:pPr>
        <w:pStyle w:val="Tabletitle"/>
        <w:rPr>
          <w:rFonts w:eastAsia="MS Mincho"/>
        </w:rPr>
      </w:pPr>
      <w:r w:rsidRPr="00A604A3">
        <w:rPr>
          <w:rFonts w:eastAsia="MS Mincho"/>
        </w:rPr>
        <w:t>DL user plane latency for NR TDD (ms)</w:t>
      </w:r>
      <w:r w:rsidRPr="00A604A3">
        <w:rPr>
          <w:rFonts w:eastAsia="MS Mincho"/>
        </w:rPr>
        <w:br/>
        <w:t>(Frame structure: DDDSU)</w:t>
      </w:r>
      <w:bookmarkEnd w:id="451"/>
      <w:bookmarkEnd w:id="452"/>
    </w:p>
    <w:tbl>
      <w:tblPr>
        <w:tblStyle w:val="TableGrid"/>
        <w:tblW w:w="4251" w:type="pct"/>
        <w:jc w:val="center"/>
        <w:tblLayout w:type="fixed"/>
        <w:tblLook w:val="04A0" w:firstRow="1" w:lastRow="0" w:firstColumn="1" w:lastColumn="0" w:noHBand="0" w:noVBand="1"/>
      </w:tblPr>
      <w:tblGrid>
        <w:gridCol w:w="1270"/>
        <w:gridCol w:w="1157"/>
        <w:gridCol w:w="622"/>
        <w:gridCol w:w="728"/>
        <w:gridCol w:w="777"/>
        <w:gridCol w:w="777"/>
        <w:gridCol w:w="782"/>
        <w:gridCol w:w="776"/>
        <w:gridCol w:w="776"/>
      </w:tblGrid>
      <w:tr w:rsidR="00AE0549" w:rsidRPr="00A604A3" w:rsidTr="00B6548C">
        <w:trPr>
          <w:trHeight w:val="208"/>
          <w:jc w:val="center"/>
        </w:trPr>
        <w:tc>
          <w:tcPr>
            <w:tcW w:w="1989" w:type="pct"/>
            <w:gridSpan w:val="3"/>
            <w:vMerge w:val="restart"/>
            <w:vAlign w:val="center"/>
            <w:hideMark/>
          </w:tcPr>
          <w:p w:rsidR="00AE0549" w:rsidRPr="00A604A3" w:rsidRDefault="00AE0549" w:rsidP="00B6548C">
            <w:pPr>
              <w:pStyle w:val="Tablehead"/>
              <w:rPr>
                <w:lang w:eastAsia="zh-CN"/>
              </w:rPr>
            </w:pPr>
            <w:r w:rsidRPr="00A604A3">
              <w:rPr>
                <w:lang w:eastAsia="zh-CN"/>
              </w:rPr>
              <w:t>DL user plane latency – NR TDD (DDDSU)</w:t>
            </w:r>
          </w:p>
        </w:tc>
        <w:tc>
          <w:tcPr>
            <w:tcW w:w="1489" w:type="pct"/>
            <w:gridSpan w:val="3"/>
            <w:vAlign w:val="center"/>
            <w:hideMark/>
          </w:tcPr>
          <w:p w:rsidR="00AE0549" w:rsidRPr="00A604A3" w:rsidRDefault="00AE0549" w:rsidP="00B6548C">
            <w:pPr>
              <w:pStyle w:val="Tablehead"/>
              <w:rPr>
                <w:lang w:eastAsia="zh-CN"/>
              </w:rPr>
            </w:pPr>
            <w:r w:rsidRPr="00A604A3">
              <w:rPr>
                <w:lang w:eastAsia="zh-CN"/>
              </w:rPr>
              <w:t>UE capability 1</w:t>
            </w:r>
          </w:p>
        </w:tc>
        <w:tc>
          <w:tcPr>
            <w:tcW w:w="1523" w:type="pct"/>
            <w:gridSpan w:val="3"/>
            <w:vAlign w:val="center"/>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trHeight w:val="185"/>
          <w:jc w:val="center"/>
        </w:trPr>
        <w:tc>
          <w:tcPr>
            <w:tcW w:w="1989" w:type="pct"/>
            <w:gridSpan w:val="3"/>
            <w:vMerge/>
            <w:vAlign w:val="center"/>
            <w:hideMark/>
          </w:tcPr>
          <w:p w:rsidR="00AE0549" w:rsidRPr="00A604A3" w:rsidRDefault="00AE0549" w:rsidP="00B6548C">
            <w:pPr>
              <w:pStyle w:val="Tablehead"/>
              <w:rPr>
                <w:sz w:val="16"/>
                <w:szCs w:val="16"/>
                <w:lang w:eastAsia="zh-CN"/>
              </w:rPr>
            </w:pPr>
          </w:p>
        </w:tc>
        <w:tc>
          <w:tcPr>
            <w:tcW w:w="1489" w:type="pct"/>
            <w:gridSpan w:val="3"/>
            <w:vAlign w:val="center"/>
            <w:hideMark/>
          </w:tcPr>
          <w:p w:rsidR="00AE0549" w:rsidRPr="00A604A3" w:rsidRDefault="00AE0549" w:rsidP="00B6548C">
            <w:pPr>
              <w:pStyle w:val="Tablehead"/>
              <w:rPr>
                <w:lang w:eastAsia="zh-CN"/>
              </w:rPr>
            </w:pPr>
            <w:r w:rsidRPr="00A604A3">
              <w:rPr>
                <w:lang w:eastAsia="zh-CN"/>
              </w:rPr>
              <w:t>SCS</w:t>
            </w:r>
          </w:p>
        </w:tc>
        <w:tc>
          <w:tcPr>
            <w:tcW w:w="1523" w:type="pct"/>
            <w:gridSpan w:val="3"/>
            <w:vAlign w:val="center"/>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trHeight w:val="72"/>
          <w:jc w:val="center"/>
        </w:trPr>
        <w:tc>
          <w:tcPr>
            <w:tcW w:w="1989" w:type="pct"/>
            <w:gridSpan w:val="3"/>
            <w:vMerge/>
            <w:vAlign w:val="center"/>
            <w:hideMark/>
          </w:tcPr>
          <w:p w:rsidR="00AE0549" w:rsidRPr="00A604A3" w:rsidRDefault="00AE0549" w:rsidP="00B6548C">
            <w:pPr>
              <w:pStyle w:val="Tablehead"/>
              <w:rPr>
                <w:sz w:val="16"/>
                <w:szCs w:val="16"/>
                <w:lang w:eastAsia="zh-CN"/>
              </w:rPr>
            </w:pPr>
          </w:p>
        </w:tc>
        <w:tc>
          <w:tcPr>
            <w:tcW w:w="475"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507"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507"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10" w:type="pct"/>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506"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506" w:type="pct"/>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trHeight w:val="160"/>
          <w:jc w:val="center"/>
        </w:trPr>
        <w:tc>
          <w:tcPr>
            <w:tcW w:w="828"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1.55</w:t>
            </w:r>
          </w:p>
        </w:tc>
        <w:tc>
          <w:tcPr>
            <w:tcW w:w="507" w:type="pct"/>
            <w:vAlign w:val="center"/>
          </w:tcPr>
          <w:p w:rsidR="00AE0549" w:rsidRPr="00A604A3" w:rsidRDefault="00AE0549" w:rsidP="00B6548C">
            <w:pPr>
              <w:pStyle w:val="Tabletext"/>
              <w:jc w:val="center"/>
              <w:rPr>
                <w:color w:val="000000"/>
              </w:rPr>
            </w:pPr>
            <w:r w:rsidRPr="00A604A3">
              <w:rPr>
                <w:color w:val="000000"/>
              </w:rPr>
              <w:t>0.83</w:t>
            </w:r>
          </w:p>
        </w:tc>
        <w:tc>
          <w:tcPr>
            <w:tcW w:w="507" w:type="pct"/>
            <w:noWrap/>
            <w:vAlign w:val="center"/>
          </w:tcPr>
          <w:p w:rsidR="00AE0549" w:rsidRPr="00A604A3" w:rsidRDefault="00AE0549" w:rsidP="00B6548C">
            <w:pPr>
              <w:pStyle w:val="Tabletext"/>
              <w:jc w:val="center"/>
              <w:rPr>
                <w:color w:val="000000"/>
              </w:rPr>
            </w:pPr>
            <w:r w:rsidRPr="00A604A3">
              <w:rPr>
                <w:color w:val="000000"/>
              </w:rPr>
              <w:t>0.60</w:t>
            </w:r>
          </w:p>
        </w:tc>
        <w:tc>
          <w:tcPr>
            <w:tcW w:w="510" w:type="pct"/>
            <w:vAlign w:val="center"/>
          </w:tcPr>
          <w:p w:rsidR="00AE0549" w:rsidRPr="00A604A3" w:rsidRDefault="00AE0549" w:rsidP="00B6548C">
            <w:pPr>
              <w:pStyle w:val="Tabletext"/>
              <w:jc w:val="center"/>
              <w:rPr>
                <w:color w:val="000000"/>
              </w:rPr>
            </w:pPr>
            <w:r w:rsidRPr="00A604A3">
              <w:rPr>
                <w:color w:val="000000"/>
              </w:rPr>
              <w:t>1.20</w:t>
            </w:r>
          </w:p>
        </w:tc>
        <w:tc>
          <w:tcPr>
            <w:tcW w:w="506" w:type="pct"/>
            <w:vAlign w:val="center"/>
          </w:tcPr>
          <w:p w:rsidR="00AE0549" w:rsidRPr="00A604A3" w:rsidRDefault="00AE0549" w:rsidP="00B6548C">
            <w:pPr>
              <w:pStyle w:val="Tabletext"/>
              <w:jc w:val="center"/>
              <w:rPr>
                <w:color w:val="000000"/>
              </w:rPr>
            </w:pPr>
            <w:r w:rsidRPr="00A604A3">
              <w:rPr>
                <w:color w:val="000000"/>
              </w:rPr>
              <w:t>0.67</w:t>
            </w:r>
          </w:p>
        </w:tc>
        <w:tc>
          <w:tcPr>
            <w:tcW w:w="506" w:type="pct"/>
            <w:vAlign w:val="center"/>
          </w:tcPr>
          <w:p w:rsidR="00AE0549" w:rsidRPr="00A604A3" w:rsidRDefault="00AE0549" w:rsidP="00B6548C">
            <w:pPr>
              <w:pStyle w:val="Tabletext"/>
              <w:jc w:val="center"/>
              <w:rPr>
                <w:color w:val="000000"/>
              </w:rPr>
            </w:pPr>
            <w:r w:rsidRPr="00A604A3">
              <w:rPr>
                <w:color w:val="000000"/>
              </w:rPr>
              <w:t>0.41</w:t>
            </w:r>
          </w:p>
        </w:tc>
      </w:tr>
      <w:tr w:rsidR="00AE0549" w:rsidRPr="00A604A3" w:rsidTr="00B6548C">
        <w:trPr>
          <w:trHeight w:val="106"/>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2.05</w:t>
            </w:r>
          </w:p>
        </w:tc>
        <w:tc>
          <w:tcPr>
            <w:tcW w:w="507" w:type="pct"/>
            <w:vAlign w:val="center"/>
          </w:tcPr>
          <w:p w:rsidR="00AE0549" w:rsidRPr="00A604A3" w:rsidRDefault="00AE0549" w:rsidP="00B6548C">
            <w:pPr>
              <w:pStyle w:val="Tabletext"/>
              <w:jc w:val="center"/>
              <w:rPr>
                <w:color w:val="000000"/>
              </w:rPr>
            </w:pPr>
            <w:r w:rsidRPr="00A604A3">
              <w:rPr>
                <w:color w:val="000000"/>
              </w:rPr>
              <w:t>1.11</w:t>
            </w:r>
          </w:p>
        </w:tc>
        <w:tc>
          <w:tcPr>
            <w:tcW w:w="507" w:type="pct"/>
            <w:noWrap/>
            <w:vAlign w:val="center"/>
          </w:tcPr>
          <w:p w:rsidR="00AE0549" w:rsidRPr="00A604A3" w:rsidRDefault="00AE0549" w:rsidP="00B6548C">
            <w:pPr>
              <w:pStyle w:val="Tabletext"/>
              <w:jc w:val="center"/>
              <w:rPr>
                <w:color w:val="000000"/>
              </w:rPr>
            </w:pPr>
            <w:r w:rsidRPr="00A604A3">
              <w:rPr>
                <w:color w:val="000000"/>
              </w:rPr>
              <w:t>0.75</w:t>
            </w:r>
          </w:p>
        </w:tc>
        <w:tc>
          <w:tcPr>
            <w:tcW w:w="510" w:type="pct"/>
            <w:vAlign w:val="center"/>
          </w:tcPr>
          <w:p w:rsidR="00AE0549" w:rsidRPr="00A604A3" w:rsidRDefault="00AE0549" w:rsidP="00B6548C">
            <w:pPr>
              <w:pStyle w:val="Tabletext"/>
              <w:jc w:val="center"/>
              <w:rPr>
                <w:color w:val="000000"/>
              </w:rPr>
            </w:pPr>
            <w:r w:rsidRPr="00A604A3">
              <w:rPr>
                <w:color w:val="000000"/>
              </w:rPr>
              <w:t>1.68</w:t>
            </w:r>
          </w:p>
        </w:tc>
        <w:tc>
          <w:tcPr>
            <w:tcW w:w="506" w:type="pct"/>
            <w:vAlign w:val="center"/>
          </w:tcPr>
          <w:p w:rsidR="00AE0549" w:rsidRPr="00A604A3" w:rsidRDefault="00AE0549" w:rsidP="00B6548C">
            <w:pPr>
              <w:pStyle w:val="Tabletext"/>
              <w:jc w:val="center"/>
              <w:rPr>
                <w:color w:val="000000"/>
              </w:rPr>
            </w:pPr>
            <w:r w:rsidRPr="00A604A3">
              <w:rPr>
                <w:color w:val="000000"/>
              </w:rPr>
              <w:t>0.88</w:t>
            </w:r>
          </w:p>
        </w:tc>
        <w:tc>
          <w:tcPr>
            <w:tcW w:w="506" w:type="pct"/>
            <w:vAlign w:val="center"/>
          </w:tcPr>
          <w:p w:rsidR="00AE0549" w:rsidRPr="00A604A3" w:rsidRDefault="00AE0549" w:rsidP="00B6548C">
            <w:pPr>
              <w:pStyle w:val="Tabletext"/>
              <w:jc w:val="center"/>
              <w:rPr>
                <w:color w:val="000000"/>
              </w:rPr>
            </w:pPr>
            <w:r w:rsidRPr="00A604A3">
              <w:rPr>
                <w:color w:val="000000"/>
              </w:rPr>
              <w:t>0.55</w:t>
            </w:r>
          </w:p>
        </w:tc>
      </w:tr>
      <w:tr w:rsidR="00AE0549" w:rsidRPr="00A604A3" w:rsidTr="00B6548C">
        <w:trPr>
          <w:trHeight w:val="193"/>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1.77</w:t>
            </w:r>
          </w:p>
        </w:tc>
        <w:tc>
          <w:tcPr>
            <w:tcW w:w="507" w:type="pct"/>
            <w:vAlign w:val="center"/>
          </w:tcPr>
          <w:p w:rsidR="00AE0549" w:rsidRPr="00A604A3" w:rsidRDefault="00AE0549" w:rsidP="00B6548C">
            <w:pPr>
              <w:pStyle w:val="Tabletext"/>
              <w:jc w:val="center"/>
              <w:rPr>
                <w:color w:val="000000"/>
              </w:rPr>
            </w:pPr>
            <w:r w:rsidRPr="00A604A3">
              <w:rPr>
                <w:color w:val="000000"/>
              </w:rPr>
              <w:t>0.94</w:t>
            </w:r>
          </w:p>
        </w:tc>
        <w:tc>
          <w:tcPr>
            <w:tcW w:w="507" w:type="pct"/>
            <w:noWrap/>
            <w:vAlign w:val="center"/>
          </w:tcPr>
          <w:p w:rsidR="00AE0549" w:rsidRPr="00A604A3" w:rsidRDefault="00AE0549" w:rsidP="00B6548C">
            <w:pPr>
              <w:pStyle w:val="Tabletext"/>
              <w:jc w:val="center"/>
              <w:rPr>
                <w:color w:val="000000"/>
              </w:rPr>
            </w:pPr>
            <w:r w:rsidRPr="00A604A3">
              <w:rPr>
                <w:color w:val="000000"/>
              </w:rPr>
              <w:t>0.64</w:t>
            </w:r>
          </w:p>
        </w:tc>
        <w:tc>
          <w:tcPr>
            <w:tcW w:w="510" w:type="pct"/>
            <w:vAlign w:val="center"/>
          </w:tcPr>
          <w:p w:rsidR="00AE0549" w:rsidRPr="00A604A3" w:rsidRDefault="00AE0549" w:rsidP="00B6548C">
            <w:pPr>
              <w:pStyle w:val="Tabletext"/>
              <w:jc w:val="center"/>
              <w:rPr>
                <w:color w:val="000000"/>
              </w:rPr>
            </w:pPr>
            <w:r w:rsidRPr="00A604A3">
              <w:rPr>
                <w:color w:val="000000"/>
              </w:rPr>
              <w:t>1.42</w:t>
            </w:r>
          </w:p>
        </w:tc>
        <w:tc>
          <w:tcPr>
            <w:tcW w:w="506" w:type="pct"/>
            <w:vAlign w:val="center"/>
          </w:tcPr>
          <w:p w:rsidR="00AE0549" w:rsidRPr="00A604A3" w:rsidRDefault="00AE0549" w:rsidP="00B6548C">
            <w:pPr>
              <w:pStyle w:val="Tabletext"/>
              <w:jc w:val="center"/>
              <w:rPr>
                <w:color w:val="000000"/>
              </w:rPr>
            </w:pPr>
            <w:r w:rsidRPr="00A604A3">
              <w:rPr>
                <w:color w:val="000000"/>
              </w:rPr>
              <w:t>0.75</w:t>
            </w:r>
          </w:p>
        </w:tc>
        <w:tc>
          <w:tcPr>
            <w:tcW w:w="506" w:type="pct"/>
            <w:vAlign w:val="center"/>
          </w:tcPr>
          <w:p w:rsidR="00AE0549" w:rsidRPr="00A604A3" w:rsidRDefault="00AE0549" w:rsidP="00B6548C">
            <w:pPr>
              <w:pStyle w:val="Tabletext"/>
              <w:jc w:val="center"/>
              <w:rPr>
                <w:color w:val="000000"/>
              </w:rPr>
            </w:pPr>
            <w:r w:rsidRPr="00A604A3">
              <w:rPr>
                <w:color w:val="000000"/>
              </w:rPr>
              <w:t>0.47</w:t>
            </w:r>
          </w:p>
        </w:tc>
      </w:tr>
      <w:tr w:rsidR="00AE0549" w:rsidRPr="00A604A3" w:rsidTr="00B6548C">
        <w:trPr>
          <w:trHeight w:val="139"/>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2.36</w:t>
            </w:r>
          </w:p>
        </w:tc>
        <w:tc>
          <w:tcPr>
            <w:tcW w:w="507" w:type="pct"/>
            <w:vAlign w:val="center"/>
          </w:tcPr>
          <w:p w:rsidR="00AE0549" w:rsidRPr="00A604A3" w:rsidRDefault="00AE0549" w:rsidP="00B6548C">
            <w:pPr>
              <w:pStyle w:val="Tabletext"/>
              <w:jc w:val="center"/>
              <w:rPr>
                <w:color w:val="000000"/>
              </w:rPr>
            </w:pPr>
            <w:r w:rsidRPr="00A604A3">
              <w:rPr>
                <w:color w:val="000000"/>
              </w:rPr>
              <w:t>1.25</w:t>
            </w:r>
          </w:p>
        </w:tc>
        <w:tc>
          <w:tcPr>
            <w:tcW w:w="507" w:type="pct"/>
            <w:noWrap/>
            <w:vAlign w:val="center"/>
          </w:tcPr>
          <w:p w:rsidR="00AE0549" w:rsidRPr="00A604A3" w:rsidRDefault="00AE0549" w:rsidP="00B6548C">
            <w:pPr>
              <w:pStyle w:val="Tabletext"/>
              <w:jc w:val="center"/>
              <w:rPr>
                <w:color w:val="000000"/>
              </w:rPr>
            </w:pPr>
            <w:r w:rsidRPr="00A604A3">
              <w:rPr>
                <w:color w:val="000000"/>
              </w:rPr>
              <w:t>0.82</w:t>
            </w:r>
          </w:p>
        </w:tc>
        <w:tc>
          <w:tcPr>
            <w:tcW w:w="510" w:type="pct"/>
            <w:vAlign w:val="center"/>
          </w:tcPr>
          <w:p w:rsidR="00AE0549" w:rsidRPr="00A604A3" w:rsidRDefault="00AE0549" w:rsidP="00B6548C">
            <w:pPr>
              <w:pStyle w:val="Tabletext"/>
              <w:jc w:val="center"/>
              <w:rPr>
                <w:color w:val="000000"/>
              </w:rPr>
            </w:pPr>
            <w:r w:rsidRPr="00A604A3">
              <w:rPr>
                <w:color w:val="000000"/>
              </w:rPr>
              <w:t>1.90</w:t>
            </w:r>
          </w:p>
        </w:tc>
        <w:tc>
          <w:tcPr>
            <w:tcW w:w="506" w:type="pct"/>
            <w:vAlign w:val="center"/>
          </w:tcPr>
          <w:p w:rsidR="00AE0549" w:rsidRPr="00A604A3" w:rsidRDefault="00AE0549" w:rsidP="00B6548C">
            <w:pPr>
              <w:pStyle w:val="Tabletext"/>
              <w:jc w:val="center"/>
              <w:rPr>
                <w:color w:val="000000"/>
              </w:rPr>
            </w:pPr>
            <w:r w:rsidRPr="00A604A3">
              <w:rPr>
                <w:color w:val="000000"/>
              </w:rPr>
              <w:t>0.99</w:t>
            </w:r>
          </w:p>
        </w:tc>
        <w:tc>
          <w:tcPr>
            <w:tcW w:w="506" w:type="pct"/>
            <w:vAlign w:val="center"/>
          </w:tcPr>
          <w:p w:rsidR="00AE0549" w:rsidRPr="00A604A3" w:rsidRDefault="00AE0549" w:rsidP="00B6548C">
            <w:pPr>
              <w:pStyle w:val="Tabletext"/>
              <w:jc w:val="center"/>
              <w:rPr>
                <w:color w:val="000000"/>
              </w:rPr>
            </w:pPr>
            <w:r w:rsidRPr="00A604A3">
              <w:rPr>
                <w:color w:val="000000"/>
              </w:rPr>
              <w:t>0.60</w:t>
            </w:r>
          </w:p>
        </w:tc>
      </w:tr>
      <w:tr w:rsidR="00AE0549" w:rsidRPr="00A604A3" w:rsidTr="00B6548C">
        <w:trPr>
          <w:trHeight w:val="86"/>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2.79</w:t>
            </w:r>
          </w:p>
        </w:tc>
        <w:tc>
          <w:tcPr>
            <w:tcW w:w="507" w:type="pct"/>
            <w:vAlign w:val="center"/>
          </w:tcPr>
          <w:p w:rsidR="00AE0549" w:rsidRPr="00A604A3" w:rsidRDefault="00AE0549" w:rsidP="00B6548C">
            <w:pPr>
              <w:pStyle w:val="Tabletext"/>
              <w:jc w:val="center"/>
              <w:rPr>
                <w:color w:val="000000"/>
              </w:rPr>
            </w:pPr>
            <w:r w:rsidRPr="00A604A3">
              <w:rPr>
                <w:color w:val="000000"/>
              </w:rPr>
              <w:t>1.44</w:t>
            </w:r>
          </w:p>
        </w:tc>
        <w:tc>
          <w:tcPr>
            <w:tcW w:w="507" w:type="pct"/>
            <w:noWrap/>
            <w:vAlign w:val="center"/>
          </w:tcPr>
          <w:p w:rsidR="00AE0549" w:rsidRPr="00A604A3" w:rsidRDefault="00AE0549" w:rsidP="00B6548C">
            <w:pPr>
              <w:pStyle w:val="Tabletext"/>
              <w:jc w:val="center"/>
              <w:rPr>
                <w:color w:val="000000"/>
              </w:rPr>
            </w:pPr>
            <w:r w:rsidRPr="00A604A3">
              <w:rPr>
                <w:color w:val="000000"/>
              </w:rPr>
              <w:t>0.88</w:t>
            </w:r>
          </w:p>
        </w:tc>
        <w:tc>
          <w:tcPr>
            <w:tcW w:w="510" w:type="pct"/>
            <w:vAlign w:val="center"/>
          </w:tcPr>
          <w:p w:rsidR="00AE0549" w:rsidRPr="00A604A3" w:rsidRDefault="00AE0549" w:rsidP="00B6548C">
            <w:pPr>
              <w:pStyle w:val="Tabletext"/>
              <w:jc w:val="center"/>
              <w:rPr>
                <w:color w:val="000000"/>
              </w:rPr>
            </w:pPr>
            <w:r w:rsidRPr="00A604A3">
              <w:rPr>
                <w:color w:val="000000"/>
              </w:rPr>
              <w:t>2.47</w:t>
            </w:r>
          </w:p>
        </w:tc>
        <w:tc>
          <w:tcPr>
            <w:tcW w:w="506" w:type="pct"/>
            <w:vAlign w:val="center"/>
          </w:tcPr>
          <w:p w:rsidR="00AE0549" w:rsidRPr="00A604A3" w:rsidRDefault="00AE0549" w:rsidP="00B6548C">
            <w:pPr>
              <w:pStyle w:val="Tabletext"/>
              <w:jc w:val="center"/>
              <w:rPr>
                <w:color w:val="000000"/>
              </w:rPr>
            </w:pPr>
            <w:r w:rsidRPr="00A604A3">
              <w:rPr>
                <w:color w:val="000000"/>
              </w:rPr>
              <w:t>1.26</w:t>
            </w:r>
          </w:p>
        </w:tc>
        <w:tc>
          <w:tcPr>
            <w:tcW w:w="506" w:type="pct"/>
            <w:vAlign w:val="center"/>
          </w:tcPr>
          <w:p w:rsidR="00AE0549" w:rsidRPr="00A604A3" w:rsidRDefault="00AE0549" w:rsidP="00B6548C">
            <w:pPr>
              <w:pStyle w:val="Tabletext"/>
              <w:jc w:val="center"/>
              <w:rPr>
                <w:color w:val="000000"/>
              </w:rPr>
            </w:pPr>
            <w:r w:rsidRPr="00A604A3">
              <w:rPr>
                <w:color w:val="000000"/>
              </w:rPr>
              <w:t>0.72</w:t>
            </w:r>
          </w:p>
        </w:tc>
      </w:tr>
      <w:tr w:rsidR="00AE0549" w:rsidRPr="00A604A3" w:rsidTr="00B6548C">
        <w:trPr>
          <w:trHeight w:val="131"/>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3.59</w:t>
            </w:r>
          </w:p>
        </w:tc>
        <w:tc>
          <w:tcPr>
            <w:tcW w:w="507" w:type="pct"/>
            <w:vAlign w:val="center"/>
          </w:tcPr>
          <w:p w:rsidR="00AE0549" w:rsidRPr="00A604A3" w:rsidRDefault="00AE0549" w:rsidP="00B6548C">
            <w:pPr>
              <w:pStyle w:val="Tabletext"/>
              <w:jc w:val="center"/>
              <w:rPr>
                <w:color w:val="000000"/>
              </w:rPr>
            </w:pPr>
            <w:r w:rsidRPr="00A604A3">
              <w:rPr>
                <w:color w:val="000000"/>
              </w:rPr>
              <w:t>1.77</w:t>
            </w:r>
          </w:p>
        </w:tc>
        <w:tc>
          <w:tcPr>
            <w:tcW w:w="507" w:type="pct"/>
            <w:noWrap/>
            <w:vAlign w:val="center"/>
          </w:tcPr>
          <w:p w:rsidR="00AE0549" w:rsidRPr="00A604A3" w:rsidRDefault="00AE0549" w:rsidP="00B6548C">
            <w:pPr>
              <w:pStyle w:val="Tabletext"/>
              <w:jc w:val="center"/>
              <w:rPr>
                <w:color w:val="000000"/>
              </w:rPr>
            </w:pPr>
            <w:r w:rsidRPr="00A604A3">
              <w:rPr>
                <w:color w:val="000000"/>
              </w:rPr>
              <w:t>1.16</w:t>
            </w:r>
          </w:p>
        </w:tc>
        <w:tc>
          <w:tcPr>
            <w:tcW w:w="510" w:type="pct"/>
            <w:vAlign w:val="center"/>
          </w:tcPr>
          <w:p w:rsidR="00AE0549" w:rsidRPr="00A604A3" w:rsidRDefault="00AE0549" w:rsidP="00B6548C">
            <w:pPr>
              <w:pStyle w:val="Tabletext"/>
              <w:jc w:val="center"/>
              <w:rPr>
                <w:color w:val="000000"/>
              </w:rPr>
            </w:pPr>
            <w:r w:rsidRPr="00A604A3">
              <w:rPr>
                <w:color w:val="000000"/>
              </w:rPr>
              <w:t>3.00</w:t>
            </w:r>
          </w:p>
        </w:tc>
        <w:tc>
          <w:tcPr>
            <w:tcW w:w="506" w:type="pct"/>
            <w:vAlign w:val="center"/>
          </w:tcPr>
          <w:p w:rsidR="00AE0549" w:rsidRPr="00A604A3" w:rsidRDefault="00AE0549" w:rsidP="00B6548C">
            <w:pPr>
              <w:pStyle w:val="Tabletext"/>
              <w:jc w:val="center"/>
              <w:rPr>
                <w:color w:val="000000"/>
              </w:rPr>
            </w:pPr>
            <w:r w:rsidRPr="00A604A3">
              <w:rPr>
                <w:color w:val="000000"/>
              </w:rPr>
              <w:t>1.62</w:t>
            </w:r>
          </w:p>
        </w:tc>
        <w:tc>
          <w:tcPr>
            <w:tcW w:w="506" w:type="pct"/>
            <w:vAlign w:val="center"/>
          </w:tcPr>
          <w:p w:rsidR="00AE0549" w:rsidRPr="00A604A3" w:rsidRDefault="00AE0549" w:rsidP="00B6548C">
            <w:pPr>
              <w:pStyle w:val="Tabletext"/>
              <w:jc w:val="center"/>
              <w:rPr>
                <w:color w:val="000000"/>
              </w:rPr>
            </w:pPr>
            <w:r w:rsidRPr="00A604A3">
              <w:rPr>
                <w:color w:val="000000"/>
              </w:rPr>
              <w:t>0.92</w:t>
            </w:r>
          </w:p>
        </w:tc>
      </w:tr>
      <w:tr w:rsidR="00AE0549" w:rsidRPr="00A604A3" w:rsidTr="00B6548C">
        <w:trPr>
          <w:trHeight w:val="119"/>
          <w:jc w:val="center"/>
        </w:trPr>
        <w:tc>
          <w:tcPr>
            <w:tcW w:w="828"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1.03</w:t>
            </w:r>
          </w:p>
        </w:tc>
        <w:tc>
          <w:tcPr>
            <w:tcW w:w="507" w:type="pct"/>
            <w:vAlign w:val="center"/>
          </w:tcPr>
          <w:p w:rsidR="00AE0549" w:rsidRPr="00A604A3" w:rsidRDefault="00AE0549" w:rsidP="00B6548C">
            <w:pPr>
              <w:pStyle w:val="Tabletext"/>
              <w:jc w:val="center"/>
              <w:rPr>
                <w:color w:val="000000"/>
              </w:rPr>
            </w:pPr>
            <w:r w:rsidRPr="00A604A3">
              <w:rPr>
                <w:color w:val="000000"/>
              </w:rPr>
              <w:t>0.59</w:t>
            </w:r>
          </w:p>
        </w:tc>
        <w:tc>
          <w:tcPr>
            <w:tcW w:w="507" w:type="pct"/>
            <w:noWrap/>
            <w:vAlign w:val="center"/>
          </w:tcPr>
          <w:p w:rsidR="00AE0549" w:rsidRPr="00A604A3" w:rsidRDefault="00AE0549" w:rsidP="00B6548C">
            <w:pPr>
              <w:pStyle w:val="Tabletext"/>
              <w:jc w:val="center"/>
              <w:rPr>
                <w:color w:val="000000"/>
              </w:rPr>
            </w:pPr>
            <w:r w:rsidRPr="00A604A3">
              <w:rPr>
                <w:color w:val="000000"/>
              </w:rPr>
              <w:t>0.46</w:t>
            </w:r>
          </w:p>
        </w:tc>
        <w:tc>
          <w:tcPr>
            <w:tcW w:w="510" w:type="pct"/>
            <w:vAlign w:val="center"/>
          </w:tcPr>
          <w:p w:rsidR="00AE0549" w:rsidRPr="00A604A3" w:rsidRDefault="00AE0549" w:rsidP="00B6548C">
            <w:pPr>
              <w:pStyle w:val="Tabletext"/>
              <w:jc w:val="center"/>
              <w:rPr>
                <w:color w:val="000000"/>
              </w:rPr>
            </w:pPr>
            <w:r w:rsidRPr="00A604A3">
              <w:rPr>
                <w:color w:val="000000"/>
              </w:rPr>
              <w:t>0.71</w:t>
            </w:r>
          </w:p>
        </w:tc>
        <w:tc>
          <w:tcPr>
            <w:tcW w:w="506" w:type="pct"/>
            <w:vAlign w:val="center"/>
          </w:tcPr>
          <w:p w:rsidR="00AE0549" w:rsidRPr="00A604A3" w:rsidRDefault="00AE0549" w:rsidP="00B6548C">
            <w:pPr>
              <w:pStyle w:val="Tabletext"/>
              <w:jc w:val="center"/>
              <w:rPr>
                <w:color w:val="000000"/>
              </w:rPr>
            </w:pPr>
            <w:r w:rsidRPr="00A604A3">
              <w:rPr>
                <w:color w:val="000000"/>
              </w:rPr>
              <w:t>0.40</w:t>
            </w:r>
          </w:p>
        </w:tc>
        <w:tc>
          <w:tcPr>
            <w:tcW w:w="506" w:type="pct"/>
            <w:vAlign w:val="center"/>
          </w:tcPr>
          <w:p w:rsidR="00AE0549" w:rsidRPr="00A604A3" w:rsidRDefault="00AE0549" w:rsidP="00B6548C">
            <w:pPr>
              <w:pStyle w:val="Tabletext"/>
              <w:jc w:val="center"/>
              <w:rPr>
                <w:color w:val="000000"/>
              </w:rPr>
            </w:pPr>
            <w:r w:rsidRPr="00A604A3">
              <w:rPr>
                <w:color w:val="000000"/>
              </w:rPr>
              <w:t>0.29</w:t>
            </w:r>
          </w:p>
        </w:tc>
      </w:tr>
      <w:tr w:rsidR="00AE0549" w:rsidRPr="00A604A3" w:rsidTr="00B6548C">
        <w:trPr>
          <w:trHeight w:val="208"/>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1.24</w:t>
            </w:r>
          </w:p>
        </w:tc>
        <w:tc>
          <w:tcPr>
            <w:tcW w:w="507" w:type="pct"/>
            <w:vAlign w:val="center"/>
          </w:tcPr>
          <w:p w:rsidR="00AE0549" w:rsidRPr="00A604A3" w:rsidRDefault="00AE0549" w:rsidP="00B6548C">
            <w:pPr>
              <w:pStyle w:val="Tabletext"/>
              <w:jc w:val="center"/>
              <w:rPr>
                <w:color w:val="000000"/>
              </w:rPr>
            </w:pPr>
            <w:r w:rsidRPr="00A604A3">
              <w:rPr>
                <w:color w:val="000000"/>
              </w:rPr>
              <w:t>0.71</w:t>
            </w:r>
          </w:p>
        </w:tc>
        <w:tc>
          <w:tcPr>
            <w:tcW w:w="507" w:type="pct"/>
            <w:noWrap/>
            <w:vAlign w:val="center"/>
          </w:tcPr>
          <w:p w:rsidR="00AE0549" w:rsidRPr="00A604A3" w:rsidRDefault="00AE0549" w:rsidP="00B6548C">
            <w:pPr>
              <w:pStyle w:val="Tabletext"/>
              <w:jc w:val="center"/>
              <w:rPr>
                <w:color w:val="000000"/>
              </w:rPr>
            </w:pPr>
            <w:r w:rsidRPr="00A604A3">
              <w:rPr>
                <w:color w:val="000000"/>
              </w:rPr>
              <w:t>0.57</w:t>
            </w:r>
          </w:p>
        </w:tc>
        <w:tc>
          <w:tcPr>
            <w:tcW w:w="510" w:type="pct"/>
            <w:vAlign w:val="center"/>
          </w:tcPr>
          <w:p w:rsidR="00AE0549" w:rsidRPr="00A604A3" w:rsidRDefault="00AE0549" w:rsidP="00B6548C">
            <w:pPr>
              <w:pStyle w:val="Tabletext"/>
              <w:jc w:val="center"/>
              <w:rPr>
                <w:color w:val="000000"/>
              </w:rPr>
            </w:pPr>
            <w:r w:rsidRPr="00A604A3">
              <w:rPr>
                <w:color w:val="000000"/>
              </w:rPr>
              <w:t>0.85</w:t>
            </w:r>
          </w:p>
        </w:tc>
        <w:tc>
          <w:tcPr>
            <w:tcW w:w="506" w:type="pct"/>
            <w:vAlign w:val="center"/>
          </w:tcPr>
          <w:p w:rsidR="00AE0549" w:rsidRPr="00A604A3" w:rsidRDefault="00AE0549" w:rsidP="00B6548C">
            <w:pPr>
              <w:pStyle w:val="Tabletext"/>
              <w:jc w:val="center"/>
              <w:rPr>
                <w:color w:val="000000"/>
              </w:rPr>
            </w:pPr>
            <w:r w:rsidRPr="00A604A3">
              <w:rPr>
                <w:color w:val="000000"/>
              </w:rPr>
              <w:t>0.49</w:t>
            </w:r>
          </w:p>
        </w:tc>
        <w:tc>
          <w:tcPr>
            <w:tcW w:w="506" w:type="pct"/>
            <w:vAlign w:val="center"/>
          </w:tcPr>
          <w:p w:rsidR="00AE0549" w:rsidRPr="00A604A3" w:rsidRDefault="00AE0549" w:rsidP="00B6548C">
            <w:pPr>
              <w:pStyle w:val="Tabletext"/>
              <w:jc w:val="center"/>
              <w:rPr>
                <w:color w:val="000000"/>
              </w:rPr>
            </w:pPr>
            <w:r w:rsidRPr="00A604A3">
              <w:rPr>
                <w:color w:val="000000"/>
              </w:rPr>
              <w:t>0.35</w:t>
            </w:r>
          </w:p>
        </w:tc>
      </w:tr>
      <w:tr w:rsidR="00AE0549" w:rsidRPr="00A604A3" w:rsidTr="00B6548C">
        <w:trPr>
          <w:trHeight w:val="125"/>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1.23</w:t>
            </w:r>
          </w:p>
        </w:tc>
        <w:tc>
          <w:tcPr>
            <w:tcW w:w="507" w:type="pct"/>
            <w:vAlign w:val="center"/>
          </w:tcPr>
          <w:p w:rsidR="00AE0549" w:rsidRPr="00A604A3" w:rsidRDefault="00AE0549" w:rsidP="00B6548C">
            <w:pPr>
              <w:pStyle w:val="Tabletext"/>
              <w:jc w:val="center"/>
              <w:rPr>
                <w:color w:val="000000"/>
              </w:rPr>
            </w:pPr>
            <w:r w:rsidRPr="00A604A3">
              <w:rPr>
                <w:color w:val="000000"/>
              </w:rPr>
              <w:t>0.69</w:t>
            </w:r>
          </w:p>
        </w:tc>
        <w:tc>
          <w:tcPr>
            <w:tcW w:w="507" w:type="pct"/>
            <w:noWrap/>
            <w:vAlign w:val="center"/>
          </w:tcPr>
          <w:p w:rsidR="00AE0549" w:rsidRPr="00A604A3" w:rsidRDefault="00AE0549" w:rsidP="00B6548C">
            <w:pPr>
              <w:pStyle w:val="Tabletext"/>
              <w:jc w:val="center"/>
              <w:rPr>
                <w:color w:val="000000"/>
              </w:rPr>
            </w:pPr>
            <w:r w:rsidRPr="00A604A3">
              <w:rPr>
                <w:color w:val="000000"/>
              </w:rPr>
              <w:t>0.51</w:t>
            </w:r>
          </w:p>
        </w:tc>
        <w:tc>
          <w:tcPr>
            <w:tcW w:w="510" w:type="pct"/>
            <w:vAlign w:val="center"/>
          </w:tcPr>
          <w:p w:rsidR="00AE0549" w:rsidRPr="00A604A3" w:rsidRDefault="00AE0549" w:rsidP="00B6548C">
            <w:pPr>
              <w:pStyle w:val="Tabletext"/>
              <w:jc w:val="center"/>
              <w:rPr>
                <w:color w:val="000000"/>
              </w:rPr>
            </w:pPr>
            <w:r w:rsidRPr="00A604A3">
              <w:rPr>
                <w:color w:val="000000"/>
              </w:rPr>
              <w:t>0.92</w:t>
            </w:r>
          </w:p>
        </w:tc>
        <w:tc>
          <w:tcPr>
            <w:tcW w:w="506" w:type="pct"/>
            <w:vAlign w:val="center"/>
          </w:tcPr>
          <w:p w:rsidR="00AE0549" w:rsidRPr="00A604A3" w:rsidRDefault="00AE0549" w:rsidP="00B6548C">
            <w:pPr>
              <w:pStyle w:val="Tabletext"/>
              <w:jc w:val="center"/>
              <w:rPr>
                <w:color w:val="000000"/>
              </w:rPr>
            </w:pPr>
            <w:r w:rsidRPr="00A604A3">
              <w:rPr>
                <w:color w:val="000000"/>
              </w:rPr>
              <w:t>0.50</w:t>
            </w:r>
          </w:p>
        </w:tc>
        <w:tc>
          <w:tcPr>
            <w:tcW w:w="506" w:type="pct"/>
            <w:vAlign w:val="center"/>
          </w:tcPr>
          <w:p w:rsidR="00AE0549" w:rsidRPr="00A604A3" w:rsidRDefault="00AE0549" w:rsidP="00B6548C">
            <w:pPr>
              <w:pStyle w:val="Tabletext"/>
              <w:jc w:val="center"/>
              <w:rPr>
                <w:color w:val="000000"/>
              </w:rPr>
            </w:pPr>
            <w:r w:rsidRPr="00A604A3">
              <w:rPr>
                <w:color w:val="000000"/>
              </w:rPr>
              <w:t>0.34</w:t>
            </w:r>
          </w:p>
        </w:tc>
      </w:tr>
      <w:tr w:rsidR="00AE0549" w:rsidRPr="00A604A3" w:rsidTr="00B6548C">
        <w:trPr>
          <w:trHeight w:val="71"/>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1.47</w:t>
            </w:r>
          </w:p>
        </w:tc>
        <w:tc>
          <w:tcPr>
            <w:tcW w:w="507" w:type="pct"/>
            <w:vAlign w:val="center"/>
          </w:tcPr>
          <w:p w:rsidR="00AE0549" w:rsidRPr="00A604A3" w:rsidRDefault="00AE0549" w:rsidP="00B6548C">
            <w:pPr>
              <w:pStyle w:val="Tabletext"/>
              <w:jc w:val="center"/>
              <w:rPr>
                <w:color w:val="000000"/>
              </w:rPr>
            </w:pPr>
            <w:r w:rsidRPr="00A604A3">
              <w:rPr>
                <w:color w:val="000000"/>
              </w:rPr>
              <w:t>0.83</w:t>
            </w:r>
          </w:p>
        </w:tc>
        <w:tc>
          <w:tcPr>
            <w:tcW w:w="507" w:type="pct"/>
            <w:noWrap/>
            <w:vAlign w:val="center"/>
          </w:tcPr>
          <w:p w:rsidR="00AE0549" w:rsidRPr="00A604A3" w:rsidRDefault="00AE0549" w:rsidP="00B6548C">
            <w:pPr>
              <w:pStyle w:val="Tabletext"/>
              <w:jc w:val="center"/>
              <w:rPr>
                <w:color w:val="000000"/>
              </w:rPr>
            </w:pPr>
            <w:r w:rsidRPr="00A604A3">
              <w:rPr>
                <w:color w:val="000000"/>
              </w:rPr>
              <w:t>0.64</w:t>
            </w:r>
          </w:p>
        </w:tc>
        <w:tc>
          <w:tcPr>
            <w:tcW w:w="510" w:type="pct"/>
            <w:vAlign w:val="center"/>
          </w:tcPr>
          <w:p w:rsidR="00AE0549" w:rsidRPr="00A604A3" w:rsidRDefault="00AE0549" w:rsidP="00B6548C">
            <w:pPr>
              <w:pStyle w:val="Tabletext"/>
              <w:jc w:val="center"/>
              <w:rPr>
                <w:color w:val="000000"/>
              </w:rPr>
            </w:pPr>
            <w:r w:rsidRPr="00A604A3">
              <w:rPr>
                <w:color w:val="000000"/>
              </w:rPr>
              <w:t>1.09</w:t>
            </w:r>
          </w:p>
        </w:tc>
        <w:tc>
          <w:tcPr>
            <w:tcW w:w="506" w:type="pct"/>
            <w:vAlign w:val="center"/>
          </w:tcPr>
          <w:p w:rsidR="00AE0549" w:rsidRPr="00A604A3" w:rsidRDefault="00AE0549" w:rsidP="00B6548C">
            <w:pPr>
              <w:pStyle w:val="Tabletext"/>
              <w:jc w:val="center"/>
              <w:rPr>
                <w:color w:val="000000"/>
              </w:rPr>
            </w:pPr>
            <w:r w:rsidRPr="00A604A3">
              <w:rPr>
                <w:color w:val="000000"/>
              </w:rPr>
              <w:t>0.60</w:t>
            </w:r>
          </w:p>
        </w:tc>
        <w:tc>
          <w:tcPr>
            <w:tcW w:w="506" w:type="pct"/>
            <w:vAlign w:val="center"/>
          </w:tcPr>
          <w:p w:rsidR="00AE0549" w:rsidRPr="00A604A3" w:rsidRDefault="00AE0549" w:rsidP="00B6548C">
            <w:pPr>
              <w:pStyle w:val="Tabletext"/>
              <w:jc w:val="center"/>
              <w:rPr>
                <w:color w:val="000000"/>
              </w:rPr>
            </w:pPr>
            <w:r w:rsidRPr="00A604A3">
              <w:rPr>
                <w:color w:val="000000"/>
              </w:rPr>
              <w:t>0.40</w:t>
            </w:r>
          </w:p>
        </w:tc>
      </w:tr>
      <w:tr w:rsidR="00AE0549" w:rsidRPr="00A604A3" w:rsidTr="00B6548C">
        <w:trPr>
          <w:trHeight w:val="174"/>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1.56</w:t>
            </w:r>
          </w:p>
        </w:tc>
        <w:tc>
          <w:tcPr>
            <w:tcW w:w="507" w:type="pct"/>
            <w:vAlign w:val="center"/>
          </w:tcPr>
          <w:p w:rsidR="00AE0549" w:rsidRPr="00A604A3" w:rsidRDefault="00AE0549" w:rsidP="00B6548C">
            <w:pPr>
              <w:pStyle w:val="Tabletext"/>
              <w:jc w:val="center"/>
              <w:rPr>
                <w:color w:val="000000"/>
              </w:rPr>
            </w:pPr>
            <w:r w:rsidRPr="00A604A3">
              <w:rPr>
                <w:color w:val="000000"/>
              </w:rPr>
              <w:t>0.85</w:t>
            </w:r>
          </w:p>
        </w:tc>
        <w:tc>
          <w:tcPr>
            <w:tcW w:w="507" w:type="pct"/>
            <w:noWrap/>
            <w:vAlign w:val="center"/>
          </w:tcPr>
          <w:p w:rsidR="00AE0549" w:rsidRPr="00A604A3" w:rsidRDefault="00AE0549" w:rsidP="00B6548C">
            <w:pPr>
              <w:pStyle w:val="Tabletext"/>
              <w:jc w:val="center"/>
              <w:rPr>
                <w:color w:val="000000"/>
              </w:rPr>
            </w:pPr>
            <w:r w:rsidRPr="00A604A3">
              <w:rPr>
                <w:color w:val="000000"/>
              </w:rPr>
              <w:t>0.60</w:t>
            </w:r>
          </w:p>
        </w:tc>
        <w:tc>
          <w:tcPr>
            <w:tcW w:w="510" w:type="pct"/>
            <w:vAlign w:val="center"/>
          </w:tcPr>
          <w:p w:rsidR="00AE0549" w:rsidRPr="00A604A3" w:rsidRDefault="00AE0549" w:rsidP="00B6548C">
            <w:pPr>
              <w:pStyle w:val="Tabletext"/>
              <w:jc w:val="center"/>
              <w:rPr>
                <w:color w:val="000000"/>
              </w:rPr>
            </w:pPr>
            <w:r w:rsidRPr="00A604A3">
              <w:rPr>
                <w:color w:val="000000"/>
              </w:rPr>
              <w:t>1.24</w:t>
            </w:r>
          </w:p>
        </w:tc>
        <w:tc>
          <w:tcPr>
            <w:tcW w:w="506" w:type="pct"/>
            <w:vAlign w:val="center"/>
          </w:tcPr>
          <w:p w:rsidR="00AE0549" w:rsidRPr="00A604A3" w:rsidRDefault="00AE0549" w:rsidP="00B6548C">
            <w:pPr>
              <w:pStyle w:val="Tabletext"/>
              <w:jc w:val="center"/>
              <w:rPr>
                <w:color w:val="000000"/>
              </w:rPr>
            </w:pPr>
            <w:r w:rsidRPr="00A604A3">
              <w:rPr>
                <w:color w:val="000000"/>
              </w:rPr>
              <w:t>0.66</w:t>
            </w:r>
          </w:p>
        </w:tc>
        <w:tc>
          <w:tcPr>
            <w:tcW w:w="506" w:type="pct"/>
            <w:vAlign w:val="center"/>
          </w:tcPr>
          <w:p w:rsidR="00AE0549" w:rsidRPr="00A604A3" w:rsidRDefault="00AE0549" w:rsidP="00B6548C">
            <w:pPr>
              <w:pStyle w:val="Tabletext"/>
              <w:jc w:val="center"/>
              <w:rPr>
                <w:color w:val="000000"/>
              </w:rPr>
            </w:pPr>
            <w:r w:rsidRPr="00A604A3">
              <w:rPr>
                <w:color w:val="000000"/>
              </w:rPr>
              <w:t>0.42</w:t>
            </w:r>
          </w:p>
        </w:tc>
      </w:tr>
      <w:tr w:rsidR="00AE0549" w:rsidRPr="00A604A3" w:rsidTr="00B6548C">
        <w:trPr>
          <w:trHeight w:val="119"/>
          <w:jc w:val="center"/>
        </w:trPr>
        <w:tc>
          <w:tcPr>
            <w:tcW w:w="828" w:type="pct"/>
            <w:vMerge/>
            <w:hideMark/>
          </w:tcPr>
          <w:p w:rsidR="00AE0549" w:rsidRPr="00A604A3" w:rsidRDefault="00AE0549" w:rsidP="00B6548C">
            <w:pPr>
              <w:pStyle w:val="Tabletext"/>
              <w:rPr>
                <w:sz w:val="16"/>
                <w:szCs w:val="16"/>
                <w:lang w:eastAsia="zh-CN"/>
              </w:rPr>
            </w:pPr>
          </w:p>
        </w:tc>
        <w:tc>
          <w:tcPr>
            <w:tcW w:w="755" w:type="pct"/>
            <w:vMerge/>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1.89</w:t>
            </w:r>
          </w:p>
        </w:tc>
        <w:tc>
          <w:tcPr>
            <w:tcW w:w="507" w:type="pct"/>
            <w:vAlign w:val="center"/>
          </w:tcPr>
          <w:p w:rsidR="00AE0549" w:rsidRPr="00A604A3" w:rsidRDefault="00AE0549" w:rsidP="00B6548C">
            <w:pPr>
              <w:pStyle w:val="Tabletext"/>
              <w:jc w:val="center"/>
              <w:rPr>
                <w:color w:val="000000"/>
              </w:rPr>
            </w:pPr>
            <w:r w:rsidRPr="00A604A3">
              <w:rPr>
                <w:color w:val="000000"/>
              </w:rPr>
              <w:t>1.02</w:t>
            </w:r>
          </w:p>
        </w:tc>
        <w:tc>
          <w:tcPr>
            <w:tcW w:w="507" w:type="pct"/>
            <w:noWrap/>
            <w:vAlign w:val="center"/>
          </w:tcPr>
          <w:p w:rsidR="00AE0549" w:rsidRPr="00A604A3" w:rsidRDefault="00AE0549" w:rsidP="00B6548C">
            <w:pPr>
              <w:pStyle w:val="Tabletext"/>
              <w:jc w:val="center"/>
              <w:rPr>
                <w:color w:val="000000"/>
              </w:rPr>
            </w:pPr>
            <w:r w:rsidRPr="00A604A3">
              <w:rPr>
                <w:color w:val="000000"/>
              </w:rPr>
              <w:t>0.72</w:t>
            </w:r>
          </w:p>
        </w:tc>
        <w:tc>
          <w:tcPr>
            <w:tcW w:w="510" w:type="pct"/>
            <w:vAlign w:val="center"/>
          </w:tcPr>
          <w:p w:rsidR="00AE0549" w:rsidRPr="00A604A3" w:rsidRDefault="00AE0549" w:rsidP="00B6548C">
            <w:pPr>
              <w:pStyle w:val="Tabletext"/>
              <w:jc w:val="center"/>
              <w:rPr>
                <w:color w:val="000000"/>
              </w:rPr>
            </w:pPr>
            <w:r w:rsidRPr="00A604A3">
              <w:rPr>
                <w:color w:val="000000"/>
              </w:rPr>
              <w:t>1.48</w:t>
            </w:r>
          </w:p>
        </w:tc>
        <w:tc>
          <w:tcPr>
            <w:tcW w:w="506" w:type="pct"/>
            <w:vAlign w:val="center"/>
          </w:tcPr>
          <w:p w:rsidR="00AE0549" w:rsidRPr="00A604A3" w:rsidRDefault="00AE0549" w:rsidP="00B6548C">
            <w:pPr>
              <w:pStyle w:val="Tabletext"/>
              <w:jc w:val="center"/>
              <w:rPr>
                <w:color w:val="000000"/>
              </w:rPr>
            </w:pPr>
            <w:r w:rsidRPr="00A604A3">
              <w:rPr>
                <w:color w:val="000000"/>
              </w:rPr>
              <w:t>0.79</w:t>
            </w:r>
          </w:p>
        </w:tc>
        <w:tc>
          <w:tcPr>
            <w:tcW w:w="506" w:type="pct"/>
            <w:vAlign w:val="center"/>
          </w:tcPr>
          <w:p w:rsidR="00AE0549" w:rsidRPr="00A604A3" w:rsidRDefault="00AE0549" w:rsidP="00B6548C">
            <w:pPr>
              <w:pStyle w:val="Tabletext"/>
              <w:jc w:val="center"/>
              <w:rPr>
                <w:color w:val="000000"/>
              </w:rPr>
            </w:pPr>
            <w:r w:rsidRPr="00A604A3">
              <w:rPr>
                <w:color w:val="000000"/>
              </w:rPr>
              <w:t>0.50</w:t>
            </w:r>
          </w:p>
        </w:tc>
      </w:tr>
    </w:tbl>
    <w:p w:rsidR="00AE0549" w:rsidRPr="00A604A3" w:rsidRDefault="00AE0549" w:rsidP="00B6548C">
      <w:pPr>
        <w:pStyle w:val="Tablefin"/>
      </w:pPr>
    </w:p>
    <w:p w:rsidR="00B6548C" w:rsidRPr="00A604A3" w:rsidRDefault="00B6548C" w:rsidP="00B6548C">
      <w:pPr>
        <w:pStyle w:val="TableNo"/>
        <w:rPr>
          <w:rFonts w:eastAsia="MS Mincho"/>
        </w:rPr>
      </w:pPr>
      <w:bookmarkStart w:id="453" w:name="_Toc32066410"/>
      <w:r w:rsidRPr="00A604A3">
        <w:rPr>
          <w:rFonts w:eastAsia="MS Mincho"/>
        </w:rPr>
        <w:t>table 94</w:t>
      </w:r>
    </w:p>
    <w:p w:rsidR="00B6548C" w:rsidRPr="00A604A3" w:rsidRDefault="00B6548C" w:rsidP="00B6548C">
      <w:pPr>
        <w:pStyle w:val="Tabletitle"/>
        <w:rPr>
          <w:rFonts w:eastAsia="MS Mincho"/>
        </w:rPr>
      </w:pPr>
      <w:r w:rsidRPr="00A604A3">
        <w:rPr>
          <w:rFonts w:eastAsia="MS Mincho"/>
        </w:rPr>
        <w:t>DL user plane latency for NR TDD (ms)</w:t>
      </w:r>
      <w:r w:rsidRPr="00A604A3">
        <w:rPr>
          <w:rFonts w:eastAsia="MS Mincho"/>
        </w:rPr>
        <w:br/>
        <w:t>(Frame structure: DSUUD)</w:t>
      </w:r>
      <w:bookmarkEnd w:id="453"/>
    </w:p>
    <w:tbl>
      <w:tblPr>
        <w:tblStyle w:val="TableGrid"/>
        <w:tblW w:w="4647" w:type="pct"/>
        <w:jc w:val="center"/>
        <w:tblLayout w:type="fixed"/>
        <w:tblCellMar>
          <w:left w:w="28" w:type="dxa"/>
          <w:right w:w="28" w:type="dxa"/>
        </w:tblCellMar>
        <w:tblLook w:val="04A0" w:firstRow="1" w:lastRow="0" w:firstColumn="1" w:lastColumn="0" w:noHBand="0" w:noVBand="1"/>
      </w:tblPr>
      <w:tblGrid>
        <w:gridCol w:w="990"/>
        <w:gridCol w:w="1094"/>
        <w:gridCol w:w="702"/>
        <w:gridCol w:w="756"/>
        <w:gridCol w:w="803"/>
        <w:gridCol w:w="774"/>
        <w:gridCol w:w="893"/>
        <w:gridCol w:w="789"/>
        <w:gridCol w:w="774"/>
        <w:gridCol w:w="804"/>
      </w:tblGrid>
      <w:tr w:rsidR="00AE0549" w:rsidRPr="00A604A3" w:rsidTr="00B6548C">
        <w:trPr>
          <w:jc w:val="center"/>
        </w:trPr>
        <w:tc>
          <w:tcPr>
            <w:tcW w:w="1662" w:type="pct"/>
            <w:gridSpan w:val="3"/>
            <w:vMerge w:val="restart"/>
            <w:vAlign w:val="center"/>
            <w:hideMark/>
          </w:tcPr>
          <w:p w:rsidR="00AE0549" w:rsidRPr="00A604A3" w:rsidRDefault="00AE0549" w:rsidP="00B6548C">
            <w:pPr>
              <w:pStyle w:val="Tablehead"/>
              <w:rPr>
                <w:lang w:eastAsia="zh-CN"/>
              </w:rPr>
            </w:pPr>
            <w:r w:rsidRPr="00A604A3">
              <w:rPr>
                <w:lang w:eastAsia="zh-CN"/>
              </w:rPr>
              <w:t>DL user plane latency – NR TDD (DSUUD)</w:t>
            </w:r>
          </w:p>
        </w:tc>
        <w:tc>
          <w:tcPr>
            <w:tcW w:w="1925" w:type="pct"/>
            <w:gridSpan w:val="4"/>
            <w:vAlign w:val="center"/>
            <w:hideMark/>
          </w:tcPr>
          <w:p w:rsidR="00AE0549" w:rsidRPr="00A604A3" w:rsidRDefault="00AE0549" w:rsidP="00B6548C">
            <w:pPr>
              <w:pStyle w:val="Tablehead"/>
              <w:rPr>
                <w:lang w:eastAsia="zh-CN"/>
              </w:rPr>
            </w:pPr>
            <w:r w:rsidRPr="00A604A3">
              <w:rPr>
                <w:lang w:eastAsia="zh-CN"/>
              </w:rPr>
              <w:t>UE capability 1</w:t>
            </w:r>
          </w:p>
        </w:tc>
        <w:tc>
          <w:tcPr>
            <w:tcW w:w="1413" w:type="pct"/>
            <w:gridSpan w:val="3"/>
            <w:vAlign w:val="center"/>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jc w:val="center"/>
        </w:trPr>
        <w:tc>
          <w:tcPr>
            <w:tcW w:w="1662" w:type="pct"/>
            <w:gridSpan w:val="3"/>
            <w:vMerge/>
            <w:vAlign w:val="center"/>
            <w:hideMark/>
          </w:tcPr>
          <w:p w:rsidR="00AE0549" w:rsidRPr="00A604A3" w:rsidRDefault="00AE0549" w:rsidP="00B6548C">
            <w:pPr>
              <w:pStyle w:val="Tablehead"/>
              <w:rPr>
                <w:sz w:val="16"/>
                <w:szCs w:val="16"/>
                <w:lang w:eastAsia="zh-CN"/>
              </w:rPr>
            </w:pPr>
          </w:p>
        </w:tc>
        <w:tc>
          <w:tcPr>
            <w:tcW w:w="1925" w:type="pct"/>
            <w:gridSpan w:val="4"/>
            <w:vAlign w:val="center"/>
            <w:hideMark/>
          </w:tcPr>
          <w:p w:rsidR="00AE0549" w:rsidRPr="00A604A3" w:rsidRDefault="00AE0549" w:rsidP="00B6548C">
            <w:pPr>
              <w:pStyle w:val="Tablehead"/>
              <w:rPr>
                <w:lang w:eastAsia="zh-CN"/>
              </w:rPr>
            </w:pPr>
            <w:r w:rsidRPr="00A604A3">
              <w:rPr>
                <w:lang w:eastAsia="zh-CN"/>
              </w:rPr>
              <w:t>SCS</w:t>
            </w:r>
          </w:p>
        </w:tc>
        <w:tc>
          <w:tcPr>
            <w:tcW w:w="1413" w:type="pct"/>
            <w:gridSpan w:val="3"/>
            <w:vAlign w:val="center"/>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jc w:val="center"/>
        </w:trPr>
        <w:tc>
          <w:tcPr>
            <w:tcW w:w="1662" w:type="pct"/>
            <w:gridSpan w:val="3"/>
            <w:vMerge/>
            <w:vAlign w:val="center"/>
            <w:hideMark/>
          </w:tcPr>
          <w:p w:rsidR="00AE0549" w:rsidRPr="00A604A3" w:rsidRDefault="00AE0549" w:rsidP="00B6548C">
            <w:pPr>
              <w:pStyle w:val="Tablehead"/>
              <w:rPr>
                <w:sz w:val="16"/>
                <w:szCs w:val="16"/>
                <w:lang w:eastAsia="zh-CN"/>
              </w:rPr>
            </w:pPr>
          </w:p>
        </w:tc>
        <w:tc>
          <w:tcPr>
            <w:tcW w:w="451"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62"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33"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120 kHz</w:t>
            </w:r>
          </w:p>
        </w:tc>
        <w:tc>
          <w:tcPr>
            <w:tcW w:w="471" w:type="pct"/>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2"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80" w:type="pct"/>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jc w:val="center"/>
        </w:trPr>
        <w:tc>
          <w:tcPr>
            <w:tcW w:w="590"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1.96</w:t>
            </w:r>
          </w:p>
        </w:tc>
        <w:tc>
          <w:tcPr>
            <w:tcW w:w="479" w:type="pct"/>
            <w:vAlign w:val="center"/>
          </w:tcPr>
          <w:p w:rsidR="00AE0549" w:rsidRPr="00A604A3" w:rsidRDefault="00AE0549" w:rsidP="00B6548C">
            <w:pPr>
              <w:pStyle w:val="Tabletext"/>
              <w:jc w:val="center"/>
              <w:rPr>
                <w:color w:val="000000"/>
              </w:rPr>
            </w:pPr>
            <w:r w:rsidRPr="00A604A3">
              <w:rPr>
                <w:color w:val="000000"/>
              </w:rPr>
              <w:t>1.06</w:t>
            </w:r>
          </w:p>
        </w:tc>
        <w:tc>
          <w:tcPr>
            <w:tcW w:w="462" w:type="pct"/>
            <w:noWrap/>
            <w:vAlign w:val="center"/>
          </w:tcPr>
          <w:p w:rsidR="00AE0549" w:rsidRPr="00A604A3" w:rsidRDefault="00AE0549" w:rsidP="00B6548C">
            <w:pPr>
              <w:pStyle w:val="Tabletext"/>
              <w:jc w:val="center"/>
              <w:rPr>
                <w:color w:val="000000"/>
              </w:rPr>
            </w:pPr>
            <w:r w:rsidRPr="00A604A3">
              <w:rPr>
                <w:color w:val="000000"/>
              </w:rPr>
              <w:t>0.69</w:t>
            </w:r>
          </w:p>
        </w:tc>
        <w:tc>
          <w:tcPr>
            <w:tcW w:w="533" w:type="pct"/>
            <w:noWrap/>
            <w:vAlign w:val="center"/>
          </w:tcPr>
          <w:p w:rsidR="00AE0549" w:rsidRPr="00A604A3" w:rsidRDefault="00AE0549" w:rsidP="00B6548C">
            <w:pPr>
              <w:pStyle w:val="Tabletext"/>
              <w:jc w:val="center"/>
              <w:rPr>
                <w:color w:val="000000"/>
              </w:rPr>
            </w:pPr>
            <w:r w:rsidRPr="00A604A3">
              <w:rPr>
                <w:color w:val="000000"/>
              </w:rPr>
              <w:t>0.41</w:t>
            </w:r>
          </w:p>
        </w:tc>
        <w:tc>
          <w:tcPr>
            <w:tcW w:w="471" w:type="pct"/>
            <w:vAlign w:val="center"/>
          </w:tcPr>
          <w:p w:rsidR="00AE0549" w:rsidRPr="00A604A3" w:rsidRDefault="00AE0549" w:rsidP="00B6548C">
            <w:pPr>
              <w:pStyle w:val="Tabletext"/>
              <w:jc w:val="center"/>
              <w:rPr>
                <w:color w:val="000000"/>
              </w:rPr>
            </w:pPr>
            <w:r w:rsidRPr="00A604A3">
              <w:rPr>
                <w:color w:val="000000"/>
              </w:rPr>
              <w:t>1.62</w:t>
            </w:r>
          </w:p>
        </w:tc>
        <w:tc>
          <w:tcPr>
            <w:tcW w:w="462" w:type="pct"/>
            <w:vAlign w:val="center"/>
          </w:tcPr>
          <w:p w:rsidR="00AE0549" w:rsidRPr="00A604A3" w:rsidRDefault="00AE0549" w:rsidP="00B6548C">
            <w:pPr>
              <w:pStyle w:val="Tabletext"/>
              <w:jc w:val="center"/>
              <w:rPr>
                <w:color w:val="000000"/>
              </w:rPr>
            </w:pPr>
            <w:r w:rsidRPr="00A604A3">
              <w:rPr>
                <w:color w:val="000000"/>
              </w:rPr>
              <w:t>0.85</w:t>
            </w:r>
          </w:p>
        </w:tc>
        <w:tc>
          <w:tcPr>
            <w:tcW w:w="480" w:type="pct"/>
            <w:vAlign w:val="center"/>
          </w:tcPr>
          <w:p w:rsidR="00AE0549" w:rsidRPr="00A604A3" w:rsidRDefault="00AE0549" w:rsidP="00B6548C">
            <w:pPr>
              <w:pStyle w:val="Tabletext"/>
              <w:jc w:val="center"/>
              <w:rPr>
                <w:color w:val="000000"/>
              </w:rPr>
            </w:pPr>
            <w:r w:rsidRPr="00A604A3">
              <w:rPr>
                <w:color w:val="000000"/>
              </w:rPr>
              <w:t>0.51</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2.40</w:t>
            </w:r>
          </w:p>
        </w:tc>
        <w:tc>
          <w:tcPr>
            <w:tcW w:w="479" w:type="pct"/>
            <w:vAlign w:val="center"/>
          </w:tcPr>
          <w:p w:rsidR="00AE0549" w:rsidRPr="00A604A3" w:rsidRDefault="00AE0549" w:rsidP="00B6548C">
            <w:pPr>
              <w:pStyle w:val="Tabletext"/>
              <w:jc w:val="center"/>
              <w:rPr>
                <w:color w:val="000000"/>
              </w:rPr>
            </w:pPr>
            <w:r w:rsidRPr="00A604A3">
              <w:rPr>
                <w:color w:val="000000"/>
              </w:rPr>
              <w:t>1.31</w:t>
            </w:r>
          </w:p>
        </w:tc>
        <w:tc>
          <w:tcPr>
            <w:tcW w:w="462" w:type="pct"/>
            <w:noWrap/>
            <w:vAlign w:val="center"/>
          </w:tcPr>
          <w:p w:rsidR="00AE0549" w:rsidRPr="00A604A3" w:rsidRDefault="00AE0549" w:rsidP="00B6548C">
            <w:pPr>
              <w:pStyle w:val="Tabletext"/>
              <w:jc w:val="center"/>
              <w:rPr>
                <w:color w:val="000000"/>
              </w:rPr>
            </w:pPr>
            <w:r w:rsidRPr="00A604A3">
              <w:rPr>
                <w:color w:val="000000"/>
              </w:rPr>
              <w:t>0.83</w:t>
            </w:r>
          </w:p>
        </w:tc>
        <w:tc>
          <w:tcPr>
            <w:tcW w:w="533" w:type="pct"/>
            <w:noWrap/>
            <w:vAlign w:val="center"/>
          </w:tcPr>
          <w:p w:rsidR="00AE0549" w:rsidRPr="00A604A3" w:rsidRDefault="00AE0549" w:rsidP="00B6548C">
            <w:pPr>
              <w:pStyle w:val="Tabletext"/>
              <w:jc w:val="center"/>
              <w:rPr>
                <w:color w:val="000000"/>
              </w:rPr>
            </w:pPr>
            <w:r w:rsidRPr="00A604A3">
              <w:rPr>
                <w:color w:val="000000"/>
              </w:rPr>
              <w:t>0.50</w:t>
            </w:r>
          </w:p>
        </w:tc>
        <w:tc>
          <w:tcPr>
            <w:tcW w:w="471" w:type="pct"/>
            <w:vAlign w:val="center"/>
          </w:tcPr>
          <w:p w:rsidR="00AE0549" w:rsidRPr="00A604A3" w:rsidRDefault="00AE0549" w:rsidP="00B6548C">
            <w:pPr>
              <w:pStyle w:val="Tabletext"/>
              <w:jc w:val="center"/>
              <w:rPr>
                <w:color w:val="000000"/>
              </w:rPr>
            </w:pPr>
            <w:r w:rsidRPr="00A604A3">
              <w:rPr>
                <w:color w:val="000000"/>
              </w:rPr>
              <w:t>2.07</w:t>
            </w:r>
          </w:p>
        </w:tc>
        <w:tc>
          <w:tcPr>
            <w:tcW w:w="462" w:type="pct"/>
            <w:vAlign w:val="center"/>
          </w:tcPr>
          <w:p w:rsidR="00AE0549" w:rsidRPr="00A604A3" w:rsidRDefault="00AE0549" w:rsidP="00B6548C">
            <w:pPr>
              <w:pStyle w:val="Tabletext"/>
              <w:jc w:val="center"/>
              <w:rPr>
                <w:color w:val="000000"/>
              </w:rPr>
            </w:pPr>
            <w:r w:rsidRPr="00A604A3">
              <w:rPr>
                <w:color w:val="000000"/>
              </w:rPr>
              <w:t>1.05</w:t>
            </w:r>
          </w:p>
        </w:tc>
        <w:tc>
          <w:tcPr>
            <w:tcW w:w="480" w:type="pct"/>
            <w:vAlign w:val="center"/>
          </w:tcPr>
          <w:p w:rsidR="00AE0549" w:rsidRPr="00A604A3" w:rsidRDefault="00AE0549" w:rsidP="00B6548C">
            <w:pPr>
              <w:pStyle w:val="Tabletext"/>
              <w:jc w:val="center"/>
              <w:rPr>
                <w:color w:val="000000"/>
              </w:rPr>
            </w:pPr>
            <w:r w:rsidRPr="00A604A3">
              <w:rPr>
                <w:color w:val="000000"/>
              </w:rPr>
              <w:t>0.64</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2.16</w:t>
            </w:r>
          </w:p>
        </w:tc>
        <w:tc>
          <w:tcPr>
            <w:tcW w:w="479" w:type="pct"/>
            <w:vAlign w:val="center"/>
          </w:tcPr>
          <w:p w:rsidR="00AE0549" w:rsidRPr="00A604A3" w:rsidRDefault="00AE0549" w:rsidP="00B6548C">
            <w:pPr>
              <w:pStyle w:val="Tabletext"/>
              <w:jc w:val="center"/>
              <w:rPr>
                <w:color w:val="000000"/>
              </w:rPr>
            </w:pPr>
            <w:r w:rsidRPr="00A604A3">
              <w:rPr>
                <w:color w:val="000000"/>
              </w:rPr>
              <w:t>1.13</w:t>
            </w:r>
          </w:p>
        </w:tc>
        <w:tc>
          <w:tcPr>
            <w:tcW w:w="462" w:type="pct"/>
            <w:noWrap/>
            <w:vAlign w:val="center"/>
          </w:tcPr>
          <w:p w:rsidR="00AE0549" w:rsidRPr="00A604A3" w:rsidRDefault="00AE0549" w:rsidP="00B6548C">
            <w:pPr>
              <w:pStyle w:val="Tabletext"/>
              <w:jc w:val="center"/>
              <w:rPr>
                <w:color w:val="000000"/>
              </w:rPr>
            </w:pPr>
            <w:r w:rsidRPr="00A604A3">
              <w:rPr>
                <w:color w:val="000000"/>
              </w:rPr>
              <w:t>0.74</w:t>
            </w:r>
          </w:p>
        </w:tc>
        <w:tc>
          <w:tcPr>
            <w:tcW w:w="533" w:type="pct"/>
            <w:noWrap/>
            <w:vAlign w:val="center"/>
          </w:tcPr>
          <w:p w:rsidR="00AE0549" w:rsidRPr="00A604A3" w:rsidRDefault="00AE0549" w:rsidP="00B6548C">
            <w:pPr>
              <w:pStyle w:val="Tabletext"/>
              <w:jc w:val="center"/>
              <w:rPr>
                <w:color w:val="000000"/>
              </w:rPr>
            </w:pPr>
            <w:r w:rsidRPr="00A604A3">
              <w:rPr>
                <w:color w:val="000000"/>
              </w:rPr>
              <w:t>0.43</w:t>
            </w:r>
          </w:p>
        </w:tc>
        <w:tc>
          <w:tcPr>
            <w:tcW w:w="471" w:type="pct"/>
            <w:vAlign w:val="center"/>
          </w:tcPr>
          <w:p w:rsidR="00AE0549" w:rsidRPr="00A604A3" w:rsidRDefault="00AE0549" w:rsidP="00B6548C">
            <w:pPr>
              <w:pStyle w:val="Tabletext"/>
              <w:jc w:val="center"/>
              <w:rPr>
                <w:color w:val="000000"/>
              </w:rPr>
            </w:pPr>
            <w:r w:rsidRPr="00A604A3">
              <w:rPr>
                <w:color w:val="000000"/>
              </w:rPr>
              <w:t>1.82</w:t>
            </w:r>
          </w:p>
        </w:tc>
        <w:tc>
          <w:tcPr>
            <w:tcW w:w="462" w:type="pct"/>
            <w:vAlign w:val="center"/>
          </w:tcPr>
          <w:p w:rsidR="00AE0549" w:rsidRPr="00A604A3" w:rsidRDefault="00AE0549" w:rsidP="00B6548C">
            <w:pPr>
              <w:pStyle w:val="Tabletext"/>
              <w:jc w:val="center"/>
              <w:rPr>
                <w:color w:val="000000"/>
              </w:rPr>
            </w:pPr>
            <w:r w:rsidRPr="00A604A3">
              <w:rPr>
                <w:color w:val="000000"/>
              </w:rPr>
              <w:t>0.95</w:t>
            </w:r>
          </w:p>
        </w:tc>
        <w:tc>
          <w:tcPr>
            <w:tcW w:w="480" w:type="pct"/>
            <w:vAlign w:val="center"/>
          </w:tcPr>
          <w:p w:rsidR="00AE0549" w:rsidRPr="00A604A3" w:rsidRDefault="00AE0549" w:rsidP="00B6548C">
            <w:pPr>
              <w:pStyle w:val="Tabletext"/>
              <w:jc w:val="center"/>
              <w:rPr>
                <w:color w:val="000000"/>
              </w:rPr>
            </w:pPr>
            <w:r w:rsidRPr="00A604A3">
              <w:rPr>
                <w:color w:val="000000"/>
              </w:rPr>
              <w:t>0.56</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2.69</w:t>
            </w:r>
          </w:p>
        </w:tc>
        <w:tc>
          <w:tcPr>
            <w:tcW w:w="479" w:type="pct"/>
            <w:vAlign w:val="center"/>
          </w:tcPr>
          <w:p w:rsidR="00AE0549" w:rsidRPr="00A604A3" w:rsidRDefault="00AE0549" w:rsidP="00B6548C">
            <w:pPr>
              <w:pStyle w:val="Tabletext"/>
              <w:jc w:val="center"/>
              <w:rPr>
                <w:color w:val="000000"/>
              </w:rPr>
            </w:pPr>
            <w:r w:rsidRPr="00A604A3">
              <w:rPr>
                <w:color w:val="000000"/>
              </w:rPr>
              <w:t>1.40</w:t>
            </w:r>
          </w:p>
        </w:tc>
        <w:tc>
          <w:tcPr>
            <w:tcW w:w="462" w:type="pct"/>
            <w:noWrap/>
            <w:vAlign w:val="center"/>
          </w:tcPr>
          <w:p w:rsidR="00AE0549" w:rsidRPr="00A604A3" w:rsidRDefault="00AE0549" w:rsidP="00B6548C">
            <w:pPr>
              <w:pStyle w:val="Tabletext"/>
              <w:jc w:val="center"/>
              <w:rPr>
                <w:color w:val="000000"/>
              </w:rPr>
            </w:pPr>
            <w:r w:rsidRPr="00A604A3">
              <w:rPr>
                <w:color w:val="000000"/>
              </w:rPr>
              <w:t>0.92</w:t>
            </w:r>
          </w:p>
        </w:tc>
        <w:tc>
          <w:tcPr>
            <w:tcW w:w="533" w:type="pct"/>
            <w:noWrap/>
            <w:vAlign w:val="center"/>
          </w:tcPr>
          <w:p w:rsidR="00AE0549" w:rsidRPr="00A604A3" w:rsidRDefault="00AE0549" w:rsidP="00B6548C">
            <w:pPr>
              <w:pStyle w:val="Tabletext"/>
              <w:jc w:val="center"/>
              <w:rPr>
                <w:color w:val="000000"/>
              </w:rPr>
            </w:pPr>
            <w:r w:rsidRPr="00A604A3">
              <w:rPr>
                <w:color w:val="000000"/>
              </w:rPr>
              <w:t>0.53</w:t>
            </w:r>
          </w:p>
        </w:tc>
        <w:tc>
          <w:tcPr>
            <w:tcW w:w="471" w:type="pct"/>
            <w:vAlign w:val="center"/>
          </w:tcPr>
          <w:p w:rsidR="00AE0549" w:rsidRPr="00A604A3" w:rsidRDefault="00AE0549" w:rsidP="00B6548C">
            <w:pPr>
              <w:pStyle w:val="Tabletext"/>
              <w:jc w:val="center"/>
              <w:rPr>
                <w:color w:val="000000"/>
              </w:rPr>
            </w:pPr>
            <w:r w:rsidRPr="00A604A3">
              <w:rPr>
                <w:color w:val="000000"/>
              </w:rPr>
              <w:t>2.28</w:t>
            </w:r>
          </w:p>
        </w:tc>
        <w:tc>
          <w:tcPr>
            <w:tcW w:w="462" w:type="pct"/>
            <w:vAlign w:val="center"/>
          </w:tcPr>
          <w:p w:rsidR="00AE0549" w:rsidRPr="00A604A3" w:rsidRDefault="00AE0549" w:rsidP="00B6548C">
            <w:pPr>
              <w:pStyle w:val="Tabletext"/>
              <w:jc w:val="center"/>
              <w:rPr>
                <w:color w:val="000000"/>
              </w:rPr>
            </w:pPr>
            <w:r w:rsidRPr="00A604A3">
              <w:rPr>
                <w:color w:val="000000"/>
              </w:rPr>
              <w:t>1.18</w:t>
            </w:r>
          </w:p>
        </w:tc>
        <w:tc>
          <w:tcPr>
            <w:tcW w:w="480" w:type="pct"/>
            <w:vAlign w:val="center"/>
          </w:tcPr>
          <w:p w:rsidR="00AE0549" w:rsidRPr="00A604A3" w:rsidRDefault="00AE0549" w:rsidP="00B6548C">
            <w:pPr>
              <w:pStyle w:val="Tabletext"/>
              <w:jc w:val="center"/>
              <w:rPr>
                <w:color w:val="000000"/>
              </w:rPr>
            </w:pPr>
            <w:r w:rsidRPr="00A604A3">
              <w:rPr>
                <w:color w:val="000000"/>
              </w:rPr>
              <w:t>0.72</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3.37</w:t>
            </w:r>
          </w:p>
        </w:tc>
        <w:tc>
          <w:tcPr>
            <w:tcW w:w="479" w:type="pct"/>
            <w:vAlign w:val="center"/>
          </w:tcPr>
          <w:p w:rsidR="00AE0549" w:rsidRPr="00A604A3" w:rsidRDefault="00AE0549" w:rsidP="00B6548C">
            <w:pPr>
              <w:pStyle w:val="Tabletext"/>
              <w:jc w:val="center"/>
              <w:rPr>
                <w:color w:val="000000"/>
              </w:rPr>
            </w:pPr>
            <w:r w:rsidRPr="00A604A3">
              <w:rPr>
                <w:color w:val="000000"/>
              </w:rPr>
              <w:t>1.77</w:t>
            </w:r>
          </w:p>
        </w:tc>
        <w:tc>
          <w:tcPr>
            <w:tcW w:w="462" w:type="pct"/>
            <w:noWrap/>
            <w:vAlign w:val="center"/>
          </w:tcPr>
          <w:p w:rsidR="00AE0549" w:rsidRPr="00A604A3" w:rsidRDefault="00AE0549" w:rsidP="00B6548C">
            <w:pPr>
              <w:pStyle w:val="Tabletext"/>
              <w:jc w:val="center"/>
              <w:rPr>
                <w:color w:val="000000"/>
              </w:rPr>
            </w:pPr>
            <w:r w:rsidRPr="00A604A3">
              <w:rPr>
                <w:color w:val="000000"/>
              </w:rPr>
              <w:t>1.04</w:t>
            </w:r>
          </w:p>
        </w:tc>
        <w:tc>
          <w:tcPr>
            <w:tcW w:w="533" w:type="pct"/>
            <w:noWrap/>
            <w:vAlign w:val="center"/>
          </w:tcPr>
          <w:p w:rsidR="00AE0549" w:rsidRPr="00A604A3" w:rsidRDefault="00AE0549" w:rsidP="00B6548C">
            <w:pPr>
              <w:pStyle w:val="Tabletext"/>
              <w:jc w:val="center"/>
              <w:rPr>
                <w:color w:val="000000"/>
              </w:rPr>
            </w:pPr>
            <w:r w:rsidRPr="00A604A3">
              <w:rPr>
                <w:color w:val="000000"/>
              </w:rPr>
              <w:t>0.59</w:t>
            </w:r>
          </w:p>
        </w:tc>
        <w:tc>
          <w:tcPr>
            <w:tcW w:w="471" w:type="pct"/>
            <w:vAlign w:val="center"/>
          </w:tcPr>
          <w:p w:rsidR="00AE0549" w:rsidRPr="00A604A3" w:rsidRDefault="00AE0549" w:rsidP="00B6548C">
            <w:pPr>
              <w:pStyle w:val="Tabletext"/>
              <w:jc w:val="center"/>
              <w:rPr>
                <w:color w:val="000000"/>
              </w:rPr>
            </w:pPr>
            <w:r w:rsidRPr="00A604A3">
              <w:rPr>
                <w:color w:val="000000"/>
              </w:rPr>
              <w:t>3.06</w:t>
            </w:r>
          </w:p>
        </w:tc>
        <w:tc>
          <w:tcPr>
            <w:tcW w:w="462" w:type="pct"/>
            <w:vAlign w:val="center"/>
          </w:tcPr>
          <w:p w:rsidR="00AE0549" w:rsidRPr="00A604A3" w:rsidRDefault="00AE0549" w:rsidP="00B6548C">
            <w:pPr>
              <w:pStyle w:val="Tabletext"/>
              <w:jc w:val="center"/>
              <w:rPr>
                <w:color w:val="000000"/>
              </w:rPr>
            </w:pPr>
            <w:r w:rsidRPr="00A604A3">
              <w:rPr>
                <w:color w:val="000000"/>
              </w:rPr>
              <w:t>1.58</w:t>
            </w:r>
          </w:p>
        </w:tc>
        <w:tc>
          <w:tcPr>
            <w:tcW w:w="480" w:type="pct"/>
            <w:vAlign w:val="center"/>
          </w:tcPr>
          <w:p w:rsidR="00AE0549" w:rsidRPr="00A604A3" w:rsidRDefault="00AE0549" w:rsidP="00B6548C">
            <w:pPr>
              <w:pStyle w:val="Tabletext"/>
              <w:jc w:val="center"/>
              <w:rPr>
                <w:color w:val="000000"/>
              </w:rPr>
            </w:pPr>
            <w:r w:rsidRPr="00A604A3">
              <w:rPr>
                <w:color w:val="000000"/>
              </w:rPr>
              <w:t>0.87</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3.95</w:t>
            </w:r>
          </w:p>
        </w:tc>
        <w:tc>
          <w:tcPr>
            <w:tcW w:w="479" w:type="pct"/>
            <w:vAlign w:val="center"/>
          </w:tcPr>
          <w:p w:rsidR="00AE0549" w:rsidRPr="00A604A3" w:rsidRDefault="00AE0549" w:rsidP="00B6548C">
            <w:pPr>
              <w:pStyle w:val="Tabletext"/>
              <w:jc w:val="center"/>
              <w:rPr>
                <w:color w:val="000000"/>
              </w:rPr>
            </w:pPr>
            <w:r w:rsidRPr="00A604A3">
              <w:rPr>
                <w:color w:val="000000"/>
              </w:rPr>
              <w:t>2.09</w:t>
            </w:r>
          </w:p>
        </w:tc>
        <w:tc>
          <w:tcPr>
            <w:tcW w:w="462" w:type="pct"/>
            <w:noWrap/>
            <w:vAlign w:val="center"/>
          </w:tcPr>
          <w:p w:rsidR="00AE0549" w:rsidRPr="00A604A3" w:rsidRDefault="00AE0549" w:rsidP="00B6548C">
            <w:pPr>
              <w:pStyle w:val="Tabletext"/>
              <w:jc w:val="center"/>
              <w:rPr>
                <w:color w:val="000000"/>
              </w:rPr>
            </w:pPr>
            <w:r w:rsidRPr="00A604A3">
              <w:rPr>
                <w:color w:val="000000"/>
              </w:rPr>
              <w:t>1.26</w:t>
            </w:r>
          </w:p>
        </w:tc>
        <w:tc>
          <w:tcPr>
            <w:tcW w:w="533" w:type="pct"/>
            <w:noWrap/>
            <w:vAlign w:val="center"/>
          </w:tcPr>
          <w:p w:rsidR="00AE0549" w:rsidRPr="00A604A3" w:rsidRDefault="00AE0549" w:rsidP="00B6548C">
            <w:pPr>
              <w:pStyle w:val="Tabletext"/>
              <w:jc w:val="center"/>
              <w:rPr>
                <w:color w:val="000000"/>
              </w:rPr>
            </w:pPr>
            <w:r w:rsidRPr="00A604A3">
              <w:rPr>
                <w:color w:val="000000"/>
              </w:rPr>
              <w:t>0.74</w:t>
            </w:r>
          </w:p>
        </w:tc>
        <w:tc>
          <w:tcPr>
            <w:tcW w:w="471" w:type="pct"/>
            <w:vAlign w:val="center"/>
          </w:tcPr>
          <w:p w:rsidR="00AE0549" w:rsidRPr="00A604A3" w:rsidRDefault="00AE0549" w:rsidP="00B6548C">
            <w:pPr>
              <w:pStyle w:val="Tabletext"/>
              <w:jc w:val="center"/>
              <w:rPr>
                <w:color w:val="000000"/>
              </w:rPr>
            </w:pPr>
            <w:r w:rsidRPr="00A604A3">
              <w:rPr>
                <w:color w:val="000000"/>
              </w:rPr>
              <w:t>3.64</w:t>
            </w:r>
          </w:p>
        </w:tc>
        <w:tc>
          <w:tcPr>
            <w:tcW w:w="462" w:type="pct"/>
            <w:vAlign w:val="center"/>
          </w:tcPr>
          <w:p w:rsidR="00AE0549" w:rsidRPr="00A604A3" w:rsidRDefault="00AE0549" w:rsidP="00B6548C">
            <w:pPr>
              <w:pStyle w:val="Tabletext"/>
              <w:jc w:val="center"/>
              <w:rPr>
                <w:color w:val="000000"/>
              </w:rPr>
            </w:pPr>
            <w:r w:rsidRPr="00A604A3">
              <w:rPr>
                <w:color w:val="000000"/>
              </w:rPr>
              <w:t>1.90</w:t>
            </w:r>
          </w:p>
        </w:tc>
        <w:tc>
          <w:tcPr>
            <w:tcW w:w="480" w:type="pct"/>
            <w:vAlign w:val="center"/>
          </w:tcPr>
          <w:p w:rsidR="00AE0549" w:rsidRPr="00A604A3" w:rsidRDefault="00AE0549" w:rsidP="00B6548C">
            <w:pPr>
              <w:pStyle w:val="Tabletext"/>
              <w:jc w:val="center"/>
              <w:rPr>
                <w:color w:val="000000"/>
              </w:rPr>
            </w:pPr>
            <w:r w:rsidRPr="00A604A3">
              <w:rPr>
                <w:color w:val="000000"/>
              </w:rPr>
              <w:t>1.04</w:t>
            </w:r>
          </w:p>
        </w:tc>
      </w:tr>
      <w:tr w:rsidR="00AE0549" w:rsidRPr="00A604A3" w:rsidTr="00B6548C">
        <w:trPr>
          <w:jc w:val="center"/>
        </w:trPr>
        <w:tc>
          <w:tcPr>
            <w:tcW w:w="590"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1.39</w:t>
            </w:r>
          </w:p>
        </w:tc>
        <w:tc>
          <w:tcPr>
            <w:tcW w:w="479" w:type="pct"/>
            <w:vAlign w:val="center"/>
          </w:tcPr>
          <w:p w:rsidR="00AE0549" w:rsidRPr="00A604A3" w:rsidRDefault="00AE0549" w:rsidP="00B6548C">
            <w:pPr>
              <w:pStyle w:val="Tabletext"/>
              <w:jc w:val="center"/>
              <w:rPr>
                <w:color w:val="000000"/>
              </w:rPr>
            </w:pPr>
            <w:r w:rsidRPr="00A604A3">
              <w:rPr>
                <w:color w:val="000000"/>
              </w:rPr>
              <w:t>0.77</w:t>
            </w:r>
          </w:p>
        </w:tc>
        <w:tc>
          <w:tcPr>
            <w:tcW w:w="462" w:type="pct"/>
            <w:noWrap/>
            <w:vAlign w:val="center"/>
          </w:tcPr>
          <w:p w:rsidR="00AE0549" w:rsidRPr="00A604A3" w:rsidRDefault="00AE0549" w:rsidP="00B6548C">
            <w:pPr>
              <w:pStyle w:val="Tabletext"/>
              <w:jc w:val="center"/>
              <w:rPr>
                <w:color w:val="000000"/>
              </w:rPr>
            </w:pPr>
            <w:r w:rsidRPr="00A604A3">
              <w:rPr>
                <w:color w:val="000000"/>
              </w:rPr>
              <w:t>0.55</w:t>
            </w:r>
          </w:p>
        </w:tc>
        <w:tc>
          <w:tcPr>
            <w:tcW w:w="533" w:type="pct"/>
            <w:noWrap/>
            <w:vAlign w:val="center"/>
          </w:tcPr>
          <w:p w:rsidR="00AE0549" w:rsidRPr="00A604A3" w:rsidRDefault="00AE0549" w:rsidP="00B6548C">
            <w:pPr>
              <w:pStyle w:val="Tabletext"/>
              <w:jc w:val="center"/>
              <w:rPr>
                <w:color w:val="000000"/>
              </w:rPr>
            </w:pPr>
            <w:r w:rsidRPr="00A604A3">
              <w:rPr>
                <w:color w:val="000000"/>
              </w:rPr>
              <w:t>0.34</w:t>
            </w:r>
          </w:p>
        </w:tc>
        <w:tc>
          <w:tcPr>
            <w:tcW w:w="471" w:type="pct"/>
            <w:vAlign w:val="center"/>
          </w:tcPr>
          <w:p w:rsidR="00AE0549" w:rsidRPr="00A604A3" w:rsidRDefault="00AE0549" w:rsidP="00B6548C">
            <w:pPr>
              <w:pStyle w:val="Tabletext"/>
              <w:jc w:val="center"/>
              <w:rPr>
                <w:color w:val="000000"/>
              </w:rPr>
            </w:pPr>
            <w:r w:rsidRPr="00A604A3">
              <w:rPr>
                <w:color w:val="000000"/>
              </w:rPr>
              <w:t>1.09</w:t>
            </w:r>
          </w:p>
        </w:tc>
        <w:tc>
          <w:tcPr>
            <w:tcW w:w="462" w:type="pct"/>
            <w:vAlign w:val="center"/>
          </w:tcPr>
          <w:p w:rsidR="00AE0549" w:rsidRPr="00A604A3" w:rsidRDefault="00AE0549" w:rsidP="00B6548C">
            <w:pPr>
              <w:pStyle w:val="Tabletext"/>
              <w:jc w:val="center"/>
              <w:rPr>
                <w:color w:val="000000"/>
              </w:rPr>
            </w:pPr>
            <w:r w:rsidRPr="00A604A3">
              <w:rPr>
                <w:color w:val="000000"/>
              </w:rPr>
              <w:t>0.58</w:t>
            </w:r>
          </w:p>
        </w:tc>
        <w:tc>
          <w:tcPr>
            <w:tcW w:w="480" w:type="pct"/>
            <w:vAlign w:val="center"/>
          </w:tcPr>
          <w:p w:rsidR="00AE0549" w:rsidRPr="00A604A3" w:rsidRDefault="00AE0549" w:rsidP="00B6548C">
            <w:pPr>
              <w:pStyle w:val="Tabletext"/>
              <w:jc w:val="center"/>
              <w:rPr>
                <w:color w:val="000000"/>
              </w:rPr>
            </w:pPr>
            <w:r w:rsidRPr="00A604A3">
              <w:rPr>
                <w:color w:val="000000"/>
              </w:rPr>
              <w:t>0.38</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1.66</w:t>
            </w:r>
          </w:p>
        </w:tc>
        <w:tc>
          <w:tcPr>
            <w:tcW w:w="479" w:type="pct"/>
            <w:vAlign w:val="center"/>
          </w:tcPr>
          <w:p w:rsidR="00AE0549" w:rsidRPr="00A604A3" w:rsidRDefault="00AE0549" w:rsidP="00B6548C">
            <w:pPr>
              <w:pStyle w:val="Tabletext"/>
              <w:jc w:val="center"/>
              <w:rPr>
                <w:color w:val="000000"/>
              </w:rPr>
            </w:pPr>
            <w:r w:rsidRPr="00A604A3">
              <w:rPr>
                <w:color w:val="000000"/>
              </w:rPr>
              <w:t>0.91</w:t>
            </w:r>
          </w:p>
        </w:tc>
        <w:tc>
          <w:tcPr>
            <w:tcW w:w="462" w:type="pct"/>
            <w:noWrap/>
            <w:vAlign w:val="center"/>
          </w:tcPr>
          <w:p w:rsidR="00AE0549" w:rsidRPr="00A604A3" w:rsidRDefault="00AE0549" w:rsidP="00B6548C">
            <w:pPr>
              <w:pStyle w:val="Tabletext"/>
              <w:jc w:val="center"/>
              <w:rPr>
                <w:color w:val="000000"/>
              </w:rPr>
            </w:pPr>
            <w:r w:rsidRPr="00A604A3">
              <w:rPr>
                <w:color w:val="000000"/>
              </w:rPr>
              <w:t>0.68</w:t>
            </w:r>
          </w:p>
        </w:tc>
        <w:tc>
          <w:tcPr>
            <w:tcW w:w="533" w:type="pct"/>
            <w:noWrap/>
            <w:vAlign w:val="center"/>
          </w:tcPr>
          <w:p w:rsidR="00AE0549" w:rsidRPr="00A604A3" w:rsidRDefault="00AE0549" w:rsidP="00B6548C">
            <w:pPr>
              <w:pStyle w:val="Tabletext"/>
              <w:jc w:val="center"/>
              <w:rPr>
                <w:color w:val="000000"/>
              </w:rPr>
            </w:pPr>
            <w:r w:rsidRPr="00A604A3">
              <w:rPr>
                <w:color w:val="000000"/>
              </w:rPr>
              <w:t>0.41</w:t>
            </w:r>
          </w:p>
        </w:tc>
        <w:tc>
          <w:tcPr>
            <w:tcW w:w="471" w:type="pct"/>
            <w:vAlign w:val="center"/>
          </w:tcPr>
          <w:p w:rsidR="00AE0549" w:rsidRPr="00A604A3" w:rsidRDefault="00AE0549" w:rsidP="00B6548C">
            <w:pPr>
              <w:pStyle w:val="Tabletext"/>
              <w:jc w:val="center"/>
              <w:rPr>
                <w:color w:val="000000"/>
              </w:rPr>
            </w:pPr>
            <w:r w:rsidRPr="00A604A3">
              <w:rPr>
                <w:color w:val="000000"/>
              </w:rPr>
              <w:t>1.23</w:t>
            </w:r>
          </w:p>
        </w:tc>
        <w:tc>
          <w:tcPr>
            <w:tcW w:w="462" w:type="pct"/>
            <w:vAlign w:val="center"/>
          </w:tcPr>
          <w:p w:rsidR="00AE0549" w:rsidRPr="00A604A3" w:rsidRDefault="00AE0549" w:rsidP="00B6548C">
            <w:pPr>
              <w:pStyle w:val="Tabletext"/>
              <w:jc w:val="center"/>
              <w:rPr>
                <w:color w:val="000000"/>
              </w:rPr>
            </w:pPr>
            <w:r w:rsidRPr="00A604A3">
              <w:rPr>
                <w:color w:val="000000"/>
              </w:rPr>
              <w:t>0.67</w:t>
            </w:r>
          </w:p>
        </w:tc>
        <w:tc>
          <w:tcPr>
            <w:tcW w:w="480" w:type="pct"/>
            <w:vAlign w:val="center"/>
          </w:tcPr>
          <w:p w:rsidR="00AE0549" w:rsidRPr="00A604A3" w:rsidRDefault="00AE0549" w:rsidP="00B6548C">
            <w:pPr>
              <w:pStyle w:val="Tabletext"/>
              <w:jc w:val="center"/>
              <w:rPr>
                <w:color w:val="000000"/>
              </w:rPr>
            </w:pPr>
            <w:r w:rsidRPr="00A604A3">
              <w:rPr>
                <w:color w:val="000000"/>
              </w:rPr>
              <w:t>0.45</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1.61</w:t>
            </w:r>
          </w:p>
        </w:tc>
        <w:tc>
          <w:tcPr>
            <w:tcW w:w="479" w:type="pct"/>
            <w:vAlign w:val="center"/>
          </w:tcPr>
          <w:p w:rsidR="00AE0549" w:rsidRPr="00A604A3" w:rsidRDefault="00AE0549" w:rsidP="00B6548C">
            <w:pPr>
              <w:pStyle w:val="Tabletext"/>
              <w:jc w:val="center"/>
              <w:rPr>
                <w:color w:val="000000"/>
              </w:rPr>
            </w:pPr>
            <w:r w:rsidRPr="00A604A3">
              <w:rPr>
                <w:color w:val="000000"/>
              </w:rPr>
              <w:t>0.88</w:t>
            </w:r>
          </w:p>
        </w:tc>
        <w:tc>
          <w:tcPr>
            <w:tcW w:w="462" w:type="pct"/>
            <w:noWrap/>
            <w:vAlign w:val="center"/>
          </w:tcPr>
          <w:p w:rsidR="00AE0549" w:rsidRPr="00A604A3" w:rsidRDefault="00AE0549" w:rsidP="00B6548C">
            <w:pPr>
              <w:pStyle w:val="Tabletext"/>
              <w:jc w:val="center"/>
              <w:rPr>
                <w:color w:val="000000"/>
              </w:rPr>
            </w:pPr>
            <w:r w:rsidRPr="00A604A3">
              <w:rPr>
                <w:color w:val="000000"/>
              </w:rPr>
              <w:t>0.61</w:t>
            </w:r>
          </w:p>
        </w:tc>
        <w:tc>
          <w:tcPr>
            <w:tcW w:w="533" w:type="pct"/>
            <w:noWrap/>
            <w:vAlign w:val="center"/>
          </w:tcPr>
          <w:p w:rsidR="00AE0549" w:rsidRPr="00A604A3" w:rsidRDefault="00AE0549" w:rsidP="00B6548C">
            <w:pPr>
              <w:pStyle w:val="Tabletext"/>
              <w:jc w:val="center"/>
              <w:rPr>
                <w:color w:val="000000"/>
              </w:rPr>
            </w:pPr>
            <w:r w:rsidRPr="00A604A3">
              <w:rPr>
                <w:color w:val="000000"/>
              </w:rPr>
              <w:t>0.37</w:t>
            </w:r>
          </w:p>
        </w:tc>
        <w:tc>
          <w:tcPr>
            <w:tcW w:w="471" w:type="pct"/>
            <w:vAlign w:val="center"/>
          </w:tcPr>
          <w:p w:rsidR="00AE0549" w:rsidRPr="00A604A3" w:rsidRDefault="00AE0549" w:rsidP="00B6548C">
            <w:pPr>
              <w:pStyle w:val="Tabletext"/>
              <w:jc w:val="center"/>
              <w:rPr>
                <w:color w:val="000000"/>
              </w:rPr>
            </w:pPr>
            <w:r w:rsidRPr="00A604A3">
              <w:rPr>
                <w:color w:val="000000"/>
              </w:rPr>
              <w:t>1.30</w:t>
            </w:r>
          </w:p>
        </w:tc>
        <w:tc>
          <w:tcPr>
            <w:tcW w:w="462" w:type="pct"/>
            <w:vAlign w:val="center"/>
          </w:tcPr>
          <w:p w:rsidR="00AE0549" w:rsidRPr="00A604A3" w:rsidRDefault="00AE0549" w:rsidP="00B6548C">
            <w:pPr>
              <w:pStyle w:val="Tabletext"/>
              <w:jc w:val="center"/>
              <w:rPr>
                <w:color w:val="000000"/>
              </w:rPr>
            </w:pPr>
            <w:r w:rsidRPr="00A604A3">
              <w:rPr>
                <w:color w:val="000000"/>
              </w:rPr>
              <w:t>0.70</w:t>
            </w:r>
          </w:p>
        </w:tc>
        <w:tc>
          <w:tcPr>
            <w:tcW w:w="480" w:type="pct"/>
            <w:vAlign w:val="center"/>
          </w:tcPr>
          <w:p w:rsidR="00AE0549" w:rsidRPr="00A604A3" w:rsidRDefault="00AE0549" w:rsidP="00B6548C">
            <w:pPr>
              <w:pStyle w:val="Tabletext"/>
              <w:jc w:val="center"/>
              <w:rPr>
                <w:color w:val="000000"/>
              </w:rPr>
            </w:pPr>
            <w:r w:rsidRPr="00A604A3">
              <w:rPr>
                <w:color w:val="000000"/>
              </w:rPr>
              <w:t>0.43</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1.91</w:t>
            </w:r>
          </w:p>
        </w:tc>
        <w:tc>
          <w:tcPr>
            <w:tcW w:w="479" w:type="pct"/>
            <w:vAlign w:val="center"/>
          </w:tcPr>
          <w:p w:rsidR="00AE0549" w:rsidRPr="00A604A3" w:rsidRDefault="00AE0549" w:rsidP="00B6548C">
            <w:pPr>
              <w:pStyle w:val="Tabletext"/>
              <w:jc w:val="center"/>
              <w:rPr>
                <w:color w:val="000000"/>
              </w:rPr>
            </w:pPr>
            <w:r w:rsidRPr="00A604A3">
              <w:rPr>
                <w:color w:val="000000"/>
              </w:rPr>
              <w:t>1.03</w:t>
            </w:r>
          </w:p>
        </w:tc>
        <w:tc>
          <w:tcPr>
            <w:tcW w:w="462" w:type="pct"/>
            <w:noWrap/>
            <w:vAlign w:val="center"/>
          </w:tcPr>
          <w:p w:rsidR="00AE0549" w:rsidRPr="00A604A3" w:rsidRDefault="00AE0549" w:rsidP="00B6548C">
            <w:pPr>
              <w:pStyle w:val="Tabletext"/>
              <w:jc w:val="center"/>
              <w:rPr>
                <w:color w:val="000000"/>
              </w:rPr>
            </w:pPr>
            <w:r w:rsidRPr="00A604A3">
              <w:rPr>
                <w:color w:val="000000"/>
              </w:rPr>
              <w:t>0.73</w:t>
            </w:r>
          </w:p>
        </w:tc>
        <w:tc>
          <w:tcPr>
            <w:tcW w:w="533" w:type="pct"/>
            <w:noWrap/>
            <w:vAlign w:val="center"/>
          </w:tcPr>
          <w:p w:rsidR="00AE0549" w:rsidRPr="00A604A3" w:rsidRDefault="00AE0549" w:rsidP="00B6548C">
            <w:pPr>
              <w:pStyle w:val="Tabletext"/>
              <w:jc w:val="center"/>
              <w:rPr>
                <w:color w:val="000000"/>
              </w:rPr>
            </w:pPr>
            <w:r w:rsidRPr="00A604A3">
              <w:rPr>
                <w:color w:val="000000"/>
              </w:rPr>
              <w:t>0.44</w:t>
            </w:r>
          </w:p>
        </w:tc>
        <w:tc>
          <w:tcPr>
            <w:tcW w:w="471" w:type="pct"/>
            <w:vAlign w:val="center"/>
          </w:tcPr>
          <w:p w:rsidR="00AE0549" w:rsidRPr="00A604A3" w:rsidRDefault="00AE0549" w:rsidP="00B6548C">
            <w:pPr>
              <w:pStyle w:val="Tabletext"/>
              <w:jc w:val="center"/>
              <w:rPr>
                <w:color w:val="000000"/>
              </w:rPr>
            </w:pPr>
            <w:r w:rsidRPr="00A604A3">
              <w:rPr>
                <w:color w:val="000000"/>
              </w:rPr>
              <w:t>1.51</w:t>
            </w:r>
          </w:p>
        </w:tc>
        <w:tc>
          <w:tcPr>
            <w:tcW w:w="462" w:type="pct"/>
            <w:vAlign w:val="center"/>
          </w:tcPr>
          <w:p w:rsidR="00AE0549" w:rsidRPr="00A604A3" w:rsidRDefault="00AE0549" w:rsidP="00B6548C">
            <w:pPr>
              <w:pStyle w:val="Tabletext"/>
              <w:jc w:val="center"/>
              <w:rPr>
                <w:color w:val="000000"/>
              </w:rPr>
            </w:pPr>
            <w:r w:rsidRPr="00A604A3">
              <w:rPr>
                <w:color w:val="000000"/>
              </w:rPr>
              <w:t>0.82</w:t>
            </w:r>
          </w:p>
        </w:tc>
        <w:tc>
          <w:tcPr>
            <w:tcW w:w="480" w:type="pct"/>
            <w:vAlign w:val="center"/>
          </w:tcPr>
          <w:p w:rsidR="00AE0549" w:rsidRPr="00A604A3" w:rsidRDefault="00AE0549" w:rsidP="00B6548C">
            <w:pPr>
              <w:pStyle w:val="Tabletext"/>
              <w:jc w:val="center"/>
              <w:rPr>
                <w:color w:val="000000"/>
              </w:rPr>
            </w:pPr>
            <w:r w:rsidRPr="00A604A3">
              <w:rPr>
                <w:color w:val="000000"/>
              </w:rPr>
              <w:t>0.51</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1.97</w:t>
            </w:r>
          </w:p>
        </w:tc>
        <w:tc>
          <w:tcPr>
            <w:tcW w:w="479" w:type="pct"/>
            <w:vAlign w:val="center"/>
          </w:tcPr>
          <w:p w:rsidR="00AE0549" w:rsidRPr="00A604A3" w:rsidRDefault="00AE0549" w:rsidP="00B6548C">
            <w:pPr>
              <w:pStyle w:val="Tabletext"/>
              <w:jc w:val="center"/>
              <w:rPr>
                <w:color w:val="000000"/>
              </w:rPr>
            </w:pPr>
            <w:r w:rsidRPr="00A604A3">
              <w:rPr>
                <w:color w:val="000000"/>
              </w:rPr>
              <w:t>1.05</w:t>
            </w:r>
          </w:p>
        </w:tc>
        <w:tc>
          <w:tcPr>
            <w:tcW w:w="462" w:type="pct"/>
            <w:noWrap/>
            <w:vAlign w:val="center"/>
          </w:tcPr>
          <w:p w:rsidR="00AE0549" w:rsidRPr="00A604A3" w:rsidRDefault="00AE0549" w:rsidP="00B6548C">
            <w:pPr>
              <w:pStyle w:val="Tabletext"/>
              <w:jc w:val="center"/>
              <w:rPr>
                <w:color w:val="000000"/>
              </w:rPr>
            </w:pPr>
            <w:r w:rsidRPr="00A604A3">
              <w:rPr>
                <w:color w:val="000000"/>
              </w:rPr>
              <w:t>0.70</w:t>
            </w:r>
          </w:p>
        </w:tc>
        <w:tc>
          <w:tcPr>
            <w:tcW w:w="533" w:type="pct"/>
            <w:noWrap/>
            <w:vAlign w:val="center"/>
          </w:tcPr>
          <w:p w:rsidR="00AE0549" w:rsidRPr="00A604A3" w:rsidRDefault="00AE0549" w:rsidP="00B6548C">
            <w:pPr>
              <w:pStyle w:val="Tabletext"/>
              <w:jc w:val="center"/>
              <w:rPr>
                <w:color w:val="000000"/>
              </w:rPr>
            </w:pPr>
            <w:r w:rsidRPr="00A604A3">
              <w:rPr>
                <w:color w:val="000000"/>
              </w:rPr>
              <w:t>0.42</w:t>
            </w:r>
          </w:p>
        </w:tc>
        <w:tc>
          <w:tcPr>
            <w:tcW w:w="471" w:type="pct"/>
            <w:vAlign w:val="center"/>
          </w:tcPr>
          <w:p w:rsidR="00AE0549" w:rsidRPr="00A604A3" w:rsidRDefault="00AE0549" w:rsidP="00B6548C">
            <w:pPr>
              <w:pStyle w:val="Tabletext"/>
              <w:jc w:val="center"/>
              <w:rPr>
                <w:color w:val="000000"/>
              </w:rPr>
            </w:pPr>
            <w:r w:rsidRPr="00A604A3">
              <w:rPr>
                <w:color w:val="000000"/>
              </w:rPr>
              <w:t>1.65</w:t>
            </w:r>
          </w:p>
        </w:tc>
        <w:tc>
          <w:tcPr>
            <w:tcW w:w="462" w:type="pct"/>
            <w:vAlign w:val="center"/>
          </w:tcPr>
          <w:p w:rsidR="00AE0549" w:rsidRPr="00A604A3" w:rsidRDefault="00AE0549" w:rsidP="00B6548C">
            <w:pPr>
              <w:pStyle w:val="Tabletext"/>
              <w:jc w:val="center"/>
              <w:rPr>
                <w:color w:val="000000"/>
              </w:rPr>
            </w:pPr>
            <w:r w:rsidRPr="00A604A3">
              <w:rPr>
                <w:color w:val="000000"/>
              </w:rPr>
              <w:t>0.87</w:t>
            </w:r>
          </w:p>
        </w:tc>
        <w:tc>
          <w:tcPr>
            <w:tcW w:w="480" w:type="pct"/>
            <w:vAlign w:val="center"/>
          </w:tcPr>
          <w:p w:rsidR="00AE0549" w:rsidRPr="00A604A3" w:rsidRDefault="00AE0549" w:rsidP="00B6548C">
            <w:pPr>
              <w:pStyle w:val="Tabletext"/>
              <w:jc w:val="center"/>
              <w:rPr>
                <w:color w:val="000000"/>
              </w:rPr>
            </w:pPr>
            <w:r w:rsidRPr="00A604A3">
              <w:rPr>
                <w:color w:val="000000"/>
              </w:rPr>
              <w:t>0.52</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2.45</w:t>
            </w:r>
          </w:p>
        </w:tc>
        <w:tc>
          <w:tcPr>
            <w:tcW w:w="479" w:type="pct"/>
            <w:vAlign w:val="center"/>
          </w:tcPr>
          <w:p w:rsidR="00AE0549" w:rsidRPr="00A604A3" w:rsidRDefault="00AE0549" w:rsidP="00B6548C">
            <w:pPr>
              <w:pStyle w:val="Tabletext"/>
              <w:jc w:val="center"/>
              <w:rPr>
                <w:color w:val="000000"/>
              </w:rPr>
            </w:pPr>
            <w:r w:rsidRPr="00A604A3">
              <w:rPr>
                <w:color w:val="000000"/>
              </w:rPr>
              <w:t>1.30</w:t>
            </w:r>
          </w:p>
        </w:tc>
        <w:tc>
          <w:tcPr>
            <w:tcW w:w="462" w:type="pct"/>
            <w:noWrap/>
            <w:vAlign w:val="center"/>
          </w:tcPr>
          <w:p w:rsidR="00AE0549" w:rsidRPr="00A604A3" w:rsidRDefault="00AE0549" w:rsidP="00B6548C">
            <w:pPr>
              <w:pStyle w:val="Tabletext"/>
              <w:jc w:val="center"/>
              <w:rPr>
                <w:color w:val="000000"/>
              </w:rPr>
            </w:pPr>
            <w:r w:rsidRPr="00A604A3">
              <w:rPr>
                <w:color w:val="000000"/>
              </w:rPr>
              <w:t>0.83</w:t>
            </w:r>
          </w:p>
        </w:tc>
        <w:tc>
          <w:tcPr>
            <w:tcW w:w="533" w:type="pct"/>
            <w:noWrap/>
            <w:vAlign w:val="center"/>
          </w:tcPr>
          <w:p w:rsidR="00AE0549" w:rsidRPr="00A604A3" w:rsidRDefault="00AE0549" w:rsidP="00B6548C">
            <w:pPr>
              <w:pStyle w:val="Tabletext"/>
              <w:jc w:val="center"/>
              <w:rPr>
                <w:color w:val="000000"/>
              </w:rPr>
            </w:pPr>
            <w:r w:rsidRPr="00A604A3">
              <w:rPr>
                <w:color w:val="000000"/>
              </w:rPr>
              <w:t>0.48</w:t>
            </w:r>
          </w:p>
        </w:tc>
        <w:tc>
          <w:tcPr>
            <w:tcW w:w="471" w:type="pct"/>
            <w:vAlign w:val="center"/>
          </w:tcPr>
          <w:p w:rsidR="00AE0549" w:rsidRPr="00A604A3" w:rsidRDefault="00AE0549" w:rsidP="00B6548C">
            <w:pPr>
              <w:pStyle w:val="Tabletext"/>
              <w:jc w:val="center"/>
              <w:rPr>
                <w:color w:val="000000"/>
              </w:rPr>
            </w:pPr>
            <w:r w:rsidRPr="00A604A3">
              <w:rPr>
                <w:color w:val="000000"/>
              </w:rPr>
              <w:t>1.96</w:t>
            </w:r>
          </w:p>
        </w:tc>
        <w:tc>
          <w:tcPr>
            <w:tcW w:w="462" w:type="pct"/>
            <w:vAlign w:val="center"/>
          </w:tcPr>
          <w:p w:rsidR="00AE0549" w:rsidRPr="00A604A3" w:rsidRDefault="00AE0549" w:rsidP="00B6548C">
            <w:pPr>
              <w:pStyle w:val="Tabletext"/>
              <w:jc w:val="center"/>
              <w:rPr>
                <w:color w:val="000000"/>
              </w:rPr>
            </w:pPr>
            <w:r w:rsidRPr="00A604A3">
              <w:rPr>
                <w:color w:val="000000"/>
              </w:rPr>
              <w:t>1.01</w:t>
            </w:r>
          </w:p>
        </w:tc>
        <w:tc>
          <w:tcPr>
            <w:tcW w:w="480" w:type="pct"/>
            <w:vAlign w:val="center"/>
          </w:tcPr>
          <w:p w:rsidR="00AE0549" w:rsidRPr="00A604A3" w:rsidRDefault="00AE0549" w:rsidP="00B6548C">
            <w:pPr>
              <w:pStyle w:val="Tabletext"/>
              <w:jc w:val="center"/>
              <w:rPr>
                <w:color w:val="000000"/>
              </w:rPr>
            </w:pPr>
            <w:r w:rsidRPr="00A604A3">
              <w:rPr>
                <w:color w:val="000000"/>
              </w:rPr>
              <w:t>0.65</w:t>
            </w:r>
          </w:p>
        </w:tc>
      </w:tr>
    </w:tbl>
    <w:p w:rsidR="00B6548C" w:rsidRPr="00A604A3" w:rsidRDefault="00B6548C" w:rsidP="00B6548C">
      <w:pPr>
        <w:pStyle w:val="TableNo"/>
        <w:rPr>
          <w:rFonts w:eastAsia="MS Mincho"/>
        </w:rPr>
      </w:pPr>
      <w:bookmarkStart w:id="454" w:name="_Ref31709910"/>
      <w:bookmarkStart w:id="455" w:name="_Toc32066411"/>
      <w:r w:rsidRPr="00A604A3">
        <w:rPr>
          <w:rFonts w:eastAsia="MS Mincho"/>
        </w:rPr>
        <w:t>table 95</w:t>
      </w:r>
    </w:p>
    <w:p w:rsidR="00B6548C" w:rsidRPr="00A604A3" w:rsidRDefault="00B6548C" w:rsidP="00B6548C">
      <w:pPr>
        <w:pStyle w:val="Tabletitle"/>
        <w:rPr>
          <w:rFonts w:eastAsia="MS Mincho"/>
        </w:rPr>
      </w:pPr>
      <w:r w:rsidRPr="00A604A3">
        <w:rPr>
          <w:rFonts w:eastAsia="MS Mincho"/>
        </w:rPr>
        <w:t>DL user plane latency for NR TDD (ms)</w:t>
      </w:r>
      <w:r w:rsidRPr="00A604A3">
        <w:rPr>
          <w:rFonts w:eastAsia="MS Mincho"/>
        </w:rPr>
        <w:br/>
        <w:t>(Frame structure: DUDU)</w:t>
      </w:r>
      <w:bookmarkEnd w:id="454"/>
      <w:bookmarkEnd w:id="455"/>
    </w:p>
    <w:tbl>
      <w:tblPr>
        <w:tblStyle w:val="TableGrid"/>
        <w:tblW w:w="4658" w:type="pct"/>
        <w:jc w:val="center"/>
        <w:tblLayout w:type="fixed"/>
        <w:tblCellMar>
          <w:left w:w="57" w:type="dxa"/>
          <w:right w:w="57" w:type="dxa"/>
        </w:tblCellMar>
        <w:tblLook w:val="04A0" w:firstRow="1" w:lastRow="0" w:firstColumn="1" w:lastColumn="0" w:noHBand="0" w:noVBand="1"/>
      </w:tblPr>
      <w:tblGrid>
        <w:gridCol w:w="984"/>
        <w:gridCol w:w="1099"/>
        <w:gridCol w:w="700"/>
        <w:gridCol w:w="801"/>
        <w:gridCol w:w="778"/>
        <w:gridCol w:w="778"/>
        <w:gridCol w:w="892"/>
        <w:gridCol w:w="788"/>
        <w:gridCol w:w="778"/>
        <w:gridCol w:w="801"/>
      </w:tblGrid>
      <w:tr w:rsidR="00AE0549" w:rsidRPr="00A604A3" w:rsidTr="00B6548C">
        <w:trPr>
          <w:jc w:val="center"/>
        </w:trPr>
        <w:tc>
          <w:tcPr>
            <w:tcW w:w="1657" w:type="pct"/>
            <w:gridSpan w:val="3"/>
            <w:vMerge w:val="restart"/>
            <w:hideMark/>
          </w:tcPr>
          <w:p w:rsidR="00AE0549" w:rsidRPr="00A604A3" w:rsidRDefault="00AE0549" w:rsidP="00B6548C">
            <w:pPr>
              <w:pStyle w:val="Tablehead"/>
              <w:rPr>
                <w:lang w:eastAsia="zh-CN"/>
              </w:rPr>
            </w:pPr>
            <w:r w:rsidRPr="00A604A3">
              <w:rPr>
                <w:lang w:eastAsia="zh-CN"/>
              </w:rPr>
              <w:t>DL user plane latency – NR TDD (DUDU)</w:t>
            </w:r>
          </w:p>
        </w:tc>
        <w:tc>
          <w:tcPr>
            <w:tcW w:w="1934" w:type="pct"/>
            <w:gridSpan w:val="4"/>
            <w:hideMark/>
          </w:tcPr>
          <w:p w:rsidR="00AE0549" w:rsidRPr="00A604A3" w:rsidRDefault="00AE0549" w:rsidP="00B6548C">
            <w:pPr>
              <w:pStyle w:val="Tablehead"/>
              <w:rPr>
                <w:lang w:eastAsia="zh-CN"/>
              </w:rPr>
            </w:pPr>
            <w:r w:rsidRPr="00A604A3">
              <w:rPr>
                <w:lang w:eastAsia="zh-CN"/>
              </w:rPr>
              <w:t>UE capability 1</w:t>
            </w:r>
          </w:p>
        </w:tc>
        <w:tc>
          <w:tcPr>
            <w:tcW w:w="1409" w:type="pct"/>
            <w:gridSpan w:val="3"/>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jc w:val="center"/>
        </w:trPr>
        <w:tc>
          <w:tcPr>
            <w:tcW w:w="1657" w:type="pct"/>
            <w:gridSpan w:val="3"/>
            <w:vMerge/>
            <w:hideMark/>
          </w:tcPr>
          <w:p w:rsidR="00AE0549" w:rsidRPr="00A604A3" w:rsidRDefault="00AE0549" w:rsidP="00B6548C">
            <w:pPr>
              <w:pStyle w:val="Tablehead"/>
              <w:rPr>
                <w:lang w:eastAsia="zh-CN"/>
              </w:rPr>
            </w:pPr>
          </w:p>
        </w:tc>
        <w:tc>
          <w:tcPr>
            <w:tcW w:w="1934" w:type="pct"/>
            <w:gridSpan w:val="4"/>
            <w:hideMark/>
          </w:tcPr>
          <w:p w:rsidR="00AE0549" w:rsidRPr="00A604A3" w:rsidRDefault="00AE0549" w:rsidP="00B6548C">
            <w:pPr>
              <w:pStyle w:val="Tablehead"/>
              <w:rPr>
                <w:lang w:eastAsia="zh-CN"/>
              </w:rPr>
            </w:pPr>
            <w:r w:rsidRPr="00A604A3">
              <w:rPr>
                <w:lang w:eastAsia="zh-CN"/>
              </w:rPr>
              <w:t>SCS</w:t>
            </w:r>
          </w:p>
        </w:tc>
        <w:tc>
          <w:tcPr>
            <w:tcW w:w="1409" w:type="pct"/>
            <w:gridSpan w:val="3"/>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jc w:val="center"/>
        </w:trPr>
        <w:tc>
          <w:tcPr>
            <w:tcW w:w="1657" w:type="pct"/>
            <w:gridSpan w:val="3"/>
            <w:vMerge/>
            <w:hideMark/>
          </w:tcPr>
          <w:p w:rsidR="00AE0549" w:rsidRPr="00A604A3" w:rsidRDefault="00AE0549" w:rsidP="00B6548C">
            <w:pPr>
              <w:pStyle w:val="Tablehead"/>
              <w:rPr>
                <w:lang w:eastAsia="zh-CN"/>
              </w:rPr>
            </w:pPr>
          </w:p>
        </w:tc>
        <w:tc>
          <w:tcPr>
            <w:tcW w:w="477" w:type="pct"/>
            <w:noWrap/>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3" w:type="pct"/>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63" w:type="pct"/>
            <w:noWrap/>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31" w:type="pct"/>
            <w:noWrap/>
            <w:hideMark/>
          </w:tcPr>
          <w:p w:rsidR="00AE0549" w:rsidRPr="00A604A3" w:rsidRDefault="00AE0549" w:rsidP="00B6548C">
            <w:pPr>
              <w:pStyle w:val="Tablehead"/>
              <w:rPr>
                <w:sz w:val="16"/>
                <w:szCs w:val="16"/>
                <w:lang w:eastAsia="zh-CN"/>
              </w:rPr>
            </w:pPr>
            <w:r w:rsidRPr="00A604A3">
              <w:rPr>
                <w:sz w:val="16"/>
                <w:szCs w:val="16"/>
                <w:lang w:eastAsia="zh-CN"/>
              </w:rPr>
              <w:t>120 kHz</w:t>
            </w:r>
          </w:p>
        </w:tc>
        <w:tc>
          <w:tcPr>
            <w:tcW w:w="469" w:type="pct"/>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3" w:type="pct"/>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77" w:type="pct"/>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jc w:val="center"/>
        </w:trPr>
        <w:tc>
          <w:tcPr>
            <w:tcW w:w="586"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1.85</w:t>
            </w:r>
          </w:p>
        </w:tc>
        <w:tc>
          <w:tcPr>
            <w:tcW w:w="463" w:type="pct"/>
            <w:vAlign w:val="center"/>
          </w:tcPr>
          <w:p w:rsidR="00AE0549" w:rsidRPr="00A604A3" w:rsidRDefault="00AE0549" w:rsidP="00B6548C">
            <w:pPr>
              <w:pStyle w:val="Tabletext"/>
              <w:jc w:val="center"/>
              <w:rPr>
                <w:color w:val="000000"/>
              </w:rPr>
            </w:pPr>
            <w:r w:rsidRPr="00A604A3">
              <w:rPr>
                <w:color w:val="000000"/>
              </w:rPr>
              <w:t>0.98</w:t>
            </w:r>
          </w:p>
        </w:tc>
        <w:tc>
          <w:tcPr>
            <w:tcW w:w="463" w:type="pct"/>
            <w:noWrap/>
            <w:vAlign w:val="center"/>
          </w:tcPr>
          <w:p w:rsidR="00AE0549" w:rsidRPr="00A604A3" w:rsidRDefault="00AE0549" w:rsidP="00B6548C">
            <w:pPr>
              <w:pStyle w:val="Tabletext"/>
              <w:jc w:val="center"/>
              <w:rPr>
                <w:color w:val="000000"/>
              </w:rPr>
            </w:pPr>
            <w:r w:rsidRPr="00A604A3">
              <w:rPr>
                <w:color w:val="000000"/>
              </w:rPr>
              <w:t>0.67</w:t>
            </w:r>
          </w:p>
        </w:tc>
        <w:tc>
          <w:tcPr>
            <w:tcW w:w="531" w:type="pct"/>
            <w:noWrap/>
            <w:vAlign w:val="center"/>
          </w:tcPr>
          <w:p w:rsidR="00AE0549" w:rsidRPr="00A604A3" w:rsidRDefault="00AE0549" w:rsidP="00B6548C">
            <w:pPr>
              <w:pStyle w:val="Tabletext"/>
              <w:jc w:val="center"/>
              <w:rPr>
                <w:color w:val="000000"/>
              </w:rPr>
            </w:pPr>
            <w:r w:rsidRPr="00A604A3">
              <w:rPr>
                <w:color w:val="000000"/>
              </w:rPr>
              <w:t>0.39</w:t>
            </w:r>
          </w:p>
        </w:tc>
        <w:tc>
          <w:tcPr>
            <w:tcW w:w="469" w:type="pct"/>
            <w:vAlign w:val="center"/>
          </w:tcPr>
          <w:p w:rsidR="00AE0549" w:rsidRPr="00A604A3" w:rsidRDefault="00AE0549" w:rsidP="00B6548C">
            <w:pPr>
              <w:pStyle w:val="Tabletext"/>
              <w:jc w:val="center"/>
              <w:rPr>
                <w:color w:val="000000"/>
              </w:rPr>
            </w:pPr>
            <w:r w:rsidRPr="00A604A3">
              <w:rPr>
                <w:color w:val="000000"/>
              </w:rPr>
              <w:t>1.49</w:t>
            </w:r>
          </w:p>
        </w:tc>
        <w:tc>
          <w:tcPr>
            <w:tcW w:w="463" w:type="pct"/>
            <w:vAlign w:val="center"/>
          </w:tcPr>
          <w:p w:rsidR="00AE0549" w:rsidRPr="00A604A3" w:rsidRDefault="00AE0549" w:rsidP="00B6548C">
            <w:pPr>
              <w:pStyle w:val="Tabletext"/>
              <w:jc w:val="center"/>
              <w:rPr>
                <w:color w:val="000000"/>
              </w:rPr>
            </w:pPr>
            <w:r w:rsidRPr="00A604A3">
              <w:rPr>
                <w:color w:val="000000"/>
              </w:rPr>
              <w:t>0.80</w:t>
            </w:r>
          </w:p>
        </w:tc>
        <w:tc>
          <w:tcPr>
            <w:tcW w:w="477" w:type="pct"/>
            <w:vAlign w:val="center"/>
          </w:tcPr>
          <w:p w:rsidR="00AE0549" w:rsidRPr="00A604A3" w:rsidRDefault="00AE0549" w:rsidP="00B6548C">
            <w:pPr>
              <w:pStyle w:val="Tabletext"/>
              <w:jc w:val="center"/>
              <w:rPr>
                <w:color w:val="000000"/>
              </w:rPr>
            </w:pPr>
            <w:r w:rsidRPr="00A604A3">
              <w:rPr>
                <w:color w:val="000000"/>
              </w:rPr>
              <w:t>0.49</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2.19</w:t>
            </w:r>
          </w:p>
        </w:tc>
        <w:tc>
          <w:tcPr>
            <w:tcW w:w="463" w:type="pct"/>
            <w:vAlign w:val="center"/>
          </w:tcPr>
          <w:p w:rsidR="00AE0549" w:rsidRPr="00A604A3" w:rsidRDefault="00AE0549" w:rsidP="00B6548C">
            <w:pPr>
              <w:pStyle w:val="Tabletext"/>
              <w:jc w:val="center"/>
              <w:rPr>
                <w:color w:val="000000"/>
              </w:rPr>
            </w:pPr>
            <w:r w:rsidRPr="00A604A3">
              <w:rPr>
                <w:color w:val="000000"/>
              </w:rPr>
              <w:t>1.23</w:t>
            </w:r>
          </w:p>
        </w:tc>
        <w:tc>
          <w:tcPr>
            <w:tcW w:w="463" w:type="pct"/>
            <w:noWrap/>
            <w:vAlign w:val="center"/>
          </w:tcPr>
          <w:p w:rsidR="00AE0549" w:rsidRPr="00A604A3" w:rsidRDefault="00AE0549" w:rsidP="00B6548C">
            <w:pPr>
              <w:pStyle w:val="Tabletext"/>
              <w:jc w:val="center"/>
              <w:rPr>
                <w:color w:val="000000"/>
              </w:rPr>
            </w:pPr>
            <w:r w:rsidRPr="00A604A3">
              <w:rPr>
                <w:color w:val="000000"/>
              </w:rPr>
              <w:t>0.81</w:t>
            </w:r>
          </w:p>
        </w:tc>
        <w:tc>
          <w:tcPr>
            <w:tcW w:w="531" w:type="pct"/>
            <w:noWrap/>
            <w:vAlign w:val="center"/>
          </w:tcPr>
          <w:p w:rsidR="00AE0549" w:rsidRPr="00A604A3" w:rsidRDefault="00AE0549" w:rsidP="00B6548C">
            <w:pPr>
              <w:pStyle w:val="Tabletext"/>
              <w:jc w:val="center"/>
              <w:rPr>
                <w:color w:val="000000"/>
              </w:rPr>
            </w:pPr>
            <w:r w:rsidRPr="00A604A3">
              <w:rPr>
                <w:color w:val="000000"/>
              </w:rPr>
              <w:t>0.49</w:t>
            </w:r>
          </w:p>
        </w:tc>
        <w:tc>
          <w:tcPr>
            <w:tcW w:w="469" w:type="pct"/>
            <w:vAlign w:val="center"/>
          </w:tcPr>
          <w:p w:rsidR="00AE0549" w:rsidRPr="00A604A3" w:rsidRDefault="00AE0549" w:rsidP="00B6548C">
            <w:pPr>
              <w:pStyle w:val="Tabletext"/>
              <w:jc w:val="center"/>
              <w:rPr>
                <w:color w:val="000000"/>
              </w:rPr>
            </w:pPr>
            <w:r w:rsidRPr="00A604A3">
              <w:rPr>
                <w:color w:val="000000"/>
              </w:rPr>
              <w:t>1.81</w:t>
            </w:r>
          </w:p>
        </w:tc>
        <w:tc>
          <w:tcPr>
            <w:tcW w:w="463" w:type="pct"/>
            <w:vAlign w:val="center"/>
          </w:tcPr>
          <w:p w:rsidR="00AE0549" w:rsidRPr="00A604A3" w:rsidRDefault="00AE0549" w:rsidP="00B6548C">
            <w:pPr>
              <w:pStyle w:val="Tabletext"/>
              <w:jc w:val="center"/>
              <w:rPr>
                <w:color w:val="000000"/>
              </w:rPr>
            </w:pPr>
            <w:r w:rsidRPr="00A604A3">
              <w:rPr>
                <w:color w:val="000000"/>
              </w:rPr>
              <w:t>0.95</w:t>
            </w:r>
          </w:p>
        </w:tc>
        <w:tc>
          <w:tcPr>
            <w:tcW w:w="477" w:type="pct"/>
            <w:vAlign w:val="center"/>
          </w:tcPr>
          <w:p w:rsidR="00AE0549" w:rsidRPr="00A604A3" w:rsidRDefault="00AE0549" w:rsidP="00B6548C">
            <w:pPr>
              <w:pStyle w:val="Tabletext"/>
              <w:jc w:val="center"/>
              <w:rPr>
                <w:color w:val="000000"/>
              </w:rPr>
            </w:pPr>
            <w:r w:rsidRPr="00A604A3">
              <w:rPr>
                <w:color w:val="000000"/>
              </w:rPr>
              <w:t>0.60</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2.04</w:t>
            </w:r>
          </w:p>
        </w:tc>
        <w:tc>
          <w:tcPr>
            <w:tcW w:w="463" w:type="pct"/>
            <w:vAlign w:val="center"/>
          </w:tcPr>
          <w:p w:rsidR="00AE0549" w:rsidRPr="00A604A3" w:rsidRDefault="00AE0549" w:rsidP="00B6548C">
            <w:pPr>
              <w:pStyle w:val="Tabletext"/>
              <w:jc w:val="center"/>
              <w:rPr>
                <w:color w:val="000000"/>
              </w:rPr>
            </w:pPr>
            <w:r w:rsidRPr="00A604A3">
              <w:rPr>
                <w:color w:val="000000"/>
              </w:rPr>
              <w:t>1.08</w:t>
            </w:r>
          </w:p>
        </w:tc>
        <w:tc>
          <w:tcPr>
            <w:tcW w:w="463" w:type="pct"/>
            <w:noWrap/>
            <w:vAlign w:val="center"/>
          </w:tcPr>
          <w:p w:rsidR="00AE0549" w:rsidRPr="00A604A3" w:rsidRDefault="00AE0549" w:rsidP="00B6548C">
            <w:pPr>
              <w:pStyle w:val="Tabletext"/>
              <w:jc w:val="center"/>
              <w:rPr>
                <w:color w:val="000000"/>
              </w:rPr>
            </w:pPr>
            <w:r w:rsidRPr="00A604A3">
              <w:rPr>
                <w:color w:val="000000"/>
              </w:rPr>
              <w:t>0.71</w:t>
            </w:r>
          </w:p>
        </w:tc>
        <w:tc>
          <w:tcPr>
            <w:tcW w:w="531" w:type="pct"/>
            <w:noWrap/>
            <w:vAlign w:val="center"/>
          </w:tcPr>
          <w:p w:rsidR="00AE0549" w:rsidRPr="00A604A3" w:rsidRDefault="00AE0549" w:rsidP="00B6548C">
            <w:pPr>
              <w:pStyle w:val="Tabletext"/>
              <w:jc w:val="center"/>
              <w:rPr>
                <w:color w:val="000000"/>
              </w:rPr>
            </w:pPr>
            <w:r w:rsidRPr="00A604A3">
              <w:rPr>
                <w:color w:val="000000"/>
              </w:rPr>
              <w:t>0.42</w:t>
            </w:r>
          </w:p>
        </w:tc>
        <w:tc>
          <w:tcPr>
            <w:tcW w:w="469" w:type="pct"/>
            <w:vAlign w:val="center"/>
          </w:tcPr>
          <w:p w:rsidR="00AE0549" w:rsidRPr="00A604A3" w:rsidRDefault="00AE0549" w:rsidP="00B6548C">
            <w:pPr>
              <w:pStyle w:val="Tabletext"/>
              <w:jc w:val="center"/>
              <w:rPr>
                <w:color w:val="000000"/>
              </w:rPr>
            </w:pPr>
            <w:r w:rsidRPr="00A604A3">
              <w:rPr>
                <w:color w:val="000000"/>
              </w:rPr>
              <w:t>1.73</w:t>
            </w:r>
          </w:p>
        </w:tc>
        <w:tc>
          <w:tcPr>
            <w:tcW w:w="463" w:type="pct"/>
            <w:vAlign w:val="center"/>
          </w:tcPr>
          <w:p w:rsidR="00AE0549" w:rsidRPr="00A604A3" w:rsidRDefault="00AE0549" w:rsidP="00B6548C">
            <w:pPr>
              <w:pStyle w:val="Tabletext"/>
              <w:jc w:val="center"/>
              <w:rPr>
                <w:color w:val="000000"/>
              </w:rPr>
            </w:pPr>
            <w:r w:rsidRPr="00A604A3">
              <w:rPr>
                <w:color w:val="000000"/>
              </w:rPr>
              <w:t>0.90</w:t>
            </w:r>
          </w:p>
        </w:tc>
        <w:tc>
          <w:tcPr>
            <w:tcW w:w="477" w:type="pct"/>
            <w:vAlign w:val="center"/>
          </w:tcPr>
          <w:p w:rsidR="00AE0549" w:rsidRPr="00A604A3" w:rsidRDefault="00AE0549" w:rsidP="00B6548C">
            <w:pPr>
              <w:pStyle w:val="Tabletext"/>
              <w:jc w:val="center"/>
              <w:rPr>
                <w:color w:val="000000"/>
              </w:rPr>
            </w:pPr>
            <w:r w:rsidRPr="00A604A3">
              <w:rPr>
                <w:color w:val="000000"/>
              </w:rPr>
              <w:t>0.53</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2.51</w:t>
            </w:r>
          </w:p>
        </w:tc>
        <w:tc>
          <w:tcPr>
            <w:tcW w:w="463" w:type="pct"/>
            <w:vAlign w:val="center"/>
          </w:tcPr>
          <w:p w:rsidR="00AE0549" w:rsidRPr="00A604A3" w:rsidRDefault="00AE0549" w:rsidP="00B6548C">
            <w:pPr>
              <w:pStyle w:val="Tabletext"/>
              <w:jc w:val="center"/>
              <w:rPr>
                <w:color w:val="000000"/>
              </w:rPr>
            </w:pPr>
            <w:r w:rsidRPr="00A604A3">
              <w:rPr>
                <w:color w:val="000000"/>
              </w:rPr>
              <w:t>1.35</w:t>
            </w:r>
          </w:p>
        </w:tc>
        <w:tc>
          <w:tcPr>
            <w:tcW w:w="463" w:type="pct"/>
            <w:noWrap/>
            <w:vAlign w:val="center"/>
          </w:tcPr>
          <w:p w:rsidR="00AE0549" w:rsidRPr="00A604A3" w:rsidRDefault="00AE0549" w:rsidP="00B6548C">
            <w:pPr>
              <w:pStyle w:val="Tabletext"/>
              <w:jc w:val="center"/>
              <w:rPr>
                <w:color w:val="000000"/>
              </w:rPr>
            </w:pPr>
            <w:r w:rsidRPr="00A604A3">
              <w:rPr>
                <w:color w:val="000000"/>
              </w:rPr>
              <w:t>0.85</w:t>
            </w:r>
          </w:p>
        </w:tc>
        <w:tc>
          <w:tcPr>
            <w:tcW w:w="531" w:type="pct"/>
            <w:noWrap/>
            <w:vAlign w:val="center"/>
          </w:tcPr>
          <w:p w:rsidR="00AE0549" w:rsidRPr="00A604A3" w:rsidRDefault="00AE0549" w:rsidP="00B6548C">
            <w:pPr>
              <w:pStyle w:val="Tabletext"/>
              <w:jc w:val="center"/>
              <w:rPr>
                <w:color w:val="000000"/>
              </w:rPr>
            </w:pPr>
            <w:r w:rsidRPr="00A604A3">
              <w:rPr>
                <w:color w:val="000000"/>
              </w:rPr>
              <w:t>0.52</w:t>
            </w:r>
          </w:p>
        </w:tc>
        <w:tc>
          <w:tcPr>
            <w:tcW w:w="469" w:type="pct"/>
            <w:vAlign w:val="center"/>
          </w:tcPr>
          <w:p w:rsidR="00AE0549" w:rsidRPr="00A604A3" w:rsidRDefault="00AE0549" w:rsidP="00B6548C">
            <w:pPr>
              <w:pStyle w:val="Tabletext"/>
              <w:jc w:val="center"/>
              <w:rPr>
                <w:color w:val="000000"/>
              </w:rPr>
            </w:pPr>
            <w:r w:rsidRPr="00A604A3">
              <w:rPr>
                <w:color w:val="000000"/>
              </w:rPr>
              <w:t>2.14</w:t>
            </w:r>
          </w:p>
        </w:tc>
        <w:tc>
          <w:tcPr>
            <w:tcW w:w="463" w:type="pct"/>
            <w:vAlign w:val="center"/>
          </w:tcPr>
          <w:p w:rsidR="00AE0549" w:rsidRPr="00A604A3" w:rsidRDefault="00AE0549" w:rsidP="00B6548C">
            <w:pPr>
              <w:pStyle w:val="Tabletext"/>
              <w:jc w:val="center"/>
              <w:rPr>
                <w:color w:val="000000"/>
              </w:rPr>
            </w:pPr>
            <w:r w:rsidRPr="00A604A3">
              <w:rPr>
                <w:color w:val="000000"/>
              </w:rPr>
              <w:t>1.11</w:t>
            </w:r>
          </w:p>
        </w:tc>
        <w:tc>
          <w:tcPr>
            <w:tcW w:w="477" w:type="pct"/>
            <w:vAlign w:val="center"/>
          </w:tcPr>
          <w:p w:rsidR="00AE0549" w:rsidRPr="00A604A3" w:rsidRDefault="00AE0549" w:rsidP="00B6548C">
            <w:pPr>
              <w:pStyle w:val="Tabletext"/>
              <w:jc w:val="center"/>
              <w:rPr>
                <w:color w:val="000000"/>
              </w:rPr>
            </w:pPr>
            <w:r w:rsidRPr="00A604A3">
              <w:rPr>
                <w:color w:val="000000"/>
              </w:rPr>
              <w:t>0.65</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2.71</w:t>
            </w:r>
          </w:p>
        </w:tc>
        <w:tc>
          <w:tcPr>
            <w:tcW w:w="463" w:type="pct"/>
            <w:vAlign w:val="center"/>
          </w:tcPr>
          <w:p w:rsidR="00AE0549" w:rsidRPr="00A604A3" w:rsidRDefault="00AE0549" w:rsidP="00B6548C">
            <w:pPr>
              <w:pStyle w:val="Tabletext"/>
              <w:jc w:val="center"/>
              <w:rPr>
                <w:color w:val="000000"/>
              </w:rPr>
            </w:pPr>
            <w:r w:rsidRPr="00A604A3">
              <w:rPr>
                <w:color w:val="000000"/>
              </w:rPr>
              <w:t>1.42</w:t>
            </w:r>
          </w:p>
        </w:tc>
        <w:tc>
          <w:tcPr>
            <w:tcW w:w="463" w:type="pct"/>
            <w:noWrap/>
            <w:vAlign w:val="center"/>
          </w:tcPr>
          <w:p w:rsidR="00AE0549" w:rsidRPr="00A604A3" w:rsidRDefault="00AE0549" w:rsidP="00B6548C">
            <w:pPr>
              <w:pStyle w:val="Tabletext"/>
              <w:jc w:val="center"/>
              <w:rPr>
                <w:color w:val="000000"/>
              </w:rPr>
            </w:pPr>
            <w:r w:rsidRPr="00A604A3">
              <w:rPr>
                <w:color w:val="000000"/>
              </w:rPr>
              <w:t>0.87</w:t>
            </w:r>
          </w:p>
        </w:tc>
        <w:tc>
          <w:tcPr>
            <w:tcW w:w="531" w:type="pct"/>
            <w:noWrap/>
            <w:vAlign w:val="center"/>
          </w:tcPr>
          <w:p w:rsidR="00AE0549" w:rsidRPr="00A604A3" w:rsidRDefault="00AE0549" w:rsidP="00B6548C">
            <w:pPr>
              <w:pStyle w:val="Tabletext"/>
              <w:jc w:val="center"/>
              <w:rPr>
                <w:color w:val="000000"/>
              </w:rPr>
            </w:pPr>
            <w:r w:rsidRPr="00A604A3">
              <w:rPr>
                <w:color w:val="000000"/>
              </w:rPr>
              <w:t>0.50</w:t>
            </w:r>
          </w:p>
        </w:tc>
        <w:tc>
          <w:tcPr>
            <w:tcW w:w="469" w:type="pct"/>
            <w:vAlign w:val="center"/>
          </w:tcPr>
          <w:p w:rsidR="00AE0549" w:rsidRPr="00A604A3" w:rsidRDefault="00AE0549" w:rsidP="00B6548C">
            <w:pPr>
              <w:pStyle w:val="Tabletext"/>
              <w:jc w:val="center"/>
              <w:rPr>
                <w:color w:val="000000"/>
              </w:rPr>
            </w:pPr>
            <w:r w:rsidRPr="00A604A3">
              <w:rPr>
                <w:color w:val="000000"/>
              </w:rPr>
              <w:t>2.35</w:t>
            </w:r>
          </w:p>
        </w:tc>
        <w:tc>
          <w:tcPr>
            <w:tcW w:w="463" w:type="pct"/>
            <w:vAlign w:val="center"/>
          </w:tcPr>
          <w:p w:rsidR="00AE0549" w:rsidRPr="00A604A3" w:rsidRDefault="00AE0549" w:rsidP="00B6548C">
            <w:pPr>
              <w:pStyle w:val="Tabletext"/>
              <w:jc w:val="center"/>
              <w:rPr>
                <w:color w:val="000000"/>
              </w:rPr>
            </w:pPr>
            <w:r w:rsidRPr="00A604A3">
              <w:rPr>
                <w:color w:val="000000"/>
              </w:rPr>
              <w:t>1.23</w:t>
            </w:r>
          </w:p>
        </w:tc>
        <w:tc>
          <w:tcPr>
            <w:tcW w:w="477" w:type="pct"/>
            <w:vAlign w:val="center"/>
          </w:tcPr>
          <w:p w:rsidR="00AE0549" w:rsidRPr="00A604A3" w:rsidRDefault="00AE0549" w:rsidP="00B6548C">
            <w:pPr>
              <w:pStyle w:val="Tabletext"/>
              <w:jc w:val="center"/>
              <w:rPr>
                <w:color w:val="000000"/>
              </w:rPr>
            </w:pPr>
            <w:r w:rsidRPr="00A604A3">
              <w:rPr>
                <w:color w:val="000000"/>
              </w:rPr>
              <w:t>0.69</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3.19</w:t>
            </w:r>
          </w:p>
        </w:tc>
        <w:tc>
          <w:tcPr>
            <w:tcW w:w="463" w:type="pct"/>
            <w:vAlign w:val="center"/>
          </w:tcPr>
          <w:p w:rsidR="00AE0549" w:rsidRPr="00A604A3" w:rsidRDefault="00AE0549" w:rsidP="00B6548C">
            <w:pPr>
              <w:pStyle w:val="Tabletext"/>
              <w:jc w:val="center"/>
              <w:rPr>
                <w:color w:val="000000"/>
              </w:rPr>
            </w:pPr>
            <w:r w:rsidRPr="00A604A3">
              <w:rPr>
                <w:color w:val="000000"/>
              </w:rPr>
              <w:t>1.73</w:t>
            </w:r>
          </w:p>
        </w:tc>
        <w:tc>
          <w:tcPr>
            <w:tcW w:w="463" w:type="pct"/>
            <w:noWrap/>
            <w:vAlign w:val="center"/>
          </w:tcPr>
          <w:p w:rsidR="00AE0549" w:rsidRPr="00A604A3" w:rsidRDefault="00AE0549" w:rsidP="00B6548C">
            <w:pPr>
              <w:pStyle w:val="Tabletext"/>
              <w:jc w:val="center"/>
              <w:rPr>
                <w:color w:val="000000"/>
              </w:rPr>
            </w:pPr>
            <w:r w:rsidRPr="00A604A3">
              <w:rPr>
                <w:color w:val="000000"/>
              </w:rPr>
              <w:t>1.07</w:t>
            </w:r>
          </w:p>
        </w:tc>
        <w:tc>
          <w:tcPr>
            <w:tcW w:w="531" w:type="pct"/>
            <w:noWrap/>
            <w:vAlign w:val="center"/>
          </w:tcPr>
          <w:p w:rsidR="00AE0549" w:rsidRPr="00A604A3" w:rsidRDefault="00AE0549" w:rsidP="00B6548C">
            <w:pPr>
              <w:pStyle w:val="Tabletext"/>
              <w:jc w:val="center"/>
              <w:rPr>
                <w:color w:val="000000"/>
              </w:rPr>
            </w:pPr>
            <w:r w:rsidRPr="00A604A3">
              <w:rPr>
                <w:color w:val="000000"/>
              </w:rPr>
              <w:t>0.59</w:t>
            </w:r>
          </w:p>
        </w:tc>
        <w:tc>
          <w:tcPr>
            <w:tcW w:w="469" w:type="pct"/>
            <w:vAlign w:val="center"/>
          </w:tcPr>
          <w:p w:rsidR="00AE0549" w:rsidRPr="00A604A3" w:rsidRDefault="00AE0549" w:rsidP="00B6548C">
            <w:pPr>
              <w:pStyle w:val="Tabletext"/>
              <w:jc w:val="center"/>
              <w:rPr>
                <w:color w:val="000000"/>
              </w:rPr>
            </w:pPr>
            <w:r w:rsidRPr="00A604A3">
              <w:rPr>
                <w:color w:val="000000"/>
              </w:rPr>
              <w:t>2.89</w:t>
            </w:r>
          </w:p>
        </w:tc>
        <w:tc>
          <w:tcPr>
            <w:tcW w:w="463" w:type="pct"/>
            <w:vAlign w:val="center"/>
          </w:tcPr>
          <w:p w:rsidR="00AE0549" w:rsidRPr="00A604A3" w:rsidRDefault="00AE0549" w:rsidP="00B6548C">
            <w:pPr>
              <w:pStyle w:val="Tabletext"/>
              <w:jc w:val="center"/>
              <w:rPr>
                <w:color w:val="000000"/>
              </w:rPr>
            </w:pPr>
            <w:r w:rsidRPr="00A604A3">
              <w:rPr>
                <w:color w:val="000000"/>
              </w:rPr>
              <w:t>1.55</w:t>
            </w:r>
          </w:p>
        </w:tc>
        <w:tc>
          <w:tcPr>
            <w:tcW w:w="477" w:type="pct"/>
            <w:vAlign w:val="center"/>
          </w:tcPr>
          <w:p w:rsidR="00AE0549" w:rsidRPr="00A604A3" w:rsidRDefault="00AE0549" w:rsidP="00B6548C">
            <w:pPr>
              <w:pStyle w:val="Tabletext"/>
              <w:jc w:val="center"/>
              <w:rPr>
                <w:color w:val="000000"/>
              </w:rPr>
            </w:pPr>
            <w:r w:rsidRPr="00A604A3">
              <w:rPr>
                <w:color w:val="000000"/>
              </w:rPr>
              <w:t>0.82</w:t>
            </w:r>
          </w:p>
        </w:tc>
      </w:tr>
      <w:tr w:rsidR="00AE0549" w:rsidRPr="00A604A3" w:rsidTr="00B6548C">
        <w:trPr>
          <w:jc w:val="center"/>
        </w:trPr>
        <w:tc>
          <w:tcPr>
            <w:tcW w:w="586"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1.16</w:t>
            </w:r>
          </w:p>
        </w:tc>
        <w:tc>
          <w:tcPr>
            <w:tcW w:w="463" w:type="pct"/>
            <w:vAlign w:val="center"/>
          </w:tcPr>
          <w:p w:rsidR="00AE0549" w:rsidRPr="00A604A3" w:rsidRDefault="00AE0549" w:rsidP="00B6548C">
            <w:pPr>
              <w:pStyle w:val="Tabletext"/>
              <w:jc w:val="center"/>
              <w:rPr>
                <w:color w:val="000000"/>
              </w:rPr>
            </w:pPr>
            <w:r w:rsidRPr="00A604A3">
              <w:rPr>
                <w:color w:val="000000"/>
              </w:rPr>
              <w:t>0.65</w:t>
            </w:r>
          </w:p>
        </w:tc>
        <w:tc>
          <w:tcPr>
            <w:tcW w:w="463" w:type="pct"/>
            <w:noWrap/>
            <w:vAlign w:val="center"/>
          </w:tcPr>
          <w:p w:rsidR="00AE0549" w:rsidRPr="00A604A3" w:rsidRDefault="00AE0549" w:rsidP="00B6548C">
            <w:pPr>
              <w:pStyle w:val="Tabletext"/>
              <w:jc w:val="center"/>
              <w:rPr>
                <w:color w:val="000000"/>
              </w:rPr>
            </w:pPr>
            <w:r w:rsidRPr="00A604A3">
              <w:rPr>
                <w:color w:val="000000"/>
              </w:rPr>
              <w:t>0.50</w:t>
            </w:r>
          </w:p>
        </w:tc>
        <w:tc>
          <w:tcPr>
            <w:tcW w:w="531" w:type="pct"/>
            <w:noWrap/>
            <w:vAlign w:val="center"/>
          </w:tcPr>
          <w:p w:rsidR="00AE0549" w:rsidRPr="00A604A3" w:rsidRDefault="00AE0549" w:rsidP="00B6548C">
            <w:pPr>
              <w:pStyle w:val="Tabletext"/>
              <w:jc w:val="center"/>
              <w:rPr>
                <w:color w:val="000000"/>
              </w:rPr>
            </w:pPr>
            <w:r w:rsidRPr="00A604A3">
              <w:rPr>
                <w:color w:val="000000"/>
              </w:rPr>
              <w:t>0.32</w:t>
            </w:r>
          </w:p>
        </w:tc>
        <w:tc>
          <w:tcPr>
            <w:tcW w:w="469" w:type="pct"/>
            <w:vAlign w:val="center"/>
          </w:tcPr>
          <w:p w:rsidR="00AE0549" w:rsidRPr="00A604A3" w:rsidRDefault="00AE0549" w:rsidP="00B6548C">
            <w:pPr>
              <w:pStyle w:val="Tabletext"/>
              <w:jc w:val="center"/>
              <w:rPr>
                <w:color w:val="000000"/>
              </w:rPr>
            </w:pPr>
            <w:r w:rsidRPr="00A604A3">
              <w:rPr>
                <w:color w:val="000000"/>
              </w:rPr>
              <w:t>0.84</w:t>
            </w:r>
          </w:p>
        </w:tc>
        <w:tc>
          <w:tcPr>
            <w:tcW w:w="463" w:type="pct"/>
            <w:vAlign w:val="center"/>
          </w:tcPr>
          <w:p w:rsidR="00AE0549" w:rsidRPr="00A604A3" w:rsidRDefault="00AE0549" w:rsidP="00B6548C">
            <w:pPr>
              <w:pStyle w:val="Tabletext"/>
              <w:jc w:val="center"/>
              <w:rPr>
                <w:color w:val="000000"/>
              </w:rPr>
            </w:pPr>
            <w:r w:rsidRPr="00A604A3">
              <w:rPr>
                <w:color w:val="000000"/>
              </w:rPr>
              <w:t>0.47</w:t>
            </w:r>
          </w:p>
        </w:tc>
        <w:tc>
          <w:tcPr>
            <w:tcW w:w="477" w:type="pct"/>
            <w:vAlign w:val="center"/>
          </w:tcPr>
          <w:p w:rsidR="00AE0549" w:rsidRPr="00A604A3" w:rsidRDefault="00AE0549" w:rsidP="00B6548C">
            <w:pPr>
              <w:pStyle w:val="Tabletext"/>
              <w:jc w:val="center"/>
              <w:rPr>
                <w:color w:val="000000"/>
              </w:rPr>
            </w:pPr>
            <w:r w:rsidRPr="00A604A3">
              <w:rPr>
                <w:color w:val="000000"/>
              </w:rPr>
              <w:t>0.32</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1.36</w:t>
            </w:r>
          </w:p>
        </w:tc>
        <w:tc>
          <w:tcPr>
            <w:tcW w:w="463" w:type="pct"/>
            <w:vAlign w:val="center"/>
          </w:tcPr>
          <w:p w:rsidR="00AE0549" w:rsidRPr="00A604A3" w:rsidRDefault="00AE0549" w:rsidP="00B6548C">
            <w:pPr>
              <w:pStyle w:val="Tabletext"/>
              <w:jc w:val="center"/>
              <w:rPr>
                <w:color w:val="000000"/>
              </w:rPr>
            </w:pPr>
            <w:r w:rsidRPr="00A604A3">
              <w:rPr>
                <w:color w:val="000000"/>
              </w:rPr>
              <w:t>0.77</w:t>
            </w:r>
          </w:p>
        </w:tc>
        <w:tc>
          <w:tcPr>
            <w:tcW w:w="463" w:type="pct"/>
            <w:noWrap/>
            <w:vAlign w:val="center"/>
          </w:tcPr>
          <w:p w:rsidR="00AE0549" w:rsidRPr="00A604A3" w:rsidRDefault="00AE0549" w:rsidP="00B6548C">
            <w:pPr>
              <w:pStyle w:val="Tabletext"/>
              <w:jc w:val="center"/>
              <w:rPr>
                <w:color w:val="000000"/>
              </w:rPr>
            </w:pPr>
            <w:r w:rsidRPr="00A604A3">
              <w:rPr>
                <w:color w:val="000000"/>
              </w:rPr>
              <w:t>0.60</w:t>
            </w:r>
          </w:p>
        </w:tc>
        <w:tc>
          <w:tcPr>
            <w:tcW w:w="531" w:type="pct"/>
            <w:noWrap/>
            <w:vAlign w:val="center"/>
          </w:tcPr>
          <w:p w:rsidR="00AE0549" w:rsidRPr="00A604A3" w:rsidRDefault="00AE0549" w:rsidP="00B6548C">
            <w:pPr>
              <w:pStyle w:val="Tabletext"/>
              <w:jc w:val="center"/>
              <w:rPr>
                <w:color w:val="000000"/>
              </w:rPr>
            </w:pPr>
            <w:r w:rsidRPr="00A604A3">
              <w:rPr>
                <w:color w:val="000000"/>
              </w:rPr>
              <w:t>0.38</w:t>
            </w:r>
          </w:p>
        </w:tc>
        <w:tc>
          <w:tcPr>
            <w:tcW w:w="469" w:type="pct"/>
            <w:vAlign w:val="center"/>
          </w:tcPr>
          <w:p w:rsidR="00AE0549" w:rsidRPr="00A604A3" w:rsidRDefault="00AE0549" w:rsidP="00B6548C">
            <w:pPr>
              <w:pStyle w:val="Tabletext"/>
              <w:jc w:val="center"/>
              <w:rPr>
                <w:color w:val="000000"/>
              </w:rPr>
            </w:pPr>
            <w:r w:rsidRPr="00A604A3">
              <w:rPr>
                <w:color w:val="000000"/>
              </w:rPr>
              <w:t>1.05</w:t>
            </w:r>
          </w:p>
        </w:tc>
        <w:tc>
          <w:tcPr>
            <w:tcW w:w="463" w:type="pct"/>
            <w:vAlign w:val="center"/>
          </w:tcPr>
          <w:p w:rsidR="00AE0549" w:rsidRPr="00A604A3" w:rsidRDefault="00AE0549" w:rsidP="00B6548C">
            <w:pPr>
              <w:pStyle w:val="Tabletext"/>
              <w:jc w:val="center"/>
              <w:rPr>
                <w:color w:val="000000"/>
              </w:rPr>
            </w:pPr>
            <w:r w:rsidRPr="00A604A3">
              <w:rPr>
                <w:color w:val="000000"/>
              </w:rPr>
              <w:t>0.57</w:t>
            </w:r>
          </w:p>
        </w:tc>
        <w:tc>
          <w:tcPr>
            <w:tcW w:w="477" w:type="pct"/>
            <w:vAlign w:val="center"/>
          </w:tcPr>
          <w:p w:rsidR="00AE0549" w:rsidRPr="00A604A3" w:rsidRDefault="00AE0549" w:rsidP="00B6548C">
            <w:pPr>
              <w:pStyle w:val="Tabletext"/>
              <w:jc w:val="center"/>
              <w:rPr>
                <w:color w:val="000000"/>
              </w:rPr>
            </w:pPr>
            <w:r w:rsidRPr="00A604A3">
              <w:rPr>
                <w:color w:val="000000"/>
              </w:rPr>
              <w:t>0.37</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1.40</w:t>
            </w:r>
          </w:p>
        </w:tc>
        <w:tc>
          <w:tcPr>
            <w:tcW w:w="463" w:type="pct"/>
            <w:vAlign w:val="center"/>
          </w:tcPr>
          <w:p w:rsidR="00AE0549" w:rsidRPr="00A604A3" w:rsidRDefault="00AE0549" w:rsidP="00B6548C">
            <w:pPr>
              <w:pStyle w:val="Tabletext"/>
              <w:jc w:val="center"/>
              <w:rPr>
                <w:color w:val="000000"/>
              </w:rPr>
            </w:pPr>
            <w:r w:rsidRPr="00A604A3">
              <w:rPr>
                <w:color w:val="000000"/>
              </w:rPr>
              <w:t>0.76</w:t>
            </w:r>
          </w:p>
        </w:tc>
        <w:tc>
          <w:tcPr>
            <w:tcW w:w="463" w:type="pct"/>
            <w:noWrap/>
            <w:vAlign w:val="center"/>
          </w:tcPr>
          <w:p w:rsidR="00AE0549" w:rsidRPr="00A604A3" w:rsidRDefault="00AE0549" w:rsidP="00B6548C">
            <w:pPr>
              <w:pStyle w:val="Tabletext"/>
              <w:jc w:val="center"/>
              <w:rPr>
                <w:color w:val="000000"/>
              </w:rPr>
            </w:pPr>
            <w:r w:rsidRPr="00A604A3">
              <w:rPr>
                <w:color w:val="000000"/>
              </w:rPr>
              <w:t>0.55</w:t>
            </w:r>
          </w:p>
        </w:tc>
        <w:tc>
          <w:tcPr>
            <w:tcW w:w="531" w:type="pct"/>
            <w:noWrap/>
            <w:vAlign w:val="center"/>
          </w:tcPr>
          <w:p w:rsidR="00AE0549" w:rsidRPr="00A604A3" w:rsidRDefault="00AE0549" w:rsidP="00B6548C">
            <w:pPr>
              <w:pStyle w:val="Tabletext"/>
              <w:jc w:val="center"/>
              <w:rPr>
                <w:color w:val="000000"/>
              </w:rPr>
            </w:pPr>
            <w:r w:rsidRPr="00A604A3">
              <w:rPr>
                <w:color w:val="000000"/>
              </w:rPr>
              <w:t>0.34</w:t>
            </w:r>
          </w:p>
        </w:tc>
        <w:tc>
          <w:tcPr>
            <w:tcW w:w="469" w:type="pct"/>
            <w:vAlign w:val="center"/>
          </w:tcPr>
          <w:p w:rsidR="00AE0549" w:rsidRPr="00A604A3" w:rsidRDefault="00AE0549" w:rsidP="00B6548C">
            <w:pPr>
              <w:pStyle w:val="Tabletext"/>
              <w:jc w:val="center"/>
              <w:rPr>
                <w:color w:val="000000"/>
              </w:rPr>
            </w:pPr>
            <w:r w:rsidRPr="00A604A3">
              <w:rPr>
                <w:color w:val="000000"/>
              </w:rPr>
              <w:t>1.06</w:t>
            </w:r>
          </w:p>
        </w:tc>
        <w:tc>
          <w:tcPr>
            <w:tcW w:w="463" w:type="pct"/>
            <w:vAlign w:val="center"/>
          </w:tcPr>
          <w:p w:rsidR="00AE0549" w:rsidRPr="00A604A3" w:rsidRDefault="00AE0549" w:rsidP="00B6548C">
            <w:pPr>
              <w:pStyle w:val="Tabletext"/>
              <w:jc w:val="center"/>
              <w:rPr>
                <w:color w:val="000000"/>
              </w:rPr>
            </w:pPr>
            <w:r w:rsidRPr="00A604A3">
              <w:rPr>
                <w:color w:val="000000"/>
              </w:rPr>
              <w:t>0.58</w:t>
            </w:r>
          </w:p>
        </w:tc>
        <w:tc>
          <w:tcPr>
            <w:tcW w:w="477" w:type="pct"/>
            <w:vAlign w:val="center"/>
          </w:tcPr>
          <w:p w:rsidR="00AE0549" w:rsidRPr="00A604A3" w:rsidRDefault="00AE0549" w:rsidP="00B6548C">
            <w:pPr>
              <w:pStyle w:val="Tabletext"/>
              <w:jc w:val="center"/>
              <w:rPr>
                <w:color w:val="000000"/>
              </w:rPr>
            </w:pPr>
            <w:r w:rsidRPr="00A604A3">
              <w:rPr>
                <w:color w:val="000000"/>
              </w:rPr>
              <w:t>0.37</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1.62</w:t>
            </w:r>
          </w:p>
        </w:tc>
        <w:tc>
          <w:tcPr>
            <w:tcW w:w="463" w:type="pct"/>
            <w:vAlign w:val="center"/>
          </w:tcPr>
          <w:p w:rsidR="00AE0549" w:rsidRPr="00A604A3" w:rsidRDefault="00AE0549" w:rsidP="00B6548C">
            <w:pPr>
              <w:pStyle w:val="Tabletext"/>
              <w:jc w:val="center"/>
              <w:rPr>
                <w:color w:val="000000"/>
              </w:rPr>
            </w:pPr>
            <w:r w:rsidRPr="00A604A3">
              <w:rPr>
                <w:color w:val="000000"/>
              </w:rPr>
              <w:t>0.89</w:t>
            </w:r>
          </w:p>
        </w:tc>
        <w:tc>
          <w:tcPr>
            <w:tcW w:w="463" w:type="pct"/>
            <w:noWrap/>
            <w:vAlign w:val="center"/>
          </w:tcPr>
          <w:p w:rsidR="00AE0549" w:rsidRPr="00A604A3" w:rsidRDefault="00AE0549" w:rsidP="00B6548C">
            <w:pPr>
              <w:pStyle w:val="Tabletext"/>
              <w:jc w:val="center"/>
              <w:rPr>
                <w:color w:val="000000"/>
              </w:rPr>
            </w:pPr>
            <w:r w:rsidRPr="00A604A3">
              <w:rPr>
                <w:color w:val="000000"/>
              </w:rPr>
              <w:t>0.67</w:t>
            </w:r>
          </w:p>
        </w:tc>
        <w:tc>
          <w:tcPr>
            <w:tcW w:w="531" w:type="pct"/>
            <w:noWrap/>
            <w:vAlign w:val="center"/>
          </w:tcPr>
          <w:p w:rsidR="00AE0549" w:rsidRPr="00A604A3" w:rsidRDefault="00AE0549" w:rsidP="00B6548C">
            <w:pPr>
              <w:pStyle w:val="Tabletext"/>
              <w:jc w:val="center"/>
              <w:rPr>
                <w:color w:val="000000"/>
              </w:rPr>
            </w:pPr>
            <w:r w:rsidRPr="00A604A3">
              <w:rPr>
                <w:color w:val="000000"/>
              </w:rPr>
              <w:t>0.41</w:t>
            </w:r>
          </w:p>
        </w:tc>
        <w:tc>
          <w:tcPr>
            <w:tcW w:w="469" w:type="pct"/>
            <w:vAlign w:val="center"/>
          </w:tcPr>
          <w:p w:rsidR="00AE0549" w:rsidRPr="00A604A3" w:rsidRDefault="00AE0549" w:rsidP="00B6548C">
            <w:pPr>
              <w:pStyle w:val="Tabletext"/>
              <w:jc w:val="center"/>
              <w:rPr>
                <w:color w:val="000000"/>
              </w:rPr>
            </w:pPr>
            <w:r w:rsidRPr="00A604A3">
              <w:rPr>
                <w:color w:val="000000"/>
              </w:rPr>
              <w:t>1.28</w:t>
            </w:r>
          </w:p>
        </w:tc>
        <w:tc>
          <w:tcPr>
            <w:tcW w:w="463" w:type="pct"/>
            <w:vAlign w:val="center"/>
          </w:tcPr>
          <w:p w:rsidR="00AE0549" w:rsidRPr="00A604A3" w:rsidRDefault="00AE0549" w:rsidP="00B6548C">
            <w:pPr>
              <w:pStyle w:val="Tabletext"/>
              <w:jc w:val="center"/>
              <w:rPr>
                <w:color w:val="000000"/>
              </w:rPr>
            </w:pPr>
            <w:r w:rsidRPr="00A604A3">
              <w:rPr>
                <w:color w:val="000000"/>
              </w:rPr>
              <w:t>0.68</w:t>
            </w:r>
          </w:p>
        </w:tc>
        <w:tc>
          <w:tcPr>
            <w:tcW w:w="477" w:type="pct"/>
            <w:vAlign w:val="center"/>
          </w:tcPr>
          <w:p w:rsidR="00AE0549" w:rsidRPr="00A604A3" w:rsidRDefault="00AE0549" w:rsidP="00B6548C">
            <w:pPr>
              <w:pStyle w:val="Tabletext"/>
              <w:jc w:val="center"/>
              <w:rPr>
                <w:color w:val="000000"/>
              </w:rPr>
            </w:pPr>
            <w:r w:rsidRPr="00A604A3">
              <w:rPr>
                <w:color w:val="000000"/>
              </w:rPr>
              <w:t>0.44</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1.76</w:t>
            </w:r>
          </w:p>
        </w:tc>
        <w:tc>
          <w:tcPr>
            <w:tcW w:w="463" w:type="pct"/>
            <w:vAlign w:val="center"/>
          </w:tcPr>
          <w:p w:rsidR="00AE0549" w:rsidRPr="00A604A3" w:rsidRDefault="00AE0549" w:rsidP="00B6548C">
            <w:pPr>
              <w:pStyle w:val="Tabletext"/>
              <w:jc w:val="center"/>
              <w:rPr>
                <w:color w:val="000000"/>
              </w:rPr>
            </w:pPr>
            <w:r w:rsidRPr="00A604A3">
              <w:rPr>
                <w:color w:val="000000"/>
              </w:rPr>
              <w:t>0.95</w:t>
            </w:r>
          </w:p>
        </w:tc>
        <w:tc>
          <w:tcPr>
            <w:tcW w:w="463" w:type="pct"/>
            <w:noWrap/>
            <w:vAlign w:val="center"/>
          </w:tcPr>
          <w:p w:rsidR="00AE0549" w:rsidRPr="00A604A3" w:rsidRDefault="00AE0549" w:rsidP="00B6548C">
            <w:pPr>
              <w:pStyle w:val="Tabletext"/>
              <w:jc w:val="center"/>
              <w:rPr>
                <w:color w:val="000000"/>
              </w:rPr>
            </w:pPr>
            <w:r w:rsidRPr="00A604A3">
              <w:rPr>
                <w:color w:val="000000"/>
              </w:rPr>
              <w:t>0.64</w:t>
            </w:r>
          </w:p>
        </w:tc>
        <w:tc>
          <w:tcPr>
            <w:tcW w:w="531" w:type="pct"/>
            <w:noWrap/>
            <w:vAlign w:val="center"/>
          </w:tcPr>
          <w:p w:rsidR="00AE0549" w:rsidRPr="00A604A3" w:rsidRDefault="00AE0549" w:rsidP="00B6548C">
            <w:pPr>
              <w:pStyle w:val="Tabletext"/>
              <w:jc w:val="center"/>
              <w:rPr>
                <w:color w:val="000000"/>
              </w:rPr>
            </w:pPr>
            <w:r w:rsidRPr="00A604A3">
              <w:rPr>
                <w:color w:val="000000"/>
              </w:rPr>
              <w:t>0.39</w:t>
            </w:r>
          </w:p>
        </w:tc>
        <w:tc>
          <w:tcPr>
            <w:tcW w:w="469" w:type="pct"/>
            <w:vAlign w:val="center"/>
          </w:tcPr>
          <w:p w:rsidR="00AE0549" w:rsidRPr="00A604A3" w:rsidRDefault="00AE0549" w:rsidP="00B6548C">
            <w:pPr>
              <w:pStyle w:val="Tabletext"/>
              <w:jc w:val="center"/>
              <w:rPr>
                <w:color w:val="000000"/>
              </w:rPr>
            </w:pPr>
            <w:r w:rsidRPr="00A604A3">
              <w:rPr>
                <w:color w:val="000000"/>
              </w:rPr>
              <w:t>1.43</w:t>
            </w:r>
          </w:p>
        </w:tc>
        <w:tc>
          <w:tcPr>
            <w:tcW w:w="463" w:type="pct"/>
            <w:vAlign w:val="center"/>
          </w:tcPr>
          <w:p w:rsidR="00AE0549" w:rsidRPr="00A604A3" w:rsidRDefault="00AE0549" w:rsidP="00B6548C">
            <w:pPr>
              <w:pStyle w:val="Tabletext"/>
              <w:jc w:val="center"/>
              <w:rPr>
                <w:color w:val="000000"/>
              </w:rPr>
            </w:pPr>
            <w:r w:rsidRPr="00A604A3">
              <w:rPr>
                <w:color w:val="000000"/>
              </w:rPr>
              <w:t>0.77</w:t>
            </w:r>
          </w:p>
        </w:tc>
        <w:tc>
          <w:tcPr>
            <w:tcW w:w="477" w:type="pct"/>
            <w:vAlign w:val="center"/>
          </w:tcPr>
          <w:p w:rsidR="00AE0549" w:rsidRPr="00A604A3" w:rsidRDefault="00AE0549" w:rsidP="00B6548C">
            <w:pPr>
              <w:pStyle w:val="Tabletext"/>
              <w:jc w:val="center"/>
              <w:rPr>
                <w:color w:val="000000"/>
              </w:rPr>
            </w:pPr>
            <w:r w:rsidRPr="00A604A3">
              <w:rPr>
                <w:color w:val="000000"/>
              </w:rPr>
              <w:t>0.46</w:t>
            </w:r>
          </w:p>
        </w:tc>
      </w:tr>
      <w:tr w:rsidR="00AE0549" w:rsidRPr="00A604A3" w:rsidTr="00B6548C">
        <w:trPr>
          <w:jc w:val="center"/>
        </w:trPr>
        <w:tc>
          <w:tcPr>
            <w:tcW w:w="586" w:type="pct"/>
            <w:vMerge/>
            <w:hideMark/>
          </w:tcPr>
          <w:p w:rsidR="00AE0549" w:rsidRPr="00A604A3" w:rsidRDefault="00AE0549" w:rsidP="00B6548C">
            <w:pPr>
              <w:pStyle w:val="Tabletext"/>
              <w:rPr>
                <w:b/>
                <w:bCs/>
                <w:sz w:val="16"/>
                <w:szCs w:val="16"/>
                <w:lang w:eastAsia="zh-CN"/>
              </w:rPr>
            </w:pPr>
          </w:p>
        </w:tc>
        <w:tc>
          <w:tcPr>
            <w:tcW w:w="654" w:type="pct"/>
            <w:vMerge/>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2.05</w:t>
            </w:r>
          </w:p>
        </w:tc>
        <w:tc>
          <w:tcPr>
            <w:tcW w:w="463" w:type="pct"/>
            <w:vAlign w:val="center"/>
          </w:tcPr>
          <w:p w:rsidR="00AE0549" w:rsidRPr="00A604A3" w:rsidRDefault="00AE0549" w:rsidP="00B6548C">
            <w:pPr>
              <w:pStyle w:val="Tabletext"/>
              <w:jc w:val="center"/>
              <w:rPr>
                <w:color w:val="000000"/>
              </w:rPr>
            </w:pPr>
            <w:r w:rsidRPr="00A604A3">
              <w:rPr>
                <w:color w:val="000000"/>
              </w:rPr>
              <w:t>1.18</w:t>
            </w:r>
          </w:p>
        </w:tc>
        <w:tc>
          <w:tcPr>
            <w:tcW w:w="463" w:type="pct"/>
            <w:noWrap/>
            <w:vAlign w:val="center"/>
          </w:tcPr>
          <w:p w:rsidR="00AE0549" w:rsidRPr="00A604A3" w:rsidRDefault="00AE0549" w:rsidP="00B6548C">
            <w:pPr>
              <w:pStyle w:val="Tabletext"/>
              <w:jc w:val="center"/>
              <w:rPr>
                <w:color w:val="000000"/>
              </w:rPr>
            </w:pPr>
            <w:r w:rsidRPr="00A604A3">
              <w:rPr>
                <w:color w:val="000000"/>
              </w:rPr>
              <w:t>0.76</w:t>
            </w:r>
          </w:p>
        </w:tc>
        <w:tc>
          <w:tcPr>
            <w:tcW w:w="531" w:type="pct"/>
            <w:noWrap/>
            <w:vAlign w:val="center"/>
          </w:tcPr>
          <w:p w:rsidR="00AE0549" w:rsidRPr="00A604A3" w:rsidRDefault="00AE0549" w:rsidP="00B6548C">
            <w:pPr>
              <w:pStyle w:val="Tabletext"/>
              <w:jc w:val="center"/>
              <w:rPr>
                <w:color w:val="000000"/>
              </w:rPr>
            </w:pPr>
            <w:r w:rsidRPr="00A604A3">
              <w:rPr>
                <w:color w:val="000000"/>
              </w:rPr>
              <w:t>0.47</w:t>
            </w:r>
          </w:p>
        </w:tc>
        <w:tc>
          <w:tcPr>
            <w:tcW w:w="469" w:type="pct"/>
            <w:vAlign w:val="center"/>
          </w:tcPr>
          <w:p w:rsidR="00AE0549" w:rsidRPr="00A604A3" w:rsidRDefault="00AE0549" w:rsidP="00B6548C">
            <w:pPr>
              <w:pStyle w:val="Tabletext"/>
              <w:jc w:val="center"/>
              <w:rPr>
                <w:color w:val="000000"/>
              </w:rPr>
            </w:pPr>
            <w:r w:rsidRPr="00A604A3">
              <w:rPr>
                <w:color w:val="000000"/>
              </w:rPr>
              <w:t>1.65</w:t>
            </w:r>
          </w:p>
        </w:tc>
        <w:tc>
          <w:tcPr>
            <w:tcW w:w="463" w:type="pct"/>
            <w:vAlign w:val="center"/>
          </w:tcPr>
          <w:p w:rsidR="00AE0549" w:rsidRPr="00A604A3" w:rsidRDefault="00AE0549" w:rsidP="00B6548C">
            <w:pPr>
              <w:pStyle w:val="Tabletext"/>
              <w:jc w:val="center"/>
              <w:rPr>
                <w:color w:val="000000"/>
              </w:rPr>
            </w:pPr>
            <w:r w:rsidRPr="00A604A3">
              <w:rPr>
                <w:color w:val="000000"/>
              </w:rPr>
              <w:t>0.87</w:t>
            </w:r>
          </w:p>
        </w:tc>
        <w:tc>
          <w:tcPr>
            <w:tcW w:w="477" w:type="pct"/>
            <w:vAlign w:val="center"/>
          </w:tcPr>
          <w:p w:rsidR="00AE0549" w:rsidRPr="00A604A3" w:rsidRDefault="00AE0549" w:rsidP="00B6548C">
            <w:pPr>
              <w:pStyle w:val="Tabletext"/>
              <w:jc w:val="center"/>
              <w:rPr>
                <w:color w:val="000000"/>
              </w:rPr>
            </w:pPr>
            <w:r w:rsidRPr="00A604A3">
              <w:rPr>
                <w:color w:val="000000"/>
              </w:rPr>
              <w:t>0.57</w:t>
            </w:r>
          </w:p>
        </w:tc>
      </w:tr>
    </w:tbl>
    <w:p w:rsidR="00AE0549" w:rsidRPr="00A604A3" w:rsidRDefault="00AE0549" w:rsidP="00B6548C">
      <w:pPr>
        <w:pStyle w:val="Tablefin"/>
      </w:pPr>
    </w:p>
    <w:p w:rsidR="00AE0549" w:rsidRPr="00A604A3" w:rsidRDefault="00B6548C" w:rsidP="00B6548C">
      <w:pPr>
        <w:pStyle w:val="Heading4"/>
        <w:rPr>
          <w:rFonts w:eastAsia="MS Mincho"/>
        </w:rPr>
      </w:pPr>
      <w:r w:rsidRPr="00A604A3">
        <w:rPr>
          <w:rFonts w:eastAsia="MS Mincho"/>
        </w:rPr>
        <w:t>II.5.7.3</w:t>
      </w:r>
      <w:r w:rsidRPr="00A604A3">
        <w:rPr>
          <w:rFonts w:eastAsia="MS Mincho"/>
        </w:rPr>
        <w:tab/>
      </w:r>
      <w:r w:rsidR="00AE0549" w:rsidRPr="00A604A3">
        <w:rPr>
          <w:rFonts w:eastAsia="MS Mincho"/>
        </w:rPr>
        <w:t>Uplink NR User Plane procedure</w:t>
      </w:r>
    </w:p>
    <w:p w:rsidR="00AE0549" w:rsidRPr="00A604A3" w:rsidRDefault="00AE0549" w:rsidP="00B6548C">
      <w:r w:rsidRPr="00A604A3">
        <w:t>The assumptions for the uplink procedure using a grant free transmission are given in Table 96.</w:t>
      </w:r>
    </w:p>
    <w:p w:rsidR="00B6548C" w:rsidRPr="00A604A3" w:rsidRDefault="00B6548C" w:rsidP="00B6548C">
      <w:pPr>
        <w:pStyle w:val="TableNo"/>
        <w:rPr>
          <w:rFonts w:eastAsia="MS Mincho"/>
        </w:rPr>
      </w:pPr>
      <w:bookmarkStart w:id="456" w:name="_Ref31294015"/>
      <w:bookmarkStart w:id="457" w:name="_Toc32066413"/>
      <w:r w:rsidRPr="00A604A3">
        <w:rPr>
          <w:rFonts w:eastAsia="MS Mincho"/>
        </w:rPr>
        <w:t>tABLE 96</w:t>
      </w:r>
    </w:p>
    <w:p w:rsidR="00B6548C" w:rsidRPr="00A604A3" w:rsidRDefault="00B6548C" w:rsidP="00B6548C">
      <w:pPr>
        <w:pStyle w:val="Tabletitle"/>
        <w:rPr>
          <w:rFonts w:eastAsia="MS Mincho"/>
        </w:rPr>
      </w:pPr>
      <w:r w:rsidRPr="00A604A3">
        <w:rPr>
          <w:rFonts w:eastAsia="MS Mincho"/>
        </w:rPr>
        <w:t>UL user plane procedure for NR (Table 5.7.1.2.2-1 in TR 37.910)</w:t>
      </w:r>
      <w:bookmarkEnd w:id="456"/>
      <w:bookmarkEnd w:id="457"/>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2376"/>
        <w:gridCol w:w="3431"/>
        <w:gridCol w:w="3115"/>
      </w:tblGrid>
      <w:tr w:rsidR="00AE0549" w:rsidRPr="00A604A3" w:rsidTr="00B6548C">
        <w:trPr>
          <w:cantSplit/>
          <w:tblHeader/>
          <w:jc w:val="center"/>
        </w:trPr>
        <w:tc>
          <w:tcPr>
            <w:tcW w:w="594"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Step</w:t>
            </w:r>
          </w:p>
        </w:tc>
        <w:tc>
          <w:tcPr>
            <w:tcW w:w="2376"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Notations</w:t>
            </w:r>
          </w:p>
        </w:tc>
        <w:tc>
          <w:tcPr>
            <w:tcW w:w="3115" w:type="dxa"/>
            <w:shd w:val="clear" w:color="auto" w:fill="BFBFBF" w:themeFill="background1" w:themeFillShade="BF"/>
          </w:tcPr>
          <w:p w:rsidR="00AE0549" w:rsidRPr="00A604A3" w:rsidRDefault="00AE0549" w:rsidP="00B6548C">
            <w:pPr>
              <w:pStyle w:val="Tablehead"/>
              <w:rPr>
                <w:lang w:eastAsia="zh-CN"/>
              </w:rPr>
            </w:pPr>
            <w:r w:rsidRPr="00A604A3">
              <w:rPr>
                <w:lang w:eastAsia="zh-CN"/>
              </w:rPr>
              <w:t>Value</w:t>
            </w:r>
          </w:p>
        </w:tc>
      </w:tr>
      <w:tr w:rsidR="00AE0549" w:rsidRPr="006853C6" w:rsidTr="00B6548C">
        <w:trPr>
          <w:cantSplit/>
          <w:jc w:val="center"/>
        </w:trPr>
        <w:tc>
          <w:tcPr>
            <w:tcW w:w="594" w:type="dxa"/>
            <w:shd w:val="clear" w:color="auto" w:fill="auto"/>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1</w:t>
            </w:r>
          </w:p>
        </w:tc>
        <w:tc>
          <w:tcPr>
            <w:tcW w:w="2376" w:type="dxa"/>
            <w:shd w:val="clear" w:color="auto" w:fill="auto"/>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UL data transferTable 96</w:t>
            </w:r>
          </w:p>
        </w:tc>
        <w:tc>
          <w:tcPr>
            <w:tcW w:w="3431" w:type="dxa"/>
            <w:shd w:val="clear" w:color="auto" w:fill="auto"/>
            <w:noWrap/>
            <w:tcMar>
              <w:top w:w="0" w:type="dxa"/>
              <w:left w:w="108" w:type="dxa"/>
              <w:bottom w:w="0" w:type="dxa"/>
              <w:right w:w="108" w:type="dxa"/>
            </w:tcMar>
            <w:vAlign w:val="center"/>
          </w:tcPr>
          <w:p w:rsidR="00AE0549" w:rsidRPr="006853C6" w:rsidRDefault="00AE0549" w:rsidP="00B6548C">
            <w:pPr>
              <w:pStyle w:val="Tabletext"/>
              <w:rPr>
                <w:sz w:val="18"/>
                <w:szCs w:val="18"/>
                <w:lang w:val="fr-CH" w:eastAsia="zh-CN"/>
              </w:rPr>
            </w:pPr>
            <w:r w:rsidRPr="006853C6">
              <w:rPr>
                <w:i/>
                <w:sz w:val="18"/>
                <w:szCs w:val="18"/>
                <w:lang w:val="fr-CH" w:eastAsia="zh-CN"/>
              </w:rPr>
              <w:t>T</w:t>
            </w:r>
            <w:r w:rsidRPr="006853C6">
              <w:rPr>
                <w:sz w:val="18"/>
                <w:szCs w:val="18"/>
                <w:vertAlign w:val="subscript"/>
                <w:lang w:val="fr-CH" w:eastAsia="zh-CN"/>
              </w:rPr>
              <w:t>1</w:t>
            </w:r>
            <w:r w:rsidRPr="006853C6">
              <w:rPr>
                <w:sz w:val="18"/>
                <w:szCs w:val="18"/>
                <w:lang w:val="fr-CH" w:eastAsia="zh-CN"/>
              </w:rPr>
              <w:t xml:space="preserve"> = (</w:t>
            </w:r>
            <w:r w:rsidRPr="006853C6">
              <w:rPr>
                <w:i/>
                <w:sz w:val="18"/>
                <w:szCs w:val="18"/>
                <w:lang w:val="fr-CH" w:eastAsia="zh-CN"/>
              </w:rPr>
              <w:t>t</w:t>
            </w:r>
            <w:r w:rsidRPr="006853C6">
              <w:rPr>
                <w:sz w:val="18"/>
                <w:szCs w:val="18"/>
                <w:vertAlign w:val="subscript"/>
                <w:lang w:val="fr-CH" w:eastAsia="zh-CN"/>
              </w:rPr>
              <w:t>UE,tx</w:t>
            </w:r>
            <w:r w:rsidRPr="006853C6">
              <w:rPr>
                <w:sz w:val="18"/>
                <w:szCs w:val="18"/>
                <w:lang w:val="fr-CH" w:eastAsia="zh-CN"/>
              </w:rPr>
              <w:t xml:space="preserve"> + </w:t>
            </w:r>
            <w:r w:rsidRPr="006853C6">
              <w:rPr>
                <w:i/>
                <w:sz w:val="18"/>
                <w:szCs w:val="18"/>
                <w:lang w:val="fr-CH" w:eastAsia="zh-CN"/>
              </w:rPr>
              <w:t>t</w:t>
            </w:r>
            <w:r w:rsidRPr="006853C6">
              <w:rPr>
                <w:sz w:val="18"/>
                <w:szCs w:val="18"/>
                <w:vertAlign w:val="subscript"/>
                <w:lang w:val="fr-CH" w:eastAsia="zh-CN"/>
              </w:rPr>
              <w:t>FA,UL</w:t>
            </w:r>
            <w:r w:rsidRPr="006853C6">
              <w:rPr>
                <w:sz w:val="18"/>
                <w:szCs w:val="18"/>
                <w:lang w:val="fr-CH" w:eastAsia="zh-CN"/>
              </w:rPr>
              <w:t>)</w:t>
            </w:r>
            <w:r w:rsidRPr="006853C6">
              <w:rPr>
                <w:sz w:val="18"/>
                <w:szCs w:val="18"/>
                <w:vertAlign w:val="subscript"/>
                <w:lang w:val="fr-CH" w:eastAsia="zh-CN"/>
              </w:rPr>
              <w:t xml:space="preserve"> </w:t>
            </w:r>
            <w:r w:rsidRPr="006853C6">
              <w:rPr>
                <w:sz w:val="18"/>
                <w:szCs w:val="18"/>
                <w:lang w:val="fr-CH" w:eastAsia="zh-CN"/>
              </w:rPr>
              <w:t xml:space="preserve">+ </w:t>
            </w:r>
            <w:r w:rsidRPr="006853C6">
              <w:rPr>
                <w:i/>
                <w:sz w:val="18"/>
                <w:szCs w:val="18"/>
                <w:lang w:val="fr-CH" w:eastAsia="zh-CN"/>
              </w:rPr>
              <w:t>t</w:t>
            </w:r>
            <w:r w:rsidRPr="006853C6">
              <w:rPr>
                <w:sz w:val="18"/>
                <w:szCs w:val="18"/>
                <w:vertAlign w:val="subscript"/>
                <w:lang w:val="fr-CH" w:eastAsia="zh-CN"/>
              </w:rPr>
              <w:t xml:space="preserve">UL_duration </w:t>
            </w:r>
            <w:r w:rsidRPr="006853C6">
              <w:rPr>
                <w:sz w:val="18"/>
                <w:szCs w:val="18"/>
                <w:lang w:val="fr-CH" w:eastAsia="zh-CN"/>
              </w:rPr>
              <w:t xml:space="preserve">+ </w:t>
            </w:r>
            <w:r w:rsidRPr="006853C6">
              <w:rPr>
                <w:i/>
                <w:sz w:val="18"/>
                <w:szCs w:val="18"/>
                <w:lang w:val="fr-CH" w:eastAsia="zh-CN"/>
              </w:rPr>
              <w:t>t</w:t>
            </w:r>
            <w:r w:rsidRPr="006853C6">
              <w:rPr>
                <w:sz w:val="18"/>
                <w:szCs w:val="18"/>
                <w:vertAlign w:val="subscript"/>
                <w:lang w:val="fr-CH" w:eastAsia="zh-CN"/>
              </w:rPr>
              <w:t>BS,rx</w:t>
            </w:r>
          </w:p>
        </w:tc>
        <w:tc>
          <w:tcPr>
            <w:tcW w:w="3115" w:type="dxa"/>
          </w:tcPr>
          <w:p w:rsidR="00AE0549" w:rsidRPr="006853C6" w:rsidRDefault="00AE0549" w:rsidP="00B6548C">
            <w:pPr>
              <w:pStyle w:val="Tabletext"/>
              <w:rPr>
                <w:i/>
                <w:sz w:val="18"/>
                <w:szCs w:val="18"/>
                <w:lang w:val="fr-CH"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1.1</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UE,tx</w:t>
            </w:r>
          </w:p>
          <w:p w:rsidR="00AE0549" w:rsidRPr="00A604A3" w:rsidRDefault="00AE0549" w:rsidP="00B6548C">
            <w:pPr>
              <w:pStyle w:val="Tabletext"/>
              <w:rPr>
                <w:sz w:val="18"/>
                <w:szCs w:val="18"/>
                <w:lang w:eastAsia="zh-CN"/>
              </w:rPr>
            </w:pPr>
            <w:r w:rsidRPr="00A604A3">
              <w:rPr>
                <w:sz w:val="18"/>
                <w:szCs w:val="18"/>
                <w:lang w:eastAsia="zh-CN"/>
              </w:rPr>
              <w:t xml:space="preserve">The time interval between the data is arrived, and packet is generated; </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(T</w:t>
            </w:r>
            <w:r w:rsidRPr="00A604A3">
              <w:rPr>
                <w:sz w:val="18"/>
                <w:szCs w:val="18"/>
                <w:vertAlign w:val="subscript"/>
                <w:lang w:eastAsia="zh-CN"/>
              </w:rPr>
              <w:t xml:space="preserve">proc,2 </w:t>
            </w:r>
            <w:r w:rsidRPr="00A604A3">
              <w:rPr>
                <w:sz w:val="18"/>
                <w:szCs w:val="18"/>
                <w:lang w:eastAsia="zh-CN"/>
              </w:rPr>
              <w:t>is defined in Section 6.4 of TS38.214),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1.2</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lang w:eastAsia="zh-CN"/>
              </w:rPr>
            </w:pPr>
            <w:r w:rsidRPr="00A604A3">
              <w:rPr>
                <w:sz w:val="18"/>
                <w:szCs w:val="18"/>
              </w:rPr>
              <w:t>UL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FA,UL</w:t>
            </w:r>
          </w:p>
          <w:p w:rsidR="00AE0549" w:rsidRPr="00A604A3" w:rsidRDefault="00AE0549" w:rsidP="00B6548C">
            <w:pPr>
              <w:pStyle w:val="Tabletext"/>
              <w:rPr>
                <w:sz w:val="18"/>
                <w:szCs w:val="18"/>
                <w:lang w:eastAsia="zh-CN"/>
              </w:rPr>
            </w:pPr>
            <w:r w:rsidRPr="00A604A3">
              <w:rPr>
                <w:sz w:val="18"/>
                <w:szCs w:val="18"/>
                <w:lang w:eastAsia="zh-CN"/>
              </w:rPr>
              <w:t xml:space="preserve">It includes frame alignment time, and the waiting time for next available UL slot </w:t>
            </w:r>
          </w:p>
        </w:tc>
        <w:tc>
          <w:tcPr>
            <w:tcW w:w="3115" w:type="dxa"/>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UL slot, </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UL slot if the current slot is not UL slot.</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1.3</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TTI for UL data packet 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UL_duration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Length of one slot (14 OFDM symbol length) or non-slot (2/4/7 OFDM symbol length), depending on slot or non-slot selected in evaluation.</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lastRenderedPageBreak/>
              <w:t>1.4</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BS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PUSCH is received and the data is decoded;</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It is assumed that BS processing delay is equal to UE processing delay as for PDSCH</w:t>
            </w:r>
          </w:p>
          <w:p w:rsidR="00AE0549" w:rsidRPr="00A604A3" w:rsidRDefault="00AE0549" w:rsidP="00B6548C">
            <w:pPr>
              <w:pStyle w:val="Tabletext"/>
              <w:rPr>
                <w:sz w:val="18"/>
                <w:szCs w:val="18"/>
                <w:lang w:eastAsia="zh-CN"/>
              </w:rPr>
            </w:pPr>
            <w:r w:rsidRPr="00A604A3">
              <w:rPr>
                <w:sz w:val="18"/>
                <w:szCs w:val="18"/>
                <w:lang w:eastAsia="zh-CN"/>
              </w:rPr>
              <w:t>(Note1)</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2</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HARQ retransmission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 xml:space="preserve">HARQ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1</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FA,DL</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DL_duration</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(For Steps 2.1 to 2.4)</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2.1</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data is decoded, and PDCCH preparation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2.2</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DL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FA,DL</w:t>
            </w:r>
          </w:p>
          <w:p w:rsidR="00AE0549" w:rsidRPr="00A604A3" w:rsidRDefault="00AE0549" w:rsidP="00B6548C">
            <w:pPr>
              <w:pStyle w:val="Tabletext"/>
              <w:rPr>
                <w:i/>
                <w:sz w:val="18"/>
                <w:szCs w:val="18"/>
                <w:lang w:eastAsia="zh-CN"/>
              </w:rPr>
            </w:pPr>
            <w:r w:rsidRPr="00A604A3">
              <w:rPr>
                <w:sz w:val="18"/>
                <w:szCs w:val="18"/>
                <w:lang w:eastAsia="zh-CN"/>
              </w:rPr>
              <w:t xml:space="preserve">It includes frame alignment time, and the waiting time for next available DL slot </w:t>
            </w:r>
          </w:p>
        </w:tc>
        <w:tc>
          <w:tcPr>
            <w:tcW w:w="3115" w:type="dxa"/>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DL slot; </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DL slot if the current slot is not DL slot; </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2.3</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TTI for PDCCH 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DL_duration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1 OFDM symbols for PDCCH scheduling the retransmission.</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2.4</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PDCCH is received and decoded.</w:t>
            </w:r>
          </w:p>
        </w:tc>
        <w:tc>
          <w:tcPr>
            <w:tcW w:w="3115" w:type="dxa"/>
          </w:tcPr>
          <w:p w:rsidR="00AE0549" w:rsidRPr="00A604A3" w:rsidRDefault="00AE0549" w:rsidP="00B6548C">
            <w:pPr>
              <w:pStyle w:val="Tabletext"/>
              <w:rPr>
                <w:i/>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(T</w:t>
            </w:r>
            <w:r w:rsidRPr="00A604A3">
              <w:rPr>
                <w:sz w:val="18"/>
                <w:szCs w:val="18"/>
                <w:vertAlign w:val="subscript"/>
                <w:lang w:eastAsia="zh-CN"/>
              </w:rPr>
              <w:t xml:space="preserve">proc,2 </w:t>
            </w:r>
            <w:r w:rsidRPr="00A604A3">
              <w:rPr>
                <w:sz w:val="18"/>
                <w:szCs w:val="18"/>
                <w:lang w:eastAsia="zh-CN"/>
              </w:rPr>
              <w:t>is defined in Section 6.4 of TS38.214),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 xml:space="preserve">=0 </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2.5</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Repeat UL data transfer from 1.1 to 1.4</w:t>
            </w:r>
          </w:p>
        </w:tc>
        <w:tc>
          <w:tcPr>
            <w:tcW w:w="3431" w:type="dxa"/>
            <w:tcMar>
              <w:top w:w="0" w:type="dxa"/>
              <w:left w:w="108" w:type="dxa"/>
              <w:bottom w:w="0" w:type="dxa"/>
              <w:right w:w="108" w:type="dxa"/>
            </w:tcMar>
            <w:vAlign w:val="center"/>
          </w:tcPr>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rPr>
            </w:pP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Total one-way user plane latency</w:t>
            </w:r>
            <w:r w:rsidRPr="00A604A3">
              <w:rPr>
                <w:sz w:val="18"/>
                <w:szCs w:val="18"/>
                <w:lang w:eastAsia="zh-CN"/>
              </w:rPr>
              <w:t xml:space="preserve"> for UL</w:t>
            </w:r>
          </w:p>
        </w:tc>
        <w:tc>
          <w:tcPr>
            <w:tcW w:w="6546" w:type="dxa"/>
            <w:gridSpan w:val="2"/>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UP</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n</w:t>
            </w:r>
            <w:r w:rsidRPr="00A604A3">
              <w:rPr>
                <w:sz w:val="18"/>
                <w:szCs w:val="18"/>
                <w:lang w:eastAsia="zh-CN"/>
              </w:rPr>
              <w:t>×</w:t>
            </w:r>
            <w:r w:rsidRPr="00A604A3">
              <w:rPr>
                <w:i/>
                <w:sz w:val="18"/>
                <w:szCs w:val="18"/>
                <w:lang w:eastAsia="zh-CN"/>
              </w:rPr>
              <w:t>T</w:t>
            </w:r>
            <w:r w:rsidRPr="00A604A3">
              <w:rPr>
                <w:sz w:val="18"/>
                <w:szCs w:val="18"/>
                <w:vertAlign w:val="subscript"/>
                <w:lang w:eastAsia="zh-CN"/>
              </w:rPr>
              <w:t>HARQ</w:t>
            </w:r>
          </w:p>
          <w:p w:rsidR="00AE0549" w:rsidRPr="00A604A3" w:rsidRDefault="00AE0549" w:rsidP="00B6548C">
            <w:pPr>
              <w:pStyle w:val="Tabletext"/>
              <w:rPr>
                <w:i/>
                <w:sz w:val="18"/>
                <w:szCs w:val="18"/>
                <w:lang w:eastAsia="zh-CN"/>
              </w:rPr>
            </w:pPr>
            <w:r w:rsidRPr="00A604A3">
              <w:rPr>
                <w:sz w:val="18"/>
                <w:szCs w:val="18"/>
                <w:lang w:eastAsia="zh-CN"/>
              </w:rPr>
              <w:t xml:space="preserve">where </w:t>
            </w:r>
            <w:r w:rsidRPr="00A604A3">
              <w:rPr>
                <w:i/>
                <w:sz w:val="18"/>
                <w:szCs w:val="18"/>
                <w:lang w:eastAsia="zh-CN"/>
              </w:rPr>
              <w:t>n</w:t>
            </w:r>
            <w:r w:rsidRPr="00A604A3">
              <w:rPr>
                <w:sz w:val="18"/>
                <w:szCs w:val="18"/>
                <w:lang w:eastAsia="zh-CN"/>
              </w:rPr>
              <w:t xml:space="preserve"> is the number of re-transmissions (</w:t>
            </w:r>
            <w:r w:rsidRPr="00A604A3">
              <w:rPr>
                <w:i/>
                <w:sz w:val="18"/>
                <w:szCs w:val="18"/>
                <w:lang w:eastAsia="zh-CN"/>
              </w:rPr>
              <w:t>n</w:t>
            </w:r>
            <w:r w:rsidRPr="00A604A3">
              <w:rPr>
                <w:sz w:val="18"/>
                <w:szCs w:val="18"/>
                <w:lang w:eastAsia="zh-CN"/>
              </w:rPr>
              <w:t>≥0)</w:t>
            </w:r>
          </w:p>
        </w:tc>
      </w:tr>
      <w:tr w:rsidR="00AE0549" w:rsidRPr="00A604A3" w:rsidTr="00B6548C">
        <w:trPr>
          <w:cantSplit/>
          <w:jc w:val="center"/>
        </w:trPr>
        <w:tc>
          <w:tcPr>
            <w:tcW w:w="9516" w:type="dxa"/>
            <w:gridSpan w:val="4"/>
            <w:noWrap/>
            <w:tcMar>
              <w:top w:w="0" w:type="dxa"/>
              <w:left w:w="108" w:type="dxa"/>
              <w:bottom w:w="0" w:type="dxa"/>
              <w:right w:w="108" w:type="dxa"/>
            </w:tcMar>
            <w:vAlign w:val="center"/>
          </w:tcPr>
          <w:p w:rsidR="00AE0549" w:rsidRPr="00A604A3" w:rsidRDefault="00AE0549" w:rsidP="00B6548C">
            <w:pPr>
              <w:pStyle w:val="Tablelegend"/>
              <w:rPr>
                <w:lang w:eastAsia="zh-CN"/>
              </w:rPr>
            </w:pPr>
            <w:r w:rsidRPr="00A604A3">
              <w:rPr>
                <w:lang w:eastAsia="zh-CN"/>
              </w:rPr>
              <w:t>Note:</w:t>
            </w:r>
          </w:p>
          <w:p w:rsidR="00AE0549" w:rsidRPr="00A604A3" w:rsidRDefault="00B6548C" w:rsidP="00B6548C">
            <w:pPr>
              <w:pStyle w:val="Tablelegend"/>
              <w:rPr>
                <w:lang w:eastAsia="zh-CN"/>
              </w:rPr>
            </w:pPr>
            <w:r w:rsidRPr="00A604A3">
              <w:rPr>
                <w:lang w:eastAsia="zh-CN"/>
              </w:rPr>
              <w:t>1</w:t>
            </w:r>
            <w:r w:rsidRPr="00A604A3">
              <w:rPr>
                <w:lang w:eastAsia="zh-CN"/>
              </w:rPr>
              <w:tab/>
            </w:r>
            <w:r w:rsidR="00AE0549" w:rsidRPr="00A604A3">
              <w:rPr>
                <w:lang w:eastAsia="zh-CN"/>
              </w:rPr>
              <w:t>The value is used for evaluation only; gNB processing delay may vary depending on implementation.</w:t>
            </w:r>
          </w:p>
          <w:p w:rsidR="00AE0549" w:rsidRPr="00A604A3" w:rsidRDefault="00AE0549" w:rsidP="00B6548C">
            <w:pPr>
              <w:pStyle w:val="Tablelegend"/>
              <w:rPr>
                <w:lang w:eastAsia="zh-CN"/>
              </w:rPr>
            </w:pPr>
            <w:r w:rsidRPr="00A604A3">
              <w:rPr>
                <w:lang w:eastAsia="zh-CN"/>
              </w:rPr>
              <w:t>Note:</w:t>
            </w:r>
          </w:p>
          <w:p w:rsidR="00AE0549" w:rsidRPr="00A604A3" w:rsidRDefault="00B6548C" w:rsidP="00B6548C">
            <w:pPr>
              <w:pStyle w:val="Tablelegend"/>
              <w:rPr>
                <w:lang w:eastAsia="zh-CN"/>
              </w:rPr>
            </w:pPr>
            <w:r w:rsidRPr="00A604A3">
              <w:rPr>
                <w:lang w:eastAsia="zh-CN"/>
              </w:rPr>
              <w:t>2</w:t>
            </w:r>
            <w:r w:rsidRPr="00A604A3">
              <w:rPr>
                <w:lang w:eastAsia="zh-CN"/>
              </w:rPr>
              <w:tab/>
            </w:r>
            <w:r w:rsidR="00AE0549" w:rsidRPr="00A604A3">
              <w:rPr>
                <w:lang w:eastAsia="zh-CN"/>
              </w:rPr>
              <w:t>The grant free transmission is assumed to use the following start symbols:</w:t>
            </w:r>
          </w:p>
          <w:p w:rsidR="00AE0549" w:rsidRPr="00A604A3" w:rsidRDefault="00B6548C" w:rsidP="00B6548C">
            <w:pPr>
              <w:pStyle w:val="Tablelegend"/>
            </w:pPr>
            <w:r w:rsidRPr="00A604A3">
              <w:tab/>
              <w:t>a)</w:t>
            </w:r>
            <w:r w:rsidRPr="00A604A3">
              <w:tab/>
            </w:r>
            <w:r w:rsidR="00AE0549" w:rsidRPr="00A604A3">
              <w:t>For 2-symbol PUSCH, the start symbol can be symbols {0,2,4,6,8,10,12} for PUSCH resource mapping type B</w:t>
            </w:r>
          </w:p>
          <w:p w:rsidR="00AE0549" w:rsidRPr="00A604A3" w:rsidRDefault="00B6548C" w:rsidP="00B6548C">
            <w:pPr>
              <w:pStyle w:val="Tablelegend"/>
            </w:pPr>
            <w:r w:rsidRPr="00A604A3">
              <w:tab/>
              <w:t>b)</w:t>
            </w:r>
            <w:r w:rsidRPr="00A604A3">
              <w:tab/>
            </w:r>
            <w:r w:rsidR="00AE0549" w:rsidRPr="00A604A3">
              <w:t>For 4-symbol PUSCH, the start symbol can be:</w:t>
            </w:r>
          </w:p>
          <w:p w:rsidR="00AE0549" w:rsidRPr="00A604A3" w:rsidRDefault="00B6548C" w:rsidP="00B6548C">
            <w:pPr>
              <w:pStyle w:val="Tablelegend"/>
            </w:pPr>
            <w:r w:rsidRPr="00A604A3">
              <w:tab/>
            </w:r>
            <w:r w:rsidRPr="00A604A3">
              <w:tab/>
              <w:t>i)</w:t>
            </w:r>
            <w:r w:rsidRPr="00A604A3">
              <w:tab/>
            </w:r>
            <w:r w:rsidR="00AE0549" w:rsidRPr="00A604A3">
              <w:t>For PUSCH resource mapping type B: symbols {0,7}</w:t>
            </w:r>
          </w:p>
          <w:p w:rsidR="00AE0549" w:rsidRPr="00A604A3" w:rsidRDefault="00B6548C" w:rsidP="00B6548C">
            <w:pPr>
              <w:pStyle w:val="Tablelegend"/>
            </w:pPr>
            <w:r w:rsidRPr="00A604A3">
              <w:tab/>
            </w:r>
            <w:r w:rsidRPr="00A604A3">
              <w:tab/>
              <w:t>ii)</w:t>
            </w:r>
            <w:r w:rsidRPr="00A604A3">
              <w:tab/>
            </w:r>
            <w:r w:rsidR="00AE0549" w:rsidRPr="00A604A3">
              <w:t>For PUSCH resource mapping type A: symbol 0;</w:t>
            </w:r>
          </w:p>
          <w:p w:rsidR="00AE0549" w:rsidRPr="00A604A3" w:rsidRDefault="00B6548C" w:rsidP="00B6548C">
            <w:pPr>
              <w:pStyle w:val="Tablelegend"/>
            </w:pPr>
            <w:r w:rsidRPr="00A604A3">
              <w:tab/>
              <w:t>c)</w:t>
            </w:r>
            <w:r w:rsidRPr="00A604A3">
              <w:tab/>
            </w:r>
            <w:r w:rsidR="00AE0549" w:rsidRPr="00A604A3">
              <w:t>For 7-symbol PUSCH, the start symbol can be:</w:t>
            </w:r>
          </w:p>
          <w:p w:rsidR="00AE0549" w:rsidRPr="00A604A3" w:rsidRDefault="001A2097" w:rsidP="00B6548C">
            <w:pPr>
              <w:pStyle w:val="Tablelegend"/>
            </w:pPr>
            <w:r w:rsidRPr="00A604A3">
              <w:tab/>
            </w:r>
            <w:r w:rsidRPr="00A604A3">
              <w:tab/>
              <w:t>i)</w:t>
            </w:r>
            <w:r w:rsidRPr="00A604A3">
              <w:tab/>
            </w:r>
            <w:r w:rsidR="00AE0549" w:rsidRPr="00A604A3">
              <w:t>For PUSCH resource mapping type B: symbols {0, 7}</w:t>
            </w:r>
          </w:p>
          <w:p w:rsidR="00AE0549" w:rsidRPr="00A604A3" w:rsidRDefault="001A2097" w:rsidP="00B6548C">
            <w:pPr>
              <w:pStyle w:val="Tablelegend"/>
            </w:pPr>
            <w:r w:rsidRPr="00A604A3">
              <w:tab/>
            </w:r>
            <w:r w:rsidRPr="00A604A3">
              <w:tab/>
              <w:t>ii)</w:t>
            </w:r>
            <w:r w:rsidRPr="00A604A3">
              <w:tab/>
            </w:r>
            <w:r w:rsidR="00AE0549" w:rsidRPr="00A604A3">
              <w:t>For PUSCH resource mapping type A: symbol 0;</w:t>
            </w:r>
          </w:p>
          <w:p w:rsidR="00AE0549" w:rsidRPr="00A604A3" w:rsidRDefault="001A2097" w:rsidP="00B6548C">
            <w:pPr>
              <w:pStyle w:val="Tablelegend"/>
            </w:pPr>
            <w:r w:rsidRPr="00A604A3">
              <w:tab/>
              <w:t>d)</w:t>
            </w:r>
            <w:r w:rsidRPr="00A604A3">
              <w:tab/>
            </w:r>
            <w:r w:rsidR="00AE0549" w:rsidRPr="00A604A3">
              <w:t>For 14-symbol PUSCH, the start symbol can be at symbol #0 for PUSCH resource mapping type A and B.</w:t>
            </w:r>
          </w:p>
        </w:tc>
      </w:tr>
    </w:tbl>
    <w:p w:rsidR="00AE0549" w:rsidRPr="00A604A3" w:rsidRDefault="00AE0549" w:rsidP="001A2097">
      <w:pPr>
        <w:pStyle w:val="Tablefin"/>
      </w:pPr>
    </w:p>
    <w:p w:rsidR="00AE0549" w:rsidRPr="00A604A3" w:rsidRDefault="00AD705C" w:rsidP="00AD705C">
      <w:pPr>
        <w:pStyle w:val="Heading5"/>
        <w:rPr>
          <w:rFonts w:eastAsia="MS Mincho"/>
        </w:rPr>
      </w:pPr>
      <w:r w:rsidRPr="00A604A3">
        <w:rPr>
          <w:rFonts w:eastAsia="MS Mincho"/>
        </w:rPr>
        <w:t>II.5.7.3.1</w:t>
      </w:r>
      <w:r w:rsidRPr="00A604A3">
        <w:rPr>
          <w:rFonts w:eastAsia="MS Mincho"/>
        </w:rPr>
        <w:tab/>
      </w:r>
      <w:r w:rsidR="00AE0549" w:rsidRPr="00A604A3">
        <w:rPr>
          <w:rFonts w:eastAsia="MS Mincho"/>
        </w:rPr>
        <w:t>Evaluation Methodology</w:t>
      </w:r>
    </w:p>
    <w:p w:rsidR="00AE0549" w:rsidRPr="00A604A3" w:rsidRDefault="00AE0549" w:rsidP="00AD705C">
      <w:r w:rsidRPr="00A604A3">
        <w:t xml:space="preserve">The user plane UL procedure involves the same time parameters as in DL case, i.e. </w:t>
      </w:r>
      <w:r w:rsidRPr="00A604A3">
        <w:rPr>
          <w:i/>
        </w:rPr>
        <w:t>T</w:t>
      </w:r>
      <w:r w:rsidRPr="00A604A3">
        <w:rPr>
          <w:i/>
          <w:vertAlign w:val="subscript"/>
        </w:rPr>
        <w:t>proc,2</w:t>
      </w:r>
      <w:r w:rsidRPr="00A604A3">
        <w:t xml:space="preserve"> and </w:t>
      </w:r>
      <w:r w:rsidRPr="00A604A3">
        <w:rPr>
          <w:i/>
        </w:rPr>
        <w:t>T</w:t>
      </w:r>
      <w:r w:rsidRPr="00A604A3">
        <w:rPr>
          <w:i/>
          <w:vertAlign w:val="subscript"/>
        </w:rPr>
        <w:t>proc,1</w:t>
      </w:r>
      <w:r w:rsidRPr="00A604A3">
        <w:t xml:space="preserve"> given by eqs. (3) and (4) respectively. Starting symbols constraints at uplink, i.e. in PUSCH for resource mapping type A and B are given in Note 2 of Table 96 and for PDSCH are given in Table 90. Starting symbols constraints affect the waiting times involved in steps 1.2 and 2.2 of Table 96. Thus, our calculations in each step of the user plane procedure are shown in Table 97.</w:t>
      </w:r>
    </w:p>
    <w:p w:rsidR="00AD705C" w:rsidRPr="00A604A3" w:rsidRDefault="00AD705C" w:rsidP="00AD705C">
      <w:pPr>
        <w:pStyle w:val="TableNo"/>
        <w:rPr>
          <w:rFonts w:eastAsia="MS Mincho"/>
        </w:rPr>
      </w:pPr>
      <w:bookmarkStart w:id="458" w:name="_Ref31710576"/>
      <w:bookmarkStart w:id="459" w:name="_Toc32066415"/>
      <w:r w:rsidRPr="00A604A3">
        <w:rPr>
          <w:rFonts w:eastAsia="MS Mincho"/>
        </w:rPr>
        <w:lastRenderedPageBreak/>
        <w:t>Table 97</w:t>
      </w:r>
    </w:p>
    <w:p w:rsidR="00AD705C" w:rsidRPr="00A604A3" w:rsidRDefault="00AD705C" w:rsidP="00AD705C">
      <w:pPr>
        <w:pStyle w:val="Tabletitle"/>
        <w:rPr>
          <w:rFonts w:eastAsia="MS Mincho"/>
        </w:rPr>
      </w:pPr>
      <w:r w:rsidRPr="00A604A3">
        <w:rPr>
          <w:rFonts w:eastAsia="MS Mincho"/>
        </w:rPr>
        <w:t>UL User Plane Latency calculation</w:t>
      </w:r>
      <w:bookmarkEnd w:id="458"/>
      <w:bookmarkEnd w:id="459"/>
    </w:p>
    <w:tbl>
      <w:tblPr>
        <w:tblStyle w:val="TableGrid"/>
        <w:tblW w:w="0" w:type="auto"/>
        <w:jc w:val="center"/>
        <w:tblLook w:val="04A0" w:firstRow="1" w:lastRow="0" w:firstColumn="1" w:lastColumn="0" w:noHBand="0" w:noVBand="1"/>
      </w:tblPr>
      <w:tblGrid>
        <w:gridCol w:w="816"/>
        <w:gridCol w:w="8200"/>
      </w:tblGrid>
      <w:tr w:rsidR="00AE0549" w:rsidRPr="00A604A3" w:rsidTr="00AD705C">
        <w:trPr>
          <w:jc w:val="center"/>
        </w:trPr>
        <w:tc>
          <w:tcPr>
            <w:tcW w:w="816" w:type="dxa"/>
          </w:tcPr>
          <w:p w:rsidR="00AE0549" w:rsidRPr="00A604A3" w:rsidRDefault="00AE0549" w:rsidP="00470885">
            <w:pPr>
              <w:pStyle w:val="Tablehead"/>
              <w:rPr>
                <w:color w:val="000000" w:themeColor="text1"/>
                <w:lang w:eastAsia="zh-CN"/>
              </w:rPr>
            </w:pPr>
            <w:r w:rsidRPr="00A604A3">
              <w:rPr>
                <w:color w:val="000000" w:themeColor="text1"/>
                <w:lang w:eastAsia="zh-CN"/>
              </w:rPr>
              <w:t>ID</w:t>
            </w:r>
          </w:p>
        </w:tc>
        <w:tc>
          <w:tcPr>
            <w:tcW w:w="8200" w:type="dxa"/>
          </w:tcPr>
          <w:p w:rsidR="00AE0549" w:rsidRPr="00A604A3" w:rsidRDefault="00AE0549" w:rsidP="00470885">
            <w:pPr>
              <w:pStyle w:val="Tablehead"/>
              <w:rPr>
                <w:color w:val="000000" w:themeColor="text1"/>
                <w:lang w:eastAsia="zh-CN"/>
              </w:rPr>
            </w:pPr>
            <w:r w:rsidRPr="00A604A3">
              <w:rPr>
                <w:color w:val="000000" w:themeColor="text1"/>
                <w:lang w:eastAsia="zh-CN"/>
              </w:rPr>
              <w:t>Latency contribution</w:t>
            </w:r>
          </w:p>
        </w:tc>
      </w:tr>
      <w:tr w:rsidR="00AE0549" w:rsidRPr="00A604A3" w:rsidTr="00AD705C">
        <w:trPr>
          <w:jc w:val="center"/>
        </w:trPr>
        <w:tc>
          <w:tcPr>
            <w:tcW w:w="816" w:type="dxa"/>
          </w:tcPr>
          <w:p w:rsidR="00AE0549" w:rsidRPr="00A604A3" w:rsidRDefault="00AE0549" w:rsidP="00AD705C">
            <w:pPr>
              <w:pStyle w:val="Tabletext"/>
              <w:jc w:val="center"/>
            </w:pPr>
            <w:r w:rsidRPr="00A604A3">
              <w:t>1.1</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proc,2</w:t>
            </w:r>
            <w:r w:rsidRPr="00A604A3">
              <w:rPr>
                <w:szCs w:val="18"/>
                <w:lang w:eastAsia="zh-CN"/>
              </w:rPr>
              <w:t>/2</w:t>
            </w:r>
            <w:r w:rsidRPr="00A604A3">
              <w:rPr>
                <w:szCs w:val="18"/>
                <w:vertAlign w:val="subscript"/>
                <w:lang w:eastAsia="zh-CN"/>
              </w:rPr>
              <w:t xml:space="preserve"> </w:t>
            </w:r>
            <w:r w:rsidRPr="00A604A3">
              <w:rPr>
                <w:szCs w:val="18"/>
                <w:lang w:eastAsia="zh-CN"/>
              </w:rPr>
              <w:t>from eq. (3)</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1.2</w:t>
            </w:r>
          </w:p>
        </w:tc>
        <w:tc>
          <w:tcPr>
            <w:tcW w:w="8200" w:type="dxa"/>
          </w:tcPr>
          <w:p w:rsidR="00AE0549" w:rsidRPr="00A604A3" w:rsidRDefault="00AE0549" w:rsidP="00AD705C">
            <w:pPr>
              <w:pStyle w:val="Tabletext"/>
              <w:jc w:val="center"/>
            </w:pPr>
            <w:r w:rsidRPr="00A604A3">
              <w:rPr>
                <w:lang w:eastAsia="zh-CN"/>
              </w:rPr>
              <w:t>frame alignment time and the waiting time for next available UL slot with random starting points</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1.3</w:t>
            </w:r>
          </w:p>
        </w:tc>
        <w:tc>
          <w:tcPr>
            <w:tcW w:w="8200" w:type="dxa"/>
          </w:tcPr>
          <w:p w:rsidR="00AE0549" w:rsidRPr="00A604A3" w:rsidRDefault="00AE0549" w:rsidP="00AD705C">
            <w:pPr>
              <w:pStyle w:val="Tabletext"/>
              <w:jc w:val="center"/>
            </w:pPr>
            <w:r w:rsidRPr="00A604A3">
              <w:t xml:space="preserve">Slot/non-slot duration =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14</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-μ</m:t>
                  </m:r>
                </m:sup>
              </m:sSup>
            </m:oMath>
            <w:r w:rsidRPr="00A604A3">
              <w:rPr>
                <w:rFonts w:eastAsiaTheme="minorEastAsia"/>
                <w:color w:val="000000"/>
              </w:rPr>
              <w:t xml:space="preserve"> (</w:t>
            </w:r>
            <w:r w:rsidRPr="00A604A3">
              <w:rPr>
                <w:rFonts w:eastAsiaTheme="minorEastAsia"/>
                <w:i/>
                <w:color w:val="000000"/>
              </w:rPr>
              <w:t>M</w:t>
            </w:r>
            <w:r w:rsidRPr="00A604A3">
              <w:rPr>
                <w:rFonts w:eastAsiaTheme="minorEastAsia"/>
                <w:color w:val="000000"/>
              </w:rPr>
              <w:t xml:space="preserve"> = 2,4,7,14 OFDM symbols, </w:t>
            </w:r>
            <w:r w:rsidRPr="00A604A3">
              <w:rPr>
                <w:rFonts w:eastAsiaTheme="minorEastAsia"/>
                <w:i/>
                <w:color w:val="000000"/>
              </w:rPr>
              <w:t>μ</w:t>
            </w:r>
            <w:r w:rsidRPr="00A604A3">
              <w:rPr>
                <w:rFonts w:eastAsiaTheme="minorEastAsia"/>
                <w:color w:val="000000"/>
              </w:rPr>
              <w:t xml:space="preserve"> = subcarriers spacing)</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1.4</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proc,1</w:t>
            </w:r>
            <w:r w:rsidRPr="00A604A3">
              <w:rPr>
                <w:szCs w:val="18"/>
                <w:lang w:eastAsia="zh-CN"/>
              </w:rPr>
              <w:t>/2</w:t>
            </w:r>
            <w:r w:rsidRPr="00A604A3">
              <w:rPr>
                <w:szCs w:val="18"/>
                <w:vertAlign w:val="subscript"/>
                <w:lang w:eastAsia="zh-CN"/>
              </w:rPr>
              <w:t xml:space="preserve"> </w:t>
            </w:r>
            <w:r w:rsidRPr="00A604A3">
              <w:rPr>
                <w:szCs w:val="18"/>
                <w:lang w:eastAsia="zh-CN"/>
              </w:rPr>
              <w:t>from eq. (4)</w:t>
            </w:r>
          </w:p>
        </w:tc>
      </w:tr>
      <w:tr w:rsidR="00AE0549" w:rsidRPr="00A604A3" w:rsidTr="00AD705C">
        <w:trPr>
          <w:jc w:val="center"/>
        </w:trPr>
        <w:tc>
          <w:tcPr>
            <w:tcW w:w="816" w:type="dxa"/>
          </w:tcPr>
          <w:p w:rsidR="00AE0549" w:rsidRPr="00A604A3" w:rsidRDefault="00AE0549" w:rsidP="00AD705C">
            <w:pPr>
              <w:pStyle w:val="Tabletext"/>
              <w:jc w:val="center"/>
            </w:pPr>
            <w:r w:rsidRPr="00A604A3">
              <w:t>2.1</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proc,1</w:t>
            </w:r>
            <w:r w:rsidRPr="00A604A3">
              <w:rPr>
                <w:szCs w:val="18"/>
                <w:lang w:eastAsia="zh-CN"/>
              </w:rPr>
              <w:t>/2</w:t>
            </w:r>
            <w:r w:rsidRPr="00A604A3">
              <w:rPr>
                <w:szCs w:val="18"/>
                <w:vertAlign w:val="subscript"/>
                <w:lang w:eastAsia="zh-CN"/>
              </w:rPr>
              <w:t xml:space="preserve"> </w:t>
            </w:r>
            <w:r w:rsidRPr="00A604A3">
              <w:rPr>
                <w:szCs w:val="18"/>
                <w:lang w:eastAsia="zh-CN"/>
              </w:rPr>
              <w:t>from eq. (4)</w:t>
            </w:r>
          </w:p>
        </w:tc>
      </w:tr>
      <w:tr w:rsidR="00AE0549" w:rsidRPr="00A604A3" w:rsidTr="00AD705C">
        <w:trPr>
          <w:jc w:val="center"/>
        </w:trPr>
        <w:tc>
          <w:tcPr>
            <w:tcW w:w="816" w:type="dxa"/>
          </w:tcPr>
          <w:p w:rsidR="00AE0549" w:rsidRPr="00A604A3" w:rsidRDefault="00AE0549" w:rsidP="00AD705C">
            <w:pPr>
              <w:pStyle w:val="Tabletext"/>
              <w:jc w:val="center"/>
            </w:pPr>
            <w:r w:rsidRPr="00A604A3">
              <w:t>2.2</w:t>
            </w:r>
          </w:p>
        </w:tc>
        <w:tc>
          <w:tcPr>
            <w:tcW w:w="8200" w:type="dxa"/>
          </w:tcPr>
          <w:p w:rsidR="00AE0549" w:rsidRPr="00A604A3" w:rsidRDefault="00AE0549" w:rsidP="00AD705C">
            <w:pPr>
              <w:pStyle w:val="Tabletext"/>
              <w:jc w:val="center"/>
            </w:pPr>
            <w:r w:rsidRPr="00A604A3">
              <w:rPr>
                <w:lang w:eastAsia="zh-CN"/>
              </w:rPr>
              <w:t>frame alignment time and the waiting time for next available DL slot with random starting points</w:t>
            </w:r>
          </w:p>
        </w:tc>
      </w:tr>
      <w:tr w:rsidR="00AE0549" w:rsidRPr="00A604A3" w:rsidTr="00AD705C">
        <w:trPr>
          <w:jc w:val="center"/>
        </w:trPr>
        <w:tc>
          <w:tcPr>
            <w:tcW w:w="816" w:type="dxa"/>
          </w:tcPr>
          <w:p w:rsidR="00AE0549" w:rsidRPr="00A604A3" w:rsidRDefault="00AE0549" w:rsidP="00AD705C">
            <w:pPr>
              <w:pStyle w:val="Tabletext"/>
              <w:jc w:val="center"/>
            </w:pPr>
            <w:r w:rsidRPr="00A604A3">
              <w:t>2.3</w:t>
            </w:r>
          </w:p>
        </w:tc>
        <w:tc>
          <w:tcPr>
            <w:tcW w:w="8200" w:type="dxa"/>
          </w:tcPr>
          <w:p w:rsidR="00AE0549" w:rsidRPr="00A604A3" w:rsidRDefault="00AE0549" w:rsidP="00AD705C">
            <w:pPr>
              <w:pStyle w:val="Tabletext"/>
              <w:jc w:val="center"/>
            </w:pPr>
            <w:r w:rsidRPr="00A604A3">
              <w:t xml:space="preserve">1 OFDM symbol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14</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-μ</m:t>
                  </m:r>
                </m:sup>
              </m:sSup>
            </m:oMath>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2.4</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proc,2</w:t>
            </w:r>
            <w:r w:rsidRPr="00A604A3">
              <w:rPr>
                <w:szCs w:val="18"/>
                <w:lang w:eastAsia="zh-CN"/>
              </w:rPr>
              <w:t>/2</w:t>
            </w:r>
            <w:r w:rsidRPr="00A604A3">
              <w:rPr>
                <w:szCs w:val="18"/>
                <w:vertAlign w:val="subscript"/>
                <w:lang w:eastAsia="zh-CN"/>
              </w:rPr>
              <w:t xml:space="preserve"> </w:t>
            </w:r>
            <w:r w:rsidRPr="00A604A3">
              <w:rPr>
                <w:szCs w:val="18"/>
                <w:lang w:eastAsia="zh-CN"/>
              </w:rPr>
              <w:t>from eq. (3)</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2.5</w:t>
            </w:r>
          </w:p>
        </w:tc>
        <w:tc>
          <w:tcPr>
            <w:tcW w:w="8200" w:type="dxa"/>
          </w:tcPr>
          <w:p w:rsidR="00AE0549" w:rsidRPr="00A604A3" w:rsidRDefault="00AE0549" w:rsidP="00AD705C">
            <w:pPr>
              <w:pStyle w:val="Tabletext"/>
              <w:jc w:val="center"/>
            </w:pPr>
            <w:r w:rsidRPr="00A604A3">
              <w:t>Re-calculate steps 1.1 to 1.4</w:t>
            </w:r>
          </w:p>
        </w:tc>
      </w:tr>
      <w:tr w:rsidR="00AE0549" w:rsidRPr="00A604A3" w:rsidTr="00AD705C">
        <w:trPr>
          <w:jc w:val="center"/>
        </w:trPr>
        <w:tc>
          <w:tcPr>
            <w:tcW w:w="816" w:type="dxa"/>
          </w:tcPr>
          <w:p w:rsidR="00AE0549" w:rsidRPr="00A604A3" w:rsidRDefault="00AD705C" w:rsidP="00AD705C">
            <w:pPr>
              <w:pStyle w:val="Tabletext"/>
              <w:jc w:val="center"/>
            </w:pPr>
            <w:r w:rsidRPr="00A604A3">
              <w:t>–</w:t>
            </w:r>
          </w:p>
        </w:tc>
        <w:tc>
          <w:tcPr>
            <w:tcW w:w="8200" w:type="dxa"/>
          </w:tcPr>
          <w:p w:rsidR="00AE0549" w:rsidRPr="00A604A3" w:rsidRDefault="00AE0549" w:rsidP="00AD705C">
            <w:pPr>
              <w:pStyle w:val="Tabletext"/>
              <w:jc w:val="center"/>
            </w:pPr>
            <w:r w:rsidRPr="00A604A3">
              <w:t>Random number of retransmissions</w:t>
            </w:r>
          </w:p>
        </w:tc>
      </w:tr>
    </w:tbl>
    <w:p w:rsidR="00AE0549" w:rsidRPr="00A604A3" w:rsidRDefault="00AE0549" w:rsidP="00AD705C">
      <w:pPr>
        <w:pStyle w:val="Tablefin"/>
      </w:pPr>
    </w:p>
    <w:p w:rsidR="00AE0549" w:rsidRPr="00A604A3" w:rsidRDefault="00AD705C" w:rsidP="00AD705C">
      <w:pPr>
        <w:pStyle w:val="Heading5"/>
        <w:rPr>
          <w:rFonts w:eastAsia="MS Mincho"/>
        </w:rPr>
      </w:pPr>
      <w:r w:rsidRPr="00A604A3">
        <w:rPr>
          <w:rFonts w:eastAsia="MS Mincho"/>
        </w:rPr>
        <w:t>II.5.7.3.2</w:t>
      </w:r>
      <w:r w:rsidRPr="00A604A3">
        <w:rPr>
          <w:rFonts w:eastAsia="MS Mincho"/>
        </w:rPr>
        <w:tab/>
      </w:r>
      <w:r w:rsidR="00AE0549" w:rsidRPr="00A604A3">
        <w:rPr>
          <w:rFonts w:eastAsia="MS Mincho"/>
        </w:rPr>
        <w:t>Uplink User Plane latency calculations</w:t>
      </w:r>
    </w:p>
    <w:p w:rsidR="00AE0549" w:rsidRPr="00A604A3" w:rsidRDefault="00AE0549" w:rsidP="00AD705C">
      <w:r w:rsidRPr="00A604A3">
        <w:t>The calculations are repeated a large number of times with random starting points and number of</w:t>
      </w:r>
      <w:r w:rsidRPr="00A604A3">
        <w:rPr>
          <w:sz w:val="20"/>
        </w:rPr>
        <w:t xml:space="preserve"> </w:t>
      </w:r>
      <w:r w:rsidRPr="00A604A3">
        <w:t xml:space="preserve">retransmissions and then the results are averaged. The calculations have been realized for the same configurations provided in TR 37.910 [14] assuming an initial transmission error probability of </w:t>
      </w:r>
      <w:r w:rsidRPr="00A604A3">
        <w:rPr>
          <w:i/>
        </w:rPr>
        <w:t>p</w:t>
      </w:r>
      <w:r w:rsidR="00AD705C" w:rsidRPr="00A604A3">
        <w:rPr>
          <w:i/>
        </w:rPr>
        <w:t> </w:t>
      </w:r>
      <w:r w:rsidRPr="00A604A3">
        <w:t>=</w:t>
      </w:r>
      <w:r w:rsidR="00AD705C" w:rsidRPr="00A604A3">
        <w:t> </w:t>
      </w:r>
      <w:r w:rsidRPr="00A604A3">
        <w:t xml:space="preserve">0 and </w:t>
      </w:r>
      <w:r w:rsidRPr="00A604A3">
        <w:rPr>
          <w:i/>
        </w:rPr>
        <w:t>p</w:t>
      </w:r>
      <w:r w:rsidR="00AD705C" w:rsidRPr="00A604A3">
        <w:rPr>
          <w:i/>
        </w:rPr>
        <w:t> </w:t>
      </w:r>
      <w:r w:rsidRPr="00A604A3">
        <w:t>=</w:t>
      </w:r>
      <w:r w:rsidR="00AD705C" w:rsidRPr="00A604A3">
        <w:t> </w:t>
      </w:r>
      <w:r w:rsidRPr="00A604A3">
        <w:t>0.1.</w:t>
      </w:r>
      <w:r w:rsidRPr="00A604A3">
        <w:rPr>
          <w:lang w:eastAsia="zh-CN"/>
        </w:rPr>
        <w:t xml:space="preserve"> 5G PPP IMT2020 Evaluation Group results are given in Table 98.</w:t>
      </w:r>
    </w:p>
    <w:p w:rsidR="00AD705C" w:rsidRPr="00A604A3" w:rsidRDefault="00AD705C" w:rsidP="00AD705C">
      <w:pPr>
        <w:pStyle w:val="TableNo"/>
        <w:rPr>
          <w:rFonts w:eastAsia="MS Mincho"/>
        </w:rPr>
      </w:pPr>
      <w:bookmarkStart w:id="460" w:name="_Ref31710694"/>
      <w:bookmarkStart w:id="461" w:name="_Toc32066417"/>
      <w:r w:rsidRPr="00A604A3">
        <w:rPr>
          <w:rFonts w:eastAsia="MS Mincho"/>
        </w:rPr>
        <w:t>Table 98</w:t>
      </w:r>
    </w:p>
    <w:p w:rsidR="00AD705C" w:rsidRPr="00A604A3" w:rsidRDefault="00AD705C" w:rsidP="00AD705C">
      <w:pPr>
        <w:pStyle w:val="Tabletitle"/>
        <w:rPr>
          <w:rFonts w:eastAsia="MS Mincho"/>
        </w:rPr>
      </w:pPr>
      <w:r w:rsidRPr="00A604A3">
        <w:rPr>
          <w:rFonts w:eastAsia="MS Mincho"/>
        </w:rPr>
        <w:t>UL user plane latency for NR FDD with grant free transmission (ms)</w:t>
      </w:r>
      <w:bookmarkEnd w:id="460"/>
      <w:bookmarkEnd w:id="461"/>
    </w:p>
    <w:tbl>
      <w:tblPr>
        <w:tblStyle w:val="TableGrid"/>
        <w:tblW w:w="4970" w:type="pct"/>
        <w:jc w:val="center"/>
        <w:tblLook w:val="04A0" w:firstRow="1" w:lastRow="0" w:firstColumn="1" w:lastColumn="0" w:noHBand="0" w:noVBand="1"/>
      </w:tblPr>
      <w:tblGrid>
        <w:gridCol w:w="1273"/>
        <w:gridCol w:w="1321"/>
        <w:gridCol w:w="857"/>
        <w:gridCol w:w="776"/>
        <w:gridCol w:w="774"/>
        <w:gridCol w:w="776"/>
        <w:gridCol w:w="803"/>
        <w:gridCol w:w="803"/>
        <w:gridCol w:w="776"/>
        <w:gridCol w:w="803"/>
      </w:tblGrid>
      <w:tr w:rsidR="00AE0549" w:rsidRPr="00A604A3" w:rsidTr="00AD705C">
        <w:trPr>
          <w:jc w:val="center"/>
        </w:trPr>
        <w:tc>
          <w:tcPr>
            <w:tcW w:w="1925" w:type="pct"/>
            <w:gridSpan w:val="3"/>
            <w:vMerge w:val="restart"/>
            <w:vAlign w:val="center"/>
            <w:hideMark/>
          </w:tcPr>
          <w:p w:rsidR="00AE0549" w:rsidRPr="00A604A3" w:rsidRDefault="00AE0549" w:rsidP="00AD705C">
            <w:pPr>
              <w:pStyle w:val="Tablehead"/>
              <w:rPr>
                <w:lang w:eastAsia="zh-CN"/>
              </w:rPr>
            </w:pPr>
            <w:r w:rsidRPr="00A604A3">
              <w:rPr>
                <w:lang w:eastAsia="zh-CN"/>
              </w:rPr>
              <w:t>UL user plane latency (Grant free) – NR FDD</w:t>
            </w:r>
          </w:p>
        </w:tc>
        <w:tc>
          <w:tcPr>
            <w:tcW w:w="1746" w:type="pct"/>
            <w:gridSpan w:val="4"/>
            <w:vAlign w:val="center"/>
            <w:hideMark/>
          </w:tcPr>
          <w:p w:rsidR="00AE0549" w:rsidRPr="00A604A3" w:rsidRDefault="00AE0549" w:rsidP="00AD705C">
            <w:pPr>
              <w:pStyle w:val="Tablehead"/>
              <w:rPr>
                <w:lang w:eastAsia="zh-CN"/>
              </w:rPr>
            </w:pPr>
            <w:r w:rsidRPr="00A604A3">
              <w:rPr>
                <w:lang w:eastAsia="zh-CN"/>
              </w:rPr>
              <w:t>UE capability 1</w:t>
            </w:r>
          </w:p>
        </w:tc>
        <w:tc>
          <w:tcPr>
            <w:tcW w:w="1329" w:type="pct"/>
            <w:gridSpan w:val="3"/>
            <w:vAlign w:val="center"/>
            <w:hideMark/>
          </w:tcPr>
          <w:p w:rsidR="00AE0549" w:rsidRPr="00A604A3" w:rsidRDefault="00AE0549" w:rsidP="00AD705C">
            <w:pPr>
              <w:pStyle w:val="Tablehead"/>
              <w:rPr>
                <w:lang w:eastAsia="zh-CN"/>
              </w:rPr>
            </w:pPr>
            <w:r w:rsidRPr="00A604A3">
              <w:rPr>
                <w:lang w:eastAsia="zh-CN"/>
              </w:rPr>
              <w:t>UE capability 2</w:t>
            </w:r>
          </w:p>
        </w:tc>
      </w:tr>
      <w:tr w:rsidR="00AE0549" w:rsidRPr="00A604A3" w:rsidTr="00AD705C">
        <w:trPr>
          <w:jc w:val="center"/>
        </w:trPr>
        <w:tc>
          <w:tcPr>
            <w:tcW w:w="1925" w:type="pct"/>
            <w:gridSpan w:val="3"/>
            <w:vMerge/>
            <w:vAlign w:val="center"/>
            <w:hideMark/>
          </w:tcPr>
          <w:p w:rsidR="00AE0549" w:rsidRPr="00A604A3" w:rsidRDefault="00AE0549" w:rsidP="00AD705C">
            <w:pPr>
              <w:pStyle w:val="Tablehead"/>
              <w:rPr>
                <w:sz w:val="16"/>
                <w:szCs w:val="16"/>
                <w:lang w:eastAsia="zh-CN"/>
              </w:rPr>
            </w:pPr>
          </w:p>
        </w:tc>
        <w:tc>
          <w:tcPr>
            <w:tcW w:w="1746" w:type="pct"/>
            <w:gridSpan w:val="4"/>
            <w:vAlign w:val="center"/>
            <w:hideMark/>
          </w:tcPr>
          <w:p w:rsidR="00AE0549" w:rsidRPr="00A604A3" w:rsidRDefault="00AE0549" w:rsidP="00AD705C">
            <w:pPr>
              <w:pStyle w:val="Tablehead"/>
              <w:rPr>
                <w:lang w:eastAsia="zh-CN"/>
              </w:rPr>
            </w:pPr>
            <w:r w:rsidRPr="00A604A3">
              <w:rPr>
                <w:lang w:eastAsia="zh-CN"/>
              </w:rPr>
              <w:t>SCS</w:t>
            </w:r>
          </w:p>
        </w:tc>
        <w:tc>
          <w:tcPr>
            <w:tcW w:w="1329" w:type="pct"/>
            <w:gridSpan w:val="3"/>
            <w:vAlign w:val="center"/>
            <w:hideMark/>
          </w:tcPr>
          <w:p w:rsidR="00AE0549" w:rsidRPr="00A604A3" w:rsidRDefault="00AE0549" w:rsidP="00AD705C">
            <w:pPr>
              <w:pStyle w:val="Tablehead"/>
              <w:rPr>
                <w:lang w:eastAsia="zh-CN"/>
              </w:rPr>
            </w:pPr>
            <w:r w:rsidRPr="00A604A3">
              <w:rPr>
                <w:lang w:eastAsia="zh-CN"/>
              </w:rPr>
              <w:t>SCS</w:t>
            </w:r>
          </w:p>
        </w:tc>
      </w:tr>
      <w:tr w:rsidR="00AE0549" w:rsidRPr="00A604A3" w:rsidTr="00AD705C">
        <w:trPr>
          <w:jc w:val="center"/>
        </w:trPr>
        <w:tc>
          <w:tcPr>
            <w:tcW w:w="1925" w:type="pct"/>
            <w:gridSpan w:val="3"/>
            <w:vMerge/>
            <w:vAlign w:val="center"/>
            <w:hideMark/>
          </w:tcPr>
          <w:p w:rsidR="00AE0549" w:rsidRPr="00A604A3" w:rsidRDefault="00AE0549" w:rsidP="00AD705C">
            <w:pPr>
              <w:pStyle w:val="Tablehead"/>
              <w:rPr>
                <w:sz w:val="16"/>
                <w:szCs w:val="16"/>
                <w:lang w:eastAsia="zh-CN"/>
              </w:rPr>
            </w:pPr>
          </w:p>
        </w:tc>
        <w:tc>
          <w:tcPr>
            <w:tcW w:w="433"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15 kHz</w:t>
            </w:r>
          </w:p>
        </w:tc>
        <w:tc>
          <w:tcPr>
            <w:tcW w:w="432" w:type="pct"/>
            <w:vAlign w:val="center"/>
            <w:hideMark/>
          </w:tcPr>
          <w:p w:rsidR="00AE0549" w:rsidRPr="00A604A3" w:rsidRDefault="00AE0549" w:rsidP="00AD705C">
            <w:pPr>
              <w:pStyle w:val="Tablehead"/>
              <w:rPr>
                <w:sz w:val="16"/>
                <w:szCs w:val="16"/>
                <w:lang w:eastAsia="zh-CN"/>
              </w:rPr>
            </w:pPr>
            <w:r w:rsidRPr="00A604A3">
              <w:rPr>
                <w:sz w:val="16"/>
                <w:szCs w:val="16"/>
                <w:lang w:eastAsia="zh-CN"/>
              </w:rPr>
              <w:t>30 kHz</w:t>
            </w:r>
          </w:p>
        </w:tc>
        <w:tc>
          <w:tcPr>
            <w:tcW w:w="433"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60 kHz</w:t>
            </w:r>
          </w:p>
        </w:tc>
        <w:tc>
          <w:tcPr>
            <w:tcW w:w="448"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120 kHz</w:t>
            </w:r>
          </w:p>
        </w:tc>
        <w:tc>
          <w:tcPr>
            <w:tcW w:w="448" w:type="pct"/>
            <w:vAlign w:val="center"/>
            <w:hideMark/>
          </w:tcPr>
          <w:p w:rsidR="00AE0549" w:rsidRPr="00A604A3" w:rsidRDefault="00AE0549" w:rsidP="00AD705C">
            <w:pPr>
              <w:pStyle w:val="Tablehead"/>
              <w:rPr>
                <w:sz w:val="16"/>
                <w:szCs w:val="16"/>
                <w:lang w:eastAsia="zh-CN"/>
              </w:rPr>
            </w:pPr>
            <w:r w:rsidRPr="00A604A3">
              <w:rPr>
                <w:sz w:val="16"/>
                <w:szCs w:val="16"/>
                <w:lang w:eastAsia="zh-CN"/>
              </w:rPr>
              <w:t>15 kHz</w:t>
            </w:r>
          </w:p>
        </w:tc>
        <w:tc>
          <w:tcPr>
            <w:tcW w:w="433" w:type="pct"/>
            <w:vAlign w:val="center"/>
            <w:hideMark/>
          </w:tcPr>
          <w:p w:rsidR="00AE0549" w:rsidRPr="00A604A3" w:rsidRDefault="00AE0549" w:rsidP="00AD705C">
            <w:pPr>
              <w:pStyle w:val="Tablehead"/>
              <w:rPr>
                <w:sz w:val="16"/>
                <w:szCs w:val="16"/>
                <w:lang w:eastAsia="zh-CN"/>
              </w:rPr>
            </w:pPr>
            <w:r w:rsidRPr="00A604A3">
              <w:rPr>
                <w:sz w:val="16"/>
                <w:szCs w:val="16"/>
                <w:lang w:eastAsia="zh-CN"/>
              </w:rPr>
              <w:t>30 kHz</w:t>
            </w:r>
          </w:p>
        </w:tc>
        <w:tc>
          <w:tcPr>
            <w:tcW w:w="448" w:type="pct"/>
            <w:vAlign w:val="center"/>
            <w:hideMark/>
          </w:tcPr>
          <w:p w:rsidR="00AE0549" w:rsidRPr="00A604A3" w:rsidRDefault="00AE0549" w:rsidP="00AD705C">
            <w:pPr>
              <w:pStyle w:val="Tablehead"/>
              <w:rPr>
                <w:sz w:val="16"/>
                <w:szCs w:val="16"/>
                <w:lang w:eastAsia="zh-CN"/>
              </w:rPr>
            </w:pPr>
            <w:r w:rsidRPr="00A604A3">
              <w:rPr>
                <w:sz w:val="16"/>
                <w:szCs w:val="16"/>
                <w:lang w:eastAsia="zh-CN"/>
              </w:rPr>
              <w:t>60 kHz</w:t>
            </w:r>
          </w:p>
        </w:tc>
      </w:tr>
      <w:tr w:rsidR="00AE0549" w:rsidRPr="00A604A3" w:rsidTr="00AD705C">
        <w:trPr>
          <w:jc w:val="center"/>
        </w:trPr>
        <w:tc>
          <w:tcPr>
            <w:tcW w:w="710" w:type="pct"/>
            <w:vMerge w:val="restart"/>
            <w:vAlign w:val="center"/>
            <w:hideMark/>
          </w:tcPr>
          <w:p w:rsidR="00AE0549" w:rsidRPr="00A604A3" w:rsidRDefault="00AE0549" w:rsidP="00AD705C">
            <w:pPr>
              <w:pStyle w:val="Tabletext"/>
              <w:rPr>
                <w:b/>
                <w:bCs/>
                <w:lang w:eastAsia="zh-CN"/>
              </w:rPr>
            </w:pPr>
            <w:r w:rsidRPr="00A604A3">
              <w:rPr>
                <w:b/>
                <w:bCs/>
                <w:lang w:eastAsia="zh-CN"/>
              </w:rPr>
              <w:t>Resource mapping Type A</w:t>
            </w: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M=4 (4OS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1.54</w:t>
            </w:r>
          </w:p>
        </w:tc>
        <w:tc>
          <w:tcPr>
            <w:tcW w:w="432" w:type="pct"/>
            <w:vAlign w:val="center"/>
          </w:tcPr>
          <w:p w:rsidR="00AE0549" w:rsidRPr="00A604A3" w:rsidRDefault="00AE0549" w:rsidP="00AD705C">
            <w:pPr>
              <w:pStyle w:val="Tabletext"/>
              <w:jc w:val="center"/>
              <w:rPr>
                <w:color w:val="000000"/>
              </w:rPr>
            </w:pPr>
            <w:r w:rsidRPr="00A604A3">
              <w:rPr>
                <w:color w:val="000000"/>
              </w:rPr>
              <w:t>0.84</w:t>
            </w:r>
          </w:p>
        </w:tc>
        <w:tc>
          <w:tcPr>
            <w:tcW w:w="433" w:type="pct"/>
            <w:noWrap/>
            <w:vAlign w:val="center"/>
          </w:tcPr>
          <w:p w:rsidR="00AE0549" w:rsidRPr="00A604A3" w:rsidRDefault="00AE0549" w:rsidP="00AD705C">
            <w:pPr>
              <w:pStyle w:val="Tabletext"/>
              <w:jc w:val="center"/>
              <w:rPr>
                <w:color w:val="000000"/>
              </w:rPr>
            </w:pPr>
            <w:r w:rsidRPr="00A604A3">
              <w:rPr>
                <w:color w:val="000000"/>
              </w:rPr>
              <w:t>0.63</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1.22</w:t>
            </w:r>
          </w:p>
        </w:tc>
        <w:tc>
          <w:tcPr>
            <w:tcW w:w="433" w:type="pct"/>
            <w:vAlign w:val="center"/>
          </w:tcPr>
          <w:p w:rsidR="00AE0549" w:rsidRPr="00A604A3" w:rsidRDefault="00AE0549" w:rsidP="00AD705C">
            <w:pPr>
              <w:pStyle w:val="Tabletext"/>
              <w:jc w:val="center"/>
              <w:rPr>
                <w:color w:val="000000"/>
              </w:rPr>
            </w:pPr>
            <w:r w:rsidRPr="00A604A3">
              <w:rPr>
                <w:color w:val="000000"/>
              </w:rPr>
              <w:t>0.62</w:t>
            </w:r>
          </w:p>
        </w:tc>
        <w:tc>
          <w:tcPr>
            <w:tcW w:w="448" w:type="pct"/>
            <w:vAlign w:val="center"/>
          </w:tcPr>
          <w:p w:rsidR="00AE0549" w:rsidRPr="00A604A3" w:rsidRDefault="00AE0549" w:rsidP="00AD705C">
            <w:pPr>
              <w:pStyle w:val="Tabletext"/>
              <w:jc w:val="center"/>
              <w:rPr>
                <w:color w:val="000000"/>
              </w:rPr>
            </w:pPr>
            <w:r w:rsidRPr="00A604A3">
              <w:rPr>
                <w:color w:val="000000"/>
              </w:rPr>
              <w:t>0.41</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1.75</w:t>
            </w:r>
          </w:p>
        </w:tc>
        <w:tc>
          <w:tcPr>
            <w:tcW w:w="432" w:type="pct"/>
            <w:vAlign w:val="center"/>
          </w:tcPr>
          <w:p w:rsidR="00AE0549" w:rsidRPr="00A604A3" w:rsidRDefault="00AE0549" w:rsidP="00AD705C">
            <w:pPr>
              <w:pStyle w:val="Tabletext"/>
              <w:jc w:val="center"/>
              <w:rPr>
                <w:color w:val="000000"/>
              </w:rPr>
            </w:pPr>
            <w:r w:rsidRPr="00A604A3">
              <w:rPr>
                <w:color w:val="000000"/>
              </w:rPr>
              <w:t>1.00</w:t>
            </w:r>
          </w:p>
        </w:tc>
        <w:tc>
          <w:tcPr>
            <w:tcW w:w="433" w:type="pct"/>
            <w:noWrap/>
            <w:vAlign w:val="center"/>
          </w:tcPr>
          <w:p w:rsidR="00AE0549" w:rsidRPr="00A604A3" w:rsidRDefault="00AE0549" w:rsidP="00AD705C">
            <w:pPr>
              <w:pStyle w:val="Tabletext"/>
              <w:jc w:val="center"/>
              <w:rPr>
                <w:color w:val="000000"/>
              </w:rPr>
            </w:pPr>
            <w:r w:rsidRPr="00A604A3">
              <w:rPr>
                <w:color w:val="000000"/>
              </w:rPr>
              <w:t>0.74</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1.43</w:t>
            </w:r>
          </w:p>
        </w:tc>
        <w:tc>
          <w:tcPr>
            <w:tcW w:w="433" w:type="pct"/>
            <w:vAlign w:val="center"/>
          </w:tcPr>
          <w:p w:rsidR="00AE0549" w:rsidRPr="00A604A3" w:rsidRDefault="00AE0549" w:rsidP="00AD705C">
            <w:pPr>
              <w:pStyle w:val="Tabletext"/>
              <w:jc w:val="center"/>
              <w:rPr>
                <w:color w:val="000000"/>
              </w:rPr>
            </w:pPr>
            <w:r w:rsidRPr="00A604A3">
              <w:rPr>
                <w:color w:val="000000"/>
              </w:rPr>
              <w:t>0.73</w:t>
            </w:r>
          </w:p>
        </w:tc>
        <w:tc>
          <w:tcPr>
            <w:tcW w:w="448" w:type="pct"/>
            <w:vAlign w:val="center"/>
          </w:tcPr>
          <w:p w:rsidR="00AE0549" w:rsidRPr="00A604A3" w:rsidRDefault="00AE0549" w:rsidP="00AD705C">
            <w:pPr>
              <w:pStyle w:val="Tabletext"/>
              <w:jc w:val="center"/>
              <w:rPr>
                <w:color w:val="000000"/>
              </w:rPr>
            </w:pPr>
            <w:r w:rsidRPr="00A604A3">
              <w:rPr>
                <w:color w:val="000000"/>
              </w:rPr>
              <w:t>0.48</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M=7 (7OS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1.75</w:t>
            </w:r>
          </w:p>
        </w:tc>
        <w:tc>
          <w:tcPr>
            <w:tcW w:w="432" w:type="pct"/>
            <w:vAlign w:val="center"/>
          </w:tcPr>
          <w:p w:rsidR="00AE0549" w:rsidRPr="00A604A3" w:rsidRDefault="00AE0549" w:rsidP="00AD705C">
            <w:pPr>
              <w:pStyle w:val="Tabletext"/>
              <w:jc w:val="center"/>
              <w:rPr>
                <w:color w:val="000000"/>
              </w:rPr>
            </w:pPr>
            <w:r w:rsidRPr="00A604A3">
              <w:rPr>
                <w:color w:val="000000"/>
              </w:rPr>
              <w:t>0.94</w:t>
            </w:r>
          </w:p>
        </w:tc>
        <w:tc>
          <w:tcPr>
            <w:tcW w:w="433" w:type="pct"/>
            <w:noWrap/>
            <w:vAlign w:val="center"/>
          </w:tcPr>
          <w:p w:rsidR="00AE0549" w:rsidRPr="00A604A3" w:rsidRDefault="00AE0549" w:rsidP="00AD705C">
            <w:pPr>
              <w:pStyle w:val="Tabletext"/>
              <w:jc w:val="center"/>
              <w:rPr>
                <w:color w:val="000000"/>
              </w:rPr>
            </w:pPr>
            <w:r w:rsidRPr="00A604A3">
              <w:rPr>
                <w:color w:val="000000"/>
              </w:rPr>
              <w:t>0.68</w:t>
            </w:r>
          </w:p>
        </w:tc>
        <w:tc>
          <w:tcPr>
            <w:tcW w:w="448" w:type="pct"/>
            <w:noWrap/>
            <w:vAlign w:val="center"/>
          </w:tcPr>
          <w:p w:rsidR="00AE0549" w:rsidRPr="00A604A3" w:rsidRDefault="00AE0549" w:rsidP="00AD705C">
            <w:pPr>
              <w:pStyle w:val="Tabletext"/>
              <w:jc w:val="center"/>
              <w:rPr>
                <w:color w:val="000000"/>
              </w:rPr>
            </w:pPr>
            <w:r w:rsidRPr="00A604A3">
              <w:rPr>
                <w:color w:val="000000"/>
              </w:rPr>
              <w:t>0.45</w:t>
            </w:r>
          </w:p>
        </w:tc>
        <w:tc>
          <w:tcPr>
            <w:tcW w:w="448" w:type="pct"/>
            <w:vAlign w:val="center"/>
          </w:tcPr>
          <w:p w:rsidR="00AE0549" w:rsidRPr="00A604A3" w:rsidRDefault="00AE0549" w:rsidP="00AD705C">
            <w:pPr>
              <w:pStyle w:val="Tabletext"/>
              <w:jc w:val="center"/>
              <w:rPr>
                <w:color w:val="000000"/>
              </w:rPr>
            </w:pPr>
            <w:r w:rsidRPr="00A604A3">
              <w:rPr>
                <w:color w:val="000000"/>
              </w:rPr>
              <w:t>1.42</w:t>
            </w:r>
          </w:p>
        </w:tc>
        <w:tc>
          <w:tcPr>
            <w:tcW w:w="433" w:type="pct"/>
            <w:vAlign w:val="center"/>
          </w:tcPr>
          <w:p w:rsidR="00AE0549" w:rsidRPr="00A604A3" w:rsidRDefault="00AE0549" w:rsidP="00AD705C">
            <w:pPr>
              <w:pStyle w:val="Tabletext"/>
              <w:jc w:val="center"/>
              <w:rPr>
                <w:color w:val="000000"/>
              </w:rPr>
            </w:pPr>
            <w:r w:rsidRPr="00A604A3">
              <w:rPr>
                <w:color w:val="000000"/>
              </w:rPr>
              <w:t>0.72</w:t>
            </w:r>
          </w:p>
        </w:tc>
        <w:tc>
          <w:tcPr>
            <w:tcW w:w="448" w:type="pct"/>
            <w:vAlign w:val="center"/>
          </w:tcPr>
          <w:p w:rsidR="00AE0549" w:rsidRPr="00A604A3" w:rsidRDefault="00AE0549" w:rsidP="00AD705C">
            <w:pPr>
              <w:pStyle w:val="Tabletext"/>
              <w:jc w:val="center"/>
              <w:rPr>
                <w:color w:val="000000"/>
              </w:rPr>
            </w:pPr>
            <w:r w:rsidRPr="00A604A3">
              <w:rPr>
                <w:color w:val="000000"/>
              </w:rPr>
              <w:t>0.46</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1.97</w:t>
            </w:r>
          </w:p>
        </w:tc>
        <w:tc>
          <w:tcPr>
            <w:tcW w:w="432" w:type="pct"/>
            <w:vAlign w:val="center"/>
          </w:tcPr>
          <w:p w:rsidR="00AE0549" w:rsidRPr="00A604A3" w:rsidRDefault="00AE0549" w:rsidP="00AD705C">
            <w:pPr>
              <w:pStyle w:val="Tabletext"/>
              <w:jc w:val="center"/>
              <w:rPr>
                <w:color w:val="000000"/>
              </w:rPr>
            </w:pPr>
            <w:r w:rsidRPr="00A604A3">
              <w:rPr>
                <w:color w:val="000000"/>
              </w:rPr>
              <w:t>1.11</w:t>
            </w:r>
          </w:p>
        </w:tc>
        <w:tc>
          <w:tcPr>
            <w:tcW w:w="433" w:type="pct"/>
            <w:noWrap/>
            <w:vAlign w:val="center"/>
          </w:tcPr>
          <w:p w:rsidR="00AE0549" w:rsidRPr="00A604A3" w:rsidRDefault="00AE0549" w:rsidP="00AD705C">
            <w:pPr>
              <w:pStyle w:val="Tabletext"/>
              <w:jc w:val="center"/>
              <w:rPr>
                <w:color w:val="000000"/>
              </w:rPr>
            </w:pPr>
            <w:r w:rsidRPr="00A604A3">
              <w:rPr>
                <w:color w:val="000000"/>
              </w:rPr>
              <w:t>0.79</w:t>
            </w:r>
          </w:p>
        </w:tc>
        <w:tc>
          <w:tcPr>
            <w:tcW w:w="448" w:type="pct"/>
            <w:noWrap/>
            <w:vAlign w:val="center"/>
          </w:tcPr>
          <w:p w:rsidR="00AE0549" w:rsidRPr="00A604A3" w:rsidRDefault="00AE0549" w:rsidP="00AD705C">
            <w:pPr>
              <w:pStyle w:val="Tabletext"/>
              <w:jc w:val="center"/>
              <w:rPr>
                <w:color w:val="000000"/>
              </w:rPr>
            </w:pPr>
            <w:r w:rsidRPr="00A604A3">
              <w:rPr>
                <w:color w:val="000000"/>
              </w:rPr>
              <w:t>0.53</w:t>
            </w:r>
          </w:p>
        </w:tc>
        <w:tc>
          <w:tcPr>
            <w:tcW w:w="448" w:type="pct"/>
            <w:vAlign w:val="center"/>
          </w:tcPr>
          <w:p w:rsidR="00AE0549" w:rsidRPr="00A604A3" w:rsidRDefault="00AE0549" w:rsidP="00AD705C">
            <w:pPr>
              <w:pStyle w:val="Tabletext"/>
              <w:jc w:val="center"/>
              <w:rPr>
                <w:color w:val="000000"/>
              </w:rPr>
            </w:pPr>
            <w:r w:rsidRPr="00A604A3">
              <w:rPr>
                <w:color w:val="000000"/>
              </w:rPr>
              <w:t>1.65</w:t>
            </w:r>
          </w:p>
        </w:tc>
        <w:tc>
          <w:tcPr>
            <w:tcW w:w="433" w:type="pct"/>
            <w:vAlign w:val="center"/>
          </w:tcPr>
          <w:p w:rsidR="00AE0549" w:rsidRPr="00A604A3" w:rsidRDefault="00AE0549" w:rsidP="00AD705C">
            <w:pPr>
              <w:pStyle w:val="Tabletext"/>
              <w:jc w:val="center"/>
              <w:rPr>
                <w:color w:val="000000"/>
              </w:rPr>
            </w:pPr>
            <w:r w:rsidRPr="00A604A3">
              <w:rPr>
                <w:color w:val="000000"/>
              </w:rPr>
              <w:t>0.83</w:t>
            </w:r>
          </w:p>
        </w:tc>
        <w:tc>
          <w:tcPr>
            <w:tcW w:w="448" w:type="pct"/>
            <w:vAlign w:val="center"/>
          </w:tcPr>
          <w:p w:rsidR="00AE0549" w:rsidRPr="00A604A3" w:rsidRDefault="00AE0549" w:rsidP="00AD705C">
            <w:pPr>
              <w:pStyle w:val="Tabletext"/>
              <w:jc w:val="center"/>
              <w:rPr>
                <w:color w:val="000000"/>
              </w:rPr>
            </w:pPr>
            <w:r w:rsidRPr="00A604A3">
              <w:rPr>
                <w:color w:val="000000"/>
              </w:rPr>
              <w:t>0.55</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M=14 (14OS 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2.25</w:t>
            </w:r>
          </w:p>
        </w:tc>
        <w:tc>
          <w:tcPr>
            <w:tcW w:w="432" w:type="pct"/>
            <w:vAlign w:val="center"/>
          </w:tcPr>
          <w:p w:rsidR="00AE0549" w:rsidRPr="00A604A3" w:rsidRDefault="00AE0549" w:rsidP="00AD705C">
            <w:pPr>
              <w:pStyle w:val="Tabletext"/>
              <w:jc w:val="center"/>
              <w:rPr>
                <w:color w:val="000000"/>
              </w:rPr>
            </w:pPr>
            <w:r w:rsidRPr="00A604A3">
              <w:rPr>
                <w:color w:val="000000"/>
              </w:rPr>
              <w:t>1.20</w:t>
            </w:r>
          </w:p>
        </w:tc>
        <w:tc>
          <w:tcPr>
            <w:tcW w:w="433" w:type="pct"/>
            <w:noWrap/>
            <w:vAlign w:val="center"/>
          </w:tcPr>
          <w:p w:rsidR="00AE0549" w:rsidRPr="00A604A3" w:rsidRDefault="00AE0549" w:rsidP="00AD705C">
            <w:pPr>
              <w:pStyle w:val="Tabletext"/>
              <w:jc w:val="center"/>
              <w:rPr>
                <w:color w:val="000000"/>
              </w:rPr>
            </w:pPr>
            <w:r w:rsidRPr="00A604A3">
              <w:rPr>
                <w:color w:val="000000"/>
              </w:rPr>
              <w:t>0.80</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1.93</w:t>
            </w:r>
          </w:p>
        </w:tc>
        <w:tc>
          <w:tcPr>
            <w:tcW w:w="433" w:type="pct"/>
            <w:vAlign w:val="center"/>
          </w:tcPr>
          <w:p w:rsidR="00AE0549" w:rsidRPr="00A604A3" w:rsidRDefault="00AE0549" w:rsidP="00AD705C">
            <w:pPr>
              <w:pStyle w:val="Tabletext"/>
              <w:jc w:val="center"/>
              <w:rPr>
                <w:color w:val="000000"/>
              </w:rPr>
            </w:pPr>
            <w:r w:rsidRPr="00A604A3">
              <w:rPr>
                <w:color w:val="000000"/>
              </w:rPr>
              <w:t>0.97</w:t>
            </w:r>
          </w:p>
        </w:tc>
        <w:tc>
          <w:tcPr>
            <w:tcW w:w="448" w:type="pct"/>
            <w:vAlign w:val="center"/>
          </w:tcPr>
          <w:p w:rsidR="00AE0549" w:rsidRPr="00A604A3" w:rsidRDefault="00AE0549" w:rsidP="00AD705C">
            <w:pPr>
              <w:pStyle w:val="Tabletext"/>
              <w:jc w:val="center"/>
              <w:rPr>
                <w:color w:val="000000"/>
              </w:rPr>
            </w:pPr>
            <w:r w:rsidRPr="00A604A3">
              <w:rPr>
                <w:color w:val="000000"/>
              </w:rPr>
              <w:t>0.59</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2.59</w:t>
            </w:r>
          </w:p>
        </w:tc>
        <w:tc>
          <w:tcPr>
            <w:tcW w:w="432" w:type="pct"/>
            <w:vAlign w:val="center"/>
          </w:tcPr>
          <w:p w:rsidR="00AE0549" w:rsidRPr="00A604A3" w:rsidRDefault="00AE0549" w:rsidP="00AD705C">
            <w:pPr>
              <w:pStyle w:val="Tabletext"/>
              <w:jc w:val="center"/>
              <w:rPr>
                <w:color w:val="000000"/>
              </w:rPr>
            </w:pPr>
            <w:r w:rsidRPr="00A604A3">
              <w:rPr>
                <w:color w:val="000000"/>
              </w:rPr>
              <w:t>1.37</w:t>
            </w:r>
          </w:p>
        </w:tc>
        <w:tc>
          <w:tcPr>
            <w:tcW w:w="433" w:type="pct"/>
            <w:noWrap/>
            <w:vAlign w:val="center"/>
          </w:tcPr>
          <w:p w:rsidR="00AE0549" w:rsidRPr="00A604A3" w:rsidRDefault="00AE0549" w:rsidP="00AD705C">
            <w:pPr>
              <w:pStyle w:val="Tabletext"/>
              <w:jc w:val="center"/>
              <w:rPr>
                <w:color w:val="000000"/>
              </w:rPr>
            </w:pPr>
            <w:r w:rsidRPr="00A604A3">
              <w:rPr>
                <w:color w:val="000000"/>
              </w:rPr>
              <w:t>0.94</w:t>
            </w:r>
          </w:p>
        </w:tc>
        <w:tc>
          <w:tcPr>
            <w:tcW w:w="448" w:type="pct"/>
            <w:noWrap/>
            <w:vAlign w:val="center"/>
          </w:tcPr>
          <w:p w:rsidR="00AE0549" w:rsidRPr="00A604A3" w:rsidRDefault="00AE0549" w:rsidP="00AD705C">
            <w:pPr>
              <w:pStyle w:val="Tabletext"/>
              <w:jc w:val="center"/>
              <w:rPr>
                <w:color w:val="000000"/>
              </w:rPr>
            </w:pPr>
            <w:r w:rsidRPr="00A604A3">
              <w:rPr>
                <w:color w:val="000000"/>
              </w:rPr>
              <w:t>0.59</w:t>
            </w:r>
          </w:p>
        </w:tc>
        <w:tc>
          <w:tcPr>
            <w:tcW w:w="448" w:type="pct"/>
            <w:vAlign w:val="center"/>
          </w:tcPr>
          <w:p w:rsidR="00AE0549" w:rsidRPr="00A604A3" w:rsidRDefault="00AE0549" w:rsidP="00AD705C">
            <w:pPr>
              <w:pStyle w:val="Tabletext"/>
              <w:jc w:val="center"/>
              <w:rPr>
                <w:color w:val="000000"/>
              </w:rPr>
            </w:pPr>
            <w:r w:rsidRPr="00A604A3">
              <w:rPr>
                <w:color w:val="000000"/>
              </w:rPr>
              <w:t>2.26</w:t>
            </w:r>
          </w:p>
        </w:tc>
        <w:tc>
          <w:tcPr>
            <w:tcW w:w="433" w:type="pct"/>
            <w:vAlign w:val="center"/>
          </w:tcPr>
          <w:p w:rsidR="00AE0549" w:rsidRPr="00A604A3" w:rsidRDefault="00AE0549" w:rsidP="00AD705C">
            <w:pPr>
              <w:pStyle w:val="Tabletext"/>
              <w:jc w:val="center"/>
              <w:rPr>
                <w:color w:val="000000"/>
              </w:rPr>
            </w:pPr>
            <w:r w:rsidRPr="00A604A3">
              <w:rPr>
                <w:color w:val="000000"/>
              </w:rPr>
              <w:t>1.15</w:t>
            </w:r>
          </w:p>
        </w:tc>
        <w:tc>
          <w:tcPr>
            <w:tcW w:w="448" w:type="pct"/>
            <w:vAlign w:val="center"/>
          </w:tcPr>
          <w:p w:rsidR="00AE0549" w:rsidRPr="00A604A3" w:rsidRDefault="00AE0549" w:rsidP="00AD705C">
            <w:pPr>
              <w:pStyle w:val="Tabletext"/>
              <w:jc w:val="center"/>
              <w:rPr>
                <w:color w:val="000000"/>
              </w:rPr>
            </w:pPr>
            <w:r w:rsidRPr="00A604A3">
              <w:rPr>
                <w:color w:val="000000"/>
              </w:rPr>
              <w:t>0.67</w:t>
            </w:r>
          </w:p>
        </w:tc>
      </w:tr>
      <w:tr w:rsidR="00AE0549" w:rsidRPr="00A604A3" w:rsidTr="00AD705C">
        <w:trPr>
          <w:jc w:val="center"/>
        </w:trPr>
        <w:tc>
          <w:tcPr>
            <w:tcW w:w="710" w:type="pct"/>
            <w:vMerge w:val="restart"/>
            <w:vAlign w:val="center"/>
            <w:hideMark/>
          </w:tcPr>
          <w:p w:rsidR="00AE0549" w:rsidRPr="00A604A3" w:rsidRDefault="00AE0549" w:rsidP="00AD705C">
            <w:pPr>
              <w:pStyle w:val="Tabletext"/>
              <w:rPr>
                <w:b/>
                <w:bCs/>
                <w:lang w:eastAsia="zh-CN"/>
              </w:rPr>
            </w:pPr>
            <w:r w:rsidRPr="00A604A3">
              <w:rPr>
                <w:b/>
                <w:bCs/>
                <w:lang w:eastAsia="zh-CN"/>
              </w:rPr>
              <w:t>Resource mapping Type B</w:t>
            </w: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M=2 (2OS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0.96</w:t>
            </w:r>
          </w:p>
        </w:tc>
        <w:tc>
          <w:tcPr>
            <w:tcW w:w="432" w:type="pct"/>
            <w:vAlign w:val="center"/>
          </w:tcPr>
          <w:p w:rsidR="00AE0549" w:rsidRPr="00A604A3" w:rsidRDefault="00AE0549" w:rsidP="00AD705C">
            <w:pPr>
              <w:pStyle w:val="Tabletext"/>
              <w:jc w:val="center"/>
              <w:rPr>
                <w:color w:val="000000"/>
              </w:rPr>
            </w:pPr>
            <w:r w:rsidRPr="00A604A3">
              <w:rPr>
                <w:color w:val="000000"/>
              </w:rPr>
              <w:t>0.55</w:t>
            </w:r>
          </w:p>
        </w:tc>
        <w:tc>
          <w:tcPr>
            <w:tcW w:w="433" w:type="pct"/>
            <w:noWrap/>
            <w:vAlign w:val="center"/>
          </w:tcPr>
          <w:p w:rsidR="00AE0549" w:rsidRPr="00A604A3" w:rsidRDefault="00AE0549" w:rsidP="00AD705C">
            <w:pPr>
              <w:pStyle w:val="Tabletext"/>
              <w:jc w:val="center"/>
              <w:rPr>
                <w:color w:val="000000"/>
              </w:rPr>
            </w:pPr>
            <w:r w:rsidRPr="00A604A3">
              <w:rPr>
                <w:color w:val="000000"/>
              </w:rPr>
              <w:t>0.48</w:t>
            </w:r>
          </w:p>
        </w:tc>
        <w:tc>
          <w:tcPr>
            <w:tcW w:w="448" w:type="pct"/>
            <w:noWrap/>
            <w:vAlign w:val="center"/>
          </w:tcPr>
          <w:p w:rsidR="00AE0549" w:rsidRPr="00A604A3" w:rsidRDefault="00AE0549" w:rsidP="00AD705C">
            <w:pPr>
              <w:pStyle w:val="Tabletext"/>
              <w:jc w:val="center"/>
              <w:rPr>
                <w:color w:val="000000"/>
              </w:rPr>
            </w:pPr>
            <w:r w:rsidRPr="00A604A3">
              <w:rPr>
                <w:color w:val="000000"/>
              </w:rPr>
              <w:t>0.35</w:t>
            </w:r>
          </w:p>
        </w:tc>
        <w:tc>
          <w:tcPr>
            <w:tcW w:w="448" w:type="pct"/>
            <w:vAlign w:val="center"/>
          </w:tcPr>
          <w:p w:rsidR="00AE0549" w:rsidRPr="00A604A3" w:rsidRDefault="00AE0549" w:rsidP="00AD705C">
            <w:pPr>
              <w:pStyle w:val="Tabletext"/>
              <w:jc w:val="center"/>
              <w:rPr>
                <w:color w:val="000000"/>
              </w:rPr>
            </w:pPr>
            <w:r w:rsidRPr="00A604A3">
              <w:rPr>
                <w:color w:val="000000"/>
              </w:rPr>
              <w:t>0.64</w:t>
            </w:r>
          </w:p>
        </w:tc>
        <w:tc>
          <w:tcPr>
            <w:tcW w:w="433" w:type="pct"/>
            <w:vAlign w:val="center"/>
          </w:tcPr>
          <w:p w:rsidR="00AE0549" w:rsidRPr="00A604A3" w:rsidRDefault="00AE0549" w:rsidP="00AD705C">
            <w:pPr>
              <w:pStyle w:val="Tabletext"/>
              <w:jc w:val="center"/>
              <w:rPr>
                <w:color w:val="000000"/>
              </w:rPr>
            </w:pPr>
            <w:r w:rsidRPr="00A604A3">
              <w:rPr>
                <w:color w:val="000000"/>
              </w:rPr>
              <w:t>0.33</w:t>
            </w:r>
          </w:p>
        </w:tc>
        <w:tc>
          <w:tcPr>
            <w:tcW w:w="448" w:type="pct"/>
            <w:vAlign w:val="center"/>
          </w:tcPr>
          <w:p w:rsidR="00AE0549" w:rsidRPr="00A604A3" w:rsidRDefault="00AE0549" w:rsidP="00AD705C">
            <w:pPr>
              <w:pStyle w:val="Tabletext"/>
              <w:jc w:val="center"/>
              <w:rPr>
                <w:color w:val="000000"/>
              </w:rPr>
            </w:pPr>
            <w:r w:rsidRPr="00A604A3">
              <w:rPr>
                <w:color w:val="000000"/>
              </w:rPr>
              <w:t>0.27</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1.17</w:t>
            </w:r>
          </w:p>
        </w:tc>
        <w:tc>
          <w:tcPr>
            <w:tcW w:w="432" w:type="pct"/>
            <w:vAlign w:val="center"/>
          </w:tcPr>
          <w:p w:rsidR="00AE0549" w:rsidRPr="00A604A3" w:rsidRDefault="00AE0549" w:rsidP="00AD705C">
            <w:pPr>
              <w:pStyle w:val="Tabletext"/>
              <w:jc w:val="center"/>
              <w:rPr>
                <w:color w:val="000000"/>
              </w:rPr>
            </w:pPr>
            <w:r w:rsidRPr="00A604A3">
              <w:rPr>
                <w:color w:val="000000"/>
              </w:rPr>
              <w:t>0.67</w:t>
            </w:r>
          </w:p>
        </w:tc>
        <w:tc>
          <w:tcPr>
            <w:tcW w:w="433" w:type="pct"/>
            <w:noWrap/>
            <w:vAlign w:val="center"/>
          </w:tcPr>
          <w:p w:rsidR="00AE0549" w:rsidRPr="00A604A3" w:rsidRDefault="00AE0549" w:rsidP="00AD705C">
            <w:pPr>
              <w:pStyle w:val="Tabletext"/>
              <w:jc w:val="center"/>
              <w:rPr>
                <w:color w:val="000000"/>
              </w:rPr>
            </w:pPr>
            <w:r w:rsidRPr="00A604A3">
              <w:rPr>
                <w:color w:val="000000"/>
              </w:rPr>
              <w:t>0.58</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0.76</w:t>
            </w:r>
          </w:p>
        </w:tc>
        <w:tc>
          <w:tcPr>
            <w:tcW w:w="433" w:type="pct"/>
            <w:vAlign w:val="center"/>
          </w:tcPr>
          <w:p w:rsidR="00AE0549" w:rsidRPr="00A604A3" w:rsidRDefault="00AE0549" w:rsidP="00AD705C">
            <w:pPr>
              <w:pStyle w:val="Tabletext"/>
              <w:jc w:val="center"/>
              <w:rPr>
                <w:color w:val="000000"/>
              </w:rPr>
            </w:pPr>
            <w:r w:rsidRPr="00A604A3">
              <w:rPr>
                <w:color w:val="000000"/>
              </w:rPr>
              <w:t>0.39</w:t>
            </w:r>
          </w:p>
        </w:tc>
        <w:tc>
          <w:tcPr>
            <w:tcW w:w="448" w:type="pct"/>
            <w:vAlign w:val="center"/>
          </w:tcPr>
          <w:p w:rsidR="00AE0549" w:rsidRPr="00A604A3" w:rsidRDefault="00AE0549" w:rsidP="00AD705C">
            <w:pPr>
              <w:pStyle w:val="Tabletext"/>
              <w:jc w:val="center"/>
              <w:rPr>
                <w:color w:val="000000"/>
              </w:rPr>
            </w:pPr>
            <w:r w:rsidRPr="00A604A3">
              <w:rPr>
                <w:color w:val="000000"/>
              </w:rPr>
              <w:t>0.32</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M=4 (4OS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1.28</w:t>
            </w:r>
          </w:p>
        </w:tc>
        <w:tc>
          <w:tcPr>
            <w:tcW w:w="432" w:type="pct"/>
            <w:vAlign w:val="center"/>
          </w:tcPr>
          <w:p w:rsidR="00AE0549" w:rsidRPr="00A604A3" w:rsidRDefault="00AE0549" w:rsidP="00AD705C">
            <w:pPr>
              <w:pStyle w:val="Tabletext"/>
              <w:jc w:val="center"/>
              <w:rPr>
                <w:color w:val="000000"/>
              </w:rPr>
            </w:pPr>
            <w:r w:rsidRPr="00A604A3">
              <w:rPr>
                <w:color w:val="000000"/>
              </w:rPr>
              <w:t>0.71</w:t>
            </w:r>
          </w:p>
        </w:tc>
        <w:tc>
          <w:tcPr>
            <w:tcW w:w="433" w:type="pct"/>
            <w:noWrap/>
            <w:vAlign w:val="center"/>
          </w:tcPr>
          <w:p w:rsidR="00AE0549" w:rsidRPr="00A604A3" w:rsidRDefault="00AE0549" w:rsidP="00AD705C">
            <w:pPr>
              <w:pStyle w:val="Tabletext"/>
              <w:jc w:val="center"/>
              <w:rPr>
                <w:color w:val="000000"/>
              </w:rPr>
            </w:pPr>
            <w:r w:rsidRPr="00A604A3">
              <w:rPr>
                <w:color w:val="000000"/>
              </w:rPr>
              <w:t>0.56</w:t>
            </w:r>
          </w:p>
        </w:tc>
        <w:tc>
          <w:tcPr>
            <w:tcW w:w="448" w:type="pct"/>
            <w:noWrap/>
            <w:vAlign w:val="center"/>
          </w:tcPr>
          <w:p w:rsidR="00AE0549" w:rsidRPr="00A604A3" w:rsidRDefault="00AE0549" w:rsidP="00AD705C">
            <w:pPr>
              <w:pStyle w:val="Tabletext"/>
              <w:jc w:val="center"/>
              <w:rPr>
                <w:color w:val="000000"/>
              </w:rPr>
            </w:pPr>
            <w:r w:rsidRPr="00A604A3">
              <w:rPr>
                <w:color w:val="000000"/>
              </w:rPr>
              <w:t>0.39</w:t>
            </w:r>
          </w:p>
        </w:tc>
        <w:tc>
          <w:tcPr>
            <w:tcW w:w="448" w:type="pct"/>
            <w:vAlign w:val="center"/>
          </w:tcPr>
          <w:p w:rsidR="00AE0549" w:rsidRPr="00A604A3" w:rsidRDefault="00AE0549" w:rsidP="00AD705C">
            <w:pPr>
              <w:pStyle w:val="Tabletext"/>
              <w:jc w:val="center"/>
              <w:rPr>
                <w:color w:val="000000"/>
              </w:rPr>
            </w:pPr>
            <w:r w:rsidRPr="00A604A3">
              <w:rPr>
                <w:color w:val="000000"/>
              </w:rPr>
              <w:t>0.96</w:t>
            </w:r>
          </w:p>
        </w:tc>
        <w:tc>
          <w:tcPr>
            <w:tcW w:w="433" w:type="pct"/>
            <w:vAlign w:val="center"/>
          </w:tcPr>
          <w:p w:rsidR="00AE0549" w:rsidRPr="00A604A3" w:rsidRDefault="00AE0549" w:rsidP="00AD705C">
            <w:pPr>
              <w:pStyle w:val="Tabletext"/>
              <w:jc w:val="center"/>
              <w:rPr>
                <w:color w:val="000000"/>
              </w:rPr>
            </w:pPr>
            <w:r w:rsidRPr="00A604A3">
              <w:rPr>
                <w:color w:val="000000"/>
              </w:rPr>
              <w:t>0.49</w:t>
            </w:r>
          </w:p>
        </w:tc>
        <w:tc>
          <w:tcPr>
            <w:tcW w:w="448" w:type="pct"/>
            <w:vAlign w:val="center"/>
          </w:tcPr>
          <w:p w:rsidR="00AE0549" w:rsidRPr="00A604A3" w:rsidRDefault="00AE0549" w:rsidP="00AD705C">
            <w:pPr>
              <w:pStyle w:val="Tabletext"/>
              <w:jc w:val="center"/>
              <w:rPr>
                <w:color w:val="000000"/>
              </w:rPr>
            </w:pPr>
            <w:r w:rsidRPr="00A604A3">
              <w:rPr>
                <w:color w:val="000000"/>
              </w:rPr>
              <w:t>0.35</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1.50</w:t>
            </w:r>
          </w:p>
        </w:tc>
        <w:tc>
          <w:tcPr>
            <w:tcW w:w="432" w:type="pct"/>
            <w:vAlign w:val="center"/>
          </w:tcPr>
          <w:p w:rsidR="00AE0549" w:rsidRPr="00A604A3" w:rsidRDefault="00AE0549" w:rsidP="00AD705C">
            <w:pPr>
              <w:pStyle w:val="Tabletext"/>
              <w:jc w:val="center"/>
              <w:rPr>
                <w:color w:val="000000"/>
              </w:rPr>
            </w:pPr>
            <w:r w:rsidRPr="00A604A3">
              <w:rPr>
                <w:color w:val="000000"/>
              </w:rPr>
              <w:t>0.85</w:t>
            </w:r>
          </w:p>
        </w:tc>
        <w:tc>
          <w:tcPr>
            <w:tcW w:w="433" w:type="pct"/>
            <w:noWrap/>
            <w:vAlign w:val="center"/>
          </w:tcPr>
          <w:p w:rsidR="00AE0549" w:rsidRPr="00A604A3" w:rsidRDefault="00AE0549" w:rsidP="00AD705C">
            <w:pPr>
              <w:pStyle w:val="Tabletext"/>
              <w:jc w:val="center"/>
              <w:rPr>
                <w:color w:val="000000"/>
              </w:rPr>
            </w:pPr>
            <w:r w:rsidRPr="00A604A3">
              <w:rPr>
                <w:color w:val="000000"/>
              </w:rPr>
              <w:t>0.67</w:t>
            </w:r>
          </w:p>
        </w:tc>
        <w:tc>
          <w:tcPr>
            <w:tcW w:w="448" w:type="pct"/>
            <w:noWrap/>
            <w:vAlign w:val="center"/>
          </w:tcPr>
          <w:p w:rsidR="00AE0549" w:rsidRPr="00A604A3" w:rsidRDefault="00AE0549" w:rsidP="00AD705C">
            <w:pPr>
              <w:pStyle w:val="Tabletext"/>
              <w:jc w:val="center"/>
              <w:rPr>
                <w:color w:val="000000"/>
              </w:rPr>
            </w:pPr>
            <w:r w:rsidRPr="00A604A3">
              <w:rPr>
                <w:color w:val="000000"/>
              </w:rPr>
              <w:t>0.47</w:t>
            </w:r>
          </w:p>
        </w:tc>
        <w:tc>
          <w:tcPr>
            <w:tcW w:w="448" w:type="pct"/>
            <w:vAlign w:val="center"/>
          </w:tcPr>
          <w:p w:rsidR="00AE0549" w:rsidRPr="00A604A3" w:rsidRDefault="00AE0549" w:rsidP="00AD705C">
            <w:pPr>
              <w:pStyle w:val="Tabletext"/>
              <w:jc w:val="center"/>
              <w:rPr>
                <w:color w:val="000000"/>
              </w:rPr>
            </w:pPr>
            <w:r w:rsidRPr="00A604A3">
              <w:rPr>
                <w:color w:val="000000"/>
              </w:rPr>
              <w:t>1.14</w:t>
            </w:r>
          </w:p>
        </w:tc>
        <w:tc>
          <w:tcPr>
            <w:tcW w:w="433" w:type="pct"/>
            <w:vAlign w:val="center"/>
          </w:tcPr>
          <w:p w:rsidR="00AE0549" w:rsidRPr="00A604A3" w:rsidRDefault="00AE0549" w:rsidP="00AD705C">
            <w:pPr>
              <w:pStyle w:val="Tabletext"/>
              <w:jc w:val="center"/>
              <w:rPr>
                <w:color w:val="000000"/>
              </w:rPr>
            </w:pPr>
            <w:r w:rsidRPr="00A604A3">
              <w:rPr>
                <w:color w:val="000000"/>
              </w:rPr>
              <w:t>0.58</w:t>
            </w:r>
          </w:p>
        </w:tc>
        <w:tc>
          <w:tcPr>
            <w:tcW w:w="448" w:type="pct"/>
            <w:vAlign w:val="center"/>
          </w:tcPr>
          <w:p w:rsidR="00AE0549" w:rsidRPr="00A604A3" w:rsidRDefault="00AE0549" w:rsidP="00AD705C">
            <w:pPr>
              <w:pStyle w:val="Tabletext"/>
              <w:jc w:val="center"/>
              <w:rPr>
                <w:color w:val="000000"/>
              </w:rPr>
            </w:pPr>
            <w:r w:rsidRPr="00A604A3">
              <w:rPr>
                <w:color w:val="000000"/>
              </w:rPr>
              <w:t>0.41</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M=7 (7OS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1.50</w:t>
            </w:r>
          </w:p>
        </w:tc>
        <w:tc>
          <w:tcPr>
            <w:tcW w:w="432" w:type="pct"/>
            <w:vAlign w:val="center"/>
          </w:tcPr>
          <w:p w:rsidR="00AE0549" w:rsidRPr="00A604A3" w:rsidRDefault="00AE0549" w:rsidP="00AD705C">
            <w:pPr>
              <w:pStyle w:val="Tabletext"/>
              <w:jc w:val="center"/>
              <w:rPr>
                <w:color w:val="000000"/>
              </w:rPr>
            </w:pPr>
            <w:r w:rsidRPr="00A604A3">
              <w:rPr>
                <w:color w:val="000000"/>
              </w:rPr>
              <w:t>0.82</w:t>
            </w:r>
          </w:p>
        </w:tc>
        <w:tc>
          <w:tcPr>
            <w:tcW w:w="433" w:type="pct"/>
            <w:noWrap/>
            <w:vAlign w:val="center"/>
          </w:tcPr>
          <w:p w:rsidR="00AE0549" w:rsidRPr="00A604A3" w:rsidRDefault="00AE0549" w:rsidP="00AD705C">
            <w:pPr>
              <w:pStyle w:val="Tabletext"/>
              <w:jc w:val="center"/>
              <w:rPr>
                <w:color w:val="000000"/>
              </w:rPr>
            </w:pPr>
            <w:r w:rsidRPr="00A604A3">
              <w:rPr>
                <w:color w:val="000000"/>
              </w:rPr>
              <w:t>0.62</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1.18</w:t>
            </w:r>
          </w:p>
        </w:tc>
        <w:tc>
          <w:tcPr>
            <w:tcW w:w="433" w:type="pct"/>
            <w:vAlign w:val="center"/>
          </w:tcPr>
          <w:p w:rsidR="00AE0549" w:rsidRPr="00A604A3" w:rsidRDefault="00AE0549" w:rsidP="00AD705C">
            <w:pPr>
              <w:pStyle w:val="Tabletext"/>
              <w:jc w:val="center"/>
              <w:rPr>
                <w:color w:val="000000"/>
              </w:rPr>
            </w:pPr>
            <w:r w:rsidRPr="00A604A3">
              <w:rPr>
                <w:color w:val="000000"/>
              </w:rPr>
              <w:t>0.60</w:t>
            </w:r>
          </w:p>
        </w:tc>
        <w:tc>
          <w:tcPr>
            <w:tcW w:w="448" w:type="pct"/>
            <w:vAlign w:val="center"/>
          </w:tcPr>
          <w:p w:rsidR="00AE0549" w:rsidRPr="00A604A3" w:rsidRDefault="00AE0549" w:rsidP="00AD705C">
            <w:pPr>
              <w:pStyle w:val="Tabletext"/>
              <w:jc w:val="center"/>
              <w:rPr>
                <w:color w:val="000000"/>
              </w:rPr>
            </w:pPr>
            <w:r w:rsidRPr="00A604A3">
              <w:rPr>
                <w:color w:val="000000"/>
              </w:rPr>
              <w:t>0.40</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1.74</w:t>
            </w:r>
          </w:p>
        </w:tc>
        <w:tc>
          <w:tcPr>
            <w:tcW w:w="432" w:type="pct"/>
            <w:vAlign w:val="center"/>
          </w:tcPr>
          <w:p w:rsidR="00AE0549" w:rsidRPr="00A604A3" w:rsidRDefault="00AE0549" w:rsidP="00AD705C">
            <w:pPr>
              <w:pStyle w:val="Tabletext"/>
              <w:jc w:val="center"/>
              <w:rPr>
                <w:color w:val="000000"/>
              </w:rPr>
            </w:pPr>
            <w:r w:rsidRPr="00A604A3">
              <w:rPr>
                <w:color w:val="000000"/>
              </w:rPr>
              <w:t>0.96</w:t>
            </w:r>
          </w:p>
        </w:tc>
        <w:tc>
          <w:tcPr>
            <w:tcW w:w="433" w:type="pct"/>
            <w:noWrap/>
            <w:vAlign w:val="center"/>
          </w:tcPr>
          <w:p w:rsidR="00AE0549" w:rsidRPr="00A604A3" w:rsidRDefault="00AE0549" w:rsidP="00AD705C">
            <w:pPr>
              <w:pStyle w:val="Tabletext"/>
              <w:jc w:val="center"/>
              <w:rPr>
                <w:color w:val="000000"/>
              </w:rPr>
            </w:pPr>
            <w:r w:rsidRPr="00A604A3">
              <w:rPr>
                <w:color w:val="000000"/>
              </w:rPr>
              <w:t>0.73</w:t>
            </w:r>
          </w:p>
        </w:tc>
        <w:tc>
          <w:tcPr>
            <w:tcW w:w="448" w:type="pct"/>
            <w:noWrap/>
            <w:vAlign w:val="center"/>
          </w:tcPr>
          <w:p w:rsidR="00AE0549" w:rsidRPr="00A604A3" w:rsidRDefault="00AE0549" w:rsidP="00AD705C">
            <w:pPr>
              <w:pStyle w:val="Tabletext"/>
              <w:jc w:val="center"/>
              <w:rPr>
                <w:color w:val="000000"/>
              </w:rPr>
            </w:pPr>
            <w:r w:rsidRPr="00A604A3">
              <w:rPr>
                <w:color w:val="000000"/>
              </w:rPr>
              <w:t>0.50</w:t>
            </w:r>
          </w:p>
        </w:tc>
        <w:tc>
          <w:tcPr>
            <w:tcW w:w="448" w:type="pct"/>
            <w:vAlign w:val="center"/>
          </w:tcPr>
          <w:p w:rsidR="00AE0549" w:rsidRPr="00A604A3" w:rsidRDefault="00AE0549" w:rsidP="00AD705C">
            <w:pPr>
              <w:pStyle w:val="Tabletext"/>
              <w:jc w:val="center"/>
              <w:rPr>
                <w:color w:val="000000"/>
              </w:rPr>
            </w:pPr>
            <w:r w:rsidRPr="00A604A3">
              <w:rPr>
                <w:color w:val="000000"/>
              </w:rPr>
              <w:t>1.37</w:t>
            </w:r>
          </w:p>
        </w:tc>
        <w:tc>
          <w:tcPr>
            <w:tcW w:w="433" w:type="pct"/>
            <w:vAlign w:val="center"/>
          </w:tcPr>
          <w:p w:rsidR="00AE0549" w:rsidRPr="00A604A3" w:rsidRDefault="00AE0549" w:rsidP="00AD705C">
            <w:pPr>
              <w:pStyle w:val="Tabletext"/>
              <w:jc w:val="center"/>
              <w:rPr>
                <w:color w:val="000000"/>
              </w:rPr>
            </w:pPr>
            <w:r w:rsidRPr="00A604A3">
              <w:rPr>
                <w:color w:val="000000"/>
              </w:rPr>
              <w:t>0.69</w:t>
            </w:r>
          </w:p>
        </w:tc>
        <w:tc>
          <w:tcPr>
            <w:tcW w:w="448" w:type="pct"/>
            <w:vAlign w:val="center"/>
          </w:tcPr>
          <w:p w:rsidR="00AE0549" w:rsidRPr="00A604A3" w:rsidRDefault="00AE0549" w:rsidP="00AD705C">
            <w:pPr>
              <w:pStyle w:val="Tabletext"/>
              <w:jc w:val="center"/>
              <w:rPr>
                <w:color w:val="000000"/>
              </w:rPr>
            </w:pPr>
            <w:r w:rsidRPr="00A604A3">
              <w:rPr>
                <w:color w:val="000000"/>
              </w:rPr>
              <w:t>0.47</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M=14 (14OS 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2.25</w:t>
            </w:r>
          </w:p>
        </w:tc>
        <w:tc>
          <w:tcPr>
            <w:tcW w:w="432" w:type="pct"/>
            <w:vAlign w:val="center"/>
          </w:tcPr>
          <w:p w:rsidR="00AE0549" w:rsidRPr="00A604A3" w:rsidRDefault="00AE0549" w:rsidP="00AD705C">
            <w:pPr>
              <w:pStyle w:val="Tabletext"/>
              <w:jc w:val="center"/>
              <w:rPr>
                <w:color w:val="000000"/>
              </w:rPr>
            </w:pPr>
            <w:r w:rsidRPr="00A604A3">
              <w:rPr>
                <w:color w:val="000000"/>
              </w:rPr>
              <w:t>1.20</w:t>
            </w:r>
          </w:p>
        </w:tc>
        <w:tc>
          <w:tcPr>
            <w:tcW w:w="433" w:type="pct"/>
            <w:noWrap/>
            <w:vAlign w:val="center"/>
          </w:tcPr>
          <w:p w:rsidR="00AE0549" w:rsidRPr="00A604A3" w:rsidRDefault="00AE0549" w:rsidP="00AD705C">
            <w:pPr>
              <w:pStyle w:val="Tabletext"/>
              <w:jc w:val="center"/>
              <w:rPr>
                <w:color w:val="000000"/>
              </w:rPr>
            </w:pPr>
            <w:r w:rsidRPr="00A604A3">
              <w:rPr>
                <w:color w:val="000000"/>
              </w:rPr>
              <w:t>0.80</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1.92</w:t>
            </w:r>
          </w:p>
        </w:tc>
        <w:tc>
          <w:tcPr>
            <w:tcW w:w="433" w:type="pct"/>
            <w:vAlign w:val="center"/>
          </w:tcPr>
          <w:p w:rsidR="00AE0549" w:rsidRPr="00A604A3" w:rsidRDefault="00AE0549" w:rsidP="00AD705C">
            <w:pPr>
              <w:pStyle w:val="Tabletext"/>
              <w:jc w:val="center"/>
              <w:rPr>
                <w:color w:val="000000"/>
              </w:rPr>
            </w:pPr>
            <w:r w:rsidRPr="00A604A3">
              <w:rPr>
                <w:color w:val="000000"/>
              </w:rPr>
              <w:t>0.97</w:t>
            </w:r>
          </w:p>
        </w:tc>
        <w:tc>
          <w:tcPr>
            <w:tcW w:w="448" w:type="pct"/>
            <w:vAlign w:val="center"/>
          </w:tcPr>
          <w:p w:rsidR="00AE0549" w:rsidRPr="00A604A3" w:rsidRDefault="00AE0549" w:rsidP="00AD705C">
            <w:pPr>
              <w:pStyle w:val="Tabletext"/>
              <w:jc w:val="center"/>
              <w:rPr>
                <w:color w:val="000000"/>
              </w:rPr>
            </w:pPr>
            <w:r w:rsidRPr="00A604A3">
              <w:rPr>
                <w:color w:val="000000"/>
              </w:rPr>
              <w:t>0.59</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2.57</w:t>
            </w:r>
          </w:p>
        </w:tc>
        <w:tc>
          <w:tcPr>
            <w:tcW w:w="432" w:type="pct"/>
            <w:vAlign w:val="center"/>
          </w:tcPr>
          <w:p w:rsidR="00AE0549" w:rsidRPr="00A604A3" w:rsidRDefault="00AE0549" w:rsidP="00AD705C">
            <w:pPr>
              <w:pStyle w:val="Tabletext"/>
              <w:jc w:val="center"/>
              <w:rPr>
                <w:color w:val="000000"/>
              </w:rPr>
            </w:pPr>
            <w:r w:rsidRPr="00A604A3">
              <w:rPr>
                <w:color w:val="000000"/>
              </w:rPr>
              <w:t>1.37</w:t>
            </w:r>
          </w:p>
        </w:tc>
        <w:tc>
          <w:tcPr>
            <w:tcW w:w="433" w:type="pct"/>
            <w:noWrap/>
            <w:vAlign w:val="center"/>
          </w:tcPr>
          <w:p w:rsidR="00AE0549" w:rsidRPr="00A604A3" w:rsidRDefault="00AE0549" w:rsidP="00AD705C">
            <w:pPr>
              <w:pStyle w:val="Tabletext"/>
              <w:jc w:val="center"/>
              <w:rPr>
                <w:color w:val="000000"/>
              </w:rPr>
            </w:pPr>
            <w:r w:rsidRPr="00A604A3">
              <w:rPr>
                <w:color w:val="000000"/>
              </w:rPr>
              <w:t>0.94</w:t>
            </w:r>
          </w:p>
        </w:tc>
        <w:tc>
          <w:tcPr>
            <w:tcW w:w="448" w:type="pct"/>
            <w:noWrap/>
            <w:vAlign w:val="center"/>
          </w:tcPr>
          <w:p w:rsidR="00AE0549" w:rsidRPr="00A604A3" w:rsidRDefault="00AE0549" w:rsidP="00AD705C">
            <w:pPr>
              <w:pStyle w:val="Tabletext"/>
              <w:jc w:val="center"/>
              <w:rPr>
                <w:color w:val="000000"/>
              </w:rPr>
            </w:pPr>
            <w:r w:rsidRPr="00A604A3">
              <w:rPr>
                <w:color w:val="000000"/>
              </w:rPr>
              <w:t>0.60</w:t>
            </w:r>
          </w:p>
        </w:tc>
        <w:tc>
          <w:tcPr>
            <w:tcW w:w="448" w:type="pct"/>
            <w:vAlign w:val="center"/>
          </w:tcPr>
          <w:p w:rsidR="00AE0549" w:rsidRPr="00A604A3" w:rsidRDefault="00AE0549" w:rsidP="00AD705C">
            <w:pPr>
              <w:pStyle w:val="Tabletext"/>
              <w:jc w:val="center"/>
              <w:rPr>
                <w:color w:val="000000"/>
              </w:rPr>
            </w:pPr>
            <w:r w:rsidRPr="00A604A3">
              <w:rPr>
                <w:color w:val="000000"/>
              </w:rPr>
              <w:t>2.28</w:t>
            </w:r>
          </w:p>
        </w:tc>
        <w:tc>
          <w:tcPr>
            <w:tcW w:w="433" w:type="pct"/>
            <w:vAlign w:val="center"/>
          </w:tcPr>
          <w:p w:rsidR="00AE0549" w:rsidRPr="00A604A3" w:rsidRDefault="00AE0549" w:rsidP="00AD705C">
            <w:pPr>
              <w:pStyle w:val="Tabletext"/>
              <w:jc w:val="center"/>
              <w:rPr>
                <w:color w:val="000000"/>
              </w:rPr>
            </w:pPr>
            <w:r w:rsidRPr="00A604A3">
              <w:rPr>
                <w:color w:val="000000"/>
              </w:rPr>
              <w:t>1.14</w:t>
            </w:r>
          </w:p>
        </w:tc>
        <w:tc>
          <w:tcPr>
            <w:tcW w:w="448" w:type="pct"/>
            <w:vAlign w:val="center"/>
          </w:tcPr>
          <w:p w:rsidR="00AE0549" w:rsidRPr="00A604A3" w:rsidRDefault="00AE0549" w:rsidP="00AD705C">
            <w:pPr>
              <w:pStyle w:val="Tabletext"/>
              <w:jc w:val="center"/>
              <w:rPr>
                <w:color w:val="000000"/>
              </w:rPr>
            </w:pPr>
            <w:r w:rsidRPr="00A604A3">
              <w:rPr>
                <w:color w:val="000000"/>
              </w:rPr>
              <w:t>0.67</w:t>
            </w:r>
          </w:p>
        </w:tc>
      </w:tr>
    </w:tbl>
    <w:p w:rsidR="00AE0549" w:rsidRPr="00A604A3" w:rsidRDefault="00AE0549" w:rsidP="00470885">
      <w:pPr>
        <w:spacing w:before="0"/>
      </w:pPr>
    </w:p>
    <w:p w:rsidR="00AE0549" w:rsidRPr="00A604A3" w:rsidRDefault="00AE0549" w:rsidP="00445291">
      <w:pPr>
        <w:rPr>
          <w:lang w:eastAsia="zh-CN"/>
        </w:rPr>
      </w:pPr>
      <w:r w:rsidRPr="00A604A3">
        <w:lastRenderedPageBreak/>
        <w:t xml:space="preserve">For NR TDD, </w:t>
      </w:r>
      <w:r w:rsidRPr="00A604A3">
        <w:rPr>
          <w:lang w:eastAsia="zh-CN"/>
        </w:rPr>
        <w:t>DDDSU (with S slot = 11DL:1GP:2UL), DSUUD (with S slot = 11DL:1GP:2UL), and DUDU (without GP) configurations have been evaluated and given in Table 99 to Table 101.</w:t>
      </w:r>
    </w:p>
    <w:p w:rsidR="00AD705C" w:rsidRPr="00A604A3" w:rsidRDefault="00445291" w:rsidP="00AD705C">
      <w:pPr>
        <w:pStyle w:val="TableNo"/>
        <w:rPr>
          <w:rFonts w:eastAsia="MS Mincho"/>
        </w:rPr>
      </w:pPr>
      <w:bookmarkStart w:id="462" w:name="_Ref31298189"/>
      <w:bookmarkStart w:id="463" w:name="_Toc32066418"/>
      <w:r w:rsidRPr="00A604A3">
        <w:rPr>
          <w:rFonts w:eastAsia="MS Mincho"/>
        </w:rPr>
        <w:t>TAble 99</w:t>
      </w:r>
    </w:p>
    <w:p w:rsidR="00AE0549" w:rsidRPr="00A604A3" w:rsidRDefault="00AD705C" w:rsidP="00AD705C">
      <w:pPr>
        <w:pStyle w:val="Tabletitle"/>
      </w:pPr>
      <w:r w:rsidRPr="00A604A3">
        <w:rPr>
          <w:rFonts w:eastAsia="MS Mincho"/>
        </w:rPr>
        <w:t>UL user plane latency for NR TDD with grant free transmission (ms)</w:t>
      </w:r>
      <w:bookmarkEnd w:id="462"/>
      <w:bookmarkEnd w:id="463"/>
      <w:r w:rsidRPr="00A604A3">
        <w:rPr>
          <w:rFonts w:eastAsia="MS Mincho"/>
        </w:rPr>
        <w:br/>
      </w:r>
      <w:bookmarkStart w:id="464" w:name="_Toc32066419"/>
      <w:r w:rsidRPr="00A604A3">
        <w:rPr>
          <w:rFonts w:eastAsia="MS Mincho"/>
        </w:rPr>
        <w:t>(Frame structure: DDDSU)</w:t>
      </w:r>
      <w:bookmarkEnd w:id="464"/>
    </w:p>
    <w:tbl>
      <w:tblPr>
        <w:tblStyle w:val="TableGrid"/>
        <w:tblW w:w="4365" w:type="pct"/>
        <w:jc w:val="center"/>
        <w:tblLayout w:type="fixed"/>
        <w:tblLook w:val="04A0" w:firstRow="1" w:lastRow="0" w:firstColumn="1" w:lastColumn="0" w:noHBand="0" w:noVBand="1"/>
      </w:tblPr>
      <w:tblGrid>
        <w:gridCol w:w="1270"/>
        <w:gridCol w:w="1215"/>
        <w:gridCol w:w="696"/>
        <w:gridCol w:w="803"/>
        <w:gridCol w:w="778"/>
        <w:gridCol w:w="779"/>
        <w:gridCol w:w="782"/>
        <w:gridCol w:w="778"/>
        <w:gridCol w:w="770"/>
      </w:tblGrid>
      <w:tr w:rsidR="00AE0549" w:rsidRPr="00A604A3" w:rsidTr="00445291">
        <w:trPr>
          <w:jc w:val="center"/>
        </w:trPr>
        <w:tc>
          <w:tcPr>
            <w:tcW w:w="2021" w:type="pct"/>
            <w:gridSpan w:val="3"/>
            <w:vMerge w:val="restart"/>
            <w:vAlign w:val="center"/>
            <w:hideMark/>
          </w:tcPr>
          <w:p w:rsidR="00AE0549" w:rsidRPr="00A604A3" w:rsidRDefault="00AE0549" w:rsidP="00445291">
            <w:pPr>
              <w:pStyle w:val="Tablehead"/>
              <w:rPr>
                <w:lang w:eastAsia="zh-CN"/>
              </w:rPr>
            </w:pPr>
            <w:r w:rsidRPr="00A604A3">
              <w:rPr>
                <w:lang w:eastAsia="zh-CN"/>
              </w:rPr>
              <w:t>UL user plane latency – NR TDD (DDDSU)</w:t>
            </w:r>
          </w:p>
        </w:tc>
        <w:tc>
          <w:tcPr>
            <w:tcW w:w="1499" w:type="pct"/>
            <w:gridSpan w:val="3"/>
            <w:vAlign w:val="center"/>
            <w:hideMark/>
          </w:tcPr>
          <w:p w:rsidR="00AE0549" w:rsidRPr="00A604A3" w:rsidRDefault="00AE0549" w:rsidP="00445291">
            <w:pPr>
              <w:pStyle w:val="Tablehead"/>
              <w:rPr>
                <w:lang w:eastAsia="zh-CN"/>
              </w:rPr>
            </w:pPr>
            <w:r w:rsidRPr="00A604A3">
              <w:rPr>
                <w:lang w:eastAsia="zh-CN"/>
              </w:rPr>
              <w:t>UE capability 1</w:t>
            </w:r>
          </w:p>
        </w:tc>
        <w:tc>
          <w:tcPr>
            <w:tcW w:w="1480" w:type="pct"/>
            <w:gridSpan w:val="3"/>
            <w:vAlign w:val="center"/>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2021" w:type="pct"/>
            <w:gridSpan w:val="3"/>
            <w:vMerge/>
            <w:vAlign w:val="center"/>
            <w:hideMark/>
          </w:tcPr>
          <w:p w:rsidR="00AE0549" w:rsidRPr="00A604A3" w:rsidRDefault="00AE0549" w:rsidP="00445291">
            <w:pPr>
              <w:pStyle w:val="Tablehead"/>
              <w:rPr>
                <w:lang w:eastAsia="zh-CN"/>
              </w:rPr>
            </w:pPr>
          </w:p>
        </w:tc>
        <w:tc>
          <w:tcPr>
            <w:tcW w:w="1499" w:type="pct"/>
            <w:gridSpan w:val="3"/>
            <w:vAlign w:val="center"/>
            <w:hideMark/>
          </w:tcPr>
          <w:p w:rsidR="00AE0549" w:rsidRPr="00A604A3" w:rsidRDefault="00AE0549" w:rsidP="00445291">
            <w:pPr>
              <w:pStyle w:val="Tablehead"/>
              <w:rPr>
                <w:lang w:eastAsia="zh-CN"/>
              </w:rPr>
            </w:pPr>
            <w:r w:rsidRPr="00A604A3">
              <w:rPr>
                <w:lang w:eastAsia="zh-CN"/>
              </w:rPr>
              <w:t>SCS</w:t>
            </w:r>
          </w:p>
        </w:tc>
        <w:tc>
          <w:tcPr>
            <w:tcW w:w="1480" w:type="pct"/>
            <w:gridSpan w:val="3"/>
            <w:vAlign w:val="center"/>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2021" w:type="pct"/>
            <w:gridSpan w:val="3"/>
            <w:vMerge/>
            <w:vAlign w:val="center"/>
            <w:hideMark/>
          </w:tcPr>
          <w:p w:rsidR="00AE0549" w:rsidRPr="00A604A3" w:rsidRDefault="00AE0549" w:rsidP="00445291">
            <w:pPr>
              <w:pStyle w:val="Tablehead"/>
              <w:rPr>
                <w:lang w:eastAsia="zh-CN"/>
              </w:rPr>
            </w:pPr>
          </w:p>
        </w:tc>
        <w:tc>
          <w:tcPr>
            <w:tcW w:w="510"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94"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95"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497" w:type="pct"/>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94"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89" w:type="pct"/>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807"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3.56</w:t>
            </w:r>
          </w:p>
        </w:tc>
        <w:tc>
          <w:tcPr>
            <w:tcW w:w="494" w:type="pct"/>
            <w:vAlign w:val="center"/>
          </w:tcPr>
          <w:p w:rsidR="00AE0549" w:rsidRPr="00A604A3" w:rsidRDefault="00AE0549" w:rsidP="00445291">
            <w:pPr>
              <w:pStyle w:val="Tabletext"/>
              <w:jc w:val="center"/>
              <w:rPr>
                <w:color w:val="000000"/>
              </w:rPr>
            </w:pPr>
            <w:r w:rsidRPr="00A604A3">
              <w:rPr>
                <w:color w:val="000000"/>
              </w:rPr>
              <w:t>1.87</w:t>
            </w:r>
          </w:p>
        </w:tc>
        <w:tc>
          <w:tcPr>
            <w:tcW w:w="495" w:type="pct"/>
            <w:noWrap/>
            <w:vAlign w:val="center"/>
          </w:tcPr>
          <w:p w:rsidR="00AE0549" w:rsidRPr="00A604A3" w:rsidRDefault="00AE0549" w:rsidP="00445291">
            <w:pPr>
              <w:pStyle w:val="Tabletext"/>
              <w:jc w:val="center"/>
              <w:rPr>
                <w:color w:val="000000"/>
              </w:rPr>
            </w:pPr>
            <w:r w:rsidRPr="00A604A3">
              <w:rPr>
                <w:color w:val="000000"/>
              </w:rPr>
              <w:t>1.13</w:t>
            </w:r>
          </w:p>
        </w:tc>
        <w:tc>
          <w:tcPr>
            <w:tcW w:w="497" w:type="pct"/>
            <w:vAlign w:val="center"/>
          </w:tcPr>
          <w:p w:rsidR="00AE0549" w:rsidRPr="00A604A3" w:rsidRDefault="00AE0549" w:rsidP="00445291">
            <w:pPr>
              <w:pStyle w:val="Tabletext"/>
              <w:jc w:val="center"/>
              <w:rPr>
                <w:color w:val="000000"/>
              </w:rPr>
            </w:pPr>
            <w:r w:rsidRPr="00A604A3">
              <w:rPr>
                <w:color w:val="000000"/>
              </w:rPr>
              <w:t>3.15</w:t>
            </w:r>
          </w:p>
        </w:tc>
        <w:tc>
          <w:tcPr>
            <w:tcW w:w="494" w:type="pct"/>
            <w:vAlign w:val="center"/>
          </w:tcPr>
          <w:p w:rsidR="00AE0549" w:rsidRPr="00A604A3" w:rsidRDefault="00AE0549" w:rsidP="00445291">
            <w:pPr>
              <w:pStyle w:val="Tabletext"/>
              <w:jc w:val="center"/>
              <w:rPr>
                <w:color w:val="000000"/>
              </w:rPr>
            </w:pPr>
            <w:r w:rsidRPr="00A604A3">
              <w:rPr>
                <w:color w:val="000000"/>
              </w:rPr>
              <w:t>1.63</w:t>
            </w:r>
          </w:p>
        </w:tc>
        <w:tc>
          <w:tcPr>
            <w:tcW w:w="489" w:type="pct"/>
            <w:vAlign w:val="center"/>
          </w:tcPr>
          <w:p w:rsidR="00AE0549" w:rsidRPr="00A604A3" w:rsidRDefault="00AE0549" w:rsidP="00445291">
            <w:pPr>
              <w:pStyle w:val="Tabletext"/>
              <w:jc w:val="center"/>
              <w:rPr>
                <w:color w:val="000000"/>
              </w:rPr>
            </w:pPr>
            <w:r w:rsidRPr="00A604A3">
              <w:rPr>
                <w:color w:val="000000"/>
              </w:rPr>
              <w:t>0.91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FF0000"/>
              </w:rPr>
              <w:t>4.00</w:t>
            </w:r>
          </w:p>
        </w:tc>
        <w:tc>
          <w:tcPr>
            <w:tcW w:w="494" w:type="pct"/>
            <w:vAlign w:val="center"/>
          </w:tcPr>
          <w:p w:rsidR="00AE0549" w:rsidRPr="00A604A3" w:rsidRDefault="00AE0549" w:rsidP="00445291">
            <w:pPr>
              <w:pStyle w:val="Tabletext"/>
              <w:jc w:val="center"/>
              <w:rPr>
                <w:color w:val="000000"/>
              </w:rPr>
            </w:pPr>
            <w:r w:rsidRPr="00A604A3">
              <w:rPr>
                <w:color w:val="000000"/>
              </w:rPr>
              <w:t>2.12</w:t>
            </w:r>
          </w:p>
        </w:tc>
        <w:tc>
          <w:tcPr>
            <w:tcW w:w="495" w:type="pct"/>
            <w:noWrap/>
            <w:vAlign w:val="center"/>
          </w:tcPr>
          <w:p w:rsidR="00AE0549" w:rsidRPr="00A604A3" w:rsidRDefault="00AE0549" w:rsidP="00445291">
            <w:pPr>
              <w:pStyle w:val="Tabletext"/>
              <w:jc w:val="center"/>
              <w:rPr>
                <w:color w:val="000000"/>
              </w:rPr>
            </w:pPr>
            <w:r w:rsidRPr="00A604A3">
              <w:rPr>
                <w:color w:val="000000"/>
              </w:rPr>
              <w:t>1.26</w:t>
            </w:r>
          </w:p>
        </w:tc>
        <w:tc>
          <w:tcPr>
            <w:tcW w:w="497" w:type="pct"/>
            <w:vAlign w:val="center"/>
          </w:tcPr>
          <w:p w:rsidR="00AE0549" w:rsidRPr="00A604A3" w:rsidRDefault="00AE0549" w:rsidP="00445291">
            <w:pPr>
              <w:pStyle w:val="Tabletext"/>
              <w:jc w:val="center"/>
              <w:rPr>
                <w:color w:val="000000"/>
              </w:rPr>
            </w:pPr>
            <w:r w:rsidRPr="00A604A3">
              <w:rPr>
                <w:color w:val="000000"/>
              </w:rPr>
              <w:t>3.73</w:t>
            </w:r>
          </w:p>
        </w:tc>
        <w:tc>
          <w:tcPr>
            <w:tcW w:w="494" w:type="pct"/>
            <w:vAlign w:val="center"/>
          </w:tcPr>
          <w:p w:rsidR="00AE0549" w:rsidRPr="00A604A3" w:rsidRDefault="00AE0549" w:rsidP="00445291">
            <w:pPr>
              <w:pStyle w:val="Tabletext"/>
              <w:jc w:val="center"/>
              <w:rPr>
                <w:color w:val="000000"/>
              </w:rPr>
            </w:pPr>
            <w:r w:rsidRPr="00A604A3">
              <w:rPr>
                <w:color w:val="000000"/>
              </w:rPr>
              <w:t>1.86</w:t>
            </w:r>
          </w:p>
        </w:tc>
        <w:tc>
          <w:tcPr>
            <w:tcW w:w="489" w:type="pct"/>
            <w:vAlign w:val="center"/>
          </w:tcPr>
          <w:p w:rsidR="00AE0549" w:rsidRPr="00A604A3" w:rsidRDefault="00AE0549" w:rsidP="00445291">
            <w:pPr>
              <w:pStyle w:val="Tabletext"/>
              <w:jc w:val="center"/>
              <w:rPr>
                <w:color w:val="000000"/>
              </w:rPr>
            </w:pPr>
            <w:r w:rsidRPr="00A604A3">
              <w:rPr>
                <w:color w:val="000000"/>
              </w:rPr>
              <w:t>1.01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3.76</w:t>
            </w:r>
          </w:p>
        </w:tc>
        <w:tc>
          <w:tcPr>
            <w:tcW w:w="494" w:type="pct"/>
            <w:vAlign w:val="center"/>
          </w:tcPr>
          <w:p w:rsidR="00AE0549" w:rsidRPr="00A604A3" w:rsidRDefault="00AE0549" w:rsidP="00445291">
            <w:pPr>
              <w:pStyle w:val="Tabletext"/>
              <w:jc w:val="center"/>
              <w:rPr>
                <w:color w:val="000000"/>
              </w:rPr>
            </w:pPr>
            <w:r w:rsidRPr="00A604A3">
              <w:rPr>
                <w:color w:val="000000"/>
              </w:rPr>
              <w:t>1.95</w:t>
            </w:r>
          </w:p>
        </w:tc>
        <w:tc>
          <w:tcPr>
            <w:tcW w:w="495" w:type="pct"/>
            <w:noWrap/>
            <w:vAlign w:val="center"/>
          </w:tcPr>
          <w:p w:rsidR="00AE0549" w:rsidRPr="00A604A3" w:rsidRDefault="00AE0549" w:rsidP="00445291">
            <w:pPr>
              <w:pStyle w:val="Tabletext"/>
              <w:jc w:val="center"/>
              <w:rPr>
                <w:color w:val="000000"/>
              </w:rPr>
            </w:pPr>
            <w:r w:rsidRPr="00A604A3">
              <w:rPr>
                <w:color w:val="000000"/>
              </w:rPr>
              <w:t>1.17</w:t>
            </w:r>
          </w:p>
        </w:tc>
        <w:tc>
          <w:tcPr>
            <w:tcW w:w="497" w:type="pct"/>
            <w:vAlign w:val="center"/>
          </w:tcPr>
          <w:p w:rsidR="00AE0549" w:rsidRPr="00A604A3" w:rsidRDefault="00AE0549" w:rsidP="00445291">
            <w:pPr>
              <w:pStyle w:val="Tabletext"/>
              <w:jc w:val="center"/>
              <w:rPr>
                <w:color w:val="000000"/>
              </w:rPr>
            </w:pPr>
            <w:r w:rsidRPr="00A604A3">
              <w:rPr>
                <w:color w:val="000000"/>
              </w:rPr>
              <w:t>3.35</w:t>
            </w:r>
          </w:p>
        </w:tc>
        <w:tc>
          <w:tcPr>
            <w:tcW w:w="494" w:type="pct"/>
            <w:vAlign w:val="center"/>
          </w:tcPr>
          <w:p w:rsidR="00AE0549" w:rsidRPr="00A604A3" w:rsidRDefault="00AE0549" w:rsidP="00445291">
            <w:pPr>
              <w:pStyle w:val="Tabletext"/>
              <w:jc w:val="center"/>
              <w:rPr>
                <w:color w:val="000000"/>
              </w:rPr>
            </w:pPr>
            <w:r w:rsidRPr="00A604A3">
              <w:rPr>
                <w:color w:val="000000"/>
              </w:rPr>
              <w:t>1.69</w:t>
            </w:r>
          </w:p>
        </w:tc>
        <w:tc>
          <w:tcPr>
            <w:tcW w:w="489" w:type="pct"/>
            <w:vAlign w:val="center"/>
          </w:tcPr>
          <w:p w:rsidR="00AE0549" w:rsidRPr="00A604A3" w:rsidRDefault="00AE0549" w:rsidP="00445291">
            <w:pPr>
              <w:pStyle w:val="Tabletext"/>
              <w:jc w:val="center"/>
              <w:rPr>
                <w:color w:val="000000"/>
              </w:rPr>
            </w:pPr>
            <w:r w:rsidRPr="00A604A3">
              <w:rPr>
                <w:color w:val="000000"/>
              </w:rPr>
              <w:t>0.96</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FF0000"/>
              </w:rPr>
            </w:pPr>
            <w:r w:rsidRPr="00A604A3">
              <w:rPr>
                <w:color w:val="FF0000"/>
              </w:rPr>
              <w:t>4.37</w:t>
            </w:r>
          </w:p>
        </w:tc>
        <w:tc>
          <w:tcPr>
            <w:tcW w:w="494" w:type="pct"/>
            <w:vAlign w:val="center"/>
          </w:tcPr>
          <w:p w:rsidR="00AE0549" w:rsidRPr="00A604A3" w:rsidRDefault="00AE0549" w:rsidP="00445291">
            <w:pPr>
              <w:pStyle w:val="Tabletext"/>
              <w:jc w:val="center"/>
              <w:rPr>
                <w:color w:val="000000"/>
              </w:rPr>
            </w:pPr>
            <w:r w:rsidRPr="00A604A3">
              <w:rPr>
                <w:color w:val="000000"/>
              </w:rPr>
              <w:t>2.21</w:t>
            </w:r>
          </w:p>
        </w:tc>
        <w:tc>
          <w:tcPr>
            <w:tcW w:w="495" w:type="pct"/>
            <w:noWrap/>
            <w:vAlign w:val="center"/>
          </w:tcPr>
          <w:p w:rsidR="00AE0549" w:rsidRPr="00A604A3" w:rsidRDefault="00AE0549" w:rsidP="00445291">
            <w:pPr>
              <w:pStyle w:val="Tabletext"/>
              <w:jc w:val="center"/>
              <w:rPr>
                <w:color w:val="000000"/>
              </w:rPr>
            </w:pPr>
            <w:r w:rsidRPr="00A604A3">
              <w:rPr>
                <w:color w:val="000000"/>
              </w:rPr>
              <w:t>1.36</w:t>
            </w:r>
          </w:p>
        </w:tc>
        <w:tc>
          <w:tcPr>
            <w:tcW w:w="497" w:type="pct"/>
            <w:vAlign w:val="center"/>
          </w:tcPr>
          <w:p w:rsidR="00AE0549" w:rsidRPr="00A604A3" w:rsidRDefault="00AE0549" w:rsidP="00445291">
            <w:pPr>
              <w:pStyle w:val="Tabletext"/>
              <w:jc w:val="center"/>
              <w:rPr>
                <w:color w:val="000000"/>
              </w:rPr>
            </w:pPr>
            <w:r w:rsidRPr="00A604A3">
              <w:rPr>
                <w:color w:val="000000"/>
              </w:rPr>
              <w:t>3.97</w:t>
            </w:r>
          </w:p>
        </w:tc>
        <w:tc>
          <w:tcPr>
            <w:tcW w:w="494" w:type="pct"/>
            <w:vAlign w:val="center"/>
          </w:tcPr>
          <w:p w:rsidR="00AE0549" w:rsidRPr="00A604A3" w:rsidRDefault="00AE0549" w:rsidP="00445291">
            <w:pPr>
              <w:pStyle w:val="Tabletext"/>
              <w:jc w:val="center"/>
              <w:rPr>
                <w:color w:val="000000"/>
              </w:rPr>
            </w:pPr>
            <w:r w:rsidRPr="00A604A3">
              <w:rPr>
                <w:color w:val="000000"/>
              </w:rPr>
              <w:t>2.02</w:t>
            </w:r>
          </w:p>
        </w:tc>
        <w:tc>
          <w:tcPr>
            <w:tcW w:w="489" w:type="pct"/>
            <w:vAlign w:val="center"/>
          </w:tcPr>
          <w:p w:rsidR="00AE0549" w:rsidRPr="00A604A3" w:rsidRDefault="00AE0549" w:rsidP="00445291">
            <w:pPr>
              <w:pStyle w:val="Tabletext"/>
              <w:jc w:val="center"/>
              <w:rPr>
                <w:color w:val="000000"/>
              </w:rPr>
            </w:pPr>
            <w:r w:rsidRPr="00A604A3">
              <w:rPr>
                <w:color w:val="000000"/>
              </w:rPr>
              <w:t>1.11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FF0000"/>
              </w:rPr>
            </w:pPr>
            <w:r w:rsidRPr="00A604A3">
              <w:rPr>
                <w:color w:val="FF0000"/>
              </w:rPr>
              <w:t>4.27</w:t>
            </w:r>
          </w:p>
        </w:tc>
        <w:tc>
          <w:tcPr>
            <w:tcW w:w="494" w:type="pct"/>
            <w:vAlign w:val="center"/>
          </w:tcPr>
          <w:p w:rsidR="00AE0549" w:rsidRPr="00A604A3" w:rsidRDefault="00AE0549" w:rsidP="00445291">
            <w:pPr>
              <w:pStyle w:val="Tabletext"/>
              <w:jc w:val="center"/>
              <w:rPr>
                <w:color w:val="000000"/>
              </w:rPr>
            </w:pPr>
            <w:r w:rsidRPr="00A604A3">
              <w:rPr>
                <w:color w:val="000000"/>
              </w:rPr>
              <w:t>2.25</w:t>
            </w:r>
          </w:p>
        </w:tc>
        <w:tc>
          <w:tcPr>
            <w:tcW w:w="495" w:type="pct"/>
            <w:noWrap/>
            <w:vAlign w:val="center"/>
          </w:tcPr>
          <w:p w:rsidR="00AE0549" w:rsidRPr="00A604A3" w:rsidRDefault="00AE0549" w:rsidP="00445291">
            <w:pPr>
              <w:pStyle w:val="Tabletext"/>
              <w:jc w:val="center"/>
              <w:rPr>
                <w:color w:val="000000"/>
              </w:rPr>
            </w:pPr>
            <w:r w:rsidRPr="00A604A3">
              <w:rPr>
                <w:color w:val="000000"/>
              </w:rPr>
              <w:t>1.31</w:t>
            </w:r>
          </w:p>
        </w:tc>
        <w:tc>
          <w:tcPr>
            <w:tcW w:w="497" w:type="pct"/>
            <w:vAlign w:val="center"/>
          </w:tcPr>
          <w:p w:rsidR="00AE0549" w:rsidRPr="00A604A3" w:rsidRDefault="00AE0549" w:rsidP="00445291">
            <w:pPr>
              <w:pStyle w:val="Tabletext"/>
              <w:jc w:val="center"/>
              <w:rPr>
                <w:color w:val="000000"/>
              </w:rPr>
            </w:pPr>
            <w:r w:rsidRPr="00A604A3">
              <w:rPr>
                <w:color w:val="000000"/>
              </w:rPr>
              <w:t>3.97</w:t>
            </w:r>
          </w:p>
        </w:tc>
        <w:tc>
          <w:tcPr>
            <w:tcW w:w="494" w:type="pct"/>
            <w:vAlign w:val="center"/>
          </w:tcPr>
          <w:p w:rsidR="00AE0549" w:rsidRPr="00A604A3" w:rsidRDefault="00AE0549" w:rsidP="00445291">
            <w:pPr>
              <w:pStyle w:val="Tabletext"/>
              <w:jc w:val="center"/>
              <w:rPr>
                <w:color w:val="000000"/>
              </w:rPr>
            </w:pPr>
            <w:r w:rsidRPr="00A604A3">
              <w:rPr>
                <w:color w:val="000000"/>
              </w:rPr>
              <w:t>1.94</w:t>
            </w:r>
          </w:p>
        </w:tc>
        <w:tc>
          <w:tcPr>
            <w:tcW w:w="489" w:type="pct"/>
            <w:vAlign w:val="center"/>
          </w:tcPr>
          <w:p w:rsidR="00AE0549" w:rsidRPr="00A604A3" w:rsidRDefault="00AE0549" w:rsidP="00445291">
            <w:pPr>
              <w:pStyle w:val="Tabletext"/>
              <w:jc w:val="center"/>
              <w:rPr>
                <w:color w:val="000000"/>
              </w:rPr>
            </w:pPr>
            <w:r w:rsidRPr="00A604A3">
              <w:rPr>
                <w:color w:val="000000"/>
              </w:rPr>
              <w:t>1.11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FF0000"/>
              </w:rPr>
            </w:pPr>
            <w:r w:rsidRPr="00A604A3">
              <w:rPr>
                <w:color w:val="FF0000"/>
              </w:rPr>
              <w:t>4.79</w:t>
            </w:r>
          </w:p>
        </w:tc>
        <w:tc>
          <w:tcPr>
            <w:tcW w:w="494" w:type="pct"/>
            <w:vAlign w:val="center"/>
          </w:tcPr>
          <w:p w:rsidR="00AE0549" w:rsidRPr="00A604A3" w:rsidRDefault="00AE0549" w:rsidP="00445291">
            <w:pPr>
              <w:pStyle w:val="Tabletext"/>
              <w:jc w:val="center"/>
              <w:rPr>
                <w:color w:val="000000"/>
              </w:rPr>
            </w:pPr>
            <w:r w:rsidRPr="00A604A3">
              <w:rPr>
                <w:color w:val="000000"/>
              </w:rPr>
              <w:t>2.46</w:t>
            </w:r>
          </w:p>
        </w:tc>
        <w:tc>
          <w:tcPr>
            <w:tcW w:w="495" w:type="pct"/>
            <w:noWrap/>
            <w:vAlign w:val="center"/>
          </w:tcPr>
          <w:p w:rsidR="00AE0549" w:rsidRPr="00A604A3" w:rsidRDefault="00AE0549" w:rsidP="00445291">
            <w:pPr>
              <w:pStyle w:val="Tabletext"/>
              <w:jc w:val="center"/>
              <w:rPr>
                <w:color w:val="000000"/>
              </w:rPr>
            </w:pPr>
            <w:r w:rsidRPr="00A604A3">
              <w:rPr>
                <w:color w:val="000000"/>
              </w:rPr>
              <w:t>1.58</w:t>
            </w:r>
          </w:p>
        </w:tc>
        <w:tc>
          <w:tcPr>
            <w:tcW w:w="497" w:type="pct"/>
            <w:vAlign w:val="center"/>
          </w:tcPr>
          <w:p w:rsidR="00AE0549" w:rsidRPr="00A604A3" w:rsidRDefault="00AE0549" w:rsidP="00445291">
            <w:pPr>
              <w:pStyle w:val="Tabletext"/>
              <w:jc w:val="center"/>
              <w:rPr>
                <w:color w:val="FF0000"/>
              </w:rPr>
            </w:pPr>
            <w:r w:rsidRPr="00A604A3">
              <w:rPr>
                <w:color w:val="FF0000"/>
              </w:rPr>
              <w:t>4.30</w:t>
            </w:r>
          </w:p>
        </w:tc>
        <w:tc>
          <w:tcPr>
            <w:tcW w:w="494" w:type="pct"/>
            <w:vAlign w:val="center"/>
          </w:tcPr>
          <w:p w:rsidR="00AE0549" w:rsidRPr="00A604A3" w:rsidRDefault="00AE0549" w:rsidP="00445291">
            <w:pPr>
              <w:pStyle w:val="Tabletext"/>
              <w:jc w:val="center"/>
              <w:rPr>
                <w:color w:val="000000"/>
              </w:rPr>
            </w:pPr>
            <w:r w:rsidRPr="00A604A3">
              <w:rPr>
                <w:color w:val="000000"/>
              </w:rPr>
              <w:t>2.26</w:t>
            </w:r>
          </w:p>
        </w:tc>
        <w:tc>
          <w:tcPr>
            <w:tcW w:w="489" w:type="pct"/>
            <w:vAlign w:val="center"/>
          </w:tcPr>
          <w:p w:rsidR="00AE0549" w:rsidRPr="00A604A3" w:rsidRDefault="00AE0549" w:rsidP="00445291">
            <w:pPr>
              <w:pStyle w:val="Tabletext"/>
              <w:jc w:val="center"/>
              <w:rPr>
                <w:color w:val="000000"/>
              </w:rPr>
            </w:pPr>
            <w:r w:rsidRPr="00A604A3">
              <w:rPr>
                <w:color w:val="000000"/>
              </w:rPr>
              <w:t>1.23</w:t>
            </w:r>
          </w:p>
        </w:tc>
      </w:tr>
      <w:tr w:rsidR="00AE0549" w:rsidRPr="00A604A3" w:rsidTr="00445291">
        <w:trPr>
          <w:jc w:val="center"/>
        </w:trPr>
        <w:tc>
          <w:tcPr>
            <w:tcW w:w="807"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2.51</w:t>
            </w:r>
          </w:p>
        </w:tc>
        <w:tc>
          <w:tcPr>
            <w:tcW w:w="494" w:type="pct"/>
            <w:vAlign w:val="center"/>
          </w:tcPr>
          <w:p w:rsidR="00AE0549" w:rsidRPr="00A604A3" w:rsidRDefault="00AE0549" w:rsidP="00445291">
            <w:pPr>
              <w:pStyle w:val="Tabletext"/>
              <w:jc w:val="center"/>
              <w:rPr>
                <w:color w:val="000000"/>
              </w:rPr>
            </w:pPr>
            <w:r w:rsidRPr="00A604A3">
              <w:rPr>
                <w:color w:val="000000"/>
              </w:rPr>
              <w:t>1.33</w:t>
            </w:r>
          </w:p>
        </w:tc>
        <w:tc>
          <w:tcPr>
            <w:tcW w:w="495" w:type="pct"/>
            <w:noWrap/>
            <w:vAlign w:val="center"/>
          </w:tcPr>
          <w:p w:rsidR="00AE0549" w:rsidRPr="00A604A3" w:rsidRDefault="00AE0549" w:rsidP="00445291">
            <w:pPr>
              <w:pStyle w:val="Tabletext"/>
              <w:jc w:val="center"/>
              <w:rPr>
                <w:color w:val="000000"/>
              </w:rPr>
            </w:pPr>
            <w:r w:rsidRPr="00A604A3">
              <w:rPr>
                <w:color w:val="000000"/>
              </w:rPr>
              <w:t>0.87</w:t>
            </w:r>
          </w:p>
        </w:tc>
        <w:tc>
          <w:tcPr>
            <w:tcW w:w="497" w:type="pct"/>
            <w:vAlign w:val="center"/>
          </w:tcPr>
          <w:p w:rsidR="00AE0549" w:rsidRPr="00A604A3" w:rsidRDefault="00AE0549" w:rsidP="00445291">
            <w:pPr>
              <w:pStyle w:val="Tabletext"/>
              <w:jc w:val="center"/>
              <w:rPr>
                <w:color w:val="000000"/>
              </w:rPr>
            </w:pPr>
            <w:r w:rsidRPr="00A604A3">
              <w:rPr>
                <w:color w:val="000000"/>
              </w:rPr>
              <w:t>2.18</w:t>
            </w:r>
          </w:p>
        </w:tc>
        <w:tc>
          <w:tcPr>
            <w:tcW w:w="494" w:type="pct"/>
            <w:vAlign w:val="center"/>
          </w:tcPr>
          <w:p w:rsidR="00AE0549" w:rsidRPr="00A604A3" w:rsidRDefault="00AE0549" w:rsidP="00445291">
            <w:pPr>
              <w:pStyle w:val="Tabletext"/>
              <w:jc w:val="center"/>
              <w:rPr>
                <w:color w:val="000000"/>
              </w:rPr>
            </w:pPr>
            <w:r w:rsidRPr="00A604A3">
              <w:rPr>
                <w:color w:val="000000"/>
              </w:rPr>
              <w:t>1.10</w:t>
            </w:r>
          </w:p>
        </w:tc>
        <w:tc>
          <w:tcPr>
            <w:tcW w:w="489" w:type="pct"/>
            <w:vAlign w:val="center"/>
          </w:tcPr>
          <w:p w:rsidR="00AE0549" w:rsidRPr="00A604A3" w:rsidRDefault="00AE0549" w:rsidP="00445291">
            <w:pPr>
              <w:pStyle w:val="Tabletext"/>
              <w:jc w:val="center"/>
              <w:rPr>
                <w:color w:val="000000"/>
              </w:rPr>
            </w:pPr>
            <w:r w:rsidRPr="00A604A3">
              <w:rPr>
                <w:color w:val="000000"/>
              </w:rPr>
              <w:t>0.66</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3.03</w:t>
            </w:r>
          </w:p>
        </w:tc>
        <w:tc>
          <w:tcPr>
            <w:tcW w:w="494" w:type="pct"/>
            <w:vAlign w:val="center"/>
          </w:tcPr>
          <w:p w:rsidR="00AE0549" w:rsidRPr="00A604A3" w:rsidRDefault="00AE0549" w:rsidP="00445291">
            <w:pPr>
              <w:pStyle w:val="Tabletext"/>
              <w:jc w:val="center"/>
              <w:rPr>
                <w:color w:val="000000"/>
              </w:rPr>
            </w:pPr>
            <w:r w:rsidRPr="00A604A3">
              <w:rPr>
                <w:color w:val="000000"/>
              </w:rPr>
              <w:t>1.58</w:t>
            </w:r>
          </w:p>
        </w:tc>
        <w:tc>
          <w:tcPr>
            <w:tcW w:w="495" w:type="pct"/>
            <w:noWrap/>
            <w:vAlign w:val="center"/>
          </w:tcPr>
          <w:p w:rsidR="00AE0549" w:rsidRPr="00A604A3" w:rsidRDefault="00AE0549" w:rsidP="00445291">
            <w:pPr>
              <w:pStyle w:val="Tabletext"/>
              <w:jc w:val="center"/>
              <w:rPr>
                <w:color w:val="000000"/>
              </w:rPr>
            </w:pPr>
            <w:r w:rsidRPr="00A604A3">
              <w:rPr>
                <w:color w:val="000000"/>
              </w:rPr>
              <w:t>1.01</w:t>
            </w:r>
          </w:p>
        </w:tc>
        <w:tc>
          <w:tcPr>
            <w:tcW w:w="497" w:type="pct"/>
            <w:vAlign w:val="center"/>
          </w:tcPr>
          <w:p w:rsidR="00AE0549" w:rsidRPr="00A604A3" w:rsidRDefault="00AE0549" w:rsidP="00445291">
            <w:pPr>
              <w:pStyle w:val="Tabletext"/>
              <w:jc w:val="center"/>
              <w:rPr>
                <w:color w:val="000000"/>
              </w:rPr>
            </w:pPr>
            <w:r w:rsidRPr="00A604A3">
              <w:rPr>
                <w:color w:val="000000"/>
              </w:rPr>
              <w:t>2.73</w:t>
            </w:r>
          </w:p>
        </w:tc>
        <w:tc>
          <w:tcPr>
            <w:tcW w:w="494" w:type="pct"/>
            <w:vAlign w:val="center"/>
          </w:tcPr>
          <w:p w:rsidR="00AE0549" w:rsidRPr="00A604A3" w:rsidRDefault="00AE0549" w:rsidP="00445291">
            <w:pPr>
              <w:pStyle w:val="Tabletext"/>
              <w:jc w:val="center"/>
              <w:rPr>
                <w:color w:val="000000"/>
              </w:rPr>
            </w:pPr>
            <w:r w:rsidRPr="00A604A3">
              <w:rPr>
                <w:color w:val="000000"/>
              </w:rPr>
              <w:t>1.36</w:t>
            </w:r>
          </w:p>
        </w:tc>
        <w:tc>
          <w:tcPr>
            <w:tcW w:w="489" w:type="pct"/>
            <w:vAlign w:val="center"/>
          </w:tcPr>
          <w:p w:rsidR="00AE0549" w:rsidRPr="00A604A3" w:rsidRDefault="00AE0549" w:rsidP="00445291">
            <w:pPr>
              <w:pStyle w:val="Tabletext"/>
              <w:jc w:val="center"/>
              <w:rPr>
                <w:color w:val="000000"/>
              </w:rPr>
            </w:pPr>
            <w:r w:rsidRPr="00A604A3">
              <w:rPr>
                <w:color w:val="000000"/>
              </w:rPr>
              <w:t>0.80</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3.09</w:t>
            </w:r>
          </w:p>
        </w:tc>
        <w:tc>
          <w:tcPr>
            <w:tcW w:w="494" w:type="pct"/>
            <w:vAlign w:val="center"/>
          </w:tcPr>
          <w:p w:rsidR="00AE0549" w:rsidRPr="00A604A3" w:rsidRDefault="00AE0549" w:rsidP="00445291">
            <w:pPr>
              <w:pStyle w:val="Tabletext"/>
              <w:jc w:val="center"/>
              <w:rPr>
                <w:color w:val="000000"/>
              </w:rPr>
            </w:pPr>
            <w:r w:rsidRPr="00A604A3">
              <w:rPr>
                <w:color w:val="000000"/>
              </w:rPr>
              <w:t>1.61</w:t>
            </w:r>
          </w:p>
        </w:tc>
        <w:tc>
          <w:tcPr>
            <w:tcW w:w="495" w:type="pct"/>
            <w:noWrap/>
            <w:vAlign w:val="center"/>
          </w:tcPr>
          <w:p w:rsidR="00AE0549" w:rsidRPr="00A604A3" w:rsidRDefault="00AE0549" w:rsidP="00445291">
            <w:pPr>
              <w:pStyle w:val="Tabletext"/>
              <w:jc w:val="center"/>
              <w:rPr>
                <w:color w:val="000000"/>
              </w:rPr>
            </w:pPr>
            <w:r w:rsidRPr="00A604A3">
              <w:rPr>
                <w:color w:val="000000"/>
              </w:rPr>
              <w:t>1.01</w:t>
            </w:r>
          </w:p>
        </w:tc>
        <w:tc>
          <w:tcPr>
            <w:tcW w:w="497" w:type="pct"/>
            <w:vAlign w:val="center"/>
          </w:tcPr>
          <w:p w:rsidR="00AE0549" w:rsidRPr="00A604A3" w:rsidRDefault="00AE0549" w:rsidP="00445291">
            <w:pPr>
              <w:pStyle w:val="Tabletext"/>
              <w:jc w:val="center"/>
              <w:rPr>
                <w:color w:val="000000"/>
              </w:rPr>
            </w:pPr>
            <w:r w:rsidRPr="00A604A3">
              <w:rPr>
                <w:color w:val="000000"/>
              </w:rPr>
              <w:t>2.76</w:t>
            </w:r>
          </w:p>
        </w:tc>
        <w:tc>
          <w:tcPr>
            <w:tcW w:w="494" w:type="pct"/>
            <w:vAlign w:val="center"/>
          </w:tcPr>
          <w:p w:rsidR="00AE0549" w:rsidRPr="00A604A3" w:rsidRDefault="00AE0549" w:rsidP="00445291">
            <w:pPr>
              <w:pStyle w:val="Tabletext"/>
              <w:jc w:val="center"/>
              <w:rPr>
                <w:color w:val="000000"/>
              </w:rPr>
            </w:pPr>
            <w:r w:rsidRPr="00A604A3">
              <w:rPr>
                <w:color w:val="000000"/>
              </w:rPr>
              <w:t>1.38</w:t>
            </w:r>
          </w:p>
        </w:tc>
        <w:tc>
          <w:tcPr>
            <w:tcW w:w="489" w:type="pct"/>
            <w:vAlign w:val="center"/>
          </w:tcPr>
          <w:p w:rsidR="00AE0549" w:rsidRPr="00A604A3" w:rsidRDefault="00AE0549" w:rsidP="00445291">
            <w:pPr>
              <w:pStyle w:val="Tabletext"/>
              <w:jc w:val="center"/>
              <w:rPr>
                <w:color w:val="000000"/>
              </w:rPr>
            </w:pPr>
            <w:r w:rsidRPr="00A604A3">
              <w:rPr>
                <w:color w:val="000000"/>
              </w:rPr>
              <w:t>0.80</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3.63</w:t>
            </w:r>
          </w:p>
        </w:tc>
        <w:tc>
          <w:tcPr>
            <w:tcW w:w="494" w:type="pct"/>
            <w:vAlign w:val="center"/>
          </w:tcPr>
          <w:p w:rsidR="00AE0549" w:rsidRPr="00A604A3" w:rsidRDefault="00AE0549" w:rsidP="00445291">
            <w:pPr>
              <w:pStyle w:val="Tabletext"/>
              <w:jc w:val="center"/>
              <w:rPr>
                <w:color w:val="000000"/>
              </w:rPr>
            </w:pPr>
            <w:r w:rsidRPr="00A604A3">
              <w:rPr>
                <w:color w:val="000000"/>
              </w:rPr>
              <w:t>1.87</w:t>
            </w:r>
          </w:p>
        </w:tc>
        <w:tc>
          <w:tcPr>
            <w:tcW w:w="495" w:type="pct"/>
            <w:noWrap/>
            <w:vAlign w:val="center"/>
          </w:tcPr>
          <w:p w:rsidR="00AE0549" w:rsidRPr="00A604A3" w:rsidRDefault="00AE0549" w:rsidP="00445291">
            <w:pPr>
              <w:pStyle w:val="Tabletext"/>
              <w:jc w:val="center"/>
              <w:rPr>
                <w:color w:val="000000"/>
              </w:rPr>
            </w:pPr>
            <w:r w:rsidRPr="00A604A3">
              <w:rPr>
                <w:color w:val="000000"/>
              </w:rPr>
              <w:t>1.16</w:t>
            </w:r>
          </w:p>
        </w:tc>
        <w:tc>
          <w:tcPr>
            <w:tcW w:w="497" w:type="pct"/>
            <w:vAlign w:val="center"/>
          </w:tcPr>
          <w:p w:rsidR="00AE0549" w:rsidRPr="00A604A3" w:rsidRDefault="00AE0549" w:rsidP="00445291">
            <w:pPr>
              <w:pStyle w:val="Tabletext"/>
              <w:jc w:val="center"/>
              <w:rPr>
                <w:color w:val="000000"/>
              </w:rPr>
            </w:pPr>
            <w:r w:rsidRPr="00A604A3">
              <w:rPr>
                <w:color w:val="000000"/>
              </w:rPr>
              <w:t>3.32</w:t>
            </w:r>
          </w:p>
        </w:tc>
        <w:tc>
          <w:tcPr>
            <w:tcW w:w="494" w:type="pct"/>
            <w:vAlign w:val="center"/>
          </w:tcPr>
          <w:p w:rsidR="00AE0549" w:rsidRPr="00A604A3" w:rsidRDefault="00AE0549" w:rsidP="00445291">
            <w:pPr>
              <w:pStyle w:val="Tabletext"/>
              <w:jc w:val="center"/>
              <w:rPr>
                <w:color w:val="000000"/>
              </w:rPr>
            </w:pPr>
            <w:r w:rsidRPr="00A604A3">
              <w:rPr>
                <w:color w:val="000000"/>
              </w:rPr>
              <w:t>1.66</w:t>
            </w:r>
          </w:p>
        </w:tc>
        <w:tc>
          <w:tcPr>
            <w:tcW w:w="489" w:type="pct"/>
            <w:vAlign w:val="center"/>
          </w:tcPr>
          <w:p w:rsidR="00AE0549" w:rsidRPr="00A604A3" w:rsidRDefault="00AE0549" w:rsidP="00445291">
            <w:pPr>
              <w:pStyle w:val="Tabletext"/>
              <w:jc w:val="center"/>
              <w:rPr>
                <w:color w:val="000000"/>
              </w:rPr>
            </w:pPr>
            <w:r w:rsidRPr="00A604A3">
              <w:rPr>
                <w:color w:val="000000"/>
              </w:rPr>
              <w:t>0.93</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3.30</w:t>
            </w:r>
          </w:p>
        </w:tc>
        <w:tc>
          <w:tcPr>
            <w:tcW w:w="494" w:type="pct"/>
            <w:vAlign w:val="center"/>
          </w:tcPr>
          <w:p w:rsidR="00AE0549" w:rsidRPr="00A604A3" w:rsidRDefault="00AE0549" w:rsidP="00445291">
            <w:pPr>
              <w:pStyle w:val="Tabletext"/>
              <w:jc w:val="center"/>
              <w:rPr>
                <w:color w:val="000000"/>
              </w:rPr>
            </w:pPr>
            <w:r w:rsidRPr="00A604A3">
              <w:rPr>
                <w:color w:val="000000"/>
              </w:rPr>
              <w:t>1.73</w:t>
            </w:r>
          </w:p>
        </w:tc>
        <w:tc>
          <w:tcPr>
            <w:tcW w:w="495" w:type="pct"/>
            <w:noWrap/>
            <w:vAlign w:val="center"/>
          </w:tcPr>
          <w:p w:rsidR="00AE0549" w:rsidRPr="00A604A3" w:rsidRDefault="00AE0549" w:rsidP="00445291">
            <w:pPr>
              <w:pStyle w:val="Tabletext"/>
              <w:jc w:val="center"/>
              <w:rPr>
                <w:color w:val="000000"/>
              </w:rPr>
            </w:pPr>
            <w:r w:rsidRPr="00A604A3">
              <w:rPr>
                <w:color w:val="000000"/>
              </w:rPr>
              <w:t>1.07</w:t>
            </w:r>
          </w:p>
        </w:tc>
        <w:tc>
          <w:tcPr>
            <w:tcW w:w="497" w:type="pct"/>
            <w:vAlign w:val="center"/>
          </w:tcPr>
          <w:p w:rsidR="00AE0549" w:rsidRPr="00A604A3" w:rsidRDefault="00AE0549" w:rsidP="00445291">
            <w:pPr>
              <w:pStyle w:val="Tabletext"/>
              <w:jc w:val="center"/>
              <w:rPr>
                <w:color w:val="000000"/>
              </w:rPr>
            </w:pPr>
            <w:r w:rsidRPr="00A604A3">
              <w:rPr>
                <w:color w:val="000000"/>
              </w:rPr>
              <w:t>2.99</w:t>
            </w:r>
          </w:p>
        </w:tc>
        <w:tc>
          <w:tcPr>
            <w:tcW w:w="494" w:type="pct"/>
            <w:vAlign w:val="center"/>
          </w:tcPr>
          <w:p w:rsidR="00AE0549" w:rsidRPr="00A604A3" w:rsidRDefault="00AE0549" w:rsidP="00445291">
            <w:pPr>
              <w:pStyle w:val="Tabletext"/>
              <w:jc w:val="center"/>
              <w:rPr>
                <w:color w:val="000000"/>
              </w:rPr>
            </w:pPr>
            <w:r w:rsidRPr="00A604A3">
              <w:rPr>
                <w:color w:val="000000"/>
              </w:rPr>
              <w:t>1.49</w:t>
            </w:r>
          </w:p>
        </w:tc>
        <w:tc>
          <w:tcPr>
            <w:tcW w:w="489" w:type="pct"/>
            <w:vAlign w:val="center"/>
          </w:tcPr>
          <w:p w:rsidR="00AE0549" w:rsidRPr="00A604A3" w:rsidRDefault="00AE0549" w:rsidP="00445291">
            <w:pPr>
              <w:pStyle w:val="Tabletext"/>
              <w:jc w:val="center"/>
              <w:rPr>
                <w:color w:val="000000"/>
              </w:rPr>
            </w:pPr>
            <w:r w:rsidRPr="00A604A3">
              <w:rPr>
                <w:color w:val="000000"/>
              </w:rPr>
              <w:t>0.85</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3.87</w:t>
            </w:r>
          </w:p>
        </w:tc>
        <w:tc>
          <w:tcPr>
            <w:tcW w:w="494" w:type="pct"/>
            <w:vAlign w:val="center"/>
          </w:tcPr>
          <w:p w:rsidR="00AE0549" w:rsidRPr="00A604A3" w:rsidRDefault="00AE0549" w:rsidP="00445291">
            <w:pPr>
              <w:pStyle w:val="Tabletext"/>
              <w:jc w:val="center"/>
              <w:rPr>
                <w:color w:val="000000"/>
              </w:rPr>
            </w:pPr>
            <w:r w:rsidRPr="00A604A3">
              <w:rPr>
                <w:color w:val="000000"/>
              </w:rPr>
              <w:t>1.98</w:t>
            </w:r>
          </w:p>
        </w:tc>
        <w:tc>
          <w:tcPr>
            <w:tcW w:w="495" w:type="pct"/>
            <w:noWrap/>
            <w:vAlign w:val="center"/>
          </w:tcPr>
          <w:p w:rsidR="00AE0549" w:rsidRPr="00A604A3" w:rsidRDefault="00AE0549" w:rsidP="00445291">
            <w:pPr>
              <w:pStyle w:val="Tabletext"/>
              <w:jc w:val="center"/>
              <w:rPr>
                <w:color w:val="000000"/>
              </w:rPr>
            </w:pPr>
            <w:r w:rsidRPr="00A604A3">
              <w:rPr>
                <w:color w:val="000000"/>
              </w:rPr>
              <w:t>1.20</w:t>
            </w:r>
          </w:p>
        </w:tc>
        <w:tc>
          <w:tcPr>
            <w:tcW w:w="497" w:type="pct"/>
            <w:vAlign w:val="center"/>
          </w:tcPr>
          <w:p w:rsidR="00AE0549" w:rsidRPr="00A604A3" w:rsidRDefault="00AE0549" w:rsidP="00445291">
            <w:pPr>
              <w:pStyle w:val="Tabletext"/>
              <w:jc w:val="center"/>
              <w:rPr>
                <w:color w:val="000000"/>
              </w:rPr>
            </w:pPr>
            <w:r w:rsidRPr="00A604A3">
              <w:rPr>
                <w:color w:val="000000"/>
              </w:rPr>
              <w:t>3.56</w:t>
            </w:r>
          </w:p>
        </w:tc>
        <w:tc>
          <w:tcPr>
            <w:tcW w:w="494" w:type="pct"/>
            <w:vAlign w:val="center"/>
          </w:tcPr>
          <w:p w:rsidR="00AE0549" w:rsidRPr="00A604A3" w:rsidRDefault="00AE0549" w:rsidP="00445291">
            <w:pPr>
              <w:pStyle w:val="Tabletext"/>
              <w:jc w:val="center"/>
              <w:rPr>
                <w:color w:val="000000"/>
              </w:rPr>
            </w:pPr>
            <w:r w:rsidRPr="00A604A3">
              <w:rPr>
                <w:color w:val="000000"/>
              </w:rPr>
              <w:t>1.77</w:t>
            </w:r>
          </w:p>
        </w:tc>
        <w:tc>
          <w:tcPr>
            <w:tcW w:w="489" w:type="pct"/>
            <w:vAlign w:val="center"/>
          </w:tcPr>
          <w:p w:rsidR="00AE0549" w:rsidRPr="00A604A3" w:rsidRDefault="00AE0549" w:rsidP="00445291">
            <w:pPr>
              <w:pStyle w:val="Tabletext"/>
              <w:jc w:val="center"/>
              <w:rPr>
                <w:color w:val="000000"/>
              </w:rPr>
            </w:pPr>
            <w:r w:rsidRPr="00A604A3">
              <w:rPr>
                <w:color w:val="000000"/>
              </w:rPr>
              <w:t>0.99</w:t>
            </w:r>
          </w:p>
        </w:tc>
      </w:tr>
    </w:tbl>
    <w:p w:rsidR="00AE0549" w:rsidRPr="00A604A3" w:rsidRDefault="00AE0549" w:rsidP="00445291">
      <w:pPr>
        <w:pStyle w:val="Tablefin"/>
      </w:pPr>
    </w:p>
    <w:p w:rsidR="00445291" w:rsidRPr="00A604A3" w:rsidRDefault="00445291" w:rsidP="00445291">
      <w:pPr>
        <w:pStyle w:val="TableNo"/>
        <w:rPr>
          <w:rFonts w:eastAsia="MS Mincho"/>
        </w:rPr>
      </w:pPr>
      <w:bookmarkStart w:id="465" w:name="_Toc32066420"/>
      <w:r w:rsidRPr="00A604A3">
        <w:rPr>
          <w:rFonts w:eastAsia="MS Mincho"/>
        </w:rPr>
        <w:t>Table 100</w:t>
      </w:r>
    </w:p>
    <w:p w:rsidR="00445291" w:rsidRPr="00A604A3" w:rsidRDefault="00445291" w:rsidP="00445291">
      <w:pPr>
        <w:pStyle w:val="Tabletitle"/>
        <w:rPr>
          <w:rFonts w:eastAsia="MS Mincho"/>
        </w:rPr>
      </w:pPr>
      <w:r w:rsidRPr="00A604A3">
        <w:rPr>
          <w:rFonts w:eastAsia="MS Mincho"/>
        </w:rPr>
        <w:t>UL user plane latency for NR TDD with grant free transmission (ms)</w:t>
      </w:r>
      <w:r w:rsidRPr="00A604A3">
        <w:rPr>
          <w:rFonts w:eastAsia="MS Mincho"/>
        </w:rPr>
        <w:br/>
        <w:t>(Frame structure: DSUUD)</w:t>
      </w:r>
      <w:bookmarkEnd w:id="465"/>
    </w:p>
    <w:tbl>
      <w:tblPr>
        <w:tblStyle w:val="TableGrid"/>
        <w:tblW w:w="4871" w:type="pct"/>
        <w:jc w:val="center"/>
        <w:tblLayout w:type="fixed"/>
        <w:tblLook w:val="04A0" w:firstRow="1" w:lastRow="0" w:firstColumn="1" w:lastColumn="0" w:noHBand="0" w:noVBand="1"/>
      </w:tblPr>
      <w:tblGrid>
        <w:gridCol w:w="1272"/>
        <w:gridCol w:w="1219"/>
        <w:gridCol w:w="692"/>
        <w:gridCol w:w="799"/>
        <w:gridCol w:w="776"/>
        <w:gridCol w:w="776"/>
        <w:gridCol w:w="845"/>
        <w:gridCol w:w="803"/>
        <w:gridCol w:w="754"/>
        <w:gridCol w:w="847"/>
      </w:tblGrid>
      <w:tr w:rsidR="00AE0549" w:rsidRPr="00A604A3" w:rsidTr="00445291">
        <w:trPr>
          <w:jc w:val="center"/>
        </w:trPr>
        <w:tc>
          <w:tcPr>
            <w:tcW w:w="1812" w:type="pct"/>
            <w:gridSpan w:val="3"/>
            <w:vMerge w:val="restart"/>
            <w:vAlign w:val="center"/>
            <w:hideMark/>
          </w:tcPr>
          <w:p w:rsidR="00AE0549" w:rsidRPr="00A604A3" w:rsidRDefault="00AE0549" w:rsidP="00445291">
            <w:pPr>
              <w:pStyle w:val="Tablehead"/>
              <w:rPr>
                <w:lang w:eastAsia="zh-CN"/>
              </w:rPr>
            </w:pPr>
            <w:r w:rsidRPr="00A604A3">
              <w:rPr>
                <w:lang w:eastAsia="zh-CN"/>
              </w:rPr>
              <w:t>UL user plane latency – NR TDD (DSUUD)</w:t>
            </w:r>
          </w:p>
        </w:tc>
        <w:tc>
          <w:tcPr>
            <w:tcW w:w="1819" w:type="pct"/>
            <w:gridSpan w:val="4"/>
            <w:vAlign w:val="center"/>
            <w:hideMark/>
          </w:tcPr>
          <w:p w:rsidR="00AE0549" w:rsidRPr="00A604A3" w:rsidRDefault="00AE0549" w:rsidP="00445291">
            <w:pPr>
              <w:pStyle w:val="Tablehead"/>
              <w:rPr>
                <w:lang w:eastAsia="zh-CN"/>
              </w:rPr>
            </w:pPr>
            <w:r w:rsidRPr="00A604A3">
              <w:rPr>
                <w:lang w:eastAsia="zh-CN"/>
              </w:rPr>
              <w:t>UE capability 1</w:t>
            </w:r>
          </w:p>
        </w:tc>
        <w:tc>
          <w:tcPr>
            <w:tcW w:w="1369" w:type="pct"/>
            <w:gridSpan w:val="3"/>
            <w:vAlign w:val="center"/>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1812" w:type="pct"/>
            <w:gridSpan w:val="3"/>
            <w:vMerge/>
            <w:vAlign w:val="center"/>
            <w:hideMark/>
          </w:tcPr>
          <w:p w:rsidR="00AE0549" w:rsidRPr="00A604A3" w:rsidRDefault="00AE0549" w:rsidP="00445291">
            <w:pPr>
              <w:pStyle w:val="Tablehead"/>
              <w:rPr>
                <w:lang w:eastAsia="zh-CN"/>
              </w:rPr>
            </w:pPr>
          </w:p>
        </w:tc>
        <w:tc>
          <w:tcPr>
            <w:tcW w:w="1819" w:type="pct"/>
            <w:gridSpan w:val="4"/>
            <w:vAlign w:val="center"/>
            <w:hideMark/>
          </w:tcPr>
          <w:p w:rsidR="00AE0549" w:rsidRPr="00A604A3" w:rsidRDefault="00AE0549" w:rsidP="00445291">
            <w:pPr>
              <w:pStyle w:val="Tablehead"/>
              <w:rPr>
                <w:lang w:eastAsia="zh-CN"/>
              </w:rPr>
            </w:pPr>
            <w:r w:rsidRPr="00A604A3">
              <w:rPr>
                <w:lang w:eastAsia="zh-CN"/>
              </w:rPr>
              <w:t>SCS</w:t>
            </w:r>
          </w:p>
        </w:tc>
        <w:tc>
          <w:tcPr>
            <w:tcW w:w="1369" w:type="pct"/>
            <w:gridSpan w:val="3"/>
            <w:vAlign w:val="center"/>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1812" w:type="pct"/>
            <w:gridSpan w:val="3"/>
            <w:vMerge/>
            <w:vAlign w:val="center"/>
            <w:hideMark/>
          </w:tcPr>
          <w:p w:rsidR="00AE0549" w:rsidRPr="00A604A3" w:rsidRDefault="00AE0549" w:rsidP="00445291">
            <w:pPr>
              <w:pStyle w:val="Tablehead"/>
              <w:rPr>
                <w:lang w:eastAsia="zh-CN"/>
              </w:rPr>
            </w:pPr>
          </w:p>
        </w:tc>
        <w:tc>
          <w:tcPr>
            <w:tcW w:w="455"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2"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2"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481"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120 kHz</w:t>
            </w:r>
          </w:p>
        </w:tc>
        <w:tc>
          <w:tcPr>
            <w:tcW w:w="457" w:type="pct"/>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29"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82" w:type="pct"/>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724"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2.75</w:t>
            </w:r>
          </w:p>
        </w:tc>
        <w:tc>
          <w:tcPr>
            <w:tcW w:w="442" w:type="pct"/>
            <w:vAlign w:val="center"/>
          </w:tcPr>
          <w:p w:rsidR="00AE0549" w:rsidRPr="00A604A3" w:rsidRDefault="00AE0549" w:rsidP="00445291">
            <w:pPr>
              <w:pStyle w:val="Tabletext"/>
              <w:jc w:val="center"/>
              <w:rPr>
                <w:color w:val="000000"/>
              </w:rPr>
            </w:pPr>
            <w:r w:rsidRPr="00A604A3">
              <w:rPr>
                <w:color w:val="000000"/>
              </w:rPr>
              <w:t>1.46</w:t>
            </w:r>
          </w:p>
        </w:tc>
        <w:tc>
          <w:tcPr>
            <w:tcW w:w="442" w:type="pct"/>
            <w:noWrap/>
            <w:vAlign w:val="center"/>
          </w:tcPr>
          <w:p w:rsidR="00AE0549" w:rsidRPr="00A604A3" w:rsidRDefault="00AE0549" w:rsidP="00445291">
            <w:pPr>
              <w:pStyle w:val="Tabletext"/>
              <w:jc w:val="center"/>
              <w:rPr>
                <w:color w:val="000000"/>
              </w:rPr>
            </w:pPr>
            <w:r w:rsidRPr="00A604A3">
              <w:rPr>
                <w:color w:val="000000"/>
              </w:rPr>
              <w:t>0.94</w:t>
            </w:r>
          </w:p>
        </w:tc>
        <w:tc>
          <w:tcPr>
            <w:tcW w:w="481" w:type="pct"/>
            <w:noWrap/>
            <w:vAlign w:val="center"/>
          </w:tcPr>
          <w:p w:rsidR="00AE0549" w:rsidRPr="00A604A3" w:rsidRDefault="00AE0549" w:rsidP="00445291">
            <w:pPr>
              <w:pStyle w:val="Tabletext"/>
              <w:jc w:val="center"/>
              <w:rPr>
                <w:color w:val="000000"/>
              </w:rPr>
            </w:pPr>
            <w:r w:rsidRPr="00A604A3">
              <w:rPr>
                <w:color w:val="000000"/>
              </w:rPr>
              <w:t>0.57</w:t>
            </w:r>
          </w:p>
        </w:tc>
        <w:tc>
          <w:tcPr>
            <w:tcW w:w="457" w:type="pct"/>
            <w:vAlign w:val="center"/>
          </w:tcPr>
          <w:p w:rsidR="00AE0549" w:rsidRPr="00A604A3" w:rsidRDefault="00AE0549" w:rsidP="00445291">
            <w:pPr>
              <w:pStyle w:val="Tabletext"/>
              <w:jc w:val="center"/>
              <w:rPr>
                <w:color w:val="000000"/>
              </w:rPr>
            </w:pPr>
            <w:r w:rsidRPr="00A604A3">
              <w:rPr>
                <w:color w:val="000000"/>
              </w:rPr>
              <w:t>2.35</w:t>
            </w:r>
          </w:p>
        </w:tc>
        <w:tc>
          <w:tcPr>
            <w:tcW w:w="429" w:type="pct"/>
            <w:vAlign w:val="center"/>
          </w:tcPr>
          <w:p w:rsidR="00AE0549" w:rsidRPr="00A604A3" w:rsidRDefault="00AE0549" w:rsidP="00445291">
            <w:pPr>
              <w:pStyle w:val="Tabletext"/>
              <w:jc w:val="center"/>
              <w:rPr>
                <w:color w:val="000000"/>
              </w:rPr>
            </w:pPr>
            <w:r w:rsidRPr="00A604A3">
              <w:rPr>
                <w:color w:val="000000"/>
              </w:rPr>
              <w:t>1.20</w:t>
            </w:r>
          </w:p>
        </w:tc>
        <w:tc>
          <w:tcPr>
            <w:tcW w:w="482" w:type="pct"/>
            <w:vAlign w:val="center"/>
          </w:tcPr>
          <w:p w:rsidR="00AE0549" w:rsidRPr="00A604A3" w:rsidRDefault="00AE0549" w:rsidP="00445291">
            <w:pPr>
              <w:pStyle w:val="Tabletext"/>
              <w:jc w:val="center"/>
              <w:rPr>
                <w:color w:val="000000"/>
              </w:rPr>
            </w:pPr>
            <w:r w:rsidRPr="00A604A3">
              <w:rPr>
                <w:color w:val="000000"/>
              </w:rPr>
              <w:t>0.68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3.41</w:t>
            </w:r>
          </w:p>
        </w:tc>
        <w:tc>
          <w:tcPr>
            <w:tcW w:w="442" w:type="pct"/>
            <w:vAlign w:val="center"/>
          </w:tcPr>
          <w:p w:rsidR="00AE0549" w:rsidRPr="00A604A3" w:rsidRDefault="00AE0549" w:rsidP="00445291">
            <w:pPr>
              <w:pStyle w:val="Tabletext"/>
              <w:jc w:val="center"/>
              <w:rPr>
                <w:color w:val="000000"/>
              </w:rPr>
            </w:pPr>
            <w:r w:rsidRPr="00A604A3">
              <w:rPr>
                <w:color w:val="000000"/>
              </w:rPr>
              <w:t>1.72</w:t>
            </w:r>
          </w:p>
        </w:tc>
        <w:tc>
          <w:tcPr>
            <w:tcW w:w="442" w:type="pct"/>
            <w:noWrap/>
            <w:vAlign w:val="center"/>
          </w:tcPr>
          <w:p w:rsidR="00AE0549" w:rsidRPr="00A604A3" w:rsidRDefault="00AE0549" w:rsidP="00445291">
            <w:pPr>
              <w:pStyle w:val="Tabletext"/>
              <w:jc w:val="center"/>
              <w:rPr>
                <w:color w:val="000000"/>
              </w:rPr>
            </w:pPr>
            <w:r w:rsidRPr="00A604A3">
              <w:rPr>
                <w:color w:val="000000"/>
              </w:rPr>
              <w:t>1.05</w:t>
            </w:r>
          </w:p>
        </w:tc>
        <w:tc>
          <w:tcPr>
            <w:tcW w:w="481" w:type="pct"/>
            <w:noWrap/>
            <w:vAlign w:val="center"/>
          </w:tcPr>
          <w:p w:rsidR="00AE0549" w:rsidRPr="00A604A3" w:rsidRDefault="00AE0549" w:rsidP="00445291">
            <w:pPr>
              <w:pStyle w:val="Tabletext"/>
              <w:jc w:val="center"/>
              <w:rPr>
                <w:color w:val="000000"/>
              </w:rPr>
            </w:pPr>
            <w:r w:rsidRPr="00A604A3">
              <w:rPr>
                <w:color w:val="000000"/>
              </w:rPr>
              <w:t>0.67</w:t>
            </w:r>
          </w:p>
        </w:tc>
        <w:tc>
          <w:tcPr>
            <w:tcW w:w="457" w:type="pct"/>
            <w:vAlign w:val="center"/>
          </w:tcPr>
          <w:p w:rsidR="00AE0549" w:rsidRPr="00A604A3" w:rsidRDefault="00AE0549" w:rsidP="00445291">
            <w:pPr>
              <w:pStyle w:val="Tabletext"/>
              <w:jc w:val="center"/>
              <w:rPr>
                <w:color w:val="000000"/>
              </w:rPr>
            </w:pPr>
            <w:r w:rsidRPr="00A604A3">
              <w:rPr>
                <w:color w:val="000000"/>
              </w:rPr>
              <w:t>2.93</w:t>
            </w:r>
          </w:p>
        </w:tc>
        <w:tc>
          <w:tcPr>
            <w:tcW w:w="429" w:type="pct"/>
            <w:vAlign w:val="center"/>
          </w:tcPr>
          <w:p w:rsidR="00AE0549" w:rsidRPr="00A604A3" w:rsidRDefault="00AE0549" w:rsidP="00445291">
            <w:pPr>
              <w:pStyle w:val="Tabletext"/>
              <w:jc w:val="center"/>
              <w:rPr>
                <w:color w:val="000000"/>
              </w:rPr>
            </w:pPr>
            <w:r w:rsidRPr="00A604A3">
              <w:rPr>
                <w:color w:val="000000"/>
              </w:rPr>
              <w:t>1.48</w:t>
            </w:r>
          </w:p>
        </w:tc>
        <w:tc>
          <w:tcPr>
            <w:tcW w:w="482" w:type="pct"/>
            <w:vAlign w:val="center"/>
          </w:tcPr>
          <w:p w:rsidR="00AE0549" w:rsidRPr="00A604A3" w:rsidRDefault="00AE0549" w:rsidP="00445291">
            <w:pPr>
              <w:pStyle w:val="Tabletext"/>
              <w:jc w:val="center"/>
              <w:rPr>
                <w:color w:val="000000"/>
              </w:rPr>
            </w:pPr>
            <w:r w:rsidRPr="00A604A3">
              <w:rPr>
                <w:color w:val="000000"/>
              </w:rPr>
              <w:t>0.85</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2.97</w:t>
            </w:r>
          </w:p>
        </w:tc>
        <w:tc>
          <w:tcPr>
            <w:tcW w:w="442" w:type="pct"/>
            <w:vAlign w:val="center"/>
          </w:tcPr>
          <w:p w:rsidR="00AE0549" w:rsidRPr="00A604A3" w:rsidRDefault="00AE0549" w:rsidP="00445291">
            <w:pPr>
              <w:pStyle w:val="Tabletext"/>
              <w:jc w:val="center"/>
              <w:rPr>
                <w:color w:val="000000"/>
              </w:rPr>
            </w:pPr>
            <w:r w:rsidRPr="00A604A3">
              <w:rPr>
                <w:color w:val="000000"/>
              </w:rPr>
              <w:t>1.56</w:t>
            </w:r>
          </w:p>
        </w:tc>
        <w:tc>
          <w:tcPr>
            <w:tcW w:w="442" w:type="pct"/>
            <w:noWrap/>
            <w:vAlign w:val="center"/>
          </w:tcPr>
          <w:p w:rsidR="00AE0549" w:rsidRPr="00A604A3" w:rsidRDefault="00AE0549" w:rsidP="00445291">
            <w:pPr>
              <w:pStyle w:val="Tabletext"/>
              <w:jc w:val="center"/>
              <w:rPr>
                <w:color w:val="000000"/>
              </w:rPr>
            </w:pPr>
            <w:r w:rsidRPr="00A604A3">
              <w:rPr>
                <w:color w:val="000000"/>
              </w:rPr>
              <w:t>0.96</w:t>
            </w:r>
          </w:p>
        </w:tc>
        <w:tc>
          <w:tcPr>
            <w:tcW w:w="481" w:type="pct"/>
            <w:noWrap/>
            <w:vAlign w:val="center"/>
          </w:tcPr>
          <w:p w:rsidR="00AE0549" w:rsidRPr="00A604A3" w:rsidRDefault="00AE0549" w:rsidP="00445291">
            <w:pPr>
              <w:pStyle w:val="Tabletext"/>
              <w:jc w:val="center"/>
              <w:rPr>
                <w:color w:val="000000"/>
              </w:rPr>
            </w:pPr>
            <w:r w:rsidRPr="00A604A3">
              <w:rPr>
                <w:color w:val="000000"/>
              </w:rPr>
              <w:t>0.60</w:t>
            </w:r>
          </w:p>
        </w:tc>
        <w:tc>
          <w:tcPr>
            <w:tcW w:w="457" w:type="pct"/>
            <w:vAlign w:val="center"/>
          </w:tcPr>
          <w:p w:rsidR="00AE0549" w:rsidRPr="00A604A3" w:rsidRDefault="00AE0549" w:rsidP="00445291">
            <w:pPr>
              <w:pStyle w:val="Tabletext"/>
              <w:jc w:val="center"/>
              <w:rPr>
                <w:color w:val="000000"/>
              </w:rPr>
            </w:pPr>
            <w:r w:rsidRPr="00A604A3">
              <w:rPr>
                <w:color w:val="000000"/>
              </w:rPr>
              <w:t>2.60</w:t>
            </w:r>
          </w:p>
        </w:tc>
        <w:tc>
          <w:tcPr>
            <w:tcW w:w="429" w:type="pct"/>
            <w:vAlign w:val="center"/>
          </w:tcPr>
          <w:p w:rsidR="00AE0549" w:rsidRPr="00A604A3" w:rsidRDefault="00AE0549" w:rsidP="00445291">
            <w:pPr>
              <w:pStyle w:val="Tabletext"/>
              <w:jc w:val="center"/>
              <w:rPr>
                <w:color w:val="000000"/>
              </w:rPr>
            </w:pPr>
            <w:r w:rsidRPr="00A604A3">
              <w:rPr>
                <w:color w:val="000000"/>
              </w:rPr>
              <w:t>1.33</w:t>
            </w:r>
          </w:p>
        </w:tc>
        <w:tc>
          <w:tcPr>
            <w:tcW w:w="482" w:type="pct"/>
            <w:vAlign w:val="center"/>
          </w:tcPr>
          <w:p w:rsidR="00AE0549" w:rsidRPr="00A604A3" w:rsidRDefault="00AE0549" w:rsidP="00445291">
            <w:pPr>
              <w:pStyle w:val="Tabletext"/>
              <w:jc w:val="center"/>
              <w:rPr>
                <w:color w:val="000000"/>
              </w:rPr>
            </w:pPr>
            <w:r w:rsidRPr="00A604A3">
              <w:rPr>
                <w:color w:val="000000"/>
              </w:rPr>
              <w:t>0.76</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3.48</w:t>
            </w:r>
          </w:p>
        </w:tc>
        <w:tc>
          <w:tcPr>
            <w:tcW w:w="442" w:type="pct"/>
            <w:vAlign w:val="center"/>
          </w:tcPr>
          <w:p w:rsidR="00AE0549" w:rsidRPr="00A604A3" w:rsidRDefault="00AE0549" w:rsidP="00445291">
            <w:pPr>
              <w:pStyle w:val="Tabletext"/>
              <w:jc w:val="center"/>
              <w:rPr>
                <w:color w:val="000000"/>
              </w:rPr>
            </w:pPr>
            <w:r w:rsidRPr="00A604A3">
              <w:rPr>
                <w:color w:val="000000"/>
              </w:rPr>
              <w:t>1.84</w:t>
            </w:r>
          </w:p>
        </w:tc>
        <w:tc>
          <w:tcPr>
            <w:tcW w:w="442" w:type="pct"/>
            <w:noWrap/>
            <w:vAlign w:val="center"/>
          </w:tcPr>
          <w:p w:rsidR="00AE0549" w:rsidRPr="00A604A3" w:rsidRDefault="00AE0549" w:rsidP="00445291">
            <w:pPr>
              <w:pStyle w:val="Tabletext"/>
              <w:jc w:val="center"/>
              <w:rPr>
                <w:color w:val="000000"/>
              </w:rPr>
            </w:pPr>
            <w:r w:rsidRPr="00A604A3">
              <w:rPr>
                <w:color w:val="000000"/>
              </w:rPr>
              <w:t>1.12</w:t>
            </w:r>
          </w:p>
        </w:tc>
        <w:tc>
          <w:tcPr>
            <w:tcW w:w="481" w:type="pct"/>
            <w:noWrap/>
            <w:vAlign w:val="center"/>
          </w:tcPr>
          <w:p w:rsidR="00AE0549" w:rsidRPr="00A604A3" w:rsidRDefault="00AE0549" w:rsidP="00445291">
            <w:pPr>
              <w:pStyle w:val="Tabletext"/>
              <w:jc w:val="center"/>
              <w:rPr>
                <w:color w:val="000000"/>
              </w:rPr>
            </w:pPr>
            <w:r w:rsidRPr="00A604A3">
              <w:rPr>
                <w:color w:val="000000"/>
              </w:rPr>
              <w:t>0.71</w:t>
            </w:r>
          </w:p>
        </w:tc>
        <w:tc>
          <w:tcPr>
            <w:tcW w:w="457" w:type="pct"/>
            <w:vAlign w:val="center"/>
          </w:tcPr>
          <w:p w:rsidR="00AE0549" w:rsidRPr="00A604A3" w:rsidRDefault="00AE0549" w:rsidP="00445291">
            <w:pPr>
              <w:pStyle w:val="Tabletext"/>
              <w:jc w:val="center"/>
              <w:rPr>
                <w:color w:val="000000"/>
              </w:rPr>
            </w:pPr>
            <w:r w:rsidRPr="00A604A3">
              <w:rPr>
                <w:color w:val="000000"/>
              </w:rPr>
              <w:t>3.29</w:t>
            </w:r>
          </w:p>
        </w:tc>
        <w:tc>
          <w:tcPr>
            <w:tcW w:w="429" w:type="pct"/>
            <w:vAlign w:val="center"/>
          </w:tcPr>
          <w:p w:rsidR="00AE0549" w:rsidRPr="00A604A3" w:rsidRDefault="00AE0549" w:rsidP="00445291">
            <w:pPr>
              <w:pStyle w:val="Tabletext"/>
              <w:jc w:val="center"/>
              <w:rPr>
                <w:color w:val="000000"/>
              </w:rPr>
            </w:pPr>
            <w:r w:rsidRPr="00A604A3">
              <w:rPr>
                <w:color w:val="000000"/>
              </w:rPr>
              <w:t>1.64</w:t>
            </w:r>
          </w:p>
        </w:tc>
        <w:tc>
          <w:tcPr>
            <w:tcW w:w="482" w:type="pct"/>
            <w:vAlign w:val="center"/>
          </w:tcPr>
          <w:p w:rsidR="00AE0549" w:rsidRPr="00A604A3" w:rsidRDefault="00AE0549" w:rsidP="00445291">
            <w:pPr>
              <w:pStyle w:val="Tabletext"/>
              <w:jc w:val="center"/>
              <w:rPr>
                <w:color w:val="000000"/>
              </w:rPr>
            </w:pPr>
            <w:r w:rsidRPr="00A604A3">
              <w:rPr>
                <w:color w:val="000000"/>
              </w:rPr>
              <w:t>0.90</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3.49</w:t>
            </w:r>
          </w:p>
        </w:tc>
        <w:tc>
          <w:tcPr>
            <w:tcW w:w="442" w:type="pct"/>
            <w:vAlign w:val="center"/>
          </w:tcPr>
          <w:p w:rsidR="00AE0549" w:rsidRPr="00A604A3" w:rsidRDefault="00AE0549" w:rsidP="00445291">
            <w:pPr>
              <w:pStyle w:val="Tabletext"/>
              <w:jc w:val="center"/>
              <w:rPr>
                <w:color w:val="000000"/>
              </w:rPr>
            </w:pPr>
            <w:r w:rsidRPr="00A604A3">
              <w:rPr>
                <w:color w:val="000000"/>
              </w:rPr>
              <w:t>1.79</w:t>
            </w:r>
          </w:p>
        </w:tc>
        <w:tc>
          <w:tcPr>
            <w:tcW w:w="442" w:type="pct"/>
            <w:noWrap/>
            <w:vAlign w:val="center"/>
          </w:tcPr>
          <w:p w:rsidR="00AE0549" w:rsidRPr="00A604A3" w:rsidRDefault="00AE0549" w:rsidP="00445291">
            <w:pPr>
              <w:pStyle w:val="Tabletext"/>
              <w:jc w:val="center"/>
              <w:rPr>
                <w:color w:val="000000"/>
              </w:rPr>
            </w:pPr>
            <w:r w:rsidRPr="00A604A3">
              <w:rPr>
                <w:color w:val="000000"/>
              </w:rPr>
              <w:t>1.08</w:t>
            </w:r>
          </w:p>
        </w:tc>
        <w:tc>
          <w:tcPr>
            <w:tcW w:w="481" w:type="pct"/>
            <w:noWrap/>
            <w:vAlign w:val="center"/>
          </w:tcPr>
          <w:p w:rsidR="00AE0549" w:rsidRPr="00A604A3" w:rsidRDefault="00AE0549" w:rsidP="00445291">
            <w:pPr>
              <w:pStyle w:val="Tabletext"/>
              <w:jc w:val="center"/>
              <w:rPr>
                <w:color w:val="000000"/>
              </w:rPr>
            </w:pPr>
            <w:r w:rsidRPr="00A604A3">
              <w:rPr>
                <w:color w:val="000000"/>
              </w:rPr>
              <w:t>0.66</w:t>
            </w:r>
          </w:p>
        </w:tc>
        <w:tc>
          <w:tcPr>
            <w:tcW w:w="457" w:type="pct"/>
            <w:vAlign w:val="center"/>
          </w:tcPr>
          <w:p w:rsidR="00AE0549" w:rsidRPr="00A604A3" w:rsidRDefault="00AE0549" w:rsidP="00445291">
            <w:pPr>
              <w:pStyle w:val="Tabletext"/>
              <w:jc w:val="center"/>
              <w:rPr>
                <w:color w:val="000000"/>
              </w:rPr>
            </w:pPr>
            <w:r w:rsidRPr="00A604A3">
              <w:rPr>
                <w:color w:val="000000"/>
              </w:rPr>
              <w:t>3.11</w:t>
            </w:r>
          </w:p>
        </w:tc>
        <w:tc>
          <w:tcPr>
            <w:tcW w:w="429" w:type="pct"/>
            <w:vAlign w:val="center"/>
          </w:tcPr>
          <w:p w:rsidR="00AE0549" w:rsidRPr="00A604A3" w:rsidRDefault="00AE0549" w:rsidP="00445291">
            <w:pPr>
              <w:pStyle w:val="Tabletext"/>
              <w:jc w:val="center"/>
              <w:rPr>
                <w:color w:val="000000"/>
              </w:rPr>
            </w:pPr>
            <w:r w:rsidRPr="00A604A3">
              <w:rPr>
                <w:color w:val="000000"/>
              </w:rPr>
              <w:t>1.59</w:t>
            </w:r>
          </w:p>
        </w:tc>
        <w:tc>
          <w:tcPr>
            <w:tcW w:w="482" w:type="pct"/>
            <w:vAlign w:val="center"/>
          </w:tcPr>
          <w:p w:rsidR="00AE0549" w:rsidRPr="00A604A3" w:rsidRDefault="00AE0549" w:rsidP="00445291">
            <w:pPr>
              <w:pStyle w:val="Tabletext"/>
              <w:jc w:val="center"/>
              <w:rPr>
                <w:color w:val="000000"/>
              </w:rPr>
            </w:pPr>
            <w:r w:rsidRPr="00A604A3">
              <w:rPr>
                <w:color w:val="000000"/>
              </w:rPr>
              <w:t>0.90</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3.98</w:t>
            </w:r>
          </w:p>
        </w:tc>
        <w:tc>
          <w:tcPr>
            <w:tcW w:w="442" w:type="pct"/>
            <w:vAlign w:val="center"/>
          </w:tcPr>
          <w:p w:rsidR="00AE0549" w:rsidRPr="00A604A3" w:rsidRDefault="00AE0549" w:rsidP="00445291">
            <w:pPr>
              <w:pStyle w:val="Tabletext"/>
              <w:jc w:val="center"/>
              <w:rPr>
                <w:color w:val="000000"/>
              </w:rPr>
            </w:pPr>
            <w:r w:rsidRPr="00A604A3">
              <w:rPr>
                <w:color w:val="000000"/>
              </w:rPr>
              <w:t>2.02</w:t>
            </w:r>
          </w:p>
        </w:tc>
        <w:tc>
          <w:tcPr>
            <w:tcW w:w="442" w:type="pct"/>
            <w:noWrap/>
            <w:vAlign w:val="center"/>
          </w:tcPr>
          <w:p w:rsidR="00AE0549" w:rsidRPr="00A604A3" w:rsidRDefault="00AE0549" w:rsidP="00445291">
            <w:pPr>
              <w:pStyle w:val="Tabletext"/>
              <w:jc w:val="center"/>
              <w:rPr>
                <w:color w:val="000000"/>
              </w:rPr>
            </w:pPr>
            <w:r w:rsidRPr="00A604A3">
              <w:rPr>
                <w:color w:val="000000"/>
              </w:rPr>
              <w:t>1.29</w:t>
            </w:r>
          </w:p>
        </w:tc>
        <w:tc>
          <w:tcPr>
            <w:tcW w:w="481" w:type="pct"/>
            <w:noWrap/>
            <w:vAlign w:val="center"/>
          </w:tcPr>
          <w:p w:rsidR="00AE0549" w:rsidRPr="00A604A3" w:rsidRDefault="00AE0549" w:rsidP="00445291">
            <w:pPr>
              <w:pStyle w:val="Tabletext"/>
              <w:jc w:val="center"/>
              <w:rPr>
                <w:color w:val="000000"/>
              </w:rPr>
            </w:pPr>
            <w:r w:rsidRPr="00A604A3">
              <w:rPr>
                <w:color w:val="000000"/>
              </w:rPr>
              <w:t>0.83</w:t>
            </w:r>
          </w:p>
        </w:tc>
        <w:tc>
          <w:tcPr>
            <w:tcW w:w="457" w:type="pct"/>
            <w:vAlign w:val="center"/>
          </w:tcPr>
          <w:p w:rsidR="00AE0549" w:rsidRPr="00A604A3" w:rsidRDefault="00AE0549" w:rsidP="00445291">
            <w:pPr>
              <w:pStyle w:val="Tabletext"/>
              <w:jc w:val="center"/>
              <w:rPr>
                <w:color w:val="000000"/>
              </w:rPr>
            </w:pPr>
            <w:r w:rsidRPr="00A604A3">
              <w:rPr>
                <w:color w:val="000000"/>
              </w:rPr>
              <w:t>3.72</w:t>
            </w:r>
          </w:p>
        </w:tc>
        <w:tc>
          <w:tcPr>
            <w:tcW w:w="429" w:type="pct"/>
            <w:vAlign w:val="center"/>
          </w:tcPr>
          <w:p w:rsidR="00AE0549" w:rsidRPr="00A604A3" w:rsidRDefault="00AE0549" w:rsidP="00445291">
            <w:pPr>
              <w:pStyle w:val="Tabletext"/>
              <w:jc w:val="center"/>
              <w:rPr>
                <w:color w:val="000000"/>
              </w:rPr>
            </w:pPr>
            <w:r w:rsidRPr="00A604A3">
              <w:rPr>
                <w:color w:val="000000"/>
              </w:rPr>
              <w:t>1.89</w:t>
            </w:r>
          </w:p>
        </w:tc>
        <w:tc>
          <w:tcPr>
            <w:tcW w:w="482" w:type="pct"/>
            <w:vAlign w:val="center"/>
          </w:tcPr>
          <w:p w:rsidR="00AE0549" w:rsidRPr="00A604A3" w:rsidRDefault="00AE0549" w:rsidP="00445291">
            <w:pPr>
              <w:pStyle w:val="Tabletext"/>
              <w:jc w:val="center"/>
              <w:rPr>
                <w:color w:val="000000"/>
              </w:rPr>
            </w:pPr>
            <w:r w:rsidRPr="00A604A3">
              <w:rPr>
                <w:color w:val="000000"/>
              </w:rPr>
              <w:t>1.04</w:t>
            </w:r>
          </w:p>
        </w:tc>
      </w:tr>
      <w:tr w:rsidR="00AE0549" w:rsidRPr="00A604A3" w:rsidTr="00445291">
        <w:trPr>
          <w:jc w:val="center"/>
        </w:trPr>
        <w:tc>
          <w:tcPr>
            <w:tcW w:w="724"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1.82</w:t>
            </w:r>
          </w:p>
        </w:tc>
        <w:tc>
          <w:tcPr>
            <w:tcW w:w="442" w:type="pct"/>
            <w:vAlign w:val="center"/>
          </w:tcPr>
          <w:p w:rsidR="00AE0549" w:rsidRPr="00A604A3" w:rsidRDefault="00AE0549" w:rsidP="00445291">
            <w:pPr>
              <w:pStyle w:val="Tabletext"/>
              <w:jc w:val="center"/>
              <w:rPr>
                <w:color w:val="000000"/>
              </w:rPr>
            </w:pPr>
            <w:r w:rsidRPr="00A604A3">
              <w:rPr>
                <w:color w:val="000000"/>
              </w:rPr>
              <w:t>0.98</w:t>
            </w:r>
          </w:p>
        </w:tc>
        <w:tc>
          <w:tcPr>
            <w:tcW w:w="442" w:type="pct"/>
            <w:noWrap/>
            <w:vAlign w:val="center"/>
          </w:tcPr>
          <w:p w:rsidR="00AE0549" w:rsidRPr="00A604A3" w:rsidRDefault="00AE0549" w:rsidP="00445291">
            <w:pPr>
              <w:pStyle w:val="Tabletext"/>
              <w:jc w:val="center"/>
              <w:rPr>
                <w:color w:val="000000"/>
              </w:rPr>
            </w:pPr>
            <w:r w:rsidRPr="00A604A3">
              <w:rPr>
                <w:color w:val="000000"/>
              </w:rPr>
              <w:t>0.70</w:t>
            </w:r>
          </w:p>
        </w:tc>
        <w:tc>
          <w:tcPr>
            <w:tcW w:w="481" w:type="pct"/>
            <w:noWrap/>
            <w:vAlign w:val="center"/>
          </w:tcPr>
          <w:p w:rsidR="00AE0549" w:rsidRPr="00A604A3" w:rsidRDefault="00AE0549" w:rsidP="00445291">
            <w:pPr>
              <w:pStyle w:val="Tabletext"/>
              <w:jc w:val="center"/>
              <w:rPr>
                <w:color w:val="000000"/>
              </w:rPr>
            </w:pPr>
            <w:r w:rsidRPr="00A604A3">
              <w:rPr>
                <w:color w:val="000000"/>
              </w:rPr>
              <w:t>0.46</w:t>
            </w:r>
          </w:p>
        </w:tc>
        <w:tc>
          <w:tcPr>
            <w:tcW w:w="457" w:type="pct"/>
            <w:vAlign w:val="center"/>
          </w:tcPr>
          <w:p w:rsidR="00AE0549" w:rsidRPr="00A604A3" w:rsidRDefault="00AE0549" w:rsidP="00445291">
            <w:pPr>
              <w:pStyle w:val="Tabletext"/>
              <w:jc w:val="center"/>
              <w:rPr>
                <w:color w:val="000000"/>
              </w:rPr>
            </w:pPr>
            <w:r w:rsidRPr="00A604A3">
              <w:rPr>
                <w:color w:val="000000"/>
              </w:rPr>
              <w:t>1.51</w:t>
            </w:r>
          </w:p>
        </w:tc>
        <w:tc>
          <w:tcPr>
            <w:tcW w:w="429" w:type="pct"/>
            <w:vAlign w:val="center"/>
          </w:tcPr>
          <w:p w:rsidR="00AE0549" w:rsidRPr="00A604A3" w:rsidRDefault="00AE0549" w:rsidP="00445291">
            <w:pPr>
              <w:pStyle w:val="Tabletext"/>
              <w:jc w:val="center"/>
              <w:rPr>
                <w:color w:val="000000"/>
              </w:rPr>
            </w:pPr>
            <w:r w:rsidRPr="00A604A3">
              <w:rPr>
                <w:color w:val="000000"/>
              </w:rPr>
              <w:t>0.76</w:t>
            </w:r>
          </w:p>
        </w:tc>
        <w:tc>
          <w:tcPr>
            <w:tcW w:w="482" w:type="pct"/>
            <w:vAlign w:val="center"/>
          </w:tcPr>
          <w:p w:rsidR="00AE0549" w:rsidRPr="00A604A3" w:rsidRDefault="00AE0549" w:rsidP="00445291">
            <w:pPr>
              <w:pStyle w:val="Tabletext"/>
              <w:jc w:val="center"/>
              <w:rPr>
                <w:color w:val="000000"/>
              </w:rPr>
            </w:pPr>
            <w:r w:rsidRPr="00A604A3">
              <w:rPr>
                <w:color w:val="000000"/>
              </w:rPr>
              <w:t>0.48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2.13</w:t>
            </w:r>
          </w:p>
        </w:tc>
        <w:tc>
          <w:tcPr>
            <w:tcW w:w="442" w:type="pct"/>
            <w:vAlign w:val="center"/>
          </w:tcPr>
          <w:p w:rsidR="00AE0549" w:rsidRPr="00A604A3" w:rsidRDefault="00AE0549" w:rsidP="00445291">
            <w:pPr>
              <w:pStyle w:val="Tabletext"/>
              <w:jc w:val="center"/>
              <w:rPr>
                <w:color w:val="000000"/>
              </w:rPr>
            </w:pPr>
            <w:r w:rsidRPr="00A604A3">
              <w:rPr>
                <w:color w:val="000000"/>
              </w:rPr>
              <w:t>1.24</w:t>
            </w:r>
          </w:p>
        </w:tc>
        <w:tc>
          <w:tcPr>
            <w:tcW w:w="442" w:type="pct"/>
            <w:noWrap/>
            <w:vAlign w:val="center"/>
          </w:tcPr>
          <w:p w:rsidR="00AE0549" w:rsidRPr="00A604A3" w:rsidRDefault="00AE0549" w:rsidP="00445291">
            <w:pPr>
              <w:pStyle w:val="Tabletext"/>
              <w:jc w:val="center"/>
              <w:rPr>
                <w:color w:val="000000"/>
              </w:rPr>
            </w:pPr>
            <w:r w:rsidRPr="00A604A3">
              <w:rPr>
                <w:color w:val="000000"/>
              </w:rPr>
              <w:t>0.83</w:t>
            </w:r>
          </w:p>
        </w:tc>
        <w:tc>
          <w:tcPr>
            <w:tcW w:w="481" w:type="pct"/>
            <w:noWrap/>
            <w:vAlign w:val="center"/>
          </w:tcPr>
          <w:p w:rsidR="00AE0549" w:rsidRPr="00A604A3" w:rsidRDefault="00AE0549" w:rsidP="00445291">
            <w:pPr>
              <w:pStyle w:val="Tabletext"/>
              <w:jc w:val="center"/>
              <w:rPr>
                <w:color w:val="000000"/>
              </w:rPr>
            </w:pPr>
            <w:r w:rsidRPr="00A604A3">
              <w:rPr>
                <w:color w:val="000000"/>
              </w:rPr>
              <w:t>0.53</w:t>
            </w:r>
          </w:p>
        </w:tc>
        <w:tc>
          <w:tcPr>
            <w:tcW w:w="457" w:type="pct"/>
            <w:vAlign w:val="center"/>
          </w:tcPr>
          <w:p w:rsidR="00AE0549" w:rsidRPr="00A604A3" w:rsidRDefault="00AE0549" w:rsidP="00445291">
            <w:pPr>
              <w:pStyle w:val="Tabletext"/>
              <w:jc w:val="center"/>
              <w:rPr>
                <w:color w:val="000000"/>
              </w:rPr>
            </w:pPr>
            <w:r w:rsidRPr="00A604A3">
              <w:rPr>
                <w:color w:val="000000"/>
              </w:rPr>
              <w:t>1.72</w:t>
            </w:r>
          </w:p>
        </w:tc>
        <w:tc>
          <w:tcPr>
            <w:tcW w:w="429" w:type="pct"/>
            <w:vAlign w:val="center"/>
          </w:tcPr>
          <w:p w:rsidR="00AE0549" w:rsidRPr="00A604A3" w:rsidRDefault="00AE0549" w:rsidP="00445291">
            <w:pPr>
              <w:pStyle w:val="Tabletext"/>
              <w:jc w:val="center"/>
              <w:rPr>
                <w:color w:val="000000"/>
              </w:rPr>
            </w:pPr>
            <w:r w:rsidRPr="00A604A3">
              <w:rPr>
                <w:color w:val="000000"/>
              </w:rPr>
              <w:t>0.88</w:t>
            </w:r>
          </w:p>
        </w:tc>
        <w:tc>
          <w:tcPr>
            <w:tcW w:w="482" w:type="pct"/>
            <w:vAlign w:val="center"/>
          </w:tcPr>
          <w:p w:rsidR="00AE0549" w:rsidRPr="00A604A3" w:rsidRDefault="00AE0549" w:rsidP="00445291">
            <w:pPr>
              <w:pStyle w:val="Tabletext"/>
              <w:jc w:val="center"/>
              <w:rPr>
                <w:color w:val="000000"/>
              </w:rPr>
            </w:pPr>
            <w:r w:rsidRPr="00A604A3">
              <w:rPr>
                <w:color w:val="000000"/>
              </w:rPr>
              <w:t>0.58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2.32</w:t>
            </w:r>
          </w:p>
        </w:tc>
        <w:tc>
          <w:tcPr>
            <w:tcW w:w="442" w:type="pct"/>
            <w:vAlign w:val="center"/>
          </w:tcPr>
          <w:p w:rsidR="00AE0549" w:rsidRPr="00A604A3" w:rsidRDefault="00AE0549" w:rsidP="00445291">
            <w:pPr>
              <w:pStyle w:val="Tabletext"/>
              <w:jc w:val="center"/>
              <w:rPr>
                <w:color w:val="000000"/>
              </w:rPr>
            </w:pPr>
            <w:r w:rsidRPr="00A604A3">
              <w:rPr>
                <w:color w:val="000000"/>
              </w:rPr>
              <w:t>1.25</w:t>
            </w:r>
          </w:p>
        </w:tc>
        <w:tc>
          <w:tcPr>
            <w:tcW w:w="442" w:type="pct"/>
            <w:noWrap/>
            <w:vAlign w:val="center"/>
          </w:tcPr>
          <w:p w:rsidR="00AE0549" w:rsidRPr="00A604A3" w:rsidRDefault="00AE0549" w:rsidP="00445291">
            <w:pPr>
              <w:pStyle w:val="Tabletext"/>
              <w:jc w:val="center"/>
              <w:rPr>
                <w:color w:val="000000"/>
              </w:rPr>
            </w:pPr>
            <w:r w:rsidRPr="00A604A3">
              <w:rPr>
                <w:color w:val="000000"/>
              </w:rPr>
              <w:t>0.83</w:t>
            </w:r>
          </w:p>
        </w:tc>
        <w:tc>
          <w:tcPr>
            <w:tcW w:w="481" w:type="pct"/>
            <w:noWrap/>
            <w:vAlign w:val="center"/>
          </w:tcPr>
          <w:p w:rsidR="00AE0549" w:rsidRPr="00A604A3" w:rsidRDefault="00AE0549" w:rsidP="00445291">
            <w:pPr>
              <w:pStyle w:val="Tabletext"/>
              <w:jc w:val="center"/>
              <w:rPr>
                <w:color w:val="000000"/>
              </w:rPr>
            </w:pPr>
            <w:r w:rsidRPr="00A604A3">
              <w:rPr>
                <w:color w:val="000000"/>
              </w:rPr>
              <w:t>0.52</w:t>
            </w:r>
          </w:p>
        </w:tc>
        <w:tc>
          <w:tcPr>
            <w:tcW w:w="457" w:type="pct"/>
            <w:vAlign w:val="center"/>
          </w:tcPr>
          <w:p w:rsidR="00AE0549" w:rsidRPr="00A604A3" w:rsidRDefault="00AE0549" w:rsidP="00445291">
            <w:pPr>
              <w:pStyle w:val="Tabletext"/>
              <w:jc w:val="center"/>
              <w:rPr>
                <w:color w:val="000000"/>
              </w:rPr>
            </w:pPr>
            <w:r w:rsidRPr="00A604A3">
              <w:rPr>
                <w:color w:val="000000"/>
              </w:rPr>
              <w:t>2.03</w:t>
            </w:r>
          </w:p>
        </w:tc>
        <w:tc>
          <w:tcPr>
            <w:tcW w:w="429" w:type="pct"/>
            <w:vAlign w:val="center"/>
          </w:tcPr>
          <w:p w:rsidR="00AE0549" w:rsidRPr="00A604A3" w:rsidRDefault="00AE0549" w:rsidP="00445291">
            <w:pPr>
              <w:pStyle w:val="Tabletext"/>
              <w:jc w:val="center"/>
              <w:rPr>
                <w:color w:val="000000"/>
              </w:rPr>
            </w:pPr>
            <w:r w:rsidRPr="00A604A3">
              <w:rPr>
                <w:color w:val="000000"/>
              </w:rPr>
              <w:t>1.02</w:t>
            </w:r>
          </w:p>
        </w:tc>
        <w:tc>
          <w:tcPr>
            <w:tcW w:w="482" w:type="pct"/>
            <w:vAlign w:val="center"/>
          </w:tcPr>
          <w:p w:rsidR="00AE0549" w:rsidRPr="00A604A3" w:rsidRDefault="00AE0549" w:rsidP="00445291">
            <w:pPr>
              <w:pStyle w:val="Tabletext"/>
              <w:jc w:val="center"/>
              <w:rPr>
                <w:color w:val="000000"/>
              </w:rPr>
            </w:pPr>
            <w:r w:rsidRPr="00A604A3">
              <w:rPr>
                <w:color w:val="000000"/>
              </w:rPr>
              <w:t>0.61</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2.86</w:t>
            </w:r>
          </w:p>
        </w:tc>
        <w:tc>
          <w:tcPr>
            <w:tcW w:w="442" w:type="pct"/>
            <w:vAlign w:val="center"/>
          </w:tcPr>
          <w:p w:rsidR="00AE0549" w:rsidRPr="00A604A3" w:rsidRDefault="00AE0549" w:rsidP="00445291">
            <w:pPr>
              <w:pStyle w:val="Tabletext"/>
              <w:jc w:val="center"/>
              <w:rPr>
                <w:color w:val="000000"/>
              </w:rPr>
            </w:pPr>
            <w:r w:rsidRPr="00A604A3">
              <w:rPr>
                <w:color w:val="000000"/>
              </w:rPr>
              <w:t>1.49</w:t>
            </w:r>
          </w:p>
        </w:tc>
        <w:tc>
          <w:tcPr>
            <w:tcW w:w="442" w:type="pct"/>
            <w:noWrap/>
            <w:vAlign w:val="center"/>
          </w:tcPr>
          <w:p w:rsidR="00AE0549" w:rsidRPr="00A604A3" w:rsidRDefault="00AE0549" w:rsidP="00445291">
            <w:pPr>
              <w:pStyle w:val="Tabletext"/>
              <w:jc w:val="center"/>
              <w:rPr>
                <w:color w:val="000000"/>
              </w:rPr>
            </w:pPr>
            <w:r w:rsidRPr="00A604A3">
              <w:rPr>
                <w:color w:val="000000"/>
              </w:rPr>
              <w:t>0.95</w:t>
            </w:r>
          </w:p>
        </w:tc>
        <w:tc>
          <w:tcPr>
            <w:tcW w:w="481" w:type="pct"/>
            <w:noWrap/>
            <w:vAlign w:val="center"/>
          </w:tcPr>
          <w:p w:rsidR="00AE0549" w:rsidRPr="00A604A3" w:rsidRDefault="00AE0549" w:rsidP="00445291">
            <w:pPr>
              <w:pStyle w:val="Tabletext"/>
              <w:jc w:val="center"/>
              <w:rPr>
                <w:color w:val="000000"/>
              </w:rPr>
            </w:pPr>
            <w:r w:rsidRPr="00A604A3">
              <w:rPr>
                <w:color w:val="000000"/>
              </w:rPr>
              <w:t>0.60</w:t>
            </w:r>
          </w:p>
        </w:tc>
        <w:tc>
          <w:tcPr>
            <w:tcW w:w="457" w:type="pct"/>
            <w:vAlign w:val="center"/>
          </w:tcPr>
          <w:p w:rsidR="00AE0549" w:rsidRPr="00A604A3" w:rsidRDefault="00AE0549" w:rsidP="00445291">
            <w:pPr>
              <w:pStyle w:val="Tabletext"/>
              <w:jc w:val="center"/>
              <w:rPr>
                <w:color w:val="000000"/>
              </w:rPr>
            </w:pPr>
            <w:r w:rsidRPr="00A604A3">
              <w:rPr>
                <w:color w:val="000000"/>
              </w:rPr>
              <w:t>2.26</w:t>
            </w:r>
          </w:p>
        </w:tc>
        <w:tc>
          <w:tcPr>
            <w:tcW w:w="429" w:type="pct"/>
            <w:vAlign w:val="center"/>
          </w:tcPr>
          <w:p w:rsidR="00AE0549" w:rsidRPr="00A604A3" w:rsidRDefault="00AE0549" w:rsidP="00445291">
            <w:pPr>
              <w:pStyle w:val="Tabletext"/>
              <w:jc w:val="center"/>
              <w:rPr>
                <w:color w:val="000000"/>
              </w:rPr>
            </w:pPr>
            <w:r w:rsidRPr="00A604A3">
              <w:rPr>
                <w:color w:val="000000"/>
              </w:rPr>
              <w:t>1.25</w:t>
            </w:r>
          </w:p>
        </w:tc>
        <w:tc>
          <w:tcPr>
            <w:tcW w:w="482" w:type="pct"/>
            <w:vAlign w:val="center"/>
          </w:tcPr>
          <w:p w:rsidR="00AE0549" w:rsidRPr="00A604A3" w:rsidRDefault="00AE0549" w:rsidP="00445291">
            <w:pPr>
              <w:pStyle w:val="Tabletext"/>
              <w:jc w:val="center"/>
              <w:rPr>
                <w:color w:val="000000"/>
              </w:rPr>
            </w:pPr>
            <w:r w:rsidRPr="00A604A3">
              <w:rPr>
                <w:color w:val="000000"/>
              </w:rPr>
              <w:t>0.75</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2.54</w:t>
            </w:r>
          </w:p>
        </w:tc>
        <w:tc>
          <w:tcPr>
            <w:tcW w:w="442" w:type="pct"/>
            <w:vAlign w:val="center"/>
          </w:tcPr>
          <w:p w:rsidR="00AE0549" w:rsidRPr="00A604A3" w:rsidRDefault="00AE0549" w:rsidP="00445291">
            <w:pPr>
              <w:pStyle w:val="Tabletext"/>
              <w:jc w:val="center"/>
              <w:rPr>
                <w:color w:val="000000"/>
              </w:rPr>
            </w:pPr>
            <w:r w:rsidRPr="00A604A3">
              <w:rPr>
                <w:color w:val="000000"/>
              </w:rPr>
              <w:t>1.34</w:t>
            </w:r>
          </w:p>
        </w:tc>
        <w:tc>
          <w:tcPr>
            <w:tcW w:w="442" w:type="pct"/>
            <w:noWrap/>
            <w:vAlign w:val="center"/>
          </w:tcPr>
          <w:p w:rsidR="00AE0549" w:rsidRPr="00A604A3" w:rsidRDefault="00AE0549" w:rsidP="00445291">
            <w:pPr>
              <w:pStyle w:val="Tabletext"/>
              <w:jc w:val="center"/>
              <w:rPr>
                <w:color w:val="000000"/>
              </w:rPr>
            </w:pPr>
            <w:r w:rsidRPr="00A604A3">
              <w:rPr>
                <w:color w:val="000000"/>
              </w:rPr>
              <w:t>0.87</w:t>
            </w:r>
          </w:p>
        </w:tc>
        <w:tc>
          <w:tcPr>
            <w:tcW w:w="481" w:type="pct"/>
            <w:noWrap/>
            <w:vAlign w:val="center"/>
          </w:tcPr>
          <w:p w:rsidR="00AE0549" w:rsidRPr="00A604A3" w:rsidRDefault="00AE0549" w:rsidP="00445291">
            <w:pPr>
              <w:pStyle w:val="Tabletext"/>
              <w:jc w:val="center"/>
              <w:rPr>
                <w:color w:val="000000"/>
              </w:rPr>
            </w:pPr>
            <w:r w:rsidRPr="00A604A3">
              <w:rPr>
                <w:color w:val="000000"/>
              </w:rPr>
              <w:t>0.55</w:t>
            </w:r>
          </w:p>
        </w:tc>
        <w:tc>
          <w:tcPr>
            <w:tcW w:w="457" w:type="pct"/>
            <w:vAlign w:val="center"/>
          </w:tcPr>
          <w:p w:rsidR="00AE0549" w:rsidRPr="00A604A3" w:rsidRDefault="00AE0549" w:rsidP="00445291">
            <w:pPr>
              <w:pStyle w:val="Tabletext"/>
              <w:jc w:val="center"/>
              <w:rPr>
                <w:color w:val="000000"/>
              </w:rPr>
            </w:pPr>
            <w:r w:rsidRPr="00A604A3">
              <w:rPr>
                <w:color w:val="000000"/>
              </w:rPr>
              <w:t>2.22</w:t>
            </w:r>
          </w:p>
        </w:tc>
        <w:tc>
          <w:tcPr>
            <w:tcW w:w="429" w:type="pct"/>
            <w:vAlign w:val="center"/>
          </w:tcPr>
          <w:p w:rsidR="00AE0549" w:rsidRPr="00A604A3" w:rsidRDefault="00AE0549" w:rsidP="00445291">
            <w:pPr>
              <w:pStyle w:val="Tabletext"/>
              <w:jc w:val="center"/>
              <w:rPr>
                <w:color w:val="000000"/>
              </w:rPr>
            </w:pPr>
            <w:r w:rsidRPr="00A604A3">
              <w:rPr>
                <w:color w:val="000000"/>
              </w:rPr>
              <w:t>1.13</w:t>
            </w:r>
          </w:p>
        </w:tc>
        <w:tc>
          <w:tcPr>
            <w:tcW w:w="482" w:type="pct"/>
            <w:vAlign w:val="center"/>
          </w:tcPr>
          <w:p w:rsidR="00AE0549" w:rsidRPr="00A604A3" w:rsidRDefault="00AE0549" w:rsidP="00445291">
            <w:pPr>
              <w:pStyle w:val="Tabletext"/>
              <w:jc w:val="center"/>
              <w:rPr>
                <w:color w:val="000000"/>
              </w:rPr>
            </w:pPr>
            <w:r w:rsidRPr="00A604A3">
              <w:rPr>
                <w:color w:val="000000"/>
              </w:rPr>
              <w:t>0.66</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3.10</w:t>
            </w:r>
          </w:p>
        </w:tc>
        <w:tc>
          <w:tcPr>
            <w:tcW w:w="442" w:type="pct"/>
            <w:vAlign w:val="center"/>
          </w:tcPr>
          <w:p w:rsidR="00AE0549" w:rsidRPr="00A604A3" w:rsidRDefault="00AE0549" w:rsidP="00445291">
            <w:pPr>
              <w:pStyle w:val="Tabletext"/>
              <w:jc w:val="center"/>
              <w:rPr>
                <w:color w:val="000000"/>
              </w:rPr>
            </w:pPr>
            <w:r w:rsidRPr="00A604A3">
              <w:rPr>
                <w:color w:val="000000"/>
              </w:rPr>
              <w:t>1.60</w:t>
            </w:r>
          </w:p>
        </w:tc>
        <w:tc>
          <w:tcPr>
            <w:tcW w:w="442" w:type="pct"/>
            <w:noWrap/>
            <w:vAlign w:val="center"/>
          </w:tcPr>
          <w:p w:rsidR="00AE0549" w:rsidRPr="00A604A3" w:rsidRDefault="00AE0549" w:rsidP="00445291">
            <w:pPr>
              <w:pStyle w:val="Tabletext"/>
              <w:jc w:val="center"/>
              <w:rPr>
                <w:color w:val="000000"/>
              </w:rPr>
            </w:pPr>
            <w:r w:rsidRPr="00A604A3">
              <w:rPr>
                <w:color w:val="000000"/>
              </w:rPr>
              <w:t>1.01</w:t>
            </w:r>
          </w:p>
        </w:tc>
        <w:tc>
          <w:tcPr>
            <w:tcW w:w="481" w:type="pct"/>
            <w:noWrap/>
            <w:vAlign w:val="center"/>
          </w:tcPr>
          <w:p w:rsidR="00AE0549" w:rsidRPr="00A604A3" w:rsidRDefault="00AE0549" w:rsidP="00445291">
            <w:pPr>
              <w:pStyle w:val="Tabletext"/>
              <w:jc w:val="center"/>
              <w:rPr>
                <w:color w:val="000000"/>
              </w:rPr>
            </w:pPr>
            <w:r w:rsidRPr="00A604A3">
              <w:rPr>
                <w:color w:val="000000"/>
              </w:rPr>
              <w:t>0.65</w:t>
            </w:r>
          </w:p>
        </w:tc>
        <w:tc>
          <w:tcPr>
            <w:tcW w:w="457" w:type="pct"/>
            <w:vAlign w:val="center"/>
          </w:tcPr>
          <w:p w:rsidR="00AE0549" w:rsidRPr="00A604A3" w:rsidRDefault="00AE0549" w:rsidP="00445291">
            <w:pPr>
              <w:pStyle w:val="Tabletext"/>
              <w:jc w:val="center"/>
              <w:rPr>
                <w:color w:val="000000"/>
              </w:rPr>
            </w:pPr>
            <w:r w:rsidRPr="00A604A3">
              <w:rPr>
                <w:color w:val="000000"/>
              </w:rPr>
              <w:t>2.76</w:t>
            </w:r>
          </w:p>
        </w:tc>
        <w:tc>
          <w:tcPr>
            <w:tcW w:w="429" w:type="pct"/>
            <w:vAlign w:val="center"/>
          </w:tcPr>
          <w:p w:rsidR="00AE0549" w:rsidRPr="00A604A3" w:rsidRDefault="00AE0549" w:rsidP="00445291">
            <w:pPr>
              <w:pStyle w:val="Tabletext"/>
              <w:jc w:val="center"/>
              <w:rPr>
                <w:color w:val="000000"/>
              </w:rPr>
            </w:pPr>
            <w:r w:rsidRPr="00A604A3">
              <w:rPr>
                <w:color w:val="000000"/>
              </w:rPr>
              <w:t>1.38</w:t>
            </w:r>
          </w:p>
        </w:tc>
        <w:tc>
          <w:tcPr>
            <w:tcW w:w="482" w:type="pct"/>
            <w:vAlign w:val="center"/>
          </w:tcPr>
          <w:p w:rsidR="00AE0549" w:rsidRPr="00A604A3" w:rsidRDefault="00AE0549" w:rsidP="00445291">
            <w:pPr>
              <w:pStyle w:val="Tabletext"/>
              <w:jc w:val="center"/>
              <w:rPr>
                <w:color w:val="000000"/>
              </w:rPr>
            </w:pPr>
            <w:r w:rsidRPr="00A604A3">
              <w:rPr>
                <w:color w:val="000000"/>
              </w:rPr>
              <w:t>0.79</w:t>
            </w:r>
          </w:p>
        </w:tc>
      </w:tr>
      <w:tr w:rsidR="00AE0549" w:rsidRPr="00A604A3" w:rsidTr="00445291">
        <w:trPr>
          <w:jc w:val="center"/>
        </w:trPr>
        <w:tc>
          <w:tcPr>
            <w:tcW w:w="724" w:type="pct"/>
            <w:vMerge/>
            <w:vAlign w:val="center"/>
          </w:tcPr>
          <w:p w:rsidR="00AE0549" w:rsidRPr="00A604A3" w:rsidRDefault="00AE0549" w:rsidP="00445291">
            <w:pPr>
              <w:pStyle w:val="Tabletext"/>
              <w:rPr>
                <w:b/>
                <w:bCs/>
                <w:sz w:val="16"/>
                <w:szCs w:val="16"/>
                <w:lang w:eastAsia="zh-CN"/>
              </w:rPr>
            </w:pPr>
          </w:p>
        </w:tc>
        <w:tc>
          <w:tcPr>
            <w:tcW w:w="694" w:type="pct"/>
            <w:vMerge w:val="restart"/>
            <w:vAlign w:val="center"/>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94"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3.45</w:t>
            </w:r>
          </w:p>
        </w:tc>
        <w:tc>
          <w:tcPr>
            <w:tcW w:w="442" w:type="pct"/>
            <w:vAlign w:val="center"/>
          </w:tcPr>
          <w:p w:rsidR="00AE0549" w:rsidRPr="00A604A3" w:rsidRDefault="00AE0549" w:rsidP="00445291">
            <w:pPr>
              <w:pStyle w:val="Tabletext"/>
              <w:jc w:val="center"/>
              <w:rPr>
                <w:color w:val="000000"/>
              </w:rPr>
            </w:pPr>
            <w:r w:rsidRPr="00A604A3">
              <w:rPr>
                <w:color w:val="000000"/>
              </w:rPr>
              <w:t>1.81</w:t>
            </w:r>
          </w:p>
        </w:tc>
        <w:tc>
          <w:tcPr>
            <w:tcW w:w="442" w:type="pct"/>
            <w:noWrap/>
            <w:vAlign w:val="center"/>
          </w:tcPr>
          <w:p w:rsidR="00AE0549" w:rsidRPr="00A604A3" w:rsidRDefault="00AE0549" w:rsidP="00445291">
            <w:pPr>
              <w:pStyle w:val="Tabletext"/>
              <w:jc w:val="center"/>
              <w:rPr>
                <w:color w:val="000000"/>
              </w:rPr>
            </w:pPr>
            <w:r w:rsidRPr="00A604A3">
              <w:rPr>
                <w:color w:val="000000"/>
              </w:rPr>
              <w:t>1.10</w:t>
            </w:r>
          </w:p>
        </w:tc>
        <w:tc>
          <w:tcPr>
            <w:tcW w:w="481" w:type="pct"/>
            <w:noWrap/>
            <w:vAlign w:val="center"/>
          </w:tcPr>
          <w:p w:rsidR="00AE0549" w:rsidRPr="00A604A3" w:rsidRDefault="00AE0549" w:rsidP="00445291">
            <w:pPr>
              <w:pStyle w:val="Tabletext"/>
              <w:jc w:val="center"/>
              <w:rPr>
                <w:color w:val="000000"/>
              </w:rPr>
            </w:pPr>
            <w:r w:rsidRPr="00A604A3">
              <w:rPr>
                <w:color w:val="000000"/>
              </w:rPr>
              <w:t>0.66</w:t>
            </w:r>
          </w:p>
        </w:tc>
        <w:tc>
          <w:tcPr>
            <w:tcW w:w="457" w:type="pct"/>
            <w:vAlign w:val="center"/>
          </w:tcPr>
          <w:p w:rsidR="00AE0549" w:rsidRPr="00A604A3" w:rsidRDefault="00AE0549" w:rsidP="00445291">
            <w:pPr>
              <w:pStyle w:val="Tabletext"/>
              <w:jc w:val="center"/>
              <w:rPr>
                <w:color w:val="000000"/>
              </w:rPr>
            </w:pPr>
            <w:r w:rsidRPr="00A604A3">
              <w:rPr>
                <w:color w:val="000000"/>
              </w:rPr>
              <w:t>3.14</w:t>
            </w:r>
          </w:p>
        </w:tc>
        <w:tc>
          <w:tcPr>
            <w:tcW w:w="429" w:type="pct"/>
            <w:vAlign w:val="center"/>
          </w:tcPr>
          <w:p w:rsidR="00AE0549" w:rsidRPr="00A604A3" w:rsidRDefault="00AE0549" w:rsidP="00445291">
            <w:pPr>
              <w:pStyle w:val="Tabletext"/>
              <w:jc w:val="center"/>
              <w:rPr>
                <w:color w:val="000000"/>
              </w:rPr>
            </w:pPr>
            <w:r w:rsidRPr="00A604A3">
              <w:rPr>
                <w:color w:val="000000"/>
              </w:rPr>
              <w:t>1.58</w:t>
            </w:r>
          </w:p>
        </w:tc>
        <w:tc>
          <w:tcPr>
            <w:tcW w:w="482" w:type="pct"/>
            <w:vAlign w:val="center"/>
          </w:tcPr>
          <w:p w:rsidR="00AE0549" w:rsidRPr="00A604A3" w:rsidRDefault="00AE0549" w:rsidP="00445291">
            <w:pPr>
              <w:pStyle w:val="Tabletext"/>
              <w:jc w:val="center"/>
              <w:rPr>
                <w:color w:val="000000"/>
              </w:rPr>
            </w:pPr>
            <w:r w:rsidRPr="00A604A3">
              <w:rPr>
                <w:color w:val="000000"/>
              </w:rPr>
              <w:t>0.89</w:t>
            </w:r>
          </w:p>
        </w:tc>
      </w:tr>
      <w:tr w:rsidR="00AE0549" w:rsidRPr="00A604A3" w:rsidTr="00445291">
        <w:trPr>
          <w:jc w:val="center"/>
        </w:trPr>
        <w:tc>
          <w:tcPr>
            <w:tcW w:w="724" w:type="pct"/>
            <w:vMerge/>
          </w:tcPr>
          <w:p w:rsidR="00AE0549" w:rsidRPr="00A604A3" w:rsidRDefault="00AE0549" w:rsidP="00445291">
            <w:pPr>
              <w:pStyle w:val="Tabletext"/>
              <w:rPr>
                <w:b/>
                <w:bCs/>
                <w:sz w:val="16"/>
                <w:szCs w:val="16"/>
                <w:lang w:eastAsia="zh-CN"/>
              </w:rPr>
            </w:pPr>
          </w:p>
        </w:tc>
        <w:tc>
          <w:tcPr>
            <w:tcW w:w="694" w:type="pct"/>
            <w:vMerge/>
          </w:tcPr>
          <w:p w:rsidR="00AE0549" w:rsidRPr="00A604A3" w:rsidRDefault="00AE0549" w:rsidP="00445291">
            <w:pPr>
              <w:pStyle w:val="Tabletext"/>
              <w:rPr>
                <w:sz w:val="16"/>
                <w:szCs w:val="16"/>
                <w:lang w:eastAsia="zh-CN"/>
              </w:rPr>
            </w:pPr>
          </w:p>
        </w:tc>
        <w:tc>
          <w:tcPr>
            <w:tcW w:w="394"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4.03</w:t>
            </w:r>
          </w:p>
        </w:tc>
        <w:tc>
          <w:tcPr>
            <w:tcW w:w="442" w:type="pct"/>
            <w:vAlign w:val="center"/>
          </w:tcPr>
          <w:p w:rsidR="00AE0549" w:rsidRPr="00A604A3" w:rsidRDefault="00AE0549" w:rsidP="00445291">
            <w:pPr>
              <w:pStyle w:val="Tabletext"/>
              <w:jc w:val="center"/>
              <w:rPr>
                <w:color w:val="000000"/>
              </w:rPr>
            </w:pPr>
            <w:r w:rsidRPr="00A604A3">
              <w:rPr>
                <w:color w:val="000000"/>
              </w:rPr>
              <w:t>2.08</w:t>
            </w:r>
          </w:p>
        </w:tc>
        <w:tc>
          <w:tcPr>
            <w:tcW w:w="442" w:type="pct"/>
            <w:noWrap/>
            <w:vAlign w:val="center"/>
          </w:tcPr>
          <w:p w:rsidR="00AE0549" w:rsidRPr="00A604A3" w:rsidRDefault="00AE0549" w:rsidP="00445291">
            <w:pPr>
              <w:pStyle w:val="Tabletext"/>
              <w:jc w:val="center"/>
              <w:rPr>
                <w:color w:val="000000"/>
              </w:rPr>
            </w:pPr>
            <w:r w:rsidRPr="00A604A3">
              <w:rPr>
                <w:color w:val="000000"/>
              </w:rPr>
              <w:t>1.30</w:t>
            </w:r>
          </w:p>
        </w:tc>
        <w:tc>
          <w:tcPr>
            <w:tcW w:w="481" w:type="pct"/>
            <w:noWrap/>
            <w:vAlign w:val="center"/>
          </w:tcPr>
          <w:p w:rsidR="00AE0549" w:rsidRPr="00A604A3" w:rsidRDefault="00AE0549" w:rsidP="00445291">
            <w:pPr>
              <w:pStyle w:val="Tabletext"/>
              <w:jc w:val="center"/>
              <w:rPr>
                <w:color w:val="000000"/>
              </w:rPr>
            </w:pPr>
            <w:r w:rsidRPr="00A604A3">
              <w:rPr>
                <w:color w:val="000000"/>
              </w:rPr>
              <w:t>0.80</w:t>
            </w:r>
          </w:p>
        </w:tc>
        <w:tc>
          <w:tcPr>
            <w:tcW w:w="457" w:type="pct"/>
            <w:vAlign w:val="center"/>
          </w:tcPr>
          <w:p w:rsidR="00AE0549" w:rsidRPr="00A604A3" w:rsidRDefault="00AE0549" w:rsidP="00445291">
            <w:pPr>
              <w:pStyle w:val="Tabletext"/>
              <w:jc w:val="center"/>
              <w:rPr>
                <w:color w:val="000000"/>
              </w:rPr>
            </w:pPr>
            <w:r w:rsidRPr="00A604A3">
              <w:rPr>
                <w:color w:val="000000"/>
              </w:rPr>
              <w:t>3.68</w:t>
            </w:r>
          </w:p>
        </w:tc>
        <w:tc>
          <w:tcPr>
            <w:tcW w:w="429" w:type="pct"/>
            <w:vAlign w:val="center"/>
          </w:tcPr>
          <w:p w:rsidR="00AE0549" w:rsidRPr="00A604A3" w:rsidRDefault="00AE0549" w:rsidP="00445291">
            <w:pPr>
              <w:pStyle w:val="Tabletext"/>
              <w:jc w:val="center"/>
              <w:rPr>
                <w:color w:val="000000"/>
              </w:rPr>
            </w:pPr>
            <w:r w:rsidRPr="00A604A3">
              <w:rPr>
                <w:color w:val="000000"/>
              </w:rPr>
              <w:t>1.84</w:t>
            </w:r>
          </w:p>
        </w:tc>
        <w:tc>
          <w:tcPr>
            <w:tcW w:w="482" w:type="pct"/>
            <w:vAlign w:val="center"/>
          </w:tcPr>
          <w:p w:rsidR="00AE0549" w:rsidRPr="00A604A3" w:rsidRDefault="00AE0549" w:rsidP="00445291">
            <w:pPr>
              <w:pStyle w:val="Tabletext"/>
              <w:jc w:val="center"/>
              <w:rPr>
                <w:color w:val="000000"/>
              </w:rPr>
            </w:pPr>
            <w:r w:rsidRPr="00A604A3">
              <w:rPr>
                <w:color w:val="000000"/>
              </w:rPr>
              <w:t>1.03</w:t>
            </w:r>
          </w:p>
        </w:tc>
      </w:tr>
    </w:tbl>
    <w:p w:rsidR="00445291" w:rsidRPr="00A604A3" w:rsidRDefault="00445291" w:rsidP="00445291">
      <w:pPr>
        <w:pStyle w:val="TableNo"/>
        <w:rPr>
          <w:rFonts w:eastAsia="MS Mincho"/>
        </w:rPr>
      </w:pPr>
      <w:bookmarkStart w:id="466" w:name="_Ref31710832"/>
      <w:bookmarkStart w:id="467" w:name="_Toc32066421"/>
      <w:r w:rsidRPr="00A604A3">
        <w:rPr>
          <w:rFonts w:eastAsia="MS Mincho"/>
        </w:rPr>
        <w:t>Table 101</w:t>
      </w:r>
    </w:p>
    <w:p w:rsidR="00445291" w:rsidRPr="00A604A3" w:rsidRDefault="00445291" w:rsidP="00445291">
      <w:pPr>
        <w:pStyle w:val="Tabletitle"/>
        <w:rPr>
          <w:rFonts w:eastAsia="MS Mincho"/>
        </w:rPr>
      </w:pPr>
      <w:r w:rsidRPr="00A604A3">
        <w:rPr>
          <w:rFonts w:eastAsia="MS Mincho"/>
        </w:rPr>
        <w:t>UL user plane latency for NR TDD with grant free transmission (ms)</w:t>
      </w:r>
      <w:r w:rsidRPr="00A604A3">
        <w:rPr>
          <w:rFonts w:eastAsia="MS Mincho"/>
        </w:rPr>
        <w:br/>
        <w:t>(Frame structure: DUDU)</w:t>
      </w:r>
      <w:bookmarkEnd w:id="466"/>
      <w:bookmarkEnd w:id="467"/>
    </w:p>
    <w:tbl>
      <w:tblPr>
        <w:tblStyle w:val="TableGrid"/>
        <w:tblW w:w="4837" w:type="pct"/>
        <w:jc w:val="center"/>
        <w:tblLayout w:type="fixed"/>
        <w:tblLook w:val="04A0" w:firstRow="1" w:lastRow="0" w:firstColumn="1" w:lastColumn="0" w:noHBand="0" w:noVBand="1"/>
      </w:tblPr>
      <w:tblGrid>
        <w:gridCol w:w="1272"/>
        <w:gridCol w:w="1275"/>
        <w:gridCol w:w="633"/>
        <w:gridCol w:w="768"/>
        <w:gridCol w:w="775"/>
        <w:gridCol w:w="775"/>
        <w:gridCol w:w="897"/>
        <w:gridCol w:w="776"/>
        <w:gridCol w:w="775"/>
        <w:gridCol w:w="776"/>
      </w:tblGrid>
      <w:tr w:rsidR="00AE0549" w:rsidRPr="00A604A3" w:rsidTr="00445291">
        <w:trPr>
          <w:jc w:val="center"/>
        </w:trPr>
        <w:tc>
          <w:tcPr>
            <w:tcW w:w="1824" w:type="pct"/>
            <w:gridSpan w:val="3"/>
            <w:vMerge w:val="restart"/>
            <w:hideMark/>
          </w:tcPr>
          <w:p w:rsidR="00AE0549" w:rsidRPr="00A604A3" w:rsidRDefault="00AE0549" w:rsidP="00445291">
            <w:pPr>
              <w:pStyle w:val="Tablehead"/>
              <w:rPr>
                <w:lang w:eastAsia="zh-CN"/>
              </w:rPr>
            </w:pPr>
            <w:r w:rsidRPr="00A604A3">
              <w:rPr>
                <w:lang w:eastAsia="zh-CN"/>
              </w:rPr>
              <w:t>UL user plane latency – NR TDD (DU)</w:t>
            </w:r>
          </w:p>
        </w:tc>
        <w:tc>
          <w:tcPr>
            <w:tcW w:w="1842" w:type="pct"/>
            <w:gridSpan w:val="4"/>
            <w:hideMark/>
          </w:tcPr>
          <w:p w:rsidR="00AE0549" w:rsidRPr="00A604A3" w:rsidRDefault="00AE0549" w:rsidP="00445291">
            <w:pPr>
              <w:pStyle w:val="Tablehead"/>
              <w:rPr>
                <w:lang w:eastAsia="zh-CN"/>
              </w:rPr>
            </w:pPr>
            <w:r w:rsidRPr="00A604A3">
              <w:rPr>
                <w:lang w:eastAsia="zh-CN"/>
              </w:rPr>
              <w:t>UE capability 1</w:t>
            </w:r>
          </w:p>
        </w:tc>
        <w:tc>
          <w:tcPr>
            <w:tcW w:w="1335" w:type="pct"/>
            <w:gridSpan w:val="3"/>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1824" w:type="pct"/>
            <w:gridSpan w:val="3"/>
            <w:vMerge/>
            <w:hideMark/>
          </w:tcPr>
          <w:p w:rsidR="00AE0549" w:rsidRPr="00A604A3" w:rsidRDefault="00AE0549" w:rsidP="00445291">
            <w:pPr>
              <w:pStyle w:val="Tablehead"/>
              <w:rPr>
                <w:lang w:eastAsia="zh-CN"/>
              </w:rPr>
            </w:pPr>
          </w:p>
        </w:tc>
        <w:tc>
          <w:tcPr>
            <w:tcW w:w="1842" w:type="pct"/>
            <w:gridSpan w:val="4"/>
            <w:hideMark/>
          </w:tcPr>
          <w:p w:rsidR="00AE0549" w:rsidRPr="00A604A3" w:rsidRDefault="00AE0549" w:rsidP="00445291">
            <w:pPr>
              <w:pStyle w:val="Tablehead"/>
              <w:rPr>
                <w:lang w:eastAsia="zh-CN"/>
              </w:rPr>
            </w:pPr>
            <w:r w:rsidRPr="00A604A3">
              <w:rPr>
                <w:lang w:eastAsia="zh-CN"/>
              </w:rPr>
              <w:t>SCS</w:t>
            </w:r>
          </w:p>
        </w:tc>
        <w:tc>
          <w:tcPr>
            <w:tcW w:w="1335" w:type="pct"/>
            <w:gridSpan w:val="3"/>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1824" w:type="pct"/>
            <w:gridSpan w:val="3"/>
            <w:vMerge/>
            <w:hideMark/>
          </w:tcPr>
          <w:p w:rsidR="00AE0549" w:rsidRPr="00A604A3" w:rsidRDefault="00AE0549" w:rsidP="00445291">
            <w:pPr>
              <w:pStyle w:val="Tablehead"/>
              <w:rPr>
                <w:lang w:eastAsia="zh-CN"/>
              </w:rPr>
            </w:pPr>
          </w:p>
        </w:tc>
        <w:tc>
          <w:tcPr>
            <w:tcW w:w="440" w:type="pct"/>
            <w:noWrap/>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4" w:type="pct"/>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4" w:type="pct"/>
            <w:noWrap/>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514" w:type="pct"/>
            <w:noWrap/>
            <w:hideMark/>
          </w:tcPr>
          <w:p w:rsidR="00AE0549" w:rsidRPr="00A604A3" w:rsidRDefault="00AE0549" w:rsidP="00445291">
            <w:pPr>
              <w:pStyle w:val="Tablehead"/>
              <w:rPr>
                <w:sz w:val="16"/>
                <w:szCs w:val="16"/>
                <w:lang w:eastAsia="zh-CN"/>
              </w:rPr>
            </w:pPr>
            <w:r w:rsidRPr="00A604A3">
              <w:rPr>
                <w:sz w:val="16"/>
                <w:szCs w:val="16"/>
                <w:lang w:eastAsia="zh-CN"/>
              </w:rPr>
              <w:t>120 kHz</w:t>
            </w:r>
          </w:p>
        </w:tc>
        <w:tc>
          <w:tcPr>
            <w:tcW w:w="445" w:type="pct"/>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4" w:type="pct"/>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6" w:type="pct"/>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730"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2.01</w:t>
            </w:r>
          </w:p>
        </w:tc>
        <w:tc>
          <w:tcPr>
            <w:tcW w:w="444" w:type="pct"/>
            <w:vAlign w:val="center"/>
          </w:tcPr>
          <w:p w:rsidR="00AE0549" w:rsidRPr="00A604A3" w:rsidRDefault="00AE0549" w:rsidP="00445291">
            <w:pPr>
              <w:pStyle w:val="Tabletext"/>
              <w:jc w:val="center"/>
              <w:rPr>
                <w:color w:val="000000"/>
              </w:rPr>
            </w:pPr>
            <w:r w:rsidRPr="00A604A3">
              <w:rPr>
                <w:color w:val="000000"/>
              </w:rPr>
              <w:t>1.09</w:t>
            </w:r>
          </w:p>
        </w:tc>
        <w:tc>
          <w:tcPr>
            <w:tcW w:w="444" w:type="pct"/>
            <w:noWrap/>
            <w:vAlign w:val="center"/>
          </w:tcPr>
          <w:p w:rsidR="00AE0549" w:rsidRPr="00A604A3" w:rsidRDefault="00AE0549" w:rsidP="00445291">
            <w:pPr>
              <w:pStyle w:val="Tabletext"/>
              <w:jc w:val="center"/>
              <w:rPr>
                <w:color w:val="000000"/>
              </w:rPr>
            </w:pPr>
            <w:r w:rsidRPr="00A604A3">
              <w:rPr>
                <w:color w:val="000000"/>
              </w:rPr>
              <w:t>0.75</w:t>
            </w:r>
          </w:p>
        </w:tc>
        <w:tc>
          <w:tcPr>
            <w:tcW w:w="514" w:type="pct"/>
            <w:noWrap/>
            <w:vAlign w:val="center"/>
          </w:tcPr>
          <w:p w:rsidR="00AE0549" w:rsidRPr="00A604A3" w:rsidRDefault="00AE0549" w:rsidP="00445291">
            <w:pPr>
              <w:pStyle w:val="Tabletext"/>
              <w:jc w:val="center"/>
              <w:rPr>
                <w:color w:val="000000"/>
              </w:rPr>
            </w:pPr>
            <w:r w:rsidRPr="00A604A3">
              <w:rPr>
                <w:color w:val="000000"/>
              </w:rPr>
              <w:t>0.48</w:t>
            </w:r>
          </w:p>
        </w:tc>
        <w:tc>
          <w:tcPr>
            <w:tcW w:w="445" w:type="pct"/>
            <w:vAlign w:val="center"/>
          </w:tcPr>
          <w:p w:rsidR="00AE0549" w:rsidRPr="00A604A3" w:rsidRDefault="00AE0549" w:rsidP="00445291">
            <w:pPr>
              <w:pStyle w:val="Tabletext"/>
              <w:jc w:val="center"/>
              <w:rPr>
                <w:color w:val="000000"/>
              </w:rPr>
            </w:pPr>
            <w:r w:rsidRPr="00A604A3">
              <w:rPr>
                <w:color w:val="000000"/>
              </w:rPr>
              <w:t>1.70</w:t>
            </w:r>
          </w:p>
        </w:tc>
        <w:tc>
          <w:tcPr>
            <w:tcW w:w="444" w:type="pct"/>
            <w:vAlign w:val="center"/>
          </w:tcPr>
          <w:p w:rsidR="00AE0549" w:rsidRPr="00A604A3" w:rsidRDefault="00AE0549" w:rsidP="00445291">
            <w:pPr>
              <w:pStyle w:val="Tabletext"/>
              <w:jc w:val="center"/>
              <w:rPr>
                <w:color w:val="000000"/>
              </w:rPr>
            </w:pPr>
            <w:r w:rsidRPr="00A604A3">
              <w:rPr>
                <w:color w:val="000000"/>
              </w:rPr>
              <w:t>0.86</w:t>
            </w:r>
          </w:p>
        </w:tc>
        <w:tc>
          <w:tcPr>
            <w:tcW w:w="446" w:type="pct"/>
            <w:vAlign w:val="center"/>
          </w:tcPr>
          <w:p w:rsidR="00AE0549" w:rsidRPr="00A604A3" w:rsidRDefault="00AE0549" w:rsidP="00445291">
            <w:pPr>
              <w:pStyle w:val="Tabletext"/>
              <w:jc w:val="center"/>
              <w:rPr>
                <w:color w:val="000000"/>
              </w:rPr>
            </w:pPr>
            <w:r w:rsidRPr="00A604A3">
              <w:rPr>
                <w:color w:val="000000"/>
              </w:rPr>
              <w:t>0.54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2.46</w:t>
            </w:r>
          </w:p>
        </w:tc>
        <w:tc>
          <w:tcPr>
            <w:tcW w:w="444" w:type="pct"/>
            <w:vAlign w:val="center"/>
          </w:tcPr>
          <w:p w:rsidR="00AE0549" w:rsidRPr="00A604A3" w:rsidRDefault="00AE0549" w:rsidP="00445291">
            <w:pPr>
              <w:pStyle w:val="Tabletext"/>
              <w:jc w:val="center"/>
              <w:rPr>
                <w:color w:val="000000"/>
              </w:rPr>
            </w:pPr>
            <w:r w:rsidRPr="00A604A3">
              <w:rPr>
                <w:color w:val="000000"/>
              </w:rPr>
              <w:t>1.34</w:t>
            </w:r>
          </w:p>
        </w:tc>
        <w:tc>
          <w:tcPr>
            <w:tcW w:w="444" w:type="pct"/>
            <w:noWrap/>
            <w:vAlign w:val="center"/>
          </w:tcPr>
          <w:p w:rsidR="00AE0549" w:rsidRPr="00A604A3" w:rsidRDefault="00AE0549" w:rsidP="00445291">
            <w:pPr>
              <w:pStyle w:val="Tabletext"/>
              <w:jc w:val="center"/>
              <w:rPr>
                <w:color w:val="000000"/>
              </w:rPr>
            </w:pPr>
            <w:r w:rsidRPr="00A604A3">
              <w:rPr>
                <w:color w:val="000000"/>
              </w:rPr>
              <w:t>0.85</w:t>
            </w:r>
          </w:p>
        </w:tc>
        <w:tc>
          <w:tcPr>
            <w:tcW w:w="514" w:type="pct"/>
            <w:noWrap/>
            <w:vAlign w:val="center"/>
          </w:tcPr>
          <w:p w:rsidR="00AE0549" w:rsidRPr="00A604A3" w:rsidRDefault="00AE0549" w:rsidP="00445291">
            <w:pPr>
              <w:pStyle w:val="Tabletext"/>
              <w:jc w:val="center"/>
              <w:rPr>
                <w:color w:val="000000"/>
              </w:rPr>
            </w:pPr>
            <w:r w:rsidRPr="00A604A3">
              <w:rPr>
                <w:color w:val="000000"/>
              </w:rPr>
              <w:t>0.57</w:t>
            </w:r>
          </w:p>
        </w:tc>
        <w:tc>
          <w:tcPr>
            <w:tcW w:w="445" w:type="pct"/>
            <w:vAlign w:val="center"/>
          </w:tcPr>
          <w:p w:rsidR="00AE0549" w:rsidRPr="00A604A3" w:rsidRDefault="00AE0549" w:rsidP="00445291">
            <w:pPr>
              <w:pStyle w:val="Tabletext"/>
              <w:jc w:val="center"/>
              <w:rPr>
                <w:color w:val="000000"/>
              </w:rPr>
            </w:pPr>
            <w:r w:rsidRPr="00A604A3">
              <w:rPr>
                <w:color w:val="000000"/>
              </w:rPr>
              <w:t>1.96</w:t>
            </w:r>
          </w:p>
        </w:tc>
        <w:tc>
          <w:tcPr>
            <w:tcW w:w="444" w:type="pct"/>
            <w:vAlign w:val="center"/>
          </w:tcPr>
          <w:p w:rsidR="00AE0549" w:rsidRPr="00A604A3" w:rsidRDefault="00AE0549" w:rsidP="00445291">
            <w:pPr>
              <w:pStyle w:val="Tabletext"/>
              <w:jc w:val="center"/>
              <w:rPr>
                <w:color w:val="000000"/>
              </w:rPr>
            </w:pPr>
            <w:r w:rsidRPr="00A604A3">
              <w:rPr>
                <w:color w:val="000000"/>
              </w:rPr>
              <w:t>0.97</w:t>
            </w:r>
          </w:p>
        </w:tc>
        <w:tc>
          <w:tcPr>
            <w:tcW w:w="446" w:type="pct"/>
            <w:vAlign w:val="center"/>
          </w:tcPr>
          <w:p w:rsidR="00AE0549" w:rsidRPr="00A604A3" w:rsidRDefault="00AE0549" w:rsidP="00445291">
            <w:pPr>
              <w:pStyle w:val="Tabletext"/>
              <w:jc w:val="center"/>
              <w:rPr>
                <w:color w:val="000000"/>
              </w:rPr>
            </w:pPr>
            <w:r w:rsidRPr="00A604A3">
              <w:rPr>
                <w:color w:val="000000"/>
              </w:rPr>
              <w:t>0.64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2.25</w:t>
            </w:r>
          </w:p>
        </w:tc>
        <w:tc>
          <w:tcPr>
            <w:tcW w:w="444" w:type="pct"/>
            <w:vAlign w:val="center"/>
          </w:tcPr>
          <w:p w:rsidR="00AE0549" w:rsidRPr="00A604A3" w:rsidRDefault="00AE0549" w:rsidP="00445291">
            <w:pPr>
              <w:pStyle w:val="Tabletext"/>
              <w:jc w:val="center"/>
              <w:rPr>
                <w:color w:val="000000"/>
              </w:rPr>
            </w:pPr>
            <w:r w:rsidRPr="00A604A3">
              <w:rPr>
                <w:color w:val="000000"/>
              </w:rPr>
              <w:t>1.19</w:t>
            </w:r>
          </w:p>
        </w:tc>
        <w:tc>
          <w:tcPr>
            <w:tcW w:w="444" w:type="pct"/>
            <w:noWrap/>
            <w:vAlign w:val="center"/>
          </w:tcPr>
          <w:p w:rsidR="00AE0549" w:rsidRPr="00A604A3" w:rsidRDefault="00AE0549" w:rsidP="00445291">
            <w:pPr>
              <w:pStyle w:val="Tabletext"/>
              <w:jc w:val="center"/>
              <w:rPr>
                <w:color w:val="000000"/>
              </w:rPr>
            </w:pPr>
            <w:r w:rsidRPr="00A604A3">
              <w:rPr>
                <w:color w:val="000000"/>
              </w:rPr>
              <w:t>0.80</w:t>
            </w:r>
          </w:p>
        </w:tc>
        <w:tc>
          <w:tcPr>
            <w:tcW w:w="514" w:type="pct"/>
            <w:noWrap/>
            <w:vAlign w:val="center"/>
          </w:tcPr>
          <w:p w:rsidR="00AE0549" w:rsidRPr="00A604A3" w:rsidRDefault="00AE0549" w:rsidP="00445291">
            <w:pPr>
              <w:pStyle w:val="Tabletext"/>
              <w:jc w:val="center"/>
              <w:rPr>
                <w:color w:val="000000"/>
              </w:rPr>
            </w:pPr>
            <w:r w:rsidRPr="00A604A3">
              <w:rPr>
                <w:color w:val="000000"/>
              </w:rPr>
              <w:t>0.51</w:t>
            </w:r>
          </w:p>
        </w:tc>
        <w:tc>
          <w:tcPr>
            <w:tcW w:w="445" w:type="pct"/>
            <w:vAlign w:val="center"/>
          </w:tcPr>
          <w:p w:rsidR="00AE0549" w:rsidRPr="00A604A3" w:rsidRDefault="00AE0549" w:rsidP="00445291">
            <w:pPr>
              <w:pStyle w:val="Tabletext"/>
              <w:jc w:val="center"/>
              <w:rPr>
                <w:color w:val="000000"/>
              </w:rPr>
            </w:pPr>
            <w:r w:rsidRPr="00A604A3">
              <w:rPr>
                <w:color w:val="000000"/>
              </w:rPr>
              <w:t>1.90</w:t>
            </w:r>
          </w:p>
        </w:tc>
        <w:tc>
          <w:tcPr>
            <w:tcW w:w="444" w:type="pct"/>
            <w:vAlign w:val="center"/>
          </w:tcPr>
          <w:p w:rsidR="00AE0549" w:rsidRPr="00A604A3" w:rsidRDefault="00AE0549" w:rsidP="00445291">
            <w:pPr>
              <w:pStyle w:val="Tabletext"/>
              <w:jc w:val="center"/>
              <w:rPr>
                <w:color w:val="000000"/>
              </w:rPr>
            </w:pPr>
            <w:r w:rsidRPr="00A604A3">
              <w:rPr>
                <w:color w:val="000000"/>
              </w:rPr>
              <w:t>0.97</w:t>
            </w:r>
          </w:p>
        </w:tc>
        <w:tc>
          <w:tcPr>
            <w:tcW w:w="446" w:type="pct"/>
            <w:vAlign w:val="center"/>
          </w:tcPr>
          <w:p w:rsidR="00AE0549" w:rsidRPr="00A604A3" w:rsidRDefault="00AE0549" w:rsidP="00445291">
            <w:pPr>
              <w:pStyle w:val="Tabletext"/>
              <w:jc w:val="center"/>
              <w:rPr>
                <w:color w:val="000000"/>
              </w:rPr>
            </w:pPr>
            <w:r w:rsidRPr="00A604A3">
              <w:rPr>
                <w:color w:val="000000"/>
              </w:rPr>
              <w:t>0.60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2.66</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4" w:type="pct"/>
            <w:noWrap/>
            <w:vAlign w:val="center"/>
          </w:tcPr>
          <w:p w:rsidR="00AE0549" w:rsidRPr="00A604A3" w:rsidRDefault="00AE0549" w:rsidP="00445291">
            <w:pPr>
              <w:pStyle w:val="Tabletext"/>
              <w:jc w:val="center"/>
              <w:rPr>
                <w:color w:val="000000"/>
              </w:rPr>
            </w:pPr>
            <w:r w:rsidRPr="00A604A3">
              <w:rPr>
                <w:color w:val="000000"/>
              </w:rPr>
              <w:t>0.97</w:t>
            </w:r>
          </w:p>
        </w:tc>
        <w:tc>
          <w:tcPr>
            <w:tcW w:w="514" w:type="pct"/>
            <w:noWrap/>
            <w:vAlign w:val="center"/>
          </w:tcPr>
          <w:p w:rsidR="00AE0549" w:rsidRPr="00A604A3" w:rsidRDefault="00AE0549" w:rsidP="00445291">
            <w:pPr>
              <w:pStyle w:val="Tabletext"/>
              <w:jc w:val="center"/>
              <w:rPr>
                <w:color w:val="000000"/>
              </w:rPr>
            </w:pPr>
            <w:r w:rsidRPr="00A604A3">
              <w:rPr>
                <w:color w:val="000000"/>
              </w:rPr>
              <w:t>0.59</w:t>
            </w:r>
          </w:p>
        </w:tc>
        <w:tc>
          <w:tcPr>
            <w:tcW w:w="445" w:type="pct"/>
            <w:vAlign w:val="center"/>
          </w:tcPr>
          <w:p w:rsidR="00AE0549" w:rsidRPr="00A604A3" w:rsidRDefault="00AE0549" w:rsidP="00445291">
            <w:pPr>
              <w:pStyle w:val="Tabletext"/>
              <w:jc w:val="center"/>
              <w:rPr>
                <w:color w:val="000000"/>
              </w:rPr>
            </w:pPr>
            <w:r w:rsidRPr="00A604A3">
              <w:rPr>
                <w:color w:val="000000"/>
              </w:rPr>
              <w:t>2.19</w:t>
            </w:r>
          </w:p>
        </w:tc>
        <w:tc>
          <w:tcPr>
            <w:tcW w:w="444" w:type="pct"/>
            <w:vAlign w:val="center"/>
          </w:tcPr>
          <w:p w:rsidR="00AE0549" w:rsidRPr="00A604A3" w:rsidRDefault="00AE0549" w:rsidP="00445291">
            <w:pPr>
              <w:pStyle w:val="Tabletext"/>
              <w:jc w:val="center"/>
              <w:rPr>
                <w:color w:val="000000"/>
              </w:rPr>
            </w:pPr>
            <w:r w:rsidRPr="00A604A3">
              <w:rPr>
                <w:color w:val="000000"/>
              </w:rPr>
              <w:t>1.09</w:t>
            </w:r>
          </w:p>
        </w:tc>
        <w:tc>
          <w:tcPr>
            <w:tcW w:w="446" w:type="pct"/>
            <w:vAlign w:val="center"/>
          </w:tcPr>
          <w:p w:rsidR="00AE0549" w:rsidRPr="00A604A3" w:rsidRDefault="00AE0549" w:rsidP="00445291">
            <w:pPr>
              <w:pStyle w:val="Tabletext"/>
              <w:jc w:val="center"/>
              <w:rPr>
                <w:color w:val="000000"/>
              </w:rPr>
            </w:pPr>
            <w:r w:rsidRPr="00A604A3">
              <w:rPr>
                <w:color w:val="000000"/>
              </w:rPr>
              <w:t>0.72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2.76</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4" w:type="pct"/>
            <w:noWrap/>
            <w:vAlign w:val="center"/>
          </w:tcPr>
          <w:p w:rsidR="00AE0549" w:rsidRPr="00A604A3" w:rsidRDefault="00AE0549" w:rsidP="00445291">
            <w:pPr>
              <w:pStyle w:val="Tabletext"/>
              <w:jc w:val="center"/>
              <w:rPr>
                <w:color w:val="000000"/>
              </w:rPr>
            </w:pPr>
            <w:r w:rsidRPr="00A604A3">
              <w:rPr>
                <w:color w:val="000000"/>
              </w:rPr>
              <w:t>0.93</w:t>
            </w:r>
          </w:p>
        </w:tc>
        <w:tc>
          <w:tcPr>
            <w:tcW w:w="514" w:type="pct"/>
            <w:noWrap/>
            <w:vAlign w:val="center"/>
          </w:tcPr>
          <w:p w:rsidR="00AE0549" w:rsidRPr="00A604A3" w:rsidRDefault="00AE0549" w:rsidP="00445291">
            <w:pPr>
              <w:pStyle w:val="Tabletext"/>
              <w:jc w:val="center"/>
              <w:rPr>
                <w:color w:val="000000"/>
              </w:rPr>
            </w:pPr>
            <w:r w:rsidRPr="00A604A3">
              <w:rPr>
                <w:color w:val="000000"/>
              </w:rPr>
              <w:t>0.58</w:t>
            </w:r>
          </w:p>
        </w:tc>
        <w:tc>
          <w:tcPr>
            <w:tcW w:w="445" w:type="pct"/>
            <w:vAlign w:val="center"/>
          </w:tcPr>
          <w:p w:rsidR="00AE0549" w:rsidRPr="00A604A3" w:rsidRDefault="00AE0549" w:rsidP="00445291">
            <w:pPr>
              <w:pStyle w:val="Tabletext"/>
              <w:jc w:val="center"/>
              <w:rPr>
                <w:color w:val="000000"/>
              </w:rPr>
            </w:pPr>
            <w:r w:rsidRPr="00A604A3">
              <w:rPr>
                <w:color w:val="000000"/>
              </w:rPr>
              <w:t>2.40</w:t>
            </w:r>
          </w:p>
        </w:tc>
        <w:tc>
          <w:tcPr>
            <w:tcW w:w="444" w:type="pct"/>
            <w:vAlign w:val="center"/>
          </w:tcPr>
          <w:p w:rsidR="00AE0549" w:rsidRPr="00A604A3" w:rsidRDefault="00AE0549" w:rsidP="00445291">
            <w:pPr>
              <w:pStyle w:val="Tabletext"/>
              <w:jc w:val="center"/>
              <w:rPr>
                <w:color w:val="000000"/>
              </w:rPr>
            </w:pPr>
            <w:r w:rsidRPr="00A604A3">
              <w:rPr>
                <w:color w:val="000000"/>
              </w:rPr>
              <w:t>1.23</w:t>
            </w:r>
          </w:p>
        </w:tc>
        <w:tc>
          <w:tcPr>
            <w:tcW w:w="446" w:type="pct"/>
            <w:vAlign w:val="center"/>
          </w:tcPr>
          <w:p w:rsidR="00AE0549" w:rsidRPr="00A604A3" w:rsidRDefault="00AE0549" w:rsidP="00445291">
            <w:pPr>
              <w:pStyle w:val="Tabletext"/>
              <w:jc w:val="center"/>
              <w:rPr>
                <w:color w:val="000000"/>
              </w:rPr>
            </w:pPr>
            <w:r w:rsidRPr="00A604A3">
              <w:rPr>
                <w:color w:val="000000"/>
              </w:rPr>
              <w:t>0.72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3.16</w:t>
            </w:r>
          </w:p>
        </w:tc>
        <w:tc>
          <w:tcPr>
            <w:tcW w:w="444" w:type="pct"/>
            <w:vAlign w:val="center"/>
          </w:tcPr>
          <w:p w:rsidR="00AE0549" w:rsidRPr="00A604A3" w:rsidRDefault="00AE0549" w:rsidP="00445291">
            <w:pPr>
              <w:pStyle w:val="Tabletext"/>
              <w:jc w:val="center"/>
              <w:rPr>
                <w:color w:val="000000"/>
              </w:rPr>
            </w:pPr>
            <w:r w:rsidRPr="00A604A3">
              <w:rPr>
                <w:color w:val="000000"/>
              </w:rPr>
              <w:t>1.71</w:t>
            </w:r>
          </w:p>
        </w:tc>
        <w:tc>
          <w:tcPr>
            <w:tcW w:w="444" w:type="pct"/>
            <w:noWrap/>
            <w:vAlign w:val="center"/>
          </w:tcPr>
          <w:p w:rsidR="00AE0549" w:rsidRPr="00A604A3" w:rsidRDefault="00AE0549" w:rsidP="00445291">
            <w:pPr>
              <w:pStyle w:val="Tabletext"/>
              <w:jc w:val="center"/>
              <w:rPr>
                <w:color w:val="000000"/>
              </w:rPr>
            </w:pPr>
            <w:r w:rsidRPr="00A604A3">
              <w:rPr>
                <w:color w:val="000000"/>
              </w:rPr>
              <w:t>1.15</w:t>
            </w:r>
          </w:p>
        </w:tc>
        <w:tc>
          <w:tcPr>
            <w:tcW w:w="514" w:type="pct"/>
            <w:noWrap/>
            <w:vAlign w:val="center"/>
          </w:tcPr>
          <w:p w:rsidR="00AE0549" w:rsidRPr="00A604A3" w:rsidRDefault="00AE0549" w:rsidP="00445291">
            <w:pPr>
              <w:pStyle w:val="Tabletext"/>
              <w:jc w:val="center"/>
              <w:rPr>
                <w:color w:val="000000"/>
              </w:rPr>
            </w:pPr>
            <w:r w:rsidRPr="00A604A3">
              <w:rPr>
                <w:color w:val="000000"/>
              </w:rPr>
              <w:t>0.68</w:t>
            </w:r>
          </w:p>
        </w:tc>
        <w:tc>
          <w:tcPr>
            <w:tcW w:w="445" w:type="pct"/>
            <w:vAlign w:val="center"/>
          </w:tcPr>
          <w:p w:rsidR="00AE0549" w:rsidRPr="00A604A3" w:rsidRDefault="00AE0549" w:rsidP="00445291">
            <w:pPr>
              <w:pStyle w:val="Tabletext"/>
              <w:jc w:val="center"/>
              <w:rPr>
                <w:color w:val="000000"/>
              </w:rPr>
            </w:pPr>
            <w:r w:rsidRPr="00A604A3">
              <w:rPr>
                <w:color w:val="000000"/>
              </w:rPr>
              <w:t>2.84</w:t>
            </w:r>
          </w:p>
        </w:tc>
        <w:tc>
          <w:tcPr>
            <w:tcW w:w="444" w:type="pct"/>
            <w:vAlign w:val="center"/>
          </w:tcPr>
          <w:p w:rsidR="00AE0549" w:rsidRPr="00A604A3" w:rsidRDefault="00AE0549" w:rsidP="00445291">
            <w:pPr>
              <w:pStyle w:val="Tabletext"/>
              <w:jc w:val="center"/>
              <w:rPr>
                <w:color w:val="000000"/>
              </w:rPr>
            </w:pPr>
            <w:r w:rsidRPr="00A604A3">
              <w:rPr>
                <w:color w:val="000000"/>
              </w:rPr>
              <w:t>1.44</w:t>
            </w:r>
          </w:p>
        </w:tc>
        <w:tc>
          <w:tcPr>
            <w:tcW w:w="446" w:type="pct"/>
            <w:vAlign w:val="center"/>
          </w:tcPr>
          <w:p w:rsidR="00AE0549" w:rsidRPr="00A604A3" w:rsidRDefault="00AE0549" w:rsidP="00445291">
            <w:pPr>
              <w:pStyle w:val="Tabletext"/>
              <w:jc w:val="center"/>
              <w:rPr>
                <w:color w:val="000000"/>
              </w:rPr>
            </w:pPr>
            <w:r w:rsidRPr="00A604A3">
              <w:rPr>
                <w:color w:val="000000"/>
              </w:rPr>
              <w:t>0.81</w:t>
            </w:r>
          </w:p>
        </w:tc>
      </w:tr>
      <w:tr w:rsidR="00AE0549" w:rsidRPr="00A604A3" w:rsidTr="00445291">
        <w:trPr>
          <w:jc w:val="center"/>
        </w:trPr>
        <w:tc>
          <w:tcPr>
            <w:tcW w:w="730"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1.26</w:t>
            </w:r>
          </w:p>
        </w:tc>
        <w:tc>
          <w:tcPr>
            <w:tcW w:w="444" w:type="pct"/>
            <w:vAlign w:val="center"/>
          </w:tcPr>
          <w:p w:rsidR="00AE0549" w:rsidRPr="00A604A3" w:rsidRDefault="00AE0549" w:rsidP="00445291">
            <w:pPr>
              <w:pStyle w:val="Tabletext"/>
              <w:jc w:val="center"/>
              <w:rPr>
                <w:color w:val="000000"/>
              </w:rPr>
            </w:pPr>
            <w:r w:rsidRPr="00A604A3">
              <w:rPr>
                <w:color w:val="000000"/>
              </w:rPr>
              <w:t>0.70</w:t>
            </w:r>
          </w:p>
        </w:tc>
        <w:tc>
          <w:tcPr>
            <w:tcW w:w="444" w:type="pct"/>
            <w:noWrap/>
            <w:vAlign w:val="center"/>
          </w:tcPr>
          <w:p w:rsidR="00AE0549" w:rsidRPr="00A604A3" w:rsidRDefault="00AE0549" w:rsidP="00445291">
            <w:pPr>
              <w:pStyle w:val="Tabletext"/>
              <w:jc w:val="center"/>
              <w:rPr>
                <w:color w:val="000000"/>
              </w:rPr>
            </w:pPr>
            <w:r w:rsidRPr="00A604A3">
              <w:rPr>
                <w:color w:val="000000"/>
              </w:rPr>
              <w:t>0.55</w:t>
            </w:r>
          </w:p>
        </w:tc>
        <w:tc>
          <w:tcPr>
            <w:tcW w:w="514" w:type="pct"/>
            <w:noWrap/>
            <w:vAlign w:val="center"/>
          </w:tcPr>
          <w:p w:rsidR="00AE0549" w:rsidRPr="00A604A3" w:rsidRDefault="00AE0549" w:rsidP="00445291">
            <w:pPr>
              <w:pStyle w:val="Tabletext"/>
              <w:jc w:val="center"/>
              <w:rPr>
                <w:color w:val="000000"/>
              </w:rPr>
            </w:pPr>
            <w:r w:rsidRPr="00A604A3">
              <w:rPr>
                <w:color w:val="000000"/>
              </w:rPr>
              <w:t>0.39</w:t>
            </w:r>
          </w:p>
        </w:tc>
        <w:tc>
          <w:tcPr>
            <w:tcW w:w="445" w:type="pct"/>
            <w:vAlign w:val="center"/>
          </w:tcPr>
          <w:p w:rsidR="00AE0549" w:rsidRPr="00A604A3" w:rsidRDefault="00AE0549" w:rsidP="00445291">
            <w:pPr>
              <w:pStyle w:val="Tabletext"/>
              <w:jc w:val="center"/>
              <w:rPr>
                <w:color w:val="000000"/>
              </w:rPr>
            </w:pPr>
            <w:r w:rsidRPr="00A604A3">
              <w:rPr>
                <w:color w:val="000000"/>
              </w:rPr>
              <w:t>0.93</w:t>
            </w:r>
          </w:p>
        </w:tc>
        <w:tc>
          <w:tcPr>
            <w:tcW w:w="444" w:type="pct"/>
            <w:vAlign w:val="center"/>
          </w:tcPr>
          <w:p w:rsidR="00AE0549" w:rsidRPr="00A604A3" w:rsidRDefault="00AE0549" w:rsidP="00445291">
            <w:pPr>
              <w:pStyle w:val="Tabletext"/>
              <w:jc w:val="center"/>
              <w:rPr>
                <w:color w:val="000000"/>
              </w:rPr>
            </w:pPr>
            <w:r w:rsidRPr="00A604A3">
              <w:rPr>
                <w:color w:val="000000"/>
              </w:rPr>
              <w:t>0.47</w:t>
            </w:r>
          </w:p>
        </w:tc>
        <w:tc>
          <w:tcPr>
            <w:tcW w:w="446" w:type="pct"/>
            <w:vAlign w:val="center"/>
          </w:tcPr>
          <w:p w:rsidR="00AE0549" w:rsidRPr="00A604A3" w:rsidRDefault="00AE0549" w:rsidP="00445291">
            <w:pPr>
              <w:pStyle w:val="Tabletext"/>
              <w:jc w:val="center"/>
              <w:rPr>
                <w:color w:val="000000"/>
              </w:rPr>
            </w:pPr>
            <w:r w:rsidRPr="00A604A3">
              <w:rPr>
                <w:color w:val="000000"/>
              </w:rPr>
              <w:t>0.34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1.46</w:t>
            </w:r>
          </w:p>
        </w:tc>
        <w:tc>
          <w:tcPr>
            <w:tcW w:w="444" w:type="pct"/>
            <w:vAlign w:val="center"/>
          </w:tcPr>
          <w:p w:rsidR="00AE0549" w:rsidRPr="00A604A3" w:rsidRDefault="00AE0549" w:rsidP="00445291">
            <w:pPr>
              <w:pStyle w:val="Tabletext"/>
              <w:jc w:val="center"/>
              <w:rPr>
                <w:color w:val="000000"/>
              </w:rPr>
            </w:pPr>
            <w:r w:rsidRPr="00A604A3">
              <w:rPr>
                <w:color w:val="000000"/>
              </w:rPr>
              <w:t>0.82</w:t>
            </w:r>
          </w:p>
        </w:tc>
        <w:tc>
          <w:tcPr>
            <w:tcW w:w="444" w:type="pct"/>
            <w:noWrap/>
            <w:vAlign w:val="center"/>
          </w:tcPr>
          <w:p w:rsidR="00AE0549" w:rsidRPr="00A604A3" w:rsidRDefault="00AE0549" w:rsidP="00445291">
            <w:pPr>
              <w:pStyle w:val="Tabletext"/>
              <w:jc w:val="center"/>
              <w:rPr>
                <w:color w:val="000000"/>
              </w:rPr>
            </w:pPr>
            <w:r w:rsidRPr="00A604A3">
              <w:rPr>
                <w:color w:val="000000"/>
              </w:rPr>
              <w:t>0.66</w:t>
            </w:r>
          </w:p>
        </w:tc>
        <w:tc>
          <w:tcPr>
            <w:tcW w:w="514" w:type="pct"/>
            <w:noWrap/>
            <w:vAlign w:val="center"/>
          </w:tcPr>
          <w:p w:rsidR="00AE0549" w:rsidRPr="00A604A3" w:rsidRDefault="00AE0549" w:rsidP="00445291">
            <w:pPr>
              <w:pStyle w:val="Tabletext"/>
              <w:jc w:val="center"/>
              <w:rPr>
                <w:color w:val="000000"/>
              </w:rPr>
            </w:pPr>
            <w:r w:rsidRPr="00A604A3">
              <w:rPr>
                <w:color w:val="000000"/>
              </w:rPr>
              <w:t>0.47</w:t>
            </w:r>
          </w:p>
        </w:tc>
        <w:tc>
          <w:tcPr>
            <w:tcW w:w="445" w:type="pct"/>
            <w:vAlign w:val="center"/>
          </w:tcPr>
          <w:p w:rsidR="00AE0549" w:rsidRPr="00A604A3" w:rsidRDefault="00AE0549" w:rsidP="00445291">
            <w:pPr>
              <w:pStyle w:val="Tabletext"/>
              <w:jc w:val="center"/>
              <w:rPr>
                <w:color w:val="000000"/>
              </w:rPr>
            </w:pPr>
            <w:r w:rsidRPr="00A604A3">
              <w:rPr>
                <w:color w:val="000000"/>
              </w:rPr>
              <w:t>1.14</w:t>
            </w:r>
          </w:p>
        </w:tc>
        <w:tc>
          <w:tcPr>
            <w:tcW w:w="444" w:type="pct"/>
            <w:vAlign w:val="center"/>
          </w:tcPr>
          <w:p w:rsidR="00AE0549" w:rsidRPr="00A604A3" w:rsidRDefault="00AE0549" w:rsidP="00445291">
            <w:pPr>
              <w:pStyle w:val="Tabletext"/>
              <w:jc w:val="center"/>
              <w:rPr>
                <w:color w:val="000000"/>
              </w:rPr>
            </w:pPr>
            <w:r w:rsidRPr="00A604A3">
              <w:rPr>
                <w:color w:val="000000"/>
              </w:rPr>
              <w:t>0.57</w:t>
            </w:r>
          </w:p>
        </w:tc>
        <w:tc>
          <w:tcPr>
            <w:tcW w:w="446" w:type="pct"/>
            <w:vAlign w:val="center"/>
          </w:tcPr>
          <w:p w:rsidR="00AE0549" w:rsidRPr="00A604A3" w:rsidRDefault="00AE0549" w:rsidP="00445291">
            <w:pPr>
              <w:pStyle w:val="Tabletext"/>
              <w:jc w:val="center"/>
              <w:rPr>
                <w:color w:val="000000"/>
              </w:rPr>
            </w:pPr>
            <w:r w:rsidRPr="00A604A3">
              <w:rPr>
                <w:color w:val="000000"/>
              </w:rPr>
              <w:t>0.40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1.66</w:t>
            </w:r>
          </w:p>
        </w:tc>
        <w:tc>
          <w:tcPr>
            <w:tcW w:w="444" w:type="pct"/>
            <w:vAlign w:val="center"/>
          </w:tcPr>
          <w:p w:rsidR="00AE0549" w:rsidRPr="00A604A3" w:rsidRDefault="00AE0549" w:rsidP="00445291">
            <w:pPr>
              <w:pStyle w:val="Tabletext"/>
              <w:jc w:val="center"/>
              <w:rPr>
                <w:color w:val="000000"/>
              </w:rPr>
            </w:pPr>
            <w:r w:rsidRPr="00A604A3">
              <w:rPr>
                <w:color w:val="000000"/>
              </w:rPr>
              <w:t>0.90</w:t>
            </w:r>
          </w:p>
        </w:tc>
        <w:tc>
          <w:tcPr>
            <w:tcW w:w="444" w:type="pct"/>
            <w:noWrap/>
            <w:vAlign w:val="center"/>
          </w:tcPr>
          <w:p w:rsidR="00AE0549" w:rsidRPr="00A604A3" w:rsidRDefault="00AE0549" w:rsidP="00445291">
            <w:pPr>
              <w:pStyle w:val="Tabletext"/>
              <w:jc w:val="center"/>
              <w:rPr>
                <w:color w:val="000000"/>
              </w:rPr>
            </w:pPr>
            <w:r w:rsidRPr="00A604A3">
              <w:rPr>
                <w:color w:val="000000"/>
              </w:rPr>
              <w:t>0.66</w:t>
            </w:r>
          </w:p>
        </w:tc>
        <w:tc>
          <w:tcPr>
            <w:tcW w:w="514" w:type="pct"/>
            <w:noWrap/>
            <w:vAlign w:val="center"/>
          </w:tcPr>
          <w:p w:rsidR="00AE0549" w:rsidRPr="00A604A3" w:rsidRDefault="00AE0549" w:rsidP="00445291">
            <w:pPr>
              <w:pStyle w:val="Tabletext"/>
              <w:jc w:val="center"/>
              <w:rPr>
                <w:color w:val="000000"/>
              </w:rPr>
            </w:pPr>
            <w:r w:rsidRPr="00A604A3">
              <w:rPr>
                <w:color w:val="000000"/>
              </w:rPr>
              <w:t>0.44</w:t>
            </w:r>
          </w:p>
        </w:tc>
        <w:tc>
          <w:tcPr>
            <w:tcW w:w="445" w:type="pct"/>
            <w:vAlign w:val="center"/>
          </w:tcPr>
          <w:p w:rsidR="00AE0549" w:rsidRPr="00A604A3" w:rsidRDefault="00AE0549" w:rsidP="00445291">
            <w:pPr>
              <w:pStyle w:val="Tabletext"/>
              <w:jc w:val="center"/>
              <w:rPr>
                <w:color w:val="000000"/>
              </w:rPr>
            </w:pPr>
            <w:r w:rsidRPr="00A604A3">
              <w:rPr>
                <w:color w:val="000000"/>
              </w:rPr>
              <w:t>1.35</w:t>
            </w:r>
          </w:p>
        </w:tc>
        <w:tc>
          <w:tcPr>
            <w:tcW w:w="444" w:type="pct"/>
            <w:vAlign w:val="center"/>
          </w:tcPr>
          <w:p w:rsidR="00AE0549" w:rsidRPr="00A604A3" w:rsidRDefault="00AE0549" w:rsidP="00445291">
            <w:pPr>
              <w:pStyle w:val="Tabletext"/>
              <w:jc w:val="center"/>
              <w:rPr>
                <w:color w:val="000000"/>
              </w:rPr>
            </w:pPr>
            <w:r w:rsidRPr="00A604A3">
              <w:rPr>
                <w:color w:val="000000"/>
              </w:rPr>
              <w:t>0.68</w:t>
            </w:r>
          </w:p>
        </w:tc>
        <w:tc>
          <w:tcPr>
            <w:tcW w:w="446" w:type="pct"/>
            <w:vAlign w:val="center"/>
          </w:tcPr>
          <w:p w:rsidR="00AE0549" w:rsidRPr="00A604A3" w:rsidRDefault="00AE0549" w:rsidP="00445291">
            <w:pPr>
              <w:pStyle w:val="Tabletext"/>
              <w:jc w:val="center"/>
              <w:rPr>
                <w:color w:val="000000"/>
              </w:rPr>
            </w:pPr>
            <w:r w:rsidRPr="00A604A3">
              <w:rPr>
                <w:color w:val="000000"/>
              </w:rPr>
              <w:t>0.44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1.97</w:t>
            </w:r>
          </w:p>
        </w:tc>
        <w:tc>
          <w:tcPr>
            <w:tcW w:w="444" w:type="pct"/>
            <w:vAlign w:val="center"/>
          </w:tcPr>
          <w:p w:rsidR="00AE0549" w:rsidRPr="00A604A3" w:rsidRDefault="00AE0549" w:rsidP="00445291">
            <w:pPr>
              <w:pStyle w:val="Tabletext"/>
              <w:jc w:val="center"/>
              <w:rPr>
                <w:color w:val="000000"/>
              </w:rPr>
            </w:pPr>
            <w:r w:rsidRPr="00A604A3">
              <w:rPr>
                <w:color w:val="000000"/>
              </w:rPr>
              <w:t>1.05</w:t>
            </w:r>
          </w:p>
        </w:tc>
        <w:tc>
          <w:tcPr>
            <w:tcW w:w="444" w:type="pct"/>
            <w:noWrap/>
            <w:vAlign w:val="center"/>
          </w:tcPr>
          <w:p w:rsidR="00AE0549" w:rsidRPr="00A604A3" w:rsidRDefault="00AE0549" w:rsidP="00445291">
            <w:pPr>
              <w:pStyle w:val="Tabletext"/>
              <w:jc w:val="center"/>
              <w:rPr>
                <w:color w:val="000000"/>
              </w:rPr>
            </w:pPr>
            <w:r w:rsidRPr="00A604A3">
              <w:rPr>
                <w:color w:val="000000"/>
              </w:rPr>
              <w:t>0.77</w:t>
            </w:r>
          </w:p>
        </w:tc>
        <w:tc>
          <w:tcPr>
            <w:tcW w:w="514" w:type="pct"/>
            <w:noWrap/>
            <w:vAlign w:val="center"/>
          </w:tcPr>
          <w:p w:rsidR="00AE0549" w:rsidRPr="00A604A3" w:rsidRDefault="00AE0549" w:rsidP="00445291">
            <w:pPr>
              <w:pStyle w:val="Tabletext"/>
              <w:jc w:val="center"/>
              <w:rPr>
                <w:color w:val="000000"/>
              </w:rPr>
            </w:pPr>
            <w:r w:rsidRPr="00A604A3">
              <w:rPr>
                <w:color w:val="000000"/>
              </w:rPr>
              <w:t>0.52</w:t>
            </w:r>
          </w:p>
        </w:tc>
        <w:tc>
          <w:tcPr>
            <w:tcW w:w="445" w:type="pct"/>
            <w:vAlign w:val="center"/>
          </w:tcPr>
          <w:p w:rsidR="00AE0549" w:rsidRPr="00A604A3" w:rsidRDefault="00AE0549" w:rsidP="00445291">
            <w:pPr>
              <w:pStyle w:val="Tabletext"/>
              <w:jc w:val="center"/>
              <w:rPr>
                <w:color w:val="000000"/>
              </w:rPr>
            </w:pPr>
            <w:r w:rsidRPr="00A604A3">
              <w:rPr>
                <w:color w:val="000000"/>
              </w:rPr>
              <w:t>1.54</w:t>
            </w:r>
          </w:p>
        </w:tc>
        <w:tc>
          <w:tcPr>
            <w:tcW w:w="444" w:type="pct"/>
            <w:vAlign w:val="center"/>
          </w:tcPr>
          <w:p w:rsidR="00AE0549" w:rsidRPr="00A604A3" w:rsidRDefault="00AE0549" w:rsidP="00445291">
            <w:pPr>
              <w:pStyle w:val="Tabletext"/>
              <w:jc w:val="center"/>
              <w:rPr>
                <w:color w:val="000000"/>
              </w:rPr>
            </w:pPr>
            <w:r w:rsidRPr="00A604A3">
              <w:rPr>
                <w:color w:val="000000"/>
              </w:rPr>
              <w:t>0.78</w:t>
            </w:r>
          </w:p>
        </w:tc>
        <w:tc>
          <w:tcPr>
            <w:tcW w:w="446" w:type="pct"/>
            <w:vAlign w:val="center"/>
          </w:tcPr>
          <w:p w:rsidR="00AE0549" w:rsidRPr="00A604A3" w:rsidRDefault="00AE0549" w:rsidP="00445291">
            <w:pPr>
              <w:pStyle w:val="Tabletext"/>
              <w:jc w:val="center"/>
              <w:rPr>
                <w:color w:val="000000"/>
              </w:rPr>
            </w:pPr>
            <w:r w:rsidRPr="00A604A3">
              <w:rPr>
                <w:color w:val="000000"/>
              </w:rPr>
              <w:t>0.52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1.88</w:t>
            </w:r>
          </w:p>
        </w:tc>
        <w:tc>
          <w:tcPr>
            <w:tcW w:w="444" w:type="pct"/>
            <w:vAlign w:val="center"/>
          </w:tcPr>
          <w:p w:rsidR="00AE0549" w:rsidRPr="00A604A3" w:rsidRDefault="00AE0549" w:rsidP="00445291">
            <w:pPr>
              <w:pStyle w:val="Tabletext"/>
              <w:jc w:val="center"/>
              <w:rPr>
                <w:color w:val="000000"/>
              </w:rPr>
            </w:pPr>
            <w:r w:rsidRPr="00A604A3">
              <w:rPr>
                <w:color w:val="000000"/>
              </w:rPr>
              <w:t>1.01</w:t>
            </w:r>
          </w:p>
        </w:tc>
        <w:tc>
          <w:tcPr>
            <w:tcW w:w="444" w:type="pct"/>
            <w:noWrap/>
            <w:vAlign w:val="center"/>
          </w:tcPr>
          <w:p w:rsidR="00AE0549" w:rsidRPr="00A604A3" w:rsidRDefault="00AE0549" w:rsidP="00445291">
            <w:pPr>
              <w:pStyle w:val="Tabletext"/>
              <w:jc w:val="center"/>
              <w:rPr>
                <w:color w:val="000000"/>
              </w:rPr>
            </w:pPr>
            <w:r w:rsidRPr="00A604A3">
              <w:rPr>
                <w:color w:val="000000"/>
              </w:rPr>
              <w:t>0.71</w:t>
            </w:r>
          </w:p>
        </w:tc>
        <w:tc>
          <w:tcPr>
            <w:tcW w:w="514" w:type="pct"/>
            <w:noWrap/>
            <w:vAlign w:val="center"/>
          </w:tcPr>
          <w:p w:rsidR="00AE0549" w:rsidRPr="00A604A3" w:rsidRDefault="00AE0549" w:rsidP="00445291">
            <w:pPr>
              <w:pStyle w:val="Tabletext"/>
              <w:jc w:val="center"/>
              <w:rPr>
                <w:color w:val="000000"/>
              </w:rPr>
            </w:pPr>
            <w:r w:rsidRPr="00A604A3">
              <w:rPr>
                <w:color w:val="000000"/>
              </w:rPr>
              <w:t>0.47</w:t>
            </w:r>
          </w:p>
        </w:tc>
        <w:tc>
          <w:tcPr>
            <w:tcW w:w="445" w:type="pct"/>
            <w:vAlign w:val="center"/>
          </w:tcPr>
          <w:p w:rsidR="00AE0549" w:rsidRPr="00A604A3" w:rsidRDefault="00AE0549" w:rsidP="00445291">
            <w:pPr>
              <w:pStyle w:val="Tabletext"/>
              <w:jc w:val="center"/>
              <w:rPr>
                <w:color w:val="000000"/>
              </w:rPr>
            </w:pPr>
            <w:r w:rsidRPr="00A604A3">
              <w:rPr>
                <w:color w:val="000000"/>
              </w:rPr>
              <w:t>1.55</w:t>
            </w:r>
          </w:p>
        </w:tc>
        <w:tc>
          <w:tcPr>
            <w:tcW w:w="444" w:type="pct"/>
            <w:vAlign w:val="center"/>
          </w:tcPr>
          <w:p w:rsidR="00AE0549" w:rsidRPr="00A604A3" w:rsidRDefault="00AE0549" w:rsidP="00445291">
            <w:pPr>
              <w:pStyle w:val="Tabletext"/>
              <w:jc w:val="center"/>
              <w:rPr>
                <w:color w:val="000000"/>
              </w:rPr>
            </w:pPr>
            <w:r w:rsidRPr="00A604A3">
              <w:rPr>
                <w:color w:val="000000"/>
              </w:rPr>
              <w:t>0.78</w:t>
            </w:r>
          </w:p>
        </w:tc>
        <w:tc>
          <w:tcPr>
            <w:tcW w:w="446" w:type="pct"/>
            <w:vAlign w:val="center"/>
          </w:tcPr>
          <w:p w:rsidR="00AE0549" w:rsidRPr="00A604A3" w:rsidRDefault="00AE0549" w:rsidP="00445291">
            <w:pPr>
              <w:pStyle w:val="Tabletext"/>
              <w:jc w:val="center"/>
              <w:rPr>
                <w:color w:val="000000"/>
              </w:rPr>
            </w:pPr>
            <w:r w:rsidRPr="00A604A3">
              <w:rPr>
                <w:color w:val="000000"/>
              </w:rPr>
              <w:t>0.50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2.19</w:t>
            </w:r>
          </w:p>
        </w:tc>
        <w:tc>
          <w:tcPr>
            <w:tcW w:w="444" w:type="pct"/>
            <w:vAlign w:val="center"/>
          </w:tcPr>
          <w:p w:rsidR="00AE0549" w:rsidRPr="00A604A3" w:rsidRDefault="00AE0549" w:rsidP="00445291">
            <w:pPr>
              <w:pStyle w:val="Tabletext"/>
              <w:jc w:val="center"/>
              <w:rPr>
                <w:color w:val="000000"/>
              </w:rPr>
            </w:pPr>
            <w:r w:rsidRPr="00A604A3">
              <w:rPr>
                <w:color w:val="000000"/>
              </w:rPr>
              <w:t>1.22</w:t>
            </w:r>
          </w:p>
        </w:tc>
        <w:tc>
          <w:tcPr>
            <w:tcW w:w="444" w:type="pct"/>
            <w:noWrap/>
            <w:vAlign w:val="center"/>
          </w:tcPr>
          <w:p w:rsidR="00AE0549" w:rsidRPr="00A604A3" w:rsidRDefault="00AE0549" w:rsidP="00445291">
            <w:pPr>
              <w:pStyle w:val="Tabletext"/>
              <w:jc w:val="center"/>
              <w:rPr>
                <w:color w:val="000000"/>
              </w:rPr>
            </w:pPr>
            <w:r w:rsidRPr="00A604A3">
              <w:rPr>
                <w:color w:val="000000"/>
              </w:rPr>
              <w:t>0.83</w:t>
            </w:r>
          </w:p>
        </w:tc>
        <w:tc>
          <w:tcPr>
            <w:tcW w:w="514" w:type="pct"/>
            <w:noWrap/>
            <w:vAlign w:val="center"/>
          </w:tcPr>
          <w:p w:rsidR="00AE0549" w:rsidRPr="00A604A3" w:rsidRDefault="00AE0549" w:rsidP="00445291">
            <w:pPr>
              <w:pStyle w:val="Tabletext"/>
              <w:jc w:val="center"/>
              <w:rPr>
                <w:color w:val="000000"/>
              </w:rPr>
            </w:pPr>
            <w:r w:rsidRPr="00A604A3">
              <w:rPr>
                <w:color w:val="000000"/>
              </w:rPr>
              <w:t>0.54</w:t>
            </w:r>
          </w:p>
        </w:tc>
        <w:tc>
          <w:tcPr>
            <w:tcW w:w="445" w:type="pct"/>
            <w:vAlign w:val="center"/>
          </w:tcPr>
          <w:p w:rsidR="00AE0549" w:rsidRPr="00A604A3" w:rsidRDefault="00AE0549" w:rsidP="00445291">
            <w:pPr>
              <w:pStyle w:val="Tabletext"/>
              <w:jc w:val="center"/>
              <w:rPr>
                <w:color w:val="000000"/>
              </w:rPr>
            </w:pPr>
            <w:r w:rsidRPr="00A604A3">
              <w:rPr>
                <w:color w:val="000000"/>
              </w:rPr>
              <w:t>1.77</w:t>
            </w:r>
          </w:p>
        </w:tc>
        <w:tc>
          <w:tcPr>
            <w:tcW w:w="444" w:type="pct"/>
            <w:vAlign w:val="center"/>
          </w:tcPr>
          <w:p w:rsidR="00AE0549" w:rsidRPr="00A604A3" w:rsidRDefault="00AE0549" w:rsidP="00445291">
            <w:pPr>
              <w:pStyle w:val="Tabletext"/>
              <w:jc w:val="center"/>
              <w:rPr>
                <w:color w:val="000000"/>
              </w:rPr>
            </w:pPr>
            <w:r w:rsidRPr="00A604A3">
              <w:rPr>
                <w:color w:val="000000"/>
              </w:rPr>
              <w:t>0.90</w:t>
            </w:r>
          </w:p>
        </w:tc>
        <w:tc>
          <w:tcPr>
            <w:tcW w:w="446" w:type="pct"/>
            <w:vAlign w:val="center"/>
          </w:tcPr>
          <w:p w:rsidR="00AE0549" w:rsidRPr="00A604A3" w:rsidRDefault="00AE0549" w:rsidP="00445291">
            <w:pPr>
              <w:pStyle w:val="Tabletext"/>
              <w:jc w:val="center"/>
              <w:rPr>
                <w:color w:val="000000"/>
              </w:rPr>
            </w:pPr>
            <w:r w:rsidRPr="00A604A3">
              <w:rPr>
                <w:color w:val="000000"/>
              </w:rPr>
              <w:t>0.60</w:t>
            </w:r>
          </w:p>
        </w:tc>
      </w:tr>
      <w:tr w:rsidR="00AE0549" w:rsidRPr="00A604A3" w:rsidTr="00445291">
        <w:trPr>
          <w:jc w:val="center"/>
        </w:trPr>
        <w:tc>
          <w:tcPr>
            <w:tcW w:w="730" w:type="pct"/>
            <w:vMerge/>
            <w:vAlign w:val="center"/>
          </w:tcPr>
          <w:p w:rsidR="00AE0549" w:rsidRPr="00A604A3" w:rsidRDefault="00AE0549" w:rsidP="00445291">
            <w:pPr>
              <w:pStyle w:val="Tabletext"/>
              <w:rPr>
                <w:b/>
                <w:bCs/>
                <w:sz w:val="16"/>
                <w:szCs w:val="16"/>
                <w:lang w:eastAsia="zh-CN"/>
              </w:rPr>
            </w:pPr>
          </w:p>
        </w:tc>
        <w:tc>
          <w:tcPr>
            <w:tcW w:w="731" w:type="pct"/>
            <w:vMerge w:val="restart"/>
            <w:vAlign w:val="center"/>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63"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2.75</w:t>
            </w:r>
          </w:p>
        </w:tc>
        <w:tc>
          <w:tcPr>
            <w:tcW w:w="444" w:type="pct"/>
            <w:vAlign w:val="center"/>
          </w:tcPr>
          <w:p w:rsidR="00AE0549" w:rsidRPr="00A604A3" w:rsidRDefault="00AE0549" w:rsidP="00445291">
            <w:pPr>
              <w:pStyle w:val="Tabletext"/>
              <w:jc w:val="center"/>
              <w:rPr>
                <w:color w:val="000000"/>
              </w:rPr>
            </w:pPr>
            <w:r w:rsidRPr="00A604A3">
              <w:rPr>
                <w:color w:val="000000"/>
              </w:rPr>
              <w:t>1.45</w:t>
            </w:r>
          </w:p>
        </w:tc>
        <w:tc>
          <w:tcPr>
            <w:tcW w:w="444" w:type="pct"/>
            <w:noWrap/>
            <w:vAlign w:val="center"/>
          </w:tcPr>
          <w:p w:rsidR="00AE0549" w:rsidRPr="00A604A3" w:rsidRDefault="00AE0549" w:rsidP="00445291">
            <w:pPr>
              <w:pStyle w:val="Tabletext"/>
              <w:jc w:val="center"/>
              <w:rPr>
                <w:color w:val="000000"/>
              </w:rPr>
            </w:pPr>
            <w:r w:rsidRPr="00A604A3">
              <w:rPr>
                <w:color w:val="000000"/>
              </w:rPr>
              <w:t>0.93</w:t>
            </w:r>
          </w:p>
        </w:tc>
        <w:tc>
          <w:tcPr>
            <w:tcW w:w="514" w:type="pct"/>
            <w:noWrap/>
            <w:vAlign w:val="center"/>
          </w:tcPr>
          <w:p w:rsidR="00AE0549" w:rsidRPr="00A604A3" w:rsidRDefault="00AE0549" w:rsidP="00445291">
            <w:pPr>
              <w:pStyle w:val="Tabletext"/>
              <w:jc w:val="center"/>
              <w:rPr>
                <w:color w:val="000000"/>
              </w:rPr>
            </w:pPr>
            <w:r w:rsidRPr="00A604A3">
              <w:rPr>
                <w:color w:val="000000"/>
              </w:rPr>
              <w:t>0.58</w:t>
            </w:r>
          </w:p>
        </w:tc>
        <w:tc>
          <w:tcPr>
            <w:tcW w:w="445" w:type="pct"/>
            <w:vAlign w:val="center"/>
          </w:tcPr>
          <w:p w:rsidR="00AE0549" w:rsidRPr="00A604A3" w:rsidRDefault="00AE0549" w:rsidP="00445291">
            <w:pPr>
              <w:pStyle w:val="Tabletext"/>
              <w:jc w:val="center"/>
              <w:rPr>
                <w:color w:val="000000"/>
              </w:rPr>
            </w:pPr>
            <w:r w:rsidRPr="00A604A3">
              <w:rPr>
                <w:color w:val="000000"/>
              </w:rPr>
              <w:t>2.43</w:t>
            </w:r>
          </w:p>
        </w:tc>
        <w:tc>
          <w:tcPr>
            <w:tcW w:w="444" w:type="pct"/>
            <w:vAlign w:val="center"/>
          </w:tcPr>
          <w:p w:rsidR="00AE0549" w:rsidRPr="00A604A3" w:rsidRDefault="00AE0549" w:rsidP="00445291">
            <w:pPr>
              <w:pStyle w:val="Tabletext"/>
              <w:jc w:val="center"/>
              <w:rPr>
                <w:color w:val="000000"/>
              </w:rPr>
            </w:pPr>
            <w:r w:rsidRPr="00A604A3">
              <w:rPr>
                <w:color w:val="000000"/>
              </w:rPr>
              <w:t>1.22</w:t>
            </w:r>
          </w:p>
        </w:tc>
        <w:tc>
          <w:tcPr>
            <w:tcW w:w="446" w:type="pct"/>
            <w:vAlign w:val="center"/>
          </w:tcPr>
          <w:p w:rsidR="00AE0549" w:rsidRPr="00A604A3" w:rsidRDefault="00AE0549" w:rsidP="00445291">
            <w:pPr>
              <w:pStyle w:val="Tabletext"/>
              <w:jc w:val="center"/>
              <w:rPr>
                <w:color w:val="000000"/>
              </w:rPr>
            </w:pPr>
            <w:r w:rsidRPr="00A604A3">
              <w:rPr>
                <w:color w:val="000000"/>
              </w:rPr>
              <w:t>0.71</w:t>
            </w:r>
          </w:p>
        </w:tc>
      </w:tr>
      <w:tr w:rsidR="00AE0549" w:rsidRPr="00A604A3" w:rsidTr="00445291">
        <w:trPr>
          <w:jc w:val="center"/>
        </w:trPr>
        <w:tc>
          <w:tcPr>
            <w:tcW w:w="730" w:type="pct"/>
            <w:vMerge/>
            <w:vAlign w:val="center"/>
          </w:tcPr>
          <w:p w:rsidR="00AE0549" w:rsidRPr="00A604A3" w:rsidRDefault="00AE0549" w:rsidP="00445291">
            <w:pPr>
              <w:pStyle w:val="Tabletext"/>
              <w:jc w:val="center"/>
              <w:rPr>
                <w:b/>
                <w:bCs/>
                <w:sz w:val="16"/>
                <w:szCs w:val="16"/>
                <w:lang w:eastAsia="zh-CN"/>
              </w:rPr>
            </w:pPr>
          </w:p>
        </w:tc>
        <w:tc>
          <w:tcPr>
            <w:tcW w:w="731" w:type="pct"/>
            <w:vMerge/>
            <w:vAlign w:val="center"/>
          </w:tcPr>
          <w:p w:rsidR="00AE0549" w:rsidRPr="00A604A3" w:rsidRDefault="00AE0549" w:rsidP="00445291">
            <w:pPr>
              <w:pStyle w:val="Tabletext"/>
              <w:jc w:val="center"/>
              <w:rPr>
                <w:sz w:val="16"/>
                <w:szCs w:val="16"/>
                <w:lang w:eastAsia="zh-CN"/>
              </w:rPr>
            </w:pPr>
          </w:p>
        </w:tc>
        <w:tc>
          <w:tcPr>
            <w:tcW w:w="363"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3.22</w:t>
            </w:r>
          </w:p>
        </w:tc>
        <w:tc>
          <w:tcPr>
            <w:tcW w:w="444" w:type="pct"/>
            <w:vAlign w:val="center"/>
          </w:tcPr>
          <w:p w:rsidR="00AE0549" w:rsidRPr="00A604A3" w:rsidRDefault="00AE0549" w:rsidP="00445291">
            <w:pPr>
              <w:pStyle w:val="Tabletext"/>
              <w:jc w:val="center"/>
              <w:rPr>
                <w:color w:val="000000"/>
              </w:rPr>
            </w:pPr>
            <w:r w:rsidRPr="00A604A3">
              <w:rPr>
                <w:color w:val="000000"/>
              </w:rPr>
              <w:t>1.68</w:t>
            </w:r>
          </w:p>
        </w:tc>
        <w:tc>
          <w:tcPr>
            <w:tcW w:w="444" w:type="pct"/>
            <w:noWrap/>
            <w:vAlign w:val="center"/>
          </w:tcPr>
          <w:p w:rsidR="00AE0549" w:rsidRPr="00A604A3" w:rsidRDefault="00AE0549" w:rsidP="00445291">
            <w:pPr>
              <w:pStyle w:val="Tabletext"/>
              <w:jc w:val="center"/>
              <w:rPr>
                <w:color w:val="000000"/>
              </w:rPr>
            </w:pPr>
            <w:r w:rsidRPr="00A604A3">
              <w:rPr>
                <w:color w:val="000000"/>
              </w:rPr>
              <w:t>1.10</w:t>
            </w:r>
          </w:p>
        </w:tc>
        <w:tc>
          <w:tcPr>
            <w:tcW w:w="514" w:type="pct"/>
            <w:noWrap/>
            <w:vAlign w:val="center"/>
          </w:tcPr>
          <w:p w:rsidR="00AE0549" w:rsidRPr="00A604A3" w:rsidRDefault="00AE0549" w:rsidP="00445291">
            <w:pPr>
              <w:pStyle w:val="Tabletext"/>
              <w:jc w:val="center"/>
              <w:rPr>
                <w:color w:val="000000"/>
              </w:rPr>
            </w:pPr>
            <w:r w:rsidRPr="00A604A3">
              <w:rPr>
                <w:color w:val="000000"/>
              </w:rPr>
              <w:t>0.69</w:t>
            </w:r>
          </w:p>
        </w:tc>
        <w:tc>
          <w:tcPr>
            <w:tcW w:w="445" w:type="pct"/>
            <w:vAlign w:val="center"/>
          </w:tcPr>
          <w:p w:rsidR="00AE0549" w:rsidRPr="00A604A3" w:rsidRDefault="00AE0549" w:rsidP="00445291">
            <w:pPr>
              <w:pStyle w:val="Tabletext"/>
              <w:jc w:val="center"/>
              <w:rPr>
                <w:color w:val="000000"/>
              </w:rPr>
            </w:pPr>
            <w:r w:rsidRPr="00A604A3">
              <w:rPr>
                <w:color w:val="000000"/>
              </w:rPr>
              <w:t>2.88</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6" w:type="pct"/>
            <w:vAlign w:val="center"/>
          </w:tcPr>
          <w:p w:rsidR="00AE0549" w:rsidRPr="00A604A3" w:rsidRDefault="00AE0549" w:rsidP="00445291">
            <w:pPr>
              <w:pStyle w:val="Tabletext"/>
              <w:jc w:val="center"/>
              <w:rPr>
                <w:color w:val="000000"/>
              </w:rPr>
            </w:pPr>
            <w:r w:rsidRPr="00A604A3">
              <w:rPr>
                <w:color w:val="000000"/>
              </w:rPr>
              <w:t>0.83</w:t>
            </w:r>
          </w:p>
        </w:tc>
      </w:tr>
    </w:tbl>
    <w:p w:rsidR="00AE0549" w:rsidRPr="00A604A3" w:rsidRDefault="00AE0549" w:rsidP="00445291">
      <w:pPr>
        <w:pStyle w:val="Tablefin"/>
      </w:pPr>
    </w:p>
    <w:p w:rsidR="00AE0549" w:rsidRPr="00A604A3" w:rsidRDefault="00BE0248" w:rsidP="00BE0248">
      <w:pPr>
        <w:pStyle w:val="Heading4"/>
        <w:rPr>
          <w:rFonts w:eastAsia="MS Mincho"/>
        </w:rPr>
      </w:pPr>
      <w:bookmarkStart w:id="468" w:name="_Ref31711383"/>
      <w:r w:rsidRPr="00A604A3">
        <w:rPr>
          <w:rFonts w:eastAsia="MS Mincho"/>
        </w:rPr>
        <w:t>II.5.7.4</w:t>
      </w:r>
      <w:r w:rsidRPr="00A604A3">
        <w:rPr>
          <w:rFonts w:eastAsia="MS Mincho"/>
        </w:rPr>
        <w:tab/>
      </w:r>
      <w:r w:rsidR="00AE0549" w:rsidRPr="00A604A3">
        <w:rPr>
          <w:rFonts w:eastAsia="MS Mincho"/>
        </w:rPr>
        <w:t>LTE Rel-15 User Plane Latency</w:t>
      </w:r>
      <w:bookmarkEnd w:id="468"/>
    </w:p>
    <w:p w:rsidR="00AE0549" w:rsidRPr="00A604A3" w:rsidRDefault="00AE0549" w:rsidP="00AA0B2B">
      <w:r w:rsidRPr="00A604A3">
        <w:t xml:space="preserve">The LTE user plane latency evaluation follows a procedure similar to NR. The detailed assumptions for DL and UL are given below in separate Sections </w:t>
      </w:r>
      <w:r w:rsidR="00AA0B2B">
        <w:t>II.5.</w:t>
      </w:r>
      <w:r w:rsidRPr="00A604A3">
        <w:t xml:space="preserve">7.4.1 and </w:t>
      </w:r>
      <w:r w:rsidR="00AA0B2B" w:rsidRPr="00AA0B2B">
        <w:t>II.5</w:t>
      </w:r>
      <w:r w:rsidR="00AA0B2B">
        <w:t>.</w:t>
      </w:r>
      <w:r w:rsidRPr="00A604A3">
        <w:t>7.4.2.</w:t>
      </w:r>
    </w:p>
    <w:p w:rsidR="00AE0549" w:rsidRPr="00A604A3" w:rsidRDefault="00BE0248" w:rsidP="00BE0248">
      <w:pPr>
        <w:pStyle w:val="Heading5"/>
        <w:rPr>
          <w:rFonts w:eastAsia="MS Mincho"/>
        </w:rPr>
      </w:pPr>
      <w:bookmarkStart w:id="469" w:name="_Ref31711189"/>
      <w:r w:rsidRPr="00A604A3">
        <w:rPr>
          <w:rFonts w:eastAsia="MS Mincho"/>
        </w:rPr>
        <w:t>II.5.7.4.1</w:t>
      </w:r>
      <w:r w:rsidRPr="00A604A3">
        <w:rPr>
          <w:rFonts w:eastAsia="MS Mincho"/>
        </w:rPr>
        <w:tab/>
      </w:r>
      <w:r w:rsidR="00AE0549" w:rsidRPr="00A604A3">
        <w:rPr>
          <w:rFonts w:eastAsia="MS Mincho"/>
        </w:rPr>
        <w:t>Downlink LTE UP Latency calculations</w:t>
      </w:r>
      <w:bookmarkEnd w:id="469"/>
    </w:p>
    <w:p w:rsidR="00AE0549" w:rsidRPr="00A604A3" w:rsidRDefault="00AE0549" w:rsidP="00BE0248">
      <w:r w:rsidRPr="00A604A3">
        <w:t>The assumptions at the downlink procedure are given in Table 102:</w:t>
      </w:r>
    </w:p>
    <w:p w:rsidR="00BE0248" w:rsidRPr="00A604A3" w:rsidRDefault="00BE0248" w:rsidP="00BE0248">
      <w:pPr>
        <w:pStyle w:val="TableNo"/>
        <w:rPr>
          <w:rFonts w:eastAsia="MS Mincho"/>
        </w:rPr>
      </w:pPr>
      <w:bookmarkStart w:id="470" w:name="_Ref31711662"/>
      <w:bookmarkStart w:id="471" w:name="_Toc32066424"/>
      <w:r w:rsidRPr="00A604A3">
        <w:rPr>
          <w:rFonts w:eastAsia="MS Mincho"/>
        </w:rPr>
        <w:t>Table 102</w:t>
      </w:r>
    </w:p>
    <w:p w:rsidR="00BE0248" w:rsidRPr="00A604A3" w:rsidRDefault="00BE0248" w:rsidP="00BE0248">
      <w:pPr>
        <w:pStyle w:val="Tabletitle"/>
        <w:rPr>
          <w:rFonts w:eastAsia="MS Mincho"/>
        </w:rPr>
      </w:pPr>
      <w:r w:rsidRPr="00A604A3">
        <w:rPr>
          <w:rFonts w:eastAsia="MS Mincho"/>
        </w:rPr>
        <w:t>DL user plane procedure for LTE (Table 5.7.1.2.1-1 in TR 37.910)</w:t>
      </w:r>
      <w:bookmarkEnd w:id="470"/>
      <w:bookmarkEnd w:id="471"/>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376"/>
        <w:gridCol w:w="3431"/>
        <w:gridCol w:w="3115"/>
      </w:tblGrid>
      <w:tr w:rsidR="00AE0549" w:rsidRPr="00A604A3" w:rsidTr="00BE0248">
        <w:trPr>
          <w:cantSplit/>
          <w:tblHeader/>
          <w:jc w:val="center"/>
        </w:trPr>
        <w:tc>
          <w:tcPr>
            <w:tcW w:w="709"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ID</w:t>
            </w:r>
          </w:p>
        </w:tc>
        <w:tc>
          <w:tcPr>
            <w:tcW w:w="2376"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Notations</w:t>
            </w:r>
          </w:p>
        </w:tc>
        <w:tc>
          <w:tcPr>
            <w:tcW w:w="3115" w:type="dxa"/>
            <w:shd w:val="clear" w:color="auto" w:fill="BFBFBF" w:themeFill="background1" w:themeFillShade="BF"/>
          </w:tcPr>
          <w:p w:rsidR="00AE0549" w:rsidRPr="00A604A3" w:rsidRDefault="00AE0549" w:rsidP="00BE0248">
            <w:pPr>
              <w:pStyle w:val="Tablehead"/>
              <w:rPr>
                <w:lang w:eastAsia="zh-CN"/>
              </w:rPr>
            </w:pPr>
            <w:r w:rsidRPr="00A604A3">
              <w:rPr>
                <w:lang w:eastAsia="zh-CN"/>
              </w:rPr>
              <w:t>Value</w:t>
            </w:r>
          </w:p>
        </w:tc>
      </w:tr>
      <w:tr w:rsidR="00AE0549" w:rsidRPr="006853C6"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w:t>
            </w:r>
          </w:p>
        </w:tc>
        <w:tc>
          <w:tcPr>
            <w:tcW w:w="2376" w:type="dxa"/>
            <w:tcMar>
              <w:top w:w="0" w:type="dxa"/>
              <w:left w:w="108" w:type="dxa"/>
              <w:bottom w:w="0" w:type="dxa"/>
              <w:right w:w="108" w:type="dxa"/>
            </w:tcMar>
          </w:tcPr>
          <w:p w:rsidR="00AE0549" w:rsidRPr="00A604A3" w:rsidRDefault="00AE0549" w:rsidP="0086618C">
            <w:pPr>
              <w:pStyle w:val="Tabletext"/>
              <w:rPr>
                <w:lang w:eastAsia="zh-CN"/>
              </w:rPr>
            </w:pPr>
            <w:r w:rsidRPr="00A604A3">
              <w:rPr>
                <w:lang w:eastAsia="zh-CN"/>
              </w:rPr>
              <w:t>DL data transfer</w:t>
            </w:r>
          </w:p>
        </w:tc>
        <w:tc>
          <w:tcPr>
            <w:tcW w:w="3431" w:type="dxa"/>
            <w:tcMar>
              <w:top w:w="0" w:type="dxa"/>
              <w:left w:w="108" w:type="dxa"/>
              <w:bottom w:w="0" w:type="dxa"/>
              <w:right w:w="108" w:type="dxa"/>
            </w:tcMar>
          </w:tcPr>
          <w:p w:rsidR="00AE0549" w:rsidRPr="006853C6" w:rsidRDefault="00AE0549" w:rsidP="0086618C">
            <w:pPr>
              <w:pStyle w:val="Tabletext"/>
              <w:rPr>
                <w:i/>
                <w:lang w:val="fr-CH" w:eastAsia="zh-CN"/>
              </w:rPr>
            </w:pPr>
            <w:r w:rsidRPr="006853C6">
              <w:rPr>
                <w:i/>
                <w:lang w:val="fr-CH" w:eastAsia="zh-CN"/>
              </w:rPr>
              <w:t>T</w:t>
            </w:r>
            <w:r w:rsidRPr="006853C6">
              <w:rPr>
                <w:vertAlign w:val="subscript"/>
                <w:lang w:val="fr-CH" w:eastAsia="zh-CN"/>
              </w:rPr>
              <w:t>1</w:t>
            </w:r>
            <w:r w:rsidRPr="006853C6">
              <w:rPr>
                <w:lang w:val="fr-CH" w:eastAsia="zh-CN"/>
              </w:rPr>
              <w:t xml:space="preserve"> = (</w:t>
            </w:r>
            <w:r w:rsidRPr="006853C6">
              <w:rPr>
                <w:i/>
                <w:lang w:val="fr-CH" w:eastAsia="zh-CN"/>
              </w:rPr>
              <w:t>t</w:t>
            </w:r>
            <w:r w:rsidRPr="006853C6">
              <w:rPr>
                <w:vertAlign w:val="subscript"/>
                <w:lang w:val="fr-CH" w:eastAsia="zh-CN"/>
              </w:rPr>
              <w:t>BS,tx</w:t>
            </w:r>
            <w:r w:rsidRPr="006853C6">
              <w:rPr>
                <w:lang w:val="fr-CH" w:eastAsia="zh-CN"/>
              </w:rPr>
              <w:t xml:space="preserve"> + </w:t>
            </w:r>
            <w:r w:rsidRPr="006853C6">
              <w:rPr>
                <w:i/>
                <w:lang w:val="fr-CH" w:eastAsia="zh-CN"/>
              </w:rPr>
              <w:t>t</w:t>
            </w:r>
            <w:r w:rsidRPr="006853C6">
              <w:rPr>
                <w:vertAlign w:val="subscript"/>
                <w:lang w:val="fr-CH" w:eastAsia="zh-CN"/>
              </w:rPr>
              <w:t>FA,DL</w:t>
            </w:r>
            <w:r w:rsidRPr="006853C6">
              <w:rPr>
                <w:lang w:val="fr-CH" w:eastAsia="zh-CN"/>
              </w:rPr>
              <w:t xml:space="preserve">) + </w:t>
            </w:r>
            <w:r w:rsidRPr="006853C6">
              <w:rPr>
                <w:i/>
                <w:lang w:val="fr-CH" w:eastAsia="zh-CN"/>
              </w:rPr>
              <w:t>t</w:t>
            </w:r>
            <w:r w:rsidRPr="006853C6">
              <w:rPr>
                <w:vertAlign w:val="subscript"/>
                <w:lang w:val="fr-CH" w:eastAsia="zh-CN"/>
              </w:rPr>
              <w:t>DL_duration</w:t>
            </w:r>
            <w:r w:rsidRPr="006853C6">
              <w:rPr>
                <w:lang w:val="fr-CH" w:eastAsia="zh-CN"/>
              </w:rPr>
              <w:t xml:space="preserve"> + </w:t>
            </w:r>
            <w:r w:rsidRPr="006853C6">
              <w:rPr>
                <w:i/>
                <w:lang w:val="fr-CH" w:eastAsia="zh-CN"/>
              </w:rPr>
              <w:t>t</w:t>
            </w:r>
            <w:r w:rsidRPr="006853C6">
              <w:rPr>
                <w:vertAlign w:val="subscript"/>
                <w:lang w:val="fr-CH" w:eastAsia="zh-CN"/>
              </w:rPr>
              <w:t>UE,rx</w:t>
            </w:r>
          </w:p>
        </w:tc>
        <w:tc>
          <w:tcPr>
            <w:tcW w:w="3115" w:type="dxa"/>
          </w:tcPr>
          <w:p w:rsidR="00AE0549" w:rsidRPr="006853C6" w:rsidRDefault="00AE0549" w:rsidP="0086618C">
            <w:pPr>
              <w:pStyle w:val="Tabletext"/>
              <w:rPr>
                <w:i/>
                <w:lang w:val="fr-CH" w:eastAsia="zh-CN"/>
              </w:rPr>
            </w:pP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pPr>
            <w:r w:rsidRPr="00A604A3">
              <w:t>1.1</w:t>
            </w:r>
          </w:p>
        </w:tc>
        <w:tc>
          <w:tcPr>
            <w:tcW w:w="2376" w:type="dxa"/>
            <w:tcMar>
              <w:top w:w="0" w:type="dxa"/>
              <w:left w:w="108" w:type="dxa"/>
              <w:bottom w:w="0" w:type="dxa"/>
              <w:right w:w="108" w:type="dxa"/>
            </w:tcMar>
          </w:tcPr>
          <w:p w:rsidR="00AE0549" w:rsidRPr="00A604A3" w:rsidRDefault="00AE0549" w:rsidP="0086618C">
            <w:pPr>
              <w:pStyle w:val="Tabletext"/>
            </w:pPr>
            <w:r w:rsidRPr="00A604A3">
              <w:t>BS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BS,tx</w:t>
            </w:r>
          </w:p>
          <w:p w:rsidR="00AE0549" w:rsidRPr="00A604A3" w:rsidRDefault="00AE0549" w:rsidP="0086618C">
            <w:pPr>
              <w:pStyle w:val="Tabletext"/>
            </w:pPr>
            <w:r w:rsidRPr="00A604A3">
              <w:rPr>
                <w:lang w:eastAsia="zh-CN"/>
              </w:rPr>
              <w:t>The time interval between the data is arrived, and packet is generated.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lastRenderedPageBreak/>
              <w:t>1.2</w:t>
            </w:r>
          </w:p>
        </w:tc>
        <w:tc>
          <w:tcPr>
            <w:tcW w:w="2376" w:type="dxa"/>
            <w:tcMar>
              <w:top w:w="0" w:type="dxa"/>
              <w:left w:w="108" w:type="dxa"/>
              <w:bottom w:w="0" w:type="dxa"/>
              <w:right w:w="108" w:type="dxa"/>
            </w:tcMar>
          </w:tcPr>
          <w:p w:rsidR="00AE0549" w:rsidRPr="00A604A3" w:rsidRDefault="00AE0549" w:rsidP="0086618C">
            <w:pPr>
              <w:pStyle w:val="Tabletext"/>
            </w:pPr>
            <w:r w:rsidRPr="00A604A3">
              <w:t>DL Frame alignment</w:t>
            </w:r>
            <w:r w:rsidRPr="00A604A3">
              <w:rPr>
                <w:lang w:eastAsia="zh-CN"/>
              </w:rPr>
              <w:t xml:space="preserve"> (transmission alignment)</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FA,DL</w:t>
            </w:r>
          </w:p>
          <w:p w:rsidR="00AE0549" w:rsidRPr="00A604A3" w:rsidRDefault="00AE0549" w:rsidP="0086618C">
            <w:pPr>
              <w:pStyle w:val="Tabletext"/>
              <w:rPr>
                <w:i/>
                <w:lang w:eastAsia="zh-CN"/>
              </w:rPr>
            </w:pPr>
            <w:r w:rsidRPr="00A604A3">
              <w:rPr>
                <w:lang w:eastAsia="zh-CN"/>
              </w:rPr>
              <w:t>It includes frame alignment time, and the waiting time for next available DL slot</w:t>
            </w:r>
          </w:p>
        </w:tc>
        <w:tc>
          <w:tcPr>
            <w:tcW w:w="3115" w:type="dxa"/>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w:t>
            </w:r>
            <w:r w:rsidRPr="00A604A3">
              <w:rPr>
                <w:lang w:eastAsia="zh-CN"/>
              </w:rPr>
              <w:t xml:space="preserve"> + </w:t>
            </w:r>
            <w:r w:rsidRPr="00A604A3">
              <w:rPr>
                <w:i/>
                <w:lang w:eastAsia="zh-CN"/>
              </w:rPr>
              <w:t>T</w:t>
            </w:r>
            <w:r w:rsidRPr="00A604A3">
              <w:rPr>
                <w:vertAlign w:val="subscript"/>
                <w:lang w:eastAsia="zh-CN"/>
              </w:rPr>
              <w:t>wait</w:t>
            </w:r>
            <w:r w:rsidRPr="00A604A3">
              <w:rPr>
                <w:lang w:eastAsia="zh-CN"/>
              </w:rPr>
              <w:t>,</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FA</w:t>
            </w:r>
            <w:r w:rsidRPr="00A604A3">
              <w:rPr>
                <w:lang w:eastAsia="zh-CN"/>
              </w:rPr>
              <w:t xml:space="preserve"> is the frame alignment time within the current DL slot;</w:t>
            </w:r>
            <w:r w:rsidRPr="00A604A3">
              <w:rPr>
                <w:i/>
                <w:lang w:eastAsia="zh-CN"/>
              </w:rPr>
              <w:t xml:space="preserve"> </w:t>
            </w:r>
          </w:p>
          <w:p w:rsidR="00AE0549" w:rsidRPr="00A604A3" w:rsidRDefault="00AE0549" w:rsidP="0086618C">
            <w:pPr>
              <w:pStyle w:val="Tabletext"/>
              <w:rPr>
                <w:lang w:eastAsia="zh-CN"/>
              </w:rPr>
            </w:pPr>
            <w:r w:rsidRPr="00A604A3">
              <w:rPr>
                <w:i/>
                <w:lang w:eastAsia="zh-CN"/>
              </w:rPr>
              <w:t>T</w:t>
            </w:r>
            <w:r w:rsidRPr="00A604A3">
              <w:rPr>
                <w:vertAlign w:val="subscript"/>
                <w:lang w:eastAsia="zh-CN"/>
              </w:rPr>
              <w:t>wait</w:t>
            </w:r>
            <w:r w:rsidRPr="00A604A3">
              <w:rPr>
                <w:lang w:eastAsia="zh-CN"/>
              </w:rPr>
              <w:t xml:space="preserve"> is the waiting time for next available DL slot if the current slot is not DL slot. </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1.3</w:t>
            </w:r>
          </w:p>
        </w:tc>
        <w:tc>
          <w:tcPr>
            <w:tcW w:w="2376" w:type="dxa"/>
            <w:tcMar>
              <w:top w:w="0" w:type="dxa"/>
              <w:left w:w="108" w:type="dxa"/>
              <w:bottom w:w="0" w:type="dxa"/>
              <w:right w:w="108" w:type="dxa"/>
            </w:tcMar>
          </w:tcPr>
          <w:p w:rsidR="00AE0549" w:rsidRPr="00A604A3" w:rsidRDefault="00AE0549" w:rsidP="0086618C">
            <w:pPr>
              <w:pStyle w:val="Tabletext"/>
            </w:pPr>
            <w:r w:rsidRPr="00A604A3">
              <w:t>TTI for DL data packet transmission</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DL_duration</w:t>
            </w:r>
          </w:p>
        </w:tc>
        <w:tc>
          <w:tcPr>
            <w:tcW w:w="3115" w:type="dxa"/>
          </w:tcPr>
          <w:p w:rsidR="00AE0549" w:rsidRPr="00A604A3" w:rsidRDefault="00AE0549" w:rsidP="0086618C">
            <w:pPr>
              <w:pStyle w:val="Tabletext"/>
              <w:rPr>
                <w:lang w:eastAsia="zh-CN"/>
              </w:rPr>
            </w:pPr>
            <w:r w:rsidRPr="00A604A3">
              <w:rPr>
                <w:lang w:eastAsia="zh-CN"/>
              </w:rPr>
              <w:t>1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1.4</w:t>
            </w:r>
          </w:p>
        </w:tc>
        <w:tc>
          <w:tcPr>
            <w:tcW w:w="2376" w:type="dxa"/>
            <w:tcMar>
              <w:top w:w="0" w:type="dxa"/>
              <w:left w:w="108" w:type="dxa"/>
              <w:bottom w:w="0" w:type="dxa"/>
              <w:right w:w="108" w:type="dxa"/>
            </w:tcMar>
          </w:tcPr>
          <w:p w:rsidR="00AE0549" w:rsidRPr="00A604A3" w:rsidRDefault="00AE0549" w:rsidP="0086618C">
            <w:pPr>
              <w:pStyle w:val="Tabletext"/>
            </w:pPr>
            <w:r w:rsidRPr="00A604A3">
              <w:t>UE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UE,rx</w:t>
            </w:r>
            <w:r w:rsidRPr="00A604A3">
              <w:rPr>
                <w:lang w:eastAsia="zh-CN"/>
              </w:rPr>
              <w:t xml:space="preserve"> </w:t>
            </w:r>
          </w:p>
          <w:p w:rsidR="00AE0549" w:rsidRPr="00A604A3" w:rsidRDefault="00AE0549" w:rsidP="0086618C">
            <w:pPr>
              <w:pStyle w:val="Tabletext"/>
              <w:rPr>
                <w:i/>
                <w:lang w:eastAsia="zh-CN"/>
              </w:rPr>
            </w:pPr>
            <w:r w:rsidRPr="00A604A3">
              <w:rPr>
                <w:lang w:eastAsia="zh-CN"/>
              </w:rPr>
              <w:t>The time interval between the PDSCH is received and the data is decoded;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w:t>
            </w:r>
          </w:p>
        </w:tc>
        <w:tc>
          <w:tcPr>
            <w:tcW w:w="2376" w:type="dxa"/>
            <w:tcMar>
              <w:top w:w="0" w:type="dxa"/>
              <w:left w:w="108" w:type="dxa"/>
              <w:bottom w:w="0" w:type="dxa"/>
              <w:right w:w="108" w:type="dxa"/>
            </w:tcMar>
          </w:tcPr>
          <w:p w:rsidR="00AE0549" w:rsidRPr="00A604A3" w:rsidRDefault="00AE0549" w:rsidP="0086618C">
            <w:pPr>
              <w:pStyle w:val="Tabletext"/>
            </w:pPr>
            <w:r w:rsidRPr="00A604A3">
              <w:t>HARQ retransmission</w:t>
            </w:r>
          </w:p>
        </w:tc>
        <w:tc>
          <w:tcPr>
            <w:tcW w:w="3431" w:type="dxa"/>
            <w:tcMar>
              <w:top w:w="0" w:type="dxa"/>
              <w:left w:w="108" w:type="dxa"/>
              <w:bottom w:w="0" w:type="dxa"/>
              <w:right w:w="108" w:type="dxa"/>
            </w:tcMar>
          </w:tcPr>
          <w:p w:rsidR="00AE0549" w:rsidRPr="00A604A3" w:rsidRDefault="00AE0549" w:rsidP="0086618C">
            <w:pPr>
              <w:pStyle w:val="Tabletext"/>
              <w:rPr>
                <w:vertAlign w:val="subscript"/>
                <w:lang w:eastAsia="zh-CN"/>
              </w:rPr>
            </w:pPr>
            <w:r w:rsidRPr="00A604A3">
              <w:rPr>
                <w:i/>
                <w:lang w:eastAsia="zh-CN"/>
              </w:rPr>
              <w:t>T</w:t>
            </w:r>
            <w:r w:rsidRPr="00A604A3">
              <w:rPr>
                <w:vertAlign w:val="subscript"/>
                <w:lang w:eastAsia="zh-CN"/>
              </w:rPr>
              <w:t xml:space="preserve">HARQ </w:t>
            </w:r>
            <w:r w:rsidRPr="00A604A3">
              <w:rPr>
                <w:lang w:eastAsia="zh-CN"/>
              </w:rPr>
              <w:t xml:space="preserve">= </w:t>
            </w: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T</w:t>
            </w:r>
            <w:r w:rsidRPr="00A604A3">
              <w:rPr>
                <w:vertAlign w:val="subscript"/>
                <w:lang w:eastAsia="zh-CN"/>
              </w:rPr>
              <w:t>2</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2</w:t>
            </w:r>
            <w:r w:rsidRPr="00A604A3">
              <w:rPr>
                <w:lang w:eastAsia="zh-CN"/>
              </w:rPr>
              <w:t xml:space="preserve"> = (</w:t>
            </w:r>
            <w:r w:rsidRPr="00A604A3">
              <w:rPr>
                <w:i/>
                <w:lang w:eastAsia="zh-CN"/>
              </w:rPr>
              <w:t>t</w:t>
            </w:r>
            <w:r w:rsidRPr="00A604A3">
              <w:rPr>
                <w:vertAlign w:val="subscript"/>
                <w:lang w:eastAsia="zh-CN"/>
              </w:rPr>
              <w:t>UE,tx</w:t>
            </w:r>
            <w:r w:rsidRPr="00A604A3">
              <w:rPr>
                <w:lang w:eastAsia="zh-CN"/>
              </w:rPr>
              <w:t xml:space="preserve"> + </w:t>
            </w:r>
            <w:r w:rsidRPr="00A604A3">
              <w:rPr>
                <w:i/>
                <w:lang w:eastAsia="zh-CN"/>
              </w:rPr>
              <w:t>t</w:t>
            </w:r>
            <w:r w:rsidRPr="00A604A3">
              <w:rPr>
                <w:vertAlign w:val="subscript"/>
                <w:lang w:eastAsia="zh-CN"/>
              </w:rPr>
              <w:t>FA,UL</w:t>
            </w:r>
            <w:r w:rsidRPr="00A604A3">
              <w:rPr>
                <w:lang w:eastAsia="zh-CN"/>
              </w:rPr>
              <w:t>)</w:t>
            </w:r>
            <w:r w:rsidRPr="00A604A3">
              <w:rPr>
                <w:vertAlign w:val="subscript"/>
                <w:lang w:eastAsia="zh-CN"/>
              </w:rPr>
              <w:t xml:space="preserve"> </w:t>
            </w:r>
            <w:r w:rsidRPr="00A604A3">
              <w:rPr>
                <w:lang w:eastAsia="zh-CN"/>
              </w:rPr>
              <w:t xml:space="preserve">+ </w:t>
            </w:r>
            <w:r w:rsidRPr="00A604A3">
              <w:rPr>
                <w:i/>
                <w:lang w:eastAsia="zh-CN"/>
              </w:rPr>
              <w:t>t</w:t>
            </w:r>
            <w:r w:rsidRPr="00A604A3">
              <w:rPr>
                <w:vertAlign w:val="subscript"/>
                <w:lang w:eastAsia="zh-CN"/>
              </w:rPr>
              <w:t xml:space="preserve">UL_duration </w:t>
            </w:r>
            <w:r w:rsidRPr="00A604A3">
              <w:rPr>
                <w:lang w:eastAsia="zh-CN"/>
              </w:rPr>
              <w:t xml:space="preserve">+ </w:t>
            </w:r>
            <w:r w:rsidRPr="00A604A3">
              <w:rPr>
                <w:i/>
                <w:lang w:eastAsia="zh-CN"/>
              </w:rPr>
              <w:t>t</w:t>
            </w:r>
            <w:r w:rsidRPr="00A604A3">
              <w:rPr>
                <w:vertAlign w:val="subscript"/>
                <w:lang w:eastAsia="zh-CN"/>
              </w:rPr>
              <w:t>BS,rx</w:t>
            </w:r>
            <w:r w:rsidRPr="00A604A3">
              <w:rPr>
                <w:lang w:eastAsia="zh-CN"/>
              </w:rPr>
              <w:t xml:space="preserve"> (For Steps 2.1 to 2.4)</w:t>
            </w:r>
          </w:p>
        </w:tc>
        <w:tc>
          <w:tcPr>
            <w:tcW w:w="3115" w:type="dxa"/>
          </w:tcPr>
          <w:p w:rsidR="00AE0549" w:rsidRPr="00A604A3" w:rsidRDefault="00AE0549" w:rsidP="0086618C">
            <w:pPr>
              <w:pStyle w:val="Tabletext"/>
              <w:rPr>
                <w:lang w:eastAsia="zh-CN"/>
              </w:rPr>
            </w:pP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2.1</w:t>
            </w:r>
          </w:p>
        </w:tc>
        <w:tc>
          <w:tcPr>
            <w:tcW w:w="2376" w:type="dxa"/>
            <w:tcMar>
              <w:top w:w="0" w:type="dxa"/>
              <w:left w:w="108" w:type="dxa"/>
              <w:bottom w:w="0" w:type="dxa"/>
              <w:right w:w="108" w:type="dxa"/>
            </w:tcMar>
            <w:hideMark/>
          </w:tcPr>
          <w:p w:rsidR="00AE0549" w:rsidRPr="00A604A3" w:rsidRDefault="00AE0549" w:rsidP="0086618C">
            <w:pPr>
              <w:pStyle w:val="Tabletext"/>
            </w:pPr>
            <w:r w:rsidRPr="00A604A3">
              <w:t>UE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UE,tx</w:t>
            </w:r>
            <w:r w:rsidRPr="00A604A3">
              <w:rPr>
                <w:lang w:eastAsia="zh-CN"/>
              </w:rPr>
              <w:t xml:space="preserve"> </w:t>
            </w:r>
          </w:p>
          <w:p w:rsidR="00AE0549" w:rsidRPr="00A604A3" w:rsidRDefault="00AE0549" w:rsidP="0086618C">
            <w:pPr>
              <w:pStyle w:val="Tabletext"/>
              <w:rPr>
                <w:lang w:eastAsia="zh-CN"/>
              </w:rPr>
            </w:pPr>
            <w:r w:rsidRPr="00A604A3">
              <w:rPr>
                <w:lang w:eastAsia="zh-CN"/>
              </w:rPr>
              <w:t>The time interval between the data is decoded, and ACK/NACK packet is generated.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2.2</w:t>
            </w:r>
          </w:p>
        </w:tc>
        <w:tc>
          <w:tcPr>
            <w:tcW w:w="2376" w:type="dxa"/>
            <w:tcMar>
              <w:top w:w="0" w:type="dxa"/>
              <w:left w:w="108" w:type="dxa"/>
              <w:bottom w:w="0" w:type="dxa"/>
              <w:right w:w="108" w:type="dxa"/>
            </w:tcMar>
            <w:hideMark/>
          </w:tcPr>
          <w:p w:rsidR="00AE0549" w:rsidRPr="00A604A3" w:rsidRDefault="00AE0549" w:rsidP="0086618C">
            <w:pPr>
              <w:pStyle w:val="Tabletext"/>
              <w:rPr>
                <w:lang w:eastAsia="zh-CN"/>
              </w:rPr>
            </w:pPr>
            <w:r w:rsidRPr="00A604A3">
              <w:t>UL frame alignment</w:t>
            </w:r>
            <w:r w:rsidRPr="00A604A3">
              <w:rPr>
                <w:lang w:eastAsia="zh-CN"/>
              </w:rPr>
              <w:t xml:space="preserve"> (transmission alignment)</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FA,UL</w:t>
            </w:r>
          </w:p>
          <w:p w:rsidR="00AE0549" w:rsidRPr="00A604A3" w:rsidRDefault="00AE0549" w:rsidP="0086618C">
            <w:pPr>
              <w:pStyle w:val="Tabletext"/>
              <w:rPr>
                <w:lang w:eastAsia="zh-CN"/>
              </w:rPr>
            </w:pPr>
            <w:r w:rsidRPr="00A604A3">
              <w:rPr>
                <w:lang w:eastAsia="zh-CN"/>
              </w:rPr>
              <w:t>It includes frame alignment time, and the waiting time for the next available UL slot</w:t>
            </w:r>
          </w:p>
        </w:tc>
        <w:tc>
          <w:tcPr>
            <w:tcW w:w="3115" w:type="dxa"/>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w:t>
            </w:r>
            <w:r w:rsidRPr="00A604A3">
              <w:rPr>
                <w:lang w:eastAsia="zh-CN"/>
              </w:rPr>
              <w:t xml:space="preserve"> + </w:t>
            </w:r>
            <w:r w:rsidRPr="00A604A3">
              <w:rPr>
                <w:i/>
                <w:lang w:eastAsia="zh-CN"/>
              </w:rPr>
              <w:t>T</w:t>
            </w:r>
            <w:r w:rsidRPr="00A604A3">
              <w:rPr>
                <w:vertAlign w:val="subscript"/>
                <w:lang w:eastAsia="zh-CN"/>
              </w:rPr>
              <w:t>wait</w:t>
            </w:r>
            <w:r w:rsidRPr="00A604A3">
              <w:rPr>
                <w:lang w:eastAsia="zh-CN"/>
              </w:rPr>
              <w:t>,</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FA</w:t>
            </w:r>
            <w:r w:rsidRPr="00A604A3">
              <w:rPr>
                <w:lang w:eastAsia="zh-CN"/>
              </w:rPr>
              <w:t xml:space="preserve"> is the frame alignment time within the current UL slot;</w:t>
            </w:r>
            <w:r w:rsidRPr="00A604A3">
              <w:rPr>
                <w:i/>
                <w:lang w:eastAsia="zh-CN"/>
              </w:rPr>
              <w:t xml:space="preserve"> </w:t>
            </w:r>
          </w:p>
          <w:p w:rsidR="00AE0549" w:rsidRPr="00A604A3" w:rsidRDefault="00AE0549" w:rsidP="0086618C">
            <w:pPr>
              <w:pStyle w:val="Tabletext"/>
              <w:rPr>
                <w:lang w:eastAsia="zh-CN"/>
              </w:rPr>
            </w:pPr>
            <w:r w:rsidRPr="00A604A3">
              <w:rPr>
                <w:i/>
                <w:lang w:eastAsia="zh-CN"/>
              </w:rPr>
              <w:t>T</w:t>
            </w:r>
            <w:r w:rsidRPr="00A604A3">
              <w:rPr>
                <w:vertAlign w:val="subscript"/>
                <w:lang w:eastAsia="zh-CN"/>
              </w:rPr>
              <w:t>wait</w:t>
            </w:r>
            <w:r w:rsidRPr="00A604A3">
              <w:rPr>
                <w:lang w:eastAsia="zh-CN"/>
              </w:rPr>
              <w:t xml:space="preserve"> is the waiting time for next available UL slot if the current slot is not UL slot</w:t>
            </w: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2.3</w:t>
            </w:r>
          </w:p>
        </w:tc>
        <w:tc>
          <w:tcPr>
            <w:tcW w:w="2376" w:type="dxa"/>
            <w:tcMar>
              <w:top w:w="0" w:type="dxa"/>
              <w:left w:w="108" w:type="dxa"/>
              <w:bottom w:w="0" w:type="dxa"/>
              <w:right w:w="108" w:type="dxa"/>
            </w:tcMar>
            <w:hideMark/>
          </w:tcPr>
          <w:p w:rsidR="00AE0549" w:rsidRPr="00A604A3" w:rsidRDefault="00AE0549" w:rsidP="0086618C">
            <w:pPr>
              <w:pStyle w:val="Tabletext"/>
            </w:pPr>
            <w:r w:rsidRPr="00A604A3">
              <w:t>TTI for ACK/NACK transmission</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UL_duration</w:t>
            </w:r>
          </w:p>
        </w:tc>
        <w:tc>
          <w:tcPr>
            <w:tcW w:w="3115" w:type="dxa"/>
          </w:tcPr>
          <w:p w:rsidR="00AE0549" w:rsidRPr="00A604A3" w:rsidRDefault="00AE0549" w:rsidP="0086618C">
            <w:pPr>
              <w:pStyle w:val="Tabletext"/>
              <w:rPr>
                <w:lang w:eastAsia="zh-CN"/>
              </w:rPr>
            </w:pPr>
            <w:r w:rsidRPr="00A604A3">
              <w:rPr>
                <w:lang w:eastAsia="zh-CN"/>
              </w:rPr>
              <w:t>1 OFDM symbol</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2.4</w:t>
            </w:r>
          </w:p>
        </w:tc>
        <w:tc>
          <w:tcPr>
            <w:tcW w:w="2376" w:type="dxa"/>
            <w:tcMar>
              <w:top w:w="0" w:type="dxa"/>
              <w:left w:w="108" w:type="dxa"/>
              <w:bottom w:w="0" w:type="dxa"/>
              <w:right w:w="108" w:type="dxa"/>
            </w:tcMar>
          </w:tcPr>
          <w:p w:rsidR="00AE0549" w:rsidRPr="00A604A3" w:rsidRDefault="00AE0549" w:rsidP="0086618C">
            <w:pPr>
              <w:pStyle w:val="Tabletext"/>
            </w:pPr>
            <w:r w:rsidRPr="00A604A3">
              <w:t>BS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BS,rx</w:t>
            </w:r>
            <w:r w:rsidRPr="00A604A3">
              <w:rPr>
                <w:lang w:eastAsia="zh-CN"/>
              </w:rPr>
              <w:t xml:space="preserve"> </w:t>
            </w:r>
          </w:p>
          <w:p w:rsidR="00AE0549" w:rsidRPr="00A604A3" w:rsidRDefault="00AE0549" w:rsidP="0086618C">
            <w:pPr>
              <w:pStyle w:val="Tabletext"/>
              <w:rPr>
                <w:i/>
                <w:lang w:eastAsia="zh-CN"/>
              </w:rPr>
            </w:pPr>
            <w:r w:rsidRPr="00A604A3">
              <w:rPr>
                <w:lang w:eastAsia="zh-CN"/>
              </w:rPr>
              <w:t>The time interval between the ACK is received and the ACK is decoded.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2.5</w:t>
            </w:r>
          </w:p>
        </w:tc>
        <w:tc>
          <w:tcPr>
            <w:tcW w:w="2376" w:type="dxa"/>
            <w:tcMar>
              <w:top w:w="0" w:type="dxa"/>
              <w:left w:w="108" w:type="dxa"/>
              <w:bottom w:w="0" w:type="dxa"/>
              <w:right w:w="108" w:type="dxa"/>
            </w:tcMar>
          </w:tcPr>
          <w:p w:rsidR="00AE0549" w:rsidRPr="00A604A3" w:rsidRDefault="00AE0549" w:rsidP="0086618C">
            <w:pPr>
              <w:pStyle w:val="Tabletext"/>
              <w:rPr>
                <w:lang w:eastAsia="zh-CN"/>
              </w:rPr>
            </w:pPr>
            <w:r w:rsidRPr="00A604A3">
              <w:rPr>
                <w:lang w:eastAsia="zh-CN"/>
              </w:rPr>
              <w:t>Repeat DL data transfer from 1.1 to 1.4</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1</w:t>
            </w:r>
          </w:p>
        </w:tc>
        <w:tc>
          <w:tcPr>
            <w:tcW w:w="3115" w:type="dxa"/>
          </w:tcPr>
          <w:p w:rsidR="00AE0549" w:rsidRPr="00A604A3" w:rsidRDefault="00AE0549" w:rsidP="0086618C">
            <w:pPr>
              <w:pStyle w:val="Tabletext"/>
              <w:rPr>
                <w:lang w:eastAsia="zh-CN"/>
              </w:rPr>
            </w:pP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pPr>
            <w:r w:rsidRPr="00A604A3">
              <w:t>-</w:t>
            </w:r>
          </w:p>
        </w:tc>
        <w:tc>
          <w:tcPr>
            <w:tcW w:w="2376" w:type="dxa"/>
            <w:tcMar>
              <w:top w:w="0" w:type="dxa"/>
              <w:left w:w="108" w:type="dxa"/>
              <w:bottom w:w="0" w:type="dxa"/>
              <w:right w:w="108" w:type="dxa"/>
            </w:tcMar>
            <w:hideMark/>
          </w:tcPr>
          <w:p w:rsidR="00AE0549" w:rsidRPr="00A604A3" w:rsidRDefault="00AE0549" w:rsidP="0086618C">
            <w:pPr>
              <w:pStyle w:val="Tabletext"/>
              <w:rPr>
                <w:lang w:eastAsia="zh-CN"/>
              </w:rPr>
            </w:pPr>
            <w:r w:rsidRPr="00A604A3">
              <w:t>Total one-way user plane latency</w:t>
            </w:r>
            <w:r w:rsidRPr="00A604A3">
              <w:rPr>
                <w:lang w:eastAsia="zh-CN"/>
              </w:rPr>
              <w:t xml:space="preserve"> for DL</w:t>
            </w:r>
          </w:p>
        </w:tc>
        <w:tc>
          <w:tcPr>
            <w:tcW w:w="6546" w:type="dxa"/>
            <w:gridSpan w:val="2"/>
            <w:noWrap/>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UP</w:t>
            </w:r>
            <w:r w:rsidRPr="00A604A3">
              <w:rPr>
                <w:lang w:eastAsia="zh-CN"/>
              </w:rPr>
              <w:t xml:space="preserve">= </w:t>
            </w: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n</w:t>
            </w:r>
            <w:r w:rsidRPr="00A604A3">
              <w:rPr>
                <w:lang w:eastAsia="zh-CN"/>
              </w:rPr>
              <w:t>×</w:t>
            </w:r>
            <w:r w:rsidRPr="00A604A3">
              <w:rPr>
                <w:i/>
                <w:lang w:eastAsia="zh-CN"/>
              </w:rPr>
              <w:t>T</w:t>
            </w:r>
            <w:r w:rsidRPr="00A604A3">
              <w:rPr>
                <w:vertAlign w:val="subscript"/>
                <w:lang w:eastAsia="zh-CN"/>
              </w:rPr>
              <w:t>HARQ</w:t>
            </w:r>
          </w:p>
          <w:p w:rsidR="00AE0549" w:rsidRPr="00A604A3" w:rsidRDefault="00AE0549" w:rsidP="0086618C">
            <w:pPr>
              <w:pStyle w:val="Tabletext"/>
              <w:rPr>
                <w:lang w:eastAsia="zh-CN"/>
              </w:rPr>
            </w:pPr>
            <w:r w:rsidRPr="00A604A3">
              <w:rPr>
                <w:lang w:eastAsia="zh-CN"/>
              </w:rPr>
              <w:t xml:space="preserve">where </w:t>
            </w:r>
            <w:r w:rsidRPr="00A604A3">
              <w:rPr>
                <w:i/>
                <w:lang w:eastAsia="zh-CN"/>
              </w:rPr>
              <w:t>n</w:t>
            </w:r>
            <w:r w:rsidRPr="00A604A3">
              <w:rPr>
                <w:lang w:eastAsia="zh-CN"/>
              </w:rPr>
              <w:t xml:space="preserve"> is the number of re-transmissions (</w:t>
            </w:r>
            <w:r w:rsidRPr="00A604A3">
              <w:rPr>
                <w:i/>
                <w:lang w:eastAsia="zh-CN"/>
              </w:rPr>
              <w:t>n</w:t>
            </w:r>
            <w:r w:rsidRPr="00A604A3">
              <w:rPr>
                <w:lang w:eastAsia="zh-CN"/>
              </w:rPr>
              <w:t>≥0)</w:t>
            </w:r>
          </w:p>
          <w:p w:rsidR="00AE0549" w:rsidRPr="00A604A3" w:rsidRDefault="00AE0549" w:rsidP="0086618C">
            <w:pPr>
              <w:pStyle w:val="Tabletext"/>
              <w:rPr>
                <w:lang w:eastAsia="zh-CN"/>
              </w:rPr>
            </w:pPr>
            <w:r w:rsidRPr="00A604A3">
              <w:rPr>
                <w:i/>
                <w:lang w:eastAsia="zh-CN"/>
              </w:rPr>
              <w:t>Average T</w:t>
            </w:r>
            <w:r w:rsidRPr="00A604A3">
              <w:rPr>
                <w:vertAlign w:val="subscript"/>
                <w:lang w:eastAsia="zh-CN"/>
              </w:rPr>
              <w:t>UP</w:t>
            </w:r>
            <w:r w:rsidRPr="00A604A3">
              <w:rPr>
                <w:i/>
                <w:lang w:eastAsia="zh-CN"/>
              </w:rPr>
              <w:t>= T</w:t>
            </w:r>
            <w:r w:rsidRPr="00A604A3">
              <w:rPr>
                <w:vertAlign w:val="subscript"/>
                <w:lang w:eastAsia="zh-CN"/>
              </w:rPr>
              <w:t>1</w:t>
            </w:r>
            <w:r w:rsidRPr="00A604A3">
              <w:rPr>
                <w:i/>
                <w:lang w:eastAsia="zh-CN"/>
              </w:rPr>
              <w:t xml:space="preserve"> +</w:t>
            </w:r>
            <w:r w:rsidRPr="00A604A3">
              <w:rPr>
                <w:lang w:eastAsia="zh-CN"/>
              </w:rPr>
              <w:t xml:space="preserve"> </w:t>
            </w:r>
            <w:r w:rsidRPr="00A604A3">
              <w:rPr>
                <w:i/>
                <w:lang w:eastAsia="zh-CN"/>
              </w:rPr>
              <w:t>p</w:t>
            </w:r>
            <w:r w:rsidRPr="00A604A3">
              <w:rPr>
                <w:lang w:eastAsia="zh-CN"/>
              </w:rPr>
              <w:t>×</w:t>
            </w:r>
            <w:r w:rsidRPr="00A604A3">
              <w:rPr>
                <w:i/>
                <w:lang w:eastAsia="zh-CN"/>
              </w:rPr>
              <w:t>T</w:t>
            </w:r>
            <w:r w:rsidRPr="00A604A3">
              <w:rPr>
                <w:vertAlign w:val="subscript"/>
                <w:lang w:eastAsia="zh-CN"/>
              </w:rPr>
              <w:t>HARQ</w:t>
            </w:r>
          </w:p>
          <w:p w:rsidR="00AE0549" w:rsidRPr="00A604A3" w:rsidRDefault="00AE0549" w:rsidP="0086618C">
            <w:pPr>
              <w:pStyle w:val="Tabletext"/>
              <w:rPr>
                <w:lang w:eastAsia="zh-CN"/>
              </w:rPr>
            </w:pPr>
            <w:r w:rsidRPr="00A604A3">
              <w:rPr>
                <w:lang w:eastAsia="zh-CN"/>
              </w:rPr>
              <w:t xml:space="preserve">where </w:t>
            </w:r>
            <w:r w:rsidRPr="00A604A3">
              <w:rPr>
                <w:i/>
                <w:lang w:eastAsia="zh-CN"/>
              </w:rPr>
              <w:t>p</w:t>
            </w:r>
            <w:r w:rsidRPr="00A604A3">
              <w:rPr>
                <w:lang w:eastAsia="zh-CN"/>
              </w:rPr>
              <w:t xml:space="preserve"> is the probability of re-transmissions</w:t>
            </w:r>
          </w:p>
        </w:tc>
      </w:tr>
      <w:tr w:rsidR="00AE0549" w:rsidRPr="00A604A3" w:rsidTr="00BE0248">
        <w:trPr>
          <w:cantSplit/>
          <w:jc w:val="center"/>
        </w:trPr>
        <w:tc>
          <w:tcPr>
            <w:tcW w:w="9631" w:type="dxa"/>
            <w:gridSpan w:val="4"/>
            <w:noWrap/>
            <w:tcMar>
              <w:top w:w="0" w:type="dxa"/>
              <w:left w:w="108" w:type="dxa"/>
              <w:bottom w:w="0" w:type="dxa"/>
              <w:right w:w="108" w:type="dxa"/>
            </w:tcMar>
            <w:vAlign w:val="center"/>
          </w:tcPr>
          <w:p w:rsidR="00AE0549" w:rsidRPr="00A604A3" w:rsidRDefault="00AE0549" w:rsidP="0086618C">
            <w:pPr>
              <w:pStyle w:val="Tablelegend"/>
              <w:rPr>
                <w:lang w:eastAsia="zh-CN"/>
              </w:rPr>
            </w:pPr>
            <w:r w:rsidRPr="00A604A3">
              <w:rPr>
                <w:lang w:eastAsia="zh-CN"/>
              </w:rPr>
              <w:t>NOTE: For short TTI, it is assumed that PDCCH and sPDCCH can both schedule sPDSCH such that there is no additional waiting time for PDCCH if the data arrives within the PDCCH region. In addition, sPDCCH and sPDSCH can be frequency multiplexed.</w:t>
            </w:r>
          </w:p>
        </w:tc>
      </w:tr>
    </w:tbl>
    <w:p w:rsidR="00AE0549" w:rsidRPr="00A604A3" w:rsidRDefault="00AE0549" w:rsidP="0086618C">
      <w:pPr>
        <w:pStyle w:val="Tablefin"/>
      </w:pPr>
    </w:p>
    <w:p w:rsidR="00AE0549" w:rsidRPr="00A604A3" w:rsidRDefault="00AE0549" w:rsidP="0086618C">
      <w:r w:rsidRPr="00A604A3">
        <w:t xml:space="preserve">Based on the above assumptions, DL user plane latency has been calculated for FDD and TDD (Table 103). For FDD, short TTIs are considered with 2 OFDM Symbols (OS), 3OS and 7OS for </w:t>
      </w:r>
      <w:r w:rsidRPr="00A604A3">
        <w:rPr>
          <w:rFonts w:cstheme="minorHAnsi"/>
        </w:rPr>
        <w:t xml:space="preserve">initial transmission error probability of </w:t>
      </w:r>
      <w:r w:rsidRPr="00A604A3">
        <w:rPr>
          <w:rFonts w:cstheme="minorHAnsi"/>
          <w:i/>
        </w:rPr>
        <w:t xml:space="preserve">p </w:t>
      </w:r>
      <w:r w:rsidRPr="00A604A3">
        <w:rPr>
          <w:rFonts w:cstheme="minorHAnsi"/>
        </w:rPr>
        <w:t xml:space="preserve">= 0 and </w:t>
      </w:r>
      <w:r w:rsidRPr="00A604A3">
        <w:rPr>
          <w:rFonts w:cstheme="minorHAnsi"/>
          <w:i/>
        </w:rPr>
        <w:t xml:space="preserve">p </w:t>
      </w:r>
      <w:r w:rsidRPr="00A604A3">
        <w:rPr>
          <w:rFonts w:cstheme="minorHAnsi"/>
        </w:rPr>
        <w:t>= 0.1.</w:t>
      </w:r>
    </w:p>
    <w:p w:rsidR="000323CD" w:rsidRPr="00A604A3" w:rsidRDefault="000323CD" w:rsidP="000323CD">
      <w:pPr>
        <w:pStyle w:val="TableNo"/>
        <w:rPr>
          <w:rFonts w:eastAsia="MS Mincho"/>
        </w:rPr>
      </w:pPr>
      <w:bookmarkStart w:id="472" w:name="_Ref31711753"/>
      <w:bookmarkStart w:id="473" w:name="_Toc32066425"/>
      <w:r w:rsidRPr="00A604A3">
        <w:rPr>
          <w:rFonts w:eastAsia="MS Mincho"/>
        </w:rPr>
        <w:lastRenderedPageBreak/>
        <w:t>Table 103</w:t>
      </w:r>
    </w:p>
    <w:p w:rsidR="000323CD" w:rsidRPr="00A604A3" w:rsidRDefault="000323CD" w:rsidP="000323CD">
      <w:pPr>
        <w:pStyle w:val="Tabletitle"/>
        <w:rPr>
          <w:rFonts w:eastAsia="MS Mincho"/>
        </w:rPr>
      </w:pPr>
      <w:r w:rsidRPr="00A604A3">
        <w:rPr>
          <w:rFonts w:eastAsia="MS Mincho"/>
        </w:rPr>
        <w:t>DL user plane latency for LTE FDD</w:t>
      </w:r>
      <w:bookmarkEnd w:id="472"/>
      <w:bookmarkEnd w:id="473"/>
    </w:p>
    <w:tbl>
      <w:tblPr>
        <w:tblStyle w:val="TableGrid"/>
        <w:tblW w:w="4080" w:type="dxa"/>
        <w:jc w:val="center"/>
        <w:tblLayout w:type="fixed"/>
        <w:tblLook w:val="04A0" w:firstRow="1" w:lastRow="0" w:firstColumn="1" w:lastColumn="0" w:noHBand="0" w:noVBand="1"/>
      </w:tblPr>
      <w:tblGrid>
        <w:gridCol w:w="1312"/>
        <w:gridCol w:w="1347"/>
        <w:gridCol w:w="1421"/>
      </w:tblGrid>
      <w:tr w:rsidR="00AE0549" w:rsidRPr="00A604A3" w:rsidTr="000323CD">
        <w:trPr>
          <w:cantSplit/>
          <w:jc w:val="center"/>
        </w:trPr>
        <w:tc>
          <w:tcPr>
            <w:tcW w:w="1312" w:type="dxa"/>
            <w:vAlign w:val="center"/>
            <w:hideMark/>
          </w:tcPr>
          <w:p w:rsidR="00AE0549" w:rsidRPr="00A604A3" w:rsidRDefault="00AE0549" w:rsidP="000323CD">
            <w:pPr>
              <w:pStyle w:val="Tablehead"/>
              <w:rPr>
                <w:lang w:eastAsia="zh-CN"/>
              </w:rPr>
            </w:pPr>
            <w:r w:rsidRPr="00A604A3">
              <w:rPr>
                <w:lang w:eastAsia="zh-CN"/>
              </w:rPr>
              <w:t>TTI duration</w:t>
            </w:r>
          </w:p>
        </w:tc>
        <w:tc>
          <w:tcPr>
            <w:tcW w:w="1347" w:type="dxa"/>
            <w:vAlign w:val="center"/>
            <w:hideMark/>
          </w:tcPr>
          <w:p w:rsidR="00AE0549" w:rsidRPr="00A604A3" w:rsidRDefault="00AE0549" w:rsidP="000323CD">
            <w:pPr>
              <w:pStyle w:val="Tablehead"/>
              <w:rPr>
                <w:lang w:eastAsia="zh-CN"/>
              </w:rPr>
            </w:pPr>
            <w:r w:rsidRPr="00A604A3">
              <w:rPr>
                <w:lang w:eastAsia="zh-CN"/>
              </w:rPr>
              <w:t>Error probability</w:t>
            </w:r>
          </w:p>
        </w:tc>
        <w:tc>
          <w:tcPr>
            <w:tcW w:w="1421" w:type="dxa"/>
            <w:vAlign w:val="center"/>
            <w:hideMark/>
          </w:tcPr>
          <w:p w:rsidR="00AE0549" w:rsidRPr="00A604A3" w:rsidRDefault="00AE0549" w:rsidP="000323CD">
            <w:pPr>
              <w:pStyle w:val="Tablehead"/>
              <w:rPr>
                <w:lang w:eastAsia="zh-CN"/>
              </w:rPr>
            </w:pPr>
            <w:r w:rsidRPr="00A604A3">
              <w:rPr>
                <w:lang w:eastAsia="zh-CN"/>
              </w:rPr>
              <w:t>DL UP latency (ms)</w:t>
            </w:r>
          </w:p>
        </w:tc>
      </w:tr>
      <w:tr w:rsidR="00AE0549" w:rsidRPr="00A604A3" w:rsidTr="000323CD">
        <w:trPr>
          <w:cantSplit/>
          <w:jc w:val="center"/>
        </w:trPr>
        <w:tc>
          <w:tcPr>
            <w:tcW w:w="1312" w:type="dxa"/>
            <w:vMerge w:val="restart"/>
            <w:hideMark/>
          </w:tcPr>
          <w:p w:rsidR="00AE0549" w:rsidRPr="00A604A3" w:rsidRDefault="00AE0549" w:rsidP="000323CD">
            <w:pPr>
              <w:pStyle w:val="Tabletext"/>
              <w:keepNext/>
              <w:keepLines/>
              <w:jc w:val="center"/>
              <w:rPr>
                <w:i/>
                <w:iCs/>
                <w:lang w:eastAsia="zh-CN"/>
              </w:rPr>
            </w:pPr>
            <w:r w:rsidRPr="00A604A3">
              <w:rPr>
                <w:i/>
                <w:iCs/>
                <w:lang w:eastAsia="zh-CN"/>
              </w:rPr>
              <w:t>2OS</w:t>
            </w:r>
          </w:p>
        </w:tc>
        <w:tc>
          <w:tcPr>
            <w:tcW w:w="1347" w:type="dxa"/>
            <w:hideMark/>
          </w:tcPr>
          <w:p w:rsidR="00AE0549" w:rsidRPr="00A604A3" w:rsidRDefault="00AE0549" w:rsidP="000323CD">
            <w:pPr>
              <w:pStyle w:val="Tabletext"/>
              <w:keepNext/>
              <w:keepLines/>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keepNext/>
              <w:keepLines/>
              <w:jc w:val="center"/>
              <w:rPr>
                <w:lang w:eastAsia="zh-CN"/>
              </w:rPr>
            </w:pPr>
            <w:r w:rsidRPr="00A604A3">
              <w:rPr>
                <w:lang w:eastAsia="zh-CN"/>
              </w:rPr>
              <w:t>0.69</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0.82</w:t>
            </w:r>
          </w:p>
        </w:tc>
      </w:tr>
      <w:tr w:rsidR="00AE0549" w:rsidRPr="00A604A3" w:rsidTr="000323CD">
        <w:trPr>
          <w:cantSplit/>
          <w:jc w:val="center"/>
        </w:trPr>
        <w:tc>
          <w:tcPr>
            <w:tcW w:w="1312" w:type="dxa"/>
            <w:vMerge w:val="restart"/>
            <w:hideMark/>
          </w:tcPr>
          <w:p w:rsidR="00AE0549" w:rsidRPr="00A604A3" w:rsidRDefault="00AE0549" w:rsidP="000323CD">
            <w:pPr>
              <w:pStyle w:val="Tabletext"/>
              <w:jc w:val="center"/>
              <w:rPr>
                <w:i/>
                <w:iCs/>
                <w:lang w:eastAsia="zh-CN"/>
              </w:rPr>
            </w:pPr>
            <w:r w:rsidRPr="00A604A3">
              <w:rPr>
                <w:i/>
                <w:iCs/>
                <w:lang w:eastAsia="zh-CN"/>
              </w:rPr>
              <w:t>3OS</w:t>
            </w: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jc w:val="center"/>
            </w:pPr>
            <w:r w:rsidRPr="00A604A3">
              <w:t>1.23</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1.45</w:t>
            </w:r>
          </w:p>
        </w:tc>
      </w:tr>
      <w:tr w:rsidR="00AE0549" w:rsidRPr="00A604A3" w:rsidTr="000323CD">
        <w:trPr>
          <w:cantSplit/>
          <w:jc w:val="center"/>
        </w:trPr>
        <w:tc>
          <w:tcPr>
            <w:tcW w:w="1312" w:type="dxa"/>
            <w:vMerge w:val="restart"/>
            <w:hideMark/>
          </w:tcPr>
          <w:p w:rsidR="00AE0549" w:rsidRPr="00A604A3" w:rsidRDefault="00AE0549" w:rsidP="000323CD">
            <w:pPr>
              <w:pStyle w:val="Tabletext"/>
              <w:jc w:val="center"/>
              <w:rPr>
                <w:i/>
                <w:iCs/>
                <w:lang w:eastAsia="zh-CN"/>
              </w:rPr>
            </w:pPr>
            <w:r w:rsidRPr="00A604A3">
              <w:rPr>
                <w:i/>
                <w:iCs/>
                <w:lang w:eastAsia="zh-CN"/>
              </w:rPr>
              <w:t>7OS</w:t>
            </w: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jc w:val="center"/>
            </w:pPr>
            <w:r w:rsidRPr="00A604A3">
              <w:t>2.32</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2.75</w:t>
            </w:r>
          </w:p>
        </w:tc>
      </w:tr>
    </w:tbl>
    <w:p w:rsidR="00AE0549" w:rsidRPr="00A604A3" w:rsidRDefault="00AE0549" w:rsidP="000323CD">
      <w:pPr>
        <w:pStyle w:val="Tablefin"/>
      </w:pPr>
    </w:p>
    <w:p w:rsidR="00AE0549" w:rsidRPr="00A604A3" w:rsidRDefault="00AE0549" w:rsidP="000323CD">
      <w:r w:rsidRPr="00A604A3">
        <w:t>For TDD, 7OS TTI is considered for DSUDD and DSUUD configurations. The average user plane is provided for a large number of calculations with</w:t>
      </w:r>
      <w:r w:rsidRPr="00A604A3">
        <w:rPr>
          <w:rFonts w:cstheme="minorHAnsi"/>
        </w:rPr>
        <w:t xml:space="preserve"> initial transmission error probability of </w:t>
      </w:r>
      <w:r w:rsidRPr="00A604A3">
        <w:rPr>
          <w:rFonts w:cstheme="minorHAnsi"/>
          <w:i/>
        </w:rPr>
        <w:t>p</w:t>
      </w:r>
      <w:r w:rsidRPr="00A604A3">
        <w:rPr>
          <w:rFonts w:cstheme="minorHAnsi"/>
        </w:rPr>
        <w:t xml:space="preserve">=0 and </w:t>
      </w:r>
      <w:r w:rsidRPr="00A604A3">
        <w:rPr>
          <w:rFonts w:cstheme="minorHAnsi"/>
          <w:i/>
        </w:rPr>
        <w:t>p</w:t>
      </w:r>
      <w:r w:rsidRPr="00A604A3">
        <w:rPr>
          <w:rFonts w:cstheme="minorHAnsi"/>
        </w:rPr>
        <w:t>=0.1 (Table 104).</w:t>
      </w:r>
    </w:p>
    <w:p w:rsidR="000323CD" w:rsidRPr="00A604A3" w:rsidRDefault="000323CD" w:rsidP="000323CD">
      <w:pPr>
        <w:pStyle w:val="TableNo"/>
        <w:rPr>
          <w:rFonts w:eastAsia="MS Mincho"/>
        </w:rPr>
      </w:pPr>
      <w:bookmarkStart w:id="474" w:name="_Ref31711797"/>
      <w:bookmarkStart w:id="475" w:name="_Toc32066426"/>
      <w:r w:rsidRPr="00A604A3">
        <w:rPr>
          <w:rFonts w:eastAsia="MS Mincho"/>
        </w:rPr>
        <w:t>Table 104</w:t>
      </w:r>
    </w:p>
    <w:p w:rsidR="000323CD" w:rsidRPr="00A604A3" w:rsidRDefault="000323CD" w:rsidP="000323CD">
      <w:pPr>
        <w:pStyle w:val="Tabletitle"/>
        <w:rPr>
          <w:rFonts w:eastAsia="MS Mincho"/>
        </w:rPr>
      </w:pPr>
      <w:r w:rsidRPr="00A604A3">
        <w:rPr>
          <w:rFonts w:eastAsia="MS Mincho"/>
        </w:rPr>
        <w:t>DL user plane latency for LTE TDD</w:t>
      </w:r>
      <w:bookmarkEnd w:id="474"/>
      <w:bookmarkEnd w:id="475"/>
    </w:p>
    <w:tbl>
      <w:tblPr>
        <w:tblStyle w:val="TableGrid"/>
        <w:tblW w:w="6091" w:type="dxa"/>
        <w:jc w:val="center"/>
        <w:tblLook w:val="04A0" w:firstRow="1" w:lastRow="0" w:firstColumn="1" w:lastColumn="0" w:noHBand="0" w:noVBand="1"/>
      </w:tblPr>
      <w:tblGrid>
        <w:gridCol w:w="961"/>
        <w:gridCol w:w="1016"/>
        <w:gridCol w:w="1172"/>
        <w:gridCol w:w="1476"/>
        <w:gridCol w:w="1466"/>
      </w:tblGrid>
      <w:tr w:rsidR="00AE0549" w:rsidRPr="00A604A3" w:rsidTr="000323CD">
        <w:trPr>
          <w:trHeight w:val="215"/>
          <w:jc w:val="center"/>
        </w:trPr>
        <w:tc>
          <w:tcPr>
            <w:tcW w:w="937" w:type="dxa"/>
            <w:vMerge w:val="restart"/>
            <w:vAlign w:val="center"/>
          </w:tcPr>
          <w:p w:rsidR="00AE0549" w:rsidRPr="00A604A3" w:rsidRDefault="00AE0549" w:rsidP="000323CD">
            <w:pPr>
              <w:pStyle w:val="Tablehead"/>
              <w:rPr>
                <w:lang w:eastAsia="zh-CN"/>
              </w:rPr>
            </w:pPr>
            <w:r w:rsidRPr="00A604A3">
              <w:rPr>
                <w:lang w:eastAsia="zh-CN"/>
              </w:rPr>
              <w:t>TTI duration</w:t>
            </w:r>
          </w:p>
        </w:tc>
        <w:tc>
          <w:tcPr>
            <w:tcW w:w="945" w:type="dxa"/>
            <w:vMerge w:val="restart"/>
            <w:vAlign w:val="center"/>
          </w:tcPr>
          <w:p w:rsidR="00AE0549" w:rsidRPr="00A604A3" w:rsidRDefault="00AE0549" w:rsidP="000323CD">
            <w:pPr>
              <w:pStyle w:val="Tablehead"/>
              <w:rPr>
                <w:lang w:eastAsia="zh-CN"/>
              </w:rPr>
            </w:pPr>
            <w:r w:rsidRPr="00A604A3">
              <w:rPr>
                <w:lang w:eastAsia="zh-CN"/>
              </w:rPr>
              <w:t>Criterion</w:t>
            </w:r>
          </w:p>
        </w:tc>
        <w:tc>
          <w:tcPr>
            <w:tcW w:w="1077" w:type="dxa"/>
            <w:vMerge w:val="restart"/>
            <w:vAlign w:val="center"/>
          </w:tcPr>
          <w:p w:rsidR="00AE0549" w:rsidRPr="00A604A3" w:rsidRDefault="00AE0549" w:rsidP="000323CD">
            <w:pPr>
              <w:pStyle w:val="Tablehead"/>
              <w:rPr>
                <w:lang w:eastAsia="zh-CN"/>
              </w:rPr>
            </w:pPr>
            <w:r w:rsidRPr="00A604A3">
              <w:rPr>
                <w:lang w:eastAsia="zh-CN"/>
              </w:rPr>
              <w:t>Error probability</w:t>
            </w:r>
          </w:p>
        </w:tc>
        <w:tc>
          <w:tcPr>
            <w:tcW w:w="3132" w:type="dxa"/>
            <w:gridSpan w:val="2"/>
            <w:vAlign w:val="center"/>
          </w:tcPr>
          <w:p w:rsidR="00AE0549" w:rsidRPr="00A604A3" w:rsidRDefault="00AE0549" w:rsidP="000323CD">
            <w:pPr>
              <w:pStyle w:val="Tablehead"/>
              <w:rPr>
                <w:lang w:eastAsia="zh-CN"/>
              </w:rPr>
            </w:pPr>
            <w:r w:rsidRPr="00A604A3">
              <w:rPr>
                <w:lang w:eastAsia="zh-CN"/>
              </w:rPr>
              <w:t>DL UP latency (ms)</w:t>
            </w:r>
          </w:p>
        </w:tc>
      </w:tr>
      <w:tr w:rsidR="00AE0549" w:rsidRPr="00A604A3" w:rsidTr="000323CD">
        <w:trPr>
          <w:trHeight w:val="133"/>
          <w:jc w:val="center"/>
        </w:trPr>
        <w:tc>
          <w:tcPr>
            <w:tcW w:w="937" w:type="dxa"/>
            <w:vMerge/>
            <w:vAlign w:val="center"/>
            <w:hideMark/>
          </w:tcPr>
          <w:p w:rsidR="00AE0549" w:rsidRPr="00A604A3" w:rsidRDefault="00AE0549" w:rsidP="000323CD">
            <w:pPr>
              <w:pStyle w:val="Tablehead"/>
              <w:rPr>
                <w:lang w:eastAsia="zh-CN"/>
              </w:rPr>
            </w:pPr>
          </w:p>
        </w:tc>
        <w:tc>
          <w:tcPr>
            <w:tcW w:w="945" w:type="dxa"/>
            <w:vMerge/>
            <w:vAlign w:val="center"/>
            <w:hideMark/>
          </w:tcPr>
          <w:p w:rsidR="00AE0549" w:rsidRPr="00A604A3" w:rsidRDefault="00AE0549" w:rsidP="000323CD">
            <w:pPr>
              <w:pStyle w:val="Tablehead"/>
              <w:rPr>
                <w:lang w:eastAsia="zh-CN"/>
              </w:rPr>
            </w:pPr>
          </w:p>
        </w:tc>
        <w:tc>
          <w:tcPr>
            <w:tcW w:w="1077" w:type="dxa"/>
            <w:vMerge/>
            <w:vAlign w:val="center"/>
            <w:hideMark/>
          </w:tcPr>
          <w:p w:rsidR="00AE0549" w:rsidRPr="00A604A3" w:rsidRDefault="00AE0549" w:rsidP="000323CD">
            <w:pPr>
              <w:pStyle w:val="Tablehead"/>
              <w:rPr>
                <w:lang w:eastAsia="zh-CN"/>
              </w:rPr>
            </w:pPr>
          </w:p>
        </w:tc>
        <w:tc>
          <w:tcPr>
            <w:tcW w:w="1572" w:type="dxa"/>
            <w:vAlign w:val="center"/>
            <w:hideMark/>
          </w:tcPr>
          <w:p w:rsidR="00AE0549" w:rsidRPr="00A604A3" w:rsidRDefault="00AE0549" w:rsidP="000323CD">
            <w:pPr>
              <w:pStyle w:val="Tablehead"/>
              <w:rPr>
                <w:lang w:eastAsia="zh-CN"/>
              </w:rPr>
            </w:pPr>
            <w:r w:rsidRPr="00A604A3">
              <w:rPr>
                <w:lang w:eastAsia="zh-CN"/>
              </w:rPr>
              <w:t>DSUDD (Cfg.1)</w:t>
            </w:r>
          </w:p>
        </w:tc>
        <w:tc>
          <w:tcPr>
            <w:tcW w:w="1560" w:type="dxa"/>
            <w:vAlign w:val="center"/>
          </w:tcPr>
          <w:p w:rsidR="00AE0549" w:rsidRPr="00A604A3" w:rsidRDefault="00AE0549" w:rsidP="000323CD">
            <w:pPr>
              <w:pStyle w:val="Tablehead"/>
              <w:rPr>
                <w:lang w:eastAsia="zh-CN"/>
              </w:rPr>
            </w:pPr>
            <w:r w:rsidRPr="00A604A3">
              <w:rPr>
                <w:lang w:eastAsia="zh-CN"/>
              </w:rPr>
              <w:t>DSUUD (Cfg.2)</w:t>
            </w:r>
          </w:p>
        </w:tc>
      </w:tr>
      <w:tr w:rsidR="00AE0549" w:rsidRPr="00A604A3" w:rsidTr="000323CD">
        <w:trPr>
          <w:trHeight w:val="94"/>
          <w:jc w:val="center"/>
        </w:trPr>
        <w:tc>
          <w:tcPr>
            <w:tcW w:w="937" w:type="dxa"/>
            <w:vMerge w:val="restart"/>
            <w:vAlign w:val="center"/>
            <w:hideMark/>
          </w:tcPr>
          <w:p w:rsidR="00AE0549" w:rsidRPr="00A604A3" w:rsidRDefault="00AE0549" w:rsidP="000323CD">
            <w:pPr>
              <w:pStyle w:val="Tabletext"/>
              <w:rPr>
                <w:i/>
                <w:iCs/>
                <w:lang w:eastAsia="zh-CN"/>
              </w:rPr>
            </w:pPr>
            <w:r w:rsidRPr="00A604A3">
              <w:rPr>
                <w:i/>
                <w:iCs/>
                <w:lang w:eastAsia="zh-CN"/>
              </w:rPr>
              <w:t>7OS</w:t>
            </w:r>
          </w:p>
        </w:tc>
        <w:tc>
          <w:tcPr>
            <w:tcW w:w="945" w:type="dxa"/>
            <w:vMerge w:val="restart"/>
            <w:vAlign w:val="center"/>
            <w:hideMark/>
          </w:tcPr>
          <w:p w:rsidR="00AE0549" w:rsidRPr="00A604A3" w:rsidRDefault="00AE0549" w:rsidP="000323CD">
            <w:pPr>
              <w:pStyle w:val="Tabletext"/>
              <w:rPr>
                <w:lang w:eastAsia="zh-CN"/>
              </w:rPr>
            </w:pPr>
            <w:r w:rsidRPr="00A604A3">
              <w:rPr>
                <w:lang w:eastAsia="zh-CN"/>
              </w:rPr>
              <w:t>Average case</w:t>
            </w:r>
          </w:p>
        </w:tc>
        <w:tc>
          <w:tcPr>
            <w:tcW w:w="1077" w:type="dxa"/>
            <w:vAlign w:val="center"/>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572" w:type="dxa"/>
            <w:vAlign w:val="center"/>
          </w:tcPr>
          <w:p w:rsidR="00AE0549" w:rsidRPr="00A604A3" w:rsidRDefault="00AE0549" w:rsidP="000323CD">
            <w:pPr>
              <w:pStyle w:val="Tabletext"/>
              <w:jc w:val="center"/>
              <w:rPr>
                <w:lang w:eastAsia="zh-CN"/>
              </w:rPr>
            </w:pPr>
            <w:r w:rsidRPr="00A604A3">
              <w:rPr>
                <w:lang w:eastAsia="zh-CN"/>
              </w:rPr>
              <w:t>2.48</w:t>
            </w:r>
          </w:p>
        </w:tc>
        <w:tc>
          <w:tcPr>
            <w:tcW w:w="1560" w:type="dxa"/>
            <w:vAlign w:val="center"/>
          </w:tcPr>
          <w:p w:rsidR="00AE0549" w:rsidRPr="00A604A3" w:rsidRDefault="00AE0549" w:rsidP="000323CD">
            <w:pPr>
              <w:pStyle w:val="Tabletext"/>
              <w:jc w:val="center"/>
              <w:rPr>
                <w:lang w:eastAsia="zh-CN"/>
              </w:rPr>
            </w:pPr>
            <w:r w:rsidRPr="00A604A3">
              <w:rPr>
                <w:lang w:eastAsia="zh-CN"/>
              </w:rPr>
              <w:t>2.81</w:t>
            </w:r>
          </w:p>
        </w:tc>
      </w:tr>
      <w:tr w:rsidR="00AE0549" w:rsidRPr="00A604A3" w:rsidTr="000323CD">
        <w:trPr>
          <w:trHeight w:val="125"/>
          <w:jc w:val="center"/>
        </w:trPr>
        <w:tc>
          <w:tcPr>
            <w:tcW w:w="937" w:type="dxa"/>
            <w:vMerge/>
            <w:vAlign w:val="center"/>
            <w:hideMark/>
          </w:tcPr>
          <w:p w:rsidR="00AE0549" w:rsidRPr="00A604A3" w:rsidRDefault="00AE0549" w:rsidP="000323CD">
            <w:pPr>
              <w:pStyle w:val="Tabletext"/>
              <w:rPr>
                <w:i/>
                <w:iCs/>
                <w:lang w:eastAsia="zh-CN"/>
              </w:rPr>
            </w:pPr>
          </w:p>
        </w:tc>
        <w:tc>
          <w:tcPr>
            <w:tcW w:w="945" w:type="dxa"/>
            <w:vMerge/>
            <w:vAlign w:val="center"/>
            <w:hideMark/>
          </w:tcPr>
          <w:p w:rsidR="00AE0549" w:rsidRPr="00A604A3" w:rsidRDefault="00AE0549" w:rsidP="000323CD">
            <w:pPr>
              <w:pStyle w:val="Tabletext"/>
              <w:rPr>
                <w:lang w:eastAsia="zh-CN"/>
              </w:rPr>
            </w:pPr>
          </w:p>
        </w:tc>
        <w:tc>
          <w:tcPr>
            <w:tcW w:w="1077" w:type="dxa"/>
            <w:vAlign w:val="center"/>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572" w:type="dxa"/>
            <w:vAlign w:val="center"/>
          </w:tcPr>
          <w:p w:rsidR="00AE0549" w:rsidRPr="00A604A3" w:rsidRDefault="00AE0549" w:rsidP="000323CD">
            <w:pPr>
              <w:pStyle w:val="Tabletext"/>
              <w:jc w:val="center"/>
              <w:rPr>
                <w:rFonts w:eastAsiaTheme="minorEastAsia"/>
                <w:lang w:eastAsia="zh-CN"/>
              </w:rPr>
            </w:pPr>
            <w:r w:rsidRPr="00A604A3">
              <w:rPr>
                <w:rFonts w:eastAsiaTheme="minorEastAsia"/>
                <w:lang w:eastAsia="zh-CN"/>
              </w:rPr>
              <w:t>3.14</w:t>
            </w:r>
          </w:p>
        </w:tc>
        <w:tc>
          <w:tcPr>
            <w:tcW w:w="1560" w:type="dxa"/>
            <w:vAlign w:val="center"/>
          </w:tcPr>
          <w:p w:rsidR="00AE0549" w:rsidRPr="00A604A3" w:rsidRDefault="00AE0549" w:rsidP="000323CD">
            <w:pPr>
              <w:pStyle w:val="Tabletext"/>
              <w:jc w:val="center"/>
            </w:pPr>
            <w:r w:rsidRPr="00A604A3">
              <w:t>3.38</w:t>
            </w:r>
          </w:p>
        </w:tc>
      </w:tr>
    </w:tbl>
    <w:p w:rsidR="00AE0549" w:rsidRPr="00A604A3" w:rsidRDefault="00AE0549" w:rsidP="000323CD">
      <w:pPr>
        <w:pStyle w:val="Tablefin"/>
      </w:pPr>
    </w:p>
    <w:p w:rsidR="00AE0549" w:rsidRPr="00A604A3" w:rsidRDefault="00B13AB2" w:rsidP="00B13AB2">
      <w:pPr>
        <w:pStyle w:val="Heading5"/>
        <w:rPr>
          <w:rFonts w:eastAsia="MS Mincho"/>
        </w:rPr>
      </w:pPr>
      <w:bookmarkStart w:id="476" w:name="_Ref31711222"/>
      <w:r w:rsidRPr="00A604A3">
        <w:rPr>
          <w:rFonts w:eastAsia="MS Mincho"/>
        </w:rPr>
        <w:t>II.5.7.4.2</w:t>
      </w:r>
      <w:r w:rsidRPr="00A604A3">
        <w:rPr>
          <w:rFonts w:eastAsia="MS Mincho"/>
        </w:rPr>
        <w:tab/>
      </w:r>
      <w:r w:rsidR="00AE0549" w:rsidRPr="00A604A3">
        <w:rPr>
          <w:rFonts w:eastAsia="MS Mincho"/>
        </w:rPr>
        <w:t>Uplink LTE UP Latency calculations</w:t>
      </w:r>
      <w:bookmarkEnd w:id="476"/>
    </w:p>
    <w:p w:rsidR="00AE0549" w:rsidRPr="00A604A3" w:rsidRDefault="00AE0549" w:rsidP="00B13AB2">
      <w:r w:rsidRPr="00A604A3">
        <w:t>The assumptions at the uplink procedure are given in the Table 105.</w:t>
      </w:r>
    </w:p>
    <w:p w:rsidR="00B13AB2" w:rsidRPr="00A604A3" w:rsidRDefault="00B13AB2" w:rsidP="00B13AB2">
      <w:pPr>
        <w:pStyle w:val="TableNo"/>
        <w:rPr>
          <w:rFonts w:eastAsia="MS Mincho"/>
        </w:rPr>
      </w:pPr>
      <w:bookmarkStart w:id="477" w:name="_Ref31711891"/>
      <w:bookmarkStart w:id="478" w:name="_Toc32066428"/>
      <w:r w:rsidRPr="00A604A3">
        <w:rPr>
          <w:rFonts w:eastAsia="MS Mincho"/>
        </w:rPr>
        <w:t>Table 105</w:t>
      </w:r>
    </w:p>
    <w:p w:rsidR="00B13AB2" w:rsidRPr="00A604A3" w:rsidRDefault="00B13AB2" w:rsidP="00B13AB2">
      <w:pPr>
        <w:pStyle w:val="Tabletitle"/>
        <w:rPr>
          <w:rFonts w:eastAsia="MS Mincho"/>
        </w:rPr>
      </w:pPr>
      <w:r w:rsidRPr="00A604A3">
        <w:rPr>
          <w:rFonts w:eastAsia="MS Mincho"/>
        </w:rPr>
        <w:t>UL user plane procedure for LTE (Table 5.7.1.2.2-1 in TR 37.910)</w:t>
      </w:r>
      <w:bookmarkEnd w:id="477"/>
      <w:bookmarkEnd w:id="478"/>
    </w:p>
    <w:tbl>
      <w:tblPr>
        <w:tblStyle w:val="TableGrid"/>
        <w:tblW w:w="9516" w:type="dxa"/>
        <w:jc w:val="center"/>
        <w:tblLook w:val="04A0" w:firstRow="1" w:lastRow="0" w:firstColumn="1" w:lastColumn="0" w:noHBand="0" w:noVBand="1"/>
      </w:tblPr>
      <w:tblGrid>
        <w:gridCol w:w="594"/>
        <w:gridCol w:w="2376"/>
        <w:gridCol w:w="3431"/>
        <w:gridCol w:w="3115"/>
      </w:tblGrid>
      <w:tr w:rsidR="00AE0549" w:rsidRPr="00A604A3" w:rsidTr="00B13AB2">
        <w:trPr>
          <w:cantSplit/>
          <w:tblHeader/>
          <w:jc w:val="center"/>
        </w:trPr>
        <w:tc>
          <w:tcPr>
            <w:tcW w:w="594"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Step</w:t>
            </w:r>
          </w:p>
        </w:tc>
        <w:tc>
          <w:tcPr>
            <w:tcW w:w="2376"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Component</w:t>
            </w:r>
          </w:p>
        </w:tc>
        <w:tc>
          <w:tcPr>
            <w:tcW w:w="3431"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Notations</w:t>
            </w:r>
          </w:p>
        </w:tc>
        <w:tc>
          <w:tcPr>
            <w:tcW w:w="3115" w:type="dxa"/>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Value</w:t>
            </w:r>
          </w:p>
        </w:tc>
      </w:tr>
      <w:tr w:rsidR="00AE0549" w:rsidRPr="006853C6"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1</w:t>
            </w:r>
          </w:p>
        </w:tc>
        <w:tc>
          <w:tcPr>
            <w:tcW w:w="2376" w:type="dxa"/>
            <w:noWrap/>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UL data transfer</w:t>
            </w:r>
          </w:p>
        </w:tc>
        <w:tc>
          <w:tcPr>
            <w:tcW w:w="3431" w:type="dxa"/>
            <w:noWrap/>
          </w:tcPr>
          <w:p w:rsidR="00AE0549" w:rsidRPr="006853C6" w:rsidRDefault="00AE0549" w:rsidP="00470885">
            <w:pPr>
              <w:pStyle w:val="Tabletext"/>
              <w:rPr>
                <w:color w:val="000000" w:themeColor="text1"/>
                <w:sz w:val="18"/>
                <w:szCs w:val="18"/>
                <w:lang w:val="fr-CH" w:eastAsia="zh-CN"/>
              </w:rPr>
            </w:pPr>
            <w:r w:rsidRPr="006853C6">
              <w:rPr>
                <w:i/>
                <w:color w:val="000000" w:themeColor="text1"/>
                <w:sz w:val="18"/>
                <w:szCs w:val="18"/>
                <w:lang w:val="fr-CH" w:eastAsia="zh-CN"/>
              </w:rPr>
              <w:t>T</w:t>
            </w:r>
            <w:r w:rsidRPr="006853C6">
              <w:rPr>
                <w:color w:val="000000" w:themeColor="text1"/>
                <w:sz w:val="18"/>
                <w:szCs w:val="18"/>
                <w:vertAlign w:val="subscript"/>
                <w:lang w:val="fr-CH" w:eastAsia="zh-CN"/>
              </w:rPr>
              <w:t>1</w:t>
            </w:r>
            <w:r w:rsidRPr="006853C6">
              <w:rPr>
                <w:color w:val="000000" w:themeColor="text1"/>
                <w:sz w:val="18"/>
                <w:szCs w:val="18"/>
                <w:lang w:val="fr-CH" w:eastAsia="zh-CN"/>
              </w:rPr>
              <w:t xml:space="preserve"> = (</w:t>
            </w:r>
            <w:r w:rsidRPr="006853C6">
              <w:rPr>
                <w:i/>
                <w:color w:val="000000" w:themeColor="text1"/>
                <w:sz w:val="18"/>
                <w:szCs w:val="18"/>
                <w:lang w:val="fr-CH" w:eastAsia="zh-CN"/>
              </w:rPr>
              <w:t>t</w:t>
            </w:r>
            <w:r w:rsidRPr="006853C6">
              <w:rPr>
                <w:color w:val="000000" w:themeColor="text1"/>
                <w:sz w:val="18"/>
                <w:szCs w:val="18"/>
                <w:vertAlign w:val="subscript"/>
                <w:lang w:val="fr-CH" w:eastAsia="zh-CN"/>
              </w:rPr>
              <w:t>UE,tx</w:t>
            </w:r>
            <w:r w:rsidRPr="006853C6">
              <w:rPr>
                <w:color w:val="000000" w:themeColor="text1"/>
                <w:sz w:val="18"/>
                <w:szCs w:val="18"/>
                <w:lang w:val="fr-CH" w:eastAsia="zh-CN"/>
              </w:rPr>
              <w:t xml:space="preserve"> + </w:t>
            </w:r>
            <w:r w:rsidRPr="006853C6">
              <w:rPr>
                <w:i/>
                <w:color w:val="000000" w:themeColor="text1"/>
                <w:sz w:val="18"/>
                <w:szCs w:val="18"/>
                <w:lang w:val="fr-CH" w:eastAsia="zh-CN"/>
              </w:rPr>
              <w:t>t</w:t>
            </w:r>
            <w:r w:rsidRPr="006853C6">
              <w:rPr>
                <w:color w:val="000000" w:themeColor="text1"/>
                <w:sz w:val="18"/>
                <w:szCs w:val="18"/>
                <w:vertAlign w:val="subscript"/>
                <w:lang w:val="fr-CH" w:eastAsia="zh-CN"/>
              </w:rPr>
              <w:t>FA,UL</w:t>
            </w:r>
            <w:r w:rsidRPr="006853C6">
              <w:rPr>
                <w:color w:val="000000" w:themeColor="text1"/>
                <w:sz w:val="18"/>
                <w:szCs w:val="18"/>
                <w:lang w:val="fr-CH" w:eastAsia="zh-CN"/>
              </w:rPr>
              <w:t>)</w:t>
            </w:r>
            <w:r w:rsidRPr="006853C6">
              <w:rPr>
                <w:color w:val="000000" w:themeColor="text1"/>
                <w:sz w:val="18"/>
                <w:szCs w:val="18"/>
                <w:vertAlign w:val="subscript"/>
                <w:lang w:val="fr-CH" w:eastAsia="zh-CN"/>
              </w:rPr>
              <w:t xml:space="preserve"> </w:t>
            </w:r>
            <w:r w:rsidRPr="006853C6">
              <w:rPr>
                <w:color w:val="000000" w:themeColor="text1"/>
                <w:sz w:val="18"/>
                <w:szCs w:val="18"/>
                <w:lang w:val="fr-CH" w:eastAsia="zh-CN"/>
              </w:rPr>
              <w:t xml:space="preserve">+ </w:t>
            </w:r>
            <w:r w:rsidRPr="006853C6">
              <w:rPr>
                <w:i/>
                <w:color w:val="000000" w:themeColor="text1"/>
                <w:sz w:val="18"/>
                <w:szCs w:val="18"/>
                <w:lang w:val="fr-CH" w:eastAsia="zh-CN"/>
              </w:rPr>
              <w:t>t</w:t>
            </w:r>
            <w:r w:rsidRPr="006853C6">
              <w:rPr>
                <w:color w:val="000000" w:themeColor="text1"/>
                <w:sz w:val="18"/>
                <w:szCs w:val="18"/>
                <w:vertAlign w:val="subscript"/>
                <w:lang w:val="fr-CH" w:eastAsia="zh-CN"/>
              </w:rPr>
              <w:t xml:space="preserve">UL_duration </w:t>
            </w:r>
            <w:r w:rsidRPr="006853C6">
              <w:rPr>
                <w:color w:val="000000" w:themeColor="text1"/>
                <w:sz w:val="18"/>
                <w:szCs w:val="18"/>
                <w:lang w:val="fr-CH" w:eastAsia="zh-CN"/>
              </w:rPr>
              <w:t xml:space="preserve">+ </w:t>
            </w:r>
            <w:r w:rsidRPr="006853C6">
              <w:rPr>
                <w:i/>
                <w:color w:val="000000" w:themeColor="text1"/>
                <w:sz w:val="18"/>
                <w:szCs w:val="18"/>
                <w:lang w:val="fr-CH" w:eastAsia="zh-CN"/>
              </w:rPr>
              <w:t>t</w:t>
            </w:r>
            <w:r w:rsidRPr="006853C6">
              <w:rPr>
                <w:color w:val="000000" w:themeColor="text1"/>
                <w:sz w:val="18"/>
                <w:szCs w:val="18"/>
                <w:vertAlign w:val="subscript"/>
                <w:lang w:val="fr-CH" w:eastAsia="zh-CN"/>
              </w:rPr>
              <w:t>BS,rx</w:t>
            </w:r>
          </w:p>
        </w:tc>
        <w:tc>
          <w:tcPr>
            <w:tcW w:w="3115" w:type="dxa"/>
          </w:tcPr>
          <w:p w:rsidR="00AE0549" w:rsidRPr="006853C6" w:rsidRDefault="00AE0549" w:rsidP="00470885">
            <w:pPr>
              <w:pStyle w:val="Tabletext"/>
              <w:ind w:leftChars="71" w:left="170"/>
              <w:rPr>
                <w:i/>
                <w:color w:val="000000" w:themeColor="text1"/>
                <w:sz w:val="18"/>
                <w:szCs w:val="18"/>
                <w:lang w:val="fr-CH" w:eastAsia="zh-CN"/>
              </w:rPr>
            </w:pP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1.1</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UE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UE,tx</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The time interval between the data is arrived, and packet is generated;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1.2</w:t>
            </w:r>
          </w:p>
        </w:tc>
        <w:tc>
          <w:tcPr>
            <w:tcW w:w="2376" w:type="dxa"/>
            <w:hideMark/>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rPr>
              <w:t>UL Frame alignment</w:t>
            </w:r>
            <w:r w:rsidRPr="00A604A3">
              <w:rPr>
                <w:color w:val="000000" w:themeColor="text1"/>
                <w:sz w:val="18"/>
                <w:szCs w:val="18"/>
                <w:lang w:eastAsia="zh-CN"/>
              </w:rPr>
              <w:t xml:space="preserve"> (transmission alignment)</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FA,UL</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It includes frame alignment time, and the waiting time for next available UL slot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w:t>
            </w:r>
          </w:p>
          <w:p w:rsidR="00AE0549" w:rsidRPr="00A604A3" w:rsidRDefault="00AE0549" w:rsidP="00470885">
            <w:pPr>
              <w:pStyle w:val="Tabletext"/>
              <w:ind w:leftChars="71" w:left="170"/>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is the frame alignment time within the current UL slot</w:t>
            </w:r>
            <w:r w:rsidRPr="00A604A3">
              <w:rPr>
                <w:i/>
                <w:color w:val="000000" w:themeColor="text1"/>
                <w:sz w:val="18"/>
                <w:szCs w:val="18"/>
                <w:lang w:eastAsia="zh-CN"/>
              </w:rPr>
              <w:t>.</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 xml:space="preserve"> is the waiting time for next available UL slot if the current slot is not UL slot.</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1.3</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TTI for UL data packet transmission</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UL_duration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1.4</w:t>
            </w:r>
          </w:p>
        </w:tc>
        <w:tc>
          <w:tcPr>
            <w:tcW w:w="2376" w:type="dxa"/>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BS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BS,rx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PUSCH is received and the data is decoded;</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lastRenderedPageBreak/>
              <w:t>2</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HARQ retransmission</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 xml:space="preserve">HARQ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2</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1</w:t>
            </w:r>
          </w:p>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2</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BS,tx</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FA,DL</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DL_duration</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UE,rx</w:t>
            </w:r>
            <w:r w:rsidRPr="00A604A3">
              <w:rPr>
                <w:color w:val="000000" w:themeColor="text1"/>
                <w:sz w:val="18"/>
                <w:szCs w:val="18"/>
                <w:lang w:eastAsia="zh-CN"/>
              </w:rPr>
              <w:t xml:space="preserve"> (For Steps 2.1 to 2.4)</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2.1</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BS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BS,tx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data is decoded, and PDCCH preparation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2.2</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DL Frame alignment</w:t>
            </w:r>
            <w:r w:rsidRPr="00A604A3">
              <w:rPr>
                <w:color w:val="000000" w:themeColor="text1"/>
                <w:sz w:val="18"/>
                <w:szCs w:val="18"/>
                <w:lang w:eastAsia="zh-CN"/>
              </w:rPr>
              <w:t xml:space="preserve"> (transmission alignment)</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FA,DL</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 xml:space="preserve">It includes frame alignment time, and the waiting time for next available DL slot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is the frame alignment time within the current DL slot; </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 xml:space="preserve"> is the waiting time for next available DL slot if the current slot is not DL slot</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2.3</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TTI for PDCCH transmission</w:t>
            </w:r>
          </w:p>
        </w:tc>
        <w:tc>
          <w:tcPr>
            <w:tcW w:w="3431" w:type="dxa"/>
          </w:tcPr>
          <w:p w:rsidR="00AE0549" w:rsidRPr="00A604A3" w:rsidRDefault="00AE0549" w:rsidP="00470885">
            <w:pPr>
              <w:pStyle w:val="Tabletext"/>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DL_duration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 OFDM symbols for PDCCH scheduling the retransmission.</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2.4</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UE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UE,rx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PDCCH is received and the decoded.</w:t>
            </w:r>
          </w:p>
        </w:tc>
        <w:tc>
          <w:tcPr>
            <w:tcW w:w="3115" w:type="dxa"/>
          </w:tcPr>
          <w:p w:rsidR="00AE0549" w:rsidRPr="00A604A3" w:rsidRDefault="00AE0549" w:rsidP="00470885">
            <w:pPr>
              <w:pStyle w:val="Tabletext"/>
              <w:ind w:leftChars="71" w:left="170"/>
              <w:rPr>
                <w:i/>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2.5</w:t>
            </w:r>
          </w:p>
        </w:tc>
        <w:tc>
          <w:tcPr>
            <w:tcW w:w="2376" w:type="dxa"/>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Repeat UL data transfer from 1.1 to 1.4</w:t>
            </w:r>
          </w:p>
        </w:tc>
        <w:tc>
          <w:tcPr>
            <w:tcW w:w="3431" w:type="dxa"/>
          </w:tcPr>
          <w:p w:rsidR="00AE0549" w:rsidRPr="00A604A3" w:rsidRDefault="00AE0549" w:rsidP="00470885">
            <w:pPr>
              <w:pStyle w:val="Tabletext"/>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1</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rPr>
            </w:pP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Total one-way user plane latency</w:t>
            </w:r>
            <w:r w:rsidRPr="00A604A3">
              <w:rPr>
                <w:color w:val="000000" w:themeColor="text1"/>
                <w:sz w:val="18"/>
                <w:szCs w:val="18"/>
                <w:lang w:eastAsia="zh-CN"/>
              </w:rPr>
              <w:t xml:space="preserve"> for UL</w:t>
            </w:r>
          </w:p>
        </w:tc>
        <w:tc>
          <w:tcPr>
            <w:tcW w:w="6546" w:type="dxa"/>
            <w:gridSpan w:val="2"/>
            <w:noWrap/>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UP</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1</w:t>
            </w:r>
            <w:r w:rsidRPr="00A604A3">
              <w:rPr>
                <w:color w:val="000000" w:themeColor="text1"/>
                <w:sz w:val="18"/>
                <w:szCs w:val="18"/>
                <w:lang w:eastAsia="zh-CN"/>
              </w:rPr>
              <w:t xml:space="preserve"> + </w:t>
            </w:r>
            <w:r w:rsidRPr="00A604A3">
              <w:rPr>
                <w:i/>
                <w:color w:val="000000" w:themeColor="text1"/>
                <w:sz w:val="18"/>
                <w:szCs w:val="18"/>
                <w:lang w:eastAsia="zh-CN"/>
              </w:rPr>
              <w:t>n</w:t>
            </w:r>
            <w:r w:rsidRPr="00A604A3">
              <w:rPr>
                <w:color w:val="000000" w:themeColor="text1"/>
                <w:sz w:val="18"/>
                <w:szCs w:val="18"/>
                <w:lang w:eastAsia="zh-CN"/>
              </w:rPr>
              <w:t>×</w:t>
            </w:r>
            <w:r w:rsidRPr="00A604A3">
              <w:rPr>
                <w:i/>
                <w:color w:val="000000" w:themeColor="text1"/>
                <w:sz w:val="18"/>
                <w:szCs w:val="18"/>
                <w:lang w:eastAsia="zh-CN"/>
              </w:rPr>
              <w:t>T</w:t>
            </w:r>
            <w:r w:rsidRPr="00A604A3">
              <w:rPr>
                <w:color w:val="000000" w:themeColor="text1"/>
                <w:sz w:val="18"/>
                <w:szCs w:val="18"/>
                <w:vertAlign w:val="subscript"/>
                <w:lang w:eastAsia="zh-CN"/>
              </w:rPr>
              <w:t>HARQ</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where </w:t>
            </w:r>
            <w:r w:rsidRPr="00A604A3">
              <w:rPr>
                <w:i/>
                <w:color w:val="000000" w:themeColor="text1"/>
                <w:sz w:val="18"/>
                <w:szCs w:val="18"/>
                <w:lang w:eastAsia="zh-CN"/>
              </w:rPr>
              <w:t>n</w:t>
            </w:r>
            <w:r w:rsidRPr="00A604A3">
              <w:rPr>
                <w:color w:val="000000" w:themeColor="text1"/>
                <w:sz w:val="18"/>
                <w:szCs w:val="18"/>
                <w:lang w:eastAsia="zh-CN"/>
              </w:rPr>
              <w:t xml:space="preserve"> is the number of re-transmissions (</w:t>
            </w:r>
            <w:r w:rsidRPr="00A604A3">
              <w:rPr>
                <w:i/>
                <w:color w:val="000000" w:themeColor="text1"/>
                <w:sz w:val="18"/>
                <w:szCs w:val="18"/>
                <w:lang w:eastAsia="zh-CN"/>
              </w:rPr>
              <w:t>n</w:t>
            </w:r>
            <w:r w:rsidRPr="00A604A3">
              <w:rPr>
                <w:color w:val="000000" w:themeColor="text1"/>
                <w:sz w:val="18"/>
                <w:szCs w:val="18"/>
                <w:lang w:eastAsia="zh-CN"/>
              </w:rPr>
              <w:t>≥0)</w:t>
            </w:r>
          </w:p>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Average T</w:t>
            </w:r>
            <w:r w:rsidRPr="00A604A3">
              <w:rPr>
                <w:color w:val="000000" w:themeColor="text1"/>
                <w:sz w:val="18"/>
                <w:szCs w:val="18"/>
                <w:vertAlign w:val="subscript"/>
                <w:lang w:eastAsia="zh-CN"/>
              </w:rPr>
              <w:t>UP</w:t>
            </w:r>
            <w:r w:rsidRPr="00A604A3">
              <w:rPr>
                <w:i/>
                <w:color w:val="000000" w:themeColor="text1"/>
                <w:sz w:val="18"/>
                <w:szCs w:val="18"/>
                <w:lang w:eastAsia="zh-CN"/>
              </w:rPr>
              <w:t>= T</w:t>
            </w:r>
            <w:r w:rsidRPr="00A604A3">
              <w:rPr>
                <w:color w:val="000000" w:themeColor="text1"/>
                <w:sz w:val="18"/>
                <w:szCs w:val="18"/>
                <w:vertAlign w:val="subscript"/>
                <w:lang w:eastAsia="zh-CN"/>
              </w:rPr>
              <w:t>1</w:t>
            </w:r>
            <w:r w:rsidRPr="00A604A3">
              <w:rPr>
                <w:i/>
                <w:color w:val="000000" w:themeColor="text1"/>
                <w:sz w:val="18"/>
                <w:szCs w:val="18"/>
                <w:lang w:eastAsia="zh-CN"/>
              </w:rPr>
              <w:t xml:space="preserve"> +</w:t>
            </w:r>
            <w:r w:rsidRPr="00A604A3">
              <w:rPr>
                <w:color w:val="000000" w:themeColor="text1"/>
                <w:sz w:val="18"/>
                <w:szCs w:val="18"/>
                <w:lang w:eastAsia="zh-CN"/>
              </w:rPr>
              <w:t xml:space="preserve"> </w:t>
            </w:r>
            <w:r w:rsidRPr="00A604A3">
              <w:rPr>
                <w:i/>
                <w:color w:val="000000" w:themeColor="text1"/>
                <w:sz w:val="18"/>
                <w:szCs w:val="18"/>
                <w:lang w:eastAsia="zh-CN"/>
              </w:rPr>
              <w:t>p</w:t>
            </w:r>
            <w:r w:rsidRPr="00A604A3">
              <w:rPr>
                <w:color w:val="000000" w:themeColor="text1"/>
                <w:sz w:val="18"/>
                <w:szCs w:val="18"/>
                <w:lang w:eastAsia="zh-CN"/>
              </w:rPr>
              <w:t>×</w:t>
            </w:r>
            <w:r w:rsidRPr="00A604A3">
              <w:rPr>
                <w:i/>
                <w:color w:val="000000" w:themeColor="text1"/>
                <w:sz w:val="18"/>
                <w:szCs w:val="18"/>
                <w:lang w:eastAsia="zh-CN"/>
              </w:rPr>
              <w:t>T</w:t>
            </w:r>
            <w:r w:rsidRPr="00A604A3">
              <w:rPr>
                <w:color w:val="000000" w:themeColor="text1"/>
                <w:sz w:val="18"/>
                <w:szCs w:val="18"/>
                <w:vertAlign w:val="subscript"/>
                <w:lang w:eastAsia="zh-CN"/>
              </w:rPr>
              <w:t>HARQ</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 xml:space="preserve">where </w:t>
            </w:r>
            <w:r w:rsidRPr="00A604A3">
              <w:rPr>
                <w:i/>
                <w:color w:val="000000" w:themeColor="text1"/>
                <w:sz w:val="18"/>
                <w:szCs w:val="18"/>
                <w:lang w:eastAsia="zh-CN"/>
              </w:rPr>
              <w:t>p</w:t>
            </w:r>
            <w:r w:rsidRPr="00A604A3">
              <w:rPr>
                <w:color w:val="000000" w:themeColor="text1"/>
                <w:sz w:val="18"/>
                <w:szCs w:val="18"/>
                <w:lang w:eastAsia="zh-CN"/>
              </w:rPr>
              <w:t xml:space="preserve"> is the probability of re-transmissions</w:t>
            </w:r>
          </w:p>
        </w:tc>
      </w:tr>
    </w:tbl>
    <w:p w:rsidR="00AE0549" w:rsidRPr="00A604A3" w:rsidRDefault="00AE0549" w:rsidP="00B13AB2">
      <w:pPr>
        <w:pStyle w:val="Tablefin"/>
      </w:pPr>
    </w:p>
    <w:p w:rsidR="00AE0549" w:rsidRPr="00A604A3" w:rsidRDefault="00AE0549" w:rsidP="00B13AB2">
      <w:r w:rsidRPr="00A604A3">
        <w:t xml:space="preserve">Based on the above assumptions, UL user plane latency has been calculated for FDD and TDD (Table 106). For FDD, short TTIs are considered with 2OS, 3OS and 7OS for initial transmission error probability of p=0 and p=0.1. </w:t>
      </w:r>
    </w:p>
    <w:p w:rsidR="002141FC" w:rsidRPr="00A604A3" w:rsidRDefault="002141FC" w:rsidP="002141FC">
      <w:pPr>
        <w:pStyle w:val="TableNo"/>
        <w:rPr>
          <w:rFonts w:eastAsia="MS Mincho"/>
        </w:rPr>
      </w:pPr>
      <w:bookmarkStart w:id="479" w:name="_Ref31711970"/>
      <w:bookmarkStart w:id="480" w:name="_Toc32066429"/>
      <w:r w:rsidRPr="00A604A3">
        <w:rPr>
          <w:rFonts w:eastAsia="MS Mincho"/>
        </w:rPr>
        <w:t>Table 106</w:t>
      </w:r>
    </w:p>
    <w:p w:rsidR="007B169C" w:rsidRPr="00A604A3" w:rsidRDefault="007B169C" w:rsidP="002141FC">
      <w:pPr>
        <w:pStyle w:val="Tabletitle"/>
        <w:rPr>
          <w:rFonts w:eastAsia="MS Mincho"/>
        </w:rPr>
      </w:pPr>
      <w:r w:rsidRPr="00A604A3">
        <w:rPr>
          <w:rFonts w:eastAsia="MS Mincho"/>
        </w:rPr>
        <w:t>UL user plane latency for LTE FDD</w:t>
      </w:r>
      <w:bookmarkEnd w:id="479"/>
      <w:bookmarkEnd w:id="480"/>
    </w:p>
    <w:tbl>
      <w:tblPr>
        <w:tblStyle w:val="TableGrid"/>
        <w:tblW w:w="3850" w:type="dxa"/>
        <w:jc w:val="center"/>
        <w:tblLook w:val="04A0" w:firstRow="1" w:lastRow="0" w:firstColumn="1" w:lastColumn="0" w:noHBand="0" w:noVBand="1"/>
      </w:tblPr>
      <w:tblGrid>
        <w:gridCol w:w="961"/>
        <w:gridCol w:w="1172"/>
        <w:gridCol w:w="1717"/>
      </w:tblGrid>
      <w:tr w:rsidR="00AE0549" w:rsidRPr="00A604A3" w:rsidTr="002141FC">
        <w:trPr>
          <w:trHeight w:val="293"/>
          <w:jc w:val="center"/>
        </w:trPr>
        <w:tc>
          <w:tcPr>
            <w:tcW w:w="943" w:type="dxa"/>
            <w:hideMark/>
          </w:tcPr>
          <w:p w:rsidR="00AE0549" w:rsidRPr="00A604A3" w:rsidRDefault="00AE0549" w:rsidP="002141FC">
            <w:pPr>
              <w:pStyle w:val="Tablehead"/>
              <w:rPr>
                <w:lang w:eastAsia="zh-CN"/>
              </w:rPr>
            </w:pPr>
            <w:r w:rsidRPr="00A604A3">
              <w:rPr>
                <w:lang w:eastAsia="zh-CN"/>
              </w:rPr>
              <w:t>TTI duration</w:t>
            </w:r>
          </w:p>
        </w:tc>
        <w:tc>
          <w:tcPr>
            <w:tcW w:w="1034" w:type="dxa"/>
            <w:hideMark/>
          </w:tcPr>
          <w:p w:rsidR="00AE0549" w:rsidRPr="00A604A3" w:rsidRDefault="00AE0549" w:rsidP="002141FC">
            <w:pPr>
              <w:pStyle w:val="Tablehead"/>
              <w:rPr>
                <w:lang w:eastAsia="zh-CN"/>
              </w:rPr>
            </w:pPr>
            <w:r w:rsidRPr="00A604A3">
              <w:rPr>
                <w:lang w:eastAsia="zh-CN"/>
              </w:rPr>
              <w:t>Error probability</w:t>
            </w:r>
          </w:p>
        </w:tc>
        <w:tc>
          <w:tcPr>
            <w:tcW w:w="1873" w:type="dxa"/>
            <w:hideMark/>
          </w:tcPr>
          <w:p w:rsidR="00AE0549" w:rsidRPr="00A604A3" w:rsidRDefault="00AE0549" w:rsidP="002141FC">
            <w:pPr>
              <w:pStyle w:val="Tablehead"/>
              <w:rPr>
                <w:lang w:eastAsia="zh-CN"/>
              </w:rPr>
            </w:pPr>
            <w:r w:rsidRPr="00A604A3">
              <w:rPr>
                <w:lang w:eastAsia="zh-CN"/>
              </w:rPr>
              <w:t>UL UP latency (ms)</w:t>
            </w:r>
          </w:p>
        </w:tc>
      </w:tr>
      <w:tr w:rsidR="00AE0549" w:rsidRPr="00A604A3" w:rsidTr="002141FC">
        <w:trPr>
          <w:trHeight w:val="185"/>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2OS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rPr>
                <w:rFonts w:eastAsiaTheme="minorEastAsia"/>
                <w:lang w:eastAsia="zh-CN"/>
              </w:rPr>
            </w:pPr>
            <w:r w:rsidRPr="00A604A3">
              <w:rPr>
                <w:rFonts w:eastAsiaTheme="minorEastAsia"/>
                <w:lang w:eastAsia="zh-CN"/>
              </w:rPr>
              <w:t>0.69</w:t>
            </w:r>
          </w:p>
        </w:tc>
      </w:tr>
      <w:tr w:rsidR="00AE0549" w:rsidRPr="00A604A3" w:rsidTr="002141FC">
        <w:trPr>
          <w:trHeight w:val="131"/>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0.83</w:t>
            </w:r>
          </w:p>
        </w:tc>
      </w:tr>
      <w:tr w:rsidR="00AE0549" w:rsidRPr="00A604A3" w:rsidTr="002141FC">
        <w:trPr>
          <w:trHeight w:val="220"/>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3OS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pPr>
            <w:r w:rsidRPr="00A604A3">
              <w:t>1.26</w:t>
            </w:r>
          </w:p>
        </w:tc>
      </w:tr>
      <w:tr w:rsidR="00AE0549" w:rsidRPr="00A604A3" w:rsidTr="002141FC">
        <w:trPr>
          <w:trHeight w:val="137"/>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1.48</w:t>
            </w:r>
          </w:p>
        </w:tc>
      </w:tr>
      <w:tr w:rsidR="00AE0549" w:rsidRPr="00A604A3" w:rsidTr="002141FC">
        <w:trPr>
          <w:trHeight w:val="89"/>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7OS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pPr>
            <w:r w:rsidRPr="00A604A3">
              <w:t>2.32</w:t>
            </w:r>
          </w:p>
        </w:tc>
      </w:tr>
      <w:tr w:rsidR="00AE0549" w:rsidRPr="00A604A3" w:rsidTr="002141FC">
        <w:trPr>
          <w:trHeight w:val="177"/>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2.82</w:t>
            </w:r>
          </w:p>
        </w:tc>
      </w:tr>
    </w:tbl>
    <w:p w:rsidR="00AE0549" w:rsidRPr="00A604A3" w:rsidRDefault="00AE0549" w:rsidP="002141FC">
      <w:pPr>
        <w:pStyle w:val="Tablefin"/>
      </w:pPr>
    </w:p>
    <w:p w:rsidR="00AE0549" w:rsidRPr="00A604A3" w:rsidRDefault="00AE0549" w:rsidP="002141FC">
      <w:r w:rsidRPr="00A604A3">
        <w:t>For TDD, 7OS TTI is considered for DSUDD and DSUUD configurations. The average user plane is provided for a large number of calculations with initial transmission error probability of p=0 and p=0.1 (Table 107).</w:t>
      </w:r>
    </w:p>
    <w:p w:rsidR="002141FC" w:rsidRPr="00A604A3" w:rsidRDefault="002141FC" w:rsidP="002141FC">
      <w:pPr>
        <w:pStyle w:val="TableNo"/>
        <w:rPr>
          <w:rFonts w:eastAsia="MS Mincho"/>
        </w:rPr>
      </w:pPr>
      <w:bookmarkStart w:id="481" w:name="_Ref31712038"/>
      <w:bookmarkStart w:id="482" w:name="_Toc32066430"/>
      <w:r w:rsidRPr="00A604A3">
        <w:rPr>
          <w:rFonts w:eastAsia="MS Mincho"/>
        </w:rPr>
        <w:lastRenderedPageBreak/>
        <w:t>Tabl</w:t>
      </w:r>
      <w:r w:rsidR="00B2665B" w:rsidRPr="00A604A3">
        <w:rPr>
          <w:rFonts w:eastAsia="MS Mincho"/>
        </w:rPr>
        <w:t>e 107</w:t>
      </w:r>
    </w:p>
    <w:p w:rsidR="007B169C" w:rsidRPr="00A604A3" w:rsidRDefault="007B169C" w:rsidP="002141FC">
      <w:pPr>
        <w:pStyle w:val="Tabletitle"/>
        <w:rPr>
          <w:rFonts w:eastAsia="MS Mincho"/>
        </w:rPr>
      </w:pPr>
      <w:r w:rsidRPr="00A604A3">
        <w:rPr>
          <w:rFonts w:eastAsia="MS Mincho"/>
        </w:rPr>
        <w:t>UL user plane latency for LTE TDD</w:t>
      </w:r>
      <w:bookmarkEnd w:id="481"/>
      <w:bookmarkEnd w:id="482"/>
    </w:p>
    <w:tbl>
      <w:tblPr>
        <w:tblStyle w:val="TableGrid"/>
        <w:tblW w:w="6091" w:type="dxa"/>
        <w:jc w:val="center"/>
        <w:tblLook w:val="04A0" w:firstRow="1" w:lastRow="0" w:firstColumn="1" w:lastColumn="0" w:noHBand="0" w:noVBand="1"/>
      </w:tblPr>
      <w:tblGrid>
        <w:gridCol w:w="961"/>
        <w:gridCol w:w="1016"/>
        <w:gridCol w:w="1172"/>
        <w:gridCol w:w="1476"/>
        <w:gridCol w:w="1466"/>
      </w:tblGrid>
      <w:tr w:rsidR="00AE0549" w:rsidRPr="00A604A3" w:rsidTr="00B2665B">
        <w:trPr>
          <w:jc w:val="center"/>
        </w:trPr>
        <w:tc>
          <w:tcPr>
            <w:tcW w:w="937" w:type="dxa"/>
            <w:vMerge w:val="restart"/>
            <w:vAlign w:val="center"/>
          </w:tcPr>
          <w:p w:rsidR="00AE0549" w:rsidRPr="00A604A3" w:rsidRDefault="00AE0549" w:rsidP="00B2665B">
            <w:pPr>
              <w:pStyle w:val="Tablehead"/>
              <w:rPr>
                <w:lang w:eastAsia="zh-CN"/>
              </w:rPr>
            </w:pPr>
            <w:r w:rsidRPr="00A604A3">
              <w:rPr>
                <w:lang w:eastAsia="zh-CN"/>
              </w:rPr>
              <w:t>TTI duration</w:t>
            </w:r>
          </w:p>
        </w:tc>
        <w:tc>
          <w:tcPr>
            <w:tcW w:w="945" w:type="dxa"/>
            <w:vMerge w:val="restart"/>
            <w:vAlign w:val="center"/>
          </w:tcPr>
          <w:p w:rsidR="00AE0549" w:rsidRPr="00A604A3" w:rsidRDefault="00AE0549" w:rsidP="00B2665B">
            <w:pPr>
              <w:pStyle w:val="Tablehead"/>
              <w:rPr>
                <w:lang w:eastAsia="zh-CN"/>
              </w:rPr>
            </w:pPr>
            <w:r w:rsidRPr="00A604A3">
              <w:rPr>
                <w:lang w:eastAsia="zh-CN"/>
              </w:rPr>
              <w:t>Criterion</w:t>
            </w:r>
          </w:p>
        </w:tc>
        <w:tc>
          <w:tcPr>
            <w:tcW w:w="1077" w:type="dxa"/>
            <w:vMerge w:val="restart"/>
            <w:vAlign w:val="center"/>
          </w:tcPr>
          <w:p w:rsidR="00AE0549" w:rsidRPr="00A604A3" w:rsidRDefault="00AE0549" w:rsidP="00B2665B">
            <w:pPr>
              <w:pStyle w:val="Tablehead"/>
              <w:rPr>
                <w:lang w:eastAsia="zh-CN"/>
              </w:rPr>
            </w:pPr>
            <w:r w:rsidRPr="00A604A3">
              <w:rPr>
                <w:lang w:eastAsia="zh-CN"/>
              </w:rPr>
              <w:t>Error probability</w:t>
            </w:r>
          </w:p>
        </w:tc>
        <w:tc>
          <w:tcPr>
            <w:tcW w:w="3132" w:type="dxa"/>
            <w:gridSpan w:val="2"/>
            <w:vAlign w:val="center"/>
          </w:tcPr>
          <w:p w:rsidR="00AE0549" w:rsidRPr="00A604A3" w:rsidRDefault="00AE0549" w:rsidP="00B2665B">
            <w:pPr>
              <w:pStyle w:val="Tablehead"/>
              <w:rPr>
                <w:lang w:eastAsia="zh-CN"/>
              </w:rPr>
            </w:pPr>
            <w:r w:rsidRPr="00A604A3">
              <w:rPr>
                <w:lang w:eastAsia="zh-CN"/>
              </w:rPr>
              <w:t>UL UP latency (ms)</w:t>
            </w:r>
          </w:p>
        </w:tc>
      </w:tr>
      <w:tr w:rsidR="00AE0549" w:rsidRPr="00A604A3" w:rsidTr="00B2665B">
        <w:trPr>
          <w:jc w:val="center"/>
        </w:trPr>
        <w:tc>
          <w:tcPr>
            <w:tcW w:w="937" w:type="dxa"/>
            <w:vMerge/>
            <w:vAlign w:val="center"/>
            <w:hideMark/>
          </w:tcPr>
          <w:p w:rsidR="00AE0549" w:rsidRPr="00A604A3" w:rsidRDefault="00AE0549" w:rsidP="00B2665B">
            <w:pPr>
              <w:pStyle w:val="Tablehead"/>
              <w:rPr>
                <w:lang w:eastAsia="zh-CN"/>
              </w:rPr>
            </w:pPr>
          </w:p>
        </w:tc>
        <w:tc>
          <w:tcPr>
            <w:tcW w:w="945" w:type="dxa"/>
            <w:vMerge/>
            <w:vAlign w:val="center"/>
            <w:hideMark/>
          </w:tcPr>
          <w:p w:rsidR="00AE0549" w:rsidRPr="00A604A3" w:rsidRDefault="00AE0549" w:rsidP="00B2665B">
            <w:pPr>
              <w:pStyle w:val="Tablehead"/>
              <w:rPr>
                <w:lang w:eastAsia="zh-CN"/>
              </w:rPr>
            </w:pPr>
          </w:p>
        </w:tc>
        <w:tc>
          <w:tcPr>
            <w:tcW w:w="1077" w:type="dxa"/>
            <w:vMerge/>
            <w:vAlign w:val="center"/>
            <w:hideMark/>
          </w:tcPr>
          <w:p w:rsidR="00AE0549" w:rsidRPr="00A604A3" w:rsidRDefault="00AE0549" w:rsidP="00B2665B">
            <w:pPr>
              <w:pStyle w:val="Tablehead"/>
              <w:rPr>
                <w:lang w:eastAsia="zh-CN"/>
              </w:rPr>
            </w:pPr>
          </w:p>
        </w:tc>
        <w:tc>
          <w:tcPr>
            <w:tcW w:w="1572" w:type="dxa"/>
            <w:vAlign w:val="center"/>
            <w:hideMark/>
          </w:tcPr>
          <w:p w:rsidR="00AE0549" w:rsidRPr="00A604A3" w:rsidRDefault="00AE0549" w:rsidP="00B2665B">
            <w:pPr>
              <w:pStyle w:val="Tablehead"/>
              <w:rPr>
                <w:lang w:eastAsia="zh-CN"/>
              </w:rPr>
            </w:pPr>
            <w:r w:rsidRPr="00A604A3">
              <w:rPr>
                <w:lang w:eastAsia="zh-CN"/>
              </w:rPr>
              <w:t>DSUDD (Cfg.1)</w:t>
            </w:r>
          </w:p>
        </w:tc>
        <w:tc>
          <w:tcPr>
            <w:tcW w:w="1560" w:type="dxa"/>
            <w:vAlign w:val="center"/>
          </w:tcPr>
          <w:p w:rsidR="00AE0549" w:rsidRPr="00A604A3" w:rsidRDefault="00AE0549" w:rsidP="00B2665B">
            <w:pPr>
              <w:pStyle w:val="Tablehead"/>
              <w:rPr>
                <w:lang w:eastAsia="zh-CN"/>
              </w:rPr>
            </w:pPr>
            <w:r w:rsidRPr="00A604A3">
              <w:rPr>
                <w:lang w:eastAsia="zh-CN"/>
              </w:rPr>
              <w:t>DSUUD (Cfg.2)</w:t>
            </w:r>
          </w:p>
        </w:tc>
      </w:tr>
      <w:tr w:rsidR="00AE0549" w:rsidRPr="00A604A3" w:rsidTr="00B2665B">
        <w:trPr>
          <w:jc w:val="center"/>
        </w:trPr>
        <w:tc>
          <w:tcPr>
            <w:tcW w:w="937" w:type="dxa"/>
            <w:vMerge w:val="restart"/>
            <w:vAlign w:val="center"/>
            <w:hideMark/>
          </w:tcPr>
          <w:p w:rsidR="00AE0549" w:rsidRPr="00A604A3" w:rsidRDefault="00AE0549" w:rsidP="00B2665B">
            <w:pPr>
              <w:pStyle w:val="Tabletext"/>
              <w:jc w:val="center"/>
              <w:rPr>
                <w:i/>
                <w:iCs/>
                <w:lang w:eastAsia="zh-CN"/>
              </w:rPr>
            </w:pPr>
            <w:r w:rsidRPr="00A604A3">
              <w:rPr>
                <w:i/>
                <w:iCs/>
                <w:lang w:eastAsia="zh-CN"/>
              </w:rPr>
              <w:t>7OS</w:t>
            </w:r>
          </w:p>
        </w:tc>
        <w:tc>
          <w:tcPr>
            <w:tcW w:w="945" w:type="dxa"/>
            <w:vMerge w:val="restart"/>
            <w:vAlign w:val="center"/>
            <w:hideMark/>
          </w:tcPr>
          <w:p w:rsidR="00AE0549" w:rsidRPr="00A604A3" w:rsidRDefault="00AE0549" w:rsidP="00B2665B">
            <w:pPr>
              <w:pStyle w:val="Tabletext"/>
              <w:jc w:val="center"/>
              <w:rPr>
                <w:lang w:eastAsia="zh-CN"/>
              </w:rPr>
            </w:pPr>
            <w:r w:rsidRPr="00A604A3">
              <w:rPr>
                <w:lang w:eastAsia="zh-CN"/>
              </w:rPr>
              <w:t>Average case</w:t>
            </w:r>
          </w:p>
        </w:tc>
        <w:tc>
          <w:tcPr>
            <w:tcW w:w="1077" w:type="dxa"/>
            <w:vAlign w:val="center"/>
            <w:hideMark/>
          </w:tcPr>
          <w:p w:rsidR="00AE0549" w:rsidRPr="00A604A3" w:rsidRDefault="00AE0549" w:rsidP="00B2665B">
            <w:pPr>
              <w:pStyle w:val="Tabletext"/>
              <w:jc w:val="center"/>
              <w:rPr>
                <w:i/>
                <w:iCs/>
                <w:lang w:eastAsia="zh-CN"/>
              </w:rPr>
            </w:pPr>
            <w:r w:rsidRPr="00A604A3">
              <w:rPr>
                <w:i/>
                <w:iCs/>
                <w:lang w:eastAsia="zh-CN"/>
              </w:rPr>
              <w:t>p</w:t>
            </w:r>
            <w:r w:rsidRPr="00A604A3">
              <w:rPr>
                <w:lang w:eastAsia="zh-CN"/>
              </w:rPr>
              <w:t>=0</w:t>
            </w:r>
          </w:p>
        </w:tc>
        <w:tc>
          <w:tcPr>
            <w:tcW w:w="1572" w:type="dxa"/>
            <w:vAlign w:val="center"/>
          </w:tcPr>
          <w:p w:rsidR="00AE0549" w:rsidRPr="00A604A3" w:rsidRDefault="00AE0549" w:rsidP="00B2665B">
            <w:pPr>
              <w:pStyle w:val="Tabletext"/>
              <w:jc w:val="center"/>
              <w:rPr>
                <w:rFonts w:eastAsiaTheme="minorEastAsia"/>
                <w:lang w:eastAsia="zh-CN"/>
              </w:rPr>
            </w:pPr>
            <w:r w:rsidRPr="00A604A3">
              <w:rPr>
                <w:rFonts w:eastAsiaTheme="minorEastAsia"/>
                <w:color w:val="FF0000"/>
                <w:lang w:eastAsia="zh-CN"/>
              </w:rPr>
              <w:t>4.11</w:t>
            </w:r>
          </w:p>
        </w:tc>
        <w:tc>
          <w:tcPr>
            <w:tcW w:w="1560" w:type="dxa"/>
            <w:vAlign w:val="center"/>
          </w:tcPr>
          <w:p w:rsidR="00AE0549" w:rsidRPr="00A604A3" w:rsidRDefault="00AE0549" w:rsidP="00B2665B">
            <w:pPr>
              <w:pStyle w:val="Tabletext"/>
              <w:jc w:val="center"/>
              <w:rPr>
                <w:lang w:eastAsia="zh-CN"/>
              </w:rPr>
            </w:pPr>
            <w:r w:rsidRPr="00A604A3">
              <w:rPr>
                <w:lang w:eastAsia="zh-CN"/>
              </w:rPr>
              <w:t>3.35</w:t>
            </w:r>
          </w:p>
        </w:tc>
      </w:tr>
      <w:tr w:rsidR="00AE0549" w:rsidRPr="00A604A3" w:rsidTr="00B2665B">
        <w:trPr>
          <w:jc w:val="center"/>
        </w:trPr>
        <w:tc>
          <w:tcPr>
            <w:tcW w:w="937" w:type="dxa"/>
            <w:vMerge/>
            <w:vAlign w:val="center"/>
            <w:hideMark/>
          </w:tcPr>
          <w:p w:rsidR="00AE0549" w:rsidRPr="00A604A3" w:rsidRDefault="00AE0549" w:rsidP="00B2665B">
            <w:pPr>
              <w:pStyle w:val="Tabletext"/>
              <w:jc w:val="center"/>
              <w:rPr>
                <w:i/>
                <w:iCs/>
                <w:lang w:eastAsia="zh-CN"/>
              </w:rPr>
            </w:pPr>
          </w:p>
        </w:tc>
        <w:tc>
          <w:tcPr>
            <w:tcW w:w="945" w:type="dxa"/>
            <w:vMerge/>
            <w:vAlign w:val="center"/>
            <w:hideMark/>
          </w:tcPr>
          <w:p w:rsidR="00AE0549" w:rsidRPr="00A604A3" w:rsidRDefault="00AE0549" w:rsidP="00B2665B">
            <w:pPr>
              <w:pStyle w:val="Tabletext"/>
              <w:jc w:val="center"/>
              <w:rPr>
                <w:lang w:eastAsia="zh-CN"/>
              </w:rPr>
            </w:pPr>
          </w:p>
        </w:tc>
        <w:tc>
          <w:tcPr>
            <w:tcW w:w="1077" w:type="dxa"/>
            <w:vAlign w:val="center"/>
            <w:hideMark/>
          </w:tcPr>
          <w:p w:rsidR="00AE0549" w:rsidRPr="00A604A3" w:rsidRDefault="00AE0549" w:rsidP="00B2665B">
            <w:pPr>
              <w:pStyle w:val="Tabletext"/>
              <w:jc w:val="center"/>
              <w:rPr>
                <w:i/>
                <w:iCs/>
                <w:lang w:eastAsia="zh-CN"/>
              </w:rPr>
            </w:pPr>
            <w:r w:rsidRPr="00A604A3">
              <w:rPr>
                <w:i/>
                <w:iCs/>
                <w:lang w:eastAsia="zh-CN"/>
              </w:rPr>
              <w:t>p</w:t>
            </w:r>
            <w:r w:rsidRPr="00A604A3">
              <w:rPr>
                <w:lang w:eastAsia="zh-CN"/>
              </w:rPr>
              <w:t>=0.1</w:t>
            </w:r>
          </w:p>
        </w:tc>
        <w:tc>
          <w:tcPr>
            <w:tcW w:w="1572" w:type="dxa"/>
            <w:vAlign w:val="center"/>
          </w:tcPr>
          <w:p w:rsidR="00AE0549" w:rsidRPr="00A604A3" w:rsidRDefault="00AE0549" w:rsidP="00B2665B">
            <w:pPr>
              <w:pStyle w:val="Tabletext"/>
              <w:jc w:val="center"/>
              <w:rPr>
                <w:rFonts w:eastAsiaTheme="minorEastAsia"/>
                <w:lang w:eastAsia="zh-CN"/>
              </w:rPr>
            </w:pPr>
            <w:r w:rsidRPr="00A604A3">
              <w:rPr>
                <w:rFonts w:eastAsiaTheme="minorEastAsia"/>
                <w:color w:val="FF0000"/>
                <w:lang w:eastAsia="zh-CN"/>
              </w:rPr>
              <w:t>4.70</w:t>
            </w:r>
          </w:p>
        </w:tc>
        <w:tc>
          <w:tcPr>
            <w:tcW w:w="1560" w:type="dxa"/>
            <w:vAlign w:val="center"/>
          </w:tcPr>
          <w:p w:rsidR="00AE0549" w:rsidRPr="00A604A3" w:rsidRDefault="00AE0549" w:rsidP="00B2665B">
            <w:pPr>
              <w:pStyle w:val="Tabletext"/>
              <w:jc w:val="center"/>
            </w:pPr>
            <w:r w:rsidRPr="00A604A3">
              <w:t>3.91</w:t>
            </w:r>
          </w:p>
        </w:tc>
      </w:tr>
    </w:tbl>
    <w:p w:rsidR="00AE0549" w:rsidRPr="00A604A3" w:rsidRDefault="00AE0549" w:rsidP="00B2665B">
      <w:pPr>
        <w:pStyle w:val="Tablefin"/>
      </w:pPr>
    </w:p>
    <w:p w:rsidR="00AE0549" w:rsidRPr="00A604A3" w:rsidRDefault="009D6073" w:rsidP="009D6073">
      <w:pPr>
        <w:pStyle w:val="Heading4"/>
        <w:rPr>
          <w:rFonts w:eastAsia="MS Mincho"/>
        </w:rPr>
      </w:pPr>
      <w:r w:rsidRPr="00A604A3">
        <w:rPr>
          <w:rFonts w:eastAsia="MS Mincho"/>
        </w:rPr>
        <w:t>II.5.7.5</w:t>
      </w:r>
      <w:r w:rsidRPr="00A604A3">
        <w:rPr>
          <w:rFonts w:eastAsia="MS Mincho"/>
        </w:rPr>
        <w:tab/>
      </w:r>
      <w:r w:rsidR="00AE0549" w:rsidRPr="00A604A3">
        <w:rPr>
          <w:rFonts w:eastAsia="MS Mincho"/>
        </w:rPr>
        <w:t>Conclusions</w:t>
      </w:r>
    </w:p>
    <w:p w:rsidR="00AE0549" w:rsidRPr="00A604A3" w:rsidRDefault="00AE0549" w:rsidP="009D6073">
      <w:r w:rsidRPr="00A604A3">
        <w:t>For NR FDD and TDD, the calculated user plane latency at the downlink was below the ITU IMT2020 requirement of 4 ms in all cases. The lower latency values were observed for FDD, 120 kHz subcarrier spacing, UE Capability 1 or 60 kHz subcarrier spacing, UE Capability 2. The minimum latency approaches 0.25 ms.</w:t>
      </w:r>
    </w:p>
    <w:p w:rsidR="00AE0549" w:rsidRPr="00A604A3" w:rsidRDefault="00AE0549" w:rsidP="009D6073">
      <w:r w:rsidRPr="00A604A3">
        <w:t xml:space="preserve">At the uplink, for NR TDD, </w:t>
      </w:r>
      <w:r w:rsidRPr="00A604A3">
        <w:rPr>
          <w:rFonts w:cstheme="minorHAnsi"/>
          <w:lang w:eastAsia="zh-CN"/>
        </w:rPr>
        <w:t>DDDSU configuration, user plane latency resulted to values larger than 4 ms in few cases with 15 kHz spacing (Table 99). However, this is rather expected since the DDDSU configuration offers limited UL resources. In all other cases, for FDD and TDD the latency was below 4ms. The lower values were observed again</w:t>
      </w:r>
      <w:r w:rsidRPr="00A604A3">
        <w:t xml:space="preserve"> for FDD, 120 kHz subcarrier spacing, UE Capability 1 or 60 kHz subcarrier spacing, UE Capability 2 with the minimum latency approaching 0.30 ms.</w:t>
      </w:r>
    </w:p>
    <w:p w:rsidR="00AE0549" w:rsidRPr="00A604A3" w:rsidRDefault="00AE0549" w:rsidP="009D6073">
      <w:pPr>
        <w:rPr>
          <w:rFonts w:cstheme="minorHAnsi"/>
          <w:lang w:eastAsia="zh-CN"/>
        </w:rPr>
      </w:pPr>
      <w:r w:rsidRPr="00A604A3">
        <w:t xml:space="preserve">For LTE FDD and TDD, the calculated user plane latency at the downlink was below the ITU IMT2020 requirement of 4 ms in all cases. At the uplink, TDD with DSUDD </w:t>
      </w:r>
      <w:r w:rsidRPr="00A604A3">
        <w:rPr>
          <w:rFonts w:cstheme="minorHAnsi"/>
          <w:lang w:eastAsia="zh-CN"/>
        </w:rPr>
        <w:t>configuration results to latency values larger than 4 ms (similar to NR case). In all other cases, for FDD and TDD the latency was below 4 ms.</w:t>
      </w:r>
    </w:p>
    <w:p w:rsidR="00AE0549" w:rsidRPr="00A604A3" w:rsidRDefault="00AE0549" w:rsidP="009D6073">
      <w:r w:rsidRPr="00A604A3">
        <w:rPr>
          <w:rFonts w:cstheme="minorHAnsi"/>
          <w:lang w:eastAsia="zh-CN"/>
        </w:rPr>
        <w:t>In both the downlink and uplink procedures, LTE achieves user plane latency lower than 1ms only with 2OS TTI.</w:t>
      </w:r>
    </w:p>
    <w:p w:rsidR="00AE0549" w:rsidRPr="00A604A3" w:rsidRDefault="00FA62B0" w:rsidP="009D6073">
      <w:pPr>
        <w:pStyle w:val="Heading3"/>
        <w:rPr>
          <w:rFonts w:eastAsia="MS Mincho"/>
        </w:rPr>
      </w:pPr>
      <w:bookmarkStart w:id="483" w:name="_Toc32412968"/>
      <w:r w:rsidRPr="00A604A3">
        <w:rPr>
          <w:rFonts w:eastAsia="MS Mincho"/>
        </w:rPr>
        <w:t>II.5.8</w:t>
      </w:r>
      <w:r w:rsidRPr="00A604A3">
        <w:rPr>
          <w:rFonts w:eastAsia="MS Mincho"/>
        </w:rPr>
        <w:tab/>
      </w:r>
      <w:r w:rsidR="00AE0549" w:rsidRPr="00A604A3">
        <w:rPr>
          <w:rFonts w:eastAsia="MS Mincho"/>
        </w:rPr>
        <w:t>Control plane latency</w:t>
      </w:r>
      <w:bookmarkEnd w:id="483"/>
    </w:p>
    <w:p w:rsidR="00AE0549" w:rsidRPr="00A604A3" w:rsidRDefault="00AE0549" w:rsidP="00FA62B0">
      <w:r w:rsidRPr="00A604A3">
        <w:t>The ITU-R minimum requirements on control plane are given in [1]. The following requirements and remarks are extracted from [1]:</w:t>
      </w:r>
    </w:p>
    <w:p w:rsidR="00AE0549" w:rsidRPr="00A604A3" w:rsidRDefault="00FA62B0" w:rsidP="00FA62B0">
      <w:pPr>
        <w:pStyle w:val="enumlev1"/>
        <w:rPr>
          <w:i/>
          <w:iCs/>
        </w:rPr>
      </w:pPr>
      <w:r w:rsidRPr="00A604A3">
        <w:rPr>
          <w:i/>
          <w:iCs/>
          <w:lang w:eastAsia="ko-KR"/>
        </w:rPr>
        <w:tab/>
      </w:r>
      <w:r w:rsidR="00AE0549" w:rsidRPr="00A604A3">
        <w:rPr>
          <w:i/>
          <w:iCs/>
          <w:lang w:eastAsia="ko-KR"/>
        </w:rPr>
        <w:t xml:space="preserve">Control plane </w:t>
      </w:r>
      <w:r w:rsidR="00AE0549" w:rsidRPr="00A604A3">
        <w:rPr>
          <w:i/>
          <w:iCs/>
        </w:rPr>
        <w:t xml:space="preserve">latency refers to the transition time from a most </w:t>
      </w:r>
      <w:r w:rsidR="00AE0549" w:rsidRPr="00A604A3">
        <w:rPr>
          <w:i/>
          <w:iCs/>
          <w:lang w:eastAsia="zh-CN"/>
        </w:rPr>
        <w:t>“</w:t>
      </w:r>
      <w:r w:rsidR="00AE0549" w:rsidRPr="00A604A3">
        <w:rPr>
          <w:i/>
          <w:iCs/>
        </w:rPr>
        <w:t>battery efficient</w:t>
      </w:r>
      <w:r w:rsidR="00AE0549" w:rsidRPr="00A604A3">
        <w:rPr>
          <w:i/>
          <w:iCs/>
          <w:lang w:eastAsia="zh-CN"/>
        </w:rPr>
        <w:t>”</w:t>
      </w:r>
      <w:r w:rsidR="00AE0549" w:rsidRPr="00A604A3">
        <w:rPr>
          <w:i/>
          <w:iCs/>
        </w:rPr>
        <w:t xml:space="preserve"> state (e.g</w:t>
      </w:r>
      <w:r w:rsidR="00AE0549" w:rsidRPr="00A604A3">
        <w:rPr>
          <w:i/>
          <w:iCs/>
          <w:lang w:eastAsia="ko-KR"/>
        </w:rPr>
        <w:t>.</w:t>
      </w:r>
      <w:r w:rsidR="00AE0549" w:rsidRPr="00A604A3">
        <w:rPr>
          <w:i/>
          <w:iCs/>
        </w:rPr>
        <w:t xml:space="preserve"> Idle state) to the start of continuous data transfer (e.g. Active</w:t>
      </w:r>
      <w:r w:rsidR="00AE0549" w:rsidRPr="00A604A3">
        <w:rPr>
          <w:i/>
          <w:iCs/>
          <w:lang w:eastAsia="ja-JP"/>
        </w:rPr>
        <w:t xml:space="preserve"> state</w:t>
      </w:r>
      <w:r w:rsidR="00AE0549" w:rsidRPr="00A604A3">
        <w:rPr>
          <w:i/>
          <w:iCs/>
        </w:rPr>
        <w:t>).</w:t>
      </w:r>
    </w:p>
    <w:p w:rsidR="00AE0549" w:rsidRPr="00A604A3" w:rsidRDefault="00FA62B0" w:rsidP="00FA62B0">
      <w:pPr>
        <w:pStyle w:val="enumlev1"/>
        <w:rPr>
          <w:i/>
          <w:iCs/>
        </w:rPr>
      </w:pPr>
      <w:r w:rsidRPr="00A604A3">
        <w:rPr>
          <w:i/>
          <w:iCs/>
        </w:rPr>
        <w:tab/>
      </w:r>
      <w:r w:rsidR="00AE0549" w:rsidRPr="00A604A3">
        <w:rPr>
          <w:i/>
          <w:iCs/>
        </w:rPr>
        <w:t>This requirement is defined for the purpose of evaluation in the eMBB and URLLC usage scenarios.</w:t>
      </w:r>
    </w:p>
    <w:p w:rsidR="00AE0549" w:rsidRPr="00A604A3" w:rsidRDefault="00FA62B0" w:rsidP="00FA62B0">
      <w:pPr>
        <w:pStyle w:val="enumlev1"/>
        <w:rPr>
          <w:i/>
          <w:iCs/>
          <w:lang w:eastAsia="zh-CN"/>
        </w:rPr>
      </w:pPr>
      <w:r w:rsidRPr="00A604A3">
        <w:rPr>
          <w:i/>
          <w:iCs/>
          <w:szCs w:val="24"/>
          <w:lang w:eastAsia="zh-CN"/>
        </w:rPr>
        <w:tab/>
      </w:r>
      <w:r w:rsidR="00AE0549" w:rsidRPr="00A604A3">
        <w:rPr>
          <w:i/>
          <w:iCs/>
          <w:szCs w:val="24"/>
          <w:lang w:eastAsia="zh-CN"/>
        </w:rPr>
        <w:t xml:space="preserve">The minimum requirement for control plane latency is 20 ms. </w:t>
      </w:r>
      <w:r w:rsidR="00AE0549" w:rsidRPr="00A604A3">
        <w:rPr>
          <w:i/>
          <w:iCs/>
          <w:lang w:eastAsia="zh-CN"/>
        </w:rPr>
        <w:t>Proponents are encouraged to consider lower control plane latency, e.g. 10 ms.</w:t>
      </w:r>
    </w:p>
    <w:p w:rsidR="00AE0549" w:rsidRPr="00A604A3" w:rsidRDefault="00AE0549" w:rsidP="00470885">
      <w:pPr>
        <w:spacing w:before="0"/>
        <w:rPr>
          <w:color w:val="000000" w:themeColor="text1"/>
        </w:rPr>
      </w:pPr>
    </w:p>
    <w:p w:rsidR="00AE0549" w:rsidRPr="00A604A3" w:rsidRDefault="00FA62B0" w:rsidP="00FA62B0">
      <w:pPr>
        <w:pStyle w:val="Heading4"/>
        <w:rPr>
          <w:rFonts w:eastAsia="MS Mincho"/>
        </w:rPr>
      </w:pPr>
      <w:r w:rsidRPr="00A604A3">
        <w:rPr>
          <w:rFonts w:eastAsia="MS Mincho"/>
        </w:rPr>
        <w:t>II.5.8.1</w:t>
      </w:r>
      <w:r w:rsidRPr="00A604A3">
        <w:rPr>
          <w:rFonts w:eastAsia="MS Mincho"/>
        </w:rPr>
        <w:tab/>
      </w:r>
      <w:r w:rsidR="00AE0549" w:rsidRPr="00A604A3">
        <w:rPr>
          <w:rFonts w:eastAsia="MS Mincho"/>
        </w:rPr>
        <w:t>Basic parameters – NR Rel-15, control plane latency</w:t>
      </w:r>
    </w:p>
    <w:p w:rsidR="00AE0549" w:rsidRPr="00A604A3" w:rsidRDefault="00AE0549" w:rsidP="00FA62B0">
      <w:r w:rsidRPr="00A604A3">
        <w:rPr>
          <w:lang w:eastAsia="zh-CN"/>
        </w:rPr>
        <w:t xml:space="preserve">For NR Rel-15, </w:t>
      </w:r>
      <w:r w:rsidRPr="00A604A3">
        <w:t>control</w:t>
      </w:r>
      <w:r w:rsidRPr="00A604A3">
        <w:rPr>
          <w:lang w:eastAsia="zh-CN"/>
        </w:rPr>
        <w:t xml:space="preserve"> plane latency is evaluated from RRC_INACTIVE state to RRC_CONNECTED state. A</w:t>
      </w:r>
      <w:r w:rsidRPr="00A604A3">
        <w:t xml:space="preserve">n example </w:t>
      </w:r>
      <w:r w:rsidRPr="00A604A3">
        <w:rPr>
          <w:lang w:eastAsia="zh-CN"/>
        </w:rPr>
        <w:t xml:space="preserve">control </w:t>
      </w:r>
      <w:r w:rsidRPr="00A604A3">
        <w:t xml:space="preserve">plane flow for </w:t>
      </w:r>
      <w:r w:rsidRPr="00A604A3">
        <w:rPr>
          <w:lang w:eastAsia="zh-CN"/>
        </w:rPr>
        <w:t xml:space="preserve">NR </w:t>
      </w:r>
      <w:r w:rsidRPr="00A604A3">
        <w:t>Rel-</w:t>
      </w:r>
      <w:r w:rsidRPr="00A604A3">
        <w:rPr>
          <w:lang w:eastAsia="zh-CN"/>
        </w:rPr>
        <w:t xml:space="preserve">15 is given below </w:t>
      </w:r>
      <w:r w:rsidRPr="00A604A3">
        <w:t>(Figure 3).</w:t>
      </w:r>
    </w:p>
    <w:p w:rsidR="00FA62B0" w:rsidRPr="00A604A3" w:rsidRDefault="00FA62B0" w:rsidP="00FA62B0">
      <w:pPr>
        <w:pStyle w:val="FigureNo"/>
      </w:pPr>
      <w:r w:rsidRPr="00A604A3">
        <w:lastRenderedPageBreak/>
        <w:t>Figure 3</w:t>
      </w:r>
    </w:p>
    <w:p w:rsidR="00FA62B0" w:rsidRPr="00A604A3" w:rsidRDefault="00FA62B0" w:rsidP="00FA62B0">
      <w:pPr>
        <w:pStyle w:val="Figuretitle"/>
        <w:rPr>
          <w:noProof w:val="0"/>
          <w:lang w:val="en-GB"/>
        </w:rPr>
      </w:pPr>
      <w:bookmarkStart w:id="484" w:name="_Ref24377274"/>
      <w:r w:rsidRPr="00A604A3">
        <w:rPr>
          <w:noProof w:val="0"/>
          <w:lang w:val="en-GB"/>
        </w:rPr>
        <w:t>C-plane procedure (Figure 5.7.2.1-1 in TR 37.910, [14])</w:t>
      </w:r>
      <w:bookmarkEnd w:id="484"/>
    </w:p>
    <w:tbl>
      <w:tblPr>
        <w:tblW w:w="0" w:type="auto"/>
        <w:tblLook w:val="04A0" w:firstRow="1" w:lastRow="0" w:firstColumn="1" w:lastColumn="0" w:noHBand="0" w:noVBand="1"/>
      </w:tblPr>
      <w:tblGrid>
        <w:gridCol w:w="9026"/>
      </w:tblGrid>
      <w:tr w:rsidR="00AE0549" w:rsidRPr="00A604A3" w:rsidTr="00470885">
        <w:tc>
          <w:tcPr>
            <w:tcW w:w="9026" w:type="dxa"/>
          </w:tcPr>
          <w:p w:rsidR="00AE0549" w:rsidRPr="00A604A3" w:rsidRDefault="00AE0549" w:rsidP="00470885">
            <w:pPr>
              <w:rPr>
                <w:color w:val="000000" w:themeColor="text1"/>
              </w:rPr>
            </w:pPr>
            <w:r w:rsidRPr="00A604A3">
              <w:rPr>
                <w:noProof/>
                <w:color w:val="000000" w:themeColor="text1"/>
                <w:lang w:eastAsia="zh-CN"/>
              </w:rPr>
              <mc:AlternateContent>
                <mc:Choice Requires="wpg">
                  <w:drawing>
                    <wp:inline distT="0" distB="0" distL="0" distR="0" wp14:anchorId="0804D3F0" wp14:editId="3C4359C2">
                      <wp:extent cx="5588000" cy="4730750"/>
                      <wp:effectExtent l="0" t="14605" r="1397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4730750"/>
                                <a:chOff x="0" y="0"/>
                                <a:chExt cx="68459" cy="58596"/>
                              </a:xfrm>
                            </wpg:grpSpPr>
                            <wps:wsp>
                              <wps:cNvPr id="4" name="矩形 18"/>
                              <wps:cNvSpPr>
                                <a:spLocks noChangeArrowheads="1"/>
                              </wps:cNvSpPr>
                              <wps:spPr bwMode="auto">
                                <a:xfrm>
                                  <a:off x="8638" y="0"/>
                                  <a:ext cx="11570" cy="7744"/>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267286" w:rsidRDefault="00267286" w:rsidP="00470885">
                                    <w:pPr>
                                      <w:pStyle w:val="NormalWeb"/>
                                      <w:spacing w:before="0"/>
                                      <w:jc w:val="center"/>
                                    </w:pPr>
                                    <w:r>
                                      <w:rPr>
                                        <w:rFonts w:ascii="Arial" w:hAnsi="Arial" w:cs="Arial"/>
                                        <w:color w:val="000000" w:themeColor="text1"/>
                                        <w:kern w:val="24"/>
                                        <w:sz w:val="20"/>
                                        <w:szCs w:val="20"/>
                                      </w:rPr>
                                      <w:t>UE</w:t>
                                    </w:r>
                                  </w:p>
                                </w:txbxContent>
                              </wps:txbx>
                              <wps:bodyPr rot="0" vert="horz" wrap="square" lIns="91440" tIns="45720" rIns="91440" bIns="45720" anchor="ctr" anchorCtr="0" upright="1">
                                <a:noAutofit/>
                              </wps:bodyPr>
                            </wps:wsp>
                            <wps:wsp>
                              <wps:cNvPr id="5" name="矩形 19"/>
                              <wps:cNvSpPr>
                                <a:spLocks noChangeArrowheads="1"/>
                              </wps:cNvSpPr>
                              <wps:spPr bwMode="auto">
                                <a:xfrm>
                                  <a:off x="43285" y="0"/>
                                  <a:ext cx="11570" cy="7744"/>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267286" w:rsidRDefault="00267286" w:rsidP="00470885">
                                    <w:pPr>
                                      <w:pStyle w:val="NormalWeb"/>
                                      <w:spacing w:before="0"/>
                                      <w:jc w:val="center"/>
                                    </w:pPr>
                                    <w:r w:rsidRPr="006E20BE">
                                      <w:rPr>
                                        <w:rFonts w:ascii="Arial" w:hAnsi="Arial" w:cs="Arial"/>
                                        <w:color w:val="000000" w:themeColor="text1"/>
                                        <w:kern w:val="24"/>
                                        <w:sz w:val="20"/>
                                        <w:szCs w:val="20"/>
                                      </w:rPr>
                                      <w:t>gNB</w:t>
                                    </w:r>
                                  </w:p>
                                </w:txbxContent>
                              </wps:txbx>
                              <wps:bodyPr rot="0" vert="horz" wrap="square" lIns="91440" tIns="45720" rIns="91440" bIns="45720" anchor="ctr" anchorCtr="0" upright="1">
                                <a:noAutofit/>
                              </wps:bodyPr>
                            </wps:wsp>
                            <wps:wsp>
                              <wps:cNvPr id="6" name="直接箭头连接符 20"/>
                              <wps:cNvCnPr>
                                <a:cxnSpLocks noChangeShapeType="1"/>
                              </wps:cNvCnPr>
                              <wps:spPr bwMode="auto">
                                <a:xfrm>
                                  <a:off x="14423" y="7744"/>
                                  <a:ext cx="0" cy="50852"/>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直接箭头连接符 21"/>
                              <wps:cNvCnPr>
                                <a:cxnSpLocks noChangeShapeType="1"/>
                              </wps:cNvCnPr>
                              <wps:spPr bwMode="auto">
                                <a:xfrm>
                                  <a:off x="49070" y="7744"/>
                                  <a:ext cx="0" cy="50852"/>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矩形 22"/>
                              <wps:cNvSpPr>
                                <a:spLocks noChangeArrowheads="1"/>
                              </wps:cNvSpPr>
                              <wps:spPr bwMode="auto">
                                <a:xfrm>
                                  <a:off x="0" y="10356"/>
                                  <a:ext cx="14236" cy="4293"/>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 name="文本框 9"/>
                              <wps:cNvSpPr txBox="1">
                                <a:spLocks noChangeArrowheads="1"/>
                              </wps:cNvSpPr>
                              <wps:spPr bwMode="auto">
                                <a:xfrm>
                                  <a:off x="629" y="10460"/>
                                  <a:ext cx="13793"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1. Delay for RACH Scheduling Period</w:t>
                                    </w:r>
                                  </w:p>
                                </w:txbxContent>
                              </wps:txbx>
                              <wps:bodyPr rot="0" vert="horz" wrap="square" lIns="91440" tIns="45720" rIns="91440" bIns="45720" anchor="t" anchorCtr="0" upright="1">
                                <a:spAutoFit/>
                              </wps:bodyPr>
                            </wps:wsp>
                            <wps:wsp>
                              <wps:cNvPr id="11" name="矩形 30"/>
                              <wps:cNvSpPr>
                                <a:spLocks noChangeArrowheads="1"/>
                              </wps:cNvSpPr>
                              <wps:spPr bwMode="auto">
                                <a:xfrm>
                                  <a:off x="49210" y="18785"/>
                                  <a:ext cx="10559"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 name="文本框 11"/>
                              <wps:cNvSpPr txBox="1">
                                <a:spLocks noChangeArrowheads="1"/>
                              </wps:cNvSpPr>
                              <wps:spPr bwMode="auto">
                                <a:xfrm>
                                  <a:off x="49487" y="18887"/>
                                  <a:ext cx="10284" cy="4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 xml:space="preserve">3. Processing delay in </w:t>
                                    </w:r>
                                    <w:r w:rsidRPr="006E20BE">
                                      <w:rPr>
                                        <w:rFonts w:ascii="Arial" w:hAnsi="Arial" w:cs="Arial"/>
                                        <w:color w:val="000000" w:themeColor="text1"/>
                                        <w:kern w:val="24"/>
                                        <w:sz w:val="16"/>
                                        <w:szCs w:val="16"/>
                                      </w:rPr>
                                      <w:t>gNB</w:t>
                                    </w:r>
                                  </w:p>
                                </w:txbxContent>
                              </wps:txbx>
                              <wps:bodyPr rot="0" vert="horz" wrap="square" lIns="91440" tIns="45720" rIns="91440" bIns="45720" anchor="t" anchorCtr="0" upright="1">
                                <a:spAutoFit/>
                              </wps:bodyPr>
                            </wps:wsp>
                            <wps:wsp>
                              <wps:cNvPr id="13" name="矩形 33"/>
                              <wps:cNvSpPr>
                                <a:spLocks noChangeArrowheads="1"/>
                              </wps:cNvSpPr>
                              <wps:spPr bwMode="auto">
                                <a:xfrm>
                                  <a:off x="3926" y="26732"/>
                                  <a:ext cx="10310"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文本框 13"/>
                              <wps:cNvSpPr txBox="1">
                                <a:spLocks noChangeArrowheads="1"/>
                              </wps:cNvSpPr>
                              <wps:spPr bwMode="auto">
                                <a:xfrm>
                                  <a:off x="4205" y="26833"/>
                                  <a:ext cx="10028"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5. Processing delay in UE</w:t>
                                    </w:r>
                                  </w:p>
                                </w:txbxContent>
                              </wps:txbx>
                              <wps:bodyPr rot="0" vert="horz" wrap="square" lIns="91440" tIns="45720" rIns="91440" bIns="45720" anchor="t" anchorCtr="0" upright="1">
                                <a:spAutoFit/>
                              </wps:bodyPr>
                            </wps:wsp>
                            <wps:wsp>
                              <wps:cNvPr id="15" name="直接箭头连接符 35"/>
                              <wps:cNvCnPr>
                                <a:cxnSpLocks noChangeShapeType="1"/>
                              </wps:cNvCnPr>
                              <wps:spPr bwMode="auto">
                                <a:xfrm>
                                  <a:off x="14423" y="15208"/>
                                  <a:ext cx="34647" cy="382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直接箭头连接符 36"/>
                              <wps:cNvCnPr>
                                <a:cxnSpLocks noChangeShapeType="1"/>
                              </wps:cNvCnPr>
                              <wps:spPr bwMode="auto">
                                <a:xfrm flipH="1">
                                  <a:off x="14563" y="23139"/>
                                  <a:ext cx="34507" cy="3697"/>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直接箭头连接符 37"/>
                              <wps:cNvCnPr>
                                <a:cxnSpLocks noChangeShapeType="1"/>
                              </wps:cNvCnPr>
                              <wps:spPr bwMode="auto">
                                <a:xfrm>
                                  <a:off x="14423" y="30755"/>
                                  <a:ext cx="34647" cy="3825"/>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矩形 38"/>
                              <wps:cNvSpPr>
                                <a:spLocks noChangeArrowheads="1"/>
                              </wps:cNvSpPr>
                              <wps:spPr bwMode="auto">
                                <a:xfrm>
                                  <a:off x="49345" y="34429"/>
                                  <a:ext cx="10560" cy="4293"/>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 name="文本框 20"/>
                              <wps:cNvSpPr txBox="1">
                                <a:spLocks noChangeArrowheads="1"/>
                              </wps:cNvSpPr>
                              <wps:spPr bwMode="auto">
                                <a:xfrm>
                                  <a:off x="49279" y="34530"/>
                                  <a:ext cx="10277"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 xml:space="preserve">7. Processing delay in </w:t>
                                    </w:r>
                                    <w:r w:rsidRPr="006E20BE">
                                      <w:rPr>
                                        <w:rFonts w:ascii="Arial" w:hAnsi="Arial" w:cs="Arial"/>
                                        <w:color w:val="000000" w:themeColor="text1"/>
                                        <w:kern w:val="24"/>
                                        <w:sz w:val="16"/>
                                        <w:szCs w:val="16"/>
                                      </w:rPr>
                                      <w:t>gNB</w:t>
                                    </w:r>
                                  </w:p>
                                </w:txbxContent>
                              </wps:txbx>
                              <wps:bodyPr rot="0" vert="horz" wrap="square" lIns="91440" tIns="45720" rIns="91440" bIns="45720" anchor="t" anchorCtr="0" upright="1">
                                <a:spAutoFit/>
                              </wps:bodyPr>
                            </wps:wsp>
                            <wps:wsp>
                              <wps:cNvPr id="20" name="直接箭头连接符 40"/>
                              <wps:cNvCnPr>
                                <a:cxnSpLocks noChangeShapeType="1"/>
                              </wps:cNvCnPr>
                              <wps:spPr bwMode="auto">
                                <a:xfrm flipH="1">
                                  <a:off x="14493" y="38873"/>
                                  <a:ext cx="34507" cy="369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 name="矩形 41"/>
                              <wps:cNvSpPr>
                                <a:spLocks noChangeArrowheads="1"/>
                              </wps:cNvSpPr>
                              <wps:spPr bwMode="auto">
                                <a:xfrm>
                                  <a:off x="4042" y="42443"/>
                                  <a:ext cx="10311"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文本框 23"/>
                              <wps:cNvSpPr txBox="1">
                                <a:spLocks noChangeArrowheads="1"/>
                              </wps:cNvSpPr>
                              <wps:spPr bwMode="auto">
                                <a:xfrm>
                                  <a:off x="4322" y="42543"/>
                                  <a:ext cx="10028"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9. Processing delay in UE</w:t>
                                    </w:r>
                                  </w:p>
                                </w:txbxContent>
                              </wps:txbx>
                              <wps:bodyPr rot="0" vert="horz" wrap="square" lIns="91440" tIns="45720" rIns="91440" bIns="45720" anchor="t" anchorCtr="0" upright="1">
                                <a:spAutoFit/>
                              </wps:bodyPr>
                            </wps:wsp>
                            <wps:wsp>
                              <wps:cNvPr id="23" name="直接箭头连接符 43"/>
                              <wps:cNvCnPr>
                                <a:cxnSpLocks noChangeShapeType="1"/>
                              </wps:cNvCnPr>
                              <wps:spPr bwMode="auto">
                                <a:xfrm>
                                  <a:off x="14329" y="47461"/>
                                  <a:ext cx="34648" cy="382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 name="直接连接符 44"/>
                              <wps:cNvCnPr>
                                <a:cxnSpLocks noChangeShapeType="1"/>
                              </wps:cNvCnPr>
                              <wps:spPr bwMode="auto">
                                <a:xfrm>
                                  <a:off x="2072" y="15011"/>
                                  <a:ext cx="66387" cy="0"/>
                                </a:xfrm>
                                <a:prstGeom prst="line">
                                  <a:avLst/>
                                </a:prstGeom>
                                <a:noFill/>
                                <a:ln w="9525">
                                  <a:solidFill>
                                    <a:schemeClr val="accent1">
                                      <a:lumMod val="5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5" name="直接连接符 45"/>
                              <wps:cNvCnPr>
                                <a:cxnSpLocks noChangeShapeType="1"/>
                              </wps:cNvCnPr>
                              <wps:spPr bwMode="auto">
                                <a:xfrm>
                                  <a:off x="629" y="47306"/>
                                  <a:ext cx="66387" cy="0"/>
                                </a:xfrm>
                                <a:prstGeom prst="line">
                                  <a:avLst/>
                                </a:prstGeom>
                                <a:noFill/>
                                <a:ln w="9525">
                                  <a:solidFill>
                                    <a:schemeClr val="accent1">
                                      <a:lumMod val="5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6" name="直接箭头连接符 46"/>
                              <wps:cNvCnPr>
                                <a:cxnSpLocks noChangeShapeType="1"/>
                              </wps:cNvCnPr>
                              <wps:spPr bwMode="auto">
                                <a:xfrm>
                                  <a:off x="65554" y="14871"/>
                                  <a:ext cx="93" cy="32430"/>
                                </a:xfrm>
                                <a:prstGeom prst="straightConnector1">
                                  <a:avLst/>
                                </a:prstGeom>
                                <a:noFill/>
                                <a:ln w="9525">
                                  <a:solidFill>
                                    <a:schemeClr val="accent1">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7" name="文本框 30"/>
                              <wps:cNvSpPr txBox="1">
                                <a:spLocks noChangeArrowheads="1"/>
                              </wps:cNvSpPr>
                              <wps:spPr bwMode="auto">
                                <a:xfrm>
                                  <a:off x="26325" y="16046"/>
                                  <a:ext cx="13007"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2. RACH Preamble</w:t>
                                    </w:r>
                                  </w:p>
                                </w:txbxContent>
                              </wps:txbx>
                              <wps:bodyPr rot="0" vert="horz" wrap="square" lIns="91440" tIns="45720" rIns="91440" bIns="45720" anchor="t" anchorCtr="0" upright="1">
                                <a:spAutoFit/>
                              </wps:bodyPr>
                            </wps:wsp>
                            <wps:wsp>
                              <wps:cNvPr id="28" name="文本框 31"/>
                              <wps:cNvSpPr txBox="1">
                                <a:spLocks noChangeArrowheads="1"/>
                              </wps:cNvSpPr>
                              <wps:spPr bwMode="auto">
                                <a:xfrm>
                                  <a:off x="27013" y="23776"/>
                                  <a:ext cx="10923"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4. RA response</w:t>
                                    </w:r>
                                  </w:p>
                                </w:txbxContent>
                              </wps:txbx>
                              <wps:bodyPr rot="0" vert="horz" wrap="square" lIns="91440" tIns="45720" rIns="91440" bIns="45720" anchor="t" anchorCtr="0" upright="1">
                                <a:spAutoFit/>
                              </wps:bodyPr>
                            </wps:wsp>
                            <wps:wsp>
                              <wps:cNvPr id="29" name="文本框 32"/>
                              <wps:cNvSpPr txBox="1">
                                <a:spLocks noChangeArrowheads="1"/>
                              </wps:cNvSpPr>
                              <wps:spPr bwMode="auto">
                                <a:xfrm>
                                  <a:off x="21017" y="31308"/>
                                  <a:ext cx="23618"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6. RRC Resume Request</w:t>
                                    </w:r>
                                  </w:p>
                                </w:txbxContent>
                              </wps:txbx>
                              <wps:bodyPr rot="0" vert="horz" wrap="square" lIns="91440" tIns="45720" rIns="91440" bIns="45720" anchor="t" anchorCtr="0" upright="1">
                                <a:spAutoFit/>
                              </wps:bodyPr>
                            </wps:wsp>
                            <wps:wsp>
                              <wps:cNvPr id="30" name="文本框 33"/>
                              <wps:cNvSpPr txBox="1">
                                <a:spLocks noChangeArrowheads="1"/>
                              </wps:cNvSpPr>
                              <wps:spPr bwMode="auto">
                                <a:xfrm>
                                  <a:off x="24017" y="39356"/>
                                  <a:ext cx="18966"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8. RRC Resume</w:t>
                                    </w:r>
                                  </w:p>
                                </w:txbxContent>
                              </wps:txbx>
                              <wps:bodyPr rot="0" vert="horz" wrap="square" lIns="91440" tIns="45720" rIns="91440" bIns="45720" anchor="t" anchorCtr="0" upright="1">
                                <a:spAutoFit/>
                              </wps:bodyPr>
                            </wps:wsp>
                            <wps:wsp>
                              <wps:cNvPr id="31" name="文本框 34"/>
                              <wps:cNvSpPr txBox="1">
                                <a:spLocks noChangeArrowheads="1"/>
                              </wps:cNvSpPr>
                              <wps:spPr bwMode="auto">
                                <a:xfrm>
                                  <a:off x="20020" y="48308"/>
                                  <a:ext cx="26737"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10. RRC Resume Complete</w:t>
                                    </w:r>
                                  </w:p>
                                </w:txbxContent>
                              </wps:txbx>
                              <wps:bodyPr rot="0" vert="horz" wrap="square" lIns="91440" tIns="45720" rIns="91440" bIns="45720" anchor="t" anchorCtr="0" upright="1">
                                <a:spAutoFit/>
                              </wps:bodyPr>
                            </wps:wsp>
                            <wps:wsp>
                              <wps:cNvPr id="32" name="文本框 35"/>
                              <wps:cNvSpPr txBox="1">
                                <a:spLocks noChangeArrowheads="1"/>
                              </wps:cNvSpPr>
                              <wps:spPr bwMode="auto">
                                <a:xfrm rot="-5400000">
                                  <a:off x="55749" y="31255"/>
                                  <a:ext cx="19631" cy="255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Control plane procedure</w:t>
                                    </w:r>
                                  </w:p>
                                </w:txbxContent>
                              </wps:txbx>
                              <wps:bodyPr rot="0" vert="vert270" wrap="square" lIns="91440" tIns="45720" rIns="91440" bIns="45720" anchor="t" anchorCtr="0" upright="1">
                                <a:spAutoFit/>
                              </wps:bodyPr>
                            </wps:wsp>
                          </wpg:wgp>
                        </a:graphicData>
                      </a:graphic>
                    </wp:inline>
                  </w:drawing>
                </mc:Choice>
                <mc:Fallback>
                  <w:pict>
                    <v:group w14:anchorId="0804D3F0" id="Group 2" o:spid="_x0000_s1026" style="width:440pt;height:372.5pt;mso-position-horizontal-relative:char;mso-position-vertical-relative:line" coordsize="68459,5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">
                      <v:rect id="矩形 18" o:spid="_x0000_s1027" style="position:absolute;left:8638;width:11570;height:7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Fd8EA&#10;AADaAAAADwAAAGRycy9kb3ducmV2LnhtbESP3YrCMBCF74V9hzALe6fpuiLSNYosCgqCWIW9HZqx&#10;LW0mJYm1vr0RBC8P5+fjzJe9aURHzleWFXyPEhDEudUVFwrOp81wBsIHZI2NZVJwJw/Lxcdgjqm2&#10;Nz5Sl4VCxBH2KSooQ2hTKX1ekkE/si1x9C7WGQxRukJqh7c4bho5TpKpNFhxJJTY0l9JeZ1dTeR2&#10;u3Xxf7rqvD642Z4nu/tP3Sr19dmvfkEE6sM7/GpvtYIJ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MxXfBAAAA2gAAAA8AAAAAAAAAAAAAAAAAmAIAAGRycy9kb3du&#10;cmV2LnhtbFBLBQYAAAAABAAEAPUAAACGAwAAAAA=&#10;" fillcolor="#dbe5f1 [660]" strokecolor="#243f60 [1604]" strokeweight="2pt">
                        <v:textbox>
                          <w:txbxContent>
                            <w:p w:rsidR="00267286" w:rsidRDefault="00267286" w:rsidP="00470885">
                              <w:pPr>
                                <w:pStyle w:val="NormalWeb"/>
                                <w:spacing w:before="0"/>
                                <w:jc w:val="center"/>
                              </w:pPr>
                              <w:r>
                                <w:rPr>
                                  <w:rFonts w:ascii="Arial" w:hAnsi="Arial" w:cs="Arial"/>
                                  <w:color w:val="000000" w:themeColor="text1"/>
                                  <w:kern w:val="24"/>
                                  <w:sz w:val="20"/>
                                  <w:szCs w:val="20"/>
                                </w:rPr>
                                <w:t>UE</w:t>
                              </w:r>
                            </w:p>
                          </w:txbxContent>
                        </v:textbox>
                      </v:rect>
                      <v:rect id="矩形 19" o:spid="_x0000_s1028" style="position:absolute;left:43285;width:11570;height:7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g7MIA&#10;AADaAAAADwAAAGRycy9kb3ducmV2LnhtbESPX2vCMBTF34V9h3AHvmnqNod0xjLGBgqC2A72emmu&#10;bWlzU5K01m+/CIM9Hs6fH2ebTaYTIznfWFawWiYgiEurG64UfBdfiw0IH5A1dpZJwY08ZLuH2RZT&#10;ba98pjEPlYgj7FNUUIfQp1L6siaDfml74uhdrDMYonSV1A6vcdx08ilJXqXBhiOhxp4+airbfDCR&#10;Ox4+q59i0GV7cpsjvxxuz22v1Pxxen8DEWgK/+G/9l4rWMP9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GDswgAAANoAAAAPAAAAAAAAAAAAAAAAAJgCAABkcnMvZG93&#10;bnJldi54bWxQSwUGAAAAAAQABAD1AAAAhwMAAAAA&#10;" fillcolor="#dbe5f1 [660]" strokecolor="#243f60 [1604]" strokeweight="2pt">
                        <v:textbox>
                          <w:txbxContent>
                            <w:p w:rsidR="00267286" w:rsidRDefault="00267286" w:rsidP="00470885">
                              <w:pPr>
                                <w:pStyle w:val="NormalWeb"/>
                                <w:spacing w:before="0"/>
                                <w:jc w:val="center"/>
                              </w:pPr>
                              <w:r w:rsidRPr="006E20BE">
                                <w:rPr>
                                  <w:rFonts w:ascii="Arial" w:hAnsi="Arial" w:cs="Arial"/>
                                  <w:color w:val="000000" w:themeColor="text1"/>
                                  <w:kern w:val="24"/>
                                  <w:sz w:val="20"/>
                                  <w:szCs w:val="20"/>
                                </w:rPr>
                                <w:t>gNB</w:t>
                              </w:r>
                            </w:p>
                          </w:txbxContent>
                        </v:textbox>
                      </v:rect>
                      <v:shapetype id="_x0000_t32" coordsize="21600,21600" o:spt="32" o:oned="t" path="m,l21600,21600e" filled="f">
                        <v:path arrowok="t" fillok="f" o:connecttype="none"/>
                        <o:lock v:ext="edit" shapetype="t"/>
                      </v:shapetype>
                      <v:shape id="直接箭头连接符 20" o:spid="_x0000_s1029" type="#_x0000_t32" style="position:absolute;left:14423;top:7744;width:0;height:50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GgMIAAADaAAAADwAAAGRycy9kb3ducmV2LnhtbESPT2vCQBTE70K/w/KE3szGHqTErKJi&#10;oD3Wqudn9pmEZN+m2c0fv323UPA4zMxvmHQ7mUYM1LnKsoJlFIMgzq2uuFBw/s4W7yCcR9bYWCYF&#10;D3Kw3bzMUky0HfmLhpMvRICwS1BB6X2bSOnykgy6yLbEwbvbzqAPsiuk7nAMcNPItzheSYMVh4US&#10;WzqUlNen3igYjnQrPof9z/HS14+dzvqrqXulXufTbg3C0+Sf4f/2h1awgr8r4Qb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EGgMIAAADaAAAADwAAAAAAAAAAAAAA&#10;AAChAgAAZHJzL2Rvd25yZXYueG1sUEsFBgAAAAAEAAQA+QAAAJADAAAAAA==&#10;" strokecolor="#365f91 [2404]">
                        <v:stroke endarrow="block"/>
                      </v:shape>
                      <v:shape id="直接箭头连接符 21" o:spid="_x0000_s1030" type="#_x0000_t32" style="position:absolute;left:49070;top:7744;width:0;height:50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2jG8IAAADaAAAADwAAAGRycy9kb3ducmV2LnhtbESPzW7CMBCE75V4B2sr9VaccihViIMA&#10;gdQeS4HzEi9JlHgdYufv7WukSj2OZuYbTbIeTS16al1pWcHbPAJBnFldcq7g9HN4/QDhPLLG2jIp&#10;mMjBOp09JRhrO/A39UefiwBhF6OCwvsmltJlBRl0c9sQB+9mW4M+yDaXusUhwE0tF1H0Lg2WHBYK&#10;bGhXUFYdO6Og39M1/+q39/25q6aNPnQXU3VKvTyPmxUIT6P/D/+1P7WCJTyuhBs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2jG8IAAADaAAAADwAAAAAAAAAAAAAA&#10;AAChAgAAZHJzL2Rvd25yZXYueG1sUEsFBgAAAAAEAAQA+QAAAJADAAAAAA==&#10;" strokecolor="#365f91 [2404]">
                        <v:stroke endarrow="block"/>
                      </v:shape>
                      <v:rect id="矩形 22" o:spid="_x0000_s1031" style="position:absolute;top:10356;width:14236;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5Rb8A&#10;AADaAAAADwAAAGRycy9kb3ducmV2LnhtbERPz2vCMBS+D/wfwhO8zVTBMatRRBTdadMpXh/Nsy02&#10;LyWJbfWvN4fBjh/f7/myM5VoyPnSsoLRMAFBnFldcq7g9Lt9/wThA7LGyjIpeJCH5aL3NsdU25YP&#10;1BxDLmII+xQVFCHUqZQ+K8igH9qaOHJX6wyGCF0utcM2hptKjpPkQxosOTYUWNO6oOx2vBsF2ff0&#10;x12aya45GK6/bDs9PzdBqUG/W81ABOrCv/jPvdcK4tZ4Jd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J7lFvwAAANoAAAAPAAAAAAAAAAAAAAAAAJgCAABkcnMvZG93bnJl&#10;di54bWxQSwUGAAAAAAQABAD1AAAAhAMAAAAA&#10;" fillcolor="#dbe5f1 [660]" stroked="f" strokeweight="2pt"/>
                      <v:shapetype id="_x0000_t202" coordsize="21600,21600" o:spt="202" path="m,l,21600r21600,l21600,xe">
                        <v:stroke joinstyle="miter"/>
                        <v:path gradientshapeok="t" o:connecttype="rect"/>
                      </v:shapetype>
                      <v:shape id="文本框 9" o:spid="_x0000_s1032" type="#_x0000_t202" style="position:absolute;left:629;top:10460;width:13793;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1. Delay for RACH Scheduling Period</w:t>
                              </w:r>
                            </w:p>
                          </w:txbxContent>
                        </v:textbox>
                      </v:shape>
                      <v:rect id="矩形 30" o:spid="_x0000_s1033" style="position:absolute;left:49210;top:18785;width:10559;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rHsIA&#10;AADbAAAADwAAAGRycy9kb3ducmV2LnhtbERPTWvCQBC9C/6HZYTedJNCpUbXUMTSerLaitchOyah&#10;2dmwu03S/vquIHibx/ucVT6YRnTkfG1ZQTpLQBAXVtdcKvj6fJ0+g/ABWWNjmRT8kod8PR6tMNO2&#10;5wN1x1CKGMI+QwVVCG0mpS8qMuhntiWO3MU6gyFCV0rtsI/hppGPSTKXBmuODRW2tKmo+D7+GAXF&#10;fvHhzt3TW3cw3O5svzj9bYNSD5PhZQki0BDu4pv7Xcf5KV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CsewgAAANsAAAAPAAAAAAAAAAAAAAAAAJgCAABkcnMvZG93&#10;bnJldi54bWxQSwUGAAAAAAQABAD1AAAAhwMAAAAA&#10;" fillcolor="#dbe5f1 [660]" stroked="f" strokeweight="2pt"/>
                      <v:shape id="文本框 11" o:spid="_x0000_s1034" type="#_x0000_t202" style="position:absolute;left:49487;top:18887;width:10284;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 xml:space="preserve">3. Processing delay in </w:t>
                              </w:r>
                              <w:r w:rsidRPr="006E20BE">
                                <w:rPr>
                                  <w:rFonts w:ascii="Arial" w:hAnsi="Arial" w:cs="Arial"/>
                                  <w:color w:val="000000" w:themeColor="text1"/>
                                  <w:kern w:val="24"/>
                                  <w:sz w:val="16"/>
                                  <w:szCs w:val="16"/>
                                </w:rPr>
                                <w:t>gNB</w:t>
                              </w:r>
                            </w:p>
                          </w:txbxContent>
                        </v:textbox>
                      </v:shape>
                      <v:rect id="矩形 33" o:spid="_x0000_s1035" style="position:absolute;left:3926;top:26732;width:10310;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Q8sIA&#10;AADbAAAADwAAAGRycy9kb3ducmV2LnhtbERPTWvCQBC9C/6HZYTedKPFUqOriLTUntRU8Tpkp0lo&#10;djbsbpO0v74rFLzN433OatObWrTkfGVZwXSSgCDOra64UHD+eB0/g/ABWWNtmRT8kIfNejhYYapt&#10;xydqs1CIGMI+RQVlCE0qpc9LMugntiGO3Kd1BkOErpDaYRfDTS1nSfIkDVYcG0psaFdS/pV9GwX5&#10;YXF013b+1p4MN++2W1x+X4JSD6N+uwQRqA938b97r+P8R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hDywgAAANsAAAAPAAAAAAAAAAAAAAAAAJgCAABkcnMvZG93&#10;bnJldi54bWxQSwUGAAAAAAQABAD1AAAAhwMAAAAA&#10;" fillcolor="#dbe5f1 [660]" stroked="f" strokeweight="2pt"/>
                      <v:shape id="文本框 13" o:spid="_x0000_s1036" type="#_x0000_t202" style="position:absolute;left:4205;top:26833;width:10028;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5. Processing delay in UE</w:t>
                              </w:r>
                            </w:p>
                          </w:txbxContent>
                        </v:textbox>
                      </v:shape>
                      <v:shape id="直接箭头连接符 35" o:spid="_x0000_s1037" type="#_x0000_t32" style="position:absolute;left:14423;top:15208;width:34647;height:3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SnIcIAAADbAAAADwAAAGRycy9kb3ducmV2LnhtbERPS4vCMBC+C/6HMAt703RlFemaioiC&#10;4kF8HDwOzWxb2kxKk9bu/nojCN7m43vOYtmbSnTUuMKygq9xBII4tbrgTMH1sh3NQTiPrLGyTAr+&#10;yMEyGQ4WGGt75xN1Z5+JEMIuRgW593UspUtzMujGtiYO3K9tDPoAm0zqBu8h3FRyEkUzabDg0JBj&#10;Teuc0vLcGgXf+0l3+Zf2uG9vh007lZtupUulPj/61Q8IT71/i1/unQ7zp/D8JR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SnIcIAAADbAAAADwAAAAAAAAAAAAAA&#10;AAChAgAAZHJzL2Rvd25yZXYueG1sUEsFBgAAAAAEAAQA+QAAAJADAAAAAA==&#10;" strokecolor="#4579b8 [3044]" strokeweight="2.25pt">
                        <v:stroke endarrow="block"/>
                      </v:shape>
                      <v:shape id="直接箭头连接符 36" o:spid="_x0000_s1038" type="#_x0000_t32" style="position:absolute;left:14563;top:23139;width:34507;height:36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kFcMAAADbAAAADwAAAGRycy9kb3ducmV2LnhtbESPT2vDMAzF74V9B6PBbq2zDkrI6pay&#10;UZrb6J/LbiLWkrBYzmwtyb79XCj0JvHe7+lpvZ1cpwYKsfVs4HmRgSKuvG25NnA57+c5qCjIFjvP&#10;ZOCPImw3D7M1FtaPfKThJLVKIRwLNNCI9IXWsWrIYVz4njhpXz44lLSGWtuAYwp3nV5m2Uo7bDld&#10;aLCnt4aq79OvSzXkM5f30pV2d/55GfLx8NGHgzFPj9PuFZTQJHfzjS5t4lZw/SUNo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pBXDAAAA2wAAAA8AAAAAAAAAAAAA&#10;AAAAoQIAAGRycy9kb3ducmV2LnhtbFBLBQYAAAAABAAEAPkAAACRAwAAAAA=&#10;" strokecolor="#4579b8 [3044]" strokeweight="2.25pt">
                        <v:stroke endarrow="block"/>
                      </v:shape>
                      <v:shape id="直接箭头连接符 37" o:spid="_x0000_s1039" type="#_x0000_t32" style="position:absolute;left:14423;top:30755;width:34647;height:3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qczcMAAADbAAAADwAAAGRycy9kb3ducmV2LnhtbERPTWvCQBC9F/oflil4azYVrRJdRYqC&#10;0kPRePA4ZMdsMDsbspuY9te7hUJv83ifs1wPthY9tb5yrOAtSUEQF05XXCo457vXOQgfkDXWjknB&#10;N3lYr56flphpd+cj9adQihjCPkMFJoQmk9IXhiz6xDXEkbu61mKIsC2lbvEew20tx2n6Li1WHBsM&#10;NvRhqLidOqtgchj3+Y90X4fu8rntpnLbb/RNqdHLsFmACDSEf/Gfe6/j/Bn8/h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KnM3DAAAA2wAAAA8AAAAAAAAAAAAA&#10;AAAAoQIAAGRycy9kb3ducmV2LnhtbFBLBQYAAAAABAAEAPkAAACRAwAAAAA=&#10;" strokecolor="#4579b8 [3044]" strokeweight="2.25pt">
                        <v:stroke endarrow="block"/>
                      </v:shape>
                      <v:rect id="矩形 38" o:spid="_x0000_s1040" style="position:absolute;left:49345;top:34429;width:10560;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Cg8QA&#10;AADbAAAADwAAAGRycy9kb3ducmV2LnhtbESPQWvCQBCF7wX/wzKCt7qpYKnRVYootadW2+J1yE6T&#10;0Oxs2N0m0V/vHAq9zfDevPfNajO4RnUUYu3ZwMM0A0VceFtzaeDzY3//BComZIuNZzJwoQib9ehu&#10;hbn1PR+pO6VSSQjHHA1UKbW51rGoyGGc+pZYtG8fHCZZQ6ltwF7CXaNnWfaoHdYsDRW2tK2o+Dn9&#10;OgPF2+I9nLv5S3d03L76fvF13SVjJuPheQkq0ZD+zX/XByv4Aiu/yAB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goPEAAAA2wAAAA8AAAAAAAAAAAAAAAAAmAIAAGRycy9k&#10;b3ducmV2LnhtbFBLBQYAAAAABAAEAPUAAACJAwAAAAA=&#10;" fillcolor="#dbe5f1 [660]" stroked="f" strokeweight="2pt"/>
                      <v:shape id="文本框 20" o:spid="_x0000_s1041" type="#_x0000_t202" style="position:absolute;left:49279;top:34530;width:10277;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 xml:space="preserve">7. Processing delay in </w:t>
                              </w:r>
                              <w:r w:rsidRPr="006E20BE">
                                <w:rPr>
                                  <w:rFonts w:ascii="Arial" w:hAnsi="Arial" w:cs="Arial"/>
                                  <w:color w:val="000000" w:themeColor="text1"/>
                                  <w:kern w:val="24"/>
                                  <w:sz w:val="16"/>
                                  <w:szCs w:val="16"/>
                                </w:rPr>
                                <w:t>gNB</w:t>
                              </w:r>
                            </w:p>
                          </w:txbxContent>
                        </v:textbox>
                      </v:shape>
                      <v:shape id="直接箭头连接符 40" o:spid="_x0000_s1042" type="#_x0000_t32" style="position:absolute;left:14493;top:38873;width:34507;height:36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TR8IAAADbAAAADwAAAGRycy9kb3ducmV2LnhtbESPwUrDQBCG74LvsIzgzW6sICF2W0pF&#10;mpvYevE2ZMckNDsbd8ckvr1zEDwO//zffLPZLWEwE6XcR3ZwvyrAEDfR99w6eD+/3JVgsiB7HCKT&#10;gx/KsNteX22w8nHmN5pO0hqFcK7QQScyVtbmpqOAeRVHYs0+YwooOqbW+oSzwsNg10XxaAP2rBc6&#10;HOnQUXM5fQfVkI9SnutQ+/3562Eq5+PrmI7O3d4s+ycwQov8L/+1a+9grfb6iwL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1TR8IAAADbAAAADwAAAAAAAAAAAAAA&#10;AAChAgAAZHJzL2Rvd25yZXYueG1sUEsFBgAAAAAEAAQA+QAAAJADAAAAAA==&#10;" strokecolor="#4579b8 [3044]" strokeweight="2.25pt">
                        <v:stroke endarrow="block"/>
                      </v:shape>
                      <v:rect id="矩形 41" o:spid="_x0000_s1043" style="position:absolute;left:4042;top:42443;width:10311;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ho8MA&#10;AADbAAAADwAAAGRycy9kb3ducmV2LnhtbESPQWvCQBSE70L/w/IK3nSjYKnRVUpp0Z6sVvH6yD6T&#10;YPZt2F2T6K93BaHHYWa+YebLzlSiIedLywpGwwQEcWZ1ybmC/d/34B2ED8gaK8uk4EoelouX3hxT&#10;bVveUrMLuYgQ9ikqKEKoUyl9VpBBP7Q1cfRO1hkMUbpcaodthJtKjpPkTRosOS4UWNNnQdl5dzEK&#10;ss301x2byarZGq5/bDs93L6CUv3X7mMGIlAX/sPP9lorGI/g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zho8MAAADbAAAADwAAAAAAAAAAAAAAAACYAgAAZHJzL2Rv&#10;d25yZXYueG1sUEsFBgAAAAAEAAQA9QAAAIgDAAAAAA==&#10;" fillcolor="#dbe5f1 [660]" stroked="f" strokeweight="2pt"/>
                      <v:shape id="文本框 23" o:spid="_x0000_s1044" type="#_x0000_t202" style="position:absolute;left:4322;top:42543;width:10028;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9. Processing delay in UE</w:t>
                              </w:r>
                            </w:p>
                          </w:txbxContent>
                        </v:textbox>
                      </v:shape>
                      <v:shape id="直接箭头连接符 43" o:spid="_x0000_s1045" type="#_x0000_t32" style="position:absolute;left:14329;top:47461;width:34648;height:3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Qc8UAAADbAAAADwAAAGRycy9kb3ducmV2LnhtbESPT2vCQBTE74V+h+UJvTUbU1skZhUp&#10;KVQ8FLUHj4/sMwlm34bs5k/76V2h0OMwM79hss1kGjFQ52rLCuZRDIK4sLrmUsH36eN5CcJ5ZI2N&#10;ZVLwQw4268eHDFNtRz7QcPSlCBB2KSqovG9TKV1RkUEX2ZY4eBfbGfRBdqXUHY4BbhqZxPGbNFhz&#10;WKiwpfeKiuuxNwoWu2Q4/Ur7tevP+7x/lfmw1VelnmbTdgXC0+T/w3/tT60geYH7l/AD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1Qc8UAAADbAAAADwAAAAAAAAAA&#10;AAAAAAChAgAAZHJzL2Rvd25yZXYueG1sUEsFBgAAAAAEAAQA+QAAAJMDAAAAAA==&#10;" strokecolor="#4579b8 [3044]" strokeweight="2.25pt">
                        <v:stroke endarrow="block"/>
                      </v:shape>
                      <v:line id="直接连接符 44" o:spid="_x0000_s1046" style="position:absolute;visibility:visible;mso-wrap-style:square" from="2072,15011" to="68459,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7LYcMAAADbAAAADwAAAGRycy9kb3ducmV2LnhtbESPT4vCMBTE74LfIbyFvciaKCLSbZRF&#10;KiwsHvxz8fZonm21ealNVuu3N4LgcZiZ3zDporO1uFLrK8caRkMFgjh3puJCw363+pqB8AHZYO2Y&#10;NNzJw2Le76WYGHfjDV23oRARwj5BDWUITSKlz0uy6IeuIY7e0bUWQ5RtIU2Ltwi3tRwrNZUWK44L&#10;JTa0LCk/b/+tBloOnLqcikM+NecM15ipP8q0/vzofr5BBOrCO/xq/xoN4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ey2HDAAAA2wAAAA8AAAAAAAAAAAAA&#10;AAAAoQIAAGRycy9kb3ducmV2LnhtbFBLBQYAAAAABAAEAPkAAACRAwAAAAA=&#10;" strokecolor="#243f60 [1604]">
                        <v:stroke dashstyle="dash"/>
                      </v:line>
                      <v:line id="直接连接符 45" o:spid="_x0000_s1047" style="position:absolute;visibility:visible;mso-wrap-style:square" from="629,47306" to="67016,4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u+sMAAADbAAAADwAAAGRycy9kb3ducmV2LnhtbESPT4vCMBTE74LfIbyFvciaKCjSbZRF&#10;KiwsHvxz8fZonm21ealNVuu3N4LgcZiZ3zDporO1uFLrK8caRkMFgjh3puJCw363+pqB8AHZYO2Y&#10;NNzJw2Le76WYGHfjDV23oRARwj5BDWUITSKlz0uy6IeuIY7e0bUWQ5RtIU2Ltwi3tRwrNZUWK44L&#10;JTa0LCk/b/+tBloOnLqcikM+NecM15ipP8q0/vzofr5BBOrCO/xq/xoN4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SbvrDAAAA2wAAAA8AAAAAAAAAAAAA&#10;AAAAoQIAAGRycy9kb3ducmV2LnhtbFBLBQYAAAAABAAEAPkAAACRAwAAAAA=&#10;" strokecolor="#243f60 [1604]">
                        <v:stroke dashstyle="dash"/>
                      </v:line>
                      <v:shape id="直接箭头连接符 46" o:spid="_x0000_s1048" type="#_x0000_t32" style="position:absolute;left:65554;top:14871;width:93;height:3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4kMYAAADbAAAADwAAAGRycy9kb3ducmV2LnhtbESPT2vCQBTE74LfYXmCF6mbepAaXUWE&#10;FnsokmgRb4/saxKafZtmN3/aT98VCj0OM/MbZrMbTCU6alxpWcHjPAJBnFldcq7gcn5+eALhPLLG&#10;yjIp+CYHu+14tMFY254T6lKfiwBhF6OCwvs6ltJlBRl0c1sTB+/DNgZ9kE0udYN9gJtKLqJoKQ2W&#10;HBYKrOlQUPaZtkbB+wnb1Vv7upr9oHlJfHZtb19XpaaTYb8G4Wnw/+G/9lErWCzh/iX8AL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U+JDGAAAA2wAAAA8AAAAAAAAA&#10;AAAAAAAAoQIAAGRycy9kb3ducmV2LnhtbFBLBQYAAAAABAAEAPkAAACUAwAAAAA=&#10;" strokecolor="#243f60 [1604]">
                        <v:stroke startarrow="open" endarrow="open"/>
                      </v:shape>
                      <v:shape id="文本框 30" o:spid="_x0000_s1049" type="#_x0000_t202" style="position:absolute;left:26325;top:16046;width:13007;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nP8MA&#10;AADbAAAADwAAAGRycy9kb3ducmV2LnhtbESPQWvCQBSE7wX/w/IEb3XTILZEN6EKgRR7qRXPz+wz&#10;CWbfLtlV03/vFgo9DjPzDbMuRtOLGw2+s6zgZZ6AIK6t7rhRcPgun99A+ICssbdMCn7IQ5FPntaY&#10;aXvnL7rtQyMihH2GCtoQXCalr1sy6OfWEUfvbAeDIcqhkXrAe4SbXqZJspQGO44LLTratlRf9lej&#10;YOmObnNNP0a9Kz+xX5RWVqdKqdl0fF+BCDSG//Bfu9IK0l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InP8MAAADbAAAADwAAAAAAAAAAAAAAAACYAgAAZHJzL2Rv&#10;d25yZXYueG1sUEsFBgAAAAAEAAQA9QAAAIgDAAAAAA==&#10;" fillcolor="white [3212]"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2. RACH Preamble</w:t>
                              </w:r>
                            </w:p>
                          </w:txbxContent>
                        </v:textbox>
                      </v:shape>
                      <v:shape id="文本框 31" o:spid="_x0000_s1050" type="#_x0000_t202" style="position:absolute;left:27013;top:23776;width:10923;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zTb4A&#10;AADbAAAADwAAAGRycy9kb3ducmV2LnhtbERPTYvCMBC9L/gfwgje1tQiItUoKhQq7kV38Tw2Y1ts&#10;JqGJWv/95iB4fLzv5bo3rXhQ5xvLCibjBARxaXXDlYK/3/x7DsIHZI2tZVLwIg/r1eBriZm2Tz7S&#10;4xQqEUPYZ6igDsFlUvqyJoN+bB1x5K62Mxgi7CqpO3zGcNPKNElm0mDDsaFGR7uaytvpbhTM3Nlt&#10;7+m+14f8B9tpbmVxKZQaDfvNAkSgPnzEb3ehFaRxbPwSf4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9s02+AAAA2wAAAA8AAAAAAAAAAAAAAAAAmAIAAGRycy9kb3ducmV2&#10;LnhtbFBLBQYAAAAABAAEAPUAAACDAwAAAAA=&#10;" fillcolor="white [3212]"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4. RA response</w:t>
                              </w:r>
                            </w:p>
                          </w:txbxContent>
                        </v:textbox>
                      </v:shape>
                      <v:shape id="文本框 32" o:spid="_x0000_s1051" type="#_x0000_t202" style="position:absolute;left:21017;top:31308;width:23618;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1sMA&#10;AADbAAAADwAAAGRycy9kb3ducmV2LnhtbESPQWvCQBSE7wX/w/IEb3XTINJGN6EKgRR7qRXPz+wz&#10;CWbfLtlV03/vFgo9DjPzDbMuRtOLGw2+s6zgZZ6AIK6t7rhRcPgun19B+ICssbdMCn7IQ5FPntaY&#10;aXvnL7rtQyMihH2GCtoQXCalr1sy6OfWEUfvbAeDIcqhkXrAe4SbXqZJspQGO44LLTratlRf9lej&#10;YOmObnNNP0a9Kz+xX5RWVqdKqdl0fF+BCDSG//Bfu9IK0j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W1sMAAADbAAAADwAAAAAAAAAAAAAAAACYAgAAZHJzL2Rv&#10;d25yZXYueG1sUEsFBgAAAAAEAAQA9QAAAIgDA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6. RRC Resume Request</w:t>
                              </w:r>
                            </w:p>
                          </w:txbxContent>
                        </v:textbox>
                      </v:shape>
                      <v:shape id="文本框 33" o:spid="_x0000_s1052" type="#_x0000_t202" style="position:absolute;left:24017;top:39356;width:18966;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plsEA&#10;AADbAAAADwAAAGRycy9kb3ducmV2LnhtbERPz2vCMBS+C/4P4Q12s+mciHRNyxwUOtzFKju/NW9t&#10;WfMSmqjdf78cBh4/vt95OZtRXGnyg2UFT0kKgri1euBOwflUrXYgfEDWOFomBb/koSyWixwzbW98&#10;pGsTOhFD2GeooA/BZVL6tieDPrGOOHLfdjIYIpw6qSe8xXAzynWabqXBgWNDj47eemp/motRsHWf&#10;bn9Zv8/6UH3guKmsrL9qpR4f5tcXEIHmcBf/u2ut4Dmuj1/iD5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KZbBAAAA2wAAAA8AAAAAAAAAAAAAAAAAmAIAAGRycy9kb3du&#10;cmV2LnhtbFBLBQYAAAAABAAEAPUAAACGAw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8. RRC Resume</w:t>
                              </w:r>
                            </w:p>
                          </w:txbxContent>
                        </v:textbox>
                      </v:shape>
                      <v:shape id="文本框 34" o:spid="_x0000_s1053" type="#_x0000_t202" style="position:absolute;left:20020;top:48308;width:26737;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MDcIA&#10;AADbAAAADwAAAGRycy9kb3ducmV2LnhtbESPT4vCMBTE78J+h/AWvGnqH2SpRnEXCl30oi6en82z&#10;LTYvoYna/fZGEDwOM/MbZrHqTCNu1PrasoLRMAFBXFhdc6ng75ANvkD4gKyxsUwK/snDavnRW2Cq&#10;7Z13dNuHUkQI+xQVVCG4VEpfVGTQD60jjt7ZtgZDlG0pdYv3CDeNHCfJTBqsOS5U6OinouKyvxoF&#10;M3d039fxb6c32RabaWZlfsqV6n926zmIQF14h1/tXCuYj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owNwgAAANsAAAAPAAAAAAAAAAAAAAAAAJgCAABkcnMvZG93&#10;bnJldi54bWxQSwUGAAAAAAQABAD1AAAAhwM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10. RRC Resume Complete</w:t>
                              </w:r>
                            </w:p>
                          </w:txbxContent>
                        </v:textbox>
                      </v:shape>
                      <v:shape id="文本框 35" o:spid="_x0000_s1054" type="#_x0000_t202" style="position:absolute;left:55749;top:31255;width:19631;height:25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3BcIA&#10;AADbAAAADwAAAGRycy9kb3ducmV2LnhtbESP0WoCMRRE3wv9h3ALfatZFWS7GkUK1j6oqPUDLpvr&#10;7uLmZkmiWf/eCIU+DjNzhpktetOKGznfWFYwHGQgiEurG64UnH5XHzkIH5A1tpZJwZ08LOavLzMs&#10;tI18oNsxVCJB2BeooA6hK6T0ZU0G/cB2xMk7W2cwJOkqqR3GBDetHGXZRBpsOC3U2NFXTeXleDUK&#10;5Das9jFe89Z92/XOfOY7jBul3t/65RREoD78h//aP1rBeAT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DcFwgAAANsAAAAPAAAAAAAAAAAAAAAAAJgCAABkcnMvZG93&#10;bnJldi54bWxQSwUGAAAAAAQABAD1AAAAhwMAAAAA&#10;" fillcolor="white [3212]" stroked="f">
                        <v:textbox style="layout-flow:vertical;mso-layout-flow-alt:bottom-to-top;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Control plane procedure</w:t>
                              </w:r>
                            </w:p>
                          </w:txbxContent>
                        </v:textbox>
                      </v:shape>
                      <w10:anchorlock/>
                    </v:group>
                  </w:pict>
                </mc:Fallback>
              </mc:AlternateContent>
            </w:r>
          </w:p>
        </w:tc>
      </w:tr>
    </w:tbl>
    <w:p w:rsidR="00AE0549" w:rsidRPr="00A604A3" w:rsidRDefault="00AE0549" w:rsidP="00FA62B0">
      <w:pPr>
        <w:rPr>
          <w:lang w:eastAsia="zh-CN"/>
        </w:rPr>
      </w:pPr>
      <w:r w:rsidRPr="00A604A3">
        <w:rPr>
          <w:lang w:eastAsia="zh-CN"/>
        </w:rPr>
        <w:t>The detailed assumptions of each step are provided in Table 5.7.2.1-1 of TR 37.910 [14] and is rewritten below (Table 108) for convenience.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FA62B0" w:rsidRPr="00A604A3" w:rsidRDefault="00FA62B0" w:rsidP="00FA62B0">
      <w:pPr>
        <w:pStyle w:val="TableNo"/>
        <w:rPr>
          <w:rFonts w:eastAsia="MS Mincho"/>
        </w:rPr>
      </w:pPr>
      <w:bookmarkStart w:id="485" w:name="_Ref13578629"/>
      <w:bookmarkStart w:id="486" w:name="_Toc28265773"/>
      <w:bookmarkStart w:id="487" w:name="_Toc28277008"/>
      <w:bookmarkStart w:id="488" w:name="_Toc32066434"/>
      <w:r w:rsidRPr="00A604A3">
        <w:rPr>
          <w:rFonts w:eastAsia="MS Mincho"/>
        </w:rPr>
        <w:t>Table 108</w:t>
      </w:r>
    </w:p>
    <w:p w:rsidR="00FA62B0" w:rsidRPr="00A604A3" w:rsidRDefault="00FA62B0" w:rsidP="00FA62B0">
      <w:pPr>
        <w:pStyle w:val="Tabletitle"/>
        <w:rPr>
          <w:rFonts w:eastAsia="MS Mincho"/>
        </w:rPr>
      </w:pPr>
      <w:r w:rsidRPr="00A604A3">
        <w:rPr>
          <w:rFonts w:eastAsia="MS Mincho"/>
        </w:rPr>
        <w:t>Assumption of C-plane procedure for NR</w:t>
      </w:r>
      <w:bookmarkEnd w:id="485"/>
      <w:bookmarkEnd w:id="486"/>
      <w:bookmarkEnd w:id="487"/>
      <w:bookmarkEnd w:id="488"/>
    </w:p>
    <w:tbl>
      <w:tblPr>
        <w:tblStyle w:val="TableGrid"/>
        <w:tblW w:w="8926" w:type="dxa"/>
        <w:jc w:val="center"/>
        <w:tblLayout w:type="fixed"/>
        <w:tblLook w:val="0600" w:firstRow="0" w:lastRow="0" w:firstColumn="0" w:lastColumn="0" w:noHBand="1" w:noVBand="1"/>
      </w:tblPr>
      <w:tblGrid>
        <w:gridCol w:w="988"/>
        <w:gridCol w:w="4364"/>
        <w:gridCol w:w="3574"/>
      </w:tblGrid>
      <w:tr w:rsidR="00AE0549" w:rsidRPr="00A604A3" w:rsidTr="00944B5C">
        <w:trPr>
          <w:tblHeader/>
          <w:jc w:val="center"/>
        </w:trPr>
        <w:tc>
          <w:tcPr>
            <w:tcW w:w="988" w:type="dxa"/>
            <w:hideMark/>
          </w:tcPr>
          <w:p w:rsidR="00AE0549" w:rsidRPr="00A604A3" w:rsidRDefault="00AE0549" w:rsidP="00944B5C">
            <w:pPr>
              <w:snapToGrid w:val="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Step</w:t>
            </w:r>
          </w:p>
        </w:tc>
        <w:tc>
          <w:tcPr>
            <w:tcW w:w="4364" w:type="dxa"/>
            <w:hideMark/>
          </w:tcPr>
          <w:p w:rsidR="00AE0549" w:rsidRPr="00A604A3" w:rsidRDefault="00AE0549" w:rsidP="00470885">
            <w:pPr>
              <w:snapToGrid w:val="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Description</w:t>
            </w:r>
          </w:p>
        </w:tc>
        <w:tc>
          <w:tcPr>
            <w:tcW w:w="3574" w:type="dxa"/>
            <w:hideMark/>
          </w:tcPr>
          <w:p w:rsidR="00AE0549" w:rsidRPr="00A604A3" w:rsidRDefault="00AE0549" w:rsidP="00944B5C">
            <w:pPr>
              <w:snapToGrid w:val="0"/>
              <w:spacing w:before="6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 xml:space="preserve">CP Latency for UL data transfer </w:t>
            </w:r>
            <w:r w:rsidR="00944B5C" w:rsidRPr="00A604A3">
              <w:rPr>
                <w:rFonts w:eastAsia="DengXian"/>
                <w:b/>
                <w:color w:val="000000" w:themeColor="text1"/>
                <w:kern w:val="24"/>
                <w:sz w:val="22"/>
                <w:lang w:eastAsia="sv-SE"/>
              </w:rPr>
              <w:br/>
            </w:r>
            <w:r w:rsidRPr="00A604A3">
              <w:rPr>
                <w:rFonts w:eastAsia="DengXian"/>
                <w:b/>
                <w:color w:val="000000" w:themeColor="text1"/>
                <w:kern w:val="24"/>
                <w:sz w:val="22"/>
                <w:lang w:eastAsia="sv-SE"/>
              </w:rPr>
              <w:t>[ms]</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1</w:t>
            </w:r>
          </w:p>
        </w:tc>
        <w:tc>
          <w:tcPr>
            <w:tcW w:w="4364" w:type="dxa"/>
            <w:hideMark/>
          </w:tcPr>
          <w:p w:rsidR="00AE0549" w:rsidRPr="00A604A3" w:rsidRDefault="00AE0549" w:rsidP="00944B5C">
            <w:pPr>
              <w:pStyle w:val="Tabletext"/>
              <w:rPr>
                <w:lang w:eastAsia="sv-SE"/>
              </w:rPr>
            </w:pPr>
            <w:r w:rsidRPr="00A604A3">
              <w:rPr>
                <w:lang w:eastAsia="sv-SE"/>
              </w:rPr>
              <w:t>Delay due to RACH scheduling period (1TTI)</w:t>
            </w:r>
          </w:p>
        </w:tc>
        <w:tc>
          <w:tcPr>
            <w:tcW w:w="3574" w:type="dxa"/>
            <w:hideMark/>
          </w:tcPr>
          <w:p w:rsidR="00AE0549" w:rsidRPr="00A604A3" w:rsidRDefault="00AE0549" w:rsidP="00944B5C">
            <w:pPr>
              <w:pStyle w:val="Tabletext"/>
              <w:rPr>
                <w:lang w:eastAsia="sv-SE"/>
              </w:rPr>
            </w:pPr>
            <w:r w:rsidRPr="00A604A3">
              <w:rPr>
                <w:lang w:eastAsia="sv-SE"/>
              </w:rPr>
              <w:t>0</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2</w:t>
            </w:r>
          </w:p>
        </w:tc>
        <w:tc>
          <w:tcPr>
            <w:tcW w:w="4364" w:type="dxa"/>
            <w:hideMark/>
          </w:tcPr>
          <w:p w:rsidR="00AE0549" w:rsidRPr="00A604A3" w:rsidRDefault="00AE0549" w:rsidP="00944B5C">
            <w:pPr>
              <w:pStyle w:val="Tabletext"/>
              <w:rPr>
                <w:lang w:eastAsia="sv-SE"/>
              </w:rPr>
            </w:pPr>
            <w:r w:rsidRPr="00A604A3">
              <w:rPr>
                <w:lang w:eastAsia="sv-SE"/>
              </w:rPr>
              <w:t>Transmission of RACH Preamble</w:t>
            </w:r>
          </w:p>
        </w:tc>
        <w:tc>
          <w:tcPr>
            <w:tcW w:w="3574" w:type="dxa"/>
            <w:hideMark/>
          </w:tcPr>
          <w:p w:rsidR="00AE0549" w:rsidRPr="00A604A3" w:rsidRDefault="00AE0549" w:rsidP="00944B5C">
            <w:pPr>
              <w:pStyle w:val="Tabletext"/>
              <w:rPr>
                <w:lang w:eastAsia="sv-SE"/>
              </w:rPr>
            </w:pPr>
            <w:r w:rsidRPr="00A604A3">
              <w:rPr>
                <w:lang w:eastAsia="sv-SE"/>
              </w:rPr>
              <w:t>Length of the preamble according to the PRACH format as specified in [10]</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3</w:t>
            </w:r>
          </w:p>
        </w:tc>
        <w:tc>
          <w:tcPr>
            <w:tcW w:w="4364" w:type="dxa"/>
            <w:hideMark/>
          </w:tcPr>
          <w:p w:rsidR="00AE0549" w:rsidRPr="00A604A3" w:rsidRDefault="00AE0549" w:rsidP="00944B5C">
            <w:pPr>
              <w:pStyle w:val="Tabletext"/>
              <w:rPr>
                <w:lang w:eastAsia="sv-SE"/>
              </w:rPr>
            </w:pPr>
            <w:r w:rsidRPr="00A604A3">
              <w:rPr>
                <w:lang w:eastAsia="sv-SE"/>
              </w:rPr>
              <w:t>Preamble detection and processing in gNB</w:t>
            </w:r>
          </w:p>
        </w:tc>
        <w:tc>
          <w:tcPr>
            <w:tcW w:w="3574" w:type="dxa"/>
            <w:hideMark/>
          </w:tcPr>
          <w:p w:rsidR="00AE0549" w:rsidRPr="00A604A3" w:rsidRDefault="00AE0549" w:rsidP="00944B5C">
            <w:pPr>
              <w:pStyle w:val="Tabletext"/>
              <w:rPr>
                <w:lang w:eastAsia="sv-SE"/>
              </w:rPr>
            </w:pPr>
            <w:r w:rsidRPr="00A604A3">
              <w:rPr>
                <w:lang w:eastAsia="sv-SE"/>
              </w:rPr>
              <w:t>Tproc,2 (assuming d</w:t>
            </w:r>
            <w:r w:rsidRPr="00A604A3">
              <w:rPr>
                <w:vertAlign w:val="subscript"/>
                <w:lang w:eastAsia="sv-SE"/>
              </w:rPr>
              <w:t>2,1</w:t>
            </w:r>
            <w:r w:rsidRPr="00A604A3">
              <w:rPr>
                <w:lang w:eastAsia="sv-SE"/>
              </w:rPr>
              <w:t>=0)</w:t>
            </w:r>
          </w:p>
        </w:tc>
      </w:tr>
      <w:tr w:rsidR="00AE0549" w:rsidRPr="00A604A3" w:rsidTr="00944B5C">
        <w:trPr>
          <w:jc w:val="center"/>
        </w:trPr>
        <w:tc>
          <w:tcPr>
            <w:tcW w:w="988" w:type="dxa"/>
          </w:tcPr>
          <w:p w:rsidR="00AE0549" w:rsidRPr="00A604A3" w:rsidRDefault="00AE0549" w:rsidP="00944B5C">
            <w:pPr>
              <w:pStyle w:val="Tabletext"/>
              <w:jc w:val="center"/>
              <w:rPr>
                <w:lang w:eastAsia="sv-SE"/>
              </w:rPr>
            </w:pPr>
            <w:r w:rsidRPr="00A604A3">
              <w:rPr>
                <w:lang w:eastAsia="sv-SE"/>
              </w:rPr>
              <w:t>4</w:t>
            </w:r>
          </w:p>
        </w:tc>
        <w:tc>
          <w:tcPr>
            <w:tcW w:w="4364" w:type="dxa"/>
          </w:tcPr>
          <w:p w:rsidR="00AE0549" w:rsidRPr="00A604A3" w:rsidRDefault="00AE0549" w:rsidP="00944B5C">
            <w:pPr>
              <w:pStyle w:val="Tabletext"/>
              <w:rPr>
                <w:lang w:eastAsia="sv-SE"/>
              </w:rPr>
            </w:pPr>
            <w:r w:rsidRPr="00A604A3">
              <w:rPr>
                <w:lang w:eastAsia="sv-SE"/>
              </w:rPr>
              <w:t>Transmission of RA response</w:t>
            </w:r>
          </w:p>
        </w:tc>
        <w:tc>
          <w:tcPr>
            <w:tcW w:w="3574" w:type="dxa"/>
          </w:tcPr>
          <w:p w:rsidR="00AE0549" w:rsidRPr="00A604A3" w:rsidRDefault="00AE0549" w:rsidP="00944B5C">
            <w:pPr>
              <w:pStyle w:val="Tabletext"/>
              <w:rPr>
                <w:lang w:eastAsia="sv-SE"/>
              </w:rPr>
            </w:pPr>
            <w:r w:rsidRPr="00A604A3">
              <w:rPr>
                <w:lang w:eastAsia="sv-SE"/>
              </w:rPr>
              <w:t>Ts (the length of 1 slot / non-slot)</w:t>
            </w:r>
          </w:p>
          <w:p w:rsidR="00AE0549" w:rsidRPr="00A604A3" w:rsidRDefault="00AE0549" w:rsidP="00944B5C">
            <w:pPr>
              <w:pStyle w:val="Tabletext"/>
              <w:rPr>
                <w:lang w:eastAsia="sv-SE"/>
              </w:rPr>
            </w:pPr>
            <w:r w:rsidRPr="00A604A3">
              <w:rPr>
                <w:lang w:eastAsia="sv-SE"/>
              </w:rPr>
              <w:t xml:space="preserve">NOTE: The length of 1 slot or 1 non-slot include PDCCH and PDSCH (the first </w:t>
            </w:r>
            <w:r w:rsidRPr="00A604A3">
              <w:rPr>
                <w:lang w:eastAsia="sv-SE"/>
              </w:rPr>
              <w:lastRenderedPageBreak/>
              <w:t>OFDM symbol of PDSCH is frequency multiplexed with PDCCH).</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lastRenderedPageBreak/>
              <w:t>5</w:t>
            </w:r>
          </w:p>
        </w:tc>
        <w:tc>
          <w:tcPr>
            <w:tcW w:w="4364" w:type="dxa"/>
            <w:hideMark/>
          </w:tcPr>
          <w:p w:rsidR="00AE0549" w:rsidRPr="00A604A3" w:rsidRDefault="00AE0549" w:rsidP="00944B5C">
            <w:pPr>
              <w:pStyle w:val="Tabletext"/>
              <w:rPr>
                <w:lang w:eastAsia="sv-SE"/>
              </w:rPr>
            </w:pPr>
            <w:r w:rsidRPr="00A604A3">
              <w:rPr>
                <w:lang w:eastAsia="sv-SE"/>
              </w:rPr>
              <w:t>UE Processing Delay (decoding of scheduling grant, timing alignment and C-RNTI assignment + L1 encoding of RRC Resume Request)</w:t>
            </w:r>
          </w:p>
        </w:tc>
        <w:tc>
          <w:tcPr>
            <w:tcW w:w="3574" w:type="dxa"/>
            <w:hideMark/>
          </w:tcPr>
          <w:p w:rsidR="00AE0549" w:rsidRPr="00A604A3" w:rsidRDefault="00AE0549" w:rsidP="00944B5C">
            <w:pPr>
              <w:pStyle w:val="Tabletext"/>
              <w:rPr>
                <w:lang w:eastAsia="sv-SE"/>
              </w:rPr>
            </w:pPr>
            <w:r w:rsidRPr="00A604A3">
              <w:rPr>
                <w:lang w:eastAsia="sv-SE"/>
              </w:rPr>
              <w:t>N</w:t>
            </w:r>
            <w:r w:rsidRPr="00A604A3">
              <w:rPr>
                <w:vertAlign w:val="subscript"/>
                <w:lang w:eastAsia="sv-SE"/>
              </w:rPr>
              <w:t>T,1</w:t>
            </w:r>
            <w:r w:rsidRPr="00A604A3">
              <w:rPr>
                <w:lang w:eastAsia="sv-SE"/>
              </w:rPr>
              <w:t>+N</w:t>
            </w:r>
            <w:r w:rsidRPr="00A604A3">
              <w:rPr>
                <w:vertAlign w:val="subscript"/>
                <w:lang w:eastAsia="sv-SE"/>
              </w:rPr>
              <w:t>T,2</w:t>
            </w:r>
            <w:r w:rsidRPr="00A604A3">
              <w:rPr>
                <w:lang w:eastAsia="sv-SE"/>
              </w:rPr>
              <w:t>+0.5 ms</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6</w:t>
            </w:r>
          </w:p>
        </w:tc>
        <w:tc>
          <w:tcPr>
            <w:tcW w:w="4364" w:type="dxa"/>
            <w:hideMark/>
          </w:tcPr>
          <w:p w:rsidR="00AE0549" w:rsidRPr="00A604A3" w:rsidRDefault="00AE0549" w:rsidP="00944B5C">
            <w:pPr>
              <w:pStyle w:val="Tabletext"/>
              <w:rPr>
                <w:lang w:eastAsia="sv-SE"/>
              </w:rPr>
            </w:pPr>
            <w:r w:rsidRPr="00A604A3">
              <w:rPr>
                <w:lang w:eastAsia="sv-SE"/>
              </w:rPr>
              <w:t>Transmission of RRC Resume Request</w:t>
            </w:r>
          </w:p>
        </w:tc>
        <w:tc>
          <w:tcPr>
            <w:tcW w:w="3574" w:type="dxa"/>
            <w:hideMark/>
          </w:tcPr>
          <w:p w:rsidR="00AE0549" w:rsidRPr="00A604A3" w:rsidRDefault="00AE0549" w:rsidP="00944B5C">
            <w:pPr>
              <w:pStyle w:val="Tabletext"/>
              <w:rPr>
                <w:lang w:eastAsia="sv-SE"/>
              </w:rPr>
            </w:pPr>
            <w:r w:rsidRPr="00A604A3">
              <w:rPr>
                <w:lang w:eastAsia="sv-SE"/>
              </w:rPr>
              <w:t>Ts (the length of 1 slot / non-slot)</w:t>
            </w:r>
          </w:p>
          <w:p w:rsidR="00AE0549" w:rsidRPr="00A604A3" w:rsidRDefault="00AE0549" w:rsidP="00944B5C">
            <w:pPr>
              <w:pStyle w:val="Tabletext"/>
              <w:rPr>
                <w:lang w:eastAsia="sv-SE"/>
              </w:rPr>
            </w:pPr>
            <w:r w:rsidRPr="00A604A3">
              <w:rPr>
                <w:lang w:eastAsia="sv-SE"/>
              </w:rPr>
              <w:t>NOTE: The length of 1 slot or 1 non-slot is equal to PUSCH allocation length.</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7</w:t>
            </w:r>
          </w:p>
        </w:tc>
        <w:tc>
          <w:tcPr>
            <w:tcW w:w="4364" w:type="dxa"/>
            <w:hideMark/>
          </w:tcPr>
          <w:p w:rsidR="00AE0549" w:rsidRPr="00A604A3" w:rsidRDefault="00AE0549" w:rsidP="00944B5C">
            <w:pPr>
              <w:pStyle w:val="Tabletext"/>
              <w:rPr>
                <w:lang w:eastAsia="sv-SE"/>
              </w:rPr>
            </w:pPr>
            <w:r w:rsidRPr="00A604A3">
              <w:rPr>
                <w:lang w:eastAsia="sv-SE"/>
              </w:rPr>
              <w:t>Processing delay in gNB (L2 and RRC)</w:t>
            </w:r>
          </w:p>
        </w:tc>
        <w:tc>
          <w:tcPr>
            <w:tcW w:w="3574" w:type="dxa"/>
            <w:hideMark/>
          </w:tcPr>
          <w:p w:rsidR="00AE0549" w:rsidRPr="00A604A3" w:rsidRDefault="00AE0549" w:rsidP="00944B5C">
            <w:pPr>
              <w:pStyle w:val="Tabletext"/>
              <w:rPr>
                <w:lang w:eastAsia="sv-SE"/>
              </w:rPr>
            </w:pPr>
            <w:r w:rsidRPr="00A604A3">
              <w:rPr>
                <w:lang w:eastAsia="sv-SE"/>
              </w:rPr>
              <w:t>3</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8</w:t>
            </w:r>
          </w:p>
        </w:tc>
        <w:tc>
          <w:tcPr>
            <w:tcW w:w="4364" w:type="dxa"/>
            <w:hideMark/>
          </w:tcPr>
          <w:p w:rsidR="00AE0549" w:rsidRPr="00A604A3" w:rsidRDefault="00AE0549" w:rsidP="00944B5C">
            <w:pPr>
              <w:pStyle w:val="Tabletext"/>
              <w:rPr>
                <w:lang w:eastAsia="sv-SE"/>
              </w:rPr>
            </w:pPr>
            <w:r w:rsidRPr="00A604A3">
              <w:rPr>
                <w:lang w:eastAsia="sv-SE"/>
              </w:rPr>
              <w:t>Transmission of RRC Resume</w:t>
            </w:r>
          </w:p>
        </w:tc>
        <w:tc>
          <w:tcPr>
            <w:tcW w:w="3574" w:type="dxa"/>
            <w:hideMark/>
          </w:tcPr>
          <w:p w:rsidR="00AE0549" w:rsidRPr="00A604A3" w:rsidRDefault="00AE0549" w:rsidP="00944B5C">
            <w:pPr>
              <w:pStyle w:val="Tabletext"/>
              <w:rPr>
                <w:lang w:eastAsia="sv-SE"/>
              </w:rPr>
            </w:pPr>
            <w:r w:rsidRPr="00A604A3">
              <w:rPr>
                <w:lang w:eastAsia="sv-SE"/>
              </w:rPr>
              <w:t>Ts (the length of 1 slot / non-slot)</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9</w:t>
            </w:r>
          </w:p>
        </w:tc>
        <w:tc>
          <w:tcPr>
            <w:tcW w:w="4364" w:type="dxa"/>
            <w:hideMark/>
          </w:tcPr>
          <w:p w:rsidR="00AE0549" w:rsidRPr="00A604A3" w:rsidRDefault="00AE0549" w:rsidP="00944B5C">
            <w:pPr>
              <w:pStyle w:val="Tabletext"/>
              <w:rPr>
                <w:lang w:eastAsia="sv-SE"/>
              </w:rPr>
            </w:pPr>
            <w:r w:rsidRPr="00A604A3">
              <w:rPr>
                <w:lang w:eastAsia="sv-SE"/>
              </w:rPr>
              <w:t>Processing delay in UE of RRC Resume including grant reception</w:t>
            </w:r>
          </w:p>
        </w:tc>
        <w:tc>
          <w:tcPr>
            <w:tcW w:w="3574" w:type="dxa"/>
            <w:hideMark/>
          </w:tcPr>
          <w:p w:rsidR="00AE0549" w:rsidRPr="00A604A3" w:rsidRDefault="00AE0549" w:rsidP="00944B5C">
            <w:pPr>
              <w:pStyle w:val="Tabletext"/>
              <w:rPr>
                <w:lang w:eastAsia="sv-SE"/>
              </w:rPr>
            </w:pPr>
            <w:r w:rsidRPr="00A604A3">
              <w:rPr>
                <w:lang w:eastAsia="sv-SE"/>
              </w:rPr>
              <w:t>7</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10</w:t>
            </w:r>
          </w:p>
        </w:tc>
        <w:tc>
          <w:tcPr>
            <w:tcW w:w="4364" w:type="dxa"/>
            <w:hideMark/>
          </w:tcPr>
          <w:p w:rsidR="00AE0549" w:rsidRPr="00A604A3" w:rsidRDefault="00AE0549" w:rsidP="00944B5C">
            <w:pPr>
              <w:pStyle w:val="Tabletext"/>
              <w:rPr>
                <w:lang w:eastAsia="sv-SE"/>
              </w:rPr>
            </w:pPr>
            <w:r w:rsidRPr="00A604A3">
              <w:rPr>
                <w:lang w:eastAsia="sv-SE"/>
              </w:rPr>
              <w:t xml:space="preserve">Transmission of RRC Resume Complete and UP data </w:t>
            </w:r>
          </w:p>
        </w:tc>
        <w:tc>
          <w:tcPr>
            <w:tcW w:w="3574" w:type="dxa"/>
            <w:hideMark/>
          </w:tcPr>
          <w:p w:rsidR="00AE0549" w:rsidRPr="00A604A3" w:rsidRDefault="00AE0549" w:rsidP="00944B5C">
            <w:pPr>
              <w:pStyle w:val="Tabletext"/>
              <w:rPr>
                <w:lang w:eastAsia="sv-SE"/>
              </w:rPr>
            </w:pPr>
            <w:r w:rsidRPr="00A604A3">
              <w:rPr>
                <w:lang w:eastAsia="sv-SE"/>
              </w:rPr>
              <w:t>0</w:t>
            </w:r>
          </w:p>
        </w:tc>
      </w:tr>
      <w:tr w:rsidR="00AE0549" w:rsidRPr="00A604A3" w:rsidTr="00944B5C">
        <w:trPr>
          <w:jc w:val="center"/>
        </w:trPr>
        <w:tc>
          <w:tcPr>
            <w:tcW w:w="8926" w:type="dxa"/>
            <w:gridSpan w:val="3"/>
          </w:tcPr>
          <w:p w:rsidR="00AE0549" w:rsidRPr="00A604A3" w:rsidRDefault="00AE0549" w:rsidP="00944B5C">
            <w:pPr>
              <w:pStyle w:val="Tablelegend"/>
              <w:ind w:left="284" w:hanging="284"/>
              <w:rPr>
                <w:lang w:eastAsia="zh-CN"/>
              </w:rPr>
            </w:pPr>
            <w:r w:rsidRPr="00A604A3">
              <w:rPr>
                <w:lang w:eastAsia="zh-CN"/>
              </w:rPr>
              <w:t>Notes:</w:t>
            </w:r>
          </w:p>
          <w:p w:rsidR="00AE0549" w:rsidRPr="00A604A3" w:rsidRDefault="00944B5C" w:rsidP="00944B5C">
            <w:pPr>
              <w:pStyle w:val="Tablelegend"/>
              <w:ind w:left="284" w:hanging="284"/>
              <w:rPr>
                <w:bCs/>
                <w:lang w:eastAsia="zh-CN"/>
              </w:rPr>
            </w:pPr>
            <w:r w:rsidRPr="00A604A3">
              <w:rPr>
                <w:bCs/>
                <w:lang w:eastAsia="sv-SE"/>
              </w:rPr>
              <w:t>1</w:t>
            </w:r>
            <w:r w:rsidRPr="00A604A3">
              <w:rPr>
                <w:bCs/>
                <w:lang w:eastAsia="sv-SE"/>
              </w:rPr>
              <w:tab/>
            </w:r>
            <w:r w:rsidR="00AE0549" w:rsidRPr="00A604A3">
              <w:rPr>
                <w:bCs/>
                <w:lang w:eastAsia="sv-SE"/>
              </w:rPr>
              <w:t xml:space="preserve">For step 1, the procedure for </w:t>
            </w:r>
            <w:r w:rsidR="00AE0549" w:rsidRPr="00A604A3">
              <w:rPr>
                <w:bCs/>
                <w:i/>
                <w:lang w:eastAsia="sv-SE"/>
              </w:rPr>
              <w:t>transition from a most “battery efficient” state</w:t>
            </w:r>
            <w:r w:rsidR="00AE0549" w:rsidRPr="00A604A3">
              <w:rPr>
                <w:bCs/>
                <w:lang w:eastAsia="sv-SE"/>
              </w:rPr>
              <w:t xml:space="preserve"> has yet not begun, hence this step is not relevant for the latency of the procedure which is illustrated by a '0' in the above.</w:t>
            </w:r>
          </w:p>
          <w:p w:rsidR="00AE0549" w:rsidRPr="00A604A3" w:rsidRDefault="00944B5C" w:rsidP="00944B5C">
            <w:pPr>
              <w:pStyle w:val="Tablelegend"/>
              <w:ind w:left="284" w:hanging="284"/>
              <w:rPr>
                <w:bCs/>
                <w:lang w:eastAsia="zh-CN"/>
              </w:rPr>
            </w:pPr>
            <w:r w:rsidRPr="00A604A3">
              <w:rPr>
                <w:bCs/>
                <w:lang w:eastAsia="zh-CN"/>
              </w:rPr>
              <w:t>2</w:t>
            </w:r>
            <w:r w:rsidRPr="00A604A3">
              <w:rPr>
                <w:bCs/>
                <w:lang w:eastAsia="zh-CN"/>
              </w:rPr>
              <w:tab/>
            </w:r>
            <w:r w:rsidR="00AE0549" w:rsidRPr="00A604A3">
              <w:rPr>
                <w:bCs/>
                <w:lang w:eastAsia="zh-CN"/>
              </w:rPr>
              <w:t>For step 3, t</w:t>
            </w:r>
            <w:r w:rsidR="00AE0549" w:rsidRPr="00A604A3">
              <w:rPr>
                <w:lang w:eastAsia="zh-CN"/>
              </w:rPr>
              <w:t xml:space="preserve">he value of </w:t>
            </w:r>
            <w:r w:rsidR="00AE0549" w:rsidRPr="00A604A3">
              <w:rPr>
                <w:lang w:eastAsia="sv-SE"/>
              </w:rPr>
              <w:t>T</w:t>
            </w:r>
            <w:r w:rsidR="00AE0549" w:rsidRPr="00A604A3">
              <w:rPr>
                <w:vertAlign w:val="subscript"/>
                <w:lang w:eastAsia="zh-CN"/>
              </w:rPr>
              <w:t>proc,2</w:t>
            </w:r>
            <w:r w:rsidR="00AE0549" w:rsidRPr="00A604A3">
              <w:rPr>
                <w:lang w:eastAsia="zh-CN"/>
              </w:rPr>
              <w:t xml:space="preserve"> is used only for evaluation. gNB processing delay may vary depending on implementation.</w:t>
            </w:r>
          </w:p>
          <w:p w:rsidR="00AE0549" w:rsidRPr="00A604A3" w:rsidRDefault="00944B5C" w:rsidP="00944B5C">
            <w:pPr>
              <w:pStyle w:val="Tablelegend"/>
              <w:ind w:left="284" w:hanging="284"/>
              <w:rPr>
                <w:bCs/>
                <w:lang w:eastAsia="sv-SE"/>
              </w:rPr>
            </w:pPr>
            <w:r w:rsidRPr="00A604A3">
              <w:rPr>
                <w:bCs/>
                <w:lang w:eastAsia="sv-SE"/>
              </w:rPr>
              <w:t>3</w:t>
            </w:r>
            <w:r w:rsidRPr="00A604A3">
              <w:rPr>
                <w:bCs/>
                <w:lang w:eastAsia="sv-SE"/>
              </w:rPr>
              <w:tab/>
            </w:r>
            <w:r w:rsidR="00AE0549" w:rsidRPr="00A604A3">
              <w:rPr>
                <w:bCs/>
                <w:lang w:eastAsia="sv-SE"/>
              </w:rPr>
              <w:t xml:space="preserve">For </w:t>
            </w:r>
            <w:r w:rsidR="00AE0549" w:rsidRPr="00A604A3">
              <w:rPr>
                <w:lang w:eastAsia="zh-CN"/>
              </w:rPr>
              <w:t xml:space="preserve">step 5, the latency of </w:t>
            </w:r>
            <w:r w:rsidR="00AE0549" w:rsidRPr="00A604A3">
              <w:rPr>
                <w:i/>
                <w:kern w:val="2"/>
                <w:lang w:eastAsia="zh-CN"/>
              </w:rPr>
              <w:t>N</w:t>
            </w:r>
            <w:r w:rsidR="00AE0549" w:rsidRPr="00A604A3">
              <w:rPr>
                <w:kern w:val="2"/>
                <w:vertAlign w:val="subscript"/>
                <w:lang w:eastAsia="zh-CN"/>
              </w:rPr>
              <w:t>T,1</w:t>
            </w:r>
            <w:r w:rsidR="00AE0549" w:rsidRPr="00A604A3">
              <w:rPr>
                <w:i/>
                <w:kern w:val="2"/>
                <w:lang w:eastAsia="zh-CN"/>
              </w:rPr>
              <w:t>+N</w:t>
            </w:r>
            <w:r w:rsidR="00AE0549" w:rsidRPr="00A604A3">
              <w:rPr>
                <w:kern w:val="2"/>
                <w:vertAlign w:val="subscript"/>
                <w:lang w:eastAsia="zh-CN"/>
              </w:rPr>
              <w:t>T,2</w:t>
            </w:r>
            <w:r w:rsidR="00AE0549" w:rsidRPr="00A604A3">
              <w:rPr>
                <w:i/>
                <w:kern w:val="2"/>
                <w:lang w:eastAsia="zh-CN"/>
              </w:rPr>
              <w:t>+</w:t>
            </w:r>
            <w:r w:rsidR="00AE0549" w:rsidRPr="00A604A3">
              <w:rPr>
                <w:kern w:val="2"/>
                <w:lang w:eastAsia="zh-CN"/>
              </w:rPr>
              <w:t>0.5</w:t>
            </w:r>
            <w:r w:rsidR="00AE0549" w:rsidRPr="00A604A3">
              <w:rPr>
                <w:lang w:eastAsia="zh-CN"/>
              </w:rPr>
              <w:t xml:space="preserve">ms is used according to Section 8.3 of TS 38.213. </w:t>
            </w:r>
            <w:r w:rsidR="00AE0549" w:rsidRPr="00A604A3">
              <w:rPr>
                <w:i/>
                <w:kern w:val="2"/>
                <w:lang w:eastAsia="zh-CN"/>
              </w:rPr>
              <w:t>N</w:t>
            </w:r>
            <w:r w:rsidR="00AE0549" w:rsidRPr="00A604A3">
              <w:rPr>
                <w:kern w:val="2"/>
                <w:vertAlign w:val="subscript"/>
                <w:lang w:eastAsia="zh-CN"/>
              </w:rPr>
              <w:t>T,1</w:t>
            </w:r>
            <w:r w:rsidR="00AE0549" w:rsidRPr="00A604A3">
              <w:rPr>
                <w:lang w:eastAsia="zh-CN"/>
              </w:rPr>
              <w:t xml:space="preserve"> </w:t>
            </w:r>
            <w:r w:rsidR="00AE0549" w:rsidRPr="00A604A3">
              <w:t xml:space="preserve">is a time duration of </w:t>
            </w:r>
            <w:r w:rsidR="00AE0549" w:rsidRPr="00A604A3">
              <w:rPr>
                <w:i/>
                <w:kern w:val="2"/>
                <w:lang w:eastAsia="zh-CN"/>
              </w:rPr>
              <w:t>N</w:t>
            </w:r>
            <w:r w:rsidR="00AE0549" w:rsidRPr="00A604A3">
              <w:rPr>
                <w:kern w:val="2"/>
                <w:vertAlign w:val="subscript"/>
                <w:lang w:eastAsia="zh-CN"/>
              </w:rPr>
              <w:t>1</w:t>
            </w:r>
            <w:r w:rsidR="00AE0549" w:rsidRPr="00A604A3">
              <w:t xml:space="preserve"> symbols corresponding to a PDSCH reception time for PDSCH processing capability 1 when additional PDSCH DM-RS is configured; </w:t>
            </w:r>
            <w:r w:rsidR="00AE0549" w:rsidRPr="00A604A3">
              <w:rPr>
                <w:lang w:eastAsia="zh-CN"/>
              </w:rPr>
              <w:t xml:space="preserve">and </w:t>
            </w:r>
            <w:r w:rsidR="00AE0549" w:rsidRPr="00A604A3">
              <w:rPr>
                <w:i/>
                <w:kern w:val="2"/>
                <w:lang w:eastAsia="zh-CN"/>
              </w:rPr>
              <w:t>N</w:t>
            </w:r>
            <w:r w:rsidR="00AE0549" w:rsidRPr="00A604A3">
              <w:rPr>
                <w:kern w:val="2"/>
                <w:vertAlign w:val="subscript"/>
                <w:lang w:eastAsia="zh-CN"/>
              </w:rPr>
              <w:t>T,2</w:t>
            </w:r>
            <w:r w:rsidR="00AE0549" w:rsidRPr="00A604A3">
              <w:rPr>
                <w:lang w:eastAsia="zh-CN"/>
              </w:rPr>
              <w:t xml:space="preserve"> </w:t>
            </w:r>
            <w:r w:rsidR="00AE0549" w:rsidRPr="00A604A3">
              <w:t xml:space="preserve">is a time duration of </w:t>
            </w:r>
            <w:r w:rsidR="00AE0549" w:rsidRPr="00A604A3">
              <w:rPr>
                <w:i/>
                <w:kern w:val="2"/>
                <w:lang w:eastAsia="zh-CN"/>
              </w:rPr>
              <w:t>N</w:t>
            </w:r>
            <w:r w:rsidR="00AE0549" w:rsidRPr="00A604A3">
              <w:rPr>
                <w:kern w:val="2"/>
                <w:vertAlign w:val="subscript"/>
                <w:lang w:eastAsia="zh-CN"/>
              </w:rPr>
              <w:t>2</w:t>
            </w:r>
            <w:r w:rsidR="00AE0549" w:rsidRPr="00A604A3">
              <w:t xml:space="preserve"> symbols corresponding to a PUSCH preparation time for PUSCH processing capability 1</w:t>
            </w:r>
            <w:r w:rsidR="00AE0549" w:rsidRPr="00A604A3">
              <w:rPr>
                <w:lang w:eastAsia="zh-CN"/>
              </w:rPr>
              <w:t xml:space="preserve">. The value of </w:t>
            </w:r>
            <w:r w:rsidR="00AE0549" w:rsidRPr="00A604A3">
              <w:rPr>
                <w:i/>
                <w:kern w:val="2"/>
                <w:lang w:eastAsia="zh-CN"/>
              </w:rPr>
              <w:t>N</w:t>
            </w:r>
            <w:r w:rsidR="00AE0549" w:rsidRPr="00A604A3">
              <w:rPr>
                <w:kern w:val="2"/>
                <w:vertAlign w:val="subscript"/>
                <w:lang w:eastAsia="zh-CN"/>
              </w:rPr>
              <w:t>1</w:t>
            </w:r>
            <w:r w:rsidR="00AE0549" w:rsidRPr="00A604A3">
              <w:rPr>
                <w:lang w:eastAsia="zh-CN"/>
              </w:rPr>
              <w:t xml:space="preserve"> and </w:t>
            </w:r>
            <w:r w:rsidR="00AE0549" w:rsidRPr="00A604A3">
              <w:rPr>
                <w:i/>
                <w:kern w:val="2"/>
                <w:lang w:eastAsia="zh-CN"/>
              </w:rPr>
              <w:t>N</w:t>
            </w:r>
            <w:r w:rsidR="00AE0549" w:rsidRPr="00A604A3">
              <w:rPr>
                <w:kern w:val="2"/>
                <w:vertAlign w:val="subscript"/>
                <w:lang w:eastAsia="zh-CN"/>
              </w:rPr>
              <w:t>2</w:t>
            </w:r>
            <w:r w:rsidR="00AE0549" w:rsidRPr="00A604A3">
              <w:rPr>
                <w:lang w:eastAsia="zh-CN"/>
              </w:rPr>
              <w:t xml:space="preserve"> are shown in Table 5.3-1 and Table 6.4-1 of TS38.214, respectively.</w:t>
            </w:r>
          </w:p>
          <w:p w:rsidR="00AE0549" w:rsidRPr="00A604A3" w:rsidRDefault="00944B5C" w:rsidP="00944B5C">
            <w:pPr>
              <w:pStyle w:val="Tablelegend"/>
              <w:ind w:left="284" w:hanging="284"/>
              <w:rPr>
                <w:bCs/>
                <w:lang w:eastAsia="sv-SE"/>
              </w:rPr>
            </w:pPr>
            <w:r w:rsidRPr="00A604A3">
              <w:rPr>
                <w:bCs/>
                <w:lang w:eastAsia="sv-SE"/>
              </w:rPr>
              <w:t>4</w:t>
            </w:r>
            <w:r w:rsidRPr="00A604A3">
              <w:rPr>
                <w:bCs/>
                <w:lang w:eastAsia="sv-SE"/>
              </w:rPr>
              <w:tab/>
            </w:r>
            <w:r w:rsidR="00AE0549" w:rsidRPr="00A604A3">
              <w:rPr>
                <w:bCs/>
                <w:lang w:eastAsia="sv-SE"/>
              </w:rPr>
              <w:t>For step 7, the processing delay in gNB (L2 and RRC) has been reduced to 3 ms.</w:t>
            </w:r>
            <w:r w:rsidR="00AE0549" w:rsidRPr="00A604A3">
              <w:rPr>
                <w:bCs/>
                <w:sz w:val="16"/>
                <w:lang w:eastAsia="sv-SE"/>
              </w:rPr>
              <w:t xml:space="preserve"> </w:t>
            </w:r>
            <w:r w:rsidR="00AE0549" w:rsidRPr="00A604A3">
              <w:rPr>
                <w:lang w:eastAsia="zh-CN"/>
              </w:rPr>
              <w:t xml:space="preserve">The delays due to </w:t>
            </w:r>
            <w:r w:rsidR="00AE0549" w:rsidRPr="00A604A3">
              <w:rPr>
                <w:rFonts w:eastAsiaTheme="minorEastAsia"/>
                <w:lang w:eastAsia="zh-CN"/>
              </w:rPr>
              <w:t>inside-gNB or inter-gNB communication are not included in Step 7. Such delays may exist depending on deployment, but are not within the scope of this evaluation.</w:t>
            </w:r>
          </w:p>
          <w:p w:rsidR="00AE0549" w:rsidRPr="00A604A3" w:rsidRDefault="00944B5C" w:rsidP="00944B5C">
            <w:pPr>
              <w:pStyle w:val="Tablelegend"/>
              <w:ind w:left="284" w:hanging="284"/>
              <w:rPr>
                <w:bCs/>
                <w:lang w:eastAsia="sv-SE"/>
              </w:rPr>
            </w:pPr>
            <w:r w:rsidRPr="00A604A3">
              <w:rPr>
                <w:bCs/>
                <w:lang w:eastAsia="sv-SE"/>
              </w:rPr>
              <w:t>5</w:t>
            </w:r>
            <w:r w:rsidRPr="00A604A3">
              <w:rPr>
                <w:bCs/>
                <w:lang w:eastAsia="sv-SE"/>
              </w:rPr>
              <w:tab/>
            </w:r>
            <w:r w:rsidR="00AE0549" w:rsidRPr="00A604A3">
              <w:rPr>
                <w:bCs/>
                <w:lang w:eastAsia="sv-SE"/>
              </w:rPr>
              <w:t xml:space="preserve">For step 9 for UL data transfer, </w:t>
            </w:r>
            <w:r w:rsidR="00AE0549" w:rsidRPr="00A604A3">
              <w:rPr>
                <w:bCs/>
                <w:lang w:eastAsia="zh-CN"/>
              </w:rPr>
              <w:t>the processing delay in the UE (L2 and RRC) is considered, i.e., from reception of RRC Connection Resume to the reception of UL grant</w:t>
            </w:r>
            <w:r w:rsidR="00AE0549" w:rsidRPr="00A604A3">
              <w:rPr>
                <w:bCs/>
                <w:lang w:eastAsia="sv-SE"/>
              </w:rPr>
              <w:t>. The transmission of UL grant by gNB</w:t>
            </w:r>
            <w:r w:rsidR="00AE0549" w:rsidRPr="00A604A3" w:rsidDel="00B35847">
              <w:rPr>
                <w:bCs/>
                <w:lang w:eastAsia="sv-SE"/>
              </w:rPr>
              <w:t xml:space="preserve"> </w:t>
            </w:r>
            <w:r w:rsidR="00AE0549" w:rsidRPr="00A604A3">
              <w:rPr>
                <w:bCs/>
                <w:lang w:eastAsia="sv-SE"/>
              </w:rPr>
              <w:t>and processing delay in the UE (processing of UL grant and preparing for UL tx) are also considered. The RRCConnectionResume message only include</w:t>
            </w:r>
            <w:r w:rsidR="00AE0549" w:rsidRPr="00A604A3">
              <w:rPr>
                <w:bCs/>
                <w:lang w:eastAsia="zh-CN"/>
              </w:rPr>
              <w:t>s</w:t>
            </w:r>
            <w:r w:rsidR="00AE0549" w:rsidRPr="00A604A3">
              <w:rPr>
                <w:bCs/>
                <w:lang w:eastAsia="sv-SE"/>
              </w:rPr>
              <w:t xml:space="preserve"> MAC and PHY configuration. No DRX, SPS, CA, or MIMO re-configuration will be triggered by this message. </w:t>
            </w:r>
            <w:r w:rsidR="00AE0549" w:rsidRPr="00A604A3">
              <w:rPr>
                <w:bCs/>
                <w:lang w:eastAsia="zh-CN"/>
              </w:rPr>
              <w:t>Further, the UL grant for transmission of RRC Connection Resume Complete and the data is transmitted over common search space with DCI format 0.</w:t>
            </w:r>
          </w:p>
          <w:p w:rsidR="00AE0549" w:rsidRPr="00A604A3" w:rsidRDefault="00944B5C" w:rsidP="00944B5C">
            <w:pPr>
              <w:pStyle w:val="Tablelegend"/>
              <w:ind w:left="284" w:hanging="284"/>
              <w:rPr>
                <w:lang w:eastAsia="sv-SE"/>
              </w:rPr>
            </w:pPr>
            <w:r w:rsidRPr="00A604A3">
              <w:rPr>
                <w:bCs/>
                <w:lang w:eastAsia="sv-SE"/>
              </w:rPr>
              <w:t>6</w:t>
            </w:r>
            <w:r w:rsidRPr="00A604A3">
              <w:rPr>
                <w:bCs/>
                <w:lang w:eastAsia="sv-SE"/>
              </w:rPr>
              <w:tab/>
            </w:r>
            <w:r w:rsidR="00AE0549" w:rsidRPr="00A604A3">
              <w:rPr>
                <w:bCs/>
                <w:lang w:eastAsia="sv-SE"/>
              </w:rPr>
              <w:t>For step 10, the beginning of this subframe is considered to be "</w:t>
            </w:r>
            <w:r w:rsidR="00AE0549" w:rsidRPr="00A604A3">
              <w:rPr>
                <w:bCs/>
                <w:i/>
                <w:lang w:eastAsia="sv-SE"/>
              </w:rPr>
              <w:t>the start of continuous data transfer</w:t>
            </w:r>
            <w:r w:rsidR="00AE0549" w:rsidRPr="00A604A3">
              <w:rPr>
                <w:bCs/>
                <w:lang w:eastAsia="sv-SE"/>
              </w:rPr>
              <w:t>", hence this step is not relevant for the latency of the procedure which is illustrated by a '0' in the above.</w:t>
            </w:r>
          </w:p>
          <w:p w:rsidR="00AE0549" w:rsidRPr="00A604A3" w:rsidRDefault="00944B5C" w:rsidP="00944B5C">
            <w:pPr>
              <w:pStyle w:val="Tablelegend"/>
              <w:ind w:left="284" w:hanging="284"/>
              <w:rPr>
                <w:lang w:eastAsia="sv-SE"/>
              </w:rPr>
            </w:pPr>
            <w:r w:rsidRPr="00A604A3">
              <w:rPr>
                <w:sz w:val="16"/>
                <w:szCs w:val="16"/>
                <w:lang w:eastAsia="zh-CN"/>
              </w:rPr>
              <w:t>7</w:t>
            </w:r>
            <w:r w:rsidRPr="00A604A3">
              <w:rPr>
                <w:sz w:val="16"/>
                <w:szCs w:val="16"/>
                <w:lang w:eastAsia="zh-CN"/>
              </w:rPr>
              <w:tab/>
            </w:r>
            <w:r w:rsidR="00AE0549" w:rsidRPr="00A604A3">
              <w:rPr>
                <w:sz w:val="16"/>
                <w:szCs w:val="16"/>
                <w:lang w:eastAsia="zh-CN"/>
              </w:rPr>
              <w:t xml:space="preserve">For the case of a TDD band (30 kHz SCS) with an SUL band (15 kHz SCS), </w:t>
            </w:r>
            <w:r w:rsidR="00AE0549" w:rsidRPr="00A604A3">
              <w:rPr>
                <w:bCs/>
                <w:lang w:eastAsia="zh-CN"/>
              </w:rPr>
              <w:t>the sub-carrier spacing of 15 kHz that results in larger delay is used in evaluating the latency for Step 3 and 5.</w:t>
            </w:r>
          </w:p>
        </w:tc>
      </w:tr>
    </w:tbl>
    <w:p w:rsidR="00AE0549" w:rsidRPr="00A604A3" w:rsidRDefault="00AE0549" w:rsidP="00944B5C">
      <w:pPr>
        <w:pStyle w:val="Tablefin"/>
      </w:pPr>
    </w:p>
    <w:p w:rsidR="00AE0549" w:rsidRPr="00A604A3" w:rsidRDefault="00944B5C" w:rsidP="00944B5C">
      <w:pPr>
        <w:pStyle w:val="Heading4"/>
        <w:rPr>
          <w:rFonts w:eastAsia="MS Mincho"/>
        </w:rPr>
      </w:pPr>
      <w:r w:rsidRPr="00A604A3">
        <w:rPr>
          <w:rFonts w:eastAsia="MS Mincho"/>
        </w:rPr>
        <w:t>II.5.8.2</w:t>
      </w:r>
      <w:r w:rsidRPr="00A604A3">
        <w:rPr>
          <w:rFonts w:eastAsia="MS Mincho"/>
        </w:rPr>
        <w:tab/>
      </w:r>
      <w:r w:rsidR="00AE0549" w:rsidRPr="00A604A3">
        <w:rPr>
          <w:rFonts w:eastAsia="MS Mincho"/>
        </w:rPr>
        <w:t>Evaluation methodology</w:t>
      </w:r>
    </w:p>
    <w:p w:rsidR="00AE0549" w:rsidRPr="00A604A3" w:rsidRDefault="00AE0549" w:rsidP="00944B5C">
      <w:pPr>
        <w:rPr>
          <w:lang w:eastAsia="zh-CN"/>
        </w:rPr>
      </w:pPr>
      <w:r w:rsidRPr="00A604A3">
        <w:rPr>
          <w:lang w:eastAsia="zh-CN"/>
        </w:rPr>
        <w:t>According to the methodology that was applied to evaluate CP latency, for each step of the C-plane procedure the corresponding time delays were calculated using the parameters mentioned in Table 108.</w:t>
      </w:r>
    </w:p>
    <w:p w:rsidR="00AE0549" w:rsidRPr="00A604A3" w:rsidRDefault="00AE0549" w:rsidP="00944B5C">
      <w:pPr>
        <w:rPr>
          <w:lang w:eastAsia="zh-CN"/>
        </w:rPr>
      </w:pPr>
      <w:r w:rsidRPr="00A604A3">
        <w:rPr>
          <w:lang w:eastAsia="zh-CN"/>
        </w:rPr>
        <w:t>Especially for step 3, UE PUSCH preparation procedure time is calculated by means of N</w:t>
      </w:r>
      <w:r w:rsidRPr="00A604A3">
        <w:rPr>
          <w:vertAlign w:val="subscript"/>
          <w:lang w:eastAsia="zh-CN"/>
        </w:rPr>
        <w:t>2</w:t>
      </w:r>
      <w:r w:rsidRPr="00A604A3">
        <w:rPr>
          <w:lang w:eastAsia="zh-CN"/>
        </w:rPr>
        <w:t xml:space="preserve"> symbols duration given in Table 87 for UE Capability 1 and Table 88 for UE Capability 2. Step 5 delay is calculated by means of N</w:t>
      </w:r>
      <w:r w:rsidRPr="00A604A3">
        <w:rPr>
          <w:vertAlign w:val="subscript"/>
          <w:lang w:eastAsia="zh-CN"/>
        </w:rPr>
        <w:t>2</w:t>
      </w:r>
      <w:r w:rsidRPr="00A604A3">
        <w:rPr>
          <w:lang w:eastAsia="zh-CN"/>
        </w:rPr>
        <w:t xml:space="preserve"> symbols duration and PDSCH decoding time N</w:t>
      </w:r>
      <w:r w:rsidRPr="00A604A3">
        <w:rPr>
          <w:vertAlign w:val="subscript"/>
          <w:lang w:eastAsia="zh-CN"/>
        </w:rPr>
        <w:t>1</w:t>
      </w:r>
      <w:r w:rsidRPr="00A604A3">
        <w:rPr>
          <w:lang w:eastAsia="zh-CN"/>
        </w:rPr>
        <w:t xml:space="preserve"> symbols duration given in Table 85 for UE Capability 1 and Table 86 for UE Capability 2.</w:t>
      </w:r>
    </w:p>
    <w:p w:rsidR="00AE0549" w:rsidRPr="00A604A3" w:rsidRDefault="00AE0549" w:rsidP="00944B5C">
      <w:r w:rsidRPr="00A604A3">
        <w:rPr>
          <w:lang w:eastAsia="zh-CN"/>
        </w:rPr>
        <w:t xml:space="preserve">Moreover, processing time </w:t>
      </w:r>
      <w:r w:rsidRPr="00A604A3">
        <w:t>T</w:t>
      </w:r>
      <w:r w:rsidRPr="00A604A3">
        <w:rPr>
          <w:vertAlign w:val="subscript"/>
        </w:rPr>
        <w:t>proc,2</w:t>
      </w:r>
      <w:r w:rsidRPr="00A604A3">
        <w:t xml:space="preserve"> of step 3 is calculated by means of equation (3).</w:t>
      </w:r>
    </w:p>
    <w:p w:rsidR="00AE0549" w:rsidRPr="00A604A3" w:rsidRDefault="00AE0549" w:rsidP="00944B5C">
      <w:r w:rsidRPr="00A604A3">
        <w:t>Furthermore, in Steps 4 and 6, waiting times are introduced due to starting symbols constraints at downlink and uplink respectively. Specifically, starting symbols constraints for PDSCH are given in Table 90 and for PUSCH in Table 89.</w:t>
      </w:r>
    </w:p>
    <w:p w:rsidR="00AE0549" w:rsidRPr="00A604A3" w:rsidRDefault="00AE0549" w:rsidP="00944B5C">
      <w:r w:rsidRPr="00A604A3">
        <w:lastRenderedPageBreak/>
        <w:t>For mapping type A the downlink transmission can start at OFDM symbol 0, 1 or 2 (and 3 if dmrs-TypeA-Position=3) in the slot. In the calculations only S = 0, 1 or 2 was considered for Type A PDSCH. For mapping type B the transmission can start at any of the first 12 OFDM symbols (i.e. it cannot start at the last symbol) in the slot. For both mapping type A and B, the whole transmission must fit inside a slot (i.e. it cannot cross the slot boundary).</w:t>
      </w:r>
    </w:p>
    <w:p w:rsidR="00AE0549" w:rsidRPr="00A604A3" w:rsidRDefault="00AE0549" w:rsidP="00944B5C">
      <w:r w:rsidRPr="00A604A3">
        <w:t>For mapping type A the uplink transmission always starts with OFDM symbol 0 in the slot, while the transmission can start at any OFDM symbol for mapping type B. For both mapping type A and B, the whole transmission must fit inside a slot (i.e. it cannot cross the slot boundary).</w:t>
      </w:r>
    </w:p>
    <w:p w:rsidR="00AE0549" w:rsidRPr="00A604A3" w:rsidRDefault="006543A4" w:rsidP="006543A4">
      <w:pPr>
        <w:pStyle w:val="Heading4"/>
        <w:rPr>
          <w:rFonts w:eastAsia="MS Mincho"/>
        </w:rPr>
      </w:pPr>
      <w:r w:rsidRPr="00A604A3">
        <w:rPr>
          <w:rFonts w:eastAsia="MS Mincho"/>
        </w:rPr>
        <w:t>II.5.8.3</w:t>
      </w:r>
      <w:r w:rsidRPr="00A604A3">
        <w:rPr>
          <w:rFonts w:eastAsia="MS Mincho"/>
        </w:rPr>
        <w:tab/>
      </w:r>
      <w:r w:rsidR="00AE0549" w:rsidRPr="00A604A3">
        <w:rPr>
          <w:rFonts w:eastAsia="MS Mincho"/>
        </w:rPr>
        <w:t>5G NR control plane latency calculations</w:t>
      </w:r>
    </w:p>
    <w:p w:rsidR="00AE0549" w:rsidRPr="00A604A3" w:rsidRDefault="00AE0549" w:rsidP="00470885">
      <w:pPr>
        <w:keepNext/>
        <w:spacing w:after="120"/>
        <w:rPr>
          <w:color w:val="000000" w:themeColor="text1"/>
        </w:rPr>
      </w:pPr>
      <w:r w:rsidRPr="00A604A3">
        <w:rPr>
          <w:color w:val="000000" w:themeColor="text1"/>
        </w:rPr>
        <w:t>Based on the above information, our calculations in each step of the procedure are shown in Table 109.</w:t>
      </w:r>
    </w:p>
    <w:p w:rsidR="006543A4" w:rsidRPr="00A604A3" w:rsidRDefault="006543A4" w:rsidP="006543A4">
      <w:pPr>
        <w:pStyle w:val="TableNo"/>
        <w:rPr>
          <w:rFonts w:eastAsia="MS Mincho"/>
        </w:rPr>
      </w:pPr>
      <w:bookmarkStart w:id="489" w:name="_Ref13581300"/>
      <w:bookmarkStart w:id="490" w:name="_Toc28265785"/>
      <w:bookmarkStart w:id="491" w:name="_Toc28277020"/>
      <w:bookmarkStart w:id="492" w:name="_Toc32066437"/>
      <w:r w:rsidRPr="00A604A3">
        <w:rPr>
          <w:rFonts w:eastAsia="MS Mincho"/>
        </w:rPr>
        <w:t>Table 109</w:t>
      </w:r>
    </w:p>
    <w:p w:rsidR="006543A4" w:rsidRPr="00A604A3" w:rsidRDefault="006543A4" w:rsidP="006543A4">
      <w:pPr>
        <w:pStyle w:val="Tabletitle"/>
        <w:rPr>
          <w:rFonts w:eastAsia="MS Mincho"/>
        </w:rPr>
      </w:pPr>
      <w:r w:rsidRPr="00A604A3">
        <w:rPr>
          <w:rFonts w:eastAsia="MS Mincho"/>
        </w:rPr>
        <w:t>Control Plane Latency calculation</w:t>
      </w:r>
      <w:bookmarkEnd w:id="489"/>
      <w:bookmarkEnd w:id="490"/>
      <w:bookmarkEnd w:id="491"/>
      <w:bookmarkEnd w:id="492"/>
    </w:p>
    <w:tbl>
      <w:tblPr>
        <w:tblStyle w:val="TableGrid"/>
        <w:tblW w:w="0" w:type="auto"/>
        <w:jc w:val="center"/>
        <w:tblLook w:val="04A0" w:firstRow="1" w:lastRow="0" w:firstColumn="1" w:lastColumn="0" w:noHBand="0" w:noVBand="1"/>
      </w:tblPr>
      <w:tblGrid>
        <w:gridCol w:w="846"/>
        <w:gridCol w:w="6379"/>
      </w:tblGrid>
      <w:tr w:rsidR="00AE0549" w:rsidRPr="00A604A3" w:rsidTr="006543A4">
        <w:trPr>
          <w:jc w:val="center"/>
        </w:trPr>
        <w:tc>
          <w:tcPr>
            <w:tcW w:w="846" w:type="dxa"/>
          </w:tcPr>
          <w:p w:rsidR="00AE0549" w:rsidRPr="00A604A3" w:rsidRDefault="00AE0549" w:rsidP="006543A4">
            <w:pPr>
              <w:pStyle w:val="Tablehead"/>
            </w:pPr>
            <w:r w:rsidRPr="00A604A3">
              <w:t>Step</w:t>
            </w:r>
          </w:p>
        </w:tc>
        <w:tc>
          <w:tcPr>
            <w:tcW w:w="6379" w:type="dxa"/>
          </w:tcPr>
          <w:p w:rsidR="00AE0549" w:rsidRPr="00A604A3" w:rsidRDefault="00AE0549" w:rsidP="006543A4">
            <w:pPr>
              <w:pStyle w:val="Tablehead"/>
            </w:pPr>
            <w:r w:rsidRPr="00A604A3">
              <w:t>Latency contribution</w:t>
            </w:r>
          </w:p>
        </w:tc>
      </w:tr>
      <w:tr w:rsidR="00AE0549" w:rsidRPr="00A604A3" w:rsidTr="006543A4">
        <w:trPr>
          <w:jc w:val="center"/>
        </w:trPr>
        <w:tc>
          <w:tcPr>
            <w:tcW w:w="846" w:type="dxa"/>
          </w:tcPr>
          <w:p w:rsidR="00AE0549" w:rsidRPr="00A604A3" w:rsidRDefault="00AE0549" w:rsidP="006543A4">
            <w:pPr>
              <w:pStyle w:val="Tabletext"/>
              <w:jc w:val="center"/>
            </w:pPr>
            <w:r w:rsidRPr="00A604A3">
              <w:t>1</w:t>
            </w:r>
          </w:p>
        </w:tc>
        <w:tc>
          <w:tcPr>
            <w:tcW w:w="6379" w:type="dxa"/>
          </w:tcPr>
          <w:p w:rsidR="00AE0549" w:rsidRPr="00A604A3" w:rsidRDefault="00AE0549" w:rsidP="006543A4">
            <w:pPr>
              <w:pStyle w:val="Tabletext"/>
            </w:pPr>
            <w:r w:rsidRPr="00A604A3">
              <w:t>0 ms</w:t>
            </w:r>
          </w:p>
        </w:tc>
      </w:tr>
      <w:tr w:rsidR="00AE0549" w:rsidRPr="00A604A3" w:rsidTr="006543A4">
        <w:trPr>
          <w:jc w:val="center"/>
        </w:trPr>
        <w:tc>
          <w:tcPr>
            <w:tcW w:w="846" w:type="dxa"/>
          </w:tcPr>
          <w:p w:rsidR="00AE0549" w:rsidRPr="00A604A3" w:rsidRDefault="00AE0549" w:rsidP="006543A4">
            <w:pPr>
              <w:pStyle w:val="Tabletext"/>
              <w:jc w:val="center"/>
            </w:pPr>
            <w:r w:rsidRPr="00A604A3">
              <w:t>2</w:t>
            </w:r>
          </w:p>
        </w:tc>
        <w:tc>
          <w:tcPr>
            <w:tcW w:w="6379" w:type="dxa"/>
          </w:tcPr>
          <w:p w:rsidR="00AE0549" w:rsidRPr="00A604A3" w:rsidRDefault="006853C6" w:rsidP="006543A4">
            <w:pPr>
              <w:pStyle w:val="Tabletext"/>
            </w:pPr>
            <m:oMathPara>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m:oMathPara>
          </w:p>
        </w:tc>
      </w:tr>
      <w:tr w:rsidR="00AE0549" w:rsidRPr="00A604A3" w:rsidTr="006543A4">
        <w:trPr>
          <w:jc w:val="center"/>
        </w:trPr>
        <w:tc>
          <w:tcPr>
            <w:tcW w:w="846" w:type="dxa"/>
          </w:tcPr>
          <w:p w:rsidR="00AE0549" w:rsidRPr="00A604A3" w:rsidRDefault="00AE0549" w:rsidP="006543A4">
            <w:pPr>
              <w:pStyle w:val="Tabletext"/>
              <w:jc w:val="center"/>
            </w:pPr>
            <w:r w:rsidRPr="00A604A3">
              <w:t>3</w:t>
            </w:r>
          </w:p>
        </w:tc>
        <w:tc>
          <w:tcPr>
            <w:tcW w:w="6379" w:type="dxa"/>
          </w:tcPr>
          <w:p w:rsidR="00AE0549" w:rsidRPr="00A604A3" w:rsidRDefault="00AE0549" w:rsidP="006543A4">
            <w:pPr>
              <w:pStyle w:val="Tabletext"/>
              <w:rPr>
                <w:rFonts w:cstheme="minorHAnsi"/>
              </w:rPr>
            </w:pPr>
            <w:r w:rsidRPr="00A604A3">
              <w:rPr>
                <w:rFonts w:eastAsia="DengXian" w:cstheme="minorHAnsi"/>
                <w:kern w:val="24"/>
                <w:szCs w:val="18"/>
                <w:lang w:eastAsia="sv-SE"/>
              </w:rPr>
              <w:t>T</w:t>
            </w:r>
            <w:r w:rsidRPr="00A604A3">
              <w:rPr>
                <w:rFonts w:cstheme="minorHAnsi"/>
                <w:szCs w:val="18"/>
                <w:vertAlign w:val="subscript"/>
                <w:lang w:eastAsia="zh-CN"/>
              </w:rPr>
              <w:t xml:space="preserve">proc,2 </w:t>
            </w:r>
            <w:r w:rsidRPr="00A604A3">
              <w:rPr>
                <w:rFonts w:cstheme="minorHAnsi"/>
                <w:szCs w:val="18"/>
                <w:lang w:eastAsia="zh-CN"/>
              </w:rPr>
              <w:t>from the equation on page 35</w:t>
            </w:r>
          </w:p>
        </w:tc>
      </w:tr>
      <w:tr w:rsidR="00AE0549" w:rsidRPr="00A604A3" w:rsidTr="006543A4">
        <w:trPr>
          <w:jc w:val="center"/>
        </w:trPr>
        <w:tc>
          <w:tcPr>
            <w:tcW w:w="846" w:type="dxa"/>
          </w:tcPr>
          <w:p w:rsidR="00AE0549" w:rsidRPr="00A604A3" w:rsidRDefault="00AE0549" w:rsidP="006543A4">
            <w:pPr>
              <w:pStyle w:val="Tabletext"/>
              <w:jc w:val="center"/>
            </w:pPr>
            <w:r w:rsidRPr="00A604A3">
              <w:t>4</w:t>
            </w:r>
          </w:p>
        </w:tc>
        <w:tc>
          <w:tcPr>
            <w:tcW w:w="6379" w:type="dxa"/>
          </w:tcPr>
          <w:p w:rsidR="00AE0549" w:rsidRPr="00A604A3" w:rsidRDefault="00AE0549" w:rsidP="006543A4">
            <w:pPr>
              <w:pStyle w:val="Tabletext"/>
              <w:rPr>
                <w:rFonts w:ascii="Arial" w:eastAsia="DengXian" w:hAnsi="Arial" w:cs="Arial"/>
                <w:kern w:val="24"/>
                <w:sz w:val="18"/>
                <w:szCs w:val="18"/>
                <w:lang w:eastAsia="sv-SE"/>
              </w:rPr>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5</w:t>
            </w:r>
          </w:p>
        </w:tc>
        <w:tc>
          <w:tcPr>
            <w:tcW w:w="6379" w:type="dxa"/>
          </w:tcPr>
          <w:p w:rsidR="00AE0549" w:rsidRPr="00A604A3" w:rsidRDefault="00AE0549" w:rsidP="006543A4">
            <w:pPr>
              <w:pStyle w:val="Tabletext"/>
            </w:pPr>
            <m:oMath>
              <m:r>
                <w:rPr>
                  <w:rFonts w:ascii="Cambria Math" w:hAnsi="Cambria Math"/>
                </w:rPr>
                <m:t xml:space="preserve">0.5ms+ </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-μ</m:t>
                      </m:r>
                    </m:sup>
                  </m:sSup>
                </m:num>
                <m:den>
                  <m:r>
                    <w:rPr>
                      <w:rFonts w:ascii="Cambria Math" w:hAnsi="Cambria Math"/>
                    </w:rPr>
                    <m:t>14</m:t>
                  </m:r>
                </m:den>
              </m:f>
            </m:oMath>
            <w:r w:rsidRPr="00A604A3">
              <w:t>, with N</w:t>
            </w:r>
            <w:r w:rsidRPr="00A604A3">
              <w:rPr>
                <w:vertAlign w:val="subscript"/>
              </w:rPr>
              <w:t>1</w:t>
            </w:r>
            <w:r w:rsidRPr="00A604A3">
              <w:t>, N</w:t>
            </w:r>
            <w:r w:rsidRPr="00A604A3">
              <w:rPr>
                <w:vertAlign w:val="subscript"/>
              </w:rPr>
              <w:t>2</w:t>
            </w:r>
            <w:r w:rsidRPr="00A604A3">
              <w:t xml:space="preserve"> taken from Tables 2,3,4,5</w:t>
            </w:r>
          </w:p>
        </w:tc>
      </w:tr>
      <w:tr w:rsidR="00AE0549" w:rsidRPr="00A604A3" w:rsidTr="006543A4">
        <w:trPr>
          <w:jc w:val="center"/>
        </w:trPr>
        <w:tc>
          <w:tcPr>
            <w:tcW w:w="846" w:type="dxa"/>
          </w:tcPr>
          <w:p w:rsidR="00AE0549" w:rsidRPr="00A604A3" w:rsidRDefault="00AE0549" w:rsidP="006543A4">
            <w:pPr>
              <w:pStyle w:val="Tabletext"/>
              <w:jc w:val="center"/>
            </w:pPr>
            <w:r w:rsidRPr="00A604A3">
              <w:t>6</w:t>
            </w:r>
          </w:p>
        </w:tc>
        <w:tc>
          <w:tcPr>
            <w:tcW w:w="6379" w:type="dxa"/>
          </w:tcPr>
          <w:p w:rsidR="00AE0549" w:rsidRPr="00A604A3" w:rsidRDefault="00AE0549" w:rsidP="006543A4">
            <w:pPr>
              <w:pStyle w:val="Tabletext"/>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7</w:t>
            </w:r>
          </w:p>
        </w:tc>
        <w:tc>
          <w:tcPr>
            <w:tcW w:w="6379" w:type="dxa"/>
          </w:tcPr>
          <w:p w:rsidR="00AE0549" w:rsidRPr="00A604A3" w:rsidRDefault="00AE0549" w:rsidP="006543A4">
            <w:pPr>
              <w:pStyle w:val="Tabletext"/>
            </w:pPr>
            <w:r w:rsidRPr="00A604A3">
              <w:t>3 ms</w:t>
            </w:r>
          </w:p>
        </w:tc>
      </w:tr>
      <w:tr w:rsidR="00AE0549" w:rsidRPr="00A604A3" w:rsidTr="006543A4">
        <w:trPr>
          <w:jc w:val="center"/>
        </w:trPr>
        <w:tc>
          <w:tcPr>
            <w:tcW w:w="846" w:type="dxa"/>
          </w:tcPr>
          <w:p w:rsidR="00AE0549" w:rsidRPr="00A604A3" w:rsidRDefault="00AE0549" w:rsidP="006543A4">
            <w:pPr>
              <w:pStyle w:val="Tabletext"/>
              <w:jc w:val="center"/>
            </w:pPr>
            <w:r w:rsidRPr="00A604A3">
              <w:t>8</w:t>
            </w:r>
          </w:p>
        </w:tc>
        <w:tc>
          <w:tcPr>
            <w:tcW w:w="6379" w:type="dxa"/>
          </w:tcPr>
          <w:p w:rsidR="00AE0549" w:rsidRPr="00A604A3" w:rsidRDefault="00AE0549" w:rsidP="006543A4">
            <w:pPr>
              <w:pStyle w:val="Tabletext"/>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9</w:t>
            </w:r>
          </w:p>
        </w:tc>
        <w:tc>
          <w:tcPr>
            <w:tcW w:w="6379" w:type="dxa"/>
          </w:tcPr>
          <w:p w:rsidR="00AE0549" w:rsidRPr="00A604A3" w:rsidRDefault="00AE0549" w:rsidP="006543A4">
            <w:pPr>
              <w:pStyle w:val="Tabletext"/>
            </w:pPr>
            <w:r w:rsidRPr="00A604A3">
              <w:t>7 ms</w:t>
            </w:r>
          </w:p>
        </w:tc>
      </w:tr>
      <w:tr w:rsidR="00AE0549" w:rsidRPr="00A604A3" w:rsidTr="006543A4">
        <w:trPr>
          <w:jc w:val="center"/>
        </w:trPr>
        <w:tc>
          <w:tcPr>
            <w:tcW w:w="846" w:type="dxa"/>
          </w:tcPr>
          <w:p w:rsidR="00AE0549" w:rsidRPr="00A604A3" w:rsidRDefault="00AE0549" w:rsidP="006543A4">
            <w:pPr>
              <w:pStyle w:val="Tabletext"/>
              <w:jc w:val="center"/>
            </w:pPr>
            <w:r w:rsidRPr="00A604A3">
              <w:t>10</w:t>
            </w:r>
          </w:p>
        </w:tc>
        <w:tc>
          <w:tcPr>
            <w:tcW w:w="6379" w:type="dxa"/>
          </w:tcPr>
          <w:p w:rsidR="00AE0549" w:rsidRPr="00A604A3" w:rsidRDefault="00AE0549" w:rsidP="006543A4">
            <w:pPr>
              <w:pStyle w:val="Tabletext"/>
            </w:pPr>
            <w:r w:rsidRPr="00A604A3">
              <w:t>0 ms</w:t>
            </w:r>
          </w:p>
        </w:tc>
      </w:tr>
    </w:tbl>
    <w:p w:rsidR="00AE0549" w:rsidRPr="00A604A3" w:rsidRDefault="00AE0549" w:rsidP="006543A4">
      <w:pPr>
        <w:pStyle w:val="Tablefin"/>
      </w:pPr>
    </w:p>
    <w:p w:rsidR="00AE0549" w:rsidRPr="00A604A3" w:rsidRDefault="00AE0549" w:rsidP="006543A4">
      <w:r w:rsidRPr="00A604A3">
        <w:t xml:space="preserve">The delays due to mapping type constraints are the delays that must be added in order to satisfy the constraints given in Table 89 and Table 90. </w:t>
      </w:r>
    </w:p>
    <w:p w:rsidR="00AE0549" w:rsidRPr="00A604A3" w:rsidRDefault="00AE0549" w:rsidP="006543A4">
      <w:r w:rsidRPr="00A604A3">
        <w:t>For Step 1 the delay due to RACH scheduling period is not included. However, it should be noted that since the start time for the transition from a most "battery efficient state" is not defined in the ITU-R M.2410 document [1], it is not clear if the delay due to RACH scheduling period should be included in the calculation of the Control Plane latency or not. We have chosen to assume that the transition starts with the transmission of the RACH preamble from the UE, hence the delay due to RACH scheduling period is not included.</w:t>
      </w:r>
    </w:p>
    <w:p w:rsidR="00AE0549" w:rsidRPr="00A604A3" w:rsidRDefault="00AE0549" w:rsidP="006543A4">
      <w:r w:rsidRPr="00A604A3">
        <w:t>For step 7 the gNB processing delay is not specified in the 3GPP standard and depends on implementation. We assume that this delay will be 3 ms or less based on experience from LTE-Advanced.</w:t>
      </w:r>
    </w:p>
    <w:p w:rsidR="00AE0549" w:rsidRPr="00A604A3" w:rsidRDefault="006543A4" w:rsidP="006543A4">
      <w:pPr>
        <w:pStyle w:val="Heading5"/>
        <w:rPr>
          <w:rFonts w:eastAsia="MS Mincho"/>
        </w:rPr>
      </w:pPr>
      <w:r w:rsidRPr="00A604A3">
        <w:rPr>
          <w:rFonts w:eastAsia="MS Mincho"/>
        </w:rPr>
        <w:lastRenderedPageBreak/>
        <w:t>II.5.8.3.1</w:t>
      </w:r>
      <w:r w:rsidRPr="00A604A3">
        <w:rPr>
          <w:rFonts w:eastAsia="MS Mincho"/>
        </w:rPr>
        <w:tab/>
      </w:r>
      <w:r w:rsidR="00AE0549" w:rsidRPr="00A604A3">
        <w:rPr>
          <w:rFonts w:eastAsia="MS Mincho"/>
        </w:rPr>
        <w:t>5G NR FDD</w:t>
      </w:r>
    </w:p>
    <w:p w:rsidR="00AE0549" w:rsidRPr="00A604A3" w:rsidRDefault="00AE0549" w:rsidP="006543A4">
      <w:pPr>
        <w:rPr>
          <w:lang w:eastAsia="zh-CN"/>
        </w:rPr>
      </w:pPr>
      <w:r w:rsidRPr="00A604A3">
        <w:rPr>
          <w:lang w:eastAsia="zh-CN"/>
        </w:rPr>
        <w:t>In TR 37.910 [14] based on the control plane procedure and assumptions given in Table 108, a variety of configurations and UE capabilities are evaluated for NR for UL data transfer. For a specific configuration, the results are the average over the possible start timing of the control plane procedure. For NR FDD, the 3GPP evaluation results of different PRACH lengths are provided in Table 5.7.2.1-2 (TR 37.910 [14]). The evaluation is applied to various non-slot length and sub-carrier spacings.</w:t>
      </w:r>
    </w:p>
    <w:p w:rsidR="00AE0549" w:rsidRPr="00A604A3" w:rsidRDefault="00AE0549" w:rsidP="006543A4">
      <w:pPr>
        <w:rPr>
          <w:lang w:eastAsia="zh-CN"/>
        </w:rPr>
      </w:pPr>
      <w:r w:rsidRPr="00A604A3">
        <w:rPr>
          <w:lang w:eastAsia="zh-CN"/>
        </w:rPr>
        <w:t>For the same configurations, 5G PPP IMT2020 Evaluation Group calculated Control Plane Latency according to the methodology described above and the results are given below in Table 110.</w:t>
      </w:r>
    </w:p>
    <w:p w:rsidR="006543A4" w:rsidRPr="00A604A3" w:rsidRDefault="006543A4" w:rsidP="006543A4">
      <w:pPr>
        <w:pStyle w:val="TableNo"/>
        <w:rPr>
          <w:rFonts w:eastAsia="MS Mincho"/>
        </w:rPr>
      </w:pPr>
      <w:bookmarkStart w:id="493" w:name="_Ref25424541"/>
      <w:bookmarkStart w:id="494" w:name="_Toc28265787"/>
      <w:bookmarkStart w:id="495" w:name="_Toc28277022"/>
      <w:bookmarkStart w:id="496" w:name="_Toc32066439"/>
      <w:r w:rsidRPr="00A604A3">
        <w:rPr>
          <w:rFonts w:eastAsia="MS Mincho"/>
        </w:rPr>
        <w:t>Table 110</w:t>
      </w:r>
    </w:p>
    <w:p w:rsidR="006543A4" w:rsidRPr="00A604A3" w:rsidRDefault="006543A4" w:rsidP="006543A4">
      <w:pPr>
        <w:pStyle w:val="Tabletitle"/>
        <w:rPr>
          <w:rFonts w:eastAsia="MS Mincho"/>
        </w:rPr>
      </w:pPr>
      <w:r w:rsidRPr="00A604A3">
        <w:rPr>
          <w:rFonts w:eastAsia="MS Mincho"/>
        </w:rPr>
        <w:t>Control plane latency (ms) for NR FDD</w:t>
      </w:r>
      <w:bookmarkEnd w:id="493"/>
      <w:bookmarkEnd w:id="494"/>
      <w:bookmarkEnd w:id="495"/>
      <w:bookmarkEnd w:id="496"/>
    </w:p>
    <w:p w:rsidR="00AE0549" w:rsidRPr="00A604A3" w:rsidRDefault="00AE0549" w:rsidP="006543A4">
      <w:pPr>
        <w:pStyle w:val="Tabletitle"/>
        <w:rPr>
          <w:lang w:eastAsia="zh-CN"/>
        </w:rPr>
      </w:pPr>
      <w:r w:rsidRPr="00A604A3">
        <w:rPr>
          <w:lang w:eastAsia="zh-CN"/>
        </w:rPr>
        <w:t>(a) PRACH length = 2 OFDM symbols</w:t>
      </w:r>
    </w:p>
    <w:tbl>
      <w:tblPr>
        <w:tblStyle w:val="TableGrid"/>
        <w:tblW w:w="9195" w:type="dxa"/>
        <w:jc w:val="center"/>
        <w:tblLook w:val="04A0" w:firstRow="1" w:lastRow="0" w:firstColumn="1" w:lastColumn="0" w:noHBand="0" w:noVBand="1"/>
      </w:tblPr>
      <w:tblGrid>
        <w:gridCol w:w="1484"/>
        <w:gridCol w:w="1370"/>
        <w:gridCol w:w="819"/>
        <w:gridCol w:w="898"/>
        <w:gridCol w:w="896"/>
        <w:gridCol w:w="905"/>
        <w:gridCol w:w="931"/>
        <w:gridCol w:w="945"/>
        <w:gridCol w:w="947"/>
      </w:tblGrid>
      <w:tr w:rsidR="00AE0549" w:rsidRPr="00A604A3" w:rsidTr="006543A4">
        <w:trPr>
          <w:jc w:val="center"/>
        </w:trPr>
        <w:tc>
          <w:tcPr>
            <w:tcW w:w="1484" w:type="dxa"/>
            <w:vMerge w:val="restart"/>
            <w:hideMark/>
          </w:tcPr>
          <w:p w:rsidR="00AE0549" w:rsidRPr="00A604A3" w:rsidRDefault="00AE0549" w:rsidP="006543A4">
            <w:pPr>
              <w:pStyle w:val="Tablehead"/>
              <w:rPr>
                <w:lang w:eastAsia="zh-CN"/>
              </w:rPr>
            </w:pPr>
            <w:r w:rsidRPr="00A604A3">
              <w:rPr>
                <w:lang w:eastAsia="zh-CN"/>
              </w:rPr>
              <w:t>Resource mapping type</w:t>
            </w:r>
          </w:p>
        </w:tc>
        <w:tc>
          <w:tcPr>
            <w:tcW w:w="1370" w:type="dxa"/>
            <w:vMerge w:val="restart"/>
            <w:hideMark/>
          </w:tcPr>
          <w:p w:rsidR="00AE0549" w:rsidRPr="00A604A3" w:rsidRDefault="00AE0549" w:rsidP="006543A4">
            <w:pPr>
              <w:pStyle w:val="Tablehead"/>
              <w:rPr>
                <w:lang w:eastAsia="zh-CN"/>
              </w:rPr>
            </w:pPr>
            <w:r w:rsidRPr="00A604A3">
              <w:rPr>
                <w:lang w:eastAsia="zh-CN"/>
              </w:rPr>
              <w:t>Non-slot duration</w:t>
            </w:r>
          </w:p>
        </w:tc>
        <w:tc>
          <w:tcPr>
            <w:tcW w:w="3518" w:type="dxa"/>
            <w:gridSpan w:val="4"/>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823" w:type="dxa"/>
            <w:gridSpan w:val="3"/>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jc w:val="center"/>
        </w:trPr>
        <w:tc>
          <w:tcPr>
            <w:tcW w:w="1484" w:type="dxa"/>
            <w:vMerge/>
            <w:hideMark/>
          </w:tcPr>
          <w:p w:rsidR="00AE0549" w:rsidRPr="00A604A3" w:rsidRDefault="00AE0549" w:rsidP="006543A4">
            <w:pPr>
              <w:pStyle w:val="Tablehead"/>
              <w:rPr>
                <w:lang w:eastAsia="zh-CN"/>
              </w:rPr>
            </w:pPr>
          </w:p>
        </w:tc>
        <w:tc>
          <w:tcPr>
            <w:tcW w:w="1370" w:type="dxa"/>
            <w:vMerge/>
            <w:hideMark/>
          </w:tcPr>
          <w:p w:rsidR="00AE0549" w:rsidRPr="00A604A3" w:rsidRDefault="00AE0549" w:rsidP="006543A4">
            <w:pPr>
              <w:pStyle w:val="Tablehead"/>
              <w:rPr>
                <w:sz w:val="16"/>
                <w:szCs w:val="16"/>
                <w:lang w:eastAsia="zh-CN"/>
              </w:rPr>
            </w:pPr>
          </w:p>
        </w:tc>
        <w:tc>
          <w:tcPr>
            <w:tcW w:w="819"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898"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896" w:type="dxa"/>
            <w:hideMark/>
          </w:tcPr>
          <w:p w:rsidR="00AE0549" w:rsidRPr="00A604A3" w:rsidRDefault="00AE0549" w:rsidP="006543A4">
            <w:pPr>
              <w:pStyle w:val="Tablehead"/>
              <w:rPr>
                <w:sz w:val="16"/>
                <w:szCs w:val="16"/>
                <w:lang w:eastAsia="zh-CN"/>
              </w:rPr>
            </w:pPr>
            <w:r w:rsidRPr="00A604A3">
              <w:rPr>
                <w:sz w:val="16"/>
                <w:szCs w:val="18"/>
                <w:lang w:eastAsia="zh-CN"/>
              </w:rPr>
              <w:t>60 kHz SCS</w:t>
            </w:r>
          </w:p>
        </w:tc>
        <w:tc>
          <w:tcPr>
            <w:tcW w:w="905" w:type="dxa"/>
            <w:hideMark/>
          </w:tcPr>
          <w:p w:rsidR="00AE0549" w:rsidRPr="00A604A3" w:rsidRDefault="00AE0549" w:rsidP="006543A4">
            <w:pPr>
              <w:pStyle w:val="Tablehead"/>
              <w:rPr>
                <w:sz w:val="16"/>
                <w:szCs w:val="16"/>
                <w:lang w:eastAsia="zh-CN"/>
              </w:rPr>
            </w:pPr>
            <w:r w:rsidRPr="00A604A3">
              <w:rPr>
                <w:sz w:val="16"/>
                <w:szCs w:val="18"/>
                <w:lang w:eastAsia="zh-CN"/>
              </w:rPr>
              <w:t>120 kHz SCS</w:t>
            </w:r>
          </w:p>
        </w:tc>
        <w:tc>
          <w:tcPr>
            <w:tcW w:w="931"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945"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947" w:type="dxa"/>
            <w:hideMark/>
          </w:tcPr>
          <w:p w:rsidR="00AE0549" w:rsidRPr="00A604A3" w:rsidRDefault="00AE0549" w:rsidP="006543A4">
            <w:pPr>
              <w:pStyle w:val="Tablehead"/>
              <w:rPr>
                <w:sz w:val="16"/>
                <w:szCs w:val="16"/>
                <w:lang w:eastAsia="zh-CN"/>
              </w:rPr>
            </w:pPr>
            <w:r w:rsidRPr="00A604A3">
              <w:rPr>
                <w:sz w:val="16"/>
                <w:szCs w:val="18"/>
                <w:lang w:eastAsia="zh-CN"/>
              </w:rPr>
              <w:t>60 kHz SCS</w:t>
            </w:r>
          </w:p>
        </w:tc>
      </w:tr>
      <w:tr w:rsidR="00AE0549" w:rsidRPr="00A604A3" w:rsidTr="006543A4">
        <w:trPr>
          <w:jc w:val="center"/>
        </w:trPr>
        <w:tc>
          <w:tcPr>
            <w:tcW w:w="1484"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15.3</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12.6</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12.3</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15.3</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12.6</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r>
      <w:tr w:rsidR="00AE0549" w:rsidRPr="00A604A3" w:rsidTr="006543A4">
        <w:trPr>
          <w:jc w:val="center"/>
        </w:trPr>
        <w:tc>
          <w:tcPr>
            <w:tcW w:w="1484" w:type="dxa"/>
            <w:vMerge/>
            <w:vAlign w:val="center"/>
            <w:hideMark/>
          </w:tcPr>
          <w:p w:rsidR="00AE0549" w:rsidRPr="00A604A3" w:rsidRDefault="00AE0549" w:rsidP="006543A4">
            <w:pPr>
              <w:pStyle w:val="Tabletext"/>
              <w:rPr>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15.5</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13.2</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12.4</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15.5</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13.2</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r>
      <w:tr w:rsidR="00AE0549" w:rsidRPr="00A604A3" w:rsidTr="006543A4">
        <w:trPr>
          <w:jc w:val="center"/>
        </w:trPr>
        <w:tc>
          <w:tcPr>
            <w:tcW w:w="1484"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13.1</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12.0</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11.8</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11.4</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12.7</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11.8</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11.6</w:t>
            </w:r>
          </w:p>
        </w:tc>
      </w:tr>
      <w:tr w:rsidR="00AE0549" w:rsidRPr="00A604A3" w:rsidTr="006543A4">
        <w:trPr>
          <w:jc w:val="center"/>
        </w:trPr>
        <w:tc>
          <w:tcPr>
            <w:tcW w:w="1484" w:type="dxa"/>
            <w:vMerge/>
            <w:vAlign w:val="center"/>
            <w:hideMark/>
          </w:tcPr>
          <w:p w:rsidR="00AE0549" w:rsidRPr="00A604A3" w:rsidRDefault="00AE0549" w:rsidP="006543A4">
            <w:pPr>
              <w:pStyle w:val="Tabletext"/>
              <w:rPr>
                <w:sz w:val="16"/>
                <w:szCs w:val="16"/>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13.6</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12.3</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11.9</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11.4</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13.3</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12.0</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r>
      <w:tr w:rsidR="00AE0549" w:rsidRPr="00A604A3" w:rsidTr="006543A4">
        <w:trPr>
          <w:jc w:val="center"/>
        </w:trPr>
        <w:tc>
          <w:tcPr>
            <w:tcW w:w="1484" w:type="dxa"/>
            <w:vMerge/>
            <w:vAlign w:val="center"/>
            <w:hideMark/>
          </w:tcPr>
          <w:p w:rsidR="00AE0549" w:rsidRPr="00A604A3" w:rsidRDefault="00AE0549" w:rsidP="006543A4">
            <w:pPr>
              <w:pStyle w:val="Tabletext"/>
              <w:rPr>
                <w:sz w:val="16"/>
                <w:szCs w:val="16"/>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14.5</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12.8</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11.6</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14.0</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12.8</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11.9</w:t>
            </w:r>
          </w:p>
        </w:tc>
      </w:tr>
    </w:tbl>
    <w:p w:rsidR="00AE0549" w:rsidRPr="00A604A3" w:rsidRDefault="00AE0549" w:rsidP="006543A4">
      <w:pPr>
        <w:pStyle w:val="Tablefin"/>
      </w:pPr>
    </w:p>
    <w:p w:rsidR="00AE0549" w:rsidRPr="00A604A3" w:rsidRDefault="00AE0549" w:rsidP="006543A4">
      <w:pPr>
        <w:pStyle w:val="Tabletitle"/>
        <w:rPr>
          <w:lang w:eastAsia="zh-CN"/>
        </w:rPr>
      </w:pPr>
      <w:r w:rsidRPr="00A604A3">
        <w:rPr>
          <w:lang w:eastAsia="zh-CN"/>
        </w:rPr>
        <w:t>(b) PRACH length = 6 OFDM symbols</w:t>
      </w:r>
    </w:p>
    <w:tbl>
      <w:tblPr>
        <w:tblStyle w:val="TableGrid"/>
        <w:tblW w:w="9195" w:type="dxa"/>
        <w:jc w:val="center"/>
        <w:tblLook w:val="04A0" w:firstRow="1" w:lastRow="0" w:firstColumn="1" w:lastColumn="0" w:noHBand="0" w:noVBand="1"/>
      </w:tblPr>
      <w:tblGrid>
        <w:gridCol w:w="1408"/>
        <w:gridCol w:w="1446"/>
        <w:gridCol w:w="819"/>
        <w:gridCol w:w="898"/>
        <w:gridCol w:w="896"/>
        <w:gridCol w:w="905"/>
        <w:gridCol w:w="931"/>
        <w:gridCol w:w="945"/>
        <w:gridCol w:w="947"/>
      </w:tblGrid>
      <w:tr w:rsidR="00AE0549" w:rsidRPr="00A604A3" w:rsidTr="006543A4">
        <w:trPr>
          <w:jc w:val="center"/>
        </w:trPr>
        <w:tc>
          <w:tcPr>
            <w:tcW w:w="1408" w:type="dxa"/>
            <w:vMerge w:val="restart"/>
            <w:vAlign w:val="center"/>
            <w:hideMark/>
          </w:tcPr>
          <w:p w:rsidR="00AE0549" w:rsidRPr="00A604A3" w:rsidRDefault="00AE0549" w:rsidP="006543A4">
            <w:pPr>
              <w:pStyle w:val="Tablehead"/>
              <w:rPr>
                <w:lang w:eastAsia="zh-CN"/>
              </w:rPr>
            </w:pPr>
            <w:r w:rsidRPr="00A604A3">
              <w:rPr>
                <w:lang w:eastAsia="zh-CN"/>
              </w:rPr>
              <w:t>Resource mapping type</w:t>
            </w:r>
          </w:p>
        </w:tc>
        <w:tc>
          <w:tcPr>
            <w:tcW w:w="1446" w:type="dxa"/>
            <w:vMerge w:val="restart"/>
            <w:vAlign w:val="center"/>
            <w:hideMark/>
          </w:tcPr>
          <w:p w:rsidR="00AE0549" w:rsidRPr="00A604A3" w:rsidRDefault="00AE0549" w:rsidP="006543A4">
            <w:pPr>
              <w:pStyle w:val="Tablehead"/>
              <w:rPr>
                <w:lang w:eastAsia="zh-CN"/>
              </w:rPr>
            </w:pPr>
            <w:r w:rsidRPr="00A604A3">
              <w:rPr>
                <w:lang w:eastAsia="zh-CN"/>
              </w:rPr>
              <w:t>Non-slot duration</w:t>
            </w:r>
          </w:p>
        </w:tc>
        <w:tc>
          <w:tcPr>
            <w:tcW w:w="3518" w:type="dxa"/>
            <w:gridSpan w:val="4"/>
            <w:vAlign w:val="center"/>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823" w:type="dxa"/>
            <w:gridSpan w:val="3"/>
            <w:vAlign w:val="center"/>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jc w:val="center"/>
        </w:trPr>
        <w:tc>
          <w:tcPr>
            <w:tcW w:w="1408" w:type="dxa"/>
            <w:vMerge/>
            <w:vAlign w:val="center"/>
            <w:hideMark/>
          </w:tcPr>
          <w:p w:rsidR="00AE0549" w:rsidRPr="00A604A3" w:rsidRDefault="00AE0549" w:rsidP="006543A4">
            <w:pPr>
              <w:pStyle w:val="Tablehead"/>
              <w:rPr>
                <w:lang w:eastAsia="zh-CN"/>
              </w:rPr>
            </w:pPr>
          </w:p>
        </w:tc>
        <w:tc>
          <w:tcPr>
            <w:tcW w:w="1446" w:type="dxa"/>
            <w:vMerge/>
            <w:vAlign w:val="center"/>
            <w:hideMark/>
          </w:tcPr>
          <w:p w:rsidR="00AE0549" w:rsidRPr="00A604A3" w:rsidRDefault="00AE0549" w:rsidP="006543A4">
            <w:pPr>
              <w:pStyle w:val="Tablehead"/>
              <w:rPr>
                <w:sz w:val="16"/>
                <w:szCs w:val="16"/>
                <w:lang w:eastAsia="zh-CN"/>
              </w:rPr>
            </w:pPr>
          </w:p>
        </w:tc>
        <w:tc>
          <w:tcPr>
            <w:tcW w:w="819"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898" w:type="dxa"/>
            <w:vAlign w:val="center"/>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896" w:type="dxa"/>
            <w:vAlign w:val="center"/>
            <w:hideMark/>
          </w:tcPr>
          <w:p w:rsidR="00AE0549" w:rsidRPr="00A604A3" w:rsidRDefault="00AE0549" w:rsidP="006543A4">
            <w:pPr>
              <w:pStyle w:val="Tablehead"/>
              <w:rPr>
                <w:sz w:val="16"/>
                <w:szCs w:val="16"/>
                <w:lang w:eastAsia="zh-CN"/>
              </w:rPr>
            </w:pPr>
            <w:r w:rsidRPr="00A604A3">
              <w:rPr>
                <w:sz w:val="16"/>
                <w:szCs w:val="18"/>
                <w:lang w:eastAsia="zh-CN"/>
              </w:rPr>
              <w:t>60 kHz SCS</w:t>
            </w:r>
          </w:p>
        </w:tc>
        <w:tc>
          <w:tcPr>
            <w:tcW w:w="905"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120 kHz SCS</w:t>
            </w:r>
          </w:p>
        </w:tc>
        <w:tc>
          <w:tcPr>
            <w:tcW w:w="931"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945" w:type="dxa"/>
            <w:vAlign w:val="center"/>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947" w:type="dxa"/>
            <w:vAlign w:val="center"/>
            <w:hideMark/>
          </w:tcPr>
          <w:p w:rsidR="00AE0549" w:rsidRPr="00A604A3" w:rsidRDefault="00AE0549" w:rsidP="006543A4">
            <w:pPr>
              <w:pStyle w:val="Tablehead"/>
              <w:rPr>
                <w:sz w:val="16"/>
                <w:szCs w:val="16"/>
                <w:lang w:eastAsia="zh-CN"/>
              </w:rPr>
            </w:pPr>
            <w:r w:rsidRPr="00A604A3">
              <w:rPr>
                <w:sz w:val="16"/>
                <w:szCs w:val="18"/>
                <w:lang w:eastAsia="zh-CN"/>
              </w:rPr>
              <w:t>60 kHz SCS</w:t>
            </w:r>
          </w:p>
        </w:tc>
      </w:tr>
      <w:tr w:rsidR="00AE0549" w:rsidRPr="00A604A3" w:rsidTr="006543A4">
        <w:trPr>
          <w:jc w:val="center"/>
        </w:trPr>
        <w:tc>
          <w:tcPr>
            <w:tcW w:w="1408"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15.3</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13.1</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15.3</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12.6</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r>
      <w:tr w:rsidR="00AE0549" w:rsidRPr="00A604A3" w:rsidTr="006543A4">
        <w:trPr>
          <w:jc w:val="center"/>
        </w:trPr>
        <w:tc>
          <w:tcPr>
            <w:tcW w:w="1408" w:type="dxa"/>
            <w:vMerge/>
            <w:vAlign w:val="center"/>
            <w:hideMark/>
          </w:tcPr>
          <w:p w:rsidR="00AE0549" w:rsidRPr="00A604A3" w:rsidRDefault="00AE0549" w:rsidP="006543A4">
            <w:pPr>
              <w:pStyle w:val="Tabletext"/>
              <w:rPr>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13.2</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r>
      <w:tr w:rsidR="00AE0549" w:rsidRPr="00A604A3" w:rsidTr="006543A4">
        <w:trPr>
          <w:jc w:val="center"/>
        </w:trPr>
        <w:tc>
          <w:tcPr>
            <w:tcW w:w="1408"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13.4</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12.1</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11.8</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11.4</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13.0</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11.9</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11.6</w:t>
            </w:r>
          </w:p>
        </w:tc>
      </w:tr>
      <w:tr w:rsidR="00AE0549" w:rsidRPr="00A604A3" w:rsidTr="006543A4">
        <w:trPr>
          <w:jc w:val="center"/>
        </w:trPr>
        <w:tc>
          <w:tcPr>
            <w:tcW w:w="1408" w:type="dxa"/>
            <w:vMerge/>
            <w:vAlign w:val="center"/>
            <w:hideMark/>
          </w:tcPr>
          <w:p w:rsidR="00AE0549" w:rsidRPr="00A604A3" w:rsidRDefault="00AE0549" w:rsidP="006543A4">
            <w:pPr>
              <w:pStyle w:val="Tabletext"/>
              <w:rPr>
                <w:sz w:val="16"/>
                <w:szCs w:val="16"/>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11.9</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11.5</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r>
      <w:tr w:rsidR="00AE0549" w:rsidRPr="00A604A3" w:rsidTr="006543A4">
        <w:trPr>
          <w:jc w:val="center"/>
        </w:trPr>
        <w:tc>
          <w:tcPr>
            <w:tcW w:w="1408" w:type="dxa"/>
            <w:vMerge/>
            <w:vAlign w:val="center"/>
            <w:hideMark/>
          </w:tcPr>
          <w:p w:rsidR="00AE0549" w:rsidRPr="00A604A3" w:rsidRDefault="00AE0549" w:rsidP="006543A4">
            <w:pPr>
              <w:pStyle w:val="Tabletext"/>
              <w:rPr>
                <w:sz w:val="16"/>
                <w:szCs w:val="16"/>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12.8</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12.1</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11.6</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12.8</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12.0</w:t>
            </w:r>
          </w:p>
        </w:tc>
      </w:tr>
    </w:tbl>
    <w:p w:rsidR="00AE0549" w:rsidRPr="00A604A3" w:rsidRDefault="00AE0549" w:rsidP="006543A4">
      <w:pPr>
        <w:pStyle w:val="Tablefin"/>
      </w:pPr>
    </w:p>
    <w:p w:rsidR="00AE0549" w:rsidRPr="00A604A3" w:rsidRDefault="00AE0549" w:rsidP="006543A4">
      <w:pPr>
        <w:pStyle w:val="Tabletitle"/>
        <w:rPr>
          <w:lang w:eastAsia="zh-CN"/>
        </w:rPr>
      </w:pPr>
      <w:r w:rsidRPr="00A604A3">
        <w:rPr>
          <w:lang w:eastAsia="zh-CN"/>
        </w:rPr>
        <w:lastRenderedPageBreak/>
        <w:t>(c) PRACH length=1ms</w:t>
      </w:r>
    </w:p>
    <w:tbl>
      <w:tblPr>
        <w:tblStyle w:val="TableGrid"/>
        <w:tblW w:w="8107" w:type="dxa"/>
        <w:jc w:val="center"/>
        <w:tblLook w:val="04A0" w:firstRow="1" w:lastRow="0" w:firstColumn="1" w:lastColumn="0" w:noHBand="0" w:noVBand="1"/>
      </w:tblPr>
      <w:tblGrid>
        <w:gridCol w:w="1306"/>
        <w:gridCol w:w="1376"/>
        <w:gridCol w:w="1259"/>
        <w:gridCol w:w="1251"/>
        <w:gridCol w:w="1548"/>
        <w:gridCol w:w="1367"/>
      </w:tblGrid>
      <w:tr w:rsidR="00AE0549" w:rsidRPr="00A604A3" w:rsidTr="006543A4">
        <w:trPr>
          <w:cantSplit/>
          <w:jc w:val="center"/>
        </w:trPr>
        <w:tc>
          <w:tcPr>
            <w:tcW w:w="1306" w:type="dxa"/>
            <w:vMerge w:val="restart"/>
            <w:hideMark/>
          </w:tcPr>
          <w:p w:rsidR="00AE0549" w:rsidRPr="00A604A3" w:rsidRDefault="00AE0549" w:rsidP="006543A4">
            <w:pPr>
              <w:pStyle w:val="Tablehead"/>
              <w:rPr>
                <w:lang w:eastAsia="zh-CN"/>
              </w:rPr>
            </w:pPr>
            <w:bookmarkStart w:id="497" w:name="_Ref13581778"/>
            <w:r w:rsidRPr="00A604A3">
              <w:rPr>
                <w:lang w:eastAsia="zh-CN"/>
              </w:rPr>
              <w:t>Resource mapping type</w:t>
            </w:r>
          </w:p>
        </w:tc>
        <w:tc>
          <w:tcPr>
            <w:tcW w:w="1376" w:type="dxa"/>
            <w:vMerge w:val="restart"/>
            <w:hideMark/>
          </w:tcPr>
          <w:p w:rsidR="00AE0549" w:rsidRPr="00A604A3" w:rsidRDefault="00AE0549" w:rsidP="006543A4">
            <w:pPr>
              <w:pStyle w:val="Tablehead"/>
              <w:rPr>
                <w:lang w:eastAsia="zh-CN"/>
              </w:rPr>
            </w:pPr>
            <w:r w:rsidRPr="00A604A3">
              <w:rPr>
                <w:lang w:eastAsia="zh-CN"/>
              </w:rPr>
              <w:t>Non-slot duration</w:t>
            </w:r>
          </w:p>
        </w:tc>
        <w:tc>
          <w:tcPr>
            <w:tcW w:w="2510" w:type="dxa"/>
            <w:gridSpan w:val="2"/>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915" w:type="dxa"/>
            <w:gridSpan w:val="2"/>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cantSplit/>
          <w:jc w:val="center"/>
        </w:trPr>
        <w:tc>
          <w:tcPr>
            <w:tcW w:w="1306" w:type="dxa"/>
            <w:vMerge/>
            <w:hideMark/>
          </w:tcPr>
          <w:p w:rsidR="00AE0549" w:rsidRPr="00A604A3" w:rsidRDefault="00AE0549" w:rsidP="006543A4">
            <w:pPr>
              <w:pStyle w:val="Tablehead"/>
              <w:rPr>
                <w:lang w:eastAsia="zh-CN"/>
              </w:rPr>
            </w:pPr>
          </w:p>
        </w:tc>
        <w:tc>
          <w:tcPr>
            <w:tcW w:w="1376" w:type="dxa"/>
            <w:vMerge/>
            <w:hideMark/>
          </w:tcPr>
          <w:p w:rsidR="00AE0549" w:rsidRPr="00A604A3" w:rsidRDefault="00AE0549" w:rsidP="006543A4">
            <w:pPr>
              <w:pStyle w:val="Tablehead"/>
              <w:rPr>
                <w:sz w:val="16"/>
                <w:szCs w:val="16"/>
                <w:lang w:eastAsia="zh-CN"/>
              </w:rPr>
            </w:pPr>
          </w:p>
        </w:tc>
        <w:tc>
          <w:tcPr>
            <w:tcW w:w="1259"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1251"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1548"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1367"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r>
      <w:tr w:rsidR="00AE0549" w:rsidRPr="00A604A3" w:rsidTr="006543A4">
        <w:trPr>
          <w:cantSplit/>
          <w:jc w:val="center"/>
        </w:trPr>
        <w:tc>
          <w:tcPr>
            <w:tcW w:w="1306"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16.3</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16.3</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16.5</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14.2</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16.5</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14.2</w:t>
            </w:r>
          </w:p>
        </w:tc>
      </w:tr>
      <w:tr w:rsidR="00AE0549" w:rsidRPr="00A604A3" w:rsidTr="006543A4">
        <w:trPr>
          <w:cantSplit/>
          <w:jc w:val="center"/>
        </w:trPr>
        <w:tc>
          <w:tcPr>
            <w:tcW w:w="1306" w:type="dxa"/>
            <w:vMerge/>
            <w:vAlign w:val="center"/>
          </w:tcPr>
          <w:p w:rsidR="00AE0549" w:rsidRPr="00A604A3" w:rsidRDefault="00AE0549" w:rsidP="006543A4">
            <w:pPr>
              <w:pStyle w:val="Tabletext"/>
              <w:rPr>
                <w:lang w:eastAsia="zh-CN"/>
              </w:rPr>
            </w:pPr>
          </w:p>
        </w:tc>
        <w:tc>
          <w:tcPr>
            <w:tcW w:w="1376" w:type="dxa"/>
            <w:vAlign w:val="center"/>
          </w:tcPr>
          <w:p w:rsidR="00AE0549" w:rsidRPr="00A604A3" w:rsidRDefault="00AE0549" w:rsidP="006543A4">
            <w:pPr>
              <w:pStyle w:val="Tabletext"/>
              <w:rPr>
                <w:sz w:val="16"/>
                <w:szCs w:val="16"/>
                <w:lang w:eastAsia="zh-CN"/>
              </w:rPr>
            </w:pPr>
            <w:r w:rsidRPr="00A604A3">
              <w:rPr>
                <w:i/>
                <w:sz w:val="16"/>
                <w:szCs w:val="16"/>
                <w:lang w:eastAsia="zh-CN"/>
              </w:rPr>
              <w:t>M</w:t>
            </w:r>
            <w:r w:rsidRPr="00A604A3">
              <w:rPr>
                <w:sz w:val="16"/>
                <w:szCs w:val="16"/>
                <w:lang w:eastAsia="zh-CN"/>
              </w:rPr>
              <w:t xml:space="preserve"> =14</w:t>
            </w:r>
          </w:p>
          <w:p w:rsidR="00AE0549" w:rsidRPr="00A604A3" w:rsidRDefault="00AE0549" w:rsidP="006543A4">
            <w:pPr>
              <w:pStyle w:val="Tabletext"/>
              <w:rPr>
                <w:sz w:val="16"/>
                <w:szCs w:val="16"/>
                <w:lang w:eastAsia="zh-CN"/>
              </w:rPr>
            </w:pPr>
            <w:r w:rsidRPr="00A604A3">
              <w:rPr>
                <w:rFonts w:eastAsia="SimSun"/>
                <w:sz w:val="16"/>
                <w:szCs w:val="16"/>
                <w:lang w:eastAsia="zh-CN"/>
              </w:rPr>
              <w:t>(14OS 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17.0</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17.0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r>
      <w:tr w:rsidR="00AE0549" w:rsidRPr="00A604A3" w:rsidTr="006543A4">
        <w:trPr>
          <w:cantSplit/>
          <w:jc w:val="center"/>
        </w:trPr>
        <w:tc>
          <w:tcPr>
            <w:tcW w:w="1306"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13.9</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12.9</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12.7</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sz w:val="16"/>
                <w:szCs w:val="16"/>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14.6</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13.3</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12.9</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sz w:val="16"/>
                <w:szCs w:val="16"/>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13.2</w:t>
            </w:r>
          </w:p>
        </w:tc>
      </w:tr>
      <w:bookmarkEnd w:id="497"/>
    </w:tbl>
    <w:p w:rsidR="00AE0549" w:rsidRPr="00A604A3" w:rsidRDefault="00AE0549" w:rsidP="006543A4">
      <w:pPr>
        <w:pStyle w:val="Tablefin"/>
      </w:pPr>
    </w:p>
    <w:p w:rsidR="00AE0549" w:rsidRPr="00A604A3" w:rsidRDefault="006543A4" w:rsidP="006543A4">
      <w:pPr>
        <w:pStyle w:val="Heading5"/>
        <w:rPr>
          <w:rFonts w:eastAsia="MS Mincho"/>
        </w:rPr>
      </w:pPr>
      <w:r w:rsidRPr="00A604A3">
        <w:rPr>
          <w:rFonts w:eastAsia="MS Mincho"/>
        </w:rPr>
        <w:t>II.5.8.3.1</w:t>
      </w:r>
      <w:r w:rsidRPr="00A604A3">
        <w:rPr>
          <w:rFonts w:eastAsia="MS Mincho"/>
        </w:rPr>
        <w:tab/>
      </w:r>
      <w:r w:rsidR="00AE0549" w:rsidRPr="00A604A3">
        <w:rPr>
          <w:rFonts w:eastAsia="MS Mincho"/>
        </w:rPr>
        <w:t>5G NR TDD</w:t>
      </w:r>
    </w:p>
    <w:p w:rsidR="00AE0549" w:rsidRPr="00A604A3" w:rsidRDefault="00AE0549" w:rsidP="006543A4">
      <w:r w:rsidRPr="00A604A3">
        <w:t>For NR TDD, various DL/UL configurations are evaluated. The evaluation results of DDDSU (with S slot = 11DL: 1GP:2UL), DSUUD (with S slot = 11DL: 1GP:2UL), and DUDU (without GP) are provided (Table 111, Table 112 and Table 113). The evaluation is applied to various non-slot length and sub-carrier spacings. Resource mapping type A and B are considered. UE capability 1 and UE capability 2 are evaluated.</w:t>
      </w:r>
    </w:p>
    <w:p w:rsidR="00AE0549" w:rsidRPr="00A604A3" w:rsidRDefault="00AE0549" w:rsidP="006543A4">
      <w:r w:rsidRPr="00A604A3">
        <w:t>The calculations were performed using the following assumptions:</w:t>
      </w:r>
    </w:p>
    <w:p w:rsidR="00AE0549" w:rsidRPr="00A604A3" w:rsidRDefault="006543A4" w:rsidP="006543A4">
      <w:pPr>
        <w:pStyle w:val="enumlev1"/>
      </w:pPr>
      <w:r w:rsidRPr="00A604A3">
        <w:t>–</w:t>
      </w:r>
      <w:r w:rsidRPr="00A604A3">
        <w:tab/>
      </w:r>
      <w:r w:rsidR="00AE0549" w:rsidRPr="00A604A3">
        <w:t>The CP procedure starts with the UE transmitting a RACH pre-amble. The start OFDM symbol can be any symbol where the following constraints are satisfied:</w:t>
      </w:r>
    </w:p>
    <w:p w:rsidR="00AE0549" w:rsidRPr="00A604A3" w:rsidRDefault="006543A4" w:rsidP="006543A4">
      <w:pPr>
        <w:pStyle w:val="enumlev2"/>
      </w:pPr>
      <w:r w:rsidRPr="00A604A3">
        <w:t>•</w:t>
      </w:r>
      <w:r w:rsidRPr="00A604A3">
        <w:tab/>
      </w:r>
      <w:r w:rsidR="00AE0549" w:rsidRPr="00A604A3">
        <w:t>All OFDM symbols that the RACH pre-amble spans must be UL OFDM symbols</w:t>
      </w:r>
    </w:p>
    <w:p w:rsidR="00AE0549" w:rsidRPr="00A604A3" w:rsidRDefault="006543A4" w:rsidP="006543A4">
      <w:pPr>
        <w:pStyle w:val="enumlev2"/>
      </w:pPr>
      <w:r w:rsidRPr="00A604A3">
        <w:t>•</w:t>
      </w:r>
      <w:r w:rsidRPr="00A604A3">
        <w:tab/>
      </w:r>
      <w:r w:rsidR="00AE0549" w:rsidRPr="00A604A3">
        <w:t>The RACH pre-amble cannot cross a slot boundary</w:t>
      </w:r>
    </w:p>
    <w:p w:rsidR="00AE0549" w:rsidRPr="00A604A3" w:rsidRDefault="00AE0549" w:rsidP="006543A4">
      <w:r w:rsidRPr="00A604A3">
        <w:t>The results below give the control plane latency minimized over the possible start OFDM symbols.</w:t>
      </w:r>
    </w:p>
    <w:p w:rsidR="006543A4" w:rsidRPr="00A604A3" w:rsidRDefault="00A604A3" w:rsidP="006543A4">
      <w:pPr>
        <w:pStyle w:val="TableNo"/>
        <w:rPr>
          <w:rFonts w:eastAsia="MS Mincho"/>
        </w:rPr>
      </w:pPr>
      <w:bookmarkStart w:id="498" w:name="_Ref28177102"/>
      <w:bookmarkStart w:id="499" w:name="_Toc28265789"/>
      <w:bookmarkStart w:id="500" w:name="_Toc28277024"/>
      <w:bookmarkStart w:id="501" w:name="_Toc32066441"/>
      <w:bookmarkStart w:id="502" w:name="_Ref27142138"/>
      <w:r w:rsidRPr="00A604A3">
        <w:rPr>
          <w:rFonts w:eastAsia="MS Mincho"/>
        </w:rPr>
        <w:t>Table 111</w:t>
      </w:r>
    </w:p>
    <w:p w:rsidR="006543A4" w:rsidRPr="00A604A3" w:rsidRDefault="006543A4" w:rsidP="006543A4">
      <w:pPr>
        <w:pStyle w:val="Tabletitle"/>
        <w:rPr>
          <w:rFonts w:eastAsia="MS Mincho"/>
        </w:rPr>
      </w:pPr>
      <w:r w:rsidRPr="00A604A3">
        <w:rPr>
          <w:rFonts w:eastAsia="MS Mincho"/>
        </w:rPr>
        <w:t>Control plane latency (ms) for NR TDD</w:t>
      </w:r>
      <w:bookmarkEnd w:id="498"/>
      <w:bookmarkEnd w:id="499"/>
      <w:bookmarkEnd w:id="500"/>
      <w:bookmarkEnd w:id="501"/>
      <w:r w:rsidRPr="00A604A3">
        <w:rPr>
          <w:rFonts w:eastAsia="MS Mincho"/>
        </w:rPr>
        <w:br/>
      </w:r>
      <w:bookmarkStart w:id="503" w:name="_Toc28265790"/>
      <w:bookmarkStart w:id="504" w:name="_Toc28277025"/>
      <w:bookmarkStart w:id="505" w:name="_Toc32066442"/>
      <w:r w:rsidRPr="00A604A3">
        <w:rPr>
          <w:rFonts w:eastAsia="MS Mincho"/>
        </w:rPr>
        <w:t>(Frame structure: DDDSU, S slot = 11DL:1GP:2UL)</w:t>
      </w:r>
      <w:bookmarkEnd w:id="502"/>
      <w:bookmarkEnd w:id="503"/>
      <w:bookmarkEnd w:id="504"/>
      <w:bookmarkEnd w:id="505"/>
    </w:p>
    <w:p w:rsidR="00AE0549" w:rsidRPr="00A604A3" w:rsidRDefault="00AE0549" w:rsidP="00A604A3">
      <w:pPr>
        <w:pStyle w:val="Tabletitle"/>
        <w:rPr>
          <w:lang w:eastAsia="zh-CN"/>
        </w:rPr>
      </w:pPr>
      <w:r w:rsidRPr="00A604A3">
        <w:rPr>
          <w:lang w:eastAsia="zh-CN"/>
        </w:rPr>
        <w:t>(a) PRACH length = 2 OFDM symbols</w:t>
      </w:r>
    </w:p>
    <w:tbl>
      <w:tblPr>
        <w:tblStyle w:val="TableGrid"/>
        <w:tblW w:w="6926" w:type="dxa"/>
        <w:jc w:val="center"/>
        <w:tblLook w:val="04A0" w:firstRow="1" w:lastRow="0" w:firstColumn="1" w:lastColumn="0" w:noHBand="0" w:noVBand="1"/>
      </w:tblPr>
      <w:tblGrid>
        <w:gridCol w:w="1294"/>
        <w:gridCol w:w="1480"/>
        <w:gridCol w:w="1038"/>
        <w:gridCol w:w="1038"/>
        <w:gridCol w:w="1038"/>
        <w:gridCol w:w="1038"/>
      </w:tblGrid>
      <w:tr w:rsidR="00AE0549" w:rsidRPr="00A604A3" w:rsidTr="00A604A3">
        <w:trPr>
          <w:jc w:val="center"/>
        </w:trPr>
        <w:tc>
          <w:tcPr>
            <w:tcW w:w="1294" w:type="dxa"/>
            <w:vMerge w:val="restart"/>
            <w:vAlign w:val="center"/>
          </w:tcPr>
          <w:p w:rsidR="00AE0549" w:rsidRPr="00A604A3" w:rsidRDefault="00AE0549" w:rsidP="00A604A3">
            <w:pPr>
              <w:pStyle w:val="Tablehead"/>
            </w:pPr>
            <w:r w:rsidRPr="00A604A3">
              <w:t>Resource mapping type</w:t>
            </w:r>
          </w:p>
        </w:tc>
        <w:tc>
          <w:tcPr>
            <w:tcW w:w="1480" w:type="dxa"/>
            <w:vMerge w:val="restart"/>
            <w:vAlign w:val="center"/>
          </w:tcPr>
          <w:p w:rsidR="00AE0549" w:rsidRPr="00A604A3" w:rsidRDefault="00AE0549" w:rsidP="00A604A3">
            <w:pPr>
              <w:pStyle w:val="Tablehead"/>
            </w:pPr>
            <w:r w:rsidRPr="00A604A3">
              <w:t>Non-slot duration</w:t>
            </w:r>
          </w:p>
        </w:tc>
        <w:tc>
          <w:tcPr>
            <w:tcW w:w="2076" w:type="dxa"/>
            <w:gridSpan w:val="2"/>
            <w:vAlign w:val="center"/>
          </w:tcPr>
          <w:p w:rsidR="00AE0549" w:rsidRPr="00A604A3" w:rsidRDefault="00AE0549" w:rsidP="00A604A3">
            <w:pPr>
              <w:pStyle w:val="Tablehead"/>
            </w:pPr>
            <w:r w:rsidRPr="00A604A3">
              <w:t>UE capability</w:t>
            </w:r>
            <w:r w:rsidRPr="00A604A3">
              <w:rPr>
                <w:lang w:eastAsia="zh-CN"/>
              </w:rPr>
              <w:t xml:space="preserve"> </w:t>
            </w:r>
            <w:r w:rsidRPr="00A604A3">
              <w:t>1</w:t>
            </w:r>
          </w:p>
        </w:tc>
        <w:tc>
          <w:tcPr>
            <w:tcW w:w="2076" w:type="dxa"/>
            <w:gridSpan w:val="2"/>
            <w:vAlign w:val="center"/>
          </w:tcPr>
          <w:p w:rsidR="00AE0549" w:rsidRPr="00A604A3" w:rsidRDefault="00AE0549" w:rsidP="00A604A3">
            <w:pPr>
              <w:pStyle w:val="Tablehead"/>
            </w:pPr>
            <w:r w:rsidRPr="00A604A3">
              <w:t>UE capability</w:t>
            </w:r>
            <w:r w:rsidRPr="00A604A3">
              <w:rPr>
                <w:lang w:eastAsia="zh-CN"/>
              </w:rPr>
              <w:t xml:space="preserve"> </w:t>
            </w:r>
            <w:r w:rsidRPr="00A604A3">
              <w:t>2</w:t>
            </w:r>
          </w:p>
        </w:tc>
      </w:tr>
      <w:tr w:rsidR="00AE0549" w:rsidRPr="00A604A3" w:rsidTr="00A604A3">
        <w:trPr>
          <w:jc w:val="center"/>
        </w:trPr>
        <w:tc>
          <w:tcPr>
            <w:tcW w:w="1294" w:type="dxa"/>
            <w:vMerge/>
            <w:vAlign w:val="center"/>
          </w:tcPr>
          <w:p w:rsidR="00AE0549" w:rsidRPr="00A604A3" w:rsidRDefault="00AE0549" w:rsidP="00A604A3">
            <w:pPr>
              <w:pStyle w:val="Tablehead"/>
              <w:rPr>
                <w:sz w:val="16"/>
                <w:szCs w:val="18"/>
              </w:rPr>
            </w:pPr>
          </w:p>
        </w:tc>
        <w:tc>
          <w:tcPr>
            <w:tcW w:w="1480" w:type="dxa"/>
            <w:vMerge/>
            <w:vAlign w:val="center"/>
          </w:tcPr>
          <w:p w:rsidR="00AE0549" w:rsidRPr="00A604A3" w:rsidRDefault="00AE0549" w:rsidP="00A604A3">
            <w:pPr>
              <w:pStyle w:val="Tablehead"/>
              <w:rPr>
                <w:sz w:val="16"/>
                <w:szCs w:val="18"/>
              </w:rPr>
            </w:pPr>
          </w:p>
        </w:tc>
        <w:tc>
          <w:tcPr>
            <w:tcW w:w="1038" w:type="dxa"/>
            <w:vAlign w:val="center"/>
          </w:tcPr>
          <w:p w:rsidR="00AE0549" w:rsidRPr="00A604A3" w:rsidRDefault="00AE0549" w:rsidP="00A604A3">
            <w:pPr>
              <w:pStyle w:val="Tablehead"/>
              <w:rPr>
                <w:sz w:val="16"/>
                <w:szCs w:val="16"/>
              </w:rPr>
            </w:pPr>
            <w:r w:rsidRPr="00A604A3">
              <w:rPr>
                <w:sz w:val="16"/>
                <w:szCs w:val="16"/>
              </w:rPr>
              <w:t>15 kHz SCS</w:t>
            </w:r>
          </w:p>
        </w:tc>
        <w:tc>
          <w:tcPr>
            <w:tcW w:w="1038" w:type="dxa"/>
            <w:vAlign w:val="center"/>
          </w:tcPr>
          <w:p w:rsidR="00AE0549" w:rsidRPr="00A604A3" w:rsidRDefault="00AE0549" w:rsidP="00A604A3">
            <w:pPr>
              <w:pStyle w:val="Tablehead"/>
              <w:rPr>
                <w:sz w:val="16"/>
                <w:szCs w:val="16"/>
              </w:rPr>
            </w:pPr>
            <w:r w:rsidRPr="00A604A3">
              <w:rPr>
                <w:sz w:val="16"/>
                <w:szCs w:val="16"/>
              </w:rPr>
              <w:t>30 kHz SCS</w:t>
            </w:r>
          </w:p>
        </w:tc>
        <w:tc>
          <w:tcPr>
            <w:tcW w:w="1038" w:type="dxa"/>
            <w:vAlign w:val="center"/>
          </w:tcPr>
          <w:p w:rsidR="00AE0549" w:rsidRPr="00A604A3" w:rsidRDefault="00AE0549" w:rsidP="00A604A3">
            <w:pPr>
              <w:pStyle w:val="Tablehead"/>
              <w:rPr>
                <w:sz w:val="16"/>
                <w:szCs w:val="16"/>
              </w:rPr>
            </w:pPr>
            <w:r w:rsidRPr="00A604A3">
              <w:rPr>
                <w:sz w:val="16"/>
                <w:szCs w:val="16"/>
              </w:rPr>
              <w:t>15 kHz SCS</w:t>
            </w:r>
          </w:p>
        </w:tc>
        <w:tc>
          <w:tcPr>
            <w:tcW w:w="1038" w:type="dxa"/>
            <w:vAlign w:val="center"/>
          </w:tcPr>
          <w:p w:rsidR="00AE0549" w:rsidRPr="00A604A3" w:rsidRDefault="00AE0549" w:rsidP="00A604A3">
            <w:pPr>
              <w:pStyle w:val="Tablehead"/>
              <w:rPr>
                <w:sz w:val="16"/>
                <w:szCs w:val="16"/>
              </w:rPr>
            </w:pPr>
            <w:r w:rsidRPr="00A604A3">
              <w:rPr>
                <w:sz w:val="16"/>
                <w:szCs w:val="16"/>
              </w:rPr>
              <w:t>30 kHz SCS</w:t>
            </w:r>
          </w:p>
        </w:tc>
      </w:tr>
      <w:tr w:rsidR="00AE0549" w:rsidRPr="00A604A3" w:rsidTr="00A604A3">
        <w:trPr>
          <w:jc w:val="center"/>
        </w:trPr>
        <w:tc>
          <w:tcPr>
            <w:tcW w:w="1294" w:type="dxa"/>
            <w:vMerge w:val="restart"/>
            <w:vAlign w:val="center"/>
          </w:tcPr>
          <w:p w:rsidR="00AE0549" w:rsidRPr="00A604A3" w:rsidRDefault="00AE0549" w:rsidP="00A604A3">
            <w:pPr>
              <w:pStyle w:val="Tabletext"/>
              <w:rPr>
                <w:i/>
                <w:sz w:val="16"/>
                <w:szCs w:val="16"/>
              </w:rPr>
            </w:pPr>
            <w:r w:rsidRPr="00A604A3">
              <w:rPr>
                <w:sz w:val="16"/>
                <w:szCs w:val="16"/>
              </w:rPr>
              <w:t>Type A</w:t>
            </w:r>
          </w:p>
        </w:tc>
        <w:tc>
          <w:tcPr>
            <w:tcW w:w="1480" w:type="dxa"/>
            <w:vAlign w:val="center"/>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r w:rsidR="00AE0549" w:rsidRPr="00A604A3" w:rsidTr="00A604A3">
        <w:trPr>
          <w:jc w:val="center"/>
        </w:trPr>
        <w:tc>
          <w:tcPr>
            <w:tcW w:w="1294" w:type="dxa"/>
            <w:vMerge w:val="restart"/>
            <w:vAlign w:val="center"/>
          </w:tcPr>
          <w:p w:rsidR="00AE0549" w:rsidRPr="00A604A3" w:rsidRDefault="00AE0549" w:rsidP="00A604A3">
            <w:pPr>
              <w:pStyle w:val="Tabletext"/>
              <w:rPr>
                <w:sz w:val="16"/>
                <w:szCs w:val="16"/>
              </w:rPr>
            </w:pPr>
            <w:r w:rsidRPr="00A604A3">
              <w:rPr>
                <w:sz w:val="16"/>
                <w:szCs w:val="16"/>
              </w:rPr>
              <w:t>Type B</w:t>
            </w: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12.1</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12.3</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bl>
    <w:p w:rsidR="00AE0549" w:rsidRPr="00A604A3" w:rsidRDefault="00AE0549" w:rsidP="00A604A3">
      <w:pPr>
        <w:pStyle w:val="Tablefin"/>
      </w:pPr>
    </w:p>
    <w:p w:rsidR="00AE0549" w:rsidRPr="00A604A3" w:rsidRDefault="00AE0549" w:rsidP="00A604A3">
      <w:pPr>
        <w:pStyle w:val="Tabletitle"/>
        <w:rPr>
          <w:lang w:eastAsia="zh-CN"/>
        </w:rPr>
      </w:pPr>
      <w:r w:rsidRPr="00A604A3">
        <w:rPr>
          <w:lang w:eastAsia="zh-CN"/>
        </w:rPr>
        <w:t>(b) PRACH length = 1 ms</w:t>
      </w:r>
    </w:p>
    <w:tbl>
      <w:tblPr>
        <w:tblStyle w:val="TableGrid"/>
        <w:tblW w:w="6048" w:type="dxa"/>
        <w:jc w:val="center"/>
        <w:tblLook w:val="04A0" w:firstRow="1" w:lastRow="0" w:firstColumn="1" w:lastColumn="0" w:noHBand="0" w:noVBand="1"/>
      </w:tblPr>
      <w:tblGrid>
        <w:gridCol w:w="1435"/>
        <w:gridCol w:w="1480"/>
        <w:gridCol w:w="1546"/>
        <w:gridCol w:w="1587"/>
      </w:tblGrid>
      <w:tr w:rsidR="00AE0549" w:rsidRPr="00A604A3" w:rsidTr="00A604A3">
        <w:trPr>
          <w:jc w:val="center"/>
        </w:trPr>
        <w:tc>
          <w:tcPr>
            <w:tcW w:w="1435" w:type="dxa"/>
            <w:vMerge w:val="restart"/>
          </w:tcPr>
          <w:p w:rsidR="00AE0549" w:rsidRPr="00A604A3" w:rsidRDefault="00AE0549" w:rsidP="00A604A3">
            <w:pPr>
              <w:pStyle w:val="Tablehead"/>
            </w:pPr>
            <w:r w:rsidRPr="00A604A3">
              <w:t>Resource mapping type</w:t>
            </w:r>
          </w:p>
        </w:tc>
        <w:tc>
          <w:tcPr>
            <w:tcW w:w="1480" w:type="dxa"/>
            <w:vMerge w:val="restart"/>
          </w:tcPr>
          <w:p w:rsidR="00AE0549" w:rsidRPr="00A604A3" w:rsidRDefault="00AE0549" w:rsidP="00A604A3">
            <w:pPr>
              <w:pStyle w:val="Tablehead"/>
            </w:pPr>
            <w:r w:rsidRPr="00A604A3">
              <w:t>Non-slot duration</w:t>
            </w:r>
          </w:p>
        </w:tc>
        <w:tc>
          <w:tcPr>
            <w:tcW w:w="1546" w:type="dxa"/>
          </w:tcPr>
          <w:p w:rsidR="00AE0549" w:rsidRPr="00A604A3" w:rsidRDefault="00AE0549" w:rsidP="00A604A3">
            <w:pPr>
              <w:pStyle w:val="Tablehead"/>
              <w:rPr>
                <w:lang w:eastAsia="zh-CN"/>
              </w:rPr>
            </w:pPr>
            <w:r w:rsidRPr="00A604A3">
              <w:t>UE capability</w:t>
            </w:r>
            <w:r w:rsidRPr="00A604A3">
              <w:rPr>
                <w:lang w:eastAsia="zh-CN"/>
              </w:rPr>
              <w:t xml:space="preserve"> 1</w:t>
            </w:r>
          </w:p>
        </w:tc>
        <w:tc>
          <w:tcPr>
            <w:tcW w:w="1587" w:type="dxa"/>
          </w:tcPr>
          <w:p w:rsidR="00AE0549" w:rsidRPr="00A604A3" w:rsidRDefault="00AE0549" w:rsidP="00A604A3">
            <w:pPr>
              <w:pStyle w:val="Tablehead"/>
            </w:pPr>
            <w:r w:rsidRPr="00A604A3">
              <w:t>UE capability</w:t>
            </w:r>
            <w:r w:rsidRPr="00A604A3">
              <w:rPr>
                <w:lang w:eastAsia="zh-CN"/>
              </w:rPr>
              <w:t xml:space="preserve"> </w:t>
            </w:r>
            <w:r w:rsidRPr="00A604A3">
              <w:t>2</w:t>
            </w:r>
          </w:p>
        </w:tc>
      </w:tr>
      <w:tr w:rsidR="00AE0549" w:rsidRPr="00A604A3" w:rsidTr="00A604A3">
        <w:trPr>
          <w:jc w:val="center"/>
        </w:trPr>
        <w:tc>
          <w:tcPr>
            <w:tcW w:w="1435" w:type="dxa"/>
            <w:vMerge/>
          </w:tcPr>
          <w:p w:rsidR="00AE0549" w:rsidRPr="00A604A3" w:rsidRDefault="00AE0549" w:rsidP="00A604A3">
            <w:pPr>
              <w:pStyle w:val="Tablehead"/>
              <w:rPr>
                <w:sz w:val="16"/>
                <w:szCs w:val="18"/>
              </w:rPr>
            </w:pPr>
          </w:p>
        </w:tc>
        <w:tc>
          <w:tcPr>
            <w:tcW w:w="1480" w:type="dxa"/>
            <w:vMerge/>
          </w:tcPr>
          <w:p w:rsidR="00AE0549" w:rsidRPr="00A604A3" w:rsidRDefault="00AE0549" w:rsidP="00A604A3">
            <w:pPr>
              <w:pStyle w:val="Tablehead"/>
              <w:rPr>
                <w:sz w:val="16"/>
                <w:szCs w:val="18"/>
              </w:rPr>
            </w:pPr>
          </w:p>
        </w:tc>
        <w:tc>
          <w:tcPr>
            <w:tcW w:w="1546" w:type="dxa"/>
          </w:tcPr>
          <w:p w:rsidR="00AE0549" w:rsidRPr="00A604A3" w:rsidRDefault="00AE0549" w:rsidP="00A604A3">
            <w:pPr>
              <w:pStyle w:val="Tablehead"/>
              <w:rPr>
                <w:sz w:val="16"/>
                <w:szCs w:val="18"/>
              </w:rPr>
            </w:pPr>
            <w:r w:rsidRPr="00A604A3">
              <w:rPr>
                <w:sz w:val="16"/>
                <w:szCs w:val="18"/>
              </w:rPr>
              <w:t>15 kHz SCS</w:t>
            </w:r>
          </w:p>
        </w:tc>
        <w:tc>
          <w:tcPr>
            <w:tcW w:w="1587" w:type="dxa"/>
          </w:tcPr>
          <w:p w:rsidR="00AE0549" w:rsidRPr="00A604A3" w:rsidRDefault="00AE0549" w:rsidP="00A604A3">
            <w:pPr>
              <w:pStyle w:val="Tablehead"/>
              <w:rPr>
                <w:sz w:val="16"/>
                <w:szCs w:val="18"/>
              </w:rPr>
            </w:pPr>
            <w:r w:rsidRPr="00A604A3">
              <w:rPr>
                <w:sz w:val="16"/>
                <w:szCs w:val="18"/>
              </w:rPr>
              <w:t>15 kHz SCS</w:t>
            </w:r>
          </w:p>
        </w:tc>
      </w:tr>
      <w:tr w:rsidR="00AE0549" w:rsidRPr="00A604A3" w:rsidTr="00A604A3">
        <w:trPr>
          <w:jc w:val="center"/>
        </w:trPr>
        <w:tc>
          <w:tcPr>
            <w:tcW w:w="1435" w:type="dxa"/>
            <w:vMerge w:val="restart"/>
            <w:vAlign w:val="center"/>
          </w:tcPr>
          <w:p w:rsidR="00AE0549" w:rsidRPr="00A604A3" w:rsidRDefault="00AE0549" w:rsidP="00A604A3">
            <w:pPr>
              <w:pStyle w:val="Tabletext"/>
              <w:rPr>
                <w:i/>
                <w:sz w:val="16"/>
                <w:szCs w:val="16"/>
              </w:rPr>
            </w:pPr>
            <w:r w:rsidRPr="00A604A3">
              <w:rPr>
                <w:sz w:val="16"/>
                <w:szCs w:val="16"/>
              </w:rPr>
              <w:t>Type A</w:t>
            </w:r>
          </w:p>
        </w:tc>
        <w:tc>
          <w:tcPr>
            <w:tcW w:w="1480" w:type="dxa"/>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r w:rsidR="00AE0549" w:rsidRPr="00A604A3" w:rsidTr="00A604A3">
        <w:trPr>
          <w:jc w:val="center"/>
        </w:trPr>
        <w:tc>
          <w:tcPr>
            <w:tcW w:w="1435" w:type="dxa"/>
            <w:vMerge/>
            <w:vAlign w:val="center"/>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r w:rsidR="00AE0549" w:rsidRPr="00A604A3" w:rsidTr="00A604A3">
        <w:trPr>
          <w:jc w:val="center"/>
        </w:trPr>
        <w:tc>
          <w:tcPr>
            <w:tcW w:w="1435" w:type="dxa"/>
            <w:vMerge w:val="restart"/>
            <w:vAlign w:val="center"/>
          </w:tcPr>
          <w:p w:rsidR="00AE0549" w:rsidRPr="00A604A3" w:rsidRDefault="00AE0549" w:rsidP="00A604A3">
            <w:pPr>
              <w:pStyle w:val="Tabletext"/>
              <w:rPr>
                <w:sz w:val="16"/>
                <w:szCs w:val="16"/>
              </w:rPr>
            </w:pPr>
            <w:r w:rsidRPr="00A604A3">
              <w:rPr>
                <w:sz w:val="16"/>
                <w:szCs w:val="16"/>
              </w:rPr>
              <w:t>Type B</w:t>
            </w: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15.1</w:t>
            </w:r>
          </w:p>
        </w:tc>
        <w:tc>
          <w:tcPr>
            <w:tcW w:w="1587" w:type="dxa"/>
            <w:vAlign w:val="center"/>
          </w:tcPr>
          <w:p w:rsidR="00AE0549" w:rsidRPr="00A604A3" w:rsidRDefault="00AE0549" w:rsidP="00A604A3">
            <w:pPr>
              <w:pStyle w:val="Tabletext"/>
              <w:jc w:val="center"/>
              <w:rPr>
                <w:sz w:val="16"/>
                <w:szCs w:val="16"/>
              </w:rPr>
            </w:pPr>
            <w:r w:rsidRPr="00A604A3">
              <w:rPr>
                <w:sz w:val="16"/>
                <w:szCs w:val="16"/>
              </w:rPr>
              <w:t>15.1</w:t>
            </w:r>
          </w:p>
        </w:tc>
      </w:tr>
      <w:tr w:rsidR="00AE0549" w:rsidRPr="00A604A3" w:rsidTr="00A604A3">
        <w:trPr>
          <w:jc w:val="center"/>
        </w:trPr>
        <w:tc>
          <w:tcPr>
            <w:tcW w:w="1435" w:type="dxa"/>
            <w:vMerge/>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15.6</w:t>
            </w:r>
          </w:p>
        </w:tc>
        <w:tc>
          <w:tcPr>
            <w:tcW w:w="1587" w:type="dxa"/>
            <w:vAlign w:val="center"/>
          </w:tcPr>
          <w:p w:rsidR="00AE0549" w:rsidRPr="00A604A3" w:rsidRDefault="00AE0549" w:rsidP="00A604A3">
            <w:pPr>
              <w:pStyle w:val="Tabletext"/>
              <w:jc w:val="center"/>
              <w:rPr>
                <w:sz w:val="16"/>
                <w:szCs w:val="16"/>
              </w:rPr>
            </w:pPr>
            <w:r w:rsidRPr="00A604A3">
              <w:rPr>
                <w:sz w:val="16"/>
                <w:szCs w:val="16"/>
              </w:rPr>
              <w:t>15.6</w:t>
            </w:r>
          </w:p>
        </w:tc>
      </w:tr>
      <w:tr w:rsidR="00AE0549" w:rsidRPr="00A604A3" w:rsidTr="00A604A3">
        <w:trPr>
          <w:jc w:val="center"/>
        </w:trPr>
        <w:tc>
          <w:tcPr>
            <w:tcW w:w="1435" w:type="dxa"/>
            <w:vMerge/>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bl>
    <w:p w:rsidR="00AE0549" w:rsidRPr="00A604A3" w:rsidRDefault="00AE0549" w:rsidP="00A604A3">
      <w:pPr>
        <w:pStyle w:val="Tablefin"/>
      </w:pPr>
    </w:p>
    <w:p w:rsidR="00A604A3" w:rsidRDefault="00514BE3" w:rsidP="00A604A3">
      <w:pPr>
        <w:pStyle w:val="TableNo"/>
        <w:rPr>
          <w:rFonts w:eastAsia="MS Mincho"/>
        </w:rPr>
      </w:pPr>
      <w:bookmarkStart w:id="506" w:name="_Ref28177118"/>
      <w:bookmarkStart w:id="507" w:name="_Toc28265791"/>
      <w:bookmarkStart w:id="508" w:name="_Toc28277026"/>
      <w:bookmarkStart w:id="509" w:name="_Toc32066443"/>
      <w:bookmarkStart w:id="510" w:name="_Ref27142146"/>
      <w:r>
        <w:rPr>
          <w:rFonts w:eastAsia="MS Mincho"/>
        </w:rPr>
        <w:t>Table 112</w:t>
      </w:r>
    </w:p>
    <w:p w:rsidR="00A604A3" w:rsidRPr="00A604A3" w:rsidRDefault="00A604A3" w:rsidP="00A604A3">
      <w:pPr>
        <w:pStyle w:val="Tabletitle"/>
        <w:rPr>
          <w:rFonts w:eastAsia="MS Mincho"/>
        </w:rPr>
      </w:pPr>
      <w:r w:rsidRPr="00A604A3">
        <w:rPr>
          <w:rFonts w:eastAsia="MS Mincho"/>
        </w:rPr>
        <w:t>Control plane latency (ms) for NR TDD</w:t>
      </w:r>
      <w:bookmarkEnd w:id="506"/>
      <w:bookmarkEnd w:id="507"/>
      <w:bookmarkEnd w:id="508"/>
      <w:bookmarkEnd w:id="509"/>
      <w:r w:rsidRPr="00A604A3">
        <w:rPr>
          <w:rFonts w:eastAsia="MS Mincho"/>
        </w:rPr>
        <w:br/>
      </w:r>
      <w:bookmarkStart w:id="511" w:name="_Toc28265792"/>
      <w:bookmarkStart w:id="512" w:name="_Toc28277027"/>
      <w:bookmarkStart w:id="513" w:name="_Toc32066444"/>
      <w:r w:rsidRPr="00A604A3">
        <w:rPr>
          <w:rFonts w:eastAsia="MS Mincho"/>
        </w:rPr>
        <w:t>(Frame structure: DSUUD, S slot = 11DL:1GP:2UL)</w:t>
      </w:r>
      <w:bookmarkEnd w:id="510"/>
      <w:bookmarkEnd w:id="511"/>
      <w:bookmarkEnd w:id="512"/>
      <w:bookmarkEnd w:id="513"/>
    </w:p>
    <w:p w:rsidR="00AE0549" w:rsidRPr="00A604A3" w:rsidRDefault="00AE0549" w:rsidP="00A604A3">
      <w:pPr>
        <w:pStyle w:val="Tabletitle"/>
        <w:rPr>
          <w:lang w:eastAsia="zh-CN"/>
        </w:rPr>
      </w:pPr>
      <w:r w:rsidRPr="00A604A3">
        <w:rPr>
          <w:lang w:eastAsia="zh-CN"/>
        </w:rPr>
        <w:t>(a) PRACH length = 2 OFDM symbols</w:t>
      </w:r>
    </w:p>
    <w:tbl>
      <w:tblPr>
        <w:tblStyle w:val="TableGrid"/>
        <w:tblW w:w="7872" w:type="dxa"/>
        <w:jc w:val="center"/>
        <w:tblLayout w:type="fixed"/>
        <w:tblCellMar>
          <w:left w:w="28" w:type="dxa"/>
          <w:right w:w="28" w:type="dxa"/>
        </w:tblCellMar>
        <w:tblLook w:val="04A0" w:firstRow="1" w:lastRow="0" w:firstColumn="1" w:lastColumn="0" w:noHBand="0" w:noVBand="1"/>
      </w:tblPr>
      <w:tblGrid>
        <w:gridCol w:w="1003"/>
        <w:gridCol w:w="1208"/>
        <w:gridCol w:w="748"/>
        <w:gridCol w:w="908"/>
        <w:gridCol w:w="736"/>
        <w:gridCol w:w="869"/>
        <w:gridCol w:w="756"/>
        <w:gridCol w:w="809"/>
        <w:gridCol w:w="835"/>
      </w:tblGrid>
      <w:tr w:rsidR="00AE0549" w:rsidRPr="00514BE3" w:rsidTr="00514BE3">
        <w:trPr>
          <w:jc w:val="center"/>
        </w:trPr>
        <w:tc>
          <w:tcPr>
            <w:tcW w:w="1003" w:type="dxa"/>
            <w:vMerge w:val="restart"/>
            <w:vAlign w:val="center"/>
          </w:tcPr>
          <w:p w:rsidR="00AE0549" w:rsidRPr="00514BE3" w:rsidRDefault="00AE0549" w:rsidP="00514BE3">
            <w:pPr>
              <w:pStyle w:val="Tablehead"/>
              <w:rPr>
                <w:sz w:val="18"/>
                <w:szCs w:val="18"/>
              </w:rPr>
            </w:pPr>
            <w:r w:rsidRPr="00514BE3">
              <w:rPr>
                <w:sz w:val="18"/>
                <w:szCs w:val="18"/>
              </w:rPr>
              <w:t>Resource mapping type</w:t>
            </w:r>
          </w:p>
        </w:tc>
        <w:tc>
          <w:tcPr>
            <w:tcW w:w="1208" w:type="dxa"/>
            <w:vMerge w:val="restart"/>
            <w:vAlign w:val="center"/>
          </w:tcPr>
          <w:p w:rsidR="00AE0549" w:rsidRPr="00514BE3" w:rsidRDefault="00AE0549" w:rsidP="00514BE3">
            <w:pPr>
              <w:pStyle w:val="Tablehead"/>
              <w:rPr>
                <w:sz w:val="18"/>
                <w:szCs w:val="18"/>
              </w:rPr>
            </w:pPr>
            <w:r w:rsidRPr="00514BE3">
              <w:rPr>
                <w:sz w:val="18"/>
                <w:szCs w:val="18"/>
              </w:rPr>
              <w:t>Non-slot duration</w:t>
            </w:r>
          </w:p>
        </w:tc>
        <w:tc>
          <w:tcPr>
            <w:tcW w:w="3261" w:type="dxa"/>
            <w:gridSpan w:val="4"/>
            <w:vAlign w:val="center"/>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1</w:t>
            </w:r>
          </w:p>
        </w:tc>
        <w:tc>
          <w:tcPr>
            <w:tcW w:w="2400" w:type="dxa"/>
            <w:gridSpan w:val="3"/>
            <w:vAlign w:val="center"/>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2</w:t>
            </w:r>
          </w:p>
        </w:tc>
      </w:tr>
      <w:tr w:rsidR="00AE0549" w:rsidRPr="00514BE3" w:rsidTr="00514BE3">
        <w:trPr>
          <w:jc w:val="center"/>
        </w:trPr>
        <w:tc>
          <w:tcPr>
            <w:tcW w:w="1003" w:type="dxa"/>
            <w:vMerge/>
            <w:vAlign w:val="center"/>
          </w:tcPr>
          <w:p w:rsidR="00AE0549" w:rsidRPr="00514BE3" w:rsidRDefault="00AE0549" w:rsidP="00514BE3">
            <w:pPr>
              <w:pStyle w:val="Tablehead"/>
              <w:rPr>
                <w:sz w:val="18"/>
                <w:szCs w:val="18"/>
              </w:rPr>
            </w:pPr>
          </w:p>
        </w:tc>
        <w:tc>
          <w:tcPr>
            <w:tcW w:w="1208" w:type="dxa"/>
            <w:vMerge/>
            <w:vAlign w:val="center"/>
          </w:tcPr>
          <w:p w:rsidR="00AE0549" w:rsidRPr="00514BE3" w:rsidRDefault="00AE0549" w:rsidP="00514BE3">
            <w:pPr>
              <w:pStyle w:val="Tablehead"/>
              <w:rPr>
                <w:sz w:val="18"/>
                <w:szCs w:val="18"/>
              </w:rPr>
            </w:pPr>
          </w:p>
        </w:tc>
        <w:tc>
          <w:tcPr>
            <w:tcW w:w="748" w:type="dxa"/>
            <w:vAlign w:val="center"/>
          </w:tcPr>
          <w:p w:rsidR="00AE0549" w:rsidRPr="00514BE3" w:rsidRDefault="00AE0549" w:rsidP="00514BE3">
            <w:pPr>
              <w:pStyle w:val="Tablehead"/>
              <w:rPr>
                <w:sz w:val="18"/>
                <w:szCs w:val="18"/>
              </w:rPr>
            </w:pPr>
            <w:r w:rsidRPr="00514BE3">
              <w:rPr>
                <w:sz w:val="18"/>
                <w:szCs w:val="18"/>
              </w:rPr>
              <w:t>15 kHz SCS</w:t>
            </w:r>
          </w:p>
        </w:tc>
        <w:tc>
          <w:tcPr>
            <w:tcW w:w="908" w:type="dxa"/>
            <w:vAlign w:val="center"/>
          </w:tcPr>
          <w:p w:rsidR="00AE0549" w:rsidRPr="00514BE3" w:rsidRDefault="00AE0549" w:rsidP="00514BE3">
            <w:pPr>
              <w:pStyle w:val="Tablehead"/>
              <w:rPr>
                <w:sz w:val="18"/>
                <w:szCs w:val="18"/>
              </w:rPr>
            </w:pPr>
            <w:r w:rsidRPr="00514BE3">
              <w:rPr>
                <w:sz w:val="18"/>
                <w:szCs w:val="18"/>
              </w:rPr>
              <w:t>30 kHz SCS</w:t>
            </w:r>
          </w:p>
        </w:tc>
        <w:tc>
          <w:tcPr>
            <w:tcW w:w="736" w:type="dxa"/>
            <w:vAlign w:val="center"/>
          </w:tcPr>
          <w:p w:rsidR="00AE0549" w:rsidRPr="00514BE3" w:rsidRDefault="00AE0549" w:rsidP="00514BE3">
            <w:pPr>
              <w:pStyle w:val="Tablehead"/>
              <w:rPr>
                <w:sz w:val="18"/>
                <w:szCs w:val="18"/>
              </w:rPr>
            </w:pPr>
            <w:r w:rsidRPr="00514BE3">
              <w:rPr>
                <w:sz w:val="18"/>
                <w:szCs w:val="18"/>
              </w:rPr>
              <w:t>60 kHz SCS</w:t>
            </w:r>
          </w:p>
        </w:tc>
        <w:tc>
          <w:tcPr>
            <w:tcW w:w="869" w:type="dxa"/>
            <w:vAlign w:val="center"/>
          </w:tcPr>
          <w:p w:rsidR="00AE0549" w:rsidRPr="00514BE3" w:rsidRDefault="00AE0549" w:rsidP="00514BE3">
            <w:pPr>
              <w:pStyle w:val="Tablehead"/>
              <w:rPr>
                <w:sz w:val="18"/>
                <w:szCs w:val="18"/>
              </w:rPr>
            </w:pPr>
            <w:r w:rsidRPr="00514BE3">
              <w:rPr>
                <w:sz w:val="18"/>
                <w:szCs w:val="18"/>
              </w:rPr>
              <w:t>120 kHz SCS</w:t>
            </w:r>
          </w:p>
        </w:tc>
        <w:tc>
          <w:tcPr>
            <w:tcW w:w="756" w:type="dxa"/>
            <w:vAlign w:val="center"/>
          </w:tcPr>
          <w:p w:rsidR="00AE0549" w:rsidRPr="00514BE3" w:rsidRDefault="00AE0549" w:rsidP="00514BE3">
            <w:pPr>
              <w:pStyle w:val="Tablehead"/>
              <w:rPr>
                <w:sz w:val="18"/>
                <w:szCs w:val="18"/>
              </w:rPr>
            </w:pPr>
            <w:r w:rsidRPr="00514BE3">
              <w:rPr>
                <w:sz w:val="18"/>
                <w:szCs w:val="18"/>
              </w:rPr>
              <w:t>15 kHz SCS</w:t>
            </w:r>
          </w:p>
        </w:tc>
        <w:tc>
          <w:tcPr>
            <w:tcW w:w="809" w:type="dxa"/>
            <w:vAlign w:val="center"/>
          </w:tcPr>
          <w:p w:rsidR="00AE0549" w:rsidRPr="00514BE3" w:rsidRDefault="00AE0549" w:rsidP="00514BE3">
            <w:pPr>
              <w:pStyle w:val="Tablehead"/>
              <w:rPr>
                <w:sz w:val="18"/>
                <w:szCs w:val="18"/>
              </w:rPr>
            </w:pPr>
            <w:r w:rsidRPr="00514BE3">
              <w:rPr>
                <w:sz w:val="18"/>
                <w:szCs w:val="18"/>
              </w:rPr>
              <w:t>30 kHz SCS</w:t>
            </w:r>
          </w:p>
        </w:tc>
        <w:tc>
          <w:tcPr>
            <w:tcW w:w="835" w:type="dxa"/>
            <w:vAlign w:val="center"/>
          </w:tcPr>
          <w:p w:rsidR="00AE0549" w:rsidRPr="00514BE3" w:rsidRDefault="00AE0549" w:rsidP="00514BE3">
            <w:pPr>
              <w:pStyle w:val="Tablehead"/>
              <w:rPr>
                <w:sz w:val="18"/>
                <w:szCs w:val="18"/>
              </w:rPr>
            </w:pPr>
            <w:r w:rsidRPr="00514BE3">
              <w:rPr>
                <w:sz w:val="18"/>
                <w:szCs w:val="18"/>
              </w:rPr>
              <w:t>60 kHz SCS</w:t>
            </w:r>
          </w:p>
        </w:tc>
      </w:tr>
      <w:tr w:rsidR="00AE0549" w:rsidRPr="00514BE3" w:rsidTr="00514BE3">
        <w:trPr>
          <w:jc w:val="center"/>
        </w:trPr>
        <w:tc>
          <w:tcPr>
            <w:tcW w:w="1003" w:type="dxa"/>
            <w:vMerge w:val="restart"/>
            <w:vAlign w:val="center"/>
          </w:tcPr>
          <w:p w:rsidR="00AE0549" w:rsidRPr="00514BE3" w:rsidRDefault="00AE0549" w:rsidP="00514BE3">
            <w:pPr>
              <w:pStyle w:val="Tabletext"/>
              <w:rPr>
                <w:i/>
                <w:sz w:val="18"/>
                <w:szCs w:val="18"/>
              </w:rPr>
            </w:pPr>
            <w:r w:rsidRPr="00514BE3">
              <w:rPr>
                <w:sz w:val="18"/>
                <w:szCs w:val="18"/>
              </w:rPr>
              <w:t>Type A</w:t>
            </w:r>
          </w:p>
        </w:tc>
        <w:tc>
          <w:tcPr>
            <w:tcW w:w="1208" w:type="dxa"/>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15.1</w:t>
            </w:r>
          </w:p>
        </w:tc>
        <w:tc>
          <w:tcPr>
            <w:tcW w:w="908" w:type="dxa"/>
            <w:vAlign w:val="center"/>
          </w:tcPr>
          <w:p w:rsidR="00AE0549" w:rsidRPr="00514BE3" w:rsidRDefault="00AE0549" w:rsidP="00514BE3">
            <w:pPr>
              <w:pStyle w:val="Tabletext"/>
              <w:jc w:val="center"/>
              <w:rPr>
                <w:sz w:val="18"/>
                <w:szCs w:val="18"/>
              </w:rPr>
            </w:pPr>
            <w:r w:rsidRPr="00514BE3">
              <w:rPr>
                <w:sz w:val="18"/>
                <w:szCs w:val="18"/>
              </w:rPr>
              <w:t>14.1</w:t>
            </w:r>
          </w:p>
        </w:tc>
        <w:tc>
          <w:tcPr>
            <w:tcW w:w="736" w:type="dxa"/>
            <w:vAlign w:val="center"/>
          </w:tcPr>
          <w:p w:rsidR="00AE0549" w:rsidRPr="00514BE3" w:rsidRDefault="00AE0549" w:rsidP="00514BE3">
            <w:pPr>
              <w:pStyle w:val="Tabletext"/>
              <w:jc w:val="center"/>
              <w:rPr>
                <w:sz w:val="18"/>
                <w:szCs w:val="18"/>
              </w:rPr>
            </w:pPr>
            <w:r w:rsidRPr="00514BE3">
              <w:rPr>
                <w:sz w:val="18"/>
                <w:szCs w:val="18"/>
              </w:rPr>
              <w:t>12.3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11.9</w:t>
            </w:r>
          </w:p>
        </w:tc>
        <w:tc>
          <w:tcPr>
            <w:tcW w:w="756" w:type="dxa"/>
            <w:vAlign w:val="center"/>
          </w:tcPr>
          <w:p w:rsidR="00AE0549" w:rsidRPr="00514BE3" w:rsidRDefault="00AE0549" w:rsidP="00514BE3">
            <w:pPr>
              <w:pStyle w:val="Tabletext"/>
              <w:jc w:val="center"/>
              <w:rPr>
                <w:sz w:val="18"/>
                <w:szCs w:val="18"/>
              </w:rPr>
            </w:pPr>
            <w:r w:rsidRPr="00514BE3">
              <w:rPr>
                <w:sz w:val="18"/>
                <w:szCs w:val="18"/>
              </w:rPr>
              <w:t>15.1</w:t>
            </w:r>
          </w:p>
        </w:tc>
        <w:tc>
          <w:tcPr>
            <w:tcW w:w="809" w:type="dxa"/>
            <w:vAlign w:val="center"/>
          </w:tcPr>
          <w:p w:rsidR="00AE0549" w:rsidRPr="00514BE3" w:rsidRDefault="00AE0549" w:rsidP="00514BE3">
            <w:pPr>
              <w:pStyle w:val="Tabletext"/>
              <w:jc w:val="center"/>
              <w:rPr>
                <w:sz w:val="18"/>
                <w:szCs w:val="18"/>
              </w:rPr>
            </w:pPr>
            <w:r w:rsidRPr="00514BE3">
              <w:rPr>
                <w:sz w:val="18"/>
                <w:szCs w:val="18"/>
              </w:rPr>
              <w:t>14.1</w:t>
            </w:r>
          </w:p>
        </w:tc>
        <w:tc>
          <w:tcPr>
            <w:tcW w:w="835" w:type="dxa"/>
            <w:vAlign w:val="center"/>
          </w:tcPr>
          <w:p w:rsidR="00AE0549" w:rsidRPr="00514BE3" w:rsidRDefault="00AE0549" w:rsidP="00514BE3">
            <w:pPr>
              <w:pStyle w:val="Tabletext"/>
              <w:jc w:val="center"/>
              <w:rPr>
                <w:sz w:val="18"/>
                <w:szCs w:val="18"/>
              </w:rPr>
            </w:pPr>
            <w:r w:rsidRPr="00514BE3">
              <w:rPr>
                <w:sz w:val="18"/>
                <w:szCs w:val="18"/>
              </w:rPr>
              <w:t>12.3</w:t>
            </w:r>
          </w:p>
        </w:tc>
      </w:tr>
      <w:tr w:rsidR="00AE0549" w:rsidRPr="00514BE3" w:rsidTr="00514BE3">
        <w:trPr>
          <w:jc w:val="center"/>
        </w:trPr>
        <w:tc>
          <w:tcPr>
            <w:tcW w:w="1003" w:type="dxa"/>
            <w:vMerge/>
            <w:vAlign w:val="center"/>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18.1</w:t>
            </w:r>
          </w:p>
        </w:tc>
        <w:tc>
          <w:tcPr>
            <w:tcW w:w="908" w:type="dxa"/>
            <w:vAlign w:val="center"/>
          </w:tcPr>
          <w:p w:rsidR="00AE0549" w:rsidRPr="00514BE3" w:rsidRDefault="00AE0549" w:rsidP="00514BE3">
            <w:pPr>
              <w:pStyle w:val="Tabletext"/>
              <w:jc w:val="center"/>
              <w:rPr>
                <w:sz w:val="18"/>
                <w:szCs w:val="18"/>
              </w:rPr>
            </w:pPr>
            <w:r w:rsidRPr="00514BE3">
              <w:rPr>
                <w:sz w:val="18"/>
                <w:szCs w:val="18"/>
              </w:rPr>
              <w:t>14.1</w:t>
            </w:r>
          </w:p>
        </w:tc>
        <w:tc>
          <w:tcPr>
            <w:tcW w:w="736" w:type="dxa"/>
            <w:vAlign w:val="center"/>
          </w:tcPr>
          <w:p w:rsidR="00AE0549" w:rsidRPr="00514BE3" w:rsidRDefault="00AE0549" w:rsidP="00514BE3">
            <w:pPr>
              <w:pStyle w:val="Tabletext"/>
              <w:jc w:val="center"/>
              <w:rPr>
                <w:sz w:val="18"/>
                <w:szCs w:val="18"/>
              </w:rPr>
            </w:pPr>
            <w:r w:rsidRPr="00514BE3">
              <w:rPr>
                <w:sz w:val="18"/>
                <w:szCs w:val="18"/>
              </w:rPr>
              <w:t>13.3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11.9</w:t>
            </w:r>
          </w:p>
        </w:tc>
        <w:tc>
          <w:tcPr>
            <w:tcW w:w="756" w:type="dxa"/>
            <w:vAlign w:val="center"/>
          </w:tcPr>
          <w:p w:rsidR="00AE0549" w:rsidRPr="00514BE3" w:rsidRDefault="00AE0549" w:rsidP="00514BE3">
            <w:pPr>
              <w:pStyle w:val="Tabletext"/>
              <w:jc w:val="center"/>
              <w:rPr>
                <w:sz w:val="18"/>
                <w:szCs w:val="18"/>
              </w:rPr>
            </w:pPr>
            <w:r w:rsidRPr="00514BE3">
              <w:rPr>
                <w:sz w:val="18"/>
                <w:szCs w:val="18"/>
              </w:rPr>
              <w:t>18.1</w:t>
            </w:r>
          </w:p>
        </w:tc>
        <w:tc>
          <w:tcPr>
            <w:tcW w:w="809" w:type="dxa"/>
            <w:vAlign w:val="center"/>
          </w:tcPr>
          <w:p w:rsidR="00AE0549" w:rsidRPr="00514BE3" w:rsidRDefault="00AE0549" w:rsidP="00514BE3">
            <w:pPr>
              <w:pStyle w:val="Tabletext"/>
              <w:jc w:val="center"/>
              <w:rPr>
                <w:sz w:val="18"/>
                <w:szCs w:val="18"/>
              </w:rPr>
            </w:pPr>
            <w:r w:rsidRPr="00514BE3">
              <w:rPr>
                <w:sz w:val="18"/>
                <w:szCs w:val="18"/>
              </w:rPr>
              <w:t>14.1</w:t>
            </w:r>
          </w:p>
        </w:tc>
        <w:tc>
          <w:tcPr>
            <w:tcW w:w="835" w:type="dxa"/>
            <w:vAlign w:val="center"/>
          </w:tcPr>
          <w:p w:rsidR="00AE0549" w:rsidRPr="00514BE3" w:rsidRDefault="00AE0549" w:rsidP="00514BE3">
            <w:pPr>
              <w:pStyle w:val="Tabletext"/>
              <w:jc w:val="center"/>
              <w:rPr>
                <w:sz w:val="18"/>
                <w:szCs w:val="18"/>
              </w:rPr>
            </w:pPr>
            <w:r w:rsidRPr="00514BE3">
              <w:rPr>
                <w:sz w:val="18"/>
                <w:szCs w:val="18"/>
              </w:rPr>
              <w:t>13.3</w:t>
            </w:r>
          </w:p>
        </w:tc>
      </w:tr>
      <w:tr w:rsidR="00AE0549" w:rsidRPr="00514BE3" w:rsidTr="00514BE3">
        <w:trPr>
          <w:jc w:val="center"/>
        </w:trPr>
        <w:tc>
          <w:tcPr>
            <w:tcW w:w="1003" w:type="dxa"/>
            <w:vMerge w:val="restart"/>
            <w:vAlign w:val="center"/>
          </w:tcPr>
          <w:p w:rsidR="00AE0549" w:rsidRPr="00514BE3" w:rsidRDefault="00AE0549" w:rsidP="00514BE3">
            <w:pPr>
              <w:pStyle w:val="Tabletext"/>
              <w:rPr>
                <w:sz w:val="18"/>
                <w:szCs w:val="18"/>
              </w:rPr>
            </w:pPr>
            <w:r w:rsidRPr="00514BE3">
              <w:rPr>
                <w:sz w:val="18"/>
                <w:szCs w:val="18"/>
              </w:rPr>
              <w:t>Type B</w:t>
            </w: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=2</w:t>
            </w:r>
            <w:r w:rsidRPr="00514BE3">
              <w:rPr>
                <w:sz w:val="18"/>
                <w:szCs w:val="18"/>
              </w:rPr>
              <w:br/>
              <w:t>(2OS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13.3</w:t>
            </w:r>
          </w:p>
        </w:tc>
        <w:tc>
          <w:tcPr>
            <w:tcW w:w="908" w:type="dxa"/>
            <w:vAlign w:val="center"/>
          </w:tcPr>
          <w:p w:rsidR="00AE0549" w:rsidRPr="00514BE3" w:rsidRDefault="00AE0549" w:rsidP="00514BE3">
            <w:pPr>
              <w:pStyle w:val="Tabletext"/>
              <w:jc w:val="center"/>
              <w:rPr>
                <w:sz w:val="18"/>
                <w:szCs w:val="18"/>
              </w:rPr>
            </w:pPr>
            <w:r w:rsidRPr="00514BE3">
              <w:rPr>
                <w:sz w:val="18"/>
                <w:szCs w:val="18"/>
              </w:rPr>
              <w:t>12.1</w:t>
            </w:r>
          </w:p>
        </w:tc>
        <w:tc>
          <w:tcPr>
            <w:tcW w:w="736" w:type="dxa"/>
            <w:vAlign w:val="center"/>
          </w:tcPr>
          <w:p w:rsidR="00AE0549" w:rsidRPr="00514BE3" w:rsidRDefault="00AE0549" w:rsidP="00514BE3">
            <w:pPr>
              <w:pStyle w:val="Tabletext"/>
              <w:jc w:val="center"/>
              <w:rPr>
                <w:sz w:val="18"/>
                <w:szCs w:val="18"/>
              </w:rPr>
            </w:pPr>
            <w:r w:rsidRPr="00514BE3">
              <w:rPr>
                <w:sz w:val="18"/>
                <w:szCs w:val="18"/>
              </w:rPr>
              <w:t>12.1</w:t>
            </w:r>
          </w:p>
        </w:tc>
        <w:tc>
          <w:tcPr>
            <w:tcW w:w="869" w:type="dxa"/>
            <w:vAlign w:val="center"/>
          </w:tcPr>
          <w:p w:rsidR="00AE0549" w:rsidRPr="00514BE3" w:rsidRDefault="00AE0549" w:rsidP="00514BE3">
            <w:pPr>
              <w:pStyle w:val="Tabletext"/>
              <w:jc w:val="center"/>
              <w:rPr>
                <w:sz w:val="18"/>
                <w:szCs w:val="18"/>
              </w:rPr>
            </w:pPr>
            <w:r w:rsidRPr="00514BE3">
              <w:rPr>
                <w:sz w:val="18"/>
                <w:szCs w:val="18"/>
              </w:rPr>
              <w:t>11.7</w:t>
            </w:r>
          </w:p>
        </w:tc>
        <w:tc>
          <w:tcPr>
            <w:tcW w:w="756" w:type="dxa"/>
            <w:vAlign w:val="center"/>
          </w:tcPr>
          <w:p w:rsidR="00AE0549" w:rsidRPr="00514BE3" w:rsidRDefault="00AE0549" w:rsidP="00514BE3">
            <w:pPr>
              <w:pStyle w:val="Tabletext"/>
              <w:jc w:val="center"/>
              <w:rPr>
                <w:sz w:val="18"/>
                <w:szCs w:val="18"/>
              </w:rPr>
            </w:pPr>
            <w:r w:rsidRPr="00514BE3">
              <w:rPr>
                <w:sz w:val="18"/>
                <w:szCs w:val="18"/>
              </w:rPr>
              <w:t>13.3</w:t>
            </w:r>
          </w:p>
        </w:tc>
        <w:tc>
          <w:tcPr>
            <w:tcW w:w="809" w:type="dxa"/>
            <w:vAlign w:val="center"/>
          </w:tcPr>
          <w:p w:rsidR="00AE0549" w:rsidRPr="00514BE3" w:rsidRDefault="00AE0549" w:rsidP="00514BE3">
            <w:pPr>
              <w:pStyle w:val="Tabletext"/>
              <w:jc w:val="center"/>
              <w:rPr>
                <w:sz w:val="18"/>
                <w:szCs w:val="18"/>
              </w:rPr>
            </w:pPr>
            <w:r w:rsidRPr="00514BE3">
              <w:rPr>
                <w:sz w:val="18"/>
                <w:szCs w:val="18"/>
              </w:rPr>
              <w:t>12.1</w:t>
            </w:r>
          </w:p>
        </w:tc>
        <w:tc>
          <w:tcPr>
            <w:tcW w:w="835"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03" w:type="dxa"/>
            <w:vMerge/>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13.6</w:t>
            </w:r>
          </w:p>
        </w:tc>
        <w:tc>
          <w:tcPr>
            <w:tcW w:w="908" w:type="dxa"/>
            <w:vAlign w:val="center"/>
          </w:tcPr>
          <w:p w:rsidR="00AE0549" w:rsidRPr="00514BE3" w:rsidRDefault="00AE0549" w:rsidP="00514BE3">
            <w:pPr>
              <w:pStyle w:val="Tabletext"/>
              <w:jc w:val="center"/>
              <w:rPr>
                <w:sz w:val="18"/>
                <w:szCs w:val="18"/>
              </w:rPr>
            </w:pPr>
            <w:r w:rsidRPr="00514BE3">
              <w:rPr>
                <w:sz w:val="18"/>
                <w:szCs w:val="18"/>
              </w:rPr>
              <w:t>12.3</w:t>
            </w:r>
          </w:p>
        </w:tc>
        <w:tc>
          <w:tcPr>
            <w:tcW w:w="736" w:type="dxa"/>
            <w:vAlign w:val="center"/>
          </w:tcPr>
          <w:p w:rsidR="00AE0549" w:rsidRPr="00514BE3" w:rsidRDefault="00AE0549" w:rsidP="00514BE3">
            <w:pPr>
              <w:pStyle w:val="Tabletext"/>
              <w:jc w:val="center"/>
              <w:rPr>
                <w:sz w:val="18"/>
                <w:szCs w:val="18"/>
              </w:rPr>
            </w:pPr>
            <w:r w:rsidRPr="00514BE3">
              <w:rPr>
                <w:sz w:val="18"/>
                <w:szCs w:val="18"/>
              </w:rPr>
              <w:t>12.1</w:t>
            </w:r>
          </w:p>
        </w:tc>
        <w:tc>
          <w:tcPr>
            <w:tcW w:w="869" w:type="dxa"/>
            <w:vAlign w:val="center"/>
          </w:tcPr>
          <w:p w:rsidR="00AE0549" w:rsidRPr="00514BE3" w:rsidRDefault="00AE0549" w:rsidP="00514BE3">
            <w:pPr>
              <w:pStyle w:val="Tabletext"/>
              <w:jc w:val="center"/>
              <w:rPr>
                <w:sz w:val="18"/>
                <w:szCs w:val="18"/>
              </w:rPr>
            </w:pPr>
            <w:r w:rsidRPr="00514BE3">
              <w:rPr>
                <w:sz w:val="18"/>
                <w:szCs w:val="18"/>
              </w:rPr>
              <w:t>11.7</w:t>
            </w:r>
          </w:p>
        </w:tc>
        <w:tc>
          <w:tcPr>
            <w:tcW w:w="756" w:type="dxa"/>
            <w:vAlign w:val="center"/>
          </w:tcPr>
          <w:p w:rsidR="00AE0549" w:rsidRPr="00514BE3" w:rsidRDefault="00AE0549" w:rsidP="00514BE3">
            <w:pPr>
              <w:pStyle w:val="Tabletext"/>
              <w:jc w:val="center"/>
              <w:rPr>
                <w:sz w:val="18"/>
                <w:szCs w:val="18"/>
              </w:rPr>
            </w:pPr>
            <w:r w:rsidRPr="00514BE3">
              <w:rPr>
                <w:sz w:val="18"/>
                <w:szCs w:val="18"/>
              </w:rPr>
              <w:t>13.6</w:t>
            </w:r>
          </w:p>
        </w:tc>
        <w:tc>
          <w:tcPr>
            <w:tcW w:w="809" w:type="dxa"/>
            <w:vAlign w:val="center"/>
          </w:tcPr>
          <w:p w:rsidR="00AE0549" w:rsidRPr="00514BE3" w:rsidRDefault="00AE0549" w:rsidP="00514BE3">
            <w:pPr>
              <w:pStyle w:val="Tabletext"/>
              <w:jc w:val="center"/>
              <w:rPr>
                <w:sz w:val="18"/>
                <w:szCs w:val="18"/>
              </w:rPr>
            </w:pPr>
            <w:r w:rsidRPr="00514BE3">
              <w:rPr>
                <w:sz w:val="18"/>
                <w:szCs w:val="18"/>
              </w:rPr>
              <w:t>12.2</w:t>
            </w:r>
          </w:p>
        </w:tc>
        <w:tc>
          <w:tcPr>
            <w:tcW w:w="835"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03" w:type="dxa"/>
            <w:vMerge/>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14.4</w:t>
            </w:r>
          </w:p>
        </w:tc>
        <w:tc>
          <w:tcPr>
            <w:tcW w:w="908" w:type="dxa"/>
            <w:vAlign w:val="center"/>
          </w:tcPr>
          <w:p w:rsidR="00AE0549" w:rsidRPr="00514BE3" w:rsidRDefault="00AE0549" w:rsidP="00514BE3">
            <w:pPr>
              <w:pStyle w:val="Tabletext"/>
              <w:jc w:val="center"/>
              <w:rPr>
                <w:sz w:val="18"/>
                <w:szCs w:val="18"/>
              </w:rPr>
            </w:pPr>
            <w:r w:rsidRPr="00514BE3">
              <w:rPr>
                <w:sz w:val="18"/>
                <w:szCs w:val="18"/>
              </w:rPr>
              <w:t>12.5</w:t>
            </w:r>
          </w:p>
        </w:tc>
        <w:tc>
          <w:tcPr>
            <w:tcW w:w="736" w:type="dxa"/>
            <w:vAlign w:val="center"/>
          </w:tcPr>
          <w:p w:rsidR="00AE0549" w:rsidRPr="00514BE3" w:rsidRDefault="00AE0549" w:rsidP="00514BE3">
            <w:pPr>
              <w:pStyle w:val="Tabletext"/>
              <w:jc w:val="center"/>
              <w:rPr>
                <w:sz w:val="18"/>
                <w:szCs w:val="18"/>
              </w:rPr>
            </w:pPr>
            <w:r w:rsidRPr="00514BE3">
              <w:rPr>
                <w:sz w:val="18"/>
                <w:szCs w:val="18"/>
              </w:rPr>
              <w:t>12.3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11.8</w:t>
            </w:r>
          </w:p>
        </w:tc>
        <w:tc>
          <w:tcPr>
            <w:tcW w:w="756" w:type="dxa"/>
            <w:vAlign w:val="center"/>
          </w:tcPr>
          <w:p w:rsidR="00AE0549" w:rsidRPr="00514BE3" w:rsidRDefault="00AE0549" w:rsidP="00514BE3">
            <w:pPr>
              <w:pStyle w:val="Tabletext"/>
              <w:jc w:val="center"/>
              <w:rPr>
                <w:sz w:val="18"/>
                <w:szCs w:val="18"/>
              </w:rPr>
            </w:pPr>
            <w:r w:rsidRPr="00514BE3">
              <w:rPr>
                <w:sz w:val="18"/>
                <w:szCs w:val="18"/>
              </w:rPr>
              <w:t>14.1</w:t>
            </w:r>
          </w:p>
        </w:tc>
        <w:tc>
          <w:tcPr>
            <w:tcW w:w="809" w:type="dxa"/>
            <w:vAlign w:val="center"/>
          </w:tcPr>
          <w:p w:rsidR="00AE0549" w:rsidRPr="00514BE3" w:rsidRDefault="00AE0549" w:rsidP="00514BE3">
            <w:pPr>
              <w:pStyle w:val="Tabletext"/>
              <w:jc w:val="center"/>
              <w:rPr>
                <w:sz w:val="18"/>
                <w:szCs w:val="18"/>
              </w:rPr>
            </w:pPr>
            <w:r w:rsidRPr="00514BE3">
              <w:rPr>
                <w:sz w:val="18"/>
                <w:szCs w:val="18"/>
              </w:rPr>
              <w:t>12.3</w:t>
            </w:r>
          </w:p>
        </w:tc>
        <w:tc>
          <w:tcPr>
            <w:tcW w:w="835" w:type="dxa"/>
            <w:vAlign w:val="center"/>
          </w:tcPr>
          <w:p w:rsidR="00AE0549" w:rsidRPr="00514BE3" w:rsidRDefault="00AE0549" w:rsidP="00514BE3">
            <w:pPr>
              <w:pStyle w:val="Tabletext"/>
              <w:jc w:val="center"/>
              <w:rPr>
                <w:sz w:val="18"/>
                <w:szCs w:val="18"/>
              </w:rPr>
            </w:pPr>
            <w:r w:rsidRPr="00514BE3">
              <w:rPr>
                <w:sz w:val="18"/>
                <w:szCs w:val="18"/>
              </w:rPr>
              <w:t>12.3</w:t>
            </w:r>
          </w:p>
        </w:tc>
      </w:tr>
    </w:tbl>
    <w:p w:rsidR="00AE0549" w:rsidRPr="00A604A3" w:rsidRDefault="00AE0549" w:rsidP="00514BE3">
      <w:pPr>
        <w:pStyle w:val="Tablefin"/>
      </w:pPr>
    </w:p>
    <w:p w:rsidR="00AE0549" w:rsidRPr="00A604A3" w:rsidRDefault="00AE0549" w:rsidP="00A604A3">
      <w:pPr>
        <w:pStyle w:val="Tabletitle"/>
        <w:rPr>
          <w:lang w:eastAsia="zh-CN"/>
        </w:rPr>
      </w:pPr>
      <w:r w:rsidRPr="00A604A3">
        <w:rPr>
          <w:lang w:eastAsia="zh-CN"/>
        </w:rPr>
        <w:t>(b) PRACH length = 6 OFDM symbols</w:t>
      </w:r>
    </w:p>
    <w:tbl>
      <w:tblPr>
        <w:tblStyle w:val="TableGrid"/>
        <w:tblW w:w="8301" w:type="dxa"/>
        <w:jc w:val="center"/>
        <w:tblLayout w:type="fixed"/>
        <w:tblCellMar>
          <w:left w:w="28" w:type="dxa"/>
          <w:right w:w="28" w:type="dxa"/>
        </w:tblCellMar>
        <w:tblLook w:val="04A0" w:firstRow="1" w:lastRow="0" w:firstColumn="1" w:lastColumn="0" w:noHBand="0" w:noVBand="1"/>
      </w:tblPr>
      <w:tblGrid>
        <w:gridCol w:w="1030"/>
        <w:gridCol w:w="1375"/>
        <w:gridCol w:w="781"/>
        <w:gridCol w:w="863"/>
        <w:gridCol w:w="763"/>
        <w:gridCol w:w="917"/>
        <w:gridCol w:w="793"/>
        <w:gridCol w:w="870"/>
        <w:gridCol w:w="909"/>
      </w:tblGrid>
      <w:tr w:rsidR="00AE0549" w:rsidRPr="00514BE3" w:rsidTr="000E0871">
        <w:trPr>
          <w:jc w:val="center"/>
        </w:trPr>
        <w:tc>
          <w:tcPr>
            <w:tcW w:w="1030" w:type="dxa"/>
            <w:vMerge w:val="restart"/>
            <w:vAlign w:val="center"/>
          </w:tcPr>
          <w:p w:rsidR="00AE0549" w:rsidRPr="00514BE3" w:rsidRDefault="00AE0549" w:rsidP="000E0871">
            <w:pPr>
              <w:pStyle w:val="Tablehead"/>
              <w:rPr>
                <w:sz w:val="18"/>
                <w:szCs w:val="18"/>
              </w:rPr>
            </w:pPr>
            <w:r w:rsidRPr="00514BE3">
              <w:rPr>
                <w:sz w:val="18"/>
                <w:szCs w:val="18"/>
              </w:rPr>
              <w:t>Resource mapping type</w:t>
            </w:r>
          </w:p>
        </w:tc>
        <w:tc>
          <w:tcPr>
            <w:tcW w:w="1375" w:type="dxa"/>
            <w:vMerge w:val="restart"/>
            <w:vAlign w:val="center"/>
          </w:tcPr>
          <w:p w:rsidR="00AE0549" w:rsidRPr="00514BE3" w:rsidRDefault="00AE0549" w:rsidP="000E0871">
            <w:pPr>
              <w:pStyle w:val="Tablehead"/>
              <w:rPr>
                <w:sz w:val="18"/>
                <w:szCs w:val="18"/>
              </w:rPr>
            </w:pPr>
            <w:r w:rsidRPr="00514BE3">
              <w:rPr>
                <w:sz w:val="18"/>
                <w:szCs w:val="18"/>
              </w:rPr>
              <w:t>Non-slot duration</w:t>
            </w:r>
          </w:p>
        </w:tc>
        <w:tc>
          <w:tcPr>
            <w:tcW w:w="3324" w:type="dxa"/>
            <w:gridSpan w:val="4"/>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1</w:t>
            </w:r>
          </w:p>
        </w:tc>
        <w:tc>
          <w:tcPr>
            <w:tcW w:w="2572" w:type="dxa"/>
            <w:gridSpan w:val="3"/>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2</w:t>
            </w:r>
          </w:p>
        </w:tc>
      </w:tr>
      <w:tr w:rsidR="00AE0549" w:rsidRPr="00514BE3" w:rsidTr="00514BE3">
        <w:trPr>
          <w:jc w:val="center"/>
        </w:trPr>
        <w:tc>
          <w:tcPr>
            <w:tcW w:w="1030" w:type="dxa"/>
            <w:vMerge/>
          </w:tcPr>
          <w:p w:rsidR="00AE0549" w:rsidRPr="00514BE3" w:rsidRDefault="00AE0549" w:rsidP="00514BE3">
            <w:pPr>
              <w:pStyle w:val="Tablehead"/>
              <w:rPr>
                <w:sz w:val="18"/>
                <w:szCs w:val="18"/>
              </w:rPr>
            </w:pPr>
          </w:p>
        </w:tc>
        <w:tc>
          <w:tcPr>
            <w:tcW w:w="1375" w:type="dxa"/>
            <w:vMerge/>
          </w:tcPr>
          <w:p w:rsidR="00AE0549" w:rsidRPr="00514BE3" w:rsidRDefault="00AE0549" w:rsidP="00514BE3">
            <w:pPr>
              <w:pStyle w:val="Tablehead"/>
              <w:rPr>
                <w:sz w:val="18"/>
                <w:szCs w:val="18"/>
              </w:rPr>
            </w:pPr>
          </w:p>
        </w:tc>
        <w:tc>
          <w:tcPr>
            <w:tcW w:w="781" w:type="dxa"/>
          </w:tcPr>
          <w:p w:rsidR="00AE0549" w:rsidRPr="00514BE3" w:rsidRDefault="00AE0549" w:rsidP="00514BE3">
            <w:pPr>
              <w:pStyle w:val="Tablehead"/>
              <w:rPr>
                <w:sz w:val="18"/>
                <w:szCs w:val="18"/>
              </w:rPr>
            </w:pPr>
            <w:r w:rsidRPr="00514BE3">
              <w:rPr>
                <w:sz w:val="18"/>
                <w:szCs w:val="18"/>
              </w:rPr>
              <w:t>15 kHz SCS</w:t>
            </w:r>
          </w:p>
        </w:tc>
        <w:tc>
          <w:tcPr>
            <w:tcW w:w="863" w:type="dxa"/>
          </w:tcPr>
          <w:p w:rsidR="00AE0549" w:rsidRPr="00514BE3" w:rsidRDefault="00AE0549" w:rsidP="00514BE3">
            <w:pPr>
              <w:pStyle w:val="Tablehead"/>
              <w:rPr>
                <w:sz w:val="18"/>
                <w:szCs w:val="18"/>
              </w:rPr>
            </w:pPr>
            <w:r w:rsidRPr="00514BE3">
              <w:rPr>
                <w:sz w:val="18"/>
                <w:szCs w:val="18"/>
              </w:rPr>
              <w:t>30 kHz SCS</w:t>
            </w:r>
          </w:p>
        </w:tc>
        <w:tc>
          <w:tcPr>
            <w:tcW w:w="763" w:type="dxa"/>
          </w:tcPr>
          <w:p w:rsidR="00AE0549" w:rsidRPr="00514BE3" w:rsidRDefault="00AE0549" w:rsidP="00514BE3">
            <w:pPr>
              <w:pStyle w:val="Tablehead"/>
              <w:rPr>
                <w:sz w:val="18"/>
                <w:szCs w:val="18"/>
              </w:rPr>
            </w:pPr>
            <w:r w:rsidRPr="00514BE3">
              <w:rPr>
                <w:sz w:val="18"/>
                <w:szCs w:val="18"/>
              </w:rPr>
              <w:t>60 kHz SCS</w:t>
            </w:r>
          </w:p>
        </w:tc>
        <w:tc>
          <w:tcPr>
            <w:tcW w:w="917" w:type="dxa"/>
          </w:tcPr>
          <w:p w:rsidR="00AE0549" w:rsidRPr="00514BE3" w:rsidRDefault="00AE0549" w:rsidP="00514BE3">
            <w:pPr>
              <w:pStyle w:val="Tablehead"/>
              <w:rPr>
                <w:sz w:val="18"/>
                <w:szCs w:val="18"/>
              </w:rPr>
            </w:pPr>
            <w:r w:rsidRPr="00514BE3">
              <w:rPr>
                <w:sz w:val="18"/>
                <w:szCs w:val="18"/>
              </w:rPr>
              <w:t>120 kHz SCS</w:t>
            </w:r>
          </w:p>
        </w:tc>
        <w:tc>
          <w:tcPr>
            <w:tcW w:w="793" w:type="dxa"/>
          </w:tcPr>
          <w:p w:rsidR="00AE0549" w:rsidRPr="00514BE3" w:rsidRDefault="00AE0549" w:rsidP="00514BE3">
            <w:pPr>
              <w:pStyle w:val="Tablehead"/>
              <w:rPr>
                <w:sz w:val="18"/>
                <w:szCs w:val="18"/>
              </w:rPr>
            </w:pPr>
            <w:r w:rsidRPr="00514BE3">
              <w:rPr>
                <w:sz w:val="18"/>
                <w:szCs w:val="18"/>
              </w:rPr>
              <w:t>15 kHz SCS</w:t>
            </w:r>
          </w:p>
        </w:tc>
        <w:tc>
          <w:tcPr>
            <w:tcW w:w="870" w:type="dxa"/>
          </w:tcPr>
          <w:p w:rsidR="00AE0549" w:rsidRPr="00514BE3" w:rsidRDefault="00AE0549" w:rsidP="00514BE3">
            <w:pPr>
              <w:pStyle w:val="Tablehead"/>
              <w:rPr>
                <w:sz w:val="18"/>
                <w:szCs w:val="18"/>
              </w:rPr>
            </w:pPr>
            <w:r w:rsidRPr="00514BE3">
              <w:rPr>
                <w:sz w:val="18"/>
                <w:szCs w:val="18"/>
              </w:rPr>
              <w:t>30 kHz SCS</w:t>
            </w:r>
          </w:p>
        </w:tc>
        <w:tc>
          <w:tcPr>
            <w:tcW w:w="909" w:type="dxa"/>
          </w:tcPr>
          <w:p w:rsidR="00AE0549" w:rsidRPr="00514BE3" w:rsidRDefault="00AE0549" w:rsidP="00514BE3">
            <w:pPr>
              <w:pStyle w:val="Tablehead"/>
              <w:rPr>
                <w:sz w:val="18"/>
                <w:szCs w:val="18"/>
              </w:rPr>
            </w:pPr>
            <w:r w:rsidRPr="00514BE3">
              <w:rPr>
                <w:sz w:val="18"/>
                <w:szCs w:val="18"/>
              </w:rPr>
              <w:t>60 kHz SCS</w:t>
            </w:r>
          </w:p>
        </w:tc>
      </w:tr>
      <w:tr w:rsidR="00AE0549" w:rsidRPr="00514BE3" w:rsidTr="00514BE3">
        <w:trPr>
          <w:jc w:val="center"/>
        </w:trPr>
        <w:tc>
          <w:tcPr>
            <w:tcW w:w="1030" w:type="dxa"/>
            <w:vMerge w:val="restart"/>
            <w:vAlign w:val="center"/>
          </w:tcPr>
          <w:p w:rsidR="00AE0549" w:rsidRPr="00514BE3" w:rsidRDefault="00AE0549" w:rsidP="00514BE3">
            <w:pPr>
              <w:pStyle w:val="Tabletext"/>
              <w:rPr>
                <w:i/>
                <w:sz w:val="18"/>
                <w:szCs w:val="18"/>
              </w:rPr>
            </w:pPr>
            <w:r w:rsidRPr="00514BE3">
              <w:rPr>
                <w:sz w:val="18"/>
                <w:szCs w:val="18"/>
              </w:rPr>
              <w:t>Type A</w:t>
            </w:r>
          </w:p>
        </w:tc>
        <w:tc>
          <w:tcPr>
            <w:tcW w:w="1375" w:type="dxa"/>
            <w:vAlign w:val="center"/>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18.4</w:t>
            </w:r>
          </w:p>
        </w:tc>
        <w:tc>
          <w:tcPr>
            <w:tcW w:w="863" w:type="dxa"/>
            <w:vAlign w:val="center"/>
          </w:tcPr>
          <w:p w:rsidR="00AE0549" w:rsidRPr="00514BE3" w:rsidRDefault="00AE0549" w:rsidP="00514BE3">
            <w:pPr>
              <w:pStyle w:val="Tabletext"/>
              <w:jc w:val="center"/>
              <w:rPr>
                <w:sz w:val="18"/>
                <w:szCs w:val="18"/>
              </w:rPr>
            </w:pPr>
            <w:r w:rsidRPr="00514BE3">
              <w:rPr>
                <w:sz w:val="18"/>
                <w:szCs w:val="18"/>
              </w:rPr>
              <w:t>14.2</w:t>
            </w:r>
          </w:p>
        </w:tc>
        <w:tc>
          <w:tcPr>
            <w:tcW w:w="763" w:type="dxa"/>
            <w:vAlign w:val="center"/>
          </w:tcPr>
          <w:p w:rsidR="00AE0549" w:rsidRPr="00514BE3" w:rsidRDefault="00AE0549" w:rsidP="00514BE3">
            <w:pPr>
              <w:pStyle w:val="Tabletext"/>
              <w:jc w:val="center"/>
              <w:rPr>
                <w:sz w:val="18"/>
                <w:szCs w:val="18"/>
              </w:rPr>
            </w:pPr>
            <w:r w:rsidRPr="00514BE3">
              <w:rPr>
                <w:sz w:val="18"/>
                <w:szCs w:val="18"/>
              </w:rPr>
              <w:t>13.4</w:t>
            </w:r>
          </w:p>
        </w:tc>
        <w:tc>
          <w:tcPr>
            <w:tcW w:w="917" w:type="dxa"/>
            <w:vAlign w:val="center"/>
          </w:tcPr>
          <w:p w:rsidR="00AE0549" w:rsidRPr="00514BE3" w:rsidRDefault="00AE0549" w:rsidP="00514BE3">
            <w:pPr>
              <w:pStyle w:val="Tabletext"/>
              <w:jc w:val="center"/>
              <w:rPr>
                <w:sz w:val="18"/>
                <w:szCs w:val="18"/>
              </w:rPr>
            </w:pPr>
            <w:r w:rsidRPr="00514BE3">
              <w:rPr>
                <w:sz w:val="18"/>
                <w:szCs w:val="18"/>
              </w:rPr>
              <w:t>12.3</w:t>
            </w:r>
          </w:p>
        </w:tc>
        <w:tc>
          <w:tcPr>
            <w:tcW w:w="793" w:type="dxa"/>
            <w:vAlign w:val="center"/>
          </w:tcPr>
          <w:p w:rsidR="00AE0549" w:rsidRPr="00514BE3" w:rsidRDefault="00AE0549" w:rsidP="00514BE3">
            <w:pPr>
              <w:pStyle w:val="Tabletext"/>
              <w:jc w:val="center"/>
              <w:rPr>
                <w:sz w:val="18"/>
                <w:szCs w:val="18"/>
              </w:rPr>
            </w:pPr>
            <w:r w:rsidRPr="00514BE3">
              <w:rPr>
                <w:sz w:val="18"/>
                <w:szCs w:val="18"/>
              </w:rPr>
              <w:t>18.4</w:t>
            </w:r>
          </w:p>
        </w:tc>
        <w:tc>
          <w:tcPr>
            <w:tcW w:w="870" w:type="dxa"/>
            <w:vAlign w:val="center"/>
          </w:tcPr>
          <w:p w:rsidR="00AE0549" w:rsidRPr="00514BE3" w:rsidRDefault="00AE0549" w:rsidP="00514BE3">
            <w:pPr>
              <w:pStyle w:val="Tabletext"/>
              <w:jc w:val="center"/>
              <w:rPr>
                <w:sz w:val="18"/>
                <w:szCs w:val="18"/>
              </w:rPr>
            </w:pPr>
            <w:r w:rsidRPr="00514BE3">
              <w:rPr>
                <w:sz w:val="18"/>
                <w:szCs w:val="18"/>
              </w:rPr>
              <w:t>14.2</w:t>
            </w:r>
          </w:p>
        </w:tc>
        <w:tc>
          <w:tcPr>
            <w:tcW w:w="909" w:type="dxa"/>
            <w:vAlign w:val="center"/>
          </w:tcPr>
          <w:p w:rsidR="00AE0549" w:rsidRPr="00514BE3" w:rsidRDefault="00AE0549" w:rsidP="00514BE3">
            <w:pPr>
              <w:pStyle w:val="Tabletext"/>
              <w:jc w:val="center"/>
              <w:rPr>
                <w:sz w:val="18"/>
                <w:szCs w:val="18"/>
              </w:rPr>
            </w:pPr>
            <w:r w:rsidRPr="00514BE3">
              <w:rPr>
                <w:sz w:val="18"/>
                <w:szCs w:val="18"/>
              </w:rPr>
              <w:t>13.4</w:t>
            </w:r>
          </w:p>
        </w:tc>
      </w:tr>
      <w:tr w:rsidR="00AE0549" w:rsidRPr="00514BE3" w:rsidTr="00514BE3">
        <w:trPr>
          <w:jc w:val="center"/>
        </w:trPr>
        <w:tc>
          <w:tcPr>
            <w:tcW w:w="1030" w:type="dxa"/>
            <w:vMerge/>
            <w:vAlign w:val="center"/>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18.4</w:t>
            </w:r>
          </w:p>
        </w:tc>
        <w:tc>
          <w:tcPr>
            <w:tcW w:w="863" w:type="dxa"/>
            <w:vAlign w:val="center"/>
          </w:tcPr>
          <w:p w:rsidR="00AE0549" w:rsidRPr="00514BE3" w:rsidRDefault="00AE0549" w:rsidP="00514BE3">
            <w:pPr>
              <w:pStyle w:val="Tabletext"/>
              <w:jc w:val="center"/>
              <w:rPr>
                <w:sz w:val="18"/>
                <w:szCs w:val="18"/>
              </w:rPr>
            </w:pPr>
            <w:r w:rsidRPr="00514BE3">
              <w:rPr>
                <w:sz w:val="18"/>
                <w:szCs w:val="18"/>
              </w:rPr>
              <w:t>14.2</w:t>
            </w:r>
          </w:p>
        </w:tc>
        <w:tc>
          <w:tcPr>
            <w:tcW w:w="763" w:type="dxa"/>
            <w:vAlign w:val="center"/>
          </w:tcPr>
          <w:p w:rsidR="00AE0549" w:rsidRPr="00514BE3" w:rsidRDefault="00AE0549" w:rsidP="00514BE3">
            <w:pPr>
              <w:pStyle w:val="Tabletext"/>
              <w:jc w:val="center"/>
              <w:rPr>
                <w:sz w:val="18"/>
                <w:szCs w:val="18"/>
              </w:rPr>
            </w:pPr>
            <w:r w:rsidRPr="00514BE3">
              <w:rPr>
                <w:sz w:val="18"/>
                <w:szCs w:val="18"/>
              </w:rPr>
              <w:t>13.4</w:t>
            </w:r>
          </w:p>
        </w:tc>
        <w:tc>
          <w:tcPr>
            <w:tcW w:w="917" w:type="dxa"/>
            <w:vAlign w:val="center"/>
          </w:tcPr>
          <w:p w:rsidR="00AE0549" w:rsidRPr="00514BE3" w:rsidRDefault="00AE0549" w:rsidP="00514BE3">
            <w:pPr>
              <w:pStyle w:val="Tabletext"/>
              <w:jc w:val="center"/>
              <w:rPr>
                <w:sz w:val="18"/>
                <w:szCs w:val="18"/>
              </w:rPr>
            </w:pPr>
            <w:r w:rsidRPr="00514BE3">
              <w:rPr>
                <w:sz w:val="18"/>
                <w:szCs w:val="18"/>
              </w:rPr>
              <w:t>12.3</w:t>
            </w:r>
          </w:p>
        </w:tc>
        <w:tc>
          <w:tcPr>
            <w:tcW w:w="793" w:type="dxa"/>
            <w:vAlign w:val="center"/>
          </w:tcPr>
          <w:p w:rsidR="00AE0549" w:rsidRPr="00514BE3" w:rsidRDefault="00AE0549" w:rsidP="00514BE3">
            <w:pPr>
              <w:pStyle w:val="Tabletext"/>
              <w:jc w:val="center"/>
              <w:rPr>
                <w:sz w:val="18"/>
                <w:szCs w:val="18"/>
              </w:rPr>
            </w:pPr>
            <w:r w:rsidRPr="00514BE3">
              <w:rPr>
                <w:sz w:val="18"/>
                <w:szCs w:val="18"/>
              </w:rPr>
              <w:t>18.4</w:t>
            </w:r>
          </w:p>
        </w:tc>
        <w:tc>
          <w:tcPr>
            <w:tcW w:w="870" w:type="dxa"/>
            <w:vAlign w:val="center"/>
          </w:tcPr>
          <w:p w:rsidR="00AE0549" w:rsidRPr="00514BE3" w:rsidRDefault="00AE0549" w:rsidP="00514BE3">
            <w:pPr>
              <w:pStyle w:val="Tabletext"/>
              <w:jc w:val="center"/>
              <w:rPr>
                <w:sz w:val="18"/>
                <w:szCs w:val="18"/>
              </w:rPr>
            </w:pPr>
            <w:r w:rsidRPr="00514BE3">
              <w:rPr>
                <w:sz w:val="18"/>
                <w:szCs w:val="18"/>
              </w:rPr>
              <w:t>14.2</w:t>
            </w:r>
          </w:p>
        </w:tc>
        <w:tc>
          <w:tcPr>
            <w:tcW w:w="909" w:type="dxa"/>
            <w:vAlign w:val="center"/>
          </w:tcPr>
          <w:p w:rsidR="00AE0549" w:rsidRPr="00514BE3" w:rsidRDefault="00AE0549" w:rsidP="00514BE3">
            <w:pPr>
              <w:pStyle w:val="Tabletext"/>
              <w:jc w:val="center"/>
              <w:rPr>
                <w:sz w:val="18"/>
                <w:szCs w:val="18"/>
              </w:rPr>
            </w:pPr>
            <w:r w:rsidRPr="00514BE3">
              <w:rPr>
                <w:sz w:val="18"/>
                <w:szCs w:val="18"/>
              </w:rPr>
              <w:t>13.4</w:t>
            </w:r>
          </w:p>
        </w:tc>
      </w:tr>
      <w:tr w:rsidR="00AE0549" w:rsidRPr="00514BE3" w:rsidTr="00514BE3">
        <w:trPr>
          <w:jc w:val="center"/>
        </w:trPr>
        <w:tc>
          <w:tcPr>
            <w:tcW w:w="1030" w:type="dxa"/>
            <w:vMerge w:val="restart"/>
            <w:vAlign w:val="center"/>
          </w:tcPr>
          <w:p w:rsidR="00AE0549" w:rsidRPr="00514BE3" w:rsidRDefault="00AE0549" w:rsidP="00514BE3">
            <w:pPr>
              <w:pStyle w:val="Tabletext"/>
              <w:rPr>
                <w:sz w:val="18"/>
                <w:szCs w:val="18"/>
              </w:rPr>
            </w:pPr>
            <w:r w:rsidRPr="00514BE3">
              <w:rPr>
                <w:sz w:val="18"/>
                <w:szCs w:val="18"/>
              </w:rPr>
              <w:t>Type B</w:t>
            </w: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=2</w:t>
            </w:r>
            <w:r w:rsidRPr="00514BE3">
              <w:rPr>
                <w:sz w:val="18"/>
                <w:szCs w:val="18"/>
              </w:rPr>
              <w:br/>
              <w:t>(2OS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13.6</w:t>
            </w:r>
          </w:p>
        </w:tc>
        <w:tc>
          <w:tcPr>
            <w:tcW w:w="863" w:type="dxa"/>
            <w:vAlign w:val="center"/>
          </w:tcPr>
          <w:p w:rsidR="00AE0549" w:rsidRPr="00514BE3" w:rsidRDefault="00AE0549" w:rsidP="00514BE3">
            <w:pPr>
              <w:pStyle w:val="Tabletext"/>
              <w:jc w:val="center"/>
              <w:rPr>
                <w:sz w:val="18"/>
                <w:szCs w:val="18"/>
              </w:rPr>
            </w:pPr>
            <w:r w:rsidRPr="00514BE3">
              <w:rPr>
                <w:sz w:val="18"/>
                <w:szCs w:val="18"/>
              </w:rPr>
              <w:t>12.3</w:t>
            </w:r>
          </w:p>
        </w:tc>
        <w:tc>
          <w:tcPr>
            <w:tcW w:w="763" w:type="dxa"/>
            <w:vAlign w:val="center"/>
          </w:tcPr>
          <w:p w:rsidR="00AE0549" w:rsidRPr="00514BE3" w:rsidRDefault="00AE0549" w:rsidP="00514BE3">
            <w:pPr>
              <w:pStyle w:val="Tabletext"/>
              <w:jc w:val="center"/>
              <w:rPr>
                <w:sz w:val="18"/>
                <w:szCs w:val="18"/>
              </w:rPr>
            </w:pPr>
            <w:r w:rsidRPr="00514BE3">
              <w:rPr>
                <w:sz w:val="18"/>
                <w:szCs w:val="18"/>
              </w:rPr>
              <w:t>12.1</w:t>
            </w:r>
          </w:p>
        </w:tc>
        <w:tc>
          <w:tcPr>
            <w:tcW w:w="917" w:type="dxa"/>
            <w:vAlign w:val="center"/>
          </w:tcPr>
          <w:p w:rsidR="00AE0549" w:rsidRPr="00514BE3" w:rsidRDefault="00AE0549" w:rsidP="00514BE3">
            <w:pPr>
              <w:pStyle w:val="Tabletext"/>
              <w:jc w:val="center"/>
              <w:rPr>
                <w:sz w:val="18"/>
                <w:szCs w:val="18"/>
              </w:rPr>
            </w:pPr>
            <w:r w:rsidRPr="00514BE3">
              <w:rPr>
                <w:sz w:val="18"/>
                <w:szCs w:val="18"/>
              </w:rPr>
              <w:t>11.7</w:t>
            </w:r>
          </w:p>
        </w:tc>
        <w:tc>
          <w:tcPr>
            <w:tcW w:w="793" w:type="dxa"/>
            <w:vAlign w:val="center"/>
          </w:tcPr>
          <w:p w:rsidR="00AE0549" w:rsidRPr="00514BE3" w:rsidRDefault="00AE0549" w:rsidP="00514BE3">
            <w:pPr>
              <w:pStyle w:val="Tabletext"/>
              <w:jc w:val="center"/>
              <w:rPr>
                <w:sz w:val="18"/>
                <w:szCs w:val="18"/>
              </w:rPr>
            </w:pPr>
            <w:r w:rsidRPr="00514BE3">
              <w:rPr>
                <w:sz w:val="18"/>
                <w:szCs w:val="18"/>
              </w:rPr>
              <w:t>13.6</w:t>
            </w:r>
          </w:p>
        </w:tc>
        <w:tc>
          <w:tcPr>
            <w:tcW w:w="870" w:type="dxa"/>
            <w:vAlign w:val="center"/>
          </w:tcPr>
          <w:p w:rsidR="00AE0549" w:rsidRPr="00514BE3" w:rsidRDefault="00AE0549" w:rsidP="00514BE3">
            <w:pPr>
              <w:pStyle w:val="Tabletext"/>
              <w:jc w:val="center"/>
              <w:rPr>
                <w:sz w:val="18"/>
                <w:szCs w:val="18"/>
              </w:rPr>
            </w:pPr>
            <w:r w:rsidRPr="00514BE3">
              <w:rPr>
                <w:sz w:val="18"/>
                <w:szCs w:val="18"/>
              </w:rPr>
              <w:t>12.3</w:t>
            </w:r>
          </w:p>
        </w:tc>
        <w:tc>
          <w:tcPr>
            <w:tcW w:w="909"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30" w:type="dxa"/>
            <w:vMerge/>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13.9</w:t>
            </w:r>
          </w:p>
        </w:tc>
        <w:tc>
          <w:tcPr>
            <w:tcW w:w="863" w:type="dxa"/>
            <w:vAlign w:val="center"/>
          </w:tcPr>
          <w:p w:rsidR="00AE0549" w:rsidRPr="00514BE3" w:rsidRDefault="00AE0549" w:rsidP="00514BE3">
            <w:pPr>
              <w:pStyle w:val="Tabletext"/>
              <w:jc w:val="center"/>
              <w:rPr>
                <w:sz w:val="18"/>
                <w:szCs w:val="18"/>
              </w:rPr>
            </w:pPr>
            <w:r w:rsidRPr="00514BE3">
              <w:rPr>
                <w:sz w:val="18"/>
                <w:szCs w:val="18"/>
              </w:rPr>
              <w:t>12.4</w:t>
            </w:r>
          </w:p>
        </w:tc>
        <w:tc>
          <w:tcPr>
            <w:tcW w:w="763" w:type="dxa"/>
            <w:vAlign w:val="center"/>
          </w:tcPr>
          <w:p w:rsidR="00AE0549" w:rsidRPr="00514BE3" w:rsidRDefault="00AE0549" w:rsidP="00514BE3">
            <w:pPr>
              <w:pStyle w:val="Tabletext"/>
              <w:jc w:val="center"/>
              <w:rPr>
                <w:sz w:val="18"/>
                <w:szCs w:val="18"/>
              </w:rPr>
            </w:pPr>
            <w:r w:rsidRPr="00514BE3">
              <w:rPr>
                <w:sz w:val="18"/>
                <w:szCs w:val="18"/>
              </w:rPr>
              <w:t>12.2</w:t>
            </w:r>
          </w:p>
        </w:tc>
        <w:tc>
          <w:tcPr>
            <w:tcW w:w="917" w:type="dxa"/>
            <w:vAlign w:val="center"/>
          </w:tcPr>
          <w:p w:rsidR="00AE0549" w:rsidRPr="00514BE3" w:rsidRDefault="00AE0549" w:rsidP="00514BE3">
            <w:pPr>
              <w:pStyle w:val="Tabletext"/>
              <w:jc w:val="center"/>
              <w:rPr>
                <w:sz w:val="18"/>
                <w:szCs w:val="18"/>
              </w:rPr>
            </w:pPr>
            <w:r w:rsidRPr="00514BE3">
              <w:rPr>
                <w:sz w:val="18"/>
                <w:szCs w:val="18"/>
              </w:rPr>
              <w:t>11.7</w:t>
            </w:r>
          </w:p>
        </w:tc>
        <w:tc>
          <w:tcPr>
            <w:tcW w:w="793" w:type="dxa"/>
            <w:vAlign w:val="center"/>
          </w:tcPr>
          <w:p w:rsidR="00AE0549" w:rsidRPr="00514BE3" w:rsidRDefault="00AE0549" w:rsidP="00514BE3">
            <w:pPr>
              <w:pStyle w:val="Tabletext"/>
              <w:jc w:val="center"/>
              <w:rPr>
                <w:sz w:val="18"/>
                <w:szCs w:val="18"/>
              </w:rPr>
            </w:pPr>
            <w:r w:rsidRPr="00514BE3">
              <w:rPr>
                <w:sz w:val="18"/>
                <w:szCs w:val="18"/>
              </w:rPr>
              <w:t>13.9</w:t>
            </w:r>
          </w:p>
        </w:tc>
        <w:tc>
          <w:tcPr>
            <w:tcW w:w="870" w:type="dxa"/>
            <w:vAlign w:val="center"/>
          </w:tcPr>
          <w:p w:rsidR="00AE0549" w:rsidRPr="00514BE3" w:rsidRDefault="00AE0549" w:rsidP="00514BE3">
            <w:pPr>
              <w:pStyle w:val="Tabletext"/>
              <w:jc w:val="center"/>
              <w:rPr>
                <w:sz w:val="18"/>
                <w:szCs w:val="18"/>
              </w:rPr>
            </w:pPr>
            <w:r w:rsidRPr="00514BE3">
              <w:rPr>
                <w:sz w:val="18"/>
                <w:szCs w:val="18"/>
              </w:rPr>
              <w:t>12.4</w:t>
            </w:r>
          </w:p>
        </w:tc>
        <w:tc>
          <w:tcPr>
            <w:tcW w:w="909" w:type="dxa"/>
            <w:vAlign w:val="center"/>
          </w:tcPr>
          <w:p w:rsidR="00AE0549" w:rsidRPr="00514BE3" w:rsidRDefault="00AE0549" w:rsidP="00514BE3">
            <w:pPr>
              <w:pStyle w:val="Tabletext"/>
              <w:jc w:val="center"/>
              <w:rPr>
                <w:sz w:val="18"/>
                <w:szCs w:val="18"/>
              </w:rPr>
            </w:pPr>
            <w:r w:rsidRPr="00514BE3">
              <w:rPr>
                <w:sz w:val="18"/>
                <w:szCs w:val="18"/>
              </w:rPr>
              <w:t>12.2</w:t>
            </w:r>
          </w:p>
        </w:tc>
      </w:tr>
      <w:tr w:rsidR="00AE0549" w:rsidRPr="00514BE3" w:rsidTr="00514BE3">
        <w:trPr>
          <w:jc w:val="center"/>
        </w:trPr>
        <w:tc>
          <w:tcPr>
            <w:tcW w:w="1030" w:type="dxa"/>
            <w:vMerge/>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14.6</w:t>
            </w:r>
          </w:p>
        </w:tc>
        <w:tc>
          <w:tcPr>
            <w:tcW w:w="863" w:type="dxa"/>
            <w:vAlign w:val="center"/>
          </w:tcPr>
          <w:p w:rsidR="00AE0549" w:rsidRPr="00514BE3" w:rsidRDefault="00AE0549" w:rsidP="00514BE3">
            <w:pPr>
              <w:pStyle w:val="Tabletext"/>
              <w:jc w:val="center"/>
              <w:rPr>
                <w:sz w:val="18"/>
                <w:szCs w:val="18"/>
              </w:rPr>
            </w:pPr>
            <w:r w:rsidRPr="00514BE3">
              <w:rPr>
                <w:sz w:val="18"/>
                <w:szCs w:val="18"/>
              </w:rPr>
              <w:t>12.7</w:t>
            </w:r>
          </w:p>
        </w:tc>
        <w:tc>
          <w:tcPr>
            <w:tcW w:w="763" w:type="dxa"/>
            <w:vAlign w:val="center"/>
          </w:tcPr>
          <w:p w:rsidR="00AE0549" w:rsidRPr="00514BE3" w:rsidRDefault="00AE0549" w:rsidP="00514BE3">
            <w:pPr>
              <w:pStyle w:val="Tabletext"/>
              <w:jc w:val="center"/>
              <w:rPr>
                <w:sz w:val="18"/>
                <w:szCs w:val="18"/>
              </w:rPr>
            </w:pPr>
            <w:r w:rsidRPr="00514BE3">
              <w:rPr>
                <w:sz w:val="18"/>
                <w:szCs w:val="18"/>
              </w:rPr>
              <w:t>12.4</w:t>
            </w:r>
          </w:p>
        </w:tc>
        <w:tc>
          <w:tcPr>
            <w:tcW w:w="917" w:type="dxa"/>
            <w:vAlign w:val="center"/>
          </w:tcPr>
          <w:p w:rsidR="00AE0549" w:rsidRPr="00514BE3" w:rsidRDefault="00AE0549" w:rsidP="00514BE3">
            <w:pPr>
              <w:pStyle w:val="Tabletext"/>
              <w:jc w:val="center"/>
              <w:rPr>
                <w:sz w:val="18"/>
                <w:szCs w:val="18"/>
              </w:rPr>
            </w:pPr>
            <w:r w:rsidRPr="00514BE3">
              <w:rPr>
                <w:sz w:val="18"/>
                <w:szCs w:val="18"/>
              </w:rPr>
              <w:t>11.9</w:t>
            </w:r>
          </w:p>
        </w:tc>
        <w:tc>
          <w:tcPr>
            <w:tcW w:w="793" w:type="dxa"/>
            <w:vAlign w:val="center"/>
          </w:tcPr>
          <w:p w:rsidR="00AE0549" w:rsidRPr="00514BE3" w:rsidRDefault="00AE0549" w:rsidP="00514BE3">
            <w:pPr>
              <w:pStyle w:val="Tabletext"/>
              <w:jc w:val="center"/>
              <w:rPr>
                <w:sz w:val="18"/>
                <w:szCs w:val="18"/>
              </w:rPr>
            </w:pPr>
            <w:r w:rsidRPr="00514BE3">
              <w:rPr>
                <w:sz w:val="18"/>
                <w:szCs w:val="18"/>
              </w:rPr>
              <w:t>14.4</w:t>
            </w:r>
          </w:p>
        </w:tc>
        <w:tc>
          <w:tcPr>
            <w:tcW w:w="870" w:type="dxa"/>
            <w:vAlign w:val="center"/>
          </w:tcPr>
          <w:p w:rsidR="00AE0549" w:rsidRPr="00514BE3" w:rsidRDefault="00AE0549" w:rsidP="00514BE3">
            <w:pPr>
              <w:pStyle w:val="Tabletext"/>
              <w:jc w:val="center"/>
              <w:rPr>
                <w:sz w:val="18"/>
                <w:szCs w:val="18"/>
              </w:rPr>
            </w:pPr>
            <w:r w:rsidRPr="00514BE3">
              <w:rPr>
                <w:sz w:val="18"/>
                <w:szCs w:val="18"/>
              </w:rPr>
              <w:t>12.5</w:t>
            </w:r>
          </w:p>
        </w:tc>
        <w:tc>
          <w:tcPr>
            <w:tcW w:w="909" w:type="dxa"/>
            <w:vAlign w:val="center"/>
          </w:tcPr>
          <w:p w:rsidR="00AE0549" w:rsidRPr="00514BE3" w:rsidRDefault="00AE0549" w:rsidP="00514BE3">
            <w:pPr>
              <w:pStyle w:val="Tabletext"/>
              <w:jc w:val="center"/>
              <w:rPr>
                <w:sz w:val="18"/>
                <w:szCs w:val="18"/>
              </w:rPr>
            </w:pPr>
            <w:r w:rsidRPr="00514BE3">
              <w:rPr>
                <w:sz w:val="18"/>
                <w:szCs w:val="18"/>
              </w:rPr>
              <w:t>12.4</w:t>
            </w:r>
          </w:p>
        </w:tc>
      </w:tr>
    </w:tbl>
    <w:p w:rsidR="00AE0549" w:rsidRPr="00A604A3" w:rsidRDefault="00AE0549" w:rsidP="000E0871">
      <w:pPr>
        <w:pStyle w:val="Tablefin"/>
      </w:pPr>
    </w:p>
    <w:p w:rsidR="00AE0549" w:rsidRPr="00A604A3" w:rsidRDefault="00AE0549" w:rsidP="00A604A3">
      <w:pPr>
        <w:pStyle w:val="Tabletitle"/>
        <w:rPr>
          <w:lang w:eastAsia="zh-CN"/>
        </w:rPr>
      </w:pPr>
      <w:r w:rsidRPr="00A604A3">
        <w:rPr>
          <w:lang w:eastAsia="zh-CN"/>
        </w:rPr>
        <w:t>(c) PRACH length = 1 ms</w:t>
      </w:r>
    </w:p>
    <w:tbl>
      <w:tblPr>
        <w:tblStyle w:val="TableGrid"/>
        <w:tblW w:w="5946" w:type="dxa"/>
        <w:jc w:val="center"/>
        <w:tblLayout w:type="fixed"/>
        <w:tblCellMar>
          <w:left w:w="28" w:type="dxa"/>
          <w:right w:w="28" w:type="dxa"/>
        </w:tblCellMar>
        <w:tblLook w:val="04A0" w:firstRow="1" w:lastRow="0" w:firstColumn="1" w:lastColumn="0" w:noHBand="0" w:noVBand="1"/>
      </w:tblPr>
      <w:tblGrid>
        <w:gridCol w:w="1344"/>
        <w:gridCol w:w="1428"/>
        <w:gridCol w:w="1587"/>
        <w:gridCol w:w="1587"/>
      </w:tblGrid>
      <w:tr w:rsidR="00AE0549" w:rsidRPr="00A604A3" w:rsidTr="009313A7">
        <w:trPr>
          <w:jc w:val="center"/>
        </w:trPr>
        <w:tc>
          <w:tcPr>
            <w:tcW w:w="1344" w:type="dxa"/>
            <w:vMerge w:val="restart"/>
            <w:vAlign w:val="center"/>
          </w:tcPr>
          <w:p w:rsidR="00AE0549" w:rsidRPr="00A604A3" w:rsidRDefault="00AE0549" w:rsidP="000E0871">
            <w:pPr>
              <w:pStyle w:val="Tablehead"/>
            </w:pPr>
            <w:r w:rsidRPr="00A604A3">
              <w:t>Resource mapping type</w:t>
            </w:r>
          </w:p>
        </w:tc>
        <w:tc>
          <w:tcPr>
            <w:tcW w:w="1428" w:type="dxa"/>
            <w:vMerge w:val="restart"/>
            <w:vAlign w:val="center"/>
          </w:tcPr>
          <w:p w:rsidR="00AE0549" w:rsidRPr="00A604A3" w:rsidRDefault="00AE0549" w:rsidP="000E0871">
            <w:pPr>
              <w:pStyle w:val="Tablehead"/>
            </w:pPr>
            <w:r w:rsidRPr="00A604A3">
              <w:t>Non-slot duration</w:t>
            </w:r>
          </w:p>
        </w:tc>
        <w:tc>
          <w:tcPr>
            <w:tcW w:w="1587" w:type="dxa"/>
            <w:vAlign w:val="center"/>
          </w:tcPr>
          <w:p w:rsidR="00AE0549" w:rsidRPr="00A604A3" w:rsidRDefault="00AE0549" w:rsidP="000E0871">
            <w:pPr>
              <w:pStyle w:val="Tablehead"/>
            </w:pPr>
            <w:r w:rsidRPr="00A604A3">
              <w:t>UE capability</w:t>
            </w:r>
            <w:r w:rsidRPr="00A604A3">
              <w:rPr>
                <w:lang w:eastAsia="zh-CN"/>
              </w:rPr>
              <w:t xml:space="preserve"> </w:t>
            </w:r>
            <w:r w:rsidRPr="00A604A3">
              <w:t>1</w:t>
            </w:r>
          </w:p>
        </w:tc>
        <w:tc>
          <w:tcPr>
            <w:tcW w:w="1587" w:type="dxa"/>
            <w:vAlign w:val="center"/>
          </w:tcPr>
          <w:p w:rsidR="00AE0549" w:rsidRPr="00A604A3" w:rsidRDefault="00AE0549" w:rsidP="000E0871">
            <w:pPr>
              <w:pStyle w:val="Tablehead"/>
            </w:pPr>
            <w:r w:rsidRPr="00A604A3">
              <w:t>UE capability</w:t>
            </w:r>
            <w:r w:rsidRPr="00A604A3">
              <w:rPr>
                <w:lang w:eastAsia="zh-CN"/>
              </w:rPr>
              <w:t xml:space="preserve"> </w:t>
            </w:r>
            <w:r w:rsidRPr="00A604A3">
              <w:t>2</w:t>
            </w:r>
          </w:p>
        </w:tc>
      </w:tr>
      <w:tr w:rsidR="00AE0549" w:rsidRPr="00A604A3" w:rsidTr="009313A7">
        <w:trPr>
          <w:jc w:val="center"/>
        </w:trPr>
        <w:tc>
          <w:tcPr>
            <w:tcW w:w="1344" w:type="dxa"/>
            <w:vMerge/>
            <w:vAlign w:val="center"/>
          </w:tcPr>
          <w:p w:rsidR="00AE0549" w:rsidRPr="00A604A3" w:rsidRDefault="00AE0549" w:rsidP="000E0871">
            <w:pPr>
              <w:pStyle w:val="Tablehead"/>
              <w:rPr>
                <w:sz w:val="16"/>
                <w:szCs w:val="18"/>
              </w:rPr>
            </w:pPr>
          </w:p>
        </w:tc>
        <w:tc>
          <w:tcPr>
            <w:tcW w:w="1428" w:type="dxa"/>
            <w:vMerge/>
            <w:vAlign w:val="center"/>
          </w:tcPr>
          <w:p w:rsidR="00AE0549" w:rsidRPr="00A604A3" w:rsidRDefault="00AE0549" w:rsidP="000E0871">
            <w:pPr>
              <w:pStyle w:val="Tablehead"/>
              <w:rPr>
                <w:sz w:val="16"/>
                <w:szCs w:val="18"/>
              </w:rPr>
            </w:pPr>
          </w:p>
        </w:tc>
        <w:tc>
          <w:tcPr>
            <w:tcW w:w="1587" w:type="dxa"/>
            <w:vAlign w:val="center"/>
          </w:tcPr>
          <w:p w:rsidR="00AE0549" w:rsidRPr="00A604A3" w:rsidRDefault="00AE0549" w:rsidP="000E0871">
            <w:pPr>
              <w:pStyle w:val="Tablehead"/>
              <w:rPr>
                <w:sz w:val="16"/>
                <w:szCs w:val="18"/>
              </w:rPr>
            </w:pPr>
            <w:r w:rsidRPr="00A604A3">
              <w:rPr>
                <w:sz w:val="16"/>
                <w:szCs w:val="18"/>
              </w:rPr>
              <w:t>15 kHz SCS</w:t>
            </w:r>
          </w:p>
        </w:tc>
        <w:tc>
          <w:tcPr>
            <w:tcW w:w="1587" w:type="dxa"/>
            <w:vAlign w:val="center"/>
          </w:tcPr>
          <w:p w:rsidR="00AE0549" w:rsidRPr="00A604A3" w:rsidRDefault="00AE0549" w:rsidP="000E0871">
            <w:pPr>
              <w:pStyle w:val="Tablehead"/>
              <w:rPr>
                <w:sz w:val="16"/>
                <w:szCs w:val="18"/>
              </w:rPr>
            </w:pPr>
            <w:r w:rsidRPr="00A604A3">
              <w:rPr>
                <w:sz w:val="16"/>
                <w:szCs w:val="18"/>
              </w:rPr>
              <w:t>15 kHz SCS</w:t>
            </w:r>
          </w:p>
        </w:tc>
      </w:tr>
      <w:tr w:rsidR="00AE0549" w:rsidRPr="00A604A3" w:rsidTr="009313A7">
        <w:trPr>
          <w:jc w:val="center"/>
        </w:trPr>
        <w:tc>
          <w:tcPr>
            <w:tcW w:w="1344" w:type="dxa"/>
            <w:vMerge w:val="restart"/>
            <w:vAlign w:val="center"/>
          </w:tcPr>
          <w:p w:rsidR="00AE0549" w:rsidRPr="00A604A3" w:rsidRDefault="00AE0549" w:rsidP="000E0871">
            <w:pPr>
              <w:pStyle w:val="Tabletext"/>
              <w:rPr>
                <w:i/>
                <w:sz w:val="16"/>
                <w:szCs w:val="16"/>
              </w:rPr>
            </w:pPr>
            <w:r w:rsidRPr="00A604A3">
              <w:rPr>
                <w:sz w:val="16"/>
                <w:szCs w:val="16"/>
              </w:rPr>
              <w:t>Type A</w:t>
            </w:r>
          </w:p>
        </w:tc>
        <w:tc>
          <w:tcPr>
            <w:tcW w:w="1428" w:type="dxa"/>
          </w:tcPr>
          <w:p w:rsidR="00AE0549" w:rsidRPr="00A604A3" w:rsidRDefault="00AE0549" w:rsidP="000E0871">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r>
      <w:tr w:rsidR="00AE0549" w:rsidRPr="00A604A3" w:rsidTr="009313A7">
        <w:trPr>
          <w:jc w:val="center"/>
        </w:trPr>
        <w:tc>
          <w:tcPr>
            <w:tcW w:w="1344" w:type="dxa"/>
            <w:vMerge/>
            <w:vAlign w:val="center"/>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r>
      <w:tr w:rsidR="00AE0549" w:rsidRPr="00A604A3" w:rsidTr="009313A7">
        <w:trPr>
          <w:jc w:val="center"/>
        </w:trPr>
        <w:tc>
          <w:tcPr>
            <w:tcW w:w="1344" w:type="dxa"/>
            <w:vMerge w:val="restart"/>
            <w:vAlign w:val="center"/>
          </w:tcPr>
          <w:p w:rsidR="00AE0549" w:rsidRPr="00A604A3" w:rsidRDefault="00AE0549" w:rsidP="000E0871">
            <w:pPr>
              <w:pStyle w:val="Tabletext"/>
              <w:rPr>
                <w:sz w:val="16"/>
                <w:szCs w:val="16"/>
              </w:rPr>
            </w:pPr>
            <w:r w:rsidRPr="00A604A3">
              <w:rPr>
                <w:sz w:val="16"/>
                <w:szCs w:val="16"/>
              </w:rPr>
              <w:t>Type B</w:t>
            </w: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14.1</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14.1</w:t>
            </w:r>
          </w:p>
        </w:tc>
      </w:tr>
      <w:tr w:rsidR="00AE0549" w:rsidRPr="00A604A3" w:rsidTr="009313A7">
        <w:trPr>
          <w:jc w:val="center"/>
        </w:trPr>
        <w:tc>
          <w:tcPr>
            <w:tcW w:w="1344" w:type="dxa"/>
            <w:vMerge/>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14.6</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14.6</w:t>
            </w:r>
          </w:p>
        </w:tc>
      </w:tr>
      <w:tr w:rsidR="00AE0549" w:rsidRPr="00A604A3" w:rsidTr="009313A7">
        <w:trPr>
          <w:jc w:val="center"/>
        </w:trPr>
        <w:tc>
          <w:tcPr>
            <w:tcW w:w="1344" w:type="dxa"/>
            <w:vMerge/>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15.5</w:t>
            </w:r>
          </w:p>
        </w:tc>
        <w:tc>
          <w:tcPr>
            <w:tcW w:w="1587" w:type="dxa"/>
            <w:vAlign w:val="center"/>
          </w:tcPr>
          <w:p w:rsidR="00AE0549" w:rsidRPr="00A604A3" w:rsidRDefault="00AE0549" w:rsidP="000E0871">
            <w:pPr>
              <w:pStyle w:val="Tabletext"/>
              <w:jc w:val="center"/>
              <w:rPr>
                <w:sz w:val="16"/>
                <w:szCs w:val="16"/>
              </w:rPr>
            </w:pPr>
            <w:r w:rsidRPr="00A604A3">
              <w:rPr>
                <w:sz w:val="16"/>
                <w:szCs w:val="16"/>
              </w:rPr>
              <w:t>15.0</w:t>
            </w:r>
          </w:p>
        </w:tc>
      </w:tr>
    </w:tbl>
    <w:p w:rsidR="00AE0549" w:rsidRPr="00A604A3" w:rsidRDefault="00AE0549" w:rsidP="00670913">
      <w:pPr>
        <w:pStyle w:val="Tablefin"/>
      </w:pPr>
    </w:p>
    <w:p w:rsidR="00170BA6" w:rsidRDefault="00170BA6" w:rsidP="00170BA6">
      <w:pPr>
        <w:pStyle w:val="TableNo"/>
        <w:rPr>
          <w:rFonts w:eastAsia="MS Mincho"/>
        </w:rPr>
      </w:pPr>
      <w:bookmarkStart w:id="514" w:name="_Ref28177126"/>
      <w:bookmarkStart w:id="515" w:name="_Toc28265793"/>
      <w:bookmarkStart w:id="516" w:name="_Toc28277028"/>
      <w:bookmarkStart w:id="517" w:name="_Toc32066445"/>
      <w:bookmarkStart w:id="518" w:name="_Ref27142159"/>
      <w:r>
        <w:rPr>
          <w:rFonts w:eastAsia="MS Mincho"/>
        </w:rPr>
        <w:t>Table 113</w:t>
      </w:r>
    </w:p>
    <w:p w:rsidR="000E0871" w:rsidRPr="000E0871" w:rsidRDefault="000E0871" w:rsidP="000E0871">
      <w:pPr>
        <w:pStyle w:val="Tabletitle"/>
        <w:rPr>
          <w:rFonts w:eastAsia="MS Mincho"/>
        </w:rPr>
      </w:pPr>
      <w:r w:rsidRPr="000E0871">
        <w:rPr>
          <w:rFonts w:eastAsia="MS Mincho"/>
        </w:rPr>
        <w:t>Control plane latency (ms) for NR TDD</w:t>
      </w:r>
      <w:bookmarkEnd w:id="514"/>
      <w:bookmarkEnd w:id="515"/>
      <w:bookmarkEnd w:id="516"/>
      <w:bookmarkEnd w:id="517"/>
      <w:r w:rsidRPr="000E0871">
        <w:rPr>
          <w:rFonts w:eastAsia="MS Mincho"/>
        </w:rPr>
        <w:br/>
      </w:r>
      <w:bookmarkStart w:id="519" w:name="_Toc28265794"/>
      <w:bookmarkStart w:id="520" w:name="_Toc28277029"/>
      <w:bookmarkStart w:id="521" w:name="_Toc32066446"/>
      <w:r w:rsidRPr="000E0871">
        <w:rPr>
          <w:rFonts w:eastAsia="MS Mincho"/>
        </w:rPr>
        <w:t>(Frame structure: DUDU, without GP)</w:t>
      </w:r>
      <w:bookmarkEnd w:id="518"/>
      <w:bookmarkEnd w:id="519"/>
      <w:bookmarkEnd w:id="520"/>
      <w:bookmarkEnd w:id="521"/>
    </w:p>
    <w:p w:rsidR="00AE0549" w:rsidRPr="00A604A3" w:rsidRDefault="00AE0549" w:rsidP="000E0871">
      <w:pPr>
        <w:pStyle w:val="Tabletitle"/>
        <w:rPr>
          <w:lang w:eastAsia="zh-CN"/>
        </w:rPr>
      </w:pPr>
      <w:r w:rsidRPr="00A604A3">
        <w:rPr>
          <w:lang w:eastAsia="zh-CN"/>
        </w:rPr>
        <w:t>(a) PRACH length = 2 OFDM symbols</w:t>
      </w:r>
    </w:p>
    <w:tbl>
      <w:tblPr>
        <w:tblStyle w:val="TableGrid"/>
        <w:tblW w:w="9567" w:type="dxa"/>
        <w:jc w:val="center"/>
        <w:tblLayout w:type="fixed"/>
        <w:tblCellMar>
          <w:left w:w="28" w:type="dxa"/>
          <w:right w:w="28" w:type="dxa"/>
        </w:tblCellMar>
        <w:tblLook w:val="04A0" w:firstRow="1" w:lastRow="0" w:firstColumn="1" w:lastColumn="0" w:noHBand="0" w:noVBand="1"/>
      </w:tblPr>
      <w:tblGrid>
        <w:gridCol w:w="1020"/>
        <w:gridCol w:w="1486"/>
        <w:gridCol w:w="1070"/>
        <w:gridCol w:w="1026"/>
        <w:gridCol w:w="905"/>
        <w:gridCol w:w="1022"/>
        <w:gridCol w:w="1026"/>
        <w:gridCol w:w="1026"/>
        <w:gridCol w:w="975"/>
        <w:gridCol w:w="11"/>
      </w:tblGrid>
      <w:tr w:rsidR="00AE0549" w:rsidRPr="009313A7" w:rsidTr="009313A7">
        <w:trPr>
          <w:trHeight w:val="297"/>
          <w:jc w:val="center"/>
        </w:trPr>
        <w:tc>
          <w:tcPr>
            <w:tcW w:w="1020" w:type="dxa"/>
            <w:vMerge w:val="restart"/>
            <w:vAlign w:val="center"/>
          </w:tcPr>
          <w:p w:rsidR="00AE0549" w:rsidRPr="009313A7" w:rsidRDefault="00AE0549" w:rsidP="000E0871">
            <w:pPr>
              <w:pStyle w:val="Tablehead"/>
              <w:rPr>
                <w:sz w:val="18"/>
                <w:szCs w:val="18"/>
              </w:rPr>
            </w:pPr>
            <w:r w:rsidRPr="009313A7">
              <w:rPr>
                <w:sz w:val="18"/>
                <w:szCs w:val="18"/>
              </w:rPr>
              <w:t>Resource mapping type</w:t>
            </w:r>
          </w:p>
        </w:tc>
        <w:tc>
          <w:tcPr>
            <w:tcW w:w="1486" w:type="dxa"/>
            <w:vMerge w:val="restart"/>
            <w:vAlign w:val="center"/>
          </w:tcPr>
          <w:p w:rsidR="00AE0549" w:rsidRPr="009313A7" w:rsidRDefault="00AE0549" w:rsidP="000E0871">
            <w:pPr>
              <w:pStyle w:val="Tablehead"/>
              <w:rPr>
                <w:sz w:val="18"/>
                <w:szCs w:val="18"/>
              </w:rPr>
            </w:pPr>
            <w:r w:rsidRPr="009313A7">
              <w:rPr>
                <w:sz w:val="18"/>
                <w:szCs w:val="18"/>
              </w:rPr>
              <w:t>Non-slot duration</w:t>
            </w:r>
          </w:p>
        </w:tc>
        <w:tc>
          <w:tcPr>
            <w:tcW w:w="4023"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1</w:t>
            </w:r>
          </w:p>
        </w:tc>
        <w:tc>
          <w:tcPr>
            <w:tcW w:w="3038"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2</w:t>
            </w:r>
          </w:p>
        </w:tc>
      </w:tr>
      <w:tr w:rsidR="00AE0549" w:rsidRPr="009313A7" w:rsidTr="009313A7">
        <w:trPr>
          <w:gridAfter w:val="1"/>
          <w:wAfter w:w="11" w:type="dxa"/>
          <w:trHeight w:val="229"/>
          <w:jc w:val="center"/>
        </w:trPr>
        <w:tc>
          <w:tcPr>
            <w:tcW w:w="1020" w:type="dxa"/>
            <w:vMerge/>
            <w:vAlign w:val="center"/>
          </w:tcPr>
          <w:p w:rsidR="00AE0549" w:rsidRPr="009313A7" w:rsidRDefault="00AE0549" w:rsidP="000E0871">
            <w:pPr>
              <w:pStyle w:val="Tablehead"/>
              <w:rPr>
                <w:sz w:val="18"/>
                <w:szCs w:val="18"/>
              </w:rPr>
            </w:pPr>
          </w:p>
        </w:tc>
        <w:tc>
          <w:tcPr>
            <w:tcW w:w="1486" w:type="dxa"/>
            <w:vMerge/>
            <w:vAlign w:val="center"/>
          </w:tcPr>
          <w:p w:rsidR="00AE0549" w:rsidRPr="009313A7" w:rsidRDefault="00AE0549" w:rsidP="000E0871">
            <w:pPr>
              <w:pStyle w:val="Tablehead"/>
              <w:rPr>
                <w:sz w:val="18"/>
                <w:szCs w:val="18"/>
              </w:rPr>
            </w:pPr>
          </w:p>
        </w:tc>
        <w:tc>
          <w:tcPr>
            <w:tcW w:w="1070" w:type="dxa"/>
            <w:vAlign w:val="center"/>
          </w:tcPr>
          <w:p w:rsidR="00AE0549" w:rsidRPr="009313A7" w:rsidRDefault="00AE0549" w:rsidP="000E0871">
            <w:pPr>
              <w:pStyle w:val="Tablehead"/>
              <w:rPr>
                <w:sz w:val="18"/>
                <w:szCs w:val="18"/>
              </w:rPr>
            </w:pPr>
            <w:r w:rsidRPr="009313A7">
              <w:rPr>
                <w:sz w:val="18"/>
                <w:szCs w:val="18"/>
              </w:rPr>
              <w:t>15 kHz SCS</w:t>
            </w:r>
          </w:p>
        </w:tc>
        <w:tc>
          <w:tcPr>
            <w:tcW w:w="1026" w:type="dxa"/>
            <w:vAlign w:val="center"/>
          </w:tcPr>
          <w:p w:rsidR="00AE0549" w:rsidRPr="009313A7" w:rsidRDefault="00AE0549" w:rsidP="000E0871">
            <w:pPr>
              <w:pStyle w:val="Tablehead"/>
              <w:rPr>
                <w:sz w:val="18"/>
                <w:szCs w:val="18"/>
              </w:rPr>
            </w:pPr>
            <w:r w:rsidRPr="009313A7">
              <w:rPr>
                <w:sz w:val="18"/>
                <w:szCs w:val="18"/>
              </w:rPr>
              <w:t>30 kHz SCS</w:t>
            </w:r>
          </w:p>
        </w:tc>
        <w:tc>
          <w:tcPr>
            <w:tcW w:w="905" w:type="dxa"/>
            <w:vAlign w:val="center"/>
          </w:tcPr>
          <w:p w:rsidR="00AE0549" w:rsidRPr="009313A7" w:rsidRDefault="00AE0549" w:rsidP="000E0871">
            <w:pPr>
              <w:pStyle w:val="Tablehead"/>
              <w:rPr>
                <w:sz w:val="18"/>
                <w:szCs w:val="18"/>
              </w:rPr>
            </w:pPr>
            <w:r w:rsidRPr="009313A7">
              <w:rPr>
                <w:sz w:val="18"/>
                <w:szCs w:val="18"/>
              </w:rPr>
              <w:t>60 kHz SCS</w:t>
            </w:r>
          </w:p>
        </w:tc>
        <w:tc>
          <w:tcPr>
            <w:tcW w:w="1022" w:type="dxa"/>
            <w:vAlign w:val="center"/>
          </w:tcPr>
          <w:p w:rsidR="00AE0549" w:rsidRPr="009313A7" w:rsidRDefault="00AE0549" w:rsidP="000E0871">
            <w:pPr>
              <w:pStyle w:val="Tablehead"/>
              <w:rPr>
                <w:sz w:val="18"/>
                <w:szCs w:val="18"/>
              </w:rPr>
            </w:pPr>
            <w:r w:rsidRPr="009313A7">
              <w:rPr>
                <w:sz w:val="18"/>
                <w:szCs w:val="18"/>
              </w:rPr>
              <w:t>120 kHz SCS</w:t>
            </w:r>
          </w:p>
        </w:tc>
        <w:tc>
          <w:tcPr>
            <w:tcW w:w="1026" w:type="dxa"/>
            <w:vAlign w:val="center"/>
          </w:tcPr>
          <w:p w:rsidR="00AE0549" w:rsidRPr="009313A7" w:rsidRDefault="00AE0549" w:rsidP="000E0871">
            <w:pPr>
              <w:pStyle w:val="Tablehead"/>
              <w:rPr>
                <w:sz w:val="18"/>
                <w:szCs w:val="18"/>
              </w:rPr>
            </w:pPr>
            <w:r w:rsidRPr="009313A7">
              <w:rPr>
                <w:sz w:val="18"/>
                <w:szCs w:val="18"/>
              </w:rPr>
              <w:t>15 kHz SCS</w:t>
            </w:r>
          </w:p>
        </w:tc>
        <w:tc>
          <w:tcPr>
            <w:tcW w:w="1026" w:type="dxa"/>
            <w:vAlign w:val="center"/>
          </w:tcPr>
          <w:p w:rsidR="00AE0549" w:rsidRPr="009313A7" w:rsidRDefault="00AE0549" w:rsidP="000E0871">
            <w:pPr>
              <w:pStyle w:val="Tablehead"/>
              <w:rPr>
                <w:sz w:val="18"/>
                <w:szCs w:val="18"/>
              </w:rPr>
            </w:pPr>
            <w:r w:rsidRPr="009313A7">
              <w:rPr>
                <w:sz w:val="18"/>
                <w:szCs w:val="18"/>
              </w:rPr>
              <w:t>30 kHz SCS</w:t>
            </w:r>
          </w:p>
        </w:tc>
        <w:tc>
          <w:tcPr>
            <w:tcW w:w="975" w:type="dxa"/>
            <w:vAlign w:val="center"/>
          </w:tcPr>
          <w:p w:rsidR="00AE0549" w:rsidRPr="009313A7" w:rsidRDefault="00AE0549" w:rsidP="000E0871">
            <w:pPr>
              <w:pStyle w:val="Tablehead"/>
              <w:rPr>
                <w:sz w:val="18"/>
                <w:szCs w:val="18"/>
              </w:rPr>
            </w:pPr>
            <w:r w:rsidRPr="009313A7">
              <w:rPr>
                <w:sz w:val="18"/>
                <w:szCs w:val="18"/>
              </w:rPr>
              <w:t>60 kHz SCS</w:t>
            </w:r>
          </w:p>
        </w:tc>
      </w:tr>
      <w:tr w:rsidR="00AE0549" w:rsidRPr="009313A7" w:rsidTr="009313A7">
        <w:trPr>
          <w:gridAfter w:val="1"/>
          <w:wAfter w:w="11" w:type="dxa"/>
          <w:trHeight w:val="205"/>
          <w:jc w:val="center"/>
        </w:trPr>
        <w:tc>
          <w:tcPr>
            <w:tcW w:w="1020" w:type="dxa"/>
            <w:vMerge w:val="restart"/>
            <w:vAlign w:val="center"/>
          </w:tcPr>
          <w:p w:rsidR="00AE0549" w:rsidRPr="009313A7" w:rsidRDefault="00AE0549" w:rsidP="000E0871">
            <w:pPr>
              <w:pStyle w:val="Tabletext"/>
              <w:rPr>
                <w:i/>
                <w:sz w:val="18"/>
                <w:szCs w:val="18"/>
              </w:rPr>
            </w:pPr>
            <w:r w:rsidRPr="009313A7">
              <w:rPr>
                <w:sz w:val="18"/>
                <w:szCs w:val="18"/>
              </w:rPr>
              <w:t>Type A</w:t>
            </w:r>
          </w:p>
        </w:tc>
        <w:tc>
          <w:tcPr>
            <w:tcW w:w="1486"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17.7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12.9</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17.4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12.7</w:t>
            </w:r>
          </w:p>
        </w:tc>
        <w:tc>
          <w:tcPr>
            <w:tcW w:w="975" w:type="dxa"/>
            <w:vAlign w:val="center"/>
          </w:tcPr>
          <w:p w:rsidR="00AE0549" w:rsidRPr="009313A7" w:rsidRDefault="00AE0549" w:rsidP="000E0871">
            <w:pPr>
              <w:pStyle w:val="Tabletext"/>
              <w:jc w:val="center"/>
              <w:rPr>
                <w:sz w:val="18"/>
                <w:szCs w:val="18"/>
              </w:rPr>
            </w:pPr>
            <w:r w:rsidRPr="009313A7">
              <w:rPr>
                <w:sz w:val="18"/>
                <w:szCs w:val="18"/>
              </w:rPr>
              <w:t>12.3</w:t>
            </w:r>
          </w:p>
        </w:tc>
      </w:tr>
      <w:tr w:rsidR="00AE0549" w:rsidRPr="009313A7" w:rsidTr="009313A7">
        <w:trPr>
          <w:gridAfter w:val="1"/>
          <w:wAfter w:w="11" w:type="dxa"/>
          <w:trHeight w:val="253"/>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17.7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13.7</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17.4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12.7</w:t>
            </w:r>
          </w:p>
        </w:tc>
        <w:tc>
          <w:tcPr>
            <w:tcW w:w="975" w:type="dxa"/>
            <w:vAlign w:val="center"/>
          </w:tcPr>
          <w:p w:rsidR="00AE0549" w:rsidRPr="009313A7" w:rsidRDefault="00AE0549" w:rsidP="000E0871">
            <w:pPr>
              <w:pStyle w:val="Tabletext"/>
              <w:jc w:val="center"/>
              <w:rPr>
                <w:sz w:val="18"/>
                <w:szCs w:val="18"/>
              </w:rPr>
            </w:pPr>
            <w:r w:rsidRPr="009313A7">
              <w:rPr>
                <w:sz w:val="18"/>
                <w:szCs w:val="18"/>
              </w:rPr>
              <w:t>12.3</w:t>
            </w:r>
          </w:p>
        </w:tc>
      </w:tr>
      <w:tr w:rsidR="00AE0549" w:rsidRPr="009313A7" w:rsidTr="009313A7">
        <w:trPr>
          <w:gridAfter w:val="1"/>
          <w:wAfter w:w="11" w:type="dxa"/>
          <w:trHeight w:val="301"/>
          <w:jc w:val="center"/>
        </w:trPr>
        <w:tc>
          <w:tcPr>
            <w:tcW w:w="1020" w:type="dxa"/>
            <w:vMerge w:val="restart"/>
            <w:vAlign w:val="center"/>
          </w:tcPr>
          <w:p w:rsidR="00AE0549" w:rsidRPr="009313A7" w:rsidRDefault="00AE0549" w:rsidP="000E0871">
            <w:pPr>
              <w:pStyle w:val="Tabletext"/>
              <w:rPr>
                <w:sz w:val="18"/>
                <w:szCs w:val="18"/>
              </w:rPr>
            </w:pPr>
            <w:r w:rsidRPr="009313A7">
              <w:rPr>
                <w:sz w:val="18"/>
                <w:szCs w:val="18"/>
              </w:rPr>
              <w:t>Type B</w:t>
            </w: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=2</w:t>
            </w:r>
            <w:r w:rsidRPr="009313A7">
              <w:rPr>
                <w:sz w:val="18"/>
                <w:szCs w:val="18"/>
              </w:rPr>
              <w:br/>
              <w:t>(2OS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13.4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05" w:type="dxa"/>
            <w:vAlign w:val="center"/>
          </w:tcPr>
          <w:p w:rsidR="00AE0549" w:rsidRPr="009313A7" w:rsidRDefault="00AE0549" w:rsidP="000E0871">
            <w:pPr>
              <w:pStyle w:val="Tabletext"/>
              <w:jc w:val="center"/>
              <w:rPr>
                <w:sz w:val="18"/>
                <w:szCs w:val="18"/>
              </w:rPr>
            </w:pPr>
            <w:r w:rsidRPr="009313A7">
              <w:rPr>
                <w:sz w:val="18"/>
                <w:szCs w:val="18"/>
              </w:rPr>
              <w:t>12.</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11.6</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11.8</w:t>
            </w:r>
          </w:p>
        </w:tc>
      </w:tr>
      <w:tr w:rsidR="00AE0549" w:rsidRPr="009313A7" w:rsidTr="009313A7">
        <w:trPr>
          <w:gridAfter w:val="1"/>
          <w:wAfter w:w="11" w:type="dxa"/>
          <w:trHeight w:val="194"/>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13.7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11.6</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11.8</w:t>
            </w:r>
          </w:p>
        </w:tc>
      </w:tr>
      <w:tr w:rsidR="00AE0549" w:rsidRPr="009313A7" w:rsidTr="009313A7">
        <w:trPr>
          <w:gridAfter w:val="1"/>
          <w:wAfter w:w="11" w:type="dxa"/>
          <w:trHeight w:val="255"/>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15.4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12.8</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15.1</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11.9</w:t>
            </w:r>
          </w:p>
        </w:tc>
      </w:tr>
    </w:tbl>
    <w:p w:rsidR="00AE0549" w:rsidRPr="00A604A3" w:rsidRDefault="00AE0549" w:rsidP="00670913">
      <w:pPr>
        <w:pStyle w:val="Tablefin"/>
      </w:pPr>
    </w:p>
    <w:p w:rsidR="00AE0549" w:rsidRPr="00A604A3" w:rsidRDefault="00AE0549" w:rsidP="000E0871">
      <w:pPr>
        <w:pStyle w:val="Tabletitle"/>
        <w:rPr>
          <w:lang w:eastAsia="zh-CN"/>
        </w:rPr>
      </w:pPr>
      <w:r w:rsidRPr="00A604A3">
        <w:rPr>
          <w:lang w:eastAsia="zh-CN"/>
        </w:rPr>
        <w:t>(b) PRACH length = 6 OFDM symbols</w:t>
      </w:r>
    </w:p>
    <w:tbl>
      <w:tblPr>
        <w:tblStyle w:val="TableGrid"/>
        <w:tblW w:w="9405" w:type="dxa"/>
        <w:jc w:val="center"/>
        <w:tblLayout w:type="fixed"/>
        <w:tblCellMar>
          <w:left w:w="28" w:type="dxa"/>
          <w:right w:w="28" w:type="dxa"/>
        </w:tblCellMar>
        <w:tblLook w:val="04A0" w:firstRow="1" w:lastRow="0" w:firstColumn="1" w:lastColumn="0" w:noHBand="0" w:noVBand="1"/>
      </w:tblPr>
      <w:tblGrid>
        <w:gridCol w:w="1025"/>
        <w:gridCol w:w="1364"/>
        <w:gridCol w:w="1034"/>
        <w:gridCol w:w="1034"/>
        <w:gridCol w:w="911"/>
        <w:gridCol w:w="1027"/>
        <w:gridCol w:w="1034"/>
        <w:gridCol w:w="1034"/>
        <w:gridCol w:w="942"/>
      </w:tblGrid>
      <w:tr w:rsidR="00AE0549" w:rsidRPr="009313A7" w:rsidTr="009313A7">
        <w:trPr>
          <w:trHeight w:val="305"/>
          <w:jc w:val="center"/>
        </w:trPr>
        <w:tc>
          <w:tcPr>
            <w:tcW w:w="1025" w:type="dxa"/>
            <w:vMerge w:val="restart"/>
            <w:vAlign w:val="center"/>
          </w:tcPr>
          <w:p w:rsidR="00AE0549" w:rsidRPr="009313A7" w:rsidRDefault="00AE0549" w:rsidP="000E0871">
            <w:pPr>
              <w:pStyle w:val="Tablehead"/>
              <w:rPr>
                <w:sz w:val="18"/>
                <w:szCs w:val="18"/>
              </w:rPr>
            </w:pPr>
            <w:r w:rsidRPr="009313A7">
              <w:rPr>
                <w:sz w:val="18"/>
                <w:szCs w:val="18"/>
              </w:rPr>
              <w:t>Resource mapping type</w:t>
            </w:r>
          </w:p>
        </w:tc>
        <w:tc>
          <w:tcPr>
            <w:tcW w:w="1364" w:type="dxa"/>
            <w:vMerge w:val="restart"/>
            <w:vAlign w:val="center"/>
          </w:tcPr>
          <w:p w:rsidR="00AE0549" w:rsidRPr="009313A7" w:rsidRDefault="00AE0549" w:rsidP="000E0871">
            <w:pPr>
              <w:pStyle w:val="Tablehead"/>
              <w:rPr>
                <w:sz w:val="18"/>
                <w:szCs w:val="18"/>
              </w:rPr>
            </w:pPr>
            <w:r w:rsidRPr="009313A7">
              <w:rPr>
                <w:sz w:val="18"/>
                <w:szCs w:val="18"/>
              </w:rPr>
              <w:t>Non-slot duration</w:t>
            </w:r>
          </w:p>
        </w:tc>
        <w:tc>
          <w:tcPr>
            <w:tcW w:w="4006"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1</w:t>
            </w:r>
          </w:p>
        </w:tc>
        <w:tc>
          <w:tcPr>
            <w:tcW w:w="3010" w:type="dxa"/>
            <w:gridSpan w:val="3"/>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2</w:t>
            </w:r>
          </w:p>
        </w:tc>
      </w:tr>
      <w:tr w:rsidR="00AE0549" w:rsidRPr="009313A7" w:rsidTr="009313A7">
        <w:trPr>
          <w:trHeight w:val="327"/>
          <w:jc w:val="center"/>
        </w:trPr>
        <w:tc>
          <w:tcPr>
            <w:tcW w:w="1025" w:type="dxa"/>
            <w:vMerge/>
            <w:vAlign w:val="center"/>
          </w:tcPr>
          <w:p w:rsidR="00AE0549" w:rsidRPr="009313A7" w:rsidRDefault="00AE0549" w:rsidP="000E0871">
            <w:pPr>
              <w:pStyle w:val="Tablehead"/>
              <w:rPr>
                <w:sz w:val="18"/>
                <w:szCs w:val="18"/>
              </w:rPr>
            </w:pPr>
          </w:p>
        </w:tc>
        <w:tc>
          <w:tcPr>
            <w:tcW w:w="1364" w:type="dxa"/>
            <w:vMerge/>
            <w:vAlign w:val="center"/>
          </w:tcPr>
          <w:p w:rsidR="00AE0549" w:rsidRPr="009313A7" w:rsidRDefault="00AE0549" w:rsidP="000E0871">
            <w:pPr>
              <w:pStyle w:val="Tablehead"/>
              <w:rPr>
                <w:sz w:val="18"/>
                <w:szCs w:val="18"/>
              </w:rPr>
            </w:pPr>
          </w:p>
        </w:tc>
        <w:tc>
          <w:tcPr>
            <w:tcW w:w="1034" w:type="dxa"/>
            <w:vAlign w:val="center"/>
          </w:tcPr>
          <w:p w:rsidR="00AE0549" w:rsidRPr="009313A7" w:rsidRDefault="00AE0549" w:rsidP="000E0871">
            <w:pPr>
              <w:pStyle w:val="Tablehead"/>
              <w:rPr>
                <w:sz w:val="18"/>
                <w:szCs w:val="18"/>
              </w:rPr>
            </w:pPr>
            <w:r w:rsidRPr="009313A7">
              <w:rPr>
                <w:sz w:val="18"/>
                <w:szCs w:val="18"/>
              </w:rPr>
              <w:t>15 kHz SCS</w:t>
            </w:r>
          </w:p>
        </w:tc>
        <w:tc>
          <w:tcPr>
            <w:tcW w:w="1034" w:type="dxa"/>
            <w:vAlign w:val="center"/>
          </w:tcPr>
          <w:p w:rsidR="00AE0549" w:rsidRPr="009313A7" w:rsidRDefault="00AE0549" w:rsidP="000E0871">
            <w:pPr>
              <w:pStyle w:val="Tablehead"/>
              <w:rPr>
                <w:sz w:val="18"/>
                <w:szCs w:val="18"/>
              </w:rPr>
            </w:pPr>
            <w:r w:rsidRPr="009313A7">
              <w:rPr>
                <w:sz w:val="18"/>
                <w:szCs w:val="18"/>
              </w:rPr>
              <w:t>30 kHz SCS</w:t>
            </w:r>
          </w:p>
        </w:tc>
        <w:tc>
          <w:tcPr>
            <w:tcW w:w="911" w:type="dxa"/>
            <w:vAlign w:val="center"/>
          </w:tcPr>
          <w:p w:rsidR="00AE0549" w:rsidRPr="009313A7" w:rsidRDefault="00AE0549" w:rsidP="000E0871">
            <w:pPr>
              <w:pStyle w:val="Tablehead"/>
              <w:rPr>
                <w:sz w:val="18"/>
                <w:szCs w:val="18"/>
              </w:rPr>
            </w:pPr>
            <w:r w:rsidRPr="009313A7">
              <w:rPr>
                <w:sz w:val="18"/>
                <w:szCs w:val="18"/>
              </w:rPr>
              <w:t>60 kHz SCS</w:t>
            </w:r>
          </w:p>
        </w:tc>
        <w:tc>
          <w:tcPr>
            <w:tcW w:w="1027" w:type="dxa"/>
            <w:vAlign w:val="center"/>
          </w:tcPr>
          <w:p w:rsidR="00AE0549" w:rsidRPr="009313A7" w:rsidRDefault="00AE0549" w:rsidP="000E0871">
            <w:pPr>
              <w:pStyle w:val="Tablehead"/>
              <w:rPr>
                <w:sz w:val="18"/>
                <w:szCs w:val="18"/>
              </w:rPr>
            </w:pPr>
            <w:r w:rsidRPr="009313A7">
              <w:rPr>
                <w:sz w:val="18"/>
                <w:szCs w:val="18"/>
              </w:rPr>
              <w:t>120 kHz SCS</w:t>
            </w:r>
          </w:p>
        </w:tc>
        <w:tc>
          <w:tcPr>
            <w:tcW w:w="1034" w:type="dxa"/>
            <w:vAlign w:val="center"/>
          </w:tcPr>
          <w:p w:rsidR="00AE0549" w:rsidRPr="009313A7" w:rsidRDefault="00AE0549" w:rsidP="000E0871">
            <w:pPr>
              <w:pStyle w:val="Tablehead"/>
              <w:rPr>
                <w:sz w:val="18"/>
                <w:szCs w:val="18"/>
              </w:rPr>
            </w:pPr>
            <w:r w:rsidRPr="009313A7">
              <w:rPr>
                <w:sz w:val="18"/>
                <w:szCs w:val="18"/>
              </w:rPr>
              <w:t>15 kHz SCS</w:t>
            </w:r>
          </w:p>
        </w:tc>
        <w:tc>
          <w:tcPr>
            <w:tcW w:w="1034" w:type="dxa"/>
            <w:vAlign w:val="center"/>
          </w:tcPr>
          <w:p w:rsidR="00AE0549" w:rsidRPr="009313A7" w:rsidRDefault="00AE0549" w:rsidP="000E0871">
            <w:pPr>
              <w:pStyle w:val="Tablehead"/>
              <w:rPr>
                <w:sz w:val="18"/>
                <w:szCs w:val="18"/>
              </w:rPr>
            </w:pPr>
            <w:r w:rsidRPr="009313A7">
              <w:rPr>
                <w:sz w:val="18"/>
                <w:szCs w:val="18"/>
              </w:rPr>
              <w:t>30k Hz SCS</w:t>
            </w:r>
          </w:p>
        </w:tc>
        <w:tc>
          <w:tcPr>
            <w:tcW w:w="942" w:type="dxa"/>
            <w:vAlign w:val="center"/>
          </w:tcPr>
          <w:p w:rsidR="00AE0549" w:rsidRPr="009313A7" w:rsidRDefault="00AE0549" w:rsidP="000E0871">
            <w:pPr>
              <w:pStyle w:val="Tablehead"/>
              <w:rPr>
                <w:sz w:val="18"/>
                <w:szCs w:val="18"/>
              </w:rPr>
            </w:pPr>
            <w:r w:rsidRPr="009313A7">
              <w:rPr>
                <w:sz w:val="18"/>
                <w:szCs w:val="18"/>
              </w:rPr>
              <w:t>60 kHz SCS</w:t>
            </w:r>
          </w:p>
        </w:tc>
      </w:tr>
      <w:tr w:rsidR="00AE0549" w:rsidRPr="009313A7" w:rsidTr="009313A7">
        <w:trPr>
          <w:trHeight w:val="375"/>
          <w:jc w:val="center"/>
        </w:trPr>
        <w:tc>
          <w:tcPr>
            <w:tcW w:w="1025" w:type="dxa"/>
            <w:vMerge w:val="restart"/>
            <w:vAlign w:val="center"/>
          </w:tcPr>
          <w:p w:rsidR="00AE0549" w:rsidRPr="009313A7" w:rsidRDefault="00AE0549" w:rsidP="000E0871">
            <w:pPr>
              <w:pStyle w:val="Tabletext"/>
              <w:rPr>
                <w:i/>
                <w:sz w:val="18"/>
                <w:szCs w:val="18"/>
              </w:rPr>
            </w:pPr>
            <w:r w:rsidRPr="009313A7">
              <w:rPr>
                <w:sz w:val="18"/>
                <w:szCs w:val="18"/>
              </w:rPr>
              <w:t>Type A</w:t>
            </w:r>
          </w:p>
        </w:tc>
        <w:tc>
          <w:tcPr>
            <w:tcW w:w="1364"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18.0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17.6</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r w:rsidR="00AE0549" w:rsidRPr="009313A7" w:rsidTr="009313A7">
        <w:trPr>
          <w:trHeight w:val="267"/>
          <w:jc w:val="center"/>
        </w:trPr>
        <w:tc>
          <w:tcPr>
            <w:tcW w:w="1025" w:type="dxa"/>
            <w:vMerge/>
            <w:vAlign w:val="center"/>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18.0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17.6</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r w:rsidR="00AE0549" w:rsidRPr="009313A7" w:rsidTr="009313A7">
        <w:trPr>
          <w:trHeight w:val="315"/>
          <w:jc w:val="center"/>
        </w:trPr>
        <w:tc>
          <w:tcPr>
            <w:tcW w:w="1025" w:type="dxa"/>
            <w:vMerge w:val="restart"/>
            <w:vAlign w:val="center"/>
          </w:tcPr>
          <w:p w:rsidR="00AE0549" w:rsidRPr="009313A7" w:rsidRDefault="00AE0549" w:rsidP="000E0871">
            <w:pPr>
              <w:pStyle w:val="Tabletext"/>
              <w:rPr>
                <w:sz w:val="18"/>
                <w:szCs w:val="18"/>
              </w:rPr>
            </w:pPr>
            <w:r w:rsidRPr="009313A7">
              <w:rPr>
                <w:sz w:val="18"/>
                <w:szCs w:val="18"/>
              </w:rPr>
              <w:t>Type B</w:t>
            </w: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=2</w:t>
            </w:r>
            <w:r w:rsidRPr="009313A7">
              <w:rPr>
                <w:sz w:val="18"/>
                <w:szCs w:val="18"/>
              </w:rPr>
              <w:br/>
              <w:t>(2OS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11.9</w:t>
            </w:r>
          </w:p>
        </w:tc>
      </w:tr>
      <w:tr w:rsidR="00AE0549" w:rsidRPr="009313A7" w:rsidTr="009313A7">
        <w:trPr>
          <w:trHeight w:val="424"/>
          <w:jc w:val="center"/>
        </w:trPr>
        <w:tc>
          <w:tcPr>
            <w:tcW w:w="1025" w:type="dxa"/>
            <w:vMerge/>
            <w:vAlign w:val="center"/>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14.0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12.8</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14.0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11.9</w:t>
            </w:r>
          </w:p>
        </w:tc>
      </w:tr>
      <w:tr w:rsidR="00AE0549" w:rsidRPr="009313A7" w:rsidTr="009313A7">
        <w:trPr>
          <w:trHeight w:val="282"/>
          <w:jc w:val="center"/>
        </w:trPr>
        <w:tc>
          <w:tcPr>
            <w:tcW w:w="1025" w:type="dxa"/>
            <w:vMerge/>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16.0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15.4</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bl>
    <w:p w:rsidR="00AE0549" w:rsidRPr="00A604A3" w:rsidRDefault="00AE0549" w:rsidP="00670913">
      <w:pPr>
        <w:pStyle w:val="Tablefin"/>
      </w:pPr>
    </w:p>
    <w:p w:rsidR="00AE0549" w:rsidRPr="00A604A3" w:rsidRDefault="00AE0549" w:rsidP="000E0871">
      <w:pPr>
        <w:pStyle w:val="Tabletitle"/>
        <w:rPr>
          <w:lang w:eastAsia="zh-CN"/>
        </w:rPr>
      </w:pPr>
      <w:r w:rsidRPr="00A604A3">
        <w:rPr>
          <w:lang w:eastAsia="zh-CN"/>
        </w:rPr>
        <w:lastRenderedPageBreak/>
        <w:t>(c) PRACH length=1ms</w:t>
      </w:r>
    </w:p>
    <w:tbl>
      <w:tblPr>
        <w:tblStyle w:val="TableGrid"/>
        <w:tblW w:w="6875" w:type="dxa"/>
        <w:jc w:val="center"/>
        <w:tblLook w:val="04A0" w:firstRow="1" w:lastRow="0" w:firstColumn="1" w:lastColumn="0" w:noHBand="0" w:noVBand="1"/>
      </w:tblPr>
      <w:tblGrid>
        <w:gridCol w:w="1447"/>
        <w:gridCol w:w="1565"/>
        <w:gridCol w:w="1812"/>
        <w:gridCol w:w="2051"/>
      </w:tblGrid>
      <w:tr w:rsidR="00AE0549" w:rsidRPr="00A604A3" w:rsidTr="009313A7">
        <w:trPr>
          <w:cantSplit/>
          <w:jc w:val="center"/>
        </w:trPr>
        <w:tc>
          <w:tcPr>
            <w:tcW w:w="1447" w:type="dxa"/>
            <w:vMerge w:val="restart"/>
            <w:vAlign w:val="center"/>
          </w:tcPr>
          <w:p w:rsidR="00AE0549" w:rsidRPr="00A604A3" w:rsidRDefault="00AE0549" w:rsidP="009313A7">
            <w:pPr>
              <w:pStyle w:val="Tablehead"/>
            </w:pPr>
            <w:r w:rsidRPr="00A604A3">
              <w:t>Resource mapping type</w:t>
            </w:r>
          </w:p>
        </w:tc>
        <w:tc>
          <w:tcPr>
            <w:tcW w:w="1565" w:type="dxa"/>
            <w:vMerge w:val="restart"/>
            <w:vAlign w:val="center"/>
          </w:tcPr>
          <w:p w:rsidR="00AE0549" w:rsidRPr="00A604A3" w:rsidRDefault="00AE0549" w:rsidP="009313A7">
            <w:pPr>
              <w:pStyle w:val="Tablehead"/>
            </w:pPr>
            <w:r w:rsidRPr="00A604A3">
              <w:t>Non-slot duration</w:t>
            </w:r>
          </w:p>
        </w:tc>
        <w:tc>
          <w:tcPr>
            <w:tcW w:w="1812" w:type="dxa"/>
            <w:vAlign w:val="center"/>
          </w:tcPr>
          <w:p w:rsidR="00AE0549" w:rsidRPr="00A604A3" w:rsidRDefault="00AE0549" w:rsidP="009313A7">
            <w:pPr>
              <w:pStyle w:val="Tablehead"/>
            </w:pPr>
            <w:r w:rsidRPr="00A604A3">
              <w:t>UE capability</w:t>
            </w:r>
            <w:r w:rsidRPr="00A604A3">
              <w:rPr>
                <w:lang w:eastAsia="zh-CN"/>
              </w:rPr>
              <w:t xml:space="preserve"> </w:t>
            </w:r>
            <w:r w:rsidRPr="00A604A3">
              <w:t>1</w:t>
            </w:r>
          </w:p>
        </w:tc>
        <w:tc>
          <w:tcPr>
            <w:tcW w:w="2051" w:type="dxa"/>
            <w:vAlign w:val="center"/>
          </w:tcPr>
          <w:p w:rsidR="00AE0549" w:rsidRPr="00A604A3" w:rsidRDefault="00AE0549" w:rsidP="009313A7">
            <w:pPr>
              <w:pStyle w:val="Tablehead"/>
            </w:pPr>
            <w:r w:rsidRPr="00A604A3">
              <w:t>UE capability</w:t>
            </w:r>
            <w:r w:rsidRPr="00A604A3">
              <w:rPr>
                <w:lang w:eastAsia="zh-CN"/>
              </w:rPr>
              <w:t xml:space="preserve"> </w:t>
            </w:r>
            <w:r w:rsidRPr="00A604A3">
              <w:t>2</w:t>
            </w:r>
          </w:p>
        </w:tc>
      </w:tr>
      <w:tr w:rsidR="00AE0549" w:rsidRPr="00A604A3" w:rsidTr="009313A7">
        <w:trPr>
          <w:cantSplit/>
          <w:jc w:val="center"/>
        </w:trPr>
        <w:tc>
          <w:tcPr>
            <w:tcW w:w="1447" w:type="dxa"/>
            <w:vMerge/>
            <w:vAlign w:val="center"/>
          </w:tcPr>
          <w:p w:rsidR="00AE0549" w:rsidRPr="00A604A3" w:rsidRDefault="00AE0549" w:rsidP="009313A7">
            <w:pPr>
              <w:pStyle w:val="Tablehead"/>
              <w:rPr>
                <w:sz w:val="16"/>
                <w:szCs w:val="16"/>
              </w:rPr>
            </w:pPr>
          </w:p>
        </w:tc>
        <w:tc>
          <w:tcPr>
            <w:tcW w:w="1565" w:type="dxa"/>
            <w:vMerge/>
            <w:vAlign w:val="center"/>
          </w:tcPr>
          <w:p w:rsidR="00AE0549" w:rsidRPr="00A604A3" w:rsidRDefault="00AE0549" w:rsidP="009313A7">
            <w:pPr>
              <w:pStyle w:val="Tablehead"/>
              <w:rPr>
                <w:sz w:val="16"/>
                <w:szCs w:val="16"/>
              </w:rPr>
            </w:pPr>
          </w:p>
        </w:tc>
        <w:tc>
          <w:tcPr>
            <w:tcW w:w="1812" w:type="dxa"/>
            <w:vAlign w:val="center"/>
          </w:tcPr>
          <w:p w:rsidR="00AE0549" w:rsidRPr="00A604A3" w:rsidRDefault="00AE0549" w:rsidP="009313A7">
            <w:pPr>
              <w:pStyle w:val="Tablehead"/>
              <w:rPr>
                <w:sz w:val="16"/>
                <w:szCs w:val="16"/>
              </w:rPr>
            </w:pPr>
            <w:r w:rsidRPr="00A604A3">
              <w:rPr>
                <w:sz w:val="16"/>
                <w:szCs w:val="16"/>
              </w:rPr>
              <w:t>15 kHz SCS</w:t>
            </w:r>
          </w:p>
        </w:tc>
        <w:tc>
          <w:tcPr>
            <w:tcW w:w="2051" w:type="dxa"/>
            <w:vAlign w:val="center"/>
          </w:tcPr>
          <w:p w:rsidR="00AE0549" w:rsidRPr="00A604A3" w:rsidRDefault="00AE0549" w:rsidP="009313A7">
            <w:pPr>
              <w:pStyle w:val="Tablehead"/>
              <w:rPr>
                <w:sz w:val="16"/>
                <w:szCs w:val="16"/>
              </w:rPr>
            </w:pPr>
            <w:r w:rsidRPr="00A604A3">
              <w:rPr>
                <w:sz w:val="16"/>
                <w:szCs w:val="16"/>
              </w:rPr>
              <w:t>15 kHz SCS</w:t>
            </w:r>
          </w:p>
        </w:tc>
      </w:tr>
      <w:tr w:rsidR="00AE0549" w:rsidRPr="00A604A3" w:rsidTr="009313A7">
        <w:trPr>
          <w:cantSplit/>
          <w:jc w:val="center"/>
        </w:trPr>
        <w:tc>
          <w:tcPr>
            <w:tcW w:w="1447" w:type="dxa"/>
            <w:vMerge w:val="restart"/>
            <w:vAlign w:val="center"/>
          </w:tcPr>
          <w:p w:rsidR="00AE0549" w:rsidRPr="00A604A3" w:rsidRDefault="00AE0549" w:rsidP="009313A7">
            <w:pPr>
              <w:pStyle w:val="Tabletext"/>
              <w:rPr>
                <w:i/>
              </w:rPr>
            </w:pPr>
            <w:r w:rsidRPr="00A604A3">
              <w:t>Type A</w:t>
            </w:r>
          </w:p>
        </w:tc>
        <w:tc>
          <w:tcPr>
            <w:tcW w:w="1565" w:type="dxa"/>
            <w:vAlign w:val="center"/>
          </w:tcPr>
          <w:p w:rsidR="00AE0549" w:rsidRPr="00A604A3" w:rsidRDefault="00AE0549" w:rsidP="009313A7">
            <w:pPr>
              <w:pStyle w:val="Tabletext"/>
            </w:pPr>
            <w:r w:rsidRPr="00A604A3">
              <w:rPr>
                <w:i/>
              </w:rPr>
              <w:t>M</w:t>
            </w:r>
            <w:r w:rsidRPr="00A604A3">
              <w:t xml:space="preserve"> =4</w:t>
            </w:r>
            <w:r w:rsidRPr="00A604A3">
              <w:br/>
              <w:t>(4OS non-slot)</w:t>
            </w:r>
          </w:p>
        </w:tc>
        <w:tc>
          <w:tcPr>
            <w:tcW w:w="1812" w:type="dxa"/>
            <w:vAlign w:val="center"/>
          </w:tcPr>
          <w:p w:rsidR="00AE0549" w:rsidRPr="00A604A3" w:rsidRDefault="00AE0549" w:rsidP="009313A7">
            <w:pPr>
              <w:pStyle w:val="Tabletext"/>
              <w:jc w:val="center"/>
            </w:pPr>
            <w:r w:rsidRPr="00A604A3">
              <w:t>20.0</w:t>
            </w:r>
          </w:p>
        </w:tc>
        <w:tc>
          <w:tcPr>
            <w:tcW w:w="2051" w:type="dxa"/>
            <w:vAlign w:val="center"/>
          </w:tcPr>
          <w:p w:rsidR="00AE0549" w:rsidRPr="00A604A3" w:rsidRDefault="00AE0549" w:rsidP="009313A7">
            <w:pPr>
              <w:pStyle w:val="Tabletext"/>
              <w:jc w:val="center"/>
            </w:pPr>
            <w:r w:rsidRPr="00A604A3">
              <w:t>20.0</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pPr>
            <w:r w:rsidRPr="00A604A3">
              <w:rPr>
                <w:i/>
              </w:rPr>
              <w:t>M</w:t>
            </w:r>
            <w:r w:rsidRPr="00A604A3">
              <w:t xml:space="preserve"> =7</w:t>
            </w:r>
            <w:r w:rsidRPr="00A604A3">
              <w:br/>
              <w:t>(7OS non-slot)</w:t>
            </w:r>
          </w:p>
        </w:tc>
        <w:tc>
          <w:tcPr>
            <w:tcW w:w="1812" w:type="dxa"/>
            <w:vAlign w:val="center"/>
          </w:tcPr>
          <w:p w:rsidR="00AE0549" w:rsidRPr="00A604A3" w:rsidRDefault="00AE0549" w:rsidP="009313A7">
            <w:pPr>
              <w:pStyle w:val="Tabletext"/>
              <w:jc w:val="center"/>
            </w:pPr>
            <w:r w:rsidRPr="00A604A3">
              <w:t>20.0</w:t>
            </w:r>
          </w:p>
        </w:tc>
        <w:tc>
          <w:tcPr>
            <w:tcW w:w="2051" w:type="dxa"/>
            <w:vAlign w:val="center"/>
          </w:tcPr>
          <w:p w:rsidR="00AE0549" w:rsidRPr="00A604A3" w:rsidRDefault="00AE0549" w:rsidP="009313A7">
            <w:pPr>
              <w:pStyle w:val="Tabletext"/>
              <w:jc w:val="center"/>
            </w:pPr>
            <w:r w:rsidRPr="00A604A3">
              <w:t>20.0</w:t>
            </w:r>
          </w:p>
        </w:tc>
      </w:tr>
      <w:tr w:rsidR="00AE0549" w:rsidRPr="00A604A3" w:rsidTr="009313A7">
        <w:trPr>
          <w:cantSplit/>
          <w:jc w:val="center"/>
        </w:trPr>
        <w:tc>
          <w:tcPr>
            <w:tcW w:w="1447" w:type="dxa"/>
            <w:vMerge w:val="restart"/>
            <w:vAlign w:val="center"/>
          </w:tcPr>
          <w:p w:rsidR="00AE0549" w:rsidRPr="00A604A3" w:rsidRDefault="00AE0549" w:rsidP="009313A7">
            <w:pPr>
              <w:pStyle w:val="Tabletext"/>
            </w:pPr>
            <w:r w:rsidRPr="00A604A3">
              <w:t>Type B</w:t>
            </w:r>
          </w:p>
        </w:tc>
        <w:tc>
          <w:tcPr>
            <w:tcW w:w="1565" w:type="dxa"/>
            <w:vAlign w:val="center"/>
          </w:tcPr>
          <w:p w:rsidR="00AE0549" w:rsidRPr="00A604A3" w:rsidRDefault="00AE0549" w:rsidP="009313A7">
            <w:pPr>
              <w:pStyle w:val="Tabletext"/>
              <w:rPr>
                <w:i/>
              </w:rPr>
            </w:pPr>
            <w:r w:rsidRPr="00A604A3">
              <w:rPr>
                <w:i/>
              </w:rPr>
              <w:t>M</w:t>
            </w:r>
            <w:r w:rsidRPr="00A604A3">
              <w:t>=2</w:t>
            </w:r>
            <w:r w:rsidRPr="00A604A3">
              <w:br/>
              <w:t>(2OS non-slot)</w:t>
            </w:r>
          </w:p>
        </w:tc>
        <w:tc>
          <w:tcPr>
            <w:tcW w:w="1812" w:type="dxa"/>
            <w:vAlign w:val="center"/>
          </w:tcPr>
          <w:p w:rsidR="00AE0549" w:rsidRPr="00A604A3" w:rsidRDefault="00AE0549" w:rsidP="009313A7">
            <w:pPr>
              <w:pStyle w:val="Tabletext"/>
              <w:jc w:val="center"/>
            </w:pPr>
            <w:r w:rsidRPr="00A604A3">
              <w:t>14.3</w:t>
            </w:r>
          </w:p>
        </w:tc>
        <w:tc>
          <w:tcPr>
            <w:tcW w:w="2051" w:type="dxa"/>
            <w:vAlign w:val="center"/>
          </w:tcPr>
          <w:p w:rsidR="00AE0549" w:rsidRPr="00A604A3" w:rsidRDefault="00AE0549" w:rsidP="009313A7">
            <w:pPr>
              <w:pStyle w:val="Tabletext"/>
              <w:jc w:val="center"/>
            </w:pPr>
            <w:r w:rsidRPr="00A604A3">
              <w:t>14.3</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rPr>
                <w:i/>
              </w:rPr>
            </w:pPr>
            <w:r w:rsidRPr="00A604A3">
              <w:rPr>
                <w:i/>
              </w:rPr>
              <w:t>M</w:t>
            </w:r>
            <w:r w:rsidRPr="00A604A3">
              <w:t xml:space="preserve"> =4</w:t>
            </w:r>
            <w:r w:rsidRPr="00A604A3">
              <w:br/>
              <w:t>(4OS non-slot)</w:t>
            </w:r>
          </w:p>
        </w:tc>
        <w:tc>
          <w:tcPr>
            <w:tcW w:w="1812" w:type="dxa"/>
            <w:vAlign w:val="center"/>
          </w:tcPr>
          <w:p w:rsidR="00AE0549" w:rsidRPr="00A604A3" w:rsidRDefault="00AE0549" w:rsidP="009313A7">
            <w:pPr>
              <w:pStyle w:val="Tabletext"/>
              <w:jc w:val="center"/>
            </w:pPr>
            <w:r w:rsidRPr="00A604A3">
              <w:t>14.6</w:t>
            </w:r>
          </w:p>
        </w:tc>
        <w:tc>
          <w:tcPr>
            <w:tcW w:w="2051" w:type="dxa"/>
            <w:vAlign w:val="center"/>
          </w:tcPr>
          <w:p w:rsidR="00AE0549" w:rsidRPr="00A604A3" w:rsidRDefault="00AE0549" w:rsidP="009313A7">
            <w:pPr>
              <w:pStyle w:val="Tabletext"/>
              <w:jc w:val="center"/>
            </w:pPr>
            <w:r w:rsidRPr="00A604A3">
              <w:t>14.6</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rPr>
                <w:i/>
              </w:rPr>
            </w:pPr>
            <w:r w:rsidRPr="00A604A3">
              <w:rPr>
                <w:i/>
              </w:rPr>
              <w:t>M</w:t>
            </w:r>
            <w:r w:rsidRPr="00A604A3">
              <w:t xml:space="preserve"> =7</w:t>
            </w:r>
            <w:r w:rsidRPr="00A604A3">
              <w:br/>
              <w:t>(7OS non-slot)</w:t>
            </w:r>
          </w:p>
        </w:tc>
        <w:tc>
          <w:tcPr>
            <w:tcW w:w="1812" w:type="dxa"/>
            <w:vAlign w:val="center"/>
          </w:tcPr>
          <w:p w:rsidR="00AE0549" w:rsidRPr="00A604A3" w:rsidRDefault="00AE0549" w:rsidP="009313A7">
            <w:pPr>
              <w:pStyle w:val="Tabletext"/>
              <w:jc w:val="center"/>
            </w:pPr>
            <w:r w:rsidRPr="00A604A3">
              <w:t>18.0</w:t>
            </w:r>
          </w:p>
        </w:tc>
        <w:tc>
          <w:tcPr>
            <w:tcW w:w="2051" w:type="dxa"/>
            <w:vAlign w:val="center"/>
          </w:tcPr>
          <w:p w:rsidR="00AE0549" w:rsidRPr="00A604A3" w:rsidRDefault="00AE0549" w:rsidP="009313A7">
            <w:pPr>
              <w:pStyle w:val="Tabletext"/>
              <w:jc w:val="center"/>
            </w:pPr>
            <w:r w:rsidRPr="00A604A3">
              <w:t>16.0</w:t>
            </w:r>
          </w:p>
        </w:tc>
      </w:tr>
    </w:tbl>
    <w:p w:rsidR="00AE0549" w:rsidRPr="00A604A3" w:rsidRDefault="00AE0549" w:rsidP="00670913">
      <w:pPr>
        <w:pStyle w:val="Tablefin"/>
      </w:pPr>
    </w:p>
    <w:p w:rsidR="00AE0549" w:rsidRPr="00A604A3" w:rsidRDefault="00AE0549" w:rsidP="00670913">
      <w:r w:rsidRPr="00A604A3">
        <w:t>The calculated control plane latencies given in Table 111, Table 112 and Table 113 are all below or equal to the ITU IMT2020 requirement of 20 ms.</w:t>
      </w:r>
    </w:p>
    <w:p w:rsidR="00AE0549" w:rsidRPr="00A604A3" w:rsidRDefault="00B5452F" w:rsidP="00170BA6">
      <w:pPr>
        <w:pStyle w:val="Heading4"/>
        <w:rPr>
          <w:rFonts w:eastAsia="MS Mincho"/>
        </w:rPr>
      </w:pPr>
      <w:r>
        <w:rPr>
          <w:rFonts w:eastAsia="MS Mincho"/>
        </w:rPr>
        <w:t>II.5.8.4</w:t>
      </w:r>
      <w:r>
        <w:rPr>
          <w:rFonts w:eastAsia="MS Mincho"/>
        </w:rPr>
        <w:tab/>
      </w:r>
      <w:r w:rsidR="00AE0549" w:rsidRPr="00A604A3">
        <w:rPr>
          <w:rFonts w:eastAsia="MS Mincho"/>
        </w:rPr>
        <w:t>LTE Rel-15 control plane latency calculations</w:t>
      </w:r>
    </w:p>
    <w:p w:rsidR="00AE0549" w:rsidRPr="00A604A3" w:rsidRDefault="00AE0549" w:rsidP="00B5452F">
      <w:pPr>
        <w:rPr>
          <w:lang w:eastAsia="zh-CN"/>
        </w:rPr>
      </w:pPr>
      <w:r w:rsidRPr="00A604A3">
        <w:rPr>
          <w:lang w:eastAsia="zh-CN"/>
        </w:rPr>
        <w:t>For LTE Rel-15, control plane latency is evaluated from RRC_IDLE state to RRC_CONNECTED state. The</w:t>
      </w:r>
      <w:r w:rsidRPr="00A604A3">
        <w:t xml:space="preserve"> </w:t>
      </w:r>
      <w:r w:rsidRPr="00A604A3">
        <w:rPr>
          <w:lang w:eastAsia="zh-CN"/>
        </w:rPr>
        <w:t xml:space="preserve">control </w:t>
      </w:r>
      <w:r w:rsidRPr="00A604A3">
        <w:t xml:space="preserve">plane flow for </w:t>
      </w:r>
      <w:r w:rsidRPr="00A604A3">
        <w:rPr>
          <w:lang w:eastAsia="zh-CN"/>
        </w:rPr>
        <w:t xml:space="preserve">LTE </w:t>
      </w:r>
      <w:r w:rsidRPr="00A604A3">
        <w:t>Rel-</w:t>
      </w:r>
      <w:r w:rsidRPr="00A604A3">
        <w:rPr>
          <w:lang w:eastAsia="zh-CN"/>
        </w:rPr>
        <w:t>15 is in Figure 4.</w:t>
      </w:r>
    </w:p>
    <w:p w:rsidR="00B5452F" w:rsidRDefault="00B5452F" w:rsidP="00B5452F">
      <w:pPr>
        <w:pStyle w:val="FigureNo"/>
      </w:pPr>
      <w:bookmarkStart w:id="522" w:name="_Ref28177611"/>
      <w:r>
        <w:lastRenderedPageBreak/>
        <w:t>Figure 4</w:t>
      </w:r>
    </w:p>
    <w:p w:rsidR="00B5452F" w:rsidRPr="00B5452F" w:rsidRDefault="00B5452F" w:rsidP="00B5452F">
      <w:pPr>
        <w:pStyle w:val="Figuretitle"/>
      </w:pPr>
      <w:r w:rsidRPr="00A604A3">
        <w:t>Control plane procedure</w:t>
      </w:r>
      <w:bookmarkEnd w:id="522"/>
    </w:p>
    <w:tbl>
      <w:tblPr>
        <w:tblW w:w="0" w:type="auto"/>
        <w:tblLook w:val="04A0" w:firstRow="1" w:lastRow="0" w:firstColumn="1" w:lastColumn="0" w:noHBand="0" w:noVBand="1"/>
      </w:tblPr>
      <w:tblGrid>
        <w:gridCol w:w="8522"/>
      </w:tblGrid>
      <w:tr w:rsidR="00AE0549" w:rsidRPr="00A604A3" w:rsidTr="00B5452F">
        <w:tc>
          <w:tcPr>
            <w:tcW w:w="8522" w:type="dxa"/>
          </w:tcPr>
          <w:p w:rsidR="00AE0549" w:rsidRPr="00A604A3" w:rsidRDefault="00AE0549" w:rsidP="00B5452F">
            <w:pPr>
              <w:pStyle w:val="Figure"/>
            </w:pPr>
            <w:r w:rsidRPr="00A604A3">
              <w:drawing>
                <wp:inline distT="0" distB="0" distL="0" distR="0" wp14:anchorId="314B2433" wp14:editId="2AB89344">
                  <wp:extent cx="5274310" cy="4498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310" cy="4498975"/>
                          </a:xfrm>
                          <a:prstGeom prst="rect">
                            <a:avLst/>
                          </a:prstGeom>
                          <a:noFill/>
                          <a:ln>
                            <a:noFill/>
                          </a:ln>
                        </pic:spPr>
                      </pic:pic>
                    </a:graphicData>
                  </a:graphic>
                </wp:inline>
              </w:drawing>
            </w:r>
          </w:p>
        </w:tc>
      </w:tr>
    </w:tbl>
    <w:p w:rsidR="00AE0549" w:rsidRPr="00A604A3" w:rsidRDefault="00AE0549" w:rsidP="00470885">
      <w:pPr>
        <w:spacing w:before="0"/>
      </w:pPr>
    </w:p>
    <w:p w:rsidR="00AE0549" w:rsidRPr="00A604A3" w:rsidRDefault="00B5452F" w:rsidP="00B5452F">
      <w:pPr>
        <w:pStyle w:val="Heading5"/>
        <w:rPr>
          <w:rFonts w:eastAsia="MS Mincho"/>
        </w:rPr>
      </w:pPr>
      <w:r>
        <w:rPr>
          <w:rFonts w:eastAsia="MS Mincho"/>
        </w:rPr>
        <w:t>II.5.8.4.1</w:t>
      </w:r>
      <w:r>
        <w:rPr>
          <w:rFonts w:eastAsia="MS Mincho"/>
        </w:rPr>
        <w:tab/>
      </w:r>
      <w:r w:rsidR="00AE0549" w:rsidRPr="00A604A3">
        <w:rPr>
          <w:rFonts w:eastAsia="MS Mincho"/>
        </w:rPr>
        <w:t>LTE FDD</w:t>
      </w:r>
    </w:p>
    <w:p w:rsidR="00AE0549" w:rsidRPr="00A604A3" w:rsidRDefault="00AE0549" w:rsidP="00B5452F">
      <w:pPr>
        <w:rPr>
          <w:lang w:eastAsia="zh-CN"/>
        </w:rPr>
      </w:pPr>
      <w:r w:rsidRPr="00A604A3">
        <w:rPr>
          <w:lang w:eastAsia="zh-CN"/>
        </w:rPr>
        <w:t>The detailed assumptions of each step are provided in Table 5.7.2.2-1 of TR 37.910 [14] and is rewritten below (Table 114) for convenience.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B5452F" w:rsidRDefault="00B5452F" w:rsidP="00B5452F">
      <w:pPr>
        <w:pStyle w:val="TableNo"/>
        <w:rPr>
          <w:rFonts w:eastAsia="MS Mincho"/>
        </w:rPr>
      </w:pPr>
      <w:bookmarkStart w:id="523" w:name="_Ref27142496"/>
      <w:bookmarkStart w:id="524" w:name="_Toc28265797"/>
      <w:bookmarkStart w:id="525" w:name="_Toc28277032"/>
      <w:bookmarkStart w:id="526" w:name="_Toc32066449"/>
      <w:r>
        <w:rPr>
          <w:rFonts w:eastAsia="MS Mincho"/>
        </w:rPr>
        <w:t>Table 114</w:t>
      </w:r>
    </w:p>
    <w:p w:rsidR="00AE0549" w:rsidRPr="00A604A3" w:rsidRDefault="00AE0549" w:rsidP="00B5452F">
      <w:pPr>
        <w:pStyle w:val="Tabletitle"/>
        <w:rPr>
          <w:rFonts w:eastAsia="MS Mincho"/>
        </w:rPr>
      </w:pPr>
      <w:r w:rsidRPr="00A604A3">
        <w:rPr>
          <w:rFonts w:eastAsia="MS Mincho"/>
        </w:rPr>
        <w:t>Control plane latency for LTE FDD</w:t>
      </w:r>
      <w:bookmarkEnd w:id="523"/>
      <w:bookmarkEnd w:id="524"/>
      <w:bookmarkEnd w:id="525"/>
      <w:bookmarkEnd w:id="5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644"/>
        <w:gridCol w:w="6695"/>
        <w:gridCol w:w="1677"/>
      </w:tblGrid>
      <w:tr w:rsidR="0022732D" w:rsidRPr="00A604A3" w:rsidTr="00686B5B">
        <w:trPr>
          <w:tblHeader/>
          <w:jc w:val="center"/>
        </w:trPr>
        <w:tc>
          <w:tcPr>
            <w:tcW w:w="357" w:type="pct"/>
            <w:shd w:val="clear" w:color="auto" w:fill="auto"/>
            <w:tcMar>
              <w:top w:w="15" w:type="dxa"/>
              <w:left w:w="108" w:type="dxa"/>
              <w:bottom w:w="0" w:type="dxa"/>
              <w:right w:w="108" w:type="dxa"/>
            </w:tcMar>
            <w:vAlign w:val="center"/>
            <w:hideMark/>
          </w:tcPr>
          <w:p w:rsidR="00B5452F" w:rsidRPr="00A604A3" w:rsidRDefault="00B5452F" w:rsidP="00B5452F">
            <w:pPr>
              <w:pStyle w:val="Tablehead"/>
              <w:rPr>
                <w:rFonts w:eastAsia="DengXian"/>
                <w:lang w:eastAsia="sv-SE"/>
              </w:rPr>
            </w:pPr>
            <w:r w:rsidRPr="00A604A3">
              <w:rPr>
                <w:rFonts w:eastAsia="DengXian"/>
                <w:lang w:eastAsia="sv-SE"/>
              </w:rPr>
              <w:t>Step</w:t>
            </w:r>
          </w:p>
        </w:tc>
        <w:tc>
          <w:tcPr>
            <w:tcW w:w="3713" w:type="pct"/>
            <w:shd w:val="clear" w:color="auto" w:fill="auto"/>
            <w:tcMar>
              <w:top w:w="15" w:type="dxa"/>
              <w:left w:w="108" w:type="dxa"/>
              <w:bottom w:w="0" w:type="dxa"/>
              <w:right w:w="108" w:type="dxa"/>
            </w:tcMar>
            <w:vAlign w:val="center"/>
            <w:hideMark/>
          </w:tcPr>
          <w:p w:rsidR="00B5452F" w:rsidRPr="00A604A3" w:rsidRDefault="00B5452F" w:rsidP="00B5452F">
            <w:pPr>
              <w:pStyle w:val="Tablehead"/>
              <w:rPr>
                <w:rFonts w:eastAsia="DengXian"/>
                <w:lang w:eastAsia="sv-SE"/>
              </w:rPr>
            </w:pPr>
            <w:r w:rsidRPr="00A604A3">
              <w:rPr>
                <w:rFonts w:eastAsia="DengXian"/>
                <w:lang w:eastAsia="sv-SE"/>
              </w:rPr>
              <w:t>Description</w:t>
            </w:r>
          </w:p>
        </w:tc>
        <w:tc>
          <w:tcPr>
            <w:tcW w:w="930" w:type="pct"/>
            <w:shd w:val="clear" w:color="auto" w:fill="auto"/>
            <w:tcMar>
              <w:top w:w="15" w:type="dxa"/>
              <w:left w:w="108" w:type="dxa"/>
              <w:bottom w:w="0" w:type="dxa"/>
              <w:right w:w="108" w:type="dxa"/>
            </w:tcMar>
            <w:vAlign w:val="bottom"/>
            <w:hideMark/>
          </w:tcPr>
          <w:p w:rsidR="00B5452F" w:rsidRPr="00A604A3" w:rsidRDefault="00B5452F" w:rsidP="00686B5B">
            <w:pPr>
              <w:pStyle w:val="Tablehead"/>
              <w:rPr>
                <w:rFonts w:eastAsia="DengXian"/>
                <w:lang w:eastAsia="sv-SE"/>
              </w:rPr>
            </w:pPr>
            <w:r w:rsidRPr="00A604A3">
              <w:rPr>
                <w:rFonts w:eastAsia="DengXian"/>
                <w:lang w:eastAsia="sv-SE"/>
              </w:rPr>
              <w:t>CP Latency for UL data transfer</w:t>
            </w:r>
            <w:r w:rsidR="00686B5B">
              <w:rPr>
                <w:rFonts w:eastAsia="DengXian"/>
                <w:lang w:eastAsia="sv-SE"/>
              </w:rPr>
              <w:br/>
            </w:r>
            <w:r w:rsidRPr="00A604A3">
              <w:rPr>
                <w:rFonts w:eastAsia="DengXian"/>
                <w:lang w:eastAsia="sv-SE"/>
              </w:rPr>
              <w:t>[ms]</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Delay due to RACH scheduling period (1TTI)</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0</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RACH Preamble</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3</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Preamble detection and processing in eNB</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w:t>
            </w:r>
          </w:p>
        </w:tc>
      </w:tr>
      <w:tr w:rsidR="00B5452F" w:rsidRPr="00A604A3" w:rsidTr="00686B5B">
        <w:trPr>
          <w:jc w:val="center"/>
        </w:trPr>
        <w:tc>
          <w:tcPr>
            <w:tcW w:w="357" w:type="pct"/>
            <w:shd w:val="clear" w:color="auto" w:fill="auto"/>
            <w:tcMar>
              <w:top w:w="15" w:type="dxa"/>
              <w:left w:w="108" w:type="dxa"/>
              <w:bottom w:w="0" w:type="dxa"/>
              <w:right w:w="108" w:type="dxa"/>
            </w:tcMar>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4</w:t>
            </w:r>
          </w:p>
        </w:tc>
        <w:tc>
          <w:tcPr>
            <w:tcW w:w="3713" w:type="pct"/>
            <w:shd w:val="clear" w:color="auto" w:fill="auto"/>
            <w:tcMar>
              <w:top w:w="15" w:type="dxa"/>
              <w:left w:w="108" w:type="dxa"/>
              <w:bottom w:w="0" w:type="dxa"/>
              <w:right w:w="108" w:type="dxa"/>
            </w:tcMar>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RA response</w:t>
            </w:r>
          </w:p>
        </w:tc>
        <w:tc>
          <w:tcPr>
            <w:tcW w:w="930" w:type="pct"/>
            <w:shd w:val="clear" w:color="auto" w:fill="auto"/>
            <w:tcMar>
              <w:top w:w="15" w:type="dxa"/>
              <w:left w:w="108" w:type="dxa"/>
              <w:bottom w:w="0" w:type="dxa"/>
              <w:right w:w="108" w:type="dxa"/>
            </w:tcMar>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lastRenderedPageBreak/>
              <w:t>5</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UE Processing Delay (decoding of scheduling grant, timing alignment and C-RNTI assignment + L1 encoding of RRC Connection Resume Request)</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4</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6</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RRC Connection Resume Request</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7</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Processing delay in eNB (L2 and RRC)</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3</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8</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RRC Connection Resume</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9</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Processing delay in UE of RRC Connection Resume including grant reception</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7</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10</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 xml:space="preserve">Transmission of RRC Connection Resume Complete and UP data </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0</w:t>
            </w:r>
          </w:p>
        </w:tc>
      </w:tr>
      <w:tr w:rsidR="00B5452F" w:rsidRPr="00A604A3" w:rsidTr="00686B5B">
        <w:trPr>
          <w:jc w:val="center"/>
        </w:trPr>
        <w:tc>
          <w:tcPr>
            <w:tcW w:w="357"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p>
        </w:tc>
        <w:tc>
          <w:tcPr>
            <w:tcW w:w="3713"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Total delay [ms]</w:t>
            </w:r>
          </w:p>
        </w:tc>
        <w:tc>
          <w:tcPr>
            <w:tcW w:w="930"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20</w:t>
            </w:r>
          </w:p>
        </w:tc>
      </w:tr>
      <w:tr w:rsidR="00B5452F" w:rsidRPr="00A604A3" w:rsidTr="00686B5B">
        <w:trPr>
          <w:jc w:val="center"/>
        </w:trPr>
        <w:tc>
          <w:tcPr>
            <w:tcW w:w="5000" w:type="pct"/>
            <w:gridSpan w:val="3"/>
            <w:tcBorders>
              <w:top w:val="single" w:sz="4" w:space="0" w:color="auto"/>
              <w:left w:val="nil"/>
              <w:bottom w:val="nil"/>
              <w:right w:val="nil"/>
            </w:tcBorders>
            <w:shd w:val="clear" w:color="auto" w:fill="auto"/>
            <w:tcMar>
              <w:top w:w="15" w:type="dxa"/>
              <w:left w:w="108" w:type="dxa"/>
              <w:bottom w:w="0" w:type="dxa"/>
              <w:right w:w="108" w:type="dxa"/>
            </w:tcMar>
          </w:tcPr>
          <w:p w:rsidR="00B5452F" w:rsidRPr="00A604A3" w:rsidRDefault="00B5452F" w:rsidP="00686B5B">
            <w:pPr>
              <w:pStyle w:val="Tablelegend"/>
              <w:ind w:left="284" w:hanging="284"/>
              <w:rPr>
                <w:lang w:eastAsia="zh-CN"/>
              </w:rPr>
            </w:pPr>
            <w:r w:rsidRPr="00A604A3">
              <w:rPr>
                <w:lang w:eastAsia="zh-CN"/>
              </w:rPr>
              <w:t>Notes:</w:t>
            </w:r>
          </w:p>
          <w:p w:rsidR="00B5452F" w:rsidRPr="00A604A3" w:rsidRDefault="00686B5B" w:rsidP="00686B5B">
            <w:pPr>
              <w:pStyle w:val="Tablelegend"/>
              <w:ind w:left="284" w:hanging="284"/>
              <w:rPr>
                <w:bCs/>
                <w:lang w:eastAsia="zh-CN"/>
              </w:rPr>
            </w:pPr>
            <w:r>
              <w:rPr>
                <w:bCs/>
                <w:lang w:eastAsia="sv-SE"/>
              </w:rPr>
              <w:t>1</w:t>
            </w:r>
            <w:r w:rsidR="00B5452F" w:rsidRPr="00A604A3">
              <w:rPr>
                <w:bCs/>
                <w:lang w:eastAsia="sv-SE"/>
              </w:rPr>
              <w:tab/>
              <w:t xml:space="preserve">For step 1, the procedure for </w:t>
            </w:r>
            <w:r w:rsidR="00B5452F" w:rsidRPr="00A604A3">
              <w:rPr>
                <w:bCs/>
                <w:i/>
                <w:lang w:eastAsia="sv-SE"/>
              </w:rPr>
              <w:t>transition from a most “battery efficient” state</w:t>
            </w:r>
            <w:r w:rsidR="00B5452F" w:rsidRPr="00A604A3">
              <w:rPr>
                <w:bCs/>
                <w:lang w:eastAsia="sv-SE"/>
              </w:rPr>
              <w:t xml:space="preserve"> has yet not begun, hence this step is not relevant for the latency of the procedure which is illustrated by a '0' in the above.</w:t>
            </w:r>
          </w:p>
          <w:p w:rsidR="00B5452F" w:rsidRPr="00A604A3" w:rsidRDefault="00686B5B" w:rsidP="00686B5B">
            <w:pPr>
              <w:pStyle w:val="Tablelegend"/>
              <w:ind w:left="284" w:hanging="284"/>
              <w:rPr>
                <w:bCs/>
                <w:lang w:eastAsia="sv-SE"/>
              </w:rPr>
            </w:pPr>
            <w:r>
              <w:rPr>
                <w:bCs/>
                <w:lang w:eastAsia="sv-SE"/>
              </w:rPr>
              <w:t>2</w:t>
            </w:r>
            <w:r w:rsidR="00B5452F" w:rsidRPr="00A604A3">
              <w:rPr>
                <w:bCs/>
                <w:lang w:eastAsia="sv-SE"/>
              </w:rPr>
              <w:tab/>
              <w:t xml:space="preserve">For </w:t>
            </w:r>
            <w:r w:rsidR="00B5452F" w:rsidRPr="00A604A3">
              <w:rPr>
                <w:lang w:eastAsia="zh-CN"/>
              </w:rPr>
              <w:t>step 5, the latency of 4 ms has been agreed by RAN1, see LS in R2-1806411.</w:t>
            </w:r>
          </w:p>
          <w:p w:rsidR="00B5452F" w:rsidRPr="00A604A3" w:rsidRDefault="00686B5B" w:rsidP="00686B5B">
            <w:pPr>
              <w:pStyle w:val="Tablelegend"/>
              <w:ind w:left="284" w:hanging="284"/>
              <w:rPr>
                <w:bCs/>
                <w:lang w:eastAsia="sv-SE"/>
              </w:rPr>
            </w:pPr>
            <w:r>
              <w:rPr>
                <w:bCs/>
                <w:lang w:eastAsia="sv-SE"/>
              </w:rPr>
              <w:t>3</w:t>
            </w:r>
            <w:r w:rsidR="00B5452F" w:rsidRPr="00A604A3">
              <w:rPr>
                <w:bCs/>
                <w:lang w:eastAsia="sv-SE"/>
              </w:rPr>
              <w:tab/>
              <w:t>For step 7, the processing delay in eNB (L2 and RRC) has been reduced to 3 ms.</w:t>
            </w:r>
          </w:p>
          <w:p w:rsidR="00B5452F" w:rsidRPr="00A604A3" w:rsidRDefault="00686B5B" w:rsidP="00686B5B">
            <w:pPr>
              <w:pStyle w:val="Tablelegend"/>
              <w:ind w:left="284" w:hanging="284"/>
              <w:rPr>
                <w:bCs/>
                <w:lang w:eastAsia="sv-SE"/>
              </w:rPr>
            </w:pPr>
            <w:r>
              <w:rPr>
                <w:bCs/>
                <w:lang w:eastAsia="sv-SE"/>
              </w:rPr>
              <w:t>4</w:t>
            </w:r>
            <w:r w:rsidR="00B5452F" w:rsidRPr="00A604A3">
              <w:rPr>
                <w:bCs/>
                <w:lang w:eastAsia="sv-SE"/>
              </w:rPr>
              <w:tab/>
              <w:t xml:space="preserve">For step 9 for UL data transfer, </w:t>
            </w:r>
            <w:r w:rsidR="00B5452F" w:rsidRPr="00A604A3">
              <w:rPr>
                <w:bCs/>
                <w:lang w:eastAsia="zh-CN"/>
              </w:rPr>
              <w:t>the processing delay in the UE (L2 and RRC) is considered, i.e., from reception of RRC Connection Resume to the reception of UL grant</w:t>
            </w:r>
            <w:r w:rsidR="00B5452F" w:rsidRPr="00A604A3">
              <w:rPr>
                <w:bCs/>
                <w:lang w:eastAsia="sv-SE"/>
              </w:rPr>
              <w:t>. The transmission of UL grant by eNB</w:t>
            </w:r>
            <w:r w:rsidR="00B5452F" w:rsidRPr="00A604A3" w:rsidDel="00B35847">
              <w:rPr>
                <w:bCs/>
                <w:lang w:eastAsia="sv-SE"/>
              </w:rPr>
              <w:t xml:space="preserve"> </w:t>
            </w:r>
            <w:r w:rsidR="00B5452F" w:rsidRPr="00A604A3">
              <w:rPr>
                <w:bCs/>
                <w:lang w:eastAsia="sv-SE"/>
              </w:rPr>
              <w:t>and processing delay in the UE (processing of UL grant and preparing for UL tx) are also considered. The RRCConnectionResume message only include</w:t>
            </w:r>
            <w:r w:rsidR="00B5452F" w:rsidRPr="00A604A3">
              <w:rPr>
                <w:bCs/>
                <w:lang w:eastAsia="zh-CN"/>
              </w:rPr>
              <w:t>s</w:t>
            </w:r>
            <w:r w:rsidR="00B5452F" w:rsidRPr="00A604A3">
              <w:rPr>
                <w:bCs/>
                <w:lang w:eastAsia="sv-SE"/>
              </w:rPr>
              <w:t xml:space="preserve"> MAC and PHY configuration. No DRX, SPS, CA, or MIMO re-configuration will be triggered by this message. </w:t>
            </w:r>
            <w:r w:rsidR="00B5452F" w:rsidRPr="00A604A3">
              <w:rPr>
                <w:bCs/>
                <w:lang w:eastAsia="zh-CN"/>
              </w:rPr>
              <w:t>Further, the UL grant for transmission of RRC Connection Resume Complete and the data is transmitted over common search space with DCI format 0.</w:t>
            </w:r>
          </w:p>
          <w:p w:rsidR="00B5452F" w:rsidRPr="00A604A3" w:rsidRDefault="00686B5B" w:rsidP="00686B5B">
            <w:pPr>
              <w:pStyle w:val="Tablelegend"/>
              <w:ind w:left="284" w:hanging="284"/>
              <w:rPr>
                <w:lang w:eastAsia="sv-SE"/>
              </w:rPr>
            </w:pPr>
            <w:r>
              <w:rPr>
                <w:bCs/>
                <w:lang w:eastAsia="sv-SE"/>
              </w:rPr>
              <w:t>5</w:t>
            </w:r>
            <w:r w:rsidR="00B5452F" w:rsidRPr="00A604A3">
              <w:rPr>
                <w:bCs/>
                <w:lang w:eastAsia="sv-SE"/>
              </w:rPr>
              <w:tab/>
              <w:t>For step 9 for DL data transfer, only the processing delay in the UE (L2 and RRC) is considered, i.e., from reception of RRC Connection Resume to the reception of DL grant. The RRCConnectionResume message only includes MAC and PHY configuration. No DRX, SPS, CA, or MIMO re-configuration will be triggered by this message. Further, the UL grant for transmission of RRC Connection Resume Complete and the data is transmitted over common search space with DCI format 0.</w:t>
            </w:r>
          </w:p>
          <w:p w:rsidR="00B5452F" w:rsidRPr="00A604A3" w:rsidRDefault="00686B5B" w:rsidP="00686B5B">
            <w:pPr>
              <w:pStyle w:val="Tablelegend"/>
              <w:ind w:left="284" w:hanging="284"/>
              <w:rPr>
                <w:lang w:eastAsia="sv-SE"/>
              </w:rPr>
            </w:pPr>
            <w:r>
              <w:rPr>
                <w:bCs/>
                <w:lang w:eastAsia="sv-SE"/>
              </w:rPr>
              <w:t>6</w:t>
            </w:r>
            <w:r w:rsidR="00B5452F" w:rsidRPr="00A604A3">
              <w:rPr>
                <w:bCs/>
                <w:lang w:eastAsia="sv-SE"/>
              </w:rPr>
              <w:tab/>
              <w:t>For step 10, the beginning of this subframe is considered to be "</w:t>
            </w:r>
            <w:r w:rsidR="00B5452F" w:rsidRPr="00A604A3">
              <w:rPr>
                <w:bCs/>
                <w:i/>
                <w:lang w:eastAsia="sv-SE"/>
              </w:rPr>
              <w:t>the start of continuous data transfer</w:t>
            </w:r>
            <w:r w:rsidR="00B5452F" w:rsidRPr="00A604A3">
              <w:rPr>
                <w:bCs/>
                <w:lang w:eastAsia="sv-SE"/>
              </w:rPr>
              <w:t>", hence this step is not relevant for the latency of the procedure which is illustrated by a '0' in the above.</w:t>
            </w:r>
          </w:p>
        </w:tc>
      </w:tr>
    </w:tbl>
    <w:p w:rsidR="00AE0549" w:rsidRPr="00A604A3" w:rsidRDefault="00AE0549" w:rsidP="00686B5B">
      <w:pPr>
        <w:pStyle w:val="Tablefin"/>
      </w:pPr>
    </w:p>
    <w:p w:rsidR="00AE0549" w:rsidRPr="00A604A3" w:rsidRDefault="00AE0549" w:rsidP="00686B5B">
      <w:r w:rsidRPr="00A604A3">
        <w:t>Based on the above analysis, the 20 ms control plane latency requirement is fulfilled by LTE Rel-15 FDD.</w:t>
      </w:r>
    </w:p>
    <w:p w:rsidR="00AE0549" w:rsidRPr="00A604A3" w:rsidRDefault="00686B5B" w:rsidP="00686B5B">
      <w:pPr>
        <w:pStyle w:val="Heading5"/>
        <w:rPr>
          <w:rFonts w:eastAsia="MS Mincho"/>
        </w:rPr>
      </w:pPr>
      <w:r>
        <w:rPr>
          <w:rFonts w:eastAsia="MS Mincho"/>
        </w:rPr>
        <w:t>II.5.8.4.2</w:t>
      </w:r>
      <w:r>
        <w:rPr>
          <w:rFonts w:eastAsia="MS Mincho"/>
        </w:rPr>
        <w:tab/>
      </w:r>
      <w:r w:rsidR="00AE0549" w:rsidRPr="00A604A3">
        <w:rPr>
          <w:rFonts w:eastAsia="MS Mincho"/>
        </w:rPr>
        <w:t>LTE TDD</w:t>
      </w:r>
    </w:p>
    <w:p w:rsidR="00AE0549" w:rsidRPr="00A604A3" w:rsidRDefault="00AE0549" w:rsidP="00686B5B">
      <w:r w:rsidRPr="00A604A3">
        <w:t>There are seven uplink-downlink configurations defined for LTE as listed in Table 115.</w:t>
      </w:r>
    </w:p>
    <w:p w:rsidR="00686B5B" w:rsidRDefault="00686B5B" w:rsidP="00686B5B">
      <w:pPr>
        <w:pStyle w:val="TableNo"/>
        <w:rPr>
          <w:rFonts w:eastAsia="MS Mincho"/>
        </w:rPr>
      </w:pPr>
      <w:bookmarkStart w:id="527" w:name="_Ref27137307"/>
      <w:bookmarkStart w:id="528" w:name="_Toc28265799"/>
      <w:bookmarkStart w:id="529" w:name="_Toc28277034"/>
      <w:bookmarkStart w:id="530" w:name="_Toc32066451"/>
      <w:r>
        <w:rPr>
          <w:rFonts w:eastAsia="MS Mincho"/>
        </w:rPr>
        <w:t>Table 115</w:t>
      </w:r>
    </w:p>
    <w:p w:rsidR="00686B5B" w:rsidRPr="00A604A3" w:rsidRDefault="00686B5B" w:rsidP="00686B5B">
      <w:pPr>
        <w:pStyle w:val="Tabletitle"/>
        <w:rPr>
          <w:rFonts w:eastAsia="MS Mincho"/>
        </w:rPr>
      </w:pPr>
      <w:r w:rsidRPr="00A604A3">
        <w:rPr>
          <w:rFonts w:eastAsia="MS Mincho"/>
        </w:rPr>
        <w:t>Uplink-downlink configurations for LTE TDD (from TS 36.211)</w:t>
      </w:r>
      <w:bookmarkEnd w:id="527"/>
      <w:bookmarkEnd w:id="528"/>
      <w:bookmarkEnd w:id="529"/>
      <w:bookmarkEnd w:id="530"/>
    </w:p>
    <w:tbl>
      <w:tblPr>
        <w:tblStyle w:val="TableGrid"/>
        <w:tblW w:w="5000" w:type="pct"/>
        <w:tblLook w:val="01E0" w:firstRow="1" w:lastRow="1" w:firstColumn="1" w:lastColumn="1" w:noHBand="0" w:noVBand="0"/>
      </w:tblPr>
      <w:tblGrid>
        <w:gridCol w:w="1985"/>
        <w:gridCol w:w="2783"/>
        <w:gridCol w:w="427"/>
        <w:gridCol w:w="415"/>
        <w:gridCol w:w="427"/>
        <w:gridCol w:w="427"/>
        <w:gridCol w:w="427"/>
        <w:gridCol w:w="427"/>
        <w:gridCol w:w="427"/>
        <w:gridCol w:w="427"/>
        <w:gridCol w:w="427"/>
        <w:gridCol w:w="417"/>
      </w:tblGrid>
      <w:tr w:rsidR="00AE0549" w:rsidRPr="00A604A3" w:rsidTr="00686B5B">
        <w:tc>
          <w:tcPr>
            <w:tcW w:w="1100" w:type="pct"/>
            <w:vMerge w:val="restart"/>
          </w:tcPr>
          <w:p w:rsidR="00AE0549" w:rsidRPr="00A604A3" w:rsidRDefault="00AE0549" w:rsidP="00686B5B">
            <w:pPr>
              <w:pStyle w:val="Tablehead"/>
            </w:pPr>
            <w:r w:rsidRPr="00A604A3">
              <w:t xml:space="preserve">Uplink-downlink </w:t>
            </w:r>
            <w:r w:rsidR="00686B5B">
              <w:br/>
            </w:r>
            <w:r w:rsidRPr="00A604A3">
              <w:t>configuration</w:t>
            </w:r>
          </w:p>
        </w:tc>
        <w:tc>
          <w:tcPr>
            <w:tcW w:w="1543" w:type="pct"/>
            <w:vMerge w:val="restart"/>
          </w:tcPr>
          <w:p w:rsidR="00AE0549" w:rsidRPr="00A604A3" w:rsidRDefault="00AE0549" w:rsidP="00686B5B">
            <w:pPr>
              <w:pStyle w:val="Tablehead"/>
            </w:pPr>
            <w:r w:rsidRPr="00A604A3">
              <w:t xml:space="preserve">Downlink-to-Uplink </w:t>
            </w:r>
            <w:r w:rsidR="00686B5B">
              <w:br/>
            </w:r>
            <w:r w:rsidRPr="00A604A3">
              <w:t>Switch-point periodicity</w:t>
            </w:r>
          </w:p>
        </w:tc>
        <w:tc>
          <w:tcPr>
            <w:tcW w:w="2357" w:type="pct"/>
            <w:gridSpan w:val="10"/>
          </w:tcPr>
          <w:p w:rsidR="00AE0549" w:rsidRPr="00A604A3" w:rsidRDefault="00AE0549" w:rsidP="00686B5B">
            <w:pPr>
              <w:pStyle w:val="Tablehead"/>
            </w:pPr>
            <w:r w:rsidRPr="00A604A3">
              <w:t>Subframe number</w:t>
            </w:r>
          </w:p>
        </w:tc>
      </w:tr>
      <w:tr w:rsidR="00AE0549" w:rsidRPr="00A604A3" w:rsidTr="00686B5B">
        <w:tc>
          <w:tcPr>
            <w:tcW w:w="1100" w:type="pct"/>
            <w:vMerge/>
          </w:tcPr>
          <w:p w:rsidR="00AE0549" w:rsidRPr="00A604A3" w:rsidRDefault="00AE0549" w:rsidP="00686B5B">
            <w:pPr>
              <w:pStyle w:val="Tablehead"/>
              <w:rPr>
                <w:sz w:val="18"/>
              </w:rPr>
            </w:pPr>
          </w:p>
        </w:tc>
        <w:tc>
          <w:tcPr>
            <w:tcW w:w="1543" w:type="pct"/>
            <w:vMerge/>
          </w:tcPr>
          <w:p w:rsidR="00AE0549" w:rsidRPr="00A604A3" w:rsidRDefault="00AE0549" w:rsidP="00686B5B">
            <w:pPr>
              <w:pStyle w:val="Tablehead"/>
              <w:rPr>
                <w:sz w:val="18"/>
              </w:rPr>
            </w:pPr>
          </w:p>
        </w:tc>
        <w:tc>
          <w:tcPr>
            <w:tcW w:w="237" w:type="pct"/>
          </w:tcPr>
          <w:p w:rsidR="00AE0549" w:rsidRPr="00A604A3" w:rsidRDefault="00AE0549" w:rsidP="00686B5B">
            <w:pPr>
              <w:pStyle w:val="Tablehead"/>
              <w:rPr>
                <w:sz w:val="16"/>
                <w:szCs w:val="16"/>
              </w:rPr>
            </w:pPr>
            <w:r w:rsidRPr="00A604A3">
              <w:rPr>
                <w:sz w:val="16"/>
                <w:szCs w:val="16"/>
              </w:rPr>
              <w:t>0</w:t>
            </w:r>
          </w:p>
        </w:tc>
        <w:tc>
          <w:tcPr>
            <w:tcW w:w="230" w:type="pct"/>
          </w:tcPr>
          <w:p w:rsidR="00AE0549" w:rsidRPr="00A604A3" w:rsidRDefault="00AE0549" w:rsidP="00686B5B">
            <w:pPr>
              <w:pStyle w:val="Tablehead"/>
              <w:rPr>
                <w:sz w:val="16"/>
                <w:szCs w:val="16"/>
              </w:rPr>
            </w:pPr>
            <w:r w:rsidRPr="00A604A3">
              <w:rPr>
                <w:sz w:val="16"/>
                <w:szCs w:val="16"/>
              </w:rPr>
              <w:t>1</w:t>
            </w:r>
          </w:p>
        </w:tc>
        <w:tc>
          <w:tcPr>
            <w:tcW w:w="237" w:type="pct"/>
          </w:tcPr>
          <w:p w:rsidR="00AE0549" w:rsidRPr="00A604A3" w:rsidRDefault="00AE0549" w:rsidP="00686B5B">
            <w:pPr>
              <w:pStyle w:val="Tablehead"/>
              <w:rPr>
                <w:sz w:val="16"/>
                <w:szCs w:val="16"/>
              </w:rPr>
            </w:pPr>
            <w:r w:rsidRPr="00A604A3">
              <w:rPr>
                <w:sz w:val="16"/>
                <w:szCs w:val="16"/>
              </w:rPr>
              <w:t>2</w:t>
            </w:r>
          </w:p>
        </w:tc>
        <w:tc>
          <w:tcPr>
            <w:tcW w:w="237" w:type="pct"/>
          </w:tcPr>
          <w:p w:rsidR="00AE0549" w:rsidRPr="00A604A3" w:rsidRDefault="00AE0549" w:rsidP="00686B5B">
            <w:pPr>
              <w:pStyle w:val="Tablehead"/>
              <w:rPr>
                <w:sz w:val="16"/>
                <w:szCs w:val="16"/>
              </w:rPr>
            </w:pPr>
            <w:r w:rsidRPr="00A604A3">
              <w:rPr>
                <w:sz w:val="16"/>
                <w:szCs w:val="16"/>
              </w:rPr>
              <w:t>3</w:t>
            </w:r>
          </w:p>
        </w:tc>
        <w:tc>
          <w:tcPr>
            <w:tcW w:w="237" w:type="pct"/>
          </w:tcPr>
          <w:p w:rsidR="00AE0549" w:rsidRPr="00A604A3" w:rsidRDefault="00AE0549" w:rsidP="00686B5B">
            <w:pPr>
              <w:pStyle w:val="Tablehead"/>
              <w:rPr>
                <w:sz w:val="16"/>
                <w:szCs w:val="16"/>
              </w:rPr>
            </w:pPr>
            <w:r w:rsidRPr="00A604A3">
              <w:rPr>
                <w:sz w:val="16"/>
                <w:szCs w:val="16"/>
              </w:rPr>
              <w:t>4</w:t>
            </w:r>
          </w:p>
        </w:tc>
        <w:tc>
          <w:tcPr>
            <w:tcW w:w="237" w:type="pct"/>
          </w:tcPr>
          <w:p w:rsidR="00AE0549" w:rsidRPr="00A604A3" w:rsidRDefault="00AE0549" w:rsidP="00686B5B">
            <w:pPr>
              <w:pStyle w:val="Tablehead"/>
              <w:rPr>
                <w:sz w:val="16"/>
                <w:szCs w:val="16"/>
              </w:rPr>
            </w:pPr>
            <w:r w:rsidRPr="00A604A3">
              <w:rPr>
                <w:sz w:val="16"/>
                <w:szCs w:val="16"/>
              </w:rPr>
              <w:t>5</w:t>
            </w:r>
          </w:p>
        </w:tc>
        <w:tc>
          <w:tcPr>
            <w:tcW w:w="237" w:type="pct"/>
          </w:tcPr>
          <w:p w:rsidR="00AE0549" w:rsidRPr="00A604A3" w:rsidRDefault="00AE0549" w:rsidP="00686B5B">
            <w:pPr>
              <w:pStyle w:val="Tablehead"/>
              <w:rPr>
                <w:sz w:val="16"/>
                <w:szCs w:val="16"/>
              </w:rPr>
            </w:pPr>
            <w:r w:rsidRPr="00A604A3">
              <w:rPr>
                <w:sz w:val="16"/>
                <w:szCs w:val="16"/>
              </w:rPr>
              <w:t>6</w:t>
            </w:r>
          </w:p>
        </w:tc>
        <w:tc>
          <w:tcPr>
            <w:tcW w:w="237" w:type="pct"/>
          </w:tcPr>
          <w:p w:rsidR="00AE0549" w:rsidRPr="00A604A3" w:rsidRDefault="00AE0549" w:rsidP="00686B5B">
            <w:pPr>
              <w:pStyle w:val="Tablehead"/>
              <w:rPr>
                <w:sz w:val="16"/>
                <w:szCs w:val="16"/>
              </w:rPr>
            </w:pPr>
            <w:r w:rsidRPr="00A604A3">
              <w:rPr>
                <w:sz w:val="16"/>
                <w:szCs w:val="16"/>
              </w:rPr>
              <w:t>7</w:t>
            </w:r>
          </w:p>
        </w:tc>
        <w:tc>
          <w:tcPr>
            <w:tcW w:w="237" w:type="pct"/>
          </w:tcPr>
          <w:p w:rsidR="00AE0549" w:rsidRPr="00A604A3" w:rsidRDefault="00AE0549" w:rsidP="00686B5B">
            <w:pPr>
              <w:pStyle w:val="Tablehead"/>
              <w:rPr>
                <w:sz w:val="16"/>
                <w:szCs w:val="16"/>
              </w:rPr>
            </w:pPr>
            <w:r w:rsidRPr="00A604A3">
              <w:rPr>
                <w:sz w:val="16"/>
                <w:szCs w:val="16"/>
              </w:rPr>
              <w:t>8</w:t>
            </w:r>
          </w:p>
        </w:tc>
        <w:tc>
          <w:tcPr>
            <w:tcW w:w="232" w:type="pct"/>
          </w:tcPr>
          <w:p w:rsidR="00AE0549" w:rsidRPr="00A604A3" w:rsidRDefault="00AE0549" w:rsidP="00686B5B">
            <w:pPr>
              <w:pStyle w:val="Tablehead"/>
              <w:rPr>
                <w:sz w:val="16"/>
                <w:szCs w:val="16"/>
              </w:rPr>
            </w:pPr>
            <w:r w:rsidRPr="00A604A3">
              <w:rPr>
                <w:sz w:val="16"/>
                <w:szCs w:val="16"/>
              </w:rPr>
              <w:t>9</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0</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U</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1</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2</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3</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4</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5</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6</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D</w:t>
            </w:r>
          </w:p>
        </w:tc>
      </w:tr>
    </w:tbl>
    <w:p w:rsidR="00AE0549" w:rsidRPr="00A604A3" w:rsidRDefault="00AE0549" w:rsidP="00686B5B">
      <w:pPr>
        <w:pStyle w:val="Tablefin"/>
      </w:pPr>
    </w:p>
    <w:p w:rsidR="00AE0549" w:rsidRPr="00A604A3" w:rsidRDefault="00AE0549" w:rsidP="00686B5B">
      <w:pPr>
        <w:keepNext/>
      </w:pPr>
      <w:r w:rsidRPr="00A604A3">
        <w:lastRenderedPageBreak/>
        <w:t>The control plane latency was calculated based on the following assumptions:</w:t>
      </w:r>
    </w:p>
    <w:p w:rsidR="00AE0549" w:rsidRPr="00A604A3" w:rsidRDefault="00686B5B" w:rsidP="00686B5B">
      <w:pPr>
        <w:pStyle w:val="enumlev1"/>
      </w:pPr>
      <w:r>
        <w:t>–</w:t>
      </w:r>
      <w:r>
        <w:tab/>
      </w:r>
      <w:r w:rsidR="00AE0549" w:rsidRPr="00A604A3">
        <w:t>The UE can send the PRACH preamble in a Special (S) slot or in an Uplink (U) slot. In the former case the start of the preamble is 4832</w:t>
      </w:r>
      <w:r w:rsidR="00AE0549" w:rsidRPr="00A604A3">
        <w:rPr>
          <w:rFonts w:ascii="Cambria Math" w:hAnsi="Cambria Math"/>
        </w:rPr>
        <w:t>·</w:t>
      </w:r>
      <w:r w:rsidR="00AE0549" w:rsidRPr="00A604A3">
        <w:t>T</w:t>
      </w:r>
      <w:r w:rsidR="00AE0549" w:rsidRPr="00A604A3">
        <w:rPr>
          <w:vertAlign w:val="subscript"/>
        </w:rPr>
        <w:t>s</w:t>
      </w:r>
      <w:r w:rsidR="00AE0549" w:rsidRPr="00A604A3">
        <w:t xml:space="preserve"> before end of UpPTS (as specified in TS 36.211)</w:t>
      </w:r>
    </w:p>
    <w:p w:rsidR="00AE0549" w:rsidRPr="00A604A3" w:rsidRDefault="00686B5B" w:rsidP="00686B5B">
      <w:pPr>
        <w:pStyle w:val="enumlev1"/>
      </w:pPr>
      <w:r>
        <w:t>–</w:t>
      </w:r>
      <w:r>
        <w:tab/>
      </w:r>
      <w:r w:rsidR="00AE0549" w:rsidRPr="00A604A3">
        <w:t>The UE can send control messages in any Uplink (U) slot</w:t>
      </w:r>
    </w:p>
    <w:p w:rsidR="00AE0549" w:rsidRPr="00A604A3" w:rsidRDefault="00686B5B" w:rsidP="00686B5B">
      <w:pPr>
        <w:pStyle w:val="enumlev1"/>
      </w:pPr>
      <w:r>
        <w:t>–</w:t>
      </w:r>
      <w:r>
        <w:tab/>
      </w:r>
      <w:r w:rsidR="00AE0549" w:rsidRPr="00A604A3">
        <w:t>The eNB can send downlink control messages in any S-slot and any Downlink (D) slot.</w:t>
      </w:r>
    </w:p>
    <w:p w:rsidR="00AE0549" w:rsidRPr="00A604A3" w:rsidRDefault="00AE0549" w:rsidP="00686B5B">
      <w:r w:rsidRPr="00A604A3">
        <w:t>The minimum control plane latencies that can be achieved for downlink data transfer are given in Table 116 for the different uplink-downlink TDD configurations.</w:t>
      </w:r>
    </w:p>
    <w:p w:rsidR="00686B5B" w:rsidRDefault="00686B5B" w:rsidP="00686B5B">
      <w:pPr>
        <w:pStyle w:val="TableNo"/>
        <w:rPr>
          <w:rFonts w:eastAsia="MS Mincho"/>
        </w:rPr>
      </w:pPr>
      <w:bookmarkStart w:id="531" w:name="_Ref27143374"/>
      <w:bookmarkStart w:id="532" w:name="_Toc28265800"/>
      <w:bookmarkStart w:id="533" w:name="_Toc28277035"/>
      <w:bookmarkStart w:id="534" w:name="_Toc32066452"/>
      <w:r>
        <w:rPr>
          <w:rFonts w:eastAsia="MS Mincho"/>
        </w:rPr>
        <w:t>Table 116</w:t>
      </w:r>
    </w:p>
    <w:p w:rsidR="00686B5B" w:rsidRPr="00A604A3" w:rsidRDefault="00686B5B" w:rsidP="00686B5B">
      <w:pPr>
        <w:pStyle w:val="Tabletitle"/>
        <w:rPr>
          <w:rFonts w:eastAsia="MS Mincho"/>
        </w:rPr>
      </w:pPr>
      <w:r w:rsidRPr="00A604A3">
        <w:rPr>
          <w:rFonts w:eastAsia="MS Mincho"/>
        </w:rPr>
        <w:t>Control plane latency for downlink data transfer</w:t>
      </w:r>
      <w:bookmarkEnd w:id="531"/>
      <w:bookmarkEnd w:id="532"/>
      <w:bookmarkEnd w:id="533"/>
      <w:bookmarkEnd w:id="534"/>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AE0549" w:rsidRPr="00A604A3" w:rsidTr="00686B5B">
        <w:tc>
          <w:tcPr>
            <w:tcW w:w="625" w:type="pct"/>
          </w:tcPr>
          <w:p w:rsidR="00AE0549" w:rsidRPr="00A604A3" w:rsidRDefault="00AE0549" w:rsidP="00686B5B">
            <w:pPr>
              <w:pStyle w:val="Tablehead"/>
            </w:pPr>
          </w:p>
        </w:tc>
        <w:tc>
          <w:tcPr>
            <w:tcW w:w="625" w:type="pct"/>
          </w:tcPr>
          <w:p w:rsidR="00AE0549" w:rsidRPr="00A604A3" w:rsidRDefault="00AE0549" w:rsidP="00686B5B">
            <w:pPr>
              <w:pStyle w:val="Tablehead"/>
            </w:pPr>
            <w:r w:rsidRPr="00A604A3">
              <w:t>Config 0</w:t>
            </w:r>
          </w:p>
        </w:tc>
        <w:tc>
          <w:tcPr>
            <w:tcW w:w="625" w:type="pct"/>
          </w:tcPr>
          <w:p w:rsidR="00AE0549" w:rsidRPr="00A604A3" w:rsidRDefault="00AE0549" w:rsidP="00686B5B">
            <w:pPr>
              <w:pStyle w:val="Tablehead"/>
            </w:pPr>
            <w:r w:rsidRPr="00A604A3">
              <w:t>Config 1</w:t>
            </w:r>
          </w:p>
        </w:tc>
        <w:tc>
          <w:tcPr>
            <w:tcW w:w="625" w:type="pct"/>
          </w:tcPr>
          <w:p w:rsidR="00AE0549" w:rsidRPr="00A604A3" w:rsidRDefault="00AE0549" w:rsidP="00686B5B">
            <w:pPr>
              <w:pStyle w:val="Tablehead"/>
            </w:pPr>
            <w:r w:rsidRPr="00A604A3">
              <w:t>Config 2</w:t>
            </w:r>
          </w:p>
        </w:tc>
        <w:tc>
          <w:tcPr>
            <w:tcW w:w="625" w:type="pct"/>
          </w:tcPr>
          <w:p w:rsidR="00AE0549" w:rsidRPr="00A604A3" w:rsidRDefault="00AE0549" w:rsidP="00686B5B">
            <w:pPr>
              <w:pStyle w:val="Tablehead"/>
            </w:pPr>
            <w:r w:rsidRPr="00A604A3">
              <w:t>Config 3</w:t>
            </w:r>
          </w:p>
        </w:tc>
        <w:tc>
          <w:tcPr>
            <w:tcW w:w="625" w:type="pct"/>
          </w:tcPr>
          <w:p w:rsidR="00AE0549" w:rsidRPr="00A604A3" w:rsidRDefault="00AE0549" w:rsidP="00686B5B">
            <w:pPr>
              <w:pStyle w:val="Tablehead"/>
            </w:pPr>
            <w:r w:rsidRPr="00A604A3">
              <w:t>Config 4</w:t>
            </w:r>
          </w:p>
        </w:tc>
        <w:tc>
          <w:tcPr>
            <w:tcW w:w="625" w:type="pct"/>
          </w:tcPr>
          <w:p w:rsidR="00AE0549" w:rsidRPr="00A604A3" w:rsidRDefault="00AE0549" w:rsidP="00686B5B">
            <w:pPr>
              <w:pStyle w:val="Tablehead"/>
            </w:pPr>
            <w:r w:rsidRPr="00A604A3">
              <w:t>Config 5</w:t>
            </w:r>
          </w:p>
        </w:tc>
        <w:tc>
          <w:tcPr>
            <w:tcW w:w="625" w:type="pct"/>
          </w:tcPr>
          <w:p w:rsidR="00AE0549" w:rsidRPr="00A604A3" w:rsidRDefault="00AE0549" w:rsidP="00686B5B">
            <w:pPr>
              <w:pStyle w:val="Tablehead"/>
            </w:pPr>
            <w:r w:rsidRPr="00A604A3">
              <w:t>Config 6</w:t>
            </w:r>
          </w:p>
        </w:tc>
      </w:tr>
      <w:tr w:rsidR="00AE0549" w:rsidRPr="00A604A3" w:rsidTr="00686B5B">
        <w:tc>
          <w:tcPr>
            <w:tcW w:w="625" w:type="pct"/>
          </w:tcPr>
          <w:p w:rsidR="00AE0549" w:rsidRPr="00A604A3" w:rsidRDefault="00AE0549" w:rsidP="00686B5B">
            <w:pPr>
              <w:pStyle w:val="Tabletext"/>
            </w:pPr>
            <w:r w:rsidRPr="00A604A3">
              <w:t>CP latency</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18 ms</w:t>
            </w:r>
          </w:p>
        </w:tc>
        <w:tc>
          <w:tcPr>
            <w:tcW w:w="625" w:type="pct"/>
          </w:tcPr>
          <w:p w:rsidR="00AE0549" w:rsidRPr="00A604A3" w:rsidRDefault="00AE0549" w:rsidP="00686B5B">
            <w:pPr>
              <w:pStyle w:val="Tabletext"/>
              <w:jc w:val="center"/>
            </w:pPr>
            <w:r w:rsidRPr="00A604A3">
              <w:t>16 ms</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18 ms</w:t>
            </w:r>
          </w:p>
        </w:tc>
        <w:tc>
          <w:tcPr>
            <w:tcW w:w="625" w:type="pct"/>
          </w:tcPr>
          <w:p w:rsidR="00AE0549" w:rsidRPr="00A604A3" w:rsidRDefault="00AE0549" w:rsidP="00686B5B">
            <w:pPr>
              <w:pStyle w:val="Tabletext"/>
              <w:jc w:val="center"/>
            </w:pPr>
            <w:r w:rsidRPr="00A604A3">
              <w:t>17 ms</w:t>
            </w:r>
          </w:p>
        </w:tc>
      </w:tr>
    </w:tbl>
    <w:p w:rsidR="00AE0549" w:rsidRPr="00A604A3" w:rsidRDefault="00AE0549" w:rsidP="00686B5B">
      <w:pPr>
        <w:pStyle w:val="Tablefin"/>
      </w:pPr>
    </w:p>
    <w:p w:rsidR="00AE0549" w:rsidRPr="00A604A3" w:rsidRDefault="00AE0549" w:rsidP="00686B5B">
      <w:r w:rsidRPr="00A604A3">
        <w:t>The minimum control plane latencies that can be achieved for uplink data transfer are given in Table 117 for the different uplink-downlink TDD configurations.</w:t>
      </w:r>
    </w:p>
    <w:p w:rsidR="00686B5B" w:rsidRDefault="00686B5B" w:rsidP="00686B5B">
      <w:pPr>
        <w:pStyle w:val="TableNo"/>
        <w:rPr>
          <w:rFonts w:eastAsia="MS Mincho"/>
        </w:rPr>
      </w:pPr>
      <w:bookmarkStart w:id="535" w:name="_Ref27143393"/>
      <w:bookmarkStart w:id="536" w:name="_Toc28265801"/>
      <w:bookmarkStart w:id="537" w:name="_Toc28277036"/>
      <w:bookmarkStart w:id="538" w:name="_Toc32066453"/>
      <w:r>
        <w:rPr>
          <w:rFonts w:eastAsia="MS Mincho"/>
        </w:rPr>
        <w:t>Table 117</w:t>
      </w:r>
    </w:p>
    <w:p w:rsidR="00686B5B" w:rsidRPr="00A604A3" w:rsidRDefault="00686B5B" w:rsidP="00686B5B">
      <w:pPr>
        <w:pStyle w:val="Tabletitle"/>
        <w:rPr>
          <w:rFonts w:eastAsia="MS Mincho"/>
        </w:rPr>
      </w:pPr>
      <w:r w:rsidRPr="00A604A3">
        <w:rPr>
          <w:rFonts w:eastAsia="MS Mincho"/>
        </w:rPr>
        <w:t>Control plane latency for uplink data transfer</w:t>
      </w:r>
      <w:bookmarkEnd w:id="535"/>
      <w:bookmarkEnd w:id="536"/>
      <w:bookmarkEnd w:id="537"/>
      <w:bookmarkEnd w:id="538"/>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AE0549" w:rsidRPr="00A604A3" w:rsidTr="00686B5B">
        <w:tc>
          <w:tcPr>
            <w:tcW w:w="625" w:type="pct"/>
          </w:tcPr>
          <w:p w:rsidR="00AE0549" w:rsidRPr="00A604A3" w:rsidRDefault="00AE0549" w:rsidP="00686B5B">
            <w:pPr>
              <w:pStyle w:val="Tablehead"/>
            </w:pPr>
          </w:p>
        </w:tc>
        <w:tc>
          <w:tcPr>
            <w:tcW w:w="625" w:type="pct"/>
          </w:tcPr>
          <w:p w:rsidR="00AE0549" w:rsidRPr="00A604A3" w:rsidRDefault="00AE0549" w:rsidP="00686B5B">
            <w:pPr>
              <w:pStyle w:val="Tablehead"/>
            </w:pPr>
            <w:r w:rsidRPr="00A604A3">
              <w:t>Config 0</w:t>
            </w:r>
          </w:p>
        </w:tc>
        <w:tc>
          <w:tcPr>
            <w:tcW w:w="625" w:type="pct"/>
          </w:tcPr>
          <w:p w:rsidR="00AE0549" w:rsidRPr="00A604A3" w:rsidRDefault="00AE0549" w:rsidP="00686B5B">
            <w:pPr>
              <w:pStyle w:val="Tablehead"/>
            </w:pPr>
            <w:r w:rsidRPr="00A604A3">
              <w:t>Config 1</w:t>
            </w:r>
          </w:p>
        </w:tc>
        <w:tc>
          <w:tcPr>
            <w:tcW w:w="625" w:type="pct"/>
          </w:tcPr>
          <w:p w:rsidR="00AE0549" w:rsidRPr="00A604A3" w:rsidRDefault="00AE0549" w:rsidP="00686B5B">
            <w:pPr>
              <w:pStyle w:val="Tablehead"/>
            </w:pPr>
            <w:r w:rsidRPr="00A604A3">
              <w:t>Config 2</w:t>
            </w:r>
          </w:p>
        </w:tc>
        <w:tc>
          <w:tcPr>
            <w:tcW w:w="625" w:type="pct"/>
          </w:tcPr>
          <w:p w:rsidR="00AE0549" w:rsidRPr="00A604A3" w:rsidRDefault="00AE0549" w:rsidP="00686B5B">
            <w:pPr>
              <w:pStyle w:val="Tablehead"/>
            </w:pPr>
            <w:r w:rsidRPr="00A604A3">
              <w:t>Config 3</w:t>
            </w:r>
          </w:p>
        </w:tc>
        <w:tc>
          <w:tcPr>
            <w:tcW w:w="625" w:type="pct"/>
          </w:tcPr>
          <w:p w:rsidR="00AE0549" w:rsidRPr="00A604A3" w:rsidRDefault="00AE0549" w:rsidP="00686B5B">
            <w:pPr>
              <w:pStyle w:val="Tablehead"/>
            </w:pPr>
            <w:r w:rsidRPr="00A604A3">
              <w:t>Config 4</w:t>
            </w:r>
          </w:p>
        </w:tc>
        <w:tc>
          <w:tcPr>
            <w:tcW w:w="625" w:type="pct"/>
          </w:tcPr>
          <w:p w:rsidR="00AE0549" w:rsidRPr="00A604A3" w:rsidRDefault="00AE0549" w:rsidP="00686B5B">
            <w:pPr>
              <w:pStyle w:val="Tablehead"/>
            </w:pPr>
            <w:r w:rsidRPr="00A604A3">
              <w:t>Config 5</w:t>
            </w:r>
          </w:p>
        </w:tc>
        <w:tc>
          <w:tcPr>
            <w:tcW w:w="625" w:type="pct"/>
          </w:tcPr>
          <w:p w:rsidR="00AE0549" w:rsidRPr="00A604A3" w:rsidRDefault="00AE0549" w:rsidP="00686B5B">
            <w:pPr>
              <w:pStyle w:val="Tablehead"/>
            </w:pPr>
            <w:r w:rsidRPr="00A604A3">
              <w:t>Config 6</w:t>
            </w:r>
          </w:p>
        </w:tc>
      </w:tr>
      <w:tr w:rsidR="00AE0549" w:rsidRPr="00A604A3" w:rsidTr="00686B5B">
        <w:tc>
          <w:tcPr>
            <w:tcW w:w="625" w:type="pct"/>
          </w:tcPr>
          <w:p w:rsidR="00AE0549" w:rsidRPr="00A604A3" w:rsidRDefault="00AE0549" w:rsidP="00686B5B">
            <w:pPr>
              <w:pStyle w:val="Tabletext"/>
            </w:pPr>
            <w:r w:rsidRPr="00A604A3">
              <w:t>CP latency</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22 ms</w:t>
            </w:r>
          </w:p>
        </w:tc>
        <w:tc>
          <w:tcPr>
            <w:tcW w:w="625" w:type="pct"/>
          </w:tcPr>
          <w:p w:rsidR="00AE0549" w:rsidRPr="00A604A3" w:rsidRDefault="00AE0549" w:rsidP="00686B5B">
            <w:pPr>
              <w:pStyle w:val="Tabletext"/>
              <w:jc w:val="center"/>
            </w:pPr>
            <w:r w:rsidRPr="00A604A3">
              <w:t>20 ms</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22 ms</w:t>
            </w:r>
          </w:p>
        </w:tc>
        <w:tc>
          <w:tcPr>
            <w:tcW w:w="625" w:type="pct"/>
          </w:tcPr>
          <w:p w:rsidR="00AE0549" w:rsidRPr="00A604A3" w:rsidRDefault="00AE0549" w:rsidP="00686B5B">
            <w:pPr>
              <w:pStyle w:val="Tabletext"/>
              <w:jc w:val="center"/>
            </w:pPr>
            <w:r w:rsidRPr="00A604A3">
              <w:t>20.2 ms</w:t>
            </w:r>
          </w:p>
        </w:tc>
      </w:tr>
    </w:tbl>
    <w:p w:rsidR="00AE0549" w:rsidRPr="00A604A3" w:rsidRDefault="00AE0549" w:rsidP="00686B5B">
      <w:pPr>
        <w:pStyle w:val="Tablefin"/>
      </w:pPr>
    </w:p>
    <w:p w:rsidR="00AE0549" w:rsidRPr="00A604A3" w:rsidRDefault="00AE0549" w:rsidP="00686B5B">
      <w:r w:rsidRPr="00A604A3">
        <w:t>Based on the above analysis, the 20ms control plane latency requirement is fulfilled for all uplink-downlink TDD configurations for downlink data transfer, and for one of the uplink-downlink TDD configuration for uplink data transfer.</w:t>
      </w:r>
    </w:p>
    <w:p w:rsidR="00AE0549" w:rsidRPr="00A604A3" w:rsidRDefault="00686B5B" w:rsidP="00686B5B">
      <w:pPr>
        <w:pStyle w:val="Heading4"/>
        <w:rPr>
          <w:rFonts w:eastAsia="MS Mincho"/>
        </w:rPr>
      </w:pPr>
      <w:r>
        <w:rPr>
          <w:rFonts w:eastAsia="MS Mincho"/>
        </w:rPr>
        <w:t>II.5.8.5</w:t>
      </w:r>
      <w:r>
        <w:rPr>
          <w:rFonts w:eastAsia="MS Mincho"/>
        </w:rPr>
        <w:tab/>
      </w:r>
      <w:r w:rsidR="00AE0549" w:rsidRPr="00A604A3">
        <w:rPr>
          <w:rFonts w:eastAsia="MS Mincho"/>
        </w:rPr>
        <w:t>Conclusions</w:t>
      </w:r>
    </w:p>
    <w:p w:rsidR="00AE0549" w:rsidRPr="00A604A3" w:rsidRDefault="00AE0549" w:rsidP="00686B5B">
      <w:r w:rsidRPr="00A604A3">
        <w:t>The 5G PPP evaluation results given in Table 110 are quite close to the values provided by 3GPP for 5G NR FDD. The calculated control plane latencies were below the ITU IMT2020 requirement of 20 ms in all cases. The minimum latency value is approaching 11 ms for configurations with 120 kHz subcarrier spacing. No configuration achieved a control plane latency below 10 ms.</w:t>
      </w:r>
    </w:p>
    <w:p w:rsidR="00AE0549" w:rsidRPr="00A604A3" w:rsidRDefault="00AE0549" w:rsidP="00686B5B">
      <w:r w:rsidRPr="00A604A3">
        <w:t>For 5G NR TDD the calculated control plane latencies given in Table 111, Table 112 and Table 113 were below or equal to the ITU IMT2020 requirement of 20 ms in all cases.</w:t>
      </w:r>
    </w:p>
    <w:p w:rsidR="00AE0549" w:rsidRPr="00A604A3" w:rsidRDefault="00AE0549" w:rsidP="00686B5B">
      <w:r w:rsidRPr="00A604A3">
        <w:t xml:space="preserve">For </w:t>
      </w:r>
      <w:r w:rsidRPr="00A604A3">
        <w:rPr>
          <w:rFonts w:eastAsia="SimSun"/>
          <w:szCs w:val="24"/>
          <w:lang w:eastAsia="zh-CN"/>
        </w:rPr>
        <w:t>LTE Rel-15 FDD the calculations in Table 114 show that the control plane latency is equal to 20 ms, which is the same as ITU’s requirement. For LTE Rel-15 TDD the maximum control plane latency requirement of 20 ms is satisfied for all uplink-downlink TDD configurations for downlink data transfer as shown in Table 116, and for one TDD configurations for uplink data transfer as shown in Table 117.</w:t>
      </w:r>
    </w:p>
    <w:p w:rsidR="00AE0549" w:rsidRPr="00A604A3" w:rsidRDefault="00D95113" w:rsidP="00D95113">
      <w:pPr>
        <w:pStyle w:val="Heading3"/>
        <w:rPr>
          <w:rFonts w:eastAsia="MS Mincho"/>
        </w:rPr>
      </w:pPr>
      <w:bookmarkStart w:id="539" w:name="_Toc32412969"/>
      <w:r>
        <w:rPr>
          <w:rFonts w:eastAsia="MS Mincho"/>
        </w:rPr>
        <w:lastRenderedPageBreak/>
        <w:t>II.5.9</w:t>
      </w:r>
      <w:r>
        <w:rPr>
          <w:rFonts w:eastAsia="MS Mincho"/>
        </w:rPr>
        <w:tab/>
      </w:r>
      <w:r w:rsidR="00AE0549" w:rsidRPr="00A604A3">
        <w:rPr>
          <w:rFonts w:eastAsia="MS Mincho"/>
        </w:rPr>
        <w:t>Connection density</w:t>
      </w:r>
      <w:bookmarkEnd w:id="539"/>
    </w:p>
    <w:p w:rsidR="00AE0549" w:rsidRPr="00A604A3" w:rsidRDefault="00AE0549" w:rsidP="00D95113">
      <w:r w:rsidRPr="00A604A3">
        <w:t>The ITU-R minimum requirements on connection density are given in [1]. The following requirements and remarks are extracted from [1]:</w:t>
      </w:r>
    </w:p>
    <w:p w:rsidR="00AE0549" w:rsidRPr="00D95113" w:rsidRDefault="00D95113" w:rsidP="00D95113">
      <w:pPr>
        <w:pStyle w:val="enumlev1"/>
        <w:rPr>
          <w:i/>
          <w:iCs/>
        </w:rPr>
      </w:pPr>
      <w:r>
        <w:rPr>
          <w:i/>
          <w:iCs/>
        </w:rPr>
        <w:tab/>
      </w:r>
      <w:r w:rsidR="00AE0549" w:rsidRPr="00D95113">
        <w:rPr>
          <w:i/>
          <w:iCs/>
        </w:rPr>
        <w:t xml:space="preserve">Connection density is the total number of devices </w:t>
      </w:r>
      <w:r w:rsidR="00AE0549" w:rsidRPr="00D95113">
        <w:rPr>
          <w:i/>
          <w:iCs/>
          <w:szCs w:val="24"/>
        </w:rPr>
        <w:t xml:space="preserve">fulfilling a specific </w:t>
      </w:r>
      <w:r w:rsidR="00AE0549" w:rsidRPr="00D95113">
        <w:rPr>
          <w:i/>
          <w:iCs/>
          <w:lang w:eastAsia="ja-JP"/>
        </w:rPr>
        <w:t>quality of service</w:t>
      </w:r>
      <w:r w:rsidR="00AE0549" w:rsidRPr="00D95113">
        <w:rPr>
          <w:rFonts w:hAnsi="MS Mincho"/>
          <w:i/>
          <w:iCs/>
          <w:szCs w:val="21"/>
          <w:lang w:eastAsia="ja-JP"/>
        </w:rPr>
        <w:t xml:space="preserve"> (</w:t>
      </w:r>
      <w:r w:rsidR="00AE0549" w:rsidRPr="00D95113">
        <w:rPr>
          <w:i/>
          <w:iCs/>
          <w:szCs w:val="24"/>
        </w:rPr>
        <w:t>QoS</w:t>
      </w:r>
      <w:r w:rsidR="00AE0549" w:rsidRPr="00D95113">
        <w:rPr>
          <w:rFonts w:hAnsi="MS Mincho"/>
          <w:i/>
          <w:iCs/>
          <w:szCs w:val="21"/>
          <w:lang w:eastAsia="ja-JP"/>
        </w:rPr>
        <w:t>)</w:t>
      </w:r>
      <w:r w:rsidR="00AE0549" w:rsidRPr="00D95113">
        <w:rPr>
          <w:i/>
          <w:iCs/>
          <w:szCs w:val="24"/>
        </w:rPr>
        <w:t xml:space="preserve"> </w:t>
      </w:r>
      <w:r w:rsidR="00AE0549" w:rsidRPr="00D95113">
        <w:rPr>
          <w:i/>
          <w:iCs/>
        </w:rPr>
        <w:t>per unit area (per km</w:t>
      </w:r>
      <w:r w:rsidR="00AE0549" w:rsidRPr="00D95113">
        <w:rPr>
          <w:i/>
          <w:iCs/>
          <w:vertAlign w:val="superscript"/>
        </w:rPr>
        <w:t>2</w:t>
      </w:r>
      <w:r w:rsidR="00AE0549" w:rsidRPr="00D95113">
        <w:rPr>
          <w:i/>
          <w:iCs/>
        </w:rPr>
        <w:t>).</w:t>
      </w:r>
    </w:p>
    <w:p w:rsidR="00AE0549" w:rsidRPr="00D95113" w:rsidRDefault="00D95113" w:rsidP="00D95113">
      <w:pPr>
        <w:pStyle w:val="enumlev1"/>
        <w:rPr>
          <w:i/>
          <w:iCs/>
        </w:rPr>
      </w:pPr>
      <w:r>
        <w:rPr>
          <w:i/>
          <w:iCs/>
          <w:szCs w:val="24"/>
          <w:lang w:eastAsia="zh-CN"/>
        </w:rPr>
        <w:tab/>
      </w:r>
      <w:r w:rsidR="00AE0549" w:rsidRPr="00D95113">
        <w:rPr>
          <w:i/>
          <w:iCs/>
          <w:szCs w:val="24"/>
          <w:lang w:eastAsia="zh-CN"/>
        </w:rPr>
        <w:t xml:space="preserve">Connection </w:t>
      </w:r>
      <w:r w:rsidR="00AE0549" w:rsidRPr="00D95113">
        <w:rPr>
          <w:i/>
          <w:iCs/>
        </w:rPr>
        <w:t xml:space="preserve">density </w:t>
      </w:r>
      <w:r w:rsidR="00AE0549" w:rsidRPr="00D95113">
        <w:rPr>
          <w:i/>
          <w:iCs/>
          <w:szCs w:val="24"/>
          <w:lang w:eastAsia="zh-CN"/>
        </w:rPr>
        <w:t xml:space="preserve">should be achieved </w:t>
      </w:r>
      <w:r w:rsidR="00AE0549" w:rsidRPr="00D95113">
        <w:rPr>
          <w:i/>
          <w:iCs/>
        </w:rPr>
        <w:t>for a limited bandwidth and number of TRxPs. The target QoS is to support delivery of a message of a certain size within a certain time and with a certain success probability, as specified in Report ITU-R M.2412-0.</w:t>
      </w:r>
    </w:p>
    <w:p w:rsidR="00AE0549" w:rsidRPr="00D95113" w:rsidRDefault="00D95113" w:rsidP="00D95113">
      <w:pPr>
        <w:pStyle w:val="enumlev1"/>
        <w:rPr>
          <w:i/>
          <w:iCs/>
        </w:rPr>
      </w:pPr>
      <w:r>
        <w:rPr>
          <w:i/>
          <w:iCs/>
        </w:rPr>
        <w:tab/>
      </w:r>
      <w:r w:rsidR="00AE0549" w:rsidRPr="00D95113">
        <w:rPr>
          <w:i/>
          <w:iCs/>
        </w:rPr>
        <w:t>This requirement is defined for the purpose of evaluation in the mMTC usage scenario.</w:t>
      </w:r>
    </w:p>
    <w:p w:rsidR="00AE0549" w:rsidRPr="00D95113" w:rsidRDefault="00D95113" w:rsidP="00D95113">
      <w:pPr>
        <w:pStyle w:val="enumlev1"/>
        <w:rPr>
          <w:b/>
          <w:i/>
          <w:iCs/>
          <w:lang w:eastAsia="ko-KR"/>
        </w:rPr>
      </w:pPr>
      <w:r>
        <w:rPr>
          <w:i/>
          <w:iCs/>
        </w:rPr>
        <w:tab/>
      </w:r>
      <w:r w:rsidR="00AE0549" w:rsidRPr="00D95113">
        <w:rPr>
          <w:i/>
          <w:iCs/>
        </w:rPr>
        <w:t>The minimum requirement for connection density is 1 000 000 devices per km</w:t>
      </w:r>
      <w:r w:rsidR="00AE0549" w:rsidRPr="00D95113">
        <w:rPr>
          <w:i/>
          <w:iCs/>
          <w:vertAlign w:val="superscript"/>
        </w:rPr>
        <w:t>2</w:t>
      </w:r>
      <w:r w:rsidR="00AE0549" w:rsidRPr="00D95113">
        <w:rPr>
          <w:i/>
          <w:iCs/>
        </w:rPr>
        <w:t>.</w:t>
      </w:r>
    </w:p>
    <w:p w:rsidR="00AE0549" w:rsidRPr="00A604A3" w:rsidRDefault="00AE0549" w:rsidP="00D95113">
      <w:r w:rsidRPr="00A604A3">
        <w:t>The evaluation methodology is described in [3], Section 7.1.3 and in Section III-9.1. In this report, mainly NR evaluation takes place due to the fact that connection density is one of the main challenges that NR tries to solve compared to previous releases.</w:t>
      </w:r>
    </w:p>
    <w:p w:rsidR="00AE0549" w:rsidRPr="00A604A3" w:rsidRDefault="00AE0549" w:rsidP="00AA0B2B">
      <w:bookmarkStart w:id="540" w:name="_Hlk29974067"/>
      <w:r w:rsidRPr="00A604A3">
        <w:t xml:space="preserve">Based on the reasoning given at the beginning of Section </w:t>
      </w:r>
      <w:r w:rsidR="00AA0B2B" w:rsidRPr="00AA0B2B">
        <w:t>II.5</w:t>
      </w:r>
      <w:r w:rsidRPr="00A604A3">
        <w:t>.3 only 5G-NR RIT is evaluated.</w:t>
      </w:r>
    </w:p>
    <w:p w:rsidR="00AE0549" w:rsidRPr="00A604A3" w:rsidRDefault="00D95113" w:rsidP="00D95113">
      <w:pPr>
        <w:pStyle w:val="Heading4"/>
        <w:rPr>
          <w:rFonts w:eastAsia="MS Mincho"/>
        </w:rPr>
      </w:pPr>
      <w:bookmarkStart w:id="541" w:name="_Toc534385600"/>
      <w:bookmarkEnd w:id="540"/>
      <w:r>
        <w:rPr>
          <w:rFonts w:eastAsia="MS Mincho"/>
        </w:rPr>
        <w:t>II.5.9.1</w:t>
      </w:r>
      <w:r>
        <w:rPr>
          <w:rFonts w:eastAsia="MS Mincho"/>
        </w:rPr>
        <w:tab/>
      </w:r>
      <w:r w:rsidR="00AE0549" w:rsidRPr="00A604A3">
        <w:rPr>
          <w:rFonts w:eastAsia="MS Mincho"/>
        </w:rPr>
        <w:t>Evaluation methodology and KPIs</w:t>
      </w:r>
      <w:bookmarkEnd w:id="541"/>
    </w:p>
    <w:p w:rsidR="00AE0549" w:rsidRPr="00A604A3" w:rsidRDefault="00AE0549" w:rsidP="00D95113">
      <w:r w:rsidRPr="00A604A3">
        <w:t>In mMTC environments, one of the important parameters is the connection density of devices. According to ITU document [1] the connection density is the total number of devices fulfilling a specific quality of service (QoS) per unit area (per km</w:t>
      </w:r>
      <w:r w:rsidRPr="00A604A3">
        <w:rPr>
          <w:vertAlign w:val="superscript"/>
        </w:rPr>
        <w:t>2</w:t>
      </w:r>
      <w:r w:rsidRPr="00A604A3">
        <w:t>). Connection density should be achieved for a limited bandwidth and number of connectivity points. The target QoS is to support delivery of a message of a certain size within a certain time and with a certain success probability. This requirement is defined for the purpose of evaluation in the mMTC usage scenario. According to ITU, the minimum requirement for connection density is 1</w:t>
      </w:r>
      <w:r w:rsidR="00D95113">
        <w:t> </w:t>
      </w:r>
      <w:r w:rsidRPr="00A604A3">
        <w:t>000</w:t>
      </w:r>
      <w:r w:rsidR="00D95113">
        <w:t> </w:t>
      </w:r>
      <w:r w:rsidRPr="00A604A3">
        <w:t>000 devices per km</w:t>
      </w:r>
      <w:r w:rsidRPr="00A604A3">
        <w:rPr>
          <w:vertAlign w:val="superscript"/>
        </w:rPr>
        <w:t>2</w:t>
      </w:r>
      <w:r w:rsidRPr="00A604A3">
        <w:t xml:space="preserve">. </w:t>
      </w:r>
    </w:p>
    <w:p w:rsidR="00AE0549" w:rsidRPr="00A604A3" w:rsidRDefault="00AE0549" w:rsidP="00D95113">
      <w:pPr>
        <w:rPr>
          <w:szCs w:val="24"/>
        </w:rPr>
      </w:pPr>
      <w:r w:rsidRPr="00A604A3">
        <w:rPr>
          <w:szCs w:val="24"/>
        </w:rPr>
        <w:t>Also, ITU has defined the following steps, for the evaluation of connection density [3]:</w:t>
      </w:r>
    </w:p>
    <w:p w:rsidR="00AE0549" w:rsidRPr="00A604A3" w:rsidRDefault="00D95113" w:rsidP="00D95113">
      <w:pPr>
        <w:pStyle w:val="enumlev1"/>
      </w:pPr>
      <w:r>
        <w:t>–</w:t>
      </w:r>
      <w:r>
        <w:tab/>
      </w:r>
      <w:r w:rsidR="00AE0549" w:rsidRPr="00A604A3">
        <w:t>Step 1: Set system user number per TRxP as N.</w:t>
      </w:r>
    </w:p>
    <w:p w:rsidR="00AE0549" w:rsidRPr="00A604A3" w:rsidRDefault="00D95113" w:rsidP="00D95113">
      <w:pPr>
        <w:pStyle w:val="enumlev1"/>
      </w:pPr>
      <w:r>
        <w:t>–</w:t>
      </w:r>
      <w:r>
        <w:tab/>
      </w:r>
      <w:r w:rsidR="00AE0549" w:rsidRPr="00A604A3">
        <w:t>Step 2: Generate the user packet according to the traffic model.</w:t>
      </w:r>
    </w:p>
    <w:p w:rsidR="00AE0549" w:rsidRPr="00A604A3" w:rsidRDefault="00D95113" w:rsidP="00D95113">
      <w:pPr>
        <w:pStyle w:val="enumlev1"/>
      </w:pPr>
      <w:r>
        <w:t>–</w:t>
      </w:r>
      <w:r>
        <w:tab/>
      </w:r>
      <w:r w:rsidR="00AE0549" w:rsidRPr="00A604A3">
        <w:t>Step 3: Run non-full buffer system-level simulation to obtain the packet outage rate. The outage rate is defined as the ratio of the number of packets that failed to be delivered to the destination receiver within a transmission delay of less than or equal to 10s to the total number of packets generated in Step 2.</w:t>
      </w:r>
    </w:p>
    <w:p w:rsidR="00AE0549" w:rsidRPr="00A604A3" w:rsidRDefault="00D95113" w:rsidP="00D95113">
      <w:pPr>
        <w:pStyle w:val="enumlev1"/>
      </w:pPr>
      <w:r>
        <w:t>–</w:t>
      </w:r>
      <w:r>
        <w:tab/>
      </w:r>
      <w:r w:rsidR="00AE0549" w:rsidRPr="00A604A3">
        <w:t>Step 4: Change the value of N and repeat Step 2-3 to obtain the system user number per TRxP N’ satisfying the packet outage rate of 1%.</w:t>
      </w:r>
    </w:p>
    <w:p w:rsidR="00AE0549" w:rsidRPr="00A604A3" w:rsidRDefault="00D95113" w:rsidP="00D95113">
      <w:pPr>
        <w:pStyle w:val="enumlev1"/>
      </w:pPr>
      <w:r>
        <w:t>–</w:t>
      </w:r>
      <w:r>
        <w:tab/>
      </w:r>
      <w:r w:rsidR="00AE0549" w:rsidRPr="00A604A3">
        <w:t xml:space="preserve">Step 5: Calculate connection density by equation </w:t>
      </w:r>
      <w:r w:rsidR="00AE0549" w:rsidRPr="00D95113">
        <w:rPr>
          <w:i/>
          <w:iCs/>
        </w:rPr>
        <w:t xml:space="preserve">C </w:t>
      </w:r>
      <w:r w:rsidR="00AE0549" w:rsidRPr="00A604A3">
        <w:t xml:space="preserve">= </w:t>
      </w:r>
      <w:r w:rsidR="00AE0549" w:rsidRPr="00D95113">
        <w:rPr>
          <w:i/>
          <w:iCs/>
        </w:rPr>
        <w:t>N</w:t>
      </w:r>
      <w:r w:rsidR="00AE0549" w:rsidRPr="00A604A3">
        <w:t xml:space="preserve">’ / </w:t>
      </w:r>
      <w:r w:rsidR="00AE0549" w:rsidRPr="00D95113">
        <w:rPr>
          <w:i/>
          <w:iCs/>
        </w:rPr>
        <w:t>A</w:t>
      </w:r>
      <w:r w:rsidR="00AE0549" w:rsidRPr="00A604A3">
        <w:t xml:space="preserve">, where the TRxP area </w:t>
      </w:r>
      <w:r w:rsidR="00AE0549" w:rsidRPr="00D95113">
        <w:rPr>
          <w:i/>
          <w:iCs/>
        </w:rPr>
        <w:t>A</w:t>
      </w:r>
      <w:r w:rsidR="00AE0549" w:rsidRPr="00A604A3">
        <w:t xml:space="preserve"> is calculated as </w:t>
      </w:r>
      <w:r w:rsidR="00AE0549" w:rsidRPr="00D95113">
        <w:rPr>
          <w:i/>
          <w:iCs/>
        </w:rPr>
        <w:t xml:space="preserve">A </w:t>
      </w:r>
      <w:r w:rsidR="00AE0549" w:rsidRPr="00A604A3">
        <w:t>= ISD2 × sqrt(3)/6, and ISD is the inter-site distance.</w:t>
      </w:r>
    </w:p>
    <w:p w:rsidR="00AE0549" w:rsidRPr="00A604A3" w:rsidRDefault="00D95113" w:rsidP="00D95113">
      <w:pPr>
        <w:pStyle w:val="enumlev1"/>
      </w:pPr>
      <w:r>
        <w:t>–</w:t>
      </w:r>
      <w:r>
        <w:tab/>
      </w:r>
      <w:r w:rsidR="00AE0549" w:rsidRPr="00A604A3">
        <w:t xml:space="preserve">The requirement is fulfilled if the connection density </w:t>
      </w:r>
      <w:r w:rsidR="00AE0549" w:rsidRPr="00D95113">
        <w:rPr>
          <w:i/>
          <w:iCs/>
        </w:rPr>
        <w:t>C</w:t>
      </w:r>
      <w:r w:rsidR="00AE0549" w:rsidRPr="00A604A3">
        <w:t xml:space="preserve"> is greater than or equal to 1</w:t>
      </w:r>
      <w:r>
        <w:t> </w:t>
      </w:r>
      <w:r w:rsidR="00AE0549" w:rsidRPr="00A604A3">
        <w:t>000</w:t>
      </w:r>
      <w:r>
        <w:t> </w:t>
      </w:r>
      <w:r w:rsidR="00AE0549" w:rsidRPr="00A604A3">
        <w:t>000</w:t>
      </w:r>
      <w:r>
        <w:t xml:space="preserve">. </w:t>
      </w:r>
      <w:r w:rsidR="00AE0549" w:rsidRPr="00A604A3">
        <w:t>The simulation bandwidth used to fulfil the requirement should be reported. Additionally, it is encouraged to report the connection efficiency (measured as N’ divided by simulation bandwidth) for the achieved connection density.</w:t>
      </w:r>
    </w:p>
    <w:p w:rsidR="00AE0549" w:rsidRPr="00A604A3" w:rsidRDefault="00AE0549" w:rsidP="00D95113">
      <w:r w:rsidRPr="00A604A3">
        <w:t>The considered traffic model for such an evaluation is message size of 32 bytes with either 1 message/day/device or 1 message/2 hours/device. Packet arrival follows Poisson arrival process for non-full buffer system-level simulation.</w:t>
      </w:r>
    </w:p>
    <w:p w:rsidR="00AE0549" w:rsidRPr="00A604A3" w:rsidRDefault="00D95113" w:rsidP="00D95113">
      <w:pPr>
        <w:pStyle w:val="Heading4"/>
        <w:rPr>
          <w:rFonts w:eastAsia="MS Mincho"/>
        </w:rPr>
      </w:pPr>
      <w:bookmarkStart w:id="542" w:name="_Toc534385601"/>
      <w:r>
        <w:rPr>
          <w:rFonts w:eastAsia="MS Mincho"/>
        </w:rPr>
        <w:lastRenderedPageBreak/>
        <w:t>II.5.9.2</w:t>
      </w:r>
      <w:r>
        <w:rPr>
          <w:rFonts w:eastAsia="MS Mincho"/>
        </w:rPr>
        <w:tab/>
      </w:r>
      <w:r w:rsidR="00AE0549" w:rsidRPr="00A604A3">
        <w:rPr>
          <w:rFonts w:eastAsia="MS Mincho"/>
        </w:rPr>
        <w:t>Simulation results</w:t>
      </w:r>
      <w:bookmarkEnd w:id="542"/>
    </w:p>
    <w:p w:rsidR="00AE0549" w:rsidRPr="00A604A3" w:rsidRDefault="00AE0549" w:rsidP="0022732D">
      <w:r w:rsidRPr="00A604A3">
        <w:t xml:space="preserve">System-level simulations have been conducted for the evaluation of connection density in mMTC environments. Narrowband parameters are taken into account in the simulation. As such, considered bandwidth is from 180 kHz up to 1.08 MHz. The success rate (i.e. successful transmission of messages) is calculated in order to check the acceptable level of connection density for meeting the </w:t>
      </w:r>
      <w:r w:rsidR="0022732D">
        <w:t>threshold of 99% of success (1</w:t>
      </w:r>
      <w:r w:rsidRPr="00A604A3">
        <w:t>% of loss). During the evaluation process, the lower number of the considered message generation frequency (e.g. 1</w:t>
      </w:r>
      <w:r w:rsidR="0022732D">
        <w:t> </w:t>
      </w:r>
      <w:r w:rsidRPr="00A604A3">
        <w:t>message/day/device) fulfils the requirements of the connection density. The results showed that the 99</w:t>
      </w:r>
      <w:r w:rsidRPr="00A604A3">
        <w:rPr>
          <w:vertAlign w:val="superscript"/>
        </w:rPr>
        <w:t xml:space="preserve">th </w:t>
      </w:r>
      <w:r w:rsidRPr="00A604A3">
        <w:t>percentile of the delay per user was less than 10s for both the 180 kHz and 1.08</w:t>
      </w:r>
      <w:r w:rsidR="00D95113">
        <w:t> </w:t>
      </w:r>
      <w:r w:rsidRPr="00A604A3">
        <w:t>MHz tests. Two configurations for ISD (Inter Site Distance) of 500 m and 1</w:t>
      </w:r>
      <w:r w:rsidR="00D95113">
        <w:t> </w:t>
      </w:r>
      <w:r w:rsidRPr="00A604A3">
        <w:t>732 m were examined during the evaluation. As a result, the focus was given on the investigation and analysis of the higher message frequency of 1 message/2 hours/device which had a different behavior than the previous.</w:t>
      </w:r>
    </w:p>
    <w:p w:rsidR="00AE0549" w:rsidRDefault="00AE0549" w:rsidP="00D95113">
      <w:pPr>
        <w:rPr>
          <w:szCs w:val="24"/>
        </w:rPr>
      </w:pPr>
      <w:r w:rsidRPr="00A604A3">
        <w:t>Figure 5 shows the success rate for different number of devices when bandwidth of 180 kHz is used. According to the results, it is evident that with such bandwidth, up to 2 million devices per km</w:t>
      </w:r>
      <w:r w:rsidRPr="00A604A3">
        <w:rPr>
          <w:vertAlign w:val="superscript"/>
        </w:rPr>
        <w:t xml:space="preserve">2 </w:t>
      </w:r>
      <w:r w:rsidRPr="00A604A3">
        <w:t xml:space="preserve">assuming messages of 32 bytes and 1 message/2 hours/device can be served. When 3 </w:t>
      </w:r>
      <w:r w:rsidRPr="00A604A3">
        <w:rPr>
          <w:szCs w:val="24"/>
        </w:rPr>
        <w:t>million devices per km</w:t>
      </w:r>
      <w:r w:rsidRPr="00A604A3">
        <w:rPr>
          <w:szCs w:val="24"/>
          <w:vertAlign w:val="superscript"/>
        </w:rPr>
        <w:t>2</w:t>
      </w:r>
      <w:r w:rsidRPr="00A604A3">
        <w:rPr>
          <w:szCs w:val="24"/>
        </w:rPr>
        <w:t xml:space="preserve"> were simulated, th</w:t>
      </w:r>
      <w:r w:rsidR="0022732D">
        <w:rPr>
          <w:szCs w:val="24"/>
        </w:rPr>
        <w:t>e success rate dropped below 99</w:t>
      </w:r>
      <w:r w:rsidRPr="00A604A3">
        <w:rPr>
          <w:szCs w:val="24"/>
        </w:rPr>
        <w:t>%.</w:t>
      </w:r>
    </w:p>
    <w:p w:rsidR="0022732D" w:rsidRDefault="0022732D" w:rsidP="0022732D">
      <w:pPr>
        <w:pStyle w:val="FigureNo"/>
      </w:pPr>
      <w:bookmarkStart w:id="543" w:name="_Ref536805351"/>
      <w:r>
        <w:t>Figure 5</w:t>
      </w:r>
    </w:p>
    <w:p w:rsidR="0022732D" w:rsidRPr="00A604A3" w:rsidRDefault="0022732D" w:rsidP="0022732D">
      <w:pPr>
        <w:pStyle w:val="Figuretitle"/>
      </w:pPr>
      <w:r w:rsidRPr="00A604A3">
        <w:t>Connection density (nr. of devices per km2)</w:t>
      </w:r>
      <w:bookmarkEnd w:id="543"/>
    </w:p>
    <w:p w:rsidR="00AE0549" w:rsidRPr="00A604A3" w:rsidRDefault="00AE0549" w:rsidP="0022732D">
      <w:pPr>
        <w:pStyle w:val="Figure"/>
      </w:pPr>
      <w:r w:rsidRPr="00A604A3">
        <w:drawing>
          <wp:inline distT="0" distB="0" distL="0" distR="0" wp14:anchorId="0DABAB99" wp14:editId="0DE2BBDE">
            <wp:extent cx="3147060" cy="271376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0694" cy="2716894"/>
                    </a:xfrm>
                    <a:prstGeom prst="rect">
                      <a:avLst/>
                    </a:prstGeom>
                    <a:noFill/>
                  </pic:spPr>
                </pic:pic>
              </a:graphicData>
            </a:graphic>
          </wp:inline>
        </w:drawing>
      </w:r>
    </w:p>
    <w:p w:rsidR="00AE0549" w:rsidRPr="00A604A3" w:rsidRDefault="00AE0549" w:rsidP="0022732D">
      <w:r w:rsidRPr="00A604A3">
        <w:t>Figure 6 shows how much bandwidth is needed for serving 1 million devices with 1 message of 32 bytes/2 hours/device as we have seen at Figure 5, but this time by examining at which level the success rate will reach the highest level. The results show that even from 180 kHz, the success rate of 99% is fulfilled and as the bandwidth increases, the success rate is even higher, reaching almost the 100% at 540 kHz.</w:t>
      </w:r>
    </w:p>
    <w:p w:rsidR="0022732D" w:rsidRDefault="0022732D" w:rsidP="0022732D">
      <w:pPr>
        <w:pStyle w:val="FigureNo"/>
      </w:pPr>
      <w:bookmarkStart w:id="544" w:name="_Ref536805352"/>
      <w:r>
        <w:lastRenderedPageBreak/>
        <w:t>Figure 6</w:t>
      </w:r>
    </w:p>
    <w:p w:rsidR="0022732D" w:rsidRPr="00A604A3" w:rsidRDefault="0022732D" w:rsidP="0022732D">
      <w:pPr>
        <w:pStyle w:val="Figuretitle"/>
      </w:pPr>
      <w:r w:rsidRPr="00A604A3">
        <w:t>Success rate depending on bandwidth (ISD 500m)</w:t>
      </w:r>
      <w:bookmarkEnd w:id="544"/>
    </w:p>
    <w:p w:rsidR="00AE0549" w:rsidRPr="00A604A3" w:rsidRDefault="00AE0549" w:rsidP="0022732D">
      <w:pPr>
        <w:pStyle w:val="Figure"/>
      </w:pPr>
      <w:r w:rsidRPr="00A604A3">
        <w:drawing>
          <wp:inline distT="0" distB="0" distL="0" distR="0" wp14:anchorId="4E4DEF5E" wp14:editId="1EE4BA13">
            <wp:extent cx="3265593" cy="25804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4991" cy="2603729"/>
                    </a:xfrm>
                    <a:prstGeom prst="rect">
                      <a:avLst/>
                    </a:prstGeom>
                    <a:noFill/>
                  </pic:spPr>
                </pic:pic>
              </a:graphicData>
            </a:graphic>
          </wp:inline>
        </w:drawing>
      </w:r>
    </w:p>
    <w:p w:rsidR="00AE0549" w:rsidRPr="00A604A3" w:rsidRDefault="00AE0549" w:rsidP="0022732D">
      <w:r w:rsidRPr="00A604A3">
        <w:t>As a next step we changed the simulation parameters to higher ISD value of 1</w:t>
      </w:r>
      <w:r w:rsidR="0022732D">
        <w:t> </w:t>
      </w:r>
      <w:r w:rsidRPr="00A604A3">
        <w:t>732 m and run the same evaluation process as before. Figure 7 shows the success rate for different number of devices when bandwidth of 1.08 MHz is used. According to the results, it is evident that with such bandwidth, up to 40 million devices per km</w:t>
      </w:r>
      <w:r w:rsidRPr="00A604A3">
        <w:rPr>
          <w:vertAlign w:val="superscript"/>
        </w:rPr>
        <w:t xml:space="preserve">2 </w:t>
      </w:r>
      <w:r w:rsidRPr="00A604A3">
        <w:t xml:space="preserve">can be enabled in the area without serious problems assuming messages of 32 bytes and 1 message/2 hours/device. </w:t>
      </w:r>
    </w:p>
    <w:p w:rsidR="0022732D" w:rsidRDefault="0022732D" w:rsidP="0022732D">
      <w:pPr>
        <w:pStyle w:val="FigureNo"/>
      </w:pPr>
      <w:bookmarkStart w:id="545" w:name="_Ref536805353"/>
      <w:r>
        <w:t>Figure 7</w:t>
      </w:r>
    </w:p>
    <w:p w:rsidR="0022732D" w:rsidRPr="00A604A3" w:rsidRDefault="0022732D" w:rsidP="0022732D">
      <w:pPr>
        <w:pStyle w:val="Figuretitle"/>
      </w:pPr>
      <w:r w:rsidRPr="00A604A3">
        <w:t>Connection density (nr. of devices per km2)</w:t>
      </w:r>
      <w:bookmarkEnd w:id="545"/>
    </w:p>
    <w:p w:rsidR="00AE0549" w:rsidRPr="00A604A3" w:rsidRDefault="00AE0549" w:rsidP="0022732D">
      <w:pPr>
        <w:pStyle w:val="Figure"/>
      </w:pPr>
      <w:r w:rsidRPr="00A604A3">
        <w:drawing>
          <wp:inline distT="0" distB="0" distL="0" distR="0" wp14:anchorId="47C324F9" wp14:editId="246E3588">
            <wp:extent cx="4137660" cy="290514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7124" cy="2946899"/>
                    </a:xfrm>
                    <a:prstGeom prst="rect">
                      <a:avLst/>
                    </a:prstGeom>
                    <a:noFill/>
                  </pic:spPr>
                </pic:pic>
              </a:graphicData>
            </a:graphic>
          </wp:inline>
        </w:drawing>
      </w:r>
    </w:p>
    <w:p w:rsidR="00AE0549" w:rsidRPr="00A604A3" w:rsidRDefault="00AE0549" w:rsidP="0022732D">
      <w:r w:rsidRPr="00A604A3">
        <w:t>Figure 8 shows how much bandwidth is needed for serving 1 million devices with 1 message of 32 bytes/2 hours/device. The results show that from 500 kHz an</w:t>
      </w:r>
      <w:r w:rsidR="0022732D">
        <w:t>d above, the success rate of 99</w:t>
      </w:r>
      <w:r w:rsidRPr="00A604A3">
        <w:t>% is met. However, smaller bandwidths (e.g. 180 or 360 kHz) are possible but the succ</w:t>
      </w:r>
      <w:r w:rsidR="0022732D">
        <w:t>ess rate is a bit lower than 99</w:t>
      </w:r>
      <w:r w:rsidRPr="00A604A3">
        <w:t>%.</w:t>
      </w:r>
    </w:p>
    <w:p w:rsidR="0022732D" w:rsidRDefault="0022732D" w:rsidP="0022732D">
      <w:pPr>
        <w:pStyle w:val="FigureNo"/>
      </w:pPr>
      <w:bookmarkStart w:id="546" w:name="_Ref536805354"/>
      <w:r>
        <w:lastRenderedPageBreak/>
        <w:t>Figure 8</w:t>
      </w:r>
    </w:p>
    <w:p w:rsidR="0022732D" w:rsidRPr="00A604A3" w:rsidRDefault="0022732D" w:rsidP="0022732D">
      <w:pPr>
        <w:pStyle w:val="Figuretitle"/>
      </w:pPr>
      <w:r w:rsidRPr="00A604A3">
        <w:t>Success rate depending on bandwidth (ISD 1732m)</w:t>
      </w:r>
      <w:bookmarkEnd w:id="546"/>
    </w:p>
    <w:p w:rsidR="00AE0549" w:rsidRPr="00A604A3" w:rsidRDefault="00AE0549" w:rsidP="0022732D">
      <w:pPr>
        <w:pStyle w:val="Figure"/>
      </w:pPr>
      <w:r w:rsidRPr="00A604A3">
        <w:drawing>
          <wp:inline distT="0" distB="0" distL="0" distR="0" wp14:anchorId="33086A6A" wp14:editId="64E72D56">
            <wp:extent cx="4159005" cy="2842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5404" cy="2853467"/>
                    </a:xfrm>
                    <a:prstGeom prst="rect">
                      <a:avLst/>
                    </a:prstGeom>
                    <a:noFill/>
                  </pic:spPr>
                </pic:pic>
              </a:graphicData>
            </a:graphic>
          </wp:inline>
        </w:drawing>
      </w:r>
    </w:p>
    <w:p w:rsidR="00AE0549" w:rsidRPr="00A604A3" w:rsidRDefault="0022732D" w:rsidP="0022732D">
      <w:pPr>
        <w:pStyle w:val="Heading4"/>
        <w:rPr>
          <w:rFonts w:eastAsia="MS Mincho"/>
        </w:rPr>
      </w:pPr>
      <w:r>
        <w:rPr>
          <w:rFonts w:eastAsia="MS Mincho"/>
        </w:rPr>
        <w:t>II.5.9.3</w:t>
      </w:r>
      <w:r>
        <w:rPr>
          <w:rFonts w:eastAsia="MS Mincho"/>
        </w:rPr>
        <w:tab/>
      </w:r>
      <w:r w:rsidR="00AE0549" w:rsidRPr="00A604A3">
        <w:rPr>
          <w:rFonts w:eastAsia="MS Mincho"/>
        </w:rPr>
        <w:t>Summary</w:t>
      </w:r>
    </w:p>
    <w:p w:rsidR="00AE0549" w:rsidRPr="00A604A3" w:rsidRDefault="00AE0549" w:rsidP="0022732D">
      <w:r w:rsidRPr="00A604A3">
        <w:t>Connection density is an important metric in mMTC environments. Also, the usage of narrowband technologies is encouraged, especially for small and frequent transmissions. As a result, the provided evaluations take into account these assumptions in order to show the number of devices that can be supported with a specific QoS. In cases of 180 kHz of bandwidth the scenarios of ISD at 500</w:t>
      </w:r>
      <w:r w:rsidR="0022732D">
        <w:t> </w:t>
      </w:r>
      <w:r w:rsidRPr="00A604A3">
        <w:t>m showed that there were not any major problems for the device density that was considered. In addition, the results for ISD of 1</w:t>
      </w:r>
      <w:r w:rsidR="0022732D">
        <w:t> </w:t>
      </w:r>
      <w:r w:rsidRPr="00A604A3">
        <w:t>732</w:t>
      </w:r>
      <w:r w:rsidR="0022732D">
        <w:t> </w:t>
      </w:r>
      <w:r w:rsidRPr="00A604A3">
        <w:t>m reveal that there is a need of higher bandwidths to meet the requirements and achieve the proposed success rates, which in many cases more than three times the initial bandwidth had to be used. Also, the results are consistent with the results of vendors in 3GPP [14] who followed the same evaluation process, utilizing the same parameters at their proprietary simulator. For the bandwidth of 1.08</w:t>
      </w:r>
      <w:r w:rsidR="0022732D">
        <w:t> </w:t>
      </w:r>
      <w:r w:rsidRPr="00A604A3">
        <w:t>MHz the evaluation process showed that it is possible to handle effectively more than 1 million devices per km</w:t>
      </w:r>
      <w:r w:rsidRPr="00A604A3">
        <w:rPr>
          <w:vertAlign w:val="superscript"/>
        </w:rPr>
        <w:t>2</w:t>
      </w:r>
      <w:r w:rsidRPr="00A604A3">
        <w:t xml:space="preserve"> in every situation. </w:t>
      </w:r>
    </w:p>
    <w:p w:rsidR="00AE0549" w:rsidRPr="00A604A3" w:rsidRDefault="00AE0549" w:rsidP="0022732D">
      <w:r w:rsidRPr="00A604A3">
        <w:t>It can be noted that 1 million devices is the minimum requirement of ITU-R for connection density evaluation.</w:t>
      </w:r>
    </w:p>
    <w:p w:rsidR="00AE0549" w:rsidRPr="00A604A3" w:rsidRDefault="0022732D" w:rsidP="0022732D">
      <w:pPr>
        <w:pStyle w:val="Heading3"/>
        <w:rPr>
          <w:rFonts w:eastAsia="MS Mincho"/>
        </w:rPr>
      </w:pPr>
      <w:bookmarkStart w:id="547" w:name="_Toc32412970"/>
      <w:r>
        <w:rPr>
          <w:rFonts w:eastAsia="MS Mincho"/>
        </w:rPr>
        <w:t>II.5.10</w:t>
      </w:r>
      <w:r>
        <w:rPr>
          <w:rFonts w:eastAsia="MS Mincho"/>
        </w:rPr>
        <w:tab/>
      </w:r>
      <w:r w:rsidR="00AE0549" w:rsidRPr="00A604A3">
        <w:rPr>
          <w:rFonts w:eastAsia="MS Mincho"/>
        </w:rPr>
        <w:t>Energy efficiency</w:t>
      </w:r>
      <w:bookmarkEnd w:id="547"/>
    </w:p>
    <w:p w:rsidR="00AE0549" w:rsidRPr="00A604A3" w:rsidRDefault="00AE0549" w:rsidP="0022732D">
      <w:r w:rsidRPr="00A604A3">
        <w:t>The ITU-R minimum requirements on energy efficiency are given in [1]. The following requirements and remarks are extracted from [1]:</w:t>
      </w:r>
    </w:p>
    <w:p w:rsidR="00AE0549" w:rsidRPr="0022732D" w:rsidRDefault="0022732D" w:rsidP="0022732D">
      <w:pPr>
        <w:pStyle w:val="enumlev1"/>
        <w:rPr>
          <w:i/>
          <w:iCs/>
        </w:rPr>
      </w:pPr>
      <w:r w:rsidRPr="0022732D">
        <w:rPr>
          <w:i/>
          <w:iCs/>
        </w:rPr>
        <w:tab/>
      </w:r>
      <w:r w:rsidR="00AE0549" w:rsidRPr="0022732D">
        <w:rPr>
          <w:i/>
          <w:iCs/>
        </w:rPr>
        <w:t xml:space="preserve">Network energy efficiency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 </w:t>
      </w:r>
    </w:p>
    <w:p w:rsidR="00AE0549" w:rsidRPr="0022732D" w:rsidRDefault="0022732D" w:rsidP="0022732D">
      <w:pPr>
        <w:pStyle w:val="enumlev1"/>
        <w:rPr>
          <w:i/>
          <w:iCs/>
          <w:szCs w:val="18"/>
        </w:rPr>
      </w:pPr>
      <w:r w:rsidRPr="0022732D">
        <w:rPr>
          <w:i/>
          <w:iCs/>
          <w:szCs w:val="18"/>
        </w:rPr>
        <w:tab/>
      </w:r>
      <w:r w:rsidR="00AE0549" w:rsidRPr="0022732D">
        <w:rPr>
          <w:i/>
          <w:iCs/>
          <w:szCs w:val="18"/>
        </w:rPr>
        <w:t xml:space="preserve">Energy efficiency </w:t>
      </w:r>
      <w:r w:rsidR="00AE0549" w:rsidRPr="0022732D">
        <w:rPr>
          <w:i/>
          <w:iCs/>
        </w:rPr>
        <w:t xml:space="preserve">of the network and the device can </w:t>
      </w:r>
      <w:r w:rsidR="00AE0549" w:rsidRPr="0022732D">
        <w:rPr>
          <w:i/>
          <w:iCs/>
          <w:szCs w:val="18"/>
        </w:rPr>
        <w:t>relate to the support for</w:t>
      </w:r>
      <w:r w:rsidR="00AE0549" w:rsidRPr="0022732D">
        <w:rPr>
          <w:i/>
          <w:iCs/>
        </w:rPr>
        <w:t xml:space="preserve"> the following two aspects</w:t>
      </w:r>
      <w:r w:rsidR="00AE0549" w:rsidRPr="0022732D">
        <w:rPr>
          <w:i/>
          <w:iCs/>
          <w:szCs w:val="18"/>
        </w:rPr>
        <w:t>:</w:t>
      </w:r>
    </w:p>
    <w:p w:rsidR="00AE0549" w:rsidRPr="0022732D" w:rsidRDefault="00AE0549" w:rsidP="0022732D">
      <w:pPr>
        <w:pStyle w:val="enumlev2"/>
        <w:rPr>
          <w:i/>
          <w:iCs/>
          <w:szCs w:val="18"/>
        </w:rPr>
      </w:pPr>
      <w:r w:rsidRPr="0022732D">
        <w:rPr>
          <w:i/>
          <w:iCs/>
        </w:rPr>
        <w:t>a)</w:t>
      </w:r>
      <w:r w:rsidRPr="0022732D">
        <w:rPr>
          <w:i/>
          <w:iCs/>
        </w:rPr>
        <w:tab/>
        <w:t>Efficient data transmission in a loaded case;</w:t>
      </w:r>
    </w:p>
    <w:p w:rsidR="00AE0549" w:rsidRPr="0022732D" w:rsidRDefault="00AE0549" w:rsidP="0022732D">
      <w:pPr>
        <w:pStyle w:val="enumlev2"/>
        <w:rPr>
          <w:i/>
          <w:iCs/>
          <w:szCs w:val="18"/>
        </w:rPr>
      </w:pPr>
      <w:r w:rsidRPr="0022732D">
        <w:rPr>
          <w:i/>
          <w:iCs/>
        </w:rPr>
        <w:t>b)</w:t>
      </w:r>
      <w:r w:rsidRPr="0022732D">
        <w:rPr>
          <w:i/>
          <w:iCs/>
        </w:rPr>
        <w:tab/>
        <w:t>Low energy consumption when there is no data.</w:t>
      </w:r>
    </w:p>
    <w:p w:rsidR="00AE0549" w:rsidRPr="0022732D" w:rsidRDefault="0022732D" w:rsidP="0022732D">
      <w:pPr>
        <w:pStyle w:val="enumlev1"/>
        <w:rPr>
          <w:i/>
          <w:iCs/>
        </w:rPr>
      </w:pPr>
      <w:r w:rsidRPr="0022732D">
        <w:rPr>
          <w:i/>
          <w:iCs/>
        </w:rPr>
        <w:lastRenderedPageBreak/>
        <w:tab/>
      </w:r>
      <w:r w:rsidR="00AE0549" w:rsidRPr="0022732D">
        <w:rPr>
          <w:i/>
          <w:iCs/>
        </w:rPr>
        <w:t>Efficient data transmission in a loaded case is demonstrated by the average spectral efficiency (see § 4.5, also look at Section III-5 of this report).</w:t>
      </w:r>
    </w:p>
    <w:p w:rsidR="00AE0549" w:rsidRPr="0022732D" w:rsidRDefault="0022732D" w:rsidP="0022732D">
      <w:pPr>
        <w:pStyle w:val="enumlev1"/>
        <w:rPr>
          <w:i/>
          <w:iCs/>
        </w:rPr>
      </w:pPr>
      <w:r w:rsidRPr="0022732D">
        <w:rPr>
          <w:i/>
          <w:iCs/>
        </w:rPr>
        <w:tab/>
      </w:r>
      <w:r w:rsidR="00AE0549" w:rsidRPr="0022732D">
        <w:rPr>
          <w:i/>
          <w:iCs/>
        </w:rPr>
        <w:t xml:space="preserve">Low energy consumption when there is no data can be estimated by the sleep ratio. The sleep ratio is the fraction of unoccupied time resources (for the network) or sleeping time (for the device) in a period of time corresponding to the cycle of the control signaling (for the network) or the cycle of discontinuous reception (for the device) when no user data transfer takes place. Furthermore, the sleep duration, i.e. the continuous period of time with no transmission (for network and device) and reception (for the device), should be sufficiently long. </w:t>
      </w:r>
    </w:p>
    <w:p w:rsidR="00AE0549" w:rsidRPr="0022732D" w:rsidRDefault="0022732D" w:rsidP="0022732D">
      <w:pPr>
        <w:pStyle w:val="enumlev1"/>
        <w:rPr>
          <w:i/>
          <w:iCs/>
        </w:rPr>
      </w:pPr>
      <w:r w:rsidRPr="0022732D">
        <w:rPr>
          <w:i/>
          <w:iCs/>
        </w:rPr>
        <w:tab/>
      </w:r>
      <w:r w:rsidR="00AE0549" w:rsidRPr="0022732D">
        <w:rPr>
          <w:i/>
          <w:iCs/>
        </w:rPr>
        <w:t>This requirement is defined for the purpose of evaluation in the eMBB usage scenario.</w:t>
      </w:r>
    </w:p>
    <w:p w:rsidR="00AE0549" w:rsidRPr="00A604A3" w:rsidRDefault="0022732D" w:rsidP="0022732D">
      <w:pPr>
        <w:pStyle w:val="enumlev1"/>
        <w:rPr>
          <w:szCs w:val="24"/>
        </w:rPr>
      </w:pPr>
      <w:r w:rsidRPr="0022732D">
        <w:rPr>
          <w:i/>
          <w:iCs/>
        </w:rPr>
        <w:tab/>
      </w:r>
      <w:r w:rsidR="00AE0549" w:rsidRPr="0022732D">
        <w:rPr>
          <w:i/>
          <w:iCs/>
        </w:rPr>
        <w:t xml:space="preserve">The RIT/SRIT shall have the capability to support a high sleep ratio and long sleep duration. Proponents are encouraged to describe other mechanisms of the RIT/SRIT that improve </w:t>
      </w:r>
      <w:r w:rsidR="00AE0549" w:rsidRPr="0022732D">
        <w:rPr>
          <w:i/>
          <w:iCs/>
          <w:szCs w:val="24"/>
        </w:rPr>
        <w:t>the support of energy efficient operation for both network and device.</w:t>
      </w:r>
    </w:p>
    <w:p w:rsidR="00AE0549" w:rsidRPr="00A604A3" w:rsidRDefault="00AE0549" w:rsidP="0022732D">
      <w:r w:rsidRPr="00A604A3">
        <w:t>Guidelines for the evaluation methodology is given in [3] (M.2412). The following is extracted from [3]:</w:t>
      </w:r>
    </w:p>
    <w:p w:rsidR="00AE0549" w:rsidRPr="0022732D" w:rsidRDefault="0022732D" w:rsidP="0022732D">
      <w:pPr>
        <w:pStyle w:val="enumlev1"/>
        <w:rPr>
          <w:i/>
          <w:iCs/>
        </w:rPr>
      </w:pPr>
      <w:r>
        <w:tab/>
      </w:r>
      <w:r w:rsidR="00AE0549" w:rsidRPr="0022732D">
        <w:rPr>
          <w:i/>
          <w:iCs/>
        </w:rPr>
        <w:t>The energy efficiency for both network and device is verified by inspection by demonstrating that the candidate RITs/SRITs can support high sleep ratio and long sleep duration as defined in Report ITU-R M.2410-0 when there is no data.</w:t>
      </w:r>
    </w:p>
    <w:p w:rsidR="00AE0549" w:rsidRPr="0022732D" w:rsidRDefault="0022732D" w:rsidP="0022732D">
      <w:pPr>
        <w:pStyle w:val="enumlev1"/>
        <w:rPr>
          <w:i/>
          <w:iCs/>
        </w:rPr>
      </w:pPr>
      <w:r w:rsidRPr="0022732D">
        <w:rPr>
          <w:i/>
          <w:iCs/>
        </w:rPr>
        <w:tab/>
      </w:r>
      <w:r w:rsidR="00AE0549" w:rsidRPr="0022732D">
        <w:rPr>
          <w:i/>
          <w:iCs/>
        </w:rPr>
        <w:t>Inspection can also be used to describe other mechanisms of the candidate RITs/SRITs that improve energy efficient operation for both network and device.</w:t>
      </w:r>
    </w:p>
    <w:p w:rsidR="00AE0549" w:rsidRPr="00A604A3" w:rsidRDefault="00AE0549" w:rsidP="0022732D">
      <w:r w:rsidRPr="00A604A3">
        <w:t>Hence, only the energy efficiency in the unloaded case is evaluated in this section. The energy efficiency in the loaded case is evaluated in Section II-5 of this report.</w:t>
      </w:r>
    </w:p>
    <w:p w:rsidR="00AE0549" w:rsidRPr="00A604A3" w:rsidRDefault="0022732D" w:rsidP="0022732D">
      <w:pPr>
        <w:pStyle w:val="Heading4"/>
        <w:rPr>
          <w:rFonts w:eastAsia="MS Mincho"/>
        </w:rPr>
      </w:pPr>
      <w:r>
        <w:rPr>
          <w:rFonts w:eastAsia="MS Mincho"/>
        </w:rPr>
        <w:t>II.5.10.1</w:t>
      </w:r>
      <w:r>
        <w:rPr>
          <w:rFonts w:eastAsia="MS Mincho"/>
        </w:rPr>
        <w:tab/>
      </w:r>
      <w:r w:rsidR="00AE0549" w:rsidRPr="00A604A3">
        <w:rPr>
          <w:rFonts w:eastAsia="MS Mincho"/>
        </w:rPr>
        <w:t xml:space="preserve">Different </w:t>
      </w:r>
      <w:bookmarkStart w:id="548" w:name="_Hlk2676234"/>
      <w:r w:rsidR="00AE0549" w:rsidRPr="00A604A3">
        <w:rPr>
          <w:rFonts w:eastAsia="MS Mincho"/>
        </w:rPr>
        <w:t xml:space="preserve">technical concepts to improve energy efficiency </w:t>
      </w:r>
      <w:bookmarkEnd w:id="548"/>
      <w:r w:rsidR="00AE0549" w:rsidRPr="00A604A3">
        <w:rPr>
          <w:rFonts w:eastAsia="MS Mincho"/>
        </w:rPr>
        <w:t>in the system description as submitted by 3GPP</w:t>
      </w:r>
    </w:p>
    <w:p w:rsidR="00AE0549" w:rsidRPr="00A604A3" w:rsidRDefault="00AE0549" w:rsidP="0022732D">
      <w:pPr>
        <w:rPr>
          <w:rFonts w:eastAsia="MS Mincho"/>
        </w:rPr>
      </w:pPr>
      <w:r w:rsidRPr="00A604A3">
        <w:rPr>
          <w:rFonts w:eastAsia="MS Mincho"/>
        </w:rPr>
        <w:t>According to [1] and [3] there are no quantative requirements on energy efficiency. Therefore, only a qualitative evaluation of different proposed technical concepts for the improvement of energy efficiency can be evaluated.</w:t>
      </w:r>
    </w:p>
    <w:p w:rsidR="00AE0549" w:rsidRPr="00A604A3" w:rsidRDefault="0022732D" w:rsidP="0022732D">
      <w:pPr>
        <w:pStyle w:val="Heading5"/>
        <w:rPr>
          <w:rFonts w:eastAsia="MS Mincho"/>
        </w:rPr>
      </w:pPr>
      <w:r>
        <w:rPr>
          <w:rFonts w:eastAsia="MS Mincho"/>
        </w:rPr>
        <w:t>II.5.10.1.1</w:t>
      </w:r>
      <w:r>
        <w:rPr>
          <w:rFonts w:eastAsia="MS Mincho"/>
        </w:rPr>
        <w:tab/>
      </w:r>
      <w:r w:rsidR="00AE0549" w:rsidRPr="00A604A3">
        <w:rPr>
          <w:rFonts w:eastAsia="MS Mincho"/>
        </w:rPr>
        <w:t>NR RIT of “5G” [8], Section 5.2.3.2.25</w:t>
      </w:r>
    </w:p>
    <w:p w:rsidR="00AE0549" w:rsidRPr="006853C6" w:rsidRDefault="00AE0549" w:rsidP="0022732D">
      <w:pPr>
        <w:pStyle w:val="Headingb"/>
        <w:rPr>
          <w:lang w:val="en-GB"/>
        </w:rPr>
      </w:pPr>
      <w:r w:rsidRPr="006853C6">
        <w:rPr>
          <w:lang w:val="en-GB"/>
        </w:rPr>
        <w:t>Network energy efficiency</w:t>
      </w:r>
    </w:p>
    <w:p w:rsidR="00AE0549" w:rsidRPr="00A604A3" w:rsidRDefault="00AE0549" w:rsidP="0022732D">
      <w:pPr>
        <w:rPr>
          <w:lang w:eastAsia="zh-CN"/>
        </w:rPr>
      </w:pPr>
      <w:r w:rsidRPr="00A604A3">
        <w:rPr>
          <w:lang w:eastAsia="zh-CN"/>
        </w:rPr>
        <w:t xml:space="preserve">The fundamental always-on transmission that must take place is the periodic SS/PBCH block. The SS/PBCH block is used for the UE to detect the cell, obtain basic information of it on PBCH, and maintain synchronization to it. The duration, number and frequency of the SS/PBCH block transmission depends on the network setup. For the purposes of blind initial access the UE may assume that there is an SS/PBCH block once every 20 ms. If the network is configured to transmit the SS/PBCH block less frequently, that will improve the network energy efficiency at the cost of increased initial cell detection time. But after the initial connection has been established, the UE may be informed of the configured SS/PBCH block periodicity in the cell from the set of {5, 10, 20, 40, 80, 160} ms. If the cell set up uses analogue beamformer component, it may provide several SS/PBCH blocks multiplexed in time-domain fashion within one SS/PBCH block period. </w:t>
      </w:r>
    </w:p>
    <w:p w:rsidR="00AE0549" w:rsidRPr="00A604A3" w:rsidRDefault="00AE0549" w:rsidP="0022732D">
      <w:pPr>
        <w:rPr>
          <w:lang w:eastAsia="zh-CN"/>
        </w:rPr>
      </w:pPr>
      <w:r w:rsidRPr="00A604A3">
        <w:rPr>
          <w:lang w:eastAsia="zh-CN"/>
        </w:rPr>
        <w:t xml:space="preserve">Remaining minimum system information carried over SIB1 needs to be broadcast at least in the cells in which the UEs are expected to be able to set up the connection to the network. </w:t>
      </w:r>
      <w:r w:rsidRPr="00A604A3">
        <w:rPr>
          <w:lang w:eastAsia="zh-CN"/>
        </w:rPr>
        <w:lastRenderedPageBreak/>
        <w:t>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E0549" w:rsidRPr="00A604A3" w:rsidRDefault="00AE0549" w:rsidP="0022732D">
      <w:pPr>
        <w:rPr>
          <w:lang w:eastAsia="zh-CN"/>
        </w:rPr>
      </w:pPr>
      <w:r w:rsidRPr="00A604A3">
        <w:rPr>
          <w:lang w:eastAsia="zh-CN"/>
        </w:rPr>
        <w:t>The sleep ratio under the above mechanism is evaluated in [14].</w:t>
      </w:r>
    </w:p>
    <w:p w:rsidR="00AE0549" w:rsidRPr="006853C6" w:rsidRDefault="00AE0549" w:rsidP="0022732D">
      <w:pPr>
        <w:pStyle w:val="Headingb"/>
        <w:rPr>
          <w:lang w:val="en-GB"/>
        </w:rPr>
      </w:pPr>
      <w:r w:rsidRPr="006853C6">
        <w:rPr>
          <w:lang w:val="en-GB"/>
        </w:rPr>
        <w:t>Device energy efficiency</w:t>
      </w:r>
    </w:p>
    <w:p w:rsidR="00AE0549" w:rsidRPr="00A604A3" w:rsidRDefault="00AE0549" w:rsidP="0022732D">
      <w:pPr>
        <w:rPr>
          <w:lang w:eastAsia="zh-CN"/>
        </w:rPr>
      </w:pPr>
      <w:r w:rsidRPr="00A604A3">
        <w:rPr>
          <w:lang w:eastAsia="zh-CN"/>
        </w:rPr>
        <w:t>Multiple features facilitating device energy efficiency have been specified for NR Rel-15.</w:t>
      </w:r>
    </w:p>
    <w:p w:rsidR="00AE0549" w:rsidRPr="00A604A3" w:rsidRDefault="00AE0549" w:rsidP="0022732D">
      <w:pPr>
        <w:rPr>
          <w:lang w:eastAsia="zh-CN"/>
        </w:rPr>
      </w:pPr>
      <w:r w:rsidRPr="00A604A3">
        <w:rPr>
          <w:b/>
          <w:lang w:eastAsia="zh-CN"/>
        </w:rPr>
        <w:t>Discontinuous reception (DRX) in RRC_CONNECTED, RRC_INACTIVE and RRC_IDLE</w:t>
      </w:r>
      <w:r w:rsidRPr="00A604A3">
        <w:rPr>
          <w:lang w:eastAsia="zh-CN"/>
        </w:rPr>
        <w:t>. When DRX is configured, the UE does not have to continuously monitor PDCCH for scheduling or paging messages, but it can remain sleeping. DRX is characterized by the following:</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9).</w:t>
      </w:r>
    </w:p>
    <w:p w:rsidR="00836EF5" w:rsidRDefault="00836EF5" w:rsidP="00836EF5">
      <w:pPr>
        <w:pStyle w:val="FigureNo"/>
      </w:pPr>
      <w:bookmarkStart w:id="549" w:name="_Ref536805355"/>
      <w:r>
        <w:t>Figure 9</w:t>
      </w:r>
    </w:p>
    <w:p w:rsidR="00836EF5" w:rsidRPr="00A604A3" w:rsidRDefault="00836EF5" w:rsidP="00836EF5">
      <w:pPr>
        <w:pStyle w:val="Figuretitle"/>
      </w:pPr>
      <w:r w:rsidRPr="00A604A3">
        <w:t>DRX Cycle</w:t>
      </w:r>
      <w:bookmarkEnd w:id="549"/>
    </w:p>
    <w:p w:rsidR="00AE0549" w:rsidRPr="00A604A3" w:rsidRDefault="009002F1" w:rsidP="00836EF5">
      <w:pPr>
        <w:pStyle w:val="Figure"/>
      </w:pPr>
      <w:r>
        <w:pict>
          <v:shape id="_x0000_i1038" type="#_x0000_t75" style="width:381.7pt;height:108pt">
            <v:imagedata r:id="rId31" o:title=""/>
          </v:shape>
        </w:pict>
      </w:r>
    </w:p>
    <w:p w:rsidR="00AE0549" w:rsidRPr="006853C6" w:rsidRDefault="00AE0549" w:rsidP="00836EF5">
      <w:pPr>
        <w:pStyle w:val="Headingb"/>
        <w:rPr>
          <w:lang w:val="en-GB"/>
        </w:rPr>
      </w:pPr>
      <w:r w:rsidRPr="006853C6">
        <w:rPr>
          <w:lang w:val="en-GB"/>
        </w:rPr>
        <w:t>Bandwidth part (BWP) adaptation</w:t>
      </w:r>
    </w:p>
    <w:p w:rsidR="00AE0549" w:rsidRPr="00A604A3" w:rsidRDefault="00AE0549" w:rsidP="00836EF5">
      <w:pPr>
        <w:rPr>
          <w:lang w:eastAsia="zh-CN"/>
        </w:rPr>
      </w:pPr>
      <w:r w:rsidRPr="00A604A3">
        <w:rPr>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AE0549" w:rsidRPr="006853C6" w:rsidRDefault="00AE0549" w:rsidP="0097366D">
      <w:pPr>
        <w:pStyle w:val="Headingb"/>
        <w:rPr>
          <w:lang w:val="en-GB"/>
        </w:rPr>
      </w:pPr>
      <w:r w:rsidRPr="006853C6">
        <w:rPr>
          <w:lang w:val="en-GB"/>
        </w:rPr>
        <w:lastRenderedPageBreak/>
        <w:t>RRC_INACTIVE state</w:t>
      </w:r>
    </w:p>
    <w:p w:rsidR="00AE0549" w:rsidRPr="00A604A3" w:rsidRDefault="00AE0549" w:rsidP="0097366D">
      <w:pPr>
        <w:rPr>
          <w:lang w:eastAsia="zh-CN"/>
        </w:rPr>
      </w:pPr>
      <w:r w:rsidRPr="00A604A3">
        <w:rPr>
          <w:lang w:eastAsia="zh-CN"/>
        </w:rPr>
        <w:t>The introduction of RRC-inactive state to the RRC state machine (Figure 10) allows for the UE to maintain RRC connection in an inactive state while having the battery saving characteristics of the Idle mode. This allows for maintaining the RRC connection also when the UE is inactive for longer time durations and avoid the signaling overhead and related energy consumption needed when the RRC connection is re-established from Idle mode.</w:t>
      </w:r>
    </w:p>
    <w:p w:rsidR="0097366D" w:rsidRPr="0097366D" w:rsidRDefault="0097366D" w:rsidP="0097366D">
      <w:pPr>
        <w:pStyle w:val="FigureNo"/>
      </w:pPr>
      <w:bookmarkStart w:id="550" w:name="_Ref536805356"/>
      <w:r>
        <w:t>Figure 10</w:t>
      </w:r>
    </w:p>
    <w:p w:rsidR="0097366D" w:rsidRPr="00A604A3" w:rsidRDefault="0097366D" w:rsidP="0097366D">
      <w:pPr>
        <w:pStyle w:val="Figuretitle"/>
      </w:pPr>
      <w:r w:rsidRPr="00A604A3">
        <w:t>NR RRC state machine</w:t>
      </w:r>
      <w:bookmarkEnd w:id="550"/>
    </w:p>
    <w:p w:rsidR="00AE0549" w:rsidRPr="00A604A3" w:rsidRDefault="00AE0549" w:rsidP="0097366D">
      <w:pPr>
        <w:pStyle w:val="Figure"/>
      </w:pPr>
      <w:r w:rsidRPr="00A604A3">
        <w:drawing>
          <wp:inline distT="0" distB="0" distL="0" distR="0" wp14:anchorId="19B55BD2" wp14:editId="5D903452">
            <wp:extent cx="2023145" cy="228161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E0549" w:rsidRPr="0097366D" w:rsidRDefault="00AE0549" w:rsidP="0097366D">
      <w:pPr>
        <w:pStyle w:val="Headingb"/>
        <w:rPr>
          <w:lang w:val="en-GB"/>
        </w:rPr>
      </w:pPr>
      <w:r w:rsidRPr="0097366D">
        <w:rPr>
          <w:lang w:val="en-GB"/>
        </w:rPr>
        <w:t>Pipelining frame structure enabling micro-sleep within slots in which the UE is not scheduled</w:t>
      </w:r>
    </w:p>
    <w:p w:rsidR="00AE0549" w:rsidRPr="00A604A3" w:rsidRDefault="00AE0549" w:rsidP="0097366D">
      <w:pPr>
        <w:rPr>
          <w:lang w:eastAsia="zh-CN"/>
        </w:rPr>
      </w:pPr>
      <w:r w:rsidRPr="00A604A3">
        <w:rPr>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AE0549" w:rsidRPr="00A604A3" w:rsidRDefault="00AE0549" w:rsidP="0097366D">
      <w:pPr>
        <w:rPr>
          <w:lang w:eastAsia="zh-CN"/>
        </w:rPr>
      </w:pPr>
      <w:r w:rsidRPr="00A604A3">
        <w:rPr>
          <w:lang w:eastAsia="zh-CN"/>
        </w:rPr>
        <w:t>Additional power saving mechanisms for NR are under study for 3GPP Release 16.</w:t>
      </w:r>
    </w:p>
    <w:p w:rsidR="00AE0549" w:rsidRPr="00A604A3" w:rsidRDefault="0097366D" w:rsidP="0097366D">
      <w:pPr>
        <w:pStyle w:val="Heading5"/>
        <w:rPr>
          <w:rFonts w:eastAsia="MS Mincho"/>
        </w:rPr>
      </w:pPr>
      <w:r>
        <w:rPr>
          <w:rFonts w:eastAsia="MS Mincho"/>
        </w:rPr>
        <w:t>II.5.10.1.2</w:t>
      </w:r>
      <w:r>
        <w:rPr>
          <w:rFonts w:eastAsia="MS Mincho"/>
        </w:rPr>
        <w:tab/>
      </w:r>
      <w:r w:rsidR="00AE0549" w:rsidRPr="00A604A3">
        <w:rPr>
          <w:rFonts w:eastAsia="MS Mincho"/>
        </w:rPr>
        <w:t>SRIT of “5G” [8], Section 5.2.3.2.25</w:t>
      </w:r>
    </w:p>
    <w:p w:rsidR="00AE0549" w:rsidRPr="006853C6" w:rsidRDefault="0097366D" w:rsidP="0097366D">
      <w:pPr>
        <w:pStyle w:val="Headingb"/>
        <w:rPr>
          <w:lang w:val="en-GB"/>
        </w:rPr>
      </w:pPr>
      <w:r w:rsidRPr="006853C6">
        <w:rPr>
          <w:lang w:val="en-GB"/>
        </w:rPr>
        <w:t>For NR component RIT</w:t>
      </w:r>
    </w:p>
    <w:p w:rsidR="00AE0549" w:rsidRPr="00A604A3" w:rsidRDefault="00AE0549" w:rsidP="0097366D">
      <w:pPr>
        <w:pStyle w:val="Headingi"/>
      </w:pPr>
      <w:r w:rsidRPr="00A604A3">
        <w:t xml:space="preserve">Network energy </w:t>
      </w:r>
      <w:r w:rsidRPr="0097366D">
        <w:t>efficiency</w:t>
      </w:r>
    </w:p>
    <w:p w:rsidR="00AE0549" w:rsidRPr="00A604A3" w:rsidRDefault="00AE0549" w:rsidP="0097366D">
      <w:pPr>
        <w:rPr>
          <w:lang w:eastAsia="zh-CN"/>
        </w:rPr>
      </w:pPr>
      <w:r w:rsidRPr="00A604A3">
        <w:rPr>
          <w:lang w:eastAsia="zh-CN"/>
        </w:rPr>
        <w:t xml:space="preserve">The fundamental always-on transmission that must take place is the periodic SS/PBCH block. The SS/PBCK block is used for the UE to detect the cell, obtain basic information of it on PBCH, and maintain synchronization to it.  The duration, number and frequency of the SS/PBCH block transmission depends on the network setup. For the purposes of blind initial access the UE may assume that there is an SS/PBCH block once every 20 ms. If the network is configured to transmit the SS/PBCH block less frequently, that will improve the network energy efficiency at the cost of increased the initial cell detection time, but after the initial 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 </w:t>
      </w:r>
    </w:p>
    <w:p w:rsidR="00AE0549" w:rsidRPr="00A604A3" w:rsidRDefault="00AE0549" w:rsidP="0097366D">
      <w:pPr>
        <w:rPr>
          <w:lang w:eastAsia="zh-CN"/>
        </w:rPr>
      </w:pPr>
      <w:r w:rsidRPr="00A604A3">
        <w:rPr>
          <w:lang w:eastAsia="zh-CN"/>
        </w:rPr>
        <w:lastRenderedPageBreak/>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E0549" w:rsidRPr="00A604A3" w:rsidRDefault="00AE0549" w:rsidP="0097366D">
      <w:pPr>
        <w:rPr>
          <w:lang w:eastAsia="zh-CN"/>
        </w:rPr>
      </w:pPr>
      <w:r w:rsidRPr="00A604A3">
        <w:rPr>
          <w:lang w:eastAsia="zh-CN"/>
        </w:rPr>
        <w:t>The sleep ratio under the above mechanism is evaluated in [14].</w:t>
      </w:r>
    </w:p>
    <w:p w:rsidR="00AE0549" w:rsidRPr="00A604A3" w:rsidRDefault="00AE0549" w:rsidP="00EE3BD3">
      <w:pPr>
        <w:pStyle w:val="Headingi"/>
      </w:pPr>
      <w:r w:rsidRPr="00A604A3">
        <w:t>Device energy efficiency</w:t>
      </w:r>
    </w:p>
    <w:p w:rsidR="00AE0549" w:rsidRPr="00A604A3" w:rsidRDefault="00AE0549" w:rsidP="00EE3BD3">
      <w:pPr>
        <w:rPr>
          <w:lang w:eastAsia="zh-CN"/>
        </w:rPr>
      </w:pPr>
      <w:r w:rsidRPr="00A604A3">
        <w:rPr>
          <w:lang w:eastAsia="zh-CN"/>
        </w:rPr>
        <w:t>Multiple features facilitating device energy efficiency have been specified for NR Rel-15.</w:t>
      </w:r>
    </w:p>
    <w:p w:rsidR="00AE0549" w:rsidRPr="00A604A3" w:rsidRDefault="00AE0549" w:rsidP="00EE3BD3">
      <w:pPr>
        <w:rPr>
          <w:lang w:eastAsia="zh-CN"/>
        </w:rPr>
      </w:pPr>
      <w:r w:rsidRPr="00A604A3">
        <w:rPr>
          <w:b/>
          <w:lang w:eastAsia="zh-CN"/>
        </w:rPr>
        <w:t>Discontinuous reception (DRX) in RRC_CONNECTED, RRC_INACTIVE and RRC_IDLE</w:t>
      </w:r>
      <w:r w:rsidRPr="00A604A3">
        <w:rPr>
          <w:lang w:eastAsia="zh-CN"/>
        </w:rPr>
        <w:t>. When DRX is configured, the UE does not have to continuously monitor PDCCH for scheduling or paging messages, but it can remain sleeping. DRX is characterized by the following:</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11).</w:t>
      </w:r>
    </w:p>
    <w:p w:rsidR="00EE3BD3" w:rsidRDefault="00EE3BD3" w:rsidP="00EE3BD3">
      <w:pPr>
        <w:pStyle w:val="FigureNo"/>
      </w:pPr>
      <w:bookmarkStart w:id="551" w:name="_Ref536805357"/>
      <w:r>
        <w:t>Figure 11</w:t>
      </w:r>
    </w:p>
    <w:p w:rsidR="00EE3BD3" w:rsidRPr="00A604A3" w:rsidRDefault="00EE3BD3" w:rsidP="00EE3BD3">
      <w:pPr>
        <w:pStyle w:val="Figuretitle"/>
      </w:pPr>
      <w:r w:rsidRPr="00A604A3">
        <w:t>DRX Cycle</w:t>
      </w:r>
      <w:bookmarkEnd w:id="551"/>
    </w:p>
    <w:p w:rsidR="00AE0549" w:rsidRPr="00A604A3" w:rsidRDefault="009002F1" w:rsidP="00EE3BD3">
      <w:pPr>
        <w:pStyle w:val="Figure"/>
      </w:pPr>
      <w:r>
        <w:pict>
          <v:shape id="_x0000_i1039" type="#_x0000_t75" style="width:381.7pt;height:108pt">
            <v:imagedata r:id="rId31" o:title=""/>
          </v:shape>
        </w:pict>
      </w:r>
    </w:p>
    <w:p w:rsidR="00AE0549" w:rsidRPr="006853C6" w:rsidRDefault="00AE0549" w:rsidP="007371FB">
      <w:pPr>
        <w:pStyle w:val="Headingb"/>
        <w:rPr>
          <w:lang w:val="en-GB"/>
        </w:rPr>
      </w:pPr>
      <w:r w:rsidRPr="006853C6">
        <w:rPr>
          <w:lang w:val="en-GB"/>
        </w:rPr>
        <w:t>Bandwidth part (BWP) adaptation</w:t>
      </w:r>
    </w:p>
    <w:p w:rsidR="00AE0549" w:rsidRPr="00A604A3" w:rsidRDefault="00AE0549" w:rsidP="007371FB">
      <w:pPr>
        <w:rPr>
          <w:lang w:eastAsia="zh-CN"/>
        </w:rPr>
      </w:pPr>
      <w:r w:rsidRPr="00A604A3">
        <w:rPr>
          <w:lang w:eastAsia="zh-CN"/>
        </w:rPr>
        <w:t xml:space="preserve">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signaling messages or always-on packets of applications. The UE can be moved to the narrow BWP by gNBs transmitting a BWP switch bit on the scheduling DCI on the </w:t>
      </w:r>
      <w:r w:rsidRPr="00A604A3">
        <w:rPr>
          <w:lang w:eastAsia="zh-CN"/>
        </w:rPr>
        <w:lastRenderedPageBreak/>
        <w:t>PDCCH or based on an inactivity timer. UE can be moved back to the full bandwidth operation at any time by the gNB with the BWP switch bit.</w:t>
      </w:r>
    </w:p>
    <w:p w:rsidR="00AE0549" w:rsidRPr="006853C6" w:rsidRDefault="00AE0549" w:rsidP="009872A8">
      <w:pPr>
        <w:pStyle w:val="Headingb"/>
        <w:rPr>
          <w:lang w:val="en-GB"/>
        </w:rPr>
      </w:pPr>
      <w:r w:rsidRPr="006853C6">
        <w:rPr>
          <w:lang w:val="en-GB"/>
        </w:rPr>
        <w:t>RRC_INACTIVE state</w:t>
      </w:r>
    </w:p>
    <w:p w:rsidR="00AE0549" w:rsidRPr="00A604A3" w:rsidRDefault="00AE0549" w:rsidP="009872A8">
      <w:pPr>
        <w:rPr>
          <w:lang w:eastAsia="zh-CN"/>
        </w:rPr>
      </w:pPr>
      <w:r w:rsidRPr="00A604A3">
        <w:rPr>
          <w:lang w:eastAsia="zh-CN"/>
        </w:rPr>
        <w:t>The introduction of RRC-inactive state to the RRC state machine (Figure 12) allows for the UE to maintain RRC connection in an inactive state while having the battery saving characteristics of the Idle mode. This allows for maintaining the RRC connection also when the UE is inactive for longer time durations and avoid the signaling overhead and related energy consumption needed when the RRC connection is re-established from Idle mode.</w:t>
      </w:r>
    </w:p>
    <w:p w:rsidR="009872A8" w:rsidRDefault="009872A8" w:rsidP="009872A8">
      <w:pPr>
        <w:pStyle w:val="FigureNo"/>
      </w:pPr>
      <w:bookmarkStart w:id="552" w:name="_Ref536805358"/>
      <w:r>
        <w:t>Figure 12</w:t>
      </w:r>
    </w:p>
    <w:p w:rsidR="009872A8" w:rsidRPr="00A604A3" w:rsidRDefault="009872A8" w:rsidP="009872A8">
      <w:pPr>
        <w:pStyle w:val="Figuretitle"/>
      </w:pPr>
      <w:r w:rsidRPr="00A604A3">
        <w:t>NR RRC state machine</w:t>
      </w:r>
      <w:bookmarkEnd w:id="552"/>
    </w:p>
    <w:p w:rsidR="00AE0549" w:rsidRPr="00A604A3" w:rsidRDefault="00AE0549" w:rsidP="009872A8">
      <w:pPr>
        <w:pStyle w:val="Figure"/>
      </w:pPr>
      <w:r w:rsidRPr="00A604A3">
        <w:drawing>
          <wp:inline distT="0" distB="0" distL="0" distR="0" wp14:anchorId="63FE8216" wp14:editId="35D15EEF">
            <wp:extent cx="2023145" cy="22816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E0549" w:rsidRPr="009872A8" w:rsidRDefault="00AE0549" w:rsidP="009872A8">
      <w:pPr>
        <w:pStyle w:val="Headingb"/>
        <w:rPr>
          <w:lang w:val="en-GB"/>
        </w:rPr>
      </w:pPr>
      <w:r w:rsidRPr="009872A8">
        <w:rPr>
          <w:lang w:val="en-GB"/>
        </w:rPr>
        <w:t>Pipelining frame structure enabling micro-sleep within slots in which the UE is not scheduled</w:t>
      </w:r>
    </w:p>
    <w:p w:rsidR="00AE0549" w:rsidRPr="00A604A3" w:rsidRDefault="00AE0549" w:rsidP="009872A8">
      <w:pPr>
        <w:rPr>
          <w:lang w:eastAsia="zh-CN"/>
        </w:rPr>
      </w:pPr>
      <w:r w:rsidRPr="00A604A3">
        <w:rPr>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AE0549" w:rsidRPr="00A604A3" w:rsidRDefault="00AE0549" w:rsidP="009872A8">
      <w:pPr>
        <w:rPr>
          <w:lang w:eastAsia="zh-CN"/>
        </w:rPr>
      </w:pPr>
      <w:r w:rsidRPr="00A604A3">
        <w:rPr>
          <w:lang w:eastAsia="zh-CN"/>
        </w:rPr>
        <w:t>Additional power saving mechanisms for NR are under study for 3GPP Release 16.</w:t>
      </w:r>
    </w:p>
    <w:p w:rsidR="00AE0549" w:rsidRPr="006853C6" w:rsidRDefault="00AE0549" w:rsidP="009872A8">
      <w:pPr>
        <w:pStyle w:val="Headingb"/>
        <w:rPr>
          <w:lang w:val="en-GB"/>
        </w:rPr>
      </w:pPr>
      <w:r w:rsidRPr="006853C6">
        <w:rPr>
          <w:lang w:val="en-GB"/>
        </w:rPr>
        <w:t>For LTE component RIT:</w:t>
      </w:r>
    </w:p>
    <w:p w:rsidR="00AE0549" w:rsidRPr="00A604A3" w:rsidRDefault="00AE0549" w:rsidP="009872A8">
      <w:pPr>
        <w:pStyle w:val="Headingi"/>
      </w:pPr>
      <w:r w:rsidRPr="00A604A3">
        <w:t>Network energy efficiency</w:t>
      </w:r>
    </w:p>
    <w:p w:rsidR="00AE0549" w:rsidRPr="00A604A3" w:rsidRDefault="00AE0549" w:rsidP="009872A8">
      <w:r w:rsidRPr="00A604A3">
        <w:t>In the LTE system the capacity boosting cells can be distinguished from cells providing basic coverage. This can be used to enhance network energy efficiency by switching off LTE or EN-DC cells providing additional capacity when its capacity is not needed and re-activate the cells on a need basis.</w:t>
      </w:r>
    </w:p>
    <w:p w:rsidR="00AE0549" w:rsidRPr="00A604A3" w:rsidRDefault="00AE0549" w:rsidP="009872A8">
      <w:r w:rsidRPr="00A604A3">
        <w:t xml:space="preserve">The eNB owning a capacity booster cell can autonomously decide to switch-off such a cell to lower energy consumption (dormant state). The decision is typically based on cell load information, consistently with configured information. The switch-off decision may also be taken by O&amp;M. The eNB may initiate handover actions in order to off-load the cell being switched off and may indicate the reason for handover with an appropriate cause value to support the target node in taking subsequent actions, e.g. when selecting the target cell for </w:t>
      </w:r>
      <w:r w:rsidRPr="00A604A3">
        <w:lastRenderedPageBreak/>
        <w:t>subsequent handovers. All peer eNBs are informed by the eNB owning the concerned cell about the switch-off actions over the X2 interface with the eNB Configuration Update procedure. The eNB indicates the switch-off action to a GERAN and/or UTRAN node with the eNB Direct Information Transfer procedure over S1. All informed nodes maintain the cell configuration data, e.g., neighbour relationship configuration, also when a certain cell is dormant. If basic coverage is ensured by E-UTRAN cells, eNBs owning non-capacity boosting cells may request a re-activation over the X2 interface if capacity needs in such cells demand to do so. This is achieved via the Cell Activation procedure. If basic coverage is ensured by UTRAN or GERAN cells, the eNB owning the capacity booster cell may receive a re-activation request from a GERAN or UTRAN node with the MME Direct Information Transfer procedure over S1. The eNB owning the capacity booster cell may also receive from the sending GERAN or UTRAN node the minimum time before that cell switches off; during this time, the same eNB may prevent idle mode UEs from camping on the cell and may prevent incoming handovers to the same cell.</w:t>
      </w:r>
    </w:p>
    <w:p w:rsidR="00AE0549" w:rsidRPr="00A604A3" w:rsidRDefault="00AE0549" w:rsidP="009872A8">
      <w:pPr>
        <w:pStyle w:val="Headingi"/>
      </w:pPr>
      <w:r w:rsidRPr="00A604A3">
        <w:t>Device energy efficiency</w:t>
      </w:r>
    </w:p>
    <w:p w:rsidR="00AE0549" w:rsidRPr="00A604A3" w:rsidRDefault="00AE0549" w:rsidP="009872A8">
      <w:pPr>
        <w:rPr>
          <w:lang w:eastAsia="zh-CN"/>
        </w:rPr>
      </w:pPr>
      <w:r w:rsidRPr="00A604A3">
        <w:rPr>
          <w:lang w:eastAsia="zh-CN"/>
        </w:rPr>
        <w:t>Multiple features facilitating device energy efficiency have been specified for LTE Rel-15.</w:t>
      </w:r>
    </w:p>
    <w:p w:rsidR="00AE0549" w:rsidRPr="006853C6" w:rsidRDefault="00AE0549" w:rsidP="009872A8">
      <w:pPr>
        <w:pStyle w:val="Headingb"/>
        <w:rPr>
          <w:lang w:val="en-GB"/>
        </w:rPr>
      </w:pPr>
      <w:r w:rsidRPr="006853C6">
        <w:rPr>
          <w:lang w:val="en-GB"/>
        </w:rPr>
        <w:t>Discontinuous reception (DRX) in RRC connected mode</w:t>
      </w:r>
    </w:p>
    <w:p w:rsidR="00AE0549" w:rsidRPr="00A604A3" w:rsidRDefault="00AE0549" w:rsidP="009872A8">
      <w:pPr>
        <w:rPr>
          <w:lang w:eastAsia="zh-CN"/>
        </w:rPr>
      </w:pPr>
      <w:r w:rsidRPr="00A604A3">
        <w:rPr>
          <w:lang w:eastAsia="zh-CN"/>
        </w:rPr>
        <w:t>When DRX is configured, the UE does not have to continuously monitor PDCCH for scheduling or paging messages, but it can remain sleeping. DRX is characterized by the following:</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13).</w:t>
      </w:r>
    </w:p>
    <w:p w:rsidR="009872A8" w:rsidRDefault="009872A8" w:rsidP="009872A8">
      <w:pPr>
        <w:pStyle w:val="FigureNo"/>
      </w:pPr>
      <w:bookmarkStart w:id="553" w:name="_Ref536805359"/>
      <w:bookmarkStart w:id="554" w:name="_Toc28265811"/>
      <w:r>
        <w:t>Figure 13</w:t>
      </w:r>
    </w:p>
    <w:p w:rsidR="009872A8" w:rsidRPr="00A604A3" w:rsidRDefault="009872A8" w:rsidP="009872A8">
      <w:pPr>
        <w:pStyle w:val="Figuretitle"/>
      </w:pPr>
      <w:r w:rsidRPr="00A604A3">
        <w:t>DRX Cycle</w:t>
      </w:r>
      <w:bookmarkEnd w:id="553"/>
      <w:bookmarkEnd w:id="554"/>
    </w:p>
    <w:p w:rsidR="00AE0549" w:rsidRPr="00A604A3" w:rsidRDefault="009002F1" w:rsidP="009872A8">
      <w:pPr>
        <w:pStyle w:val="Figure"/>
      </w:pPr>
      <w:r>
        <w:pict>
          <v:shape id="_x0000_i1040" type="#_x0000_t75" style="width:381.7pt;height:108pt">
            <v:imagedata r:id="rId31" o:title=""/>
          </v:shape>
        </w:pict>
      </w:r>
    </w:p>
    <w:p w:rsidR="00AE0549" w:rsidRPr="006853C6" w:rsidRDefault="00AE0549" w:rsidP="009872A8">
      <w:pPr>
        <w:pStyle w:val="Headingb"/>
        <w:rPr>
          <w:lang w:val="en-GB"/>
        </w:rPr>
      </w:pPr>
      <w:r w:rsidRPr="006853C6">
        <w:rPr>
          <w:lang w:val="en-GB"/>
        </w:rPr>
        <w:t>Discontinuous reception (DRX) in RRC idle mode</w:t>
      </w:r>
    </w:p>
    <w:p w:rsidR="00AE0549" w:rsidRPr="00A604A3" w:rsidRDefault="00AE0549" w:rsidP="009872A8">
      <w:pPr>
        <w:rPr>
          <w:lang w:eastAsia="zh-CN"/>
        </w:rPr>
      </w:pPr>
      <w:r w:rsidRPr="00A604A3">
        <w:rPr>
          <w:lang w:eastAsia="zh-CN"/>
        </w:rPr>
        <w:t xml:space="preserve">The UE may use discontinuous reception (DRX) to reduce power consumption in idle mode. When DRX is used, the UE wakes up and listens to PDCCH only on specific paging occasion </w:t>
      </w:r>
      <w:r w:rsidRPr="00A604A3">
        <w:rPr>
          <w:lang w:eastAsia="zh-CN"/>
        </w:rPr>
        <w:lastRenderedPageBreak/>
        <w:t xml:space="preserve">defined in-terms of paging frame and subframe within period of N radio frames defined by the DRX cycle of the cell. The UE can remain in sleep mode for remaining duration within DRX cycle. </w:t>
      </w:r>
    </w:p>
    <w:p w:rsidR="00AE0549" w:rsidRPr="00A604A3" w:rsidRDefault="00AE0549" w:rsidP="009872A8">
      <w:pPr>
        <w:rPr>
          <w:lang w:eastAsia="zh-CN"/>
        </w:rPr>
      </w:pPr>
      <w:r w:rsidRPr="00A604A3">
        <w:rPr>
          <w:lang w:eastAsia="zh-CN"/>
        </w:rPr>
        <w:t>The UE listens to PDCCH on the paging occasion and decodes the PDCCH based on P-RNTI and if the PDCCH decoding is success, UE decodes the PDSCH indicated in the PDCCH. The UE enters into sleep mode if the PDCCH decoding is not successful or if the UE does not find any page for its UE-ID in the paging message.</w:t>
      </w:r>
    </w:p>
    <w:p w:rsidR="00AE0549" w:rsidRPr="00A604A3" w:rsidRDefault="00AE0549" w:rsidP="009872A8">
      <w:pPr>
        <w:rPr>
          <w:lang w:eastAsia="zh-CN"/>
        </w:rPr>
      </w:pPr>
      <w:r w:rsidRPr="00A604A3">
        <w:rPr>
          <w:lang w:eastAsia="zh-CN"/>
        </w:rPr>
        <w:t xml:space="preserve">The paging occasion of UE within DRX cycle is determined based on the UE-ID, DRX cycle and nB. n is the number of paging occasions per DRX cycle. Higher the value of nB indicates lesser the paging occasions within DRX cycle and vice versa. </w:t>
      </w:r>
    </w:p>
    <w:p w:rsidR="00AE0549" w:rsidRPr="00A604A3" w:rsidRDefault="00AE0549" w:rsidP="009872A8">
      <w:pPr>
        <w:rPr>
          <w:lang w:eastAsia="zh-CN"/>
        </w:rPr>
      </w:pPr>
      <w:r w:rsidRPr="00A604A3">
        <w:rPr>
          <w:lang w:eastAsia="zh-CN"/>
        </w:rPr>
        <w:t>For higher sleep ratio, higher DRX cycle needs to be configured at the cell.</w:t>
      </w:r>
    </w:p>
    <w:p w:rsidR="00AE0549" w:rsidRPr="006853C6" w:rsidRDefault="00AE0549" w:rsidP="009872A8">
      <w:pPr>
        <w:pStyle w:val="Headingb"/>
        <w:rPr>
          <w:lang w:val="en-GB"/>
        </w:rPr>
      </w:pPr>
      <w:r w:rsidRPr="006853C6">
        <w:rPr>
          <w:lang w:val="en-GB"/>
        </w:rPr>
        <w:t>Extended discontinuous reception (DRX) in RRC idle mode</w:t>
      </w:r>
    </w:p>
    <w:p w:rsidR="00AE0549" w:rsidRPr="00A604A3" w:rsidRDefault="00AE0549" w:rsidP="009872A8">
      <w:pPr>
        <w:rPr>
          <w:lang w:eastAsia="zh-CN"/>
        </w:rPr>
      </w:pPr>
      <w:r w:rsidRPr="00A604A3">
        <w:rPr>
          <w:lang w:eastAsia="zh-CN"/>
        </w:rPr>
        <w:t>To support higher sleep duration upto several hours for low complexity mMTC devices, extended DRX functionality can be configured in LTE.</w:t>
      </w:r>
    </w:p>
    <w:p w:rsidR="00AE0549" w:rsidRPr="00A604A3" w:rsidRDefault="00AE0549" w:rsidP="009872A8">
      <w:pPr>
        <w:rPr>
          <w:lang w:eastAsia="zh-CN"/>
        </w:rPr>
      </w:pPr>
      <w:r w:rsidRPr="00A604A3">
        <w:rPr>
          <w:lang w:eastAsia="zh-CN"/>
        </w:rPr>
        <w:t>When eDRX is configured for UE, the UE wakes up periodically in every longer DRX cycle defined as eDRX cycle for short duration called paging window to monitor the PDCCH for reception of paging message. The eDRX cycle length is configured in terms of number of hyper-frames (1 hyper frame =1024 radio frames) by higher layers. Maximum value of eDRX cycle is 256 hyper frames for LTE and 1024 for NB-IoT devices.</w:t>
      </w:r>
    </w:p>
    <w:p w:rsidR="00AE0549" w:rsidRPr="00A604A3" w:rsidRDefault="00AE0549" w:rsidP="009872A8">
      <w:pPr>
        <w:rPr>
          <w:lang w:eastAsia="zh-CN"/>
        </w:rPr>
      </w:pPr>
      <w:r w:rsidRPr="00A604A3">
        <w:rPr>
          <w:lang w:eastAsia="zh-CN"/>
        </w:rPr>
        <w:t>During the paging window, the UE monitors the PDCCH using the DRX cycle configured for the cell. The paging window duration will be longer than DRX cycle so that UE monitors for paging message in more than one paging occasion within paging window. (See Figure 14</w:t>
      </w:r>
      <w:r w:rsidR="001E5DDD">
        <w:rPr>
          <w:lang w:eastAsia="zh-CN"/>
        </w:rPr>
        <w:t>.)</w:t>
      </w:r>
    </w:p>
    <w:p w:rsidR="001E5DDD" w:rsidRDefault="001E5DDD" w:rsidP="001E5DDD">
      <w:pPr>
        <w:pStyle w:val="FigureNo"/>
      </w:pPr>
      <w:bookmarkStart w:id="555" w:name="_Ref536805360"/>
      <w:r>
        <w:t>Figure 14</w:t>
      </w:r>
    </w:p>
    <w:p w:rsidR="009872A8" w:rsidRPr="00A604A3" w:rsidRDefault="009872A8" w:rsidP="001E5DDD">
      <w:pPr>
        <w:pStyle w:val="Figuretitle"/>
      </w:pPr>
      <w:r w:rsidRPr="00A604A3">
        <w:t>Paging window</w:t>
      </w:r>
      <w:bookmarkEnd w:id="555"/>
    </w:p>
    <w:p w:rsidR="00AE0549" w:rsidRPr="00A604A3" w:rsidRDefault="009002F1" w:rsidP="001E5DDD">
      <w:pPr>
        <w:pStyle w:val="Figure"/>
      </w:pPr>
      <w:r>
        <w:pict>
          <v:shape id="_x0000_i1041" type="#_x0000_t75" style="width:374.75pt;height:122.75pt">
            <v:imagedata r:id="rId33" o:title=""/>
          </v:shape>
        </w:pict>
      </w:r>
    </w:p>
    <w:p w:rsidR="00AE0549" w:rsidRPr="00A604A3" w:rsidRDefault="00AE0549" w:rsidP="001E5DDD">
      <w:pPr>
        <w:rPr>
          <w:lang w:eastAsia="zh-CN"/>
        </w:rPr>
      </w:pPr>
      <w:r w:rsidRPr="00A604A3">
        <w:rPr>
          <w:lang w:eastAsia="zh-CN"/>
        </w:rPr>
        <w:t>The PTW is UE specific and defined in terms of PH (paging hyper frame) and starting and end position of the paging window within the paging hyper-frame.</w:t>
      </w:r>
    </w:p>
    <w:p w:rsidR="00AE0549" w:rsidRPr="00A604A3" w:rsidRDefault="00AE0549" w:rsidP="001E5DDD">
      <w:pPr>
        <w:rPr>
          <w:lang w:eastAsia="zh-CN"/>
        </w:rPr>
      </w:pPr>
      <w:r w:rsidRPr="00A604A3">
        <w:rPr>
          <w:lang w:eastAsia="zh-CN"/>
        </w:rPr>
        <w:t>The paging hyper frame is selected based on UE-ID and the extended DRX-cycle value. The length of extended DRX-cycle value can be configured as multiples of hyper-frame (1024 radio frames). Maximum eDRX length can be 1024 hyper frames (approximately) 3</w:t>
      </w:r>
      <w:r w:rsidR="001E5DDD">
        <w:rPr>
          <w:lang w:eastAsia="zh-CN"/>
        </w:rPr>
        <w:t> </w:t>
      </w:r>
      <w:r w:rsidRPr="00A604A3">
        <w:rPr>
          <w:lang w:eastAsia="zh-CN"/>
        </w:rPr>
        <w:t>hours.</w:t>
      </w:r>
    </w:p>
    <w:p w:rsidR="00AE0549" w:rsidRPr="00A604A3" w:rsidRDefault="00AE0549" w:rsidP="001E5DDD">
      <w:pPr>
        <w:rPr>
          <w:lang w:eastAsia="zh-CN"/>
        </w:rPr>
      </w:pPr>
      <w:r w:rsidRPr="00A604A3">
        <w:rPr>
          <w:lang w:eastAsia="zh-CN"/>
        </w:rPr>
        <w:t xml:space="preserve">The paging occasions where UE should monitor PDCCH for the UE configured with eDRX is given in terms of paging window within eDRX cycle. The start of paging window is aligned to the paging hyper frame calculated based on eDRX cycle and UE-ID. Within paging hyper frame, the paging window starts at radio frames in multiples of 256. The actual starting radio frame is determined based on UE-ID. From start of paging window UE </w:t>
      </w:r>
      <w:r w:rsidRPr="00A604A3">
        <w:rPr>
          <w:lang w:eastAsia="zh-CN"/>
        </w:rPr>
        <w:lastRenderedPageBreak/>
        <w:t>monitors all the paging occasions until the end of paging window which is calculated based paging window length configured by upper layers.</w:t>
      </w:r>
    </w:p>
    <w:p w:rsidR="00AE0549" w:rsidRPr="00A604A3" w:rsidRDefault="00AE0549" w:rsidP="001E5DDD">
      <w:pPr>
        <w:rPr>
          <w:lang w:eastAsia="zh-CN"/>
        </w:rPr>
      </w:pPr>
      <w:r w:rsidRPr="00A604A3">
        <w:rPr>
          <w:lang w:eastAsia="zh-CN"/>
        </w:rPr>
        <w:t>The UE enters into sleep mode at the end of PTW or if it has received a valid page for its UE ID within PTW whichever happens earlier and wake up only during next occurrence of PTW in next eDRX cycle.</w:t>
      </w:r>
    </w:p>
    <w:p w:rsidR="00AE0549" w:rsidRPr="006853C6" w:rsidRDefault="00AE0549" w:rsidP="001E5DDD">
      <w:pPr>
        <w:pStyle w:val="Headingb"/>
        <w:rPr>
          <w:lang w:val="en-GB"/>
        </w:rPr>
      </w:pPr>
      <w:r w:rsidRPr="006853C6">
        <w:rPr>
          <w:lang w:val="en-GB"/>
        </w:rPr>
        <w:t>Paging with wake-up signal in idle mode</w:t>
      </w:r>
    </w:p>
    <w:p w:rsidR="00AE0549" w:rsidRPr="00A604A3" w:rsidRDefault="00AE0549" w:rsidP="001E5DDD">
      <w:pPr>
        <w:rPr>
          <w:lang w:eastAsia="zh-CN"/>
        </w:rPr>
      </w:pPr>
      <w:r w:rsidRPr="00A604A3">
        <w:rPr>
          <w:lang w:eastAsia="zh-CN"/>
        </w:rPr>
        <w:t xml:space="preserve">When UE supports WUS and the cell is configured to support WUS transmission, UE shall monitor WUS prior to paging reception on the PO. If DRX is used and if UE detects WUS it reads the PDCCH in the following PO. If eDRX is configured and if the UE detects WUS within its paging window, it monitors N paging occasions configured by higher layers. If the UE does not detect WUS it need not monitor the following paging occasions. </w:t>
      </w:r>
    </w:p>
    <w:p w:rsidR="00AE0549" w:rsidRPr="001E5DDD" w:rsidRDefault="00AE0549" w:rsidP="001E5DDD">
      <w:pPr>
        <w:pStyle w:val="Headingb"/>
        <w:rPr>
          <w:lang w:val="en-GB"/>
        </w:rPr>
      </w:pPr>
      <w:r w:rsidRPr="001E5DDD">
        <w:rPr>
          <w:lang w:val="en-GB"/>
        </w:rPr>
        <w:t>Power saving mode operation in idle mode (PSM)</w:t>
      </w:r>
    </w:p>
    <w:p w:rsidR="00AE0549" w:rsidRPr="00A604A3" w:rsidRDefault="00AE0549" w:rsidP="001E5DDD">
      <w:pPr>
        <w:rPr>
          <w:lang w:eastAsia="zh-CN"/>
        </w:rPr>
      </w:pPr>
      <w:r w:rsidRPr="00A604A3">
        <w:rPr>
          <w:lang w:eastAsia="zh-CN"/>
        </w:rPr>
        <w:t>The UE may be configured by higher layers to enter into indefinite sleep after configurable timer duration from last successful uplink transmission. The UE exit the sleep mode when it needs to send next uplink transmission for sending tracking area update or for application data transmission. The UE is not expected to listen to any downlink channels including PDCCH for paging when it is in sleep mode. Any network-initiated downlink data transmission towards the UE needs to be delayed until UE access the network for next uplink transmission.</w:t>
      </w:r>
    </w:p>
    <w:p w:rsidR="00AE0549" w:rsidRPr="00A604A3" w:rsidRDefault="00AE0549" w:rsidP="001E5DDD">
      <w:pPr>
        <w:pStyle w:val="Headingi"/>
      </w:pPr>
      <w:r w:rsidRPr="00A604A3">
        <w:t>For EN-DC operation:</w:t>
      </w:r>
    </w:p>
    <w:p w:rsidR="00AE0549" w:rsidRPr="00A604A3" w:rsidRDefault="00AE0549" w:rsidP="001E5DDD">
      <w:pPr>
        <w:rPr>
          <w:rFonts w:eastAsia="SimSun"/>
          <w:lang w:eastAsia="zh-CN"/>
        </w:rPr>
      </w:pPr>
      <w:r w:rsidRPr="00A604A3">
        <w:t>In EN-DC operation, the en-gNB may autonomously decide to switch-off NR cells to lower energy consumption. MeNBs are informed by the en-gNB owning the concerned cell about the switch-off actions over the X2 interface with the EN-DC Configuration Update procedure. The en-gNB may initiate dual connectivity procedures towards the MeNB in order to off-load the cell being switched off and may indicate the reason for release or modification with an appropriate cause value to support the master node in taking subsequent actions. The MeNB may request a re-activation over the X2 interface if capacity needs demand to do so. This is achieved via the EN-DC Cell Activation procedure. The switch-on decision may also be taken by O&amp;M. All peer eNBs are informed by the en-gNB owning the concerned NR cell about the re-activation by an indication on the X2 interface.</w:t>
      </w:r>
    </w:p>
    <w:p w:rsidR="00AE0549" w:rsidRPr="00A604A3" w:rsidRDefault="00AE0549" w:rsidP="00470885">
      <w:pPr>
        <w:pStyle w:val="BodyText"/>
        <w:tabs>
          <w:tab w:val="clear" w:pos="794"/>
          <w:tab w:val="clear" w:pos="1191"/>
          <w:tab w:val="clear" w:pos="1588"/>
          <w:tab w:val="clear" w:pos="1985"/>
        </w:tabs>
        <w:spacing w:before="0" w:after="0"/>
        <w:jc w:val="both"/>
        <w:rPr>
          <w:rFonts w:eastAsia="SimSun"/>
          <w:color w:val="000000" w:themeColor="text1"/>
          <w:szCs w:val="24"/>
          <w:lang w:eastAsia="zh-CN"/>
        </w:rPr>
      </w:pPr>
    </w:p>
    <w:p w:rsidR="00AE0549" w:rsidRPr="00A604A3" w:rsidRDefault="001E5DDD" w:rsidP="001E5DDD">
      <w:pPr>
        <w:pStyle w:val="Heading4"/>
        <w:rPr>
          <w:rFonts w:eastAsia="MS Mincho"/>
        </w:rPr>
      </w:pPr>
      <w:r>
        <w:rPr>
          <w:rFonts w:eastAsia="MS Mincho"/>
        </w:rPr>
        <w:t>II.5.10.2</w:t>
      </w:r>
      <w:r>
        <w:rPr>
          <w:rFonts w:eastAsia="MS Mincho"/>
        </w:rPr>
        <w:tab/>
      </w:r>
      <w:r w:rsidR="00AE0549" w:rsidRPr="00A604A3">
        <w:rPr>
          <w:rFonts w:eastAsia="MS Mincho"/>
        </w:rPr>
        <w:t>Evaluation of sleep ratio and sleep duration</w:t>
      </w:r>
    </w:p>
    <w:p w:rsidR="00AE0549" w:rsidRPr="00A604A3" w:rsidRDefault="001E5DDD" w:rsidP="001E5DDD">
      <w:pPr>
        <w:pStyle w:val="Heading5"/>
        <w:rPr>
          <w:rFonts w:eastAsia="MS Mincho"/>
        </w:rPr>
      </w:pPr>
      <w:r>
        <w:rPr>
          <w:rFonts w:eastAsia="MS Mincho"/>
        </w:rPr>
        <w:t>II.5.10.2.1</w:t>
      </w:r>
      <w:r>
        <w:rPr>
          <w:rFonts w:eastAsia="MS Mincho"/>
        </w:rPr>
        <w:tab/>
      </w:r>
      <w:r w:rsidR="00AE0549" w:rsidRPr="00A604A3">
        <w:rPr>
          <w:rFonts w:eastAsia="MS Mincho"/>
        </w:rPr>
        <w:t>5G NR</w:t>
      </w:r>
    </w:p>
    <w:p w:rsidR="00AE0549" w:rsidRPr="00A604A3" w:rsidRDefault="001E5DDD" w:rsidP="001E5DDD">
      <w:pPr>
        <w:pStyle w:val="Heading6"/>
        <w:rPr>
          <w:rFonts w:eastAsia="MS Mincho"/>
        </w:rPr>
      </w:pPr>
      <w:r>
        <w:rPr>
          <w:rFonts w:eastAsia="MS Mincho"/>
        </w:rPr>
        <w:t>II.5.10.2.1.1</w:t>
      </w:r>
      <w:r>
        <w:rPr>
          <w:rFonts w:eastAsia="MS Mincho"/>
        </w:rPr>
        <w:tab/>
      </w:r>
      <w:r w:rsidR="00AE0549" w:rsidRPr="00A604A3">
        <w:rPr>
          <w:rFonts w:eastAsia="MS Mincho"/>
        </w:rPr>
        <w:t>NR network side</w:t>
      </w:r>
    </w:p>
    <w:p w:rsidR="00AE0549" w:rsidRPr="00A604A3" w:rsidRDefault="00AE0549" w:rsidP="00517526">
      <w:pPr>
        <w:rPr>
          <w:lang w:eastAsia="zh-CN"/>
        </w:rPr>
      </w:pPr>
      <w:r w:rsidRPr="00A604A3">
        <w:rPr>
          <w:lang w:eastAsia="zh-CN"/>
        </w:rPr>
        <w:t>The sleep ratio for NR on the network side is given in [14], and the following Table 118 and Table 119 for the sleep ratio is taken from there:</w:t>
      </w:r>
    </w:p>
    <w:p w:rsidR="00517526" w:rsidRDefault="005016ED" w:rsidP="00517526">
      <w:pPr>
        <w:pStyle w:val="TableNo"/>
        <w:rPr>
          <w:rFonts w:eastAsia="MS Mincho"/>
        </w:rPr>
      </w:pPr>
      <w:bookmarkStart w:id="556" w:name="_Ref25071456"/>
      <w:bookmarkStart w:id="557" w:name="_Toc28265815"/>
      <w:bookmarkStart w:id="558" w:name="_Toc28277049"/>
      <w:bookmarkStart w:id="559" w:name="_Toc32066466"/>
      <w:r>
        <w:rPr>
          <w:rFonts w:eastAsia="MS Mincho"/>
        </w:rPr>
        <w:lastRenderedPageBreak/>
        <w:t>Table 119</w:t>
      </w:r>
    </w:p>
    <w:p w:rsidR="00517526" w:rsidRPr="00A604A3" w:rsidRDefault="00517526" w:rsidP="00517526">
      <w:pPr>
        <w:pStyle w:val="Tabletitle"/>
        <w:rPr>
          <w:rFonts w:eastAsia="MS Mincho"/>
        </w:rPr>
      </w:pPr>
      <w:r w:rsidRPr="00A604A3">
        <w:rPr>
          <w:rFonts w:eastAsia="MS Mincho"/>
        </w:rPr>
        <w:t>NR network sleep ratio in slot level (from [14])</w:t>
      </w:r>
      <w:bookmarkEnd w:id="556"/>
      <w:bookmarkEnd w:id="557"/>
      <w:bookmarkEnd w:id="558"/>
      <w:bookmarkEnd w:id="559"/>
    </w:p>
    <w:tbl>
      <w:tblPr>
        <w:tblStyle w:val="TableGrid"/>
        <w:tblW w:w="5000" w:type="pct"/>
        <w:jc w:val="center"/>
        <w:tblLook w:val="04A0" w:firstRow="1" w:lastRow="0" w:firstColumn="1" w:lastColumn="0" w:noHBand="0" w:noVBand="1"/>
      </w:tblPr>
      <w:tblGrid>
        <w:gridCol w:w="1188"/>
        <w:gridCol w:w="1452"/>
        <w:gridCol w:w="1062"/>
        <w:gridCol w:w="1062"/>
        <w:gridCol w:w="1062"/>
        <w:gridCol w:w="1062"/>
        <w:gridCol w:w="1062"/>
        <w:gridCol w:w="1066"/>
      </w:tblGrid>
      <w:tr w:rsidR="00AE0549" w:rsidRPr="005016ED" w:rsidTr="005A10DA">
        <w:trPr>
          <w:trHeight w:val="201"/>
          <w:jc w:val="center"/>
        </w:trPr>
        <w:tc>
          <w:tcPr>
            <w:tcW w:w="1464" w:type="pct"/>
            <w:gridSpan w:val="2"/>
            <w:vAlign w:val="center"/>
          </w:tcPr>
          <w:p w:rsidR="00AE0549" w:rsidRPr="005016ED" w:rsidRDefault="00AE0549" w:rsidP="005016ED">
            <w:pPr>
              <w:pStyle w:val="Tablehead"/>
              <w:rPr>
                <w:sz w:val="18"/>
                <w:szCs w:val="18"/>
                <w:lang w:eastAsia="zh-CN"/>
              </w:rPr>
            </w:pPr>
            <w:bookmarkStart w:id="560" w:name="OLE_LINK123"/>
            <w:bookmarkStart w:id="561" w:name="OLE_LINK124"/>
            <w:r w:rsidRPr="005016ED">
              <w:rPr>
                <w:sz w:val="18"/>
                <w:szCs w:val="18"/>
                <w:lang w:eastAsia="zh-CN"/>
              </w:rPr>
              <w:t>SSB configuration</w:t>
            </w:r>
          </w:p>
        </w:tc>
        <w:tc>
          <w:tcPr>
            <w:tcW w:w="3536" w:type="pct"/>
            <w:gridSpan w:val="6"/>
            <w:noWrap/>
            <w:vAlign w:val="center"/>
          </w:tcPr>
          <w:p w:rsidR="00AE0549" w:rsidRPr="005016ED" w:rsidRDefault="00AE0549" w:rsidP="005016ED">
            <w:pPr>
              <w:pStyle w:val="Tablehead"/>
              <w:rPr>
                <w:sz w:val="18"/>
                <w:szCs w:val="18"/>
                <w:lang w:eastAsia="zh-CN"/>
              </w:rPr>
            </w:pPr>
            <w:r w:rsidRPr="005016ED">
              <w:rPr>
                <w:sz w:val="18"/>
                <w:szCs w:val="18"/>
                <w:lang w:eastAsia="zh-CN"/>
              </w:rPr>
              <w:t xml:space="preserve">SSB set periodicity </w:t>
            </w:r>
            <w:r w:rsidRPr="005016ED">
              <w:rPr>
                <w:i/>
                <w:sz w:val="18"/>
                <w:szCs w:val="18"/>
                <w:lang w:eastAsia="zh-CN"/>
              </w:rPr>
              <w:t>P</w:t>
            </w:r>
            <w:r w:rsidRPr="005016ED">
              <w:rPr>
                <w:sz w:val="18"/>
                <w:szCs w:val="18"/>
                <w:vertAlign w:val="subscript"/>
                <w:lang w:eastAsia="zh-CN"/>
              </w:rPr>
              <w:t>SSB</w:t>
            </w:r>
          </w:p>
        </w:tc>
      </w:tr>
      <w:tr w:rsidR="00AE0549" w:rsidRPr="005016ED" w:rsidTr="005A10DA">
        <w:trPr>
          <w:trHeight w:val="270"/>
          <w:jc w:val="center"/>
        </w:trPr>
        <w:tc>
          <w:tcPr>
            <w:tcW w:w="659" w:type="pct"/>
            <w:vAlign w:val="center"/>
          </w:tcPr>
          <w:p w:rsidR="00AE0549" w:rsidRPr="005016ED" w:rsidRDefault="00AE0549" w:rsidP="005016ED">
            <w:pPr>
              <w:pStyle w:val="Tablehead"/>
              <w:rPr>
                <w:sz w:val="18"/>
                <w:szCs w:val="18"/>
                <w:lang w:eastAsia="zh-CN"/>
              </w:rPr>
            </w:pPr>
            <w:r w:rsidRPr="005016ED">
              <w:rPr>
                <w:sz w:val="18"/>
                <w:szCs w:val="18"/>
                <w:lang w:eastAsia="zh-CN"/>
              </w:rPr>
              <w:t>SCS [kHz]</w:t>
            </w:r>
          </w:p>
        </w:tc>
        <w:tc>
          <w:tcPr>
            <w:tcW w:w="805" w:type="pct"/>
            <w:vAlign w:val="center"/>
          </w:tcPr>
          <w:p w:rsidR="00AE0549" w:rsidRPr="005016ED" w:rsidRDefault="00AE0549" w:rsidP="005016ED">
            <w:pPr>
              <w:pStyle w:val="Tablehead"/>
              <w:rPr>
                <w:sz w:val="18"/>
                <w:szCs w:val="18"/>
                <w:lang w:eastAsia="zh-CN"/>
              </w:rPr>
            </w:pPr>
            <w:r w:rsidRPr="005016ED">
              <w:rPr>
                <w:sz w:val="18"/>
                <w:szCs w:val="18"/>
                <w:lang w:eastAsia="zh-CN"/>
              </w:rPr>
              <w:t xml:space="preserve">Number of SS/PBCH block per SSB set, </w:t>
            </w:r>
            <w:r w:rsidRPr="005016ED">
              <w:rPr>
                <w:i/>
                <w:sz w:val="18"/>
                <w:szCs w:val="18"/>
                <w:lang w:eastAsia="zh-CN"/>
              </w:rPr>
              <w:t>L</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5</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10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20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40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80</w:t>
            </w:r>
            <w:r w:rsidR="005016ED" w:rsidRPr="005016ED">
              <w:rPr>
                <w:sz w:val="18"/>
                <w:szCs w:val="18"/>
                <w:lang w:eastAsia="zh-CN"/>
              </w:rPr>
              <w:t> </w:t>
            </w:r>
            <w:r w:rsidRPr="005016ED">
              <w:rPr>
                <w:sz w:val="18"/>
                <w:szCs w:val="18"/>
                <w:lang w:eastAsia="zh-CN"/>
              </w:rPr>
              <w:t>ms</w:t>
            </w:r>
          </w:p>
        </w:tc>
        <w:tc>
          <w:tcPr>
            <w:tcW w:w="591" w:type="pct"/>
            <w:noWrap/>
            <w:vAlign w:val="center"/>
          </w:tcPr>
          <w:p w:rsidR="00AE0549" w:rsidRPr="005016ED" w:rsidRDefault="00AE0549" w:rsidP="005016ED">
            <w:pPr>
              <w:pStyle w:val="Tablehead"/>
              <w:rPr>
                <w:sz w:val="18"/>
                <w:szCs w:val="18"/>
                <w:lang w:eastAsia="zh-CN"/>
              </w:rPr>
            </w:pPr>
            <w:r w:rsidRPr="005016ED">
              <w:rPr>
                <w:sz w:val="18"/>
                <w:szCs w:val="18"/>
                <w:lang w:eastAsia="zh-CN"/>
              </w:rPr>
              <w:t>160</w:t>
            </w:r>
            <w:r w:rsidR="005016ED" w:rsidRPr="005016ED">
              <w:rPr>
                <w:sz w:val="18"/>
                <w:szCs w:val="18"/>
                <w:lang w:eastAsia="zh-CN"/>
              </w:rPr>
              <w:t> </w:t>
            </w:r>
            <w:r w:rsidRPr="005016ED">
              <w:rPr>
                <w:sz w:val="18"/>
                <w:szCs w:val="18"/>
                <w:lang w:eastAsia="zh-CN"/>
              </w:rPr>
              <w:t>ms</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15</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2</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30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99.84%</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4</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120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8</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16</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240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16</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r>
      <w:tr w:rsidR="00AE0549" w:rsidRPr="005016ED" w:rsidTr="005A10DA">
        <w:trPr>
          <w:trHeight w:val="270"/>
          <w:jc w:val="center"/>
        </w:trPr>
        <w:tc>
          <w:tcPr>
            <w:tcW w:w="659" w:type="pct"/>
            <w:vMerge/>
            <w:vAlign w:val="center"/>
          </w:tcPr>
          <w:p w:rsidR="00AE0549" w:rsidRPr="005016ED" w:rsidRDefault="00AE0549" w:rsidP="005016ED">
            <w:pPr>
              <w:pStyle w:val="Tabletext"/>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32</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bl>
    <w:p w:rsidR="005A10DA" w:rsidRDefault="005A10DA" w:rsidP="005A10DA">
      <w:pPr>
        <w:pStyle w:val="Tablefin"/>
      </w:pPr>
      <w:bookmarkStart w:id="562" w:name="_Ref25071467"/>
      <w:bookmarkStart w:id="563" w:name="_Toc28265816"/>
      <w:bookmarkStart w:id="564" w:name="_Toc28277050"/>
      <w:bookmarkStart w:id="565" w:name="_Toc32066467"/>
      <w:bookmarkEnd w:id="560"/>
      <w:bookmarkEnd w:id="561"/>
    </w:p>
    <w:p w:rsidR="005A10DA" w:rsidRDefault="005A10DA" w:rsidP="005A10DA">
      <w:pPr>
        <w:pStyle w:val="TableNo"/>
        <w:rPr>
          <w:rFonts w:eastAsia="MS Mincho"/>
        </w:rPr>
      </w:pPr>
      <w:r>
        <w:rPr>
          <w:rFonts w:eastAsia="MS Mincho"/>
        </w:rPr>
        <w:t>Table 120</w:t>
      </w:r>
    </w:p>
    <w:p w:rsidR="005A10DA" w:rsidRPr="00A604A3" w:rsidRDefault="005A10DA" w:rsidP="005A10DA">
      <w:pPr>
        <w:pStyle w:val="Tabletitle"/>
        <w:rPr>
          <w:rFonts w:eastAsia="MS Mincho"/>
        </w:rPr>
      </w:pPr>
      <w:r w:rsidRPr="00A604A3">
        <w:rPr>
          <w:rFonts w:eastAsia="MS Mincho"/>
        </w:rPr>
        <w:t>NR network sleep ratio in symbol level (from [14])</w:t>
      </w:r>
      <w:bookmarkEnd w:id="562"/>
      <w:bookmarkEnd w:id="563"/>
      <w:bookmarkEnd w:id="564"/>
      <w:bookmarkEnd w:id="565"/>
    </w:p>
    <w:tbl>
      <w:tblPr>
        <w:tblStyle w:val="TableGrid"/>
        <w:tblW w:w="5000" w:type="pct"/>
        <w:jc w:val="center"/>
        <w:tblLook w:val="04A0" w:firstRow="1" w:lastRow="0" w:firstColumn="1" w:lastColumn="0" w:noHBand="0" w:noVBand="1"/>
      </w:tblPr>
      <w:tblGrid>
        <w:gridCol w:w="1186"/>
        <w:gridCol w:w="1487"/>
        <w:gridCol w:w="1058"/>
        <w:gridCol w:w="1058"/>
        <w:gridCol w:w="1058"/>
        <w:gridCol w:w="1058"/>
        <w:gridCol w:w="1058"/>
        <w:gridCol w:w="1053"/>
      </w:tblGrid>
      <w:tr w:rsidR="00AE0549" w:rsidRPr="008D0508" w:rsidTr="008D0508">
        <w:trPr>
          <w:trHeight w:val="201"/>
          <w:jc w:val="center"/>
        </w:trPr>
        <w:tc>
          <w:tcPr>
            <w:tcW w:w="1481" w:type="pct"/>
            <w:gridSpan w:val="2"/>
            <w:vAlign w:val="center"/>
          </w:tcPr>
          <w:p w:rsidR="00AE0549" w:rsidRPr="008D0508" w:rsidRDefault="00AE0549" w:rsidP="008D0508">
            <w:pPr>
              <w:pStyle w:val="Tablehead"/>
              <w:rPr>
                <w:sz w:val="18"/>
                <w:szCs w:val="18"/>
                <w:lang w:eastAsia="zh-CN"/>
              </w:rPr>
            </w:pPr>
            <w:r w:rsidRPr="008D0508">
              <w:rPr>
                <w:sz w:val="18"/>
                <w:szCs w:val="18"/>
                <w:lang w:eastAsia="zh-CN"/>
              </w:rPr>
              <w:t>SSB configuration</w:t>
            </w:r>
          </w:p>
        </w:tc>
        <w:tc>
          <w:tcPr>
            <w:tcW w:w="3519" w:type="pct"/>
            <w:gridSpan w:val="6"/>
            <w:noWrap/>
            <w:vAlign w:val="center"/>
          </w:tcPr>
          <w:p w:rsidR="00AE0549" w:rsidRPr="008D0508" w:rsidRDefault="00AE0549" w:rsidP="008D0508">
            <w:pPr>
              <w:pStyle w:val="Tablehead"/>
              <w:rPr>
                <w:sz w:val="18"/>
                <w:szCs w:val="18"/>
                <w:lang w:eastAsia="zh-CN"/>
              </w:rPr>
            </w:pPr>
            <w:r w:rsidRPr="008D0508">
              <w:rPr>
                <w:sz w:val="18"/>
                <w:szCs w:val="18"/>
                <w:lang w:eastAsia="zh-CN"/>
              </w:rPr>
              <w:t xml:space="preserve">SSB set periodicity </w:t>
            </w:r>
            <w:r w:rsidRPr="008D0508">
              <w:rPr>
                <w:i/>
                <w:sz w:val="18"/>
                <w:szCs w:val="18"/>
                <w:lang w:eastAsia="zh-CN"/>
              </w:rPr>
              <w:t>P</w:t>
            </w:r>
            <w:r w:rsidRPr="008D0508">
              <w:rPr>
                <w:sz w:val="18"/>
                <w:szCs w:val="18"/>
                <w:vertAlign w:val="subscript"/>
                <w:lang w:eastAsia="zh-CN"/>
              </w:rPr>
              <w:t>SSB</w:t>
            </w:r>
          </w:p>
        </w:tc>
      </w:tr>
      <w:tr w:rsidR="00AE0549" w:rsidRPr="008D0508" w:rsidTr="008D0508">
        <w:trPr>
          <w:trHeight w:val="270"/>
          <w:jc w:val="center"/>
        </w:trPr>
        <w:tc>
          <w:tcPr>
            <w:tcW w:w="657" w:type="pct"/>
            <w:vAlign w:val="center"/>
          </w:tcPr>
          <w:p w:rsidR="00AE0549" w:rsidRPr="008D0508" w:rsidRDefault="00AE0549" w:rsidP="008D0508">
            <w:pPr>
              <w:pStyle w:val="Tablehead"/>
              <w:rPr>
                <w:sz w:val="18"/>
                <w:szCs w:val="18"/>
                <w:lang w:eastAsia="zh-CN"/>
              </w:rPr>
            </w:pPr>
            <w:r w:rsidRPr="008D0508">
              <w:rPr>
                <w:sz w:val="18"/>
                <w:szCs w:val="18"/>
                <w:lang w:eastAsia="zh-CN"/>
              </w:rPr>
              <w:t>SCS [kHz]</w:t>
            </w:r>
          </w:p>
        </w:tc>
        <w:tc>
          <w:tcPr>
            <w:tcW w:w="824" w:type="pct"/>
            <w:vAlign w:val="center"/>
          </w:tcPr>
          <w:p w:rsidR="00AE0549" w:rsidRPr="008D0508" w:rsidRDefault="00AE0549" w:rsidP="008D0508">
            <w:pPr>
              <w:pStyle w:val="Tablehead"/>
              <w:rPr>
                <w:sz w:val="18"/>
                <w:szCs w:val="18"/>
                <w:lang w:eastAsia="zh-CN"/>
              </w:rPr>
            </w:pPr>
            <w:r w:rsidRPr="008D0508">
              <w:rPr>
                <w:sz w:val="18"/>
                <w:szCs w:val="18"/>
                <w:lang w:eastAsia="zh-CN"/>
              </w:rPr>
              <w:t xml:space="preserve">Number of SS/PBCH block per SSB set, </w:t>
            </w:r>
            <w:r w:rsidRPr="008D0508">
              <w:rPr>
                <w:i/>
                <w:sz w:val="18"/>
                <w:szCs w:val="18"/>
                <w:lang w:eastAsia="zh-CN"/>
              </w:rPr>
              <w:t>L</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5</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10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20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40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80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160</w:t>
            </w:r>
            <w:r w:rsidR="008D0508">
              <w:rPr>
                <w:sz w:val="18"/>
                <w:szCs w:val="18"/>
                <w:lang w:eastAsia="zh-CN"/>
              </w:rPr>
              <w:t> </w:t>
            </w:r>
            <w:r w:rsidRPr="008D0508">
              <w:rPr>
                <w:sz w:val="18"/>
                <w:szCs w:val="18"/>
                <w:lang w:eastAsia="zh-CN"/>
              </w:rPr>
              <w:t>ms</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15</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93.57%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96.43%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99.46%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99.73%</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2</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92.86%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95.71%</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99.46%</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30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96.79%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98.21%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99.46%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99.73%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99.87%</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92.86%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95.71%</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99.46%</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120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8</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99.64%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99.82%</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99.64%</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240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99.64%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99.82%</w:t>
            </w:r>
          </w:p>
        </w:tc>
      </w:tr>
      <w:tr w:rsidR="00AE0549" w:rsidRPr="008D0508" w:rsidTr="008D0508">
        <w:trPr>
          <w:trHeight w:val="270"/>
          <w:jc w:val="center"/>
        </w:trPr>
        <w:tc>
          <w:tcPr>
            <w:tcW w:w="657" w:type="pct"/>
            <w:vMerge/>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32</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99.64%</w:t>
            </w:r>
          </w:p>
        </w:tc>
      </w:tr>
    </w:tbl>
    <w:p w:rsidR="00AE0549" w:rsidRPr="00A604A3" w:rsidRDefault="00AE0549" w:rsidP="008D0508">
      <w:pPr>
        <w:pStyle w:val="Tablefin"/>
        <w:rPr>
          <w:lang w:eastAsia="zh-CN"/>
        </w:rPr>
      </w:pPr>
    </w:p>
    <w:p w:rsidR="00AE0549" w:rsidRPr="00A604A3" w:rsidRDefault="00AE0549" w:rsidP="008D0508">
      <w:pPr>
        <w:rPr>
          <w:rFonts w:eastAsia="MS Mincho"/>
        </w:rPr>
      </w:pPr>
      <w:r w:rsidRPr="00A604A3">
        <w:rPr>
          <w:rFonts w:eastAsia="MS Mincho"/>
        </w:rPr>
        <w:t>From Table 118 it can be seen that with SSB set period of 5 ms, more than 80% of sleep ratio can be obtained, and with SSB set period larger than 10 ms more than 90% of sleep ratio can be obtained.</w:t>
      </w:r>
    </w:p>
    <w:p w:rsidR="00AE0549" w:rsidRPr="00A604A3" w:rsidRDefault="00AE0549" w:rsidP="008D0508">
      <w:pPr>
        <w:rPr>
          <w:rFonts w:eastAsia="MS Mincho"/>
        </w:rPr>
      </w:pPr>
      <w:r w:rsidRPr="00A604A3">
        <w:rPr>
          <w:rFonts w:eastAsia="MS Mincho"/>
        </w:rPr>
        <w:t>Table 119 shows that the sleep ratio is higher with finer sleep granularity (symbol level).</w:t>
      </w:r>
    </w:p>
    <w:p w:rsidR="00AE0549" w:rsidRPr="00A604A3" w:rsidRDefault="00AE0549" w:rsidP="008D0508">
      <w:r w:rsidRPr="00A604A3">
        <w:rPr>
          <w:rFonts w:eastAsia="MS Mincho"/>
        </w:rPr>
        <w:t>Therefore, it can be concluded that 5G NR networks can achieve high sleep ratio in the unloaded case.</w:t>
      </w:r>
    </w:p>
    <w:p w:rsidR="00AE0549" w:rsidRPr="00A604A3" w:rsidRDefault="00AE0549" w:rsidP="008D0508">
      <w:pPr>
        <w:rPr>
          <w:color w:val="000000" w:themeColor="text1"/>
          <w:lang w:eastAsia="zh-CN"/>
        </w:rPr>
      </w:pPr>
      <w:r w:rsidRPr="00A604A3">
        <w:rPr>
          <w:color w:val="000000" w:themeColor="text1"/>
          <w:lang w:eastAsia="zh-CN"/>
        </w:rPr>
        <w:t>The sleep duration for NR on the network side is given in [14], and Table 120 for the sleep duration is taken from there.</w:t>
      </w:r>
    </w:p>
    <w:p w:rsidR="008D0508" w:rsidRDefault="008D0508" w:rsidP="008D0508">
      <w:pPr>
        <w:pStyle w:val="TableNo"/>
        <w:rPr>
          <w:rFonts w:eastAsia="MS Mincho"/>
        </w:rPr>
      </w:pPr>
      <w:bookmarkStart w:id="566" w:name="_Ref25071474"/>
      <w:bookmarkStart w:id="567" w:name="_Toc28265817"/>
      <w:bookmarkStart w:id="568" w:name="_Toc28277051"/>
      <w:bookmarkStart w:id="569" w:name="_Toc32066468"/>
      <w:r>
        <w:rPr>
          <w:rFonts w:eastAsia="MS Mincho"/>
        </w:rPr>
        <w:lastRenderedPageBreak/>
        <w:t>Table 120</w:t>
      </w:r>
    </w:p>
    <w:p w:rsidR="008D0508" w:rsidRPr="00A604A3" w:rsidRDefault="008D0508" w:rsidP="008D0508">
      <w:pPr>
        <w:pStyle w:val="Tabletitle"/>
        <w:rPr>
          <w:rFonts w:eastAsia="MS Mincho"/>
        </w:rPr>
      </w:pPr>
      <w:r w:rsidRPr="00A604A3">
        <w:rPr>
          <w:rFonts w:eastAsia="MS Mincho"/>
        </w:rPr>
        <w:t>NR network sleep dur</w:t>
      </w:r>
      <w:r w:rsidR="00AC5261">
        <w:rPr>
          <w:rFonts w:eastAsia="MS Mincho"/>
        </w:rPr>
        <w:t xml:space="preserve">ation (ms) in slot level (from </w:t>
      </w:r>
      <w:r w:rsidRPr="00A604A3">
        <w:rPr>
          <w:rFonts w:eastAsia="MS Mincho"/>
        </w:rPr>
        <w:t>[14])</w:t>
      </w:r>
      <w:bookmarkEnd w:id="566"/>
      <w:bookmarkEnd w:id="567"/>
      <w:bookmarkEnd w:id="568"/>
      <w:bookmarkEnd w:id="569"/>
    </w:p>
    <w:tbl>
      <w:tblPr>
        <w:tblStyle w:val="TableGrid"/>
        <w:tblW w:w="5000" w:type="pct"/>
        <w:jc w:val="center"/>
        <w:tblLook w:val="04A0" w:firstRow="1" w:lastRow="0" w:firstColumn="1" w:lastColumn="0" w:noHBand="0" w:noVBand="1"/>
      </w:tblPr>
      <w:tblGrid>
        <w:gridCol w:w="1352"/>
        <w:gridCol w:w="1697"/>
        <w:gridCol w:w="1040"/>
        <w:gridCol w:w="867"/>
        <w:gridCol w:w="1042"/>
        <w:gridCol w:w="1040"/>
        <w:gridCol w:w="1042"/>
        <w:gridCol w:w="936"/>
      </w:tblGrid>
      <w:tr w:rsidR="00AE0549" w:rsidRPr="00A604A3" w:rsidTr="008D0508">
        <w:trPr>
          <w:trHeight w:val="201"/>
          <w:jc w:val="center"/>
        </w:trPr>
        <w:tc>
          <w:tcPr>
            <w:tcW w:w="1690" w:type="pct"/>
            <w:gridSpan w:val="2"/>
            <w:vAlign w:val="center"/>
          </w:tcPr>
          <w:p w:rsidR="00AE0549" w:rsidRPr="00A604A3" w:rsidRDefault="00AE0549" w:rsidP="008D0508">
            <w:pPr>
              <w:pStyle w:val="Tablehead"/>
              <w:rPr>
                <w:lang w:eastAsia="zh-CN"/>
              </w:rPr>
            </w:pPr>
            <w:r w:rsidRPr="00A604A3">
              <w:rPr>
                <w:lang w:eastAsia="zh-CN"/>
              </w:rPr>
              <w:t>SSB configuration</w:t>
            </w:r>
          </w:p>
        </w:tc>
        <w:tc>
          <w:tcPr>
            <w:tcW w:w="3310" w:type="pct"/>
            <w:gridSpan w:val="6"/>
            <w:noWrap/>
            <w:vAlign w:val="center"/>
          </w:tcPr>
          <w:p w:rsidR="00AE0549" w:rsidRPr="00A604A3" w:rsidRDefault="00AE0549" w:rsidP="008D0508">
            <w:pPr>
              <w:pStyle w:val="Tablehead"/>
              <w:rPr>
                <w:lang w:eastAsia="zh-CN"/>
              </w:rPr>
            </w:pPr>
            <w:r w:rsidRPr="00A604A3">
              <w:rPr>
                <w:lang w:eastAsia="zh-CN"/>
              </w:rPr>
              <w:t xml:space="preserve">SSB set periodicity </w:t>
            </w:r>
            <w:r w:rsidRPr="00A604A3">
              <w:rPr>
                <w:i/>
                <w:lang w:eastAsia="zh-CN"/>
              </w:rPr>
              <w:t>P</w:t>
            </w:r>
            <w:r w:rsidRPr="00A604A3">
              <w:rPr>
                <w:vertAlign w:val="subscript"/>
                <w:lang w:eastAsia="zh-CN"/>
              </w:rPr>
              <w:t>SSB</w:t>
            </w:r>
          </w:p>
        </w:tc>
      </w:tr>
      <w:tr w:rsidR="00AE0549" w:rsidRPr="00A604A3" w:rsidTr="008D0508">
        <w:trPr>
          <w:trHeight w:val="270"/>
          <w:jc w:val="center"/>
        </w:trPr>
        <w:tc>
          <w:tcPr>
            <w:tcW w:w="749" w:type="pct"/>
            <w:vAlign w:val="center"/>
          </w:tcPr>
          <w:p w:rsidR="00AE0549" w:rsidRPr="00A604A3" w:rsidRDefault="00AE0549" w:rsidP="008D0508">
            <w:pPr>
              <w:pStyle w:val="Tablehead"/>
              <w:rPr>
                <w:lang w:eastAsia="zh-CN"/>
              </w:rPr>
            </w:pPr>
            <w:r w:rsidRPr="00A604A3">
              <w:rPr>
                <w:lang w:eastAsia="zh-CN"/>
              </w:rPr>
              <w:t>SCS [kHz]</w:t>
            </w:r>
          </w:p>
        </w:tc>
        <w:tc>
          <w:tcPr>
            <w:tcW w:w="940" w:type="pct"/>
            <w:vAlign w:val="center"/>
          </w:tcPr>
          <w:p w:rsidR="00AE0549" w:rsidRPr="00A604A3" w:rsidRDefault="00AE0549" w:rsidP="008D0508">
            <w:pPr>
              <w:pStyle w:val="Tablehead"/>
              <w:rPr>
                <w:lang w:eastAsia="zh-CN"/>
              </w:rPr>
            </w:pPr>
            <w:r w:rsidRPr="00A604A3">
              <w:rPr>
                <w:lang w:eastAsia="zh-CN"/>
              </w:rPr>
              <w:t xml:space="preserve">Number of SS/PBCH block per SSB set, </w:t>
            </w:r>
            <w:r w:rsidRPr="00A604A3">
              <w:rPr>
                <w:i/>
                <w:lang w:eastAsia="zh-CN"/>
              </w:rPr>
              <w:t>L</w:t>
            </w:r>
          </w:p>
        </w:tc>
        <w:tc>
          <w:tcPr>
            <w:tcW w:w="577" w:type="pct"/>
            <w:noWrap/>
            <w:vAlign w:val="center"/>
          </w:tcPr>
          <w:p w:rsidR="00AE0549" w:rsidRPr="00A604A3" w:rsidRDefault="00AE0549" w:rsidP="008D0508">
            <w:pPr>
              <w:pStyle w:val="Tablehead"/>
              <w:rPr>
                <w:lang w:eastAsia="zh-CN"/>
              </w:rPr>
            </w:pPr>
            <w:r w:rsidRPr="00A604A3">
              <w:rPr>
                <w:lang w:eastAsia="zh-CN"/>
              </w:rPr>
              <w:t>5</w:t>
            </w:r>
            <w:r w:rsidR="008974FE">
              <w:rPr>
                <w:lang w:eastAsia="zh-CN"/>
              </w:rPr>
              <w:t> </w:t>
            </w:r>
            <w:r w:rsidRPr="00A604A3">
              <w:rPr>
                <w:lang w:eastAsia="zh-CN"/>
              </w:rPr>
              <w:t>ms</w:t>
            </w:r>
          </w:p>
        </w:tc>
        <w:tc>
          <w:tcPr>
            <w:tcW w:w="481" w:type="pct"/>
            <w:noWrap/>
            <w:vAlign w:val="center"/>
          </w:tcPr>
          <w:p w:rsidR="00AE0549" w:rsidRPr="00A604A3" w:rsidRDefault="00AE0549" w:rsidP="008D0508">
            <w:pPr>
              <w:pStyle w:val="Tablehead"/>
              <w:rPr>
                <w:lang w:eastAsia="zh-CN"/>
              </w:rPr>
            </w:pPr>
            <w:r w:rsidRPr="00A604A3">
              <w:rPr>
                <w:lang w:eastAsia="zh-CN"/>
              </w:rPr>
              <w:t>10</w:t>
            </w:r>
            <w:r w:rsidR="008974FE">
              <w:rPr>
                <w:lang w:eastAsia="zh-CN"/>
              </w:rPr>
              <w:t> </w:t>
            </w:r>
            <w:r w:rsidRPr="00A604A3">
              <w:rPr>
                <w:lang w:eastAsia="zh-CN"/>
              </w:rPr>
              <w:t>ms</w:t>
            </w:r>
          </w:p>
        </w:tc>
        <w:tc>
          <w:tcPr>
            <w:tcW w:w="578" w:type="pct"/>
            <w:noWrap/>
            <w:vAlign w:val="center"/>
          </w:tcPr>
          <w:p w:rsidR="00AE0549" w:rsidRPr="00A604A3" w:rsidRDefault="00AE0549" w:rsidP="008D0508">
            <w:pPr>
              <w:pStyle w:val="Tablehead"/>
              <w:rPr>
                <w:lang w:eastAsia="zh-CN"/>
              </w:rPr>
            </w:pPr>
            <w:r w:rsidRPr="00A604A3">
              <w:rPr>
                <w:lang w:eastAsia="zh-CN"/>
              </w:rPr>
              <w:t>20</w:t>
            </w:r>
            <w:r w:rsidR="008974FE">
              <w:rPr>
                <w:lang w:eastAsia="zh-CN"/>
              </w:rPr>
              <w:t> </w:t>
            </w:r>
            <w:r w:rsidRPr="00A604A3">
              <w:rPr>
                <w:lang w:eastAsia="zh-CN"/>
              </w:rPr>
              <w:t>ms</w:t>
            </w:r>
          </w:p>
        </w:tc>
        <w:tc>
          <w:tcPr>
            <w:tcW w:w="577" w:type="pct"/>
            <w:noWrap/>
            <w:vAlign w:val="center"/>
          </w:tcPr>
          <w:p w:rsidR="00AE0549" w:rsidRPr="00A604A3" w:rsidRDefault="00AE0549" w:rsidP="008D0508">
            <w:pPr>
              <w:pStyle w:val="Tablehead"/>
              <w:rPr>
                <w:lang w:eastAsia="zh-CN"/>
              </w:rPr>
            </w:pPr>
            <w:r w:rsidRPr="00A604A3">
              <w:rPr>
                <w:lang w:eastAsia="zh-CN"/>
              </w:rPr>
              <w:t>40</w:t>
            </w:r>
            <w:r w:rsidR="008974FE">
              <w:rPr>
                <w:lang w:eastAsia="zh-CN"/>
              </w:rPr>
              <w:t> </w:t>
            </w:r>
            <w:r w:rsidRPr="00A604A3">
              <w:rPr>
                <w:lang w:eastAsia="zh-CN"/>
              </w:rPr>
              <w:t>ms</w:t>
            </w:r>
          </w:p>
        </w:tc>
        <w:tc>
          <w:tcPr>
            <w:tcW w:w="578" w:type="pct"/>
            <w:noWrap/>
            <w:vAlign w:val="center"/>
          </w:tcPr>
          <w:p w:rsidR="00AE0549" w:rsidRPr="00A604A3" w:rsidRDefault="00AE0549" w:rsidP="008D0508">
            <w:pPr>
              <w:pStyle w:val="Tablehead"/>
              <w:rPr>
                <w:lang w:eastAsia="zh-CN"/>
              </w:rPr>
            </w:pPr>
            <w:r w:rsidRPr="00A604A3">
              <w:rPr>
                <w:lang w:eastAsia="zh-CN"/>
              </w:rPr>
              <w:t>80</w:t>
            </w:r>
            <w:r w:rsidR="008974FE">
              <w:rPr>
                <w:lang w:eastAsia="zh-CN"/>
              </w:rPr>
              <w:t> </w:t>
            </w:r>
            <w:r w:rsidRPr="00A604A3">
              <w:rPr>
                <w:lang w:eastAsia="zh-CN"/>
              </w:rPr>
              <w:t>ms</w:t>
            </w:r>
          </w:p>
        </w:tc>
        <w:tc>
          <w:tcPr>
            <w:tcW w:w="520" w:type="pct"/>
            <w:noWrap/>
            <w:vAlign w:val="center"/>
          </w:tcPr>
          <w:p w:rsidR="00AE0549" w:rsidRPr="00A604A3" w:rsidRDefault="00AE0549" w:rsidP="008D0508">
            <w:pPr>
              <w:pStyle w:val="Tablehead"/>
              <w:rPr>
                <w:lang w:eastAsia="zh-CN"/>
              </w:rPr>
            </w:pPr>
            <w:r w:rsidRPr="00A604A3">
              <w:rPr>
                <w:lang w:eastAsia="zh-CN"/>
              </w:rPr>
              <w:t>160</w:t>
            </w:r>
            <w:r w:rsidR="008974FE">
              <w:rPr>
                <w:lang w:eastAsia="zh-CN"/>
              </w:rPr>
              <w:t> </w:t>
            </w:r>
            <w:r w:rsidRPr="00A604A3">
              <w:rPr>
                <w:lang w:eastAsia="zh-CN"/>
              </w:rPr>
              <w:t>ms</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15</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w:t>
            </w:r>
          </w:p>
        </w:tc>
        <w:tc>
          <w:tcPr>
            <w:tcW w:w="577" w:type="pct"/>
            <w:noWrap/>
            <w:vAlign w:val="center"/>
            <w:hideMark/>
          </w:tcPr>
          <w:p w:rsidR="00AE0549" w:rsidRPr="00A604A3" w:rsidRDefault="00AE0549" w:rsidP="008D0508">
            <w:pPr>
              <w:pStyle w:val="Tabletext"/>
              <w:jc w:val="center"/>
              <w:rPr>
                <w:lang w:eastAsia="zh-CN"/>
              </w:rPr>
            </w:pPr>
            <w:r w:rsidRPr="00A604A3">
              <w:t>4.00</w:t>
            </w:r>
          </w:p>
        </w:tc>
        <w:tc>
          <w:tcPr>
            <w:tcW w:w="481" w:type="pct"/>
            <w:noWrap/>
            <w:vAlign w:val="center"/>
            <w:hideMark/>
          </w:tcPr>
          <w:p w:rsidR="00AE0549" w:rsidRPr="00A604A3" w:rsidRDefault="00AE0549" w:rsidP="008D0508">
            <w:pPr>
              <w:pStyle w:val="Tabletext"/>
              <w:jc w:val="center"/>
              <w:rPr>
                <w:lang w:eastAsia="zh-CN"/>
              </w:rPr>
            </w:pPr>
            <w:r w:rsidRPr="00A604A3">
              <w:t>9.00</w:t>
            </w:r>
          </w:p>
        </w:tc>
        <w:tc>
          <w:tcPr>
            <w:tcW w:w="578" w:type="pct"/>
            <w:noWrap/>
            <w:vAlign w:val="center"/>
            <w:hideMark/>
          </w:tcPr>
          <w:p w:rsidR="00AE0549" w:rsidRPr="00A604A3" w:rsidRDefault="00AE0549" w:rsidP="008D0508">
            <w:pPr>
              <w:pStyle w:val="Tabletext"/>
              <w:jc w:val="center"/>
              <w:rPr>
                <w:lang w:eastAsia="zh-CN"/>
              </w:rPr>
            </w:pPr>
            <w:r w:rsidRPr="00A604A3">
              <w:t>19.00</w:t>
            </w:r>
          </w:p>
        </w:tc>
        <w:tc>
          <w:tcPr>
            <w:tcW w:w="577" w:type="pct"/>
            <w:noWrap/>
            <w:vAlign w:val="center"/>
            <w:hideMark/>
          </w:tcPr>
          <w:p w:rsidR="00AE0549" w:rsidRPr="00A604A3" w:rsidRDefault="00AE0549" w:rsidP="008D0508">
            <w:pPr>
              <w:pStyle w:val="Tabletext"/>
              <w:jc w:val="center"/>
              <w:rPr>
                <w:lang w:eastAsia="zh-CN"/>
              </w:rPr>
            </w:pPr>
            <w:r w:rsidRPr="00A604A3">
              <w:t>39.00</w:t>
            </w:r>
          </w:p>
        </w:tc>
        <w:tc>
          <w:tcPr>
            <w:tcW w:w="578" w:type="pct"/>
            <w:noWrap/>
            <w:vAlign w:val="center"/>
            <w:hideMark/>
          </w:tcPr>
          <w:p w:rsidR="00AE0549" w:rsidRPr="00A604A3" w:rsidRDefault="00AE0549" w:rsidP="008D0508">
            <w:pPr>
              <w:pStyle w:val="Tabletext"/>
              <w:jc w:val="center"/>
              <w:rPr>
                <w:lang w:eastAsia="zh-CN"/>
              </w:rPr>
            </w:pPr>
            <w:r w:rsidRPr="00A604A3">
              <w:t>79.00</w:t>
            </w:r>
          </w:p>
        </w:tc>
        <w:tc>
          <w:tcPr>
            <w:tcW w:w="520" w:type="pct"/>
            <w:noWrap/>
            <w:vAlign w:val="center"/>
            <w:hideMark/>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2</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9.00</w:t>
            </w:r>
          </w:p>
        </w:tc>
        <w:tc>
          <w:tcPr>
            <w:tcW w:w="578" w:type="pct"/>
            <w:noWrap/>
            <w:vAlign w:val="center"/>
          </w:tcPr>
          <w:p w:rsidR="00AE0549" w:rsidRPr="00A604A3" w:rsidRDefault="00AE0549" w:rsidP="008D0508">
            <w:pPr>
              <w:pStyle w:val="Tabletext"/>
              <w:jc w:val="center"/>
              <w:rPr>
                <w:lang w:eastAsia="zh-CN"/>
              </w:rPr>
            </w:pPr>
            <w:r w:rsidRPr="00A604A3">
              <w:t>19.00</w:t>
            </w:r>
          </w:p>
        </w:tc>
        <w:tc>
          <w:tcPr>
            <w:tcW w:w="577" w:type="pct"/>
            <w:noWrap/>
            <w:vAlign w:val="center"/>
          </w:tcPr>
          <w:p w:rsidR="00AE0549" w:rsidRPr="00A604A3" w:rsidRDefault="00AE0549" w:rsidP="008D0508">
            <w:pPr>
              <w:pStyle w:val="Tabletext"/>
              <w:jc w:val="center"/>
              <w:rPr>
                <w:lang w:eastAsia="zh-CN"/>
              </w:rPr>
            </w:pPr>
            <w:r w:rsidRPr="00A604A3">
              <w:t>39.00</w:t>
            </w:r>
          </w:p>
        </w:tc>
        <w:tc>
          <w:tcPr>
            <w:tcW w:w="578" w:type="pct"/>
            <w:noWrap/>
            <w:vAlign w:val="center"/>
          </w:tcPr>
          <w:p w:rsidR="00AE0549" w:rsidRPr="00A604A3" w:rsidRDefault="00AE0549" w:rsidP="008D0508">
            <w:pPr>
              <w:pStyle w:val="Tabletext"/>
              <w:jc w:val="center"/>
              <w:rPr>
                <w:lang w:eastAsia="zh-CN"/>
              </w:rPr>
            </w:pPr>
            <w:r w:rsidRPr="00A604A3">
              <w:t>79.00</w:t>
            </w:r>
          </w:p>
        </w:tc>
        <w:tc>
          <w:tcPr>
            <w:tcW w:w="520" w:type="pct"/>
            <w:noWrap/>
            <w:vAlign w:val="center"/>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30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9.50</w:t>
            </w:r>
          </w:p>
        </w:tc>
        <w:tc>
          <w:tcPr>
            <w:tcW w:w="578" w:type="pct"/>
            <w:noWrap/>
            <w:vAlign w:val="center"/>
            <w:hideMark/>
          </w:tcPr>
          <w:p w:rsidR="00AE0549" w:rsidRPr="00A604A3" w:rsidRDefault="00AE0549" w:rsidP="008D0508">
            <w:pPr>
              <w:pStyle w:val="Tabletext"/>
              <w:jc w:val="center"/>
              <w:rPr>
                <w:lang w:eastAsia="zh-CN"/>
              </w:rPr>
            </w:pPr>
            <w:r w:rsidRPr="00A604A3">
              <w:t>19.50</w:t>
            </w:r>
          </w:p>
        </w:tc>
        <w:tc>
          <w:tcPr>
            <w:tcW w:w="577" w:type="pct"/>
            <w:noWrap/>
            <w:vAlign w:val="center"/>
            <w:hideMark/>
          </w:tcPr>
          <w:p w:rsidR="00AE0549" w:rsidRPr="00A604A3" w:rsidRDefault="00AE0549" w:rsidP="008D0508">
            <w:pPr>
              <w:pStyle w:val="Tabletext"/>
              <w:jc w:val="center"/>
              <w:rPr>
                <w:lang w:eastAsia="zh-CN"/>
              </w:rPr>
            </w:pPr>
            <w:r w:rsidRPr="00A604A3">
              <w:t>39.50</w:t>
            </w:r>
          </w:p>
        </w:tc>
        <w:tc>
          <w:tcPr>
            <w:tcW w:w="578" w:type="pct"/>
            <w:noWrap/>
            <w:vAlign w:val="center"/>
            <w:hideMark/>
          </w:tcPr>
          <w:p w:rsidR="00AE0549" w:rsidRPr="00A604A3" w:rsidRDefault="00AE0549" w:rsidP="008D0508">
            <w:pPr>
              <w:pStyle w:val="Tabletext"/>
              <w:jc w:val="center"/>
              <w:rPr>
                <w:lang w:eastAsia="zh-CN"/>
              </w:rPr>
            </w:pPr>
            <w:r w:rsidRPr="00A604A3">
              <w:t>79.50</w:t>
            </w:r>
          </w:p>
        </w:tc>
        <w:tc>
          <w:tcPr>
            <w:tcW w:w="520" w:type="pct"/>
            <w:noWrap/>
            <w:vAlign w:val="center"/>
            <w:hideMark/>
          </w:tcPr>
          <w:p w:rsidR="00AE0549" w:rsidRPr="00A604A3" w:rsidRDefault="00AE0549" w:rsidP="008D0508">
            <w:pPr>
              <w:pStyle w:val="Tabletext"/>
              <w:jc w:val="center"/>
              <w:rPr>
                <w:lang w:eastAsia="zh-CN"/>
              </w:rPr>
            </w:pPr>
            <w:r w:rsidRPr="00A604A3">
              <w:t>159.50</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4</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9.00</w:t>
            </w:r>
          </w:p>
        </w:tc>
        <w:tc>
          <w:tcPr>
            <w:tcW w:w="578" w:type="pct"/>
            <w:noWrap/>
            <w:vAlign w:val="center"/>
          </w:tcPr>
          <w:p w:rsidR="00AE0549" w:rsidRPr="00A604A3" w:rsidRDefault="00AE0549" w:rsidP="008D0508">
            <w:pPr>
              <w:pStyle w:val="Tabletext"/>
              <w:jc w:val="center"/>
              <w:rPr>
                <w:lang w:eastAsia="zh-CN"/>
              </w:rPr>
            </w:pPr>
            <w:r w:rsidRPr="00A604A3">
              <w:t>19.00</w:t>
            </w:r>
          </w:p>
        </w:tc>
        <w:tc>
          <w:tcPr>
            <w:tcW w:w="577" w:type="pct"/>
            <w:noWrap/>
            <w:vAlign w:val="center"/>
          </w:tcPr>
          <w:p w:rsidR="00AE0549" w:rsidRPr="00A604A3" w:rsidRDefault="00AE0549" w:rsidP="008D0508">
            <w:pPr>
              <w:pStyle w:val="Tabletext"/>
              <w:jc w:val="center"/>
              <w:rPr>
                <w:lang w:eastAsia="zh-CN"/>
              </w:rPr>
            </w:pPr>
            <w:r w:rsidRPr="00A604A3">
              <w:t>39.00</w:t>
            </w:r>
          </w:p>
        </w:tc>
        <w:tc>
          <w:tcPr>
            <w:tcW w:w="578" w:type="pct"/>
            <w:noWrap/>
            <w:vAlign w:val="center"/>
          </w:tcPr>
          <w:p w:rsidR="00AE0549" w:rsidRPr="00A604A3" w:rsidRDefault="00AE0549" w:rsidP="008D0508">
            <w:pPr>
              <w:pStyle w:val="Tabletext"/>
              <w:jc w:val="center"/>
              <w:rPr>
                <w:lang w:eastAsia="zh-CN"/>
              </w:rPr>
            </w:pPr>
            <w:r w:rsidRPr="00A604A3">
              <w:t>79.00</w:t>
            </w:r>
          </w:p>
        </w:tc>
        <w:tc>
          <w:tcPr>
            <w:tcW w:w="520" w:type="pct"/>
            <w:noWrap/>
            <w:vAlign w:val="center"/>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120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8</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9.72</w:t>
            </w:r>
          </w:p>
        </w:tc>
        <w:tc>
          <w:tcPr>
            <w:tcW w:w="578" w:type="pct"/>
            <w:noWrap/>
            <w:vAlign w:val="center"/>
            <w:hideMark/>
          </w:tcPr>
          <w:p w:rsidR="00AE0549" w:rsidRPr="00A604A3" w:rsidRDefault="00AE0549" w:rsidP="008D0508">
            <w:pPr>
              <w:pStyle w:val="Tabletext"/>
              <w:jc w:val="center"/>
              <w:rPr>
                <w:lang w:eastAsia="zh-CN"/>
              </w:rPr>
            </w:pPr>
            <w:r w:rsidRPr="00A604A3">
              <w:t>18.92</w:t>
            </w:r>
          </w:p>
        </w:tc>
        <w:tc>
          <w:tcPr>
            <w:tcW w:w="577" w:type="pct"/>
            <w:noWrap/>
            <w:vAlign w:val="center"/>
            <w:hideMark/>
          </w:tcPr>
          <w:p w:rsidR="00AE0549" w:rsidRPr="00A604A3" w:rsidRDefault="00AE0549" w:rsidP="008D0508">
            <w:pPr>
              <w:pStyle w:val="Tabletext"/>
              <w:jc w:val="center"/>
              <w:rPr>
                <w:lang w:eastAsia="zh-CN"/>
              </w:rPr>
            </w:pPr>
            <w:r w:rsidRPr="00A604A3">
              <w:t>39.03</w:t>
            </w:r>
          </w:p>
        </w:tc>
        <w:tc>
          <w:tcPr>
            <w:tcW w:w="578" w:type="pct"/>
            <w:noWrap/>
            <w:vAlign w:val="center"/>
            <w:hideMark/>
          </w:tcPr>
          <w:p w:rsidR="00AE0549" w:rsidRPr="00A604A3" w:rsidRDefault="00AE0549" w:rsidP="008D0508">
            <w:pPr>
              <w:pStyle w:val="Tabletext"/>
              <w:jc w:val="center"/>
              <w:rPr>
                <w:lang w:eastAsia="zh-CN"/>
              </w:rPr>
            </w:pPr>
            <w:r w:rsidRPr="00A604A3">
              <w:t>78.97</w:t>
            </w:r>
          </w:p>
        </w:tc>
        <w:tc>
          <w:tcPr>
            <w:tcW w:w="520" w:type="pct"/>
            <w:noWrap/>
            <w:vAlign w:val="center"/>
            <w:hideMark/>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16</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9.88</w:t>
            </w:r>
          </w:p>
        </w:tc>
        <w:tc>
          <w:tcPr>
            <w:tcW w:w="578" w:type="pct"/>
            <w:noWrap/>
            <w:vAlign w:val="center"/>
          </w:tcPr>
          <w:p w:rsidR="00AE0549" w:rsidRPr="00A604A3" w:rsidRDefault="00AE0549" w:rsidP="008D0508">
            <w:pPr>
              <w:pStyle w:val="Tabletext"/>
              <w:jc w:val="center"/>
              <w:rPr>
                <w:lang w:eastAsia="zh-CN"/>
              </w:rPr>
            </w:pPr>
            <w:r w:rsidRPr="00A604A3">
              <w:t>18.77</w:t>
            </w:r>
          </w:p>
        </w:tc>
        <w:tc>
          <w:tcPr>
            <w:tcW w:w="577" w:type="pct"/>
            <w:noWrap/>
            <w:vAlign w:val="center"/>
          </w:tcPr>
          <w:p w:rsidR="00AE0549" w:rsidRPr="00A604A3" w:rsidRDefault="00AE0549" w:rsidP="008D0508">
            <w:pPr>
              <w:pStyle w:val="Tabletext"/>
              <w:jc w:val="center"/>
              <w:rPr>
                <w:lang w:eastAsia="zh-CN"/>
              </w:rPr>
            </w:pPr>
            <w:r w:rsidRPr="00A604A3">
              <w:t>39.05</w:t>
            </w:r>
          </w:p>
        </w:tc>
        <w:tc>
          <w:tcPr>
            <w:tcW w:w="578" w:type="pct"/>
            <w:noWrap/>
            <w:vAlign w:val="center"/>
          </w:tcPr>
          <w:p w:rsidR="00AE0549" w:rsidRPr="00A604A3" w:rsidRDefault="00AE0549" w:rsidP="008D0508">
            <w:pPr>
              <w:pStyle w:val="Tabletext"/>
              <w:jc w:val="center"/>
              <w:rPr>
                <w:lang w:eastAsia="zh-CN"/>
              </w:rPr>
            </w:pPr>
            <w:r w:rsidRPr="00A604A3">
              <w:t>78.96</w:t>
            </w:r>
          </w:p>
        </w:tc>
        <w:tc>
          <w:tcPr>
            <w:tcW w:w="520" w:type="pct"/>
            <w:noWrap/>
            <w:vAlign w:val="center"/>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240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16</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9.86</w:t>
            </w:r>
          </w:p>
        </w:tc>
        <w:tc>
          <w:tcPr>
            <w:tcW w:w="578" w:type="pct"/>
            <w:noWrap/>
            <w:vAlign w:val="center"/>
            <w:hideMark/>
          </w:tcPr>
          <w:p w:rsidR="00AE0549" w:rsidRPr="00A604A3" w:rsidRDefault="00AE0549" w:rsidP="008D0508">
            <w:pPr>
              <w:pStyle w:val="Tabletext"/>
              <w:jc w:val="center"/>
              <w:rPr>
                <w:lang w:eastAsia="zh-CN"/>
              </w:rPr>
            </w:pPr>
            <w:r w:rsidRPr="00A604A3">
              <w:t>18.90</w:t>
            </w:r>
          </w:p>
        </w:tc>
        <w:tc>
          <w:tcPr>
            <w:tcW w:w="577" w:type="pct"/>
            <w:noWrap/>
            <w:vAlign w:val="center"/>
            <w:hideMark/>
          </w:tcPr>
          <w:p w:rsidR="00AE0549" w:rsidRPr="00A604A3" w:rsidRDefault="00AE0549" w:rsidP="008D0508">
            <w:pPr>
              <w:pStyle w:val="Tabletext"/>
              <w:jc w:val="center"/>
              <w:rPr>
                <w:lang w:eastAsia="zh-CN"/>
              </w:rPr>
            </w:pPr>
            <w:r w:rsidRPr="00A604A3">
              <w:t>39.04</w:t>
            </w:r>
          </w:p>
        </w:tc>
        <w:tc>
          <w:tcPr>
            <w:tcW w:w="578" w:type="pct"/>
            <w:noWrap/>
            <w:vAlign w:val="center"/>
            <w:hideMark/>
          </w:tcPr>
          <w:p w:rsidR="00AE0549" w:rsidRPr="00A604A3" w:rsidRDefault="00AE0549" w:rsidP="008D0508">
            <w:pPr>
              <w:pStyle w:val="Tabletext"/>
              <w:jc w:val="center"/>
              <w:rPr>
                <w:lang w:eastAsia="zh-CN"/>
              </w:rPr>
            </w:pPr>
            <w:r w:rsidRPr="00A604A3">
              <w:t>78.97</w:t>
            </w:r>
          </w:p>
        </w:tc>
        <w:tc>
          <w:tcPr>
            <w:tcW w:w="520" w:type="pct"/>
            <w:noWrap/>
            <w:vAlign w:val="center"/>
            <w:hideMark/>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32</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9.94</w:t>
            </w:r>
          </w:p>
        </w:tc>
        <w:tc>
          <w:tcPr>
            <w:tcW w:w="578" w:type="pct"/>
            <w:noWrap/>
            <w:vAlign w:val="center"/>
          </w:tcPr>
          <w:p w:rsidR="00AE0549" w:rsidRPr="00A604A3" w:rsidRDefault="00AE0549" w:rsidP="008D0508">
            <w:pPr>
              <w:pStyle w:val="Tabletext"/>
              <w:jc w:val="center"/>
              <w:rPr>
                <w:lang w:eastAsia="zh-CN"/>
              </w:rPr>
            </w:pPr>
            <w:r w:rsidRPr="00A604A3">
              <w:t>18.76</w:t>
            </w:r>
          </w:p>
        </w:tc>
        <w:tc>
          <w:tcPr>
            <w:tcW w:w="577" w:type="pct"/>
            <w:noWrap/>
            <w:vAlign w:val="center"/>
          </w:tcPr>
          <w:p w:rsidR="00AE0549" w:rsidRPr="00A604A3" w:rsidRDefault="00AE0549" w:rsidP="008D0508">
            <w:pPr>
              <w:pStyle w:val="Tabletext"/>
              <w:jc w:val="center"/>
              <w:rPr>
                <w:lang w:eastAsia="zh-CN"/>
              </w:rPr>
            </w:pPr>
            <w:r w:rsidRPr="00A604A3">
              <w:t>39.06</w:t>
            </w:r>
          </w:p>
        </w:tc>
        <w:tc>
          <w:tcPr>
            <w:tcW w:w="578" w:type="pct"/>
            <w:noWrap/>
            <w:vAlign w:val="center"/>
          </w:tcPr>
          <w:p w:rsidR="00AE0549" w:rsidRPr="00A604A3" w:rsidRDefault="00AE0549" w:rsidP="008D0508">
            <w:pPr>
              <w:pStyle w:val="Tabletext"/>
              <w:jc w:val="center"/>
              <w:rPr>
                <w:lang w:eastAsia="zh-CN"/>
              </w:rPr>
            </w:pPr>
            <w:r w:rsidRPr="00A604A3">
              <w:t>78.96</w:t>
            </w:r>
          </w:p>
        </w:tc>
        <w:tc>
          <w:tcPr>
            <w:tcW w:w="520" w:type="pct"/>
            <w:noWrap/>
            <w:vAlign w:val="center"/>
          </w:tcPr>
          <w:p w:rsidR="00AE0549" w:rsidRPr="00A604A3" w:rsidRDefault="00AE0549" w:rsidP="008D0508">
            <w:pPr>
              <w:pStyle w:val="Tabletext"/>
              <w:jc w:val="center"/>
              <w:rPr>
                <w:lang w:eastAsia="zh-CN"/>
              </w:rPr>
            </w:pPr>
            <w:r w:rsidRPr="00A604A3">
              <w:t>158.99</w:t>
            </w:r>
          </w:p>
        </w:tc>
      </w:tr>
    </w:tbl>
    <w:p w:rsidR="00AE0549" w:rsidRPr="00A604A3" w:rsidRDefault="00AE0549" w:rsidP="00470885">
      <w:pPr>
        <w:spacing w:before="0"/>
        <w:rPr>
          <w:rFonts w:eastAsia="MS Mincho"/>
          <w:szCs w:val="24"/>
        </w:rPr>
      </w:pPr>
    </w:p>
    <w:p w:rsidR="00AE0549" w:rsidRPr="00A604A3" w:rsidRDefault="00AE0549" w:rsidP="001F717F">
      <w:r w:rsidRPr="00A604A3">
        <w:t>From Table 120 it can be seen that with SSB set period of 160 ms, more than 150 ms sleep duration can be obtained. It can therefore be concluded that NR networks can achieve long sleep duration in unloaded case.</w:t>
      </w:r>
    </w:p>
    <w:p w:rsidR="00AE0549" w:rsidRPr="00A604A3" w:rsidRDefault="00AE0549" w:rsidP="001F717F">
      <w:r w:rsidRPr="00A604A3">
        <w:t>Since NR both support high sleep ratios and long sleep durations, NR meets the energy efficiency requirement in the unloaded case for the network side.</w:t>
      </w:r>
    </w:p>
    <w:p w:rsidR="00AE0549" w:rsidRPr="00A604A3" w:rsidRDefault="001F717F" w:rsidP="001F717F">
      <w:pPr>
        <w:pStyle w:val="Heading6"/>
      </w:pPr>
      <w:r>
        <w:rPr>
          <w:rFonts w:eastAsia="MS Mincho"/>
        </w:rPr>
        <w:t>II.5.10.2.1.2</w:t>
      </w:r>
      <w:r>
        <w:rPr>
          <w:rFonts w:eastAsia="MS Mincho"/>
        </w:rPr>
        <w:tab/>
      </w:r>
      <w:r w:rsidR="00AE0549" w:rsidRPr="00A604A3">
        <w:t>NR device side</w:t>
      </w:r>
    </w:p>
    <w:p w:rsidR="00AE0549" w:rsidRPr="00A604A3" w:rsidRDefault="00AE0549" w:rsidP="001F717F">
      <w:pPr>
        <w:rPr>
          <w:lang w:eastAsia="zh-CN"/>
        </w:rPr>
      </w:pPr>
      <w:r w:rsidRPr="00A604A3">
        <w:rPr>
          <w:lang w:eastAsia="zh-CN"/>
        </w:rPr>
        <w:t>The sleep ratio for NR on the device side is given in [14], Table 121 and Table 122 for the sleep ratio is taken from there</w:t>
      </w:r>
    </w:p>
    <w:p w:rsidR="001F717F" w:rsidRDefault="001F717F" w:rsidP="001F717F">
      <w:pPr>
        <w:pStyle w:val="TableNo"/>
      </w:pPr>
      <w:bookmarkStart w:id="570" w:name="_Ref25073567"/>
      <w:bookmarkStart w:id="571" w:name="_Toc28265819"/>
      <w:bookmarkStart w:id="572" w:name="_Toc28277053"/>
      <w:bookmarkStart w:id="573" w:name="_Toc32066470"/>
      <w:r>
        <w:rPr>
          <w:rFonts w:eastAsia="MS Mincho"/>
        </w:rPr>
        <w:t>Table 121</w:t>
      </w:r>
    </w:p>
    <w:p w:rsidR="001F717F" w:rsidRPr="00A604A3" w:rsidRDefault="001F717F" w:rsidP="001F717F">
      <w:pPr>
        <w:pStyle w:val="Tabletitle"/>
      </w:pPr>
      <w:r w:rsidRPr="00A604A3">
        <w:t>NR device sleep ratio in slot level (for idle / inactive mode)</w:t>
      </w:r>
      <w:bookmarkEnd w:id="570"/>
      <w:bookmarkEnd w:id="571"/>
      <w:bookmarkEnd w:id="572"/>
      <w:bookmarkEnd w:id="573"/>
    </w:p>
    <w:tbl>
      <w:tblPr>
        <w:tblStyle w:val="TableGrid"/>
        <w:tblW w:w="5000" w:type="pct"/>
        <w:jc w:val="center"/>
        <w:tblLook w:val="04A0" w:firstRow="1" w:lastRow="0" w:firstColumn="1" w:lastColumn="0" w:noHBand="0" w:noVBand="1"/>
      </w:tblPr>
      <w:tblGrid>
        <w:gridCol w:w="1129"/>
        <w:gridCol w:w="784"/>
        <w:gridCol w:w="987"/>
        <w:gridCol w:w="564"/>
        <w:gridCol w:w="985"/>
        <w:gridCol w:w="640"/>
        <w:gridCol w:w="860"/>
        <w:gridCol w:w="1327"/>
        <w:gridCol w:w="1042"/>
        <w:gridCol w:w="698"/>
      </w:tblGrid>
      <w:tr w:rsidR="00AE0549" w:rsidRPr="001F717F" w:rsidTr="001F717F">
        <w:trPr>
          <w:jc w:val="center"/>
        </w:trPr>
        <w:tc>
          <w:tcPr>
            <w:tcW w:w="626" w:type="pct"/>
            <w:vAlign w:val="center"/>
            <w:hideMark/>
          </w:tcPr>
          <w:p w:rsidR="00AE0549" w:rsidRPr="001F717F" w:rsidRDefault="00AE0549" w:rsidP="001F717F">
            <w:pPr>
              <w:pStyle w:val="Tablehead"/>
              <w:rPr>
                <w:sz w:val="18"/>
                <w:szCs w:val="18"/>
                <w:lang w:eastAsia="zh-CN"/>
              </w:rPr>
            </w:pPr>
          </w:p>
        </w:tc>
        <w:tc>
          <w:tcPr>
            <w:tcW w:w="435" w:type="pct"/>
            <w:vAlign w:val="center"/>
            <w:hideMark/>
          </w:tcPr>
          <w:p w:rsidR="00AE0549" w:rsidRPr="001F717F" w:rsidRDefault="00AE0549" w:rsidP="001F717F">
            <w:pPr>
              <w:pStyle w:val="Tablehead"/>
              <w:rPr>
                <w:sz w:val="18"/>
                <w:szCs w:val="18"/>
                <w:lang w:eastAsia="zh-CN"/>
              </w:rPr>
            </w:pPr>
            <w:r w:rsidRPr="001F717F">
              <w:rPr>
                <w:sz w:val="18"/>
                <w:szCs w:val="18"/>
                <w:lang w:eastAsia="zh-CN"/>
              </w:rPr>
              <w:t xml:space="preserve">Paging cycle </w:t>
            </w:r>
            <w:r w:rsidRPr="001F717F">
              <w:rPr>
                <w:i/>
                <w:sz w:val="18"/>
                <w:szCs w:val="18"/>
                <w:lang w:eastAsia="zh-CN"/>
              </w:rPr>
              <w:t>N</w:t>
            </w:r>
            <w:r w:rsidRPr="001F717F">
              <w:rPr>
                <w:sz w:val="18"/>
                <w:szCs w:val="18"/>
                <w:vertAlign w:val="subscript"/>
                <w:lang w:eastAsia="zh-CN"/>
              </w:rPr>
              <w:t>PC_RF</w:t>
            </w:r>
            <w:r w:rsidRPr="001F717F">
              <w:rPr>
                <w:sz w:val="18"/>
                <w:szCs w:val="18"/>
                <w:lang w:eastAsia="zh-CN"/>
              </w:rPr>
              <w:t xml:space="preserve"> *10 (ms)</w:t>
            </w:r>
          </w:p>
        </w:tc>
        <w:tc>
          <w:tcPr>
            <w:tcW w:w="54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SCS(kHz)</w:t>
            </w:r>
          </w:p>
        </w:tc>
        <w:tc>
          <w:tcPr>
            <w:tcW w:w="313" w:type="pct"/>
            <w:vAlign w:val="center"/>
          </w:tcPr>
          <w:p w:rsidR="00AE0549" w:rsidRPr="001F717F" w:rsidDel="00D60663" w:rsidRDefault="00AE0549" w:rsidP="001F717F">
            <w:pPr>
              <w:pStyle w:val="Tablehead"/>
              <w:rPr>
                <w:sz w:val="18"/>
                <w:szCs w:val="18"/>
                <w:lang w:eastAsia="zh-CN"/>
              </w:rPr>
            </w:pPr>
            <w:r w:rsidRPr="001F717F">
              <w:rPr>
                <w:sz w:val="18"/>
                <w:szCs w:val="18"/>
                <w:lang w:eastAsia="zh-CN"/>
              </w:rPr>
              <w:t>SSB L</w:t>
            </w:r>
          </w:p>
        </w:tc>
        <w:tc>
          <w:tcPr>
            <w:tcW w:w="546"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SSB reception time(ms)</w:t>
            </w:r>
          </w:p>
        </w:tc>
        <w:tc>
          <w:tcPr>
            <w:tcW w:w="355"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SSB cycle (ms)</w:t>
            </w:r>
          </w:p>
        </w:tc>
        <w:tc>
          <w:tcPr>
            <w:tcW w:w="47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Number of SSB burst set</w:t>
            </w:r>
          </w:p>
        </w:tc>
        <w:tc>
          <w:tcPr>
            <w:tcW w:w="736" w:type="pct"/>
            <w:vAlign w:val="center"/>
            <w:hideMark/>
          </w:tcPr>
          <w:p w:rsidR="00AE0549" w:rsidRPr="001F717F" w:rsidRDefault="00AE0549" w:rsidP="001F717F">
            <w:pPr>
              <w:pStyle w:val="Tablehead"/>
              <w:rPr>
                <w:sz w:val="18"/>
                <w:szCs w:val="18"/>
                <w:lang w:eastAsia="zh-CN"/>
              </w:rPr>
            </w:pPr>
            <w:r w:rsidRPr="001F717F">
              <w:rPr>
                <w:sz w:val="18"/>
                <w:szCs w:val="18"/>
                <w:lang w:eastAsia="zh-CN"/>
              </w:rPr>
              <w:t>RRM measurement time per DRX (ms)</w:t>
            </w:r>
          </w:p>
        </w:tc>
        <w:tc>
          <w:tcPr>
            <w:tcW w:w="578" w:type="pct"/>
            <w:vAlign w:val="center"/>
          </w:tcPr>
          <w:p w:rsidR="00AE0549" w:rsidRPr="001F717F" w:rsidRDefault="00AE0549" w:rsidP="001F717F">
            <w:pPr>
              <w:pStyle w:val="Tablehead"/>
              <w:rPr>
                <w:sz w:val="18"/>
                <w:szCs w:val="18"/>
                <w:lang w:eastAsia="zh-CN"/>
              </w:rPr>
            </w:pPr>
            <w:r w:rsidRPr="001F717F">
              <w:rPr>
                <w:sz w:val="18"/>
                <w:szCs w:val="18"/>
                <w:lang w:eastAsia="zh-CN"/>
              </w:rPr>
              <w:t>Transition time(ms)</w:t>
            </w:r>
          </w:p>
        </w:tc>
        <w:tc>
          <w:tcPr>
            <w:tcW w:w="38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Sleep ratio</w:t>
            </w:r>
          </w:p>
        </w:tc>
      </w:tr>
      <w:tr w:rsidR="00AE0549" w:rsidRPr="001F717F" w:rsidTr="001F717F">
        <w:trPr>
          <w:jc w:val="center"/>
        </w:trPr>
        <w:tc>
          <w:tcPr>
            <w:tcW w:w="626" w:type="pct"/>
            <w:vMerge w:val="restar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RRC-Idle/Inactive</w:t>
            </w: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240</w:t>
            </w:r>
          </w:p>
        </w:tc>
        <w:tc>
          <w:tcPr>
            <w:tcW w:w="313"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32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1F717F" w:rsidP="001F717F">
            <w:pPr>
              <w:pStyle w:val="Tabletext"/>
              <w:jc w:val="center"/>
              <w:rPr>
                <w:sz w:val="18"/>
                <w:szCs w:val="18"/>
                <w:lang w:eastAsia="zh-CN"/>
              </w:rPr>
            </w:pPr>
            <w:r>
              <w:rPr>
                <w:sz w:val="18"/>
                <w:szCs w:val="18"/>
                <w:lang w:eastAsia="zh-CN"/>
              </w:rPr>
              <w:t>–</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3.5</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95.5%</w:t>
            </w:r>
          </w:p>
        </w:tc>
      </w:tr>
      <w:tr w:rsidR="00AE0549" w:rsidRPr="001F717F" w:rsidTr="001F717F">
        <w:trPr>
          <w:jc w:val="center"/>
        </w:trPr>
        <w:tc>
          <w:tcPr>
            <w:tcW w:w="626" w:type="pct"/>
            <w:vMerge/>
            <w:vAlign w:val="center"/>
            <w:hideMark/>
          </w:tcPr>
          <w:p w:rsidR="00AE0549" w:rsidRPr="001F717F" w:rsidRDefault="00AE0549" w:rsidP="001F717F">
            <w:pPr>
              <w:pStyle w:val="Tabletext"/>
              <w:jc w:val="center"/>
              <w:rPr>
                <w:sz w:val="18"/>
                <w:szCs w:val="18"/>
                <w:lang w:eastAsia="zh-CN"/>
              </w:rPr>
            </w:pP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15</w:t>
            </w:r>
          </w:p>
        </w:tc>
        <w:tc>
          <w:tcPr>
            <w:tcW w:w="313" w:type="pct"/>
            <w:vAlign w:val="center"/>
          </w:tcPr>
          <w:p w:rsidR="00AE0549" w:rsidRPr="001F717F" w:rsidDel="00D60663" w:rsidRDefault="00AE0549" w:rsidP="001F717F">
            <w:pPr>
              <w:pStyle w:val="Tabletext"/>
              <w:jc w:val="center"/>
              <w:rPr>
                <w:sz w:val="18"/>
                <w:szCs w:val="18"/>
                <w:lang w:eastAsia="zh-CN"/>
              </w:rPr>
            </w:pPr>
            <w:r w:rsidRPr="001F717F">
              <w:rPr>
                <w:sz w:val="18"/>
                <w:szCs w:val="18"/>
                <w:lang w:eastAsia="zh-CN"/>
              </w:rPr>
              <w:t>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1F717F" w:rsidP="001F717F">
            <w:pPr>
              <w:pStyle w:val="Tabletext"/>
              <w:jc w:val="center"/>
              <w:rPr>
                <w:sz w:val="18"/>
                <w:szCs w:val="18"/>
                <w:lang w:eastAsia="zh-CN"/>
              </w:rPr>
            </w:pPr>
            <w:r>
              <w:rPr>
                <w:sz w:val="18"/>
                <w:szCs w:val="18"/>
                <w:lang w:eastAsia="zh-CN"/>
              </w:rPr>
              <w:t>–</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99.5%</w:t>
            </w:r>
          </w:p>
        </w:tc>
      </w:tr>
      <w:tr w:rsidR="00AE0549" w:rsidRPr="001F717F" w:rsidTr="001F717F">
        <w:trPr>
          <w:jc w:val="center"/>
        </w:trPr>
        <w:tc>
          <w:tcPr>
            <w:tcW w:w="626" w:type="pct"/>
            <w:vMerge/>
            <w:vAlign w:val="center"/>
            <w:hideMark/>
          </w:tcPr>
          <w:p w:rsidR="00AE0549" w:rsidRPr="001F717F" w:rsidRDefault="00AE0549" w:rsidP="001F717F">
            <w:pPr>
              <w:pStyle w:val="Tabletext"/>
              <w:jc w:val="center"/>
              <w:rPr>
                <w:sz w:val="18"/>
                <w:szCs w:val="18"/>
                <w:lang w:eastAsia="zh-CN"/>
              </w:rPr>
            </w:pP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15</w:t>
            </w:r>
          </w:p>
        </w:tc>
        <w:tc>
          <w:tcPr>
            <w:tcW w:w="313" w:type="pct"/>
            <w:vAlign w:val="center"/>
          </w:tcPr>
          <w:p w:rsidR="00AE0549" w:rsidRPr="001F717F" w:rsidDel="00D60663" w:rsidRDefault="00AE0549" w:rsidP="001F717F">
            <w:pPr>
              <w:pStyle w:val="Tabletext"/>
              <w:jc w:val="center"/>
              <w:rPr>
                <w:sz w:val="18"/>
                <w:szCs w:val="18"/>
                <w:lang w:eastAsia="zh-CN"/>
              </w:rPr>
            </w:pPr>
            <w:r w:rsidRPr="001F717F">
              <w:rPr>
                <w:sz w:val="18"/>
                <w:szCs w:val="18"/>
                <w:lang w:eastAsia="zh-CN"/>
              </w:rPr>
              <w:t>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160</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93.2%</w:t>
            </w:r>
          </w:p>
        </w:tc>
      </w:tr>
    </w:tbl>
    <w:p w:rsidR="00AE0549" w:rsidRPr="00A604A3" w:rsidRDefault="00AE0549" w:rsidP="001F717F">
      <w:pPr>
        <w:pStyle w:val="Tablefin"/>
      </w:pPr>
    </w:p>
    <w:p w:rsidR="00AE0549" w:rsidRPr="00A604A3" w:rsidRDefault="00AE0549" w:rsidP="001F717F">
      <w:r w:rsidRPr="00A604A3">
        <w:t>From Table 121 it can be seen that sleep ratios of more than 90% is achieved in idle mode by NR devices.</w:t>
      </w:r>
    </w:p>
    <w:p w:rsidR="001F717F" w:rsidRDefault="001F717F" w:rsidP="001F717F">
      <w:pPr>
        <w:pStyle w:val="TableNo"/>
      </w:pPr>
      <w:bookmarkStart w:id="574" w:name="_Ref25073581"/>
      <w:bookmarkStart w:id="575" w:name="_Toc28265820"/>
      <w:bookmarkStart w:id="576" w:name="_Toc28277054"/>
      <w:bookmarkStart w:id="577" w:name="_Toc32066471"/>
      <w:r>
        <w:rPr>
          <w:rFonts w:eastAsia="MS Mincho"/>
        </w:rPr>
        <w:lastRenderedPageBreak/>
        <w:t>Table 122</w:t>
      </w:r>
    </w:p>
    <w:p w:rsidR="001F717F" w:rsidRPr="00A604A3" w:rsidRDefault="001F717F" w:rsidP="001F717F">
      <w:pPr>
        <w:pStyle w:val="Tabletitle"/>
      </w:pPr>
      <w:r w:rsidRPr="00A604A3">
        <w:t>NR device sleep ratio in slot level (for connected mode)</w:t>
      </w:r>
      <w:bookmarkEnd w:id="574"/>
      <w:bookmarkEnd w:id="575"/>
      <w:bookmarkEnd w:id="576"/>
      <w:bookmarkEnd w:id="577"/>
    </w:p>
    <w:tbl>
      <w:tblPr>
        <w:tblStyle w:val="TableGrid"/>
        <w:tblW w:w="5000" w:type="pct"/>
        <w:jc w:val="center"/>
        <w:tblLayout w:type="fixed"/>
        <w:tblCellMar>
          <w:left w:w="28" w:type="dxa"/>
          <w:right w:w="28" w:type="dxa"/>
        </w:tblCellMar>
        <w:tblLook w:val="04A0" w:firstRow="1" w:lastRow="0" w:firstColumn="1" w:lastColumn="0" w:noHBand="0" w:noVBand="1"/>
      </w:tblPr>
      <w:tblGrid>
        <w:gridCol w:w="1415"/>
        <w:gridCol w:w="1332"/>
        <w:gridCol w:w="1332"/>
        <w:gridCol w:w="1333"/>
        <w:gridCol w:w="1333"/>
        <w:gridCol w:w="1333"/>
        <w:gridCol w:w="938"/>
      </w:tblGrid>
      <w:tr w:rsidR="00973D83" w:rsidRPr="001F717F" w:rsidTr="00973D83">
        <w:trPr>
          <w:trHeight w:val="507"/>
          <w:jc w:val="center"/>
        </w:trPr>
        <w:tc>
          <w:tcPr>
            <w:tcW w:w="785" w:type="pct"/>
            <w:vAlign w:val="center"/>
            <w:hideMark/>
          </w:tcPr>
          <w:p w:rsidR="00AE0549" w:rsidRPr="001F717F" w:rsidRDefault="00AE0549" w:rsidP="001F717F">
            <w:pPr>
              <w:pStyle w:val="Tablehead"/>
              <w:rPr>
                <w:sz w:val="18"/>
                <w:szCs w:val="18"/>
                <w:lang w:eastAsia="zh-CN"/>
              </w:rPr>
            </w:pPr>
          </w:p>
        </w:tc>
        <w:tc>
          <w:tcPr>
            <w:tcW w:w="739" w:type="pct"/>
            <w:vAlign w:val="center"/>
            <w:hideMark/>
          </w:tcPr>
          <w:p w:rsidR="00AE0549" w:rsidRPr="006853C6" w:rsidRDefault="00AE0549" w:rsidP="001F717F">
            <w:pPr>
              <w:pStyle w:val="Tablehead"/>
              <w:rPr>
                <w:sz w:val="18"/>
                <w:szCs w:val="18"/>
                <w:lang w:val="fr-CH" w:eastAsia="zh-CN"/>
              </w:rPr>
            </w:pPr>
            <w:r w:rsidRPr="006853C6">
              <w:rPr>
                <w:sz w:val="18"/>
                <w:szCs w:val="18"/>
                <w:lang w:val="fr-CH" w:eastAsia="zh-CN"/>
              </w:rPr>
              <w:t xml:space="preserve">DRX cycle </w:t>
            </w:r>
            <w:r w:rsidRPr="006853C6">
              <w:rPr>
                <w:i/>
                <w:kern w:val="2"/>
                <w:sz w:val="18"/>
                <w:szCs w:val="18"/>
                <w:lang w:val="fr-CH" w:eastAsia="zh-CN"/>
              </w:rPr>
              <w:t>T</w:t>
            </w:r>
            <w:r w:rsidRPr="006853C6">
              <w:rPr>
                <w:kern w:val="2"/>
                <w:sz w:val="18"/>
                <w:szCs w:val="18"/>
                <w:vertAlign w:val="subscript"/>
                <w:lang w:val="fr-CH" w:eastAsia="zh-CN"/>
              </w:rPr>
              <w:t>SC_ms</w:t>
            </w:r>
            <w:r w:rsidRPr="006853C6">
              <w:rPr>
                <w:sz w:val="18"/>
                <w:szCs w:val="18"/>
                <w:lang w:val="fr-CH" w:eastAsia="zh-CN"/>
              </w:rPr>
              <w:t xml:space="preserve"> * </w:t>
            </w:r>
            <w:r w:rsidRPr="006853C6">
              <w:rPr>
                <w:i/>
                <w:kern w:val="2"/>
                <w:sz w:val="18"/>
                <w:szCs w:val="18"/>
                <w:lang w:val="fr-CH" w:eastAsia="zh-CN"/>
              </w:rPr>
              <w:t>M</w:t>
            </w:r>
            <w:r w:rsidRPr="006853C6">
              <w:rPr>
                <w:kern w:val="2"/>
                <w:sz w:val="18"/>
                <w:szCs w:val="18"/>
                <w:vertAlign w:val="subscript"/>
                <w:lang w:val="fr-CH" w:eastAsia="zh-CN"/>
              </w:rPr>
              <w:t>SC</w:t>
            </w:r>
            <w:r w:rsidRPr="006853C6">
              <w:rPr>
                <w:sz w:val="18"/>
                <w:szCs w:val="18"/>
                <w:lang w:val="fr-CH" w:eastAsia="zh-CN"/>
              </w:rPr>
              <w:t xml:space="preserve"> </w:t>
            </w:r>
            <w:r w:rsidR="00973D83" w:rsidRPr="006853C6">
              <w:rPr>
                <w:sz w:val="18"/>
                <w:szCs w:val="18"/>
                <w:lang w:val="fr-CH" w:eastAsia="zh-CN"/>
              </w:rPr>
              <w:br/>
            </w:r>
            <w:r w:rsidRPr="006853C6">
              <w:rPr>
                <w:sz w:val="18"/>
                <w:szCs w:val="18"/>
                <w:lang w:val="fr-CH" w:eastAsia="zh-CN"/>
              </w:rPr>
              <w:t>(ms)</w:t>
            </w: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Number of SSB burst set</w:t>
            </w: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DRX-onDurationTimer</w:t>
            </w:r>
            <w:r w:rsidR="00973D83">
              <w:rPr>
                <w:sz w:val="18"/>
                <w:szCs w:val="18"/>
                <w:lang w:eastAsia="zh-CN"/>
              </w:rPr>
              <w:br/>
            </w:r>
            <w:r w:rsidRPr="001F717F">
              <w:rPr>
                <w:sz w:val="18"/>
                <w:szCs w:val="18"/>
                <w:lang w:eastAsia="zh-CN"/>
              </w:rPr>
              <w:t>(ms)</w:t>
            </w:r>
          </w:p>
        </w:tc>
        <w:tc>
          <w:tcPr>
            <w:tcW w:w="739" w:type="pct"/>
            <w:vAlign w:val="center"/>
            <w:hideMark/>
          </w:tcPr>
          <w:p w:rsidR="00AE0549" w:rsidRPr="001F717F" w:rsidRDefault="00973D83" w:rsidP="001F717F">
            <w:pPr>
              <w:pStyle w:val="Tablehead"/>
              <w:rPr>
                <w:sz w:val="18"/>
                <w:szCs w:val="18"/>
                <w:lang w:eastAsia="zh-CN"/>
              </w:rPr>
            </w:pPr>
            <w:r>
              <w:rPr>
                <w:sz w:val="18"/>
                <w:szCs w:val="18"/>
                <w:lang w:eastAsia="zh-CN"/>
              </w:rPr>
              <w:t>RRM measurement time per DRX</w:t>
            </w:r>
            <w:r>
              <w:rPr>
                <w:sz w:val="18"/>
                <w:szCs w:val="18"/>
                <w:lang w:eastAsia="zh-CN"/>
              </w:rPr>
              <w:br/>
            </w:r>
            <w:r w:rsidR="00AE0549" w:rsidRPr="001F717F">
              <w:rPr>
                <w:sz w:val="18"/>
                <w:szCs w:val="18"/>
                <w:lang w:eastAsia="zh-CN"/>
              </w:rPr>
              <w:t>(ms)</w:t>
            </w:r>
          </w:p>
        </w:tc>
        <w:tc>
          <w:tcPr>
            <w:tcW w:w="739" w:type="pct"/>
            <w:vAlign w:val="center"/>
          </w:tcPr>
          <w:p w:rsidR="00AE0549" w:rsidRPr="001F717F" w:rsidRDefault="00AE0549" w:rsidP="001F717F">
            <w:pPr>
              <w:pStyle w:val="Tablehead"/>
              <w:rPr>
                <w:sz w:val="18"/>
                <w:szCs w:val="18"/>
                <w:lang w:eastAsia="zh-CN"/>
              </w:rPr>
            </w:pPr>
            <w:r w:rsidRPr="001F717F">
              <w:rPr>
                <w:sz w:val="18"/>
                <w:szCs w:val="18"/>
                <w:lang w:eastAsia="zh-CN"/>
              </w:rPr>
              <w:t>Transition time</w:t>
            </w:r>
            <w:r w:rsidR="00973D83">
              <w:rPr>
                <w:sz w:val="18"/>
                <w:szCs w:val="18"/>
                <w:lang w:eastAsia="zh-CN"/>
              </w:rPr>
              <w:br/>
            </w:r>
            <w:r w:rsidRPr="001F717F">
              <w:rPr>
                <w:sz w:val="18"/>
                <w:szCs w:val="18"/>
                <w:lang w:eastAsia="zh-CN"/>
              </w:rPr>
              <w:t>(ms)</w:t>
            </w:r>
          </w:p>
        </w:tc>
        <w:tc>
          <w:tcPr>
            <w:tcW w:w="522"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Sleep ratio</w:t>
            </w:r>
          </w:p>
        </w:tc>
      </w:tr>
      <w:tr w:rsidR="00AE0549" w:rsidRPr="001F717F" w:rsidTr="00973D83">
        <w:trPr>
          <w:jc w:val="center"/>
        </w:trPr>
        <w:tc>
          <w:tcPr>
            <w:tcW w:w="785" w:type="pct"/>
            <w:vMerge w:val="restart"/>
            <w:vAlign w:val="center"/>
            <w:hideMark/>
          </w:tcPr>
          <w:p w:rsidR="00AE0549" w:rsidRPr="001F717F" w:rsidRDefault="00AE0549" w:rsidP="001F717F">
            <w:pPr>
              <w:pStyle w:val="Tabletext"/>
              <w:jc w:val="center"/>
              <w:rPr>
                <w:sz w:val="18"/>
                <w:szCs w:val="18"/>
                <w:lang w:eastAsia="zh-CN"/>
              </w:rPr>
            </w:pPr>
            <w:bookmarkStart w:id="578" w:name="_Hlk522694156"/>
            <w:r w:rsidRPr="001F717F">
              <w:rPr>
                <w:sz w:val="18"/>
                <w:szCs w:val="18"/>
                <w:lang w:eastAsia="zh-CN"/>
              </w:rPr>
              <w:t>RRC-Connected</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3.5</w:t>
            </w:r>
          </w:p>
        </w:tc>
        <w:tc>
          <w:tcPr>
            <w:tcW w:w="739" w:type="pct"/>
            <w:vAlign w:val="center"/>
          </w:tcPr>
          <w:p w:rsidR="00AE0549" w:rsidRPr="001F717F" w:rsidDel="000C1B8D"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95.2%</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92.8%</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95.6%</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w:t>
            </w:r>
            <w:r w:rsidR="001F717F">
              <w:rPr>
                <w:sz w:val="18"/>
                <w:szCs w:val="18"/>
                <w:lang w:eastAsia="zh-CN"/>
              </w:rPr>
              <w:t> </w:t>
            </w:r>
            <w:r w:rsidRPr="001F717F">
              <w:rPr>
                <w:sz w:val="18"/>
                <w:szCs w:val="18"/>
                <w:lang w:eastAsia="zh-CN"/>
              </w:rPr>
              <w:t>240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r w:rsidR="001F717F">
              <w:rPr>
                <w:sz w:val="18"/>
                <w:szCs w:val="18"/>
                <w:lang w:eastAsia="zh-CN"/>
              </w:rPr>
              <w:t> </w:t>
            </w:r>
            <w:r w:rsidRPr="001F717F">
              <w:rPr>
                <w:sz w:val="18"/>
                <w:szCs w:val="18"/>
                <w:lang w:eastAsia="zh-CN"/>
              </w:rPr>
              <w:t>600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84.2%</w:t>
            </w:r>
          </w:p>
        </w:tc>
      </w:tr>
      <w:bookmarkEnd w:id="578"/>
    </w:tbl>
    <w:p w:rsidR="00AE0549" w:rsidRPr="00A604A3" w:rsidRDefault="00AE0549" w:rsidP="001F717F">
      <w:pPr>
        <w:pStyle w:val="Tablefin"/>
      </w:pPr>
    </w:p>
    <w:p w:rsidR="00AE0549" w:rsidRPr="00A604A3" w:rsidRDefault="00AE0549" w:rsidP="00973D83">
      <w:r w:rsidRPr="00A604A3">
        <w:t>From Table 122 it can be seen that sleep ratios of more than 90% can be achieved in connected mode by NR devices.</w:t>
      </w:r>
    </w:p>
    <w:p w:rsidR="00AE0549" w:rsidRPr="00A604A3" w:rsidRDefault="00AE0549" w:rsidP="00973D83">
      <w:r w:rsidRPr="00A604A3">
        <w:t>It can therefore be concluded that NR devices can achieve high sleep ratio for both idle/inactive state and connected state in unloaded case.</w:t>
      </w:r>
    </w:p>
    <w:p w:rsidR="00AE0549" w:rsidRPr="00A604A3" w:rsidRDefault="00AE0549" w:rsidP="00973D83">
      <w:r w:rsidRPr="00A604A3">
        <w:rPr>
          <w:color w:val="000000" w:themeColor="text1"/>
          <w:lang w:eastAsia="zh-CN"/>
        </w:rPr>
        <w:t>The sleep duration for NR on the device side is given in [14], and the following is an extract of the text:</w:t>
      </w:r>
    </w:p>
    <w:p w:rsidR="00AE0549" w:rsidRPr="00973D83" w:rsidRDefault="00973D83" w:rsidP="00973D83">
      <w:pPr>
        <w:pStyle w:val="enumlev1"/>
        <w:rPr>
          <w:i/>
          <w:iCs/>
        </w:rPr>
      </w:pPr>
      <w:r>
        <w:rPr>
          <w:rFonts w:eastAsia="MS Mincho"/>
        </w:rPr>
        <w:tab/>
      </w:r>
      <w:r w:rsidR="00AE0549" w:rsidRPr="00973D83">
        <w:rPr>
          <w:i/>
          <w:iCs/>
        </w:rPr>
        <w:t>The sleep duration for NR UE in idle mode is 2</w:t>
      </w:r>
      <w:r>
        <w:rPr>
          <w:rFonts w:eastAsia="MS Mincho"/>
          <w:i/>
          <w:iCs/>
        </w:rPr>
        <w:t> </w:t>
      </w:r>
      <w:r w:rsidR="00AE0549" w:rsidRPr="00973D83">
        <w:rPr>
          <w:i/>
          <w:iCs/>
        </w:rPr>
        <w:t>546 ms for paging cycle of 2</w:t>
      </w:r>
      <w:r>
        <w:rPr>
          <w:rFonts w:eastAsia="MS Mincho"/>
          <w:i/>
          <w:iCs/>
        </w:rPr>
        <w:t> </w:t>
      </w:r>
      <w:r w:rsidR="00AE0549" w:rsidRPr="00973D83">
        <w:rPr>
          <w:i/>
          <w:iCs/>
        </w:rPr>
        <w:t>560</w:t>
      </w:r>
      <w:r>
        <w:rPr>
          <w:rFonts w:eastAsia="MS Mincho"/>
          <w:i/>
          <w:iCs/>
        </w:rPr>
        <w:t> </w:t>
      </w:r>
      <w:r w:rsidR="00AE0549" w:rsidRPr="00973D83">
        <w:rPr>
          <w:i/>
          <w:iCs/>
        </w:rPr>
        <w:t>ms with the assumed parameters. The sleep duration of NR UE in connected state is 8</w:t>
      </w:r>
      <w:r>
        <w:rPr>
          <w:rFonts w:eastAsia="MS Mincho"/>
          <w:i/>
          <w:iCs/>
        </w:rPr>
        <w:t> </w:t>
      </w:r>
      <w:r w:rsidR="00AE0549" w:rsidRPr="00973D83">
        <w:rPr>
          <w:i/>
          <w:iCs/>
        </w:rPr>
        <w:t>627 ms for paging cycle of 10</w:t>
      </w:r>
      <w:r>
        <w:rPr>
          <w:rFonts w:eastAsia="MS Mincho"/>
          <w:i/>
          <w:iCs/>
        </w:rPr>
        <w:t> </w:t>
      </w:r>
      <w:r w:rsidR="00AE0549" w:rsidRPr="00973D83">
        <w:rPr>
          <w:i/>
          <w:iCs/>
        </w:rPr>
        <w:t>240 ms with the assumed parameters.</w:t>
      </w:r>
    </w:p>
    <w:p w:rsidR="00AE0549" w:rsidRPr="00A604A3" w:rsidRDefault="00AE0549" w:rsidP="00973D83">
      <w:r w:rsidRPr="00A604A3">
        <w:t>Consequently, NR devices can achieve very long sleep duration in both idle mode and connected mode.</w:t>
      </w:r>
    </w:p>
    <w:p w:rsidR="00AE0549" w:rsidRPr="00A604A3" w:rsidRDefault="00AE0549" w:rsidP="00973D83">
      <w:r w:rsidRPr="00A604A3">
        <w:t>It can therefore be concluded that NR meets the device side energy efficiency requirement.</w:t>
      </w:r>
    </w:p>
    <w:p w:rsidR="00AE0549" w:rsidRPr="00A604A3" w:rsidRDefault="00D07867" w:rsidP="00D07867">
      <w:pPr>
        <w:pStyle w:val="Heading5"/>
      </w:pPr>
      <w:r>
        <w:rPr>
          <w:rFonts w:eastAsia="MS Mincho"/>
        </w:rPr>
        <w:t>II.5.10.2.2</w:t>
      </w:r>
      <w:r>
        <w:rPr>
          <w:rFonts w:eastAsia="MS Mincho"/>
        </w:rPr>
        <w:tab/>
      </w:r>
      <w:r w:rsidR="00AE0549" w:rsidRPr="00A604A3">
        <w:t>LTE</w:t>
      </w:r>
    </w:p>
    <w:p w:rsidR="00AE0549" w:rsidRPr="00A604A3" w:rsidRDefault="00D07867" w:rsidP="00D07867">
      <w:pPr>
        <w:pStyle w:val="Heading6"/>
      </w:pPr>
      <w:r>
        <w:rPr>
          <w:rFonts w:eastAsia="MS Mincho"/>
        </w:rPr>
        <w:t>II.5.10.2.2.1</w:t>
      </w:r>
      <w:r>
        <w:rPr>
          <w:rFonts w:eastAsia="MS Mincho"/>
        </w:rPr>
        <w:tab/>
      </w:r>
      <w:r w:rsidR="00AE0549" w:rsidRPr="00A604A3">
        <w:t>LTE network side</w:t>
      </w:r>
    </w:p>
    <w:p w:rsidR="00AE0549" w:rsidRPr="00A604A3" w:rsidRDefault="00AE0549" w:rsidP="00D07867">
      <w:pPr>
        <w:rPr>
          <w:lang w:eastAsia="zh-CN"/>
        </w:rPr>
      </w:pPr>
      <w:r w:rsidRPr="00A604A3">
        <w:rPr>
          <w:lang w:eastAsia="zh-CN"/>
        </w:rPr>
        <w:t>The sleep ratio for LTE on the network side is given in [14], and Table 123 for the sleep ratio is taken from there.</w:t>
      </w:r>
    </w:p>
    <w:p w:rsidR="00D07867" w:rsidRDefault="00D07867" w:rsidP="00D07867">
      <w:pPr>
        <w:pStyle w:val="TableNo"/>
      </w:pPr>
      <w:bookmarkStart w:id="579" w:name="_Ref25074306"/>
      <w:bookmarkStart w:id="580" w:name="_Ref25426035"/>
      <w:bookmarkStart w:id="581" w:name="_Toc28265823"/>
      <w:bookmarkStart w:id="582" w:name="_Toc28277057"/>
      <w:bookmarkStart w:id="583" w:name="_Toc32066474"/>
      <w:r>
        <w:rPr>
          <w:rFonts w:eastAsia="MS Mincho"/>
        </w:rPr>
        <w:t>Table 123</w:t>
      </w:r>
    </w:p>
    <w:p w:rsidR="00D07867" w:rsidRPr="00A604A3" w:rsidRDefault="00D07867" w:rsidP="00D07867">
      <w:pPr>
        <w:pStyle w:val="Tabletitle"/>
      </w:pPr>
      <w:r w:rsidRPr="00A604A3">
        <w:t>LTE network sleep ratio in subframe level</w:t>
      </w:r>
      <w:bookmarkEnd w:id="579"/>
      <w:r w:rsidRPr="00A604A3">
        <w:t xml:space="preserve"> (from [14])</w:t>
      </w:r>
      <w:bookmarkEnd w:id="580"/>
      <w:bookmarkEnd w:id="581"/>
      <w:bookmarkEnd w:id="582"/>
      <w:bookmarkEnd w:id="583"/>
    </w:p>
    <w:tbl>
      <w:tblPr>
        <w:tblStyle w:val="TableGrid"/>
        <w:tblW w:w="4390" w:type="dxa"/>
        <w:jc w:val="center"/>
        <w:tblLook w:val="04A0" w:firstRow="1" w:lastRow="0" w:firstColumn="1" w:lastColumn="0" w:noHBand="0" w:noVBand="1"/>
      </w:tblPr>
      <w:tblGrid>
        <w:gridCol w:w="2830"/>
        <w:gridCol w:w="1560"/>
      </w:tblGrid>
      <w:tr w:rsidR="00AE0549" w:rsidRPr="00A604A3" w:rsidTr="00D07867">
        <w:trPr>
          <w:jc w:val="center"/>
        </w:trPr>
        <w:tc>
          <w:tcPr>
            <w:tcW w:w="2830" w:type="dxa"/>
          </w:tcPr>
          <w:p w:rsidR="00AE0549" w:rsidRPr="00A604A3" w:rsidRDefault="00AE0549" w:rsidP="00D07867">
            <w:pPr>
              <w:pStyle w:val="Tablehead"/>
              <w:rPr>
                <w:lang w:eastAsia="zh-CN"/>
              </w:rPr>
            </w:pPr>
            <w:r w:rsidRPr="00A604A3">
              <w:rPr>
                <w:lang w:eastAsia="zh-CN"/>
              </w:rPr>
              <w:t>Cell type</w:t>
            </w:r>
          </w:p>
        </w:tc>
        <w:tc>
          <w:tcPr>
            <w:tcW w:w="1560" w:type="dxa"/>
            <w:noWrap/>
          </w:tcPr>
          <w:p w:rsidR="00AE0549" w:rsidRPr="00A604A3" w:rsidRDefault="00AE0549" w:rsidP="00D07867">
            <w:pPr>
              <w:pStyle w:val="Tablehead"/>
              <w:rPr>
                <w:lang w:eastAsia="zh-CN"/>
              </w:rPr>
            </w:pPr>
            <w:r w:rsidRPr="00A604A3">
              <w:rPr>
                <w:lang w:eastAsia="zh-CN"/>
              </w:rPr>
              <w:t>Sleep ratio</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FeMBMS/Unicast-mixed cell</w:t>
            </w:r>
          </w:p>
        </w:tc>
        <w:tc>
          <w:tcPr>
            <w:tcW w:w="1560" w:type="dxa"/>
            <w:noWrap/>
            <w:hideMark/>
          </w:tcPr>
          <w:p w:rsidR="00AE0549" w:rsidRPr="00A604A3" w:rsidRDefault="00AE0549" w:rsidP="00D07867">
            <w:pPr>
              <w:pStyle w:val="Tabletext"/>
              <w:jc w:val="center"/>
              <w:rPr>
                <w:lang w:eastAsia="zh-CN"/>
              </w:rPr>
            </w:pPr>
            <w:r w:rsidRPr="00A604A3">
              <w:rPr>
                <w:lang w:eastAsia="zh-CN"/>
              </w:rPr>
              <w:t>80%</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MBMS-dedicated cell</w:t>
            </w:r>
          </w:p>
        </w:tc>
        <w:tc>
          <w:tcPr>
            <w:tcW w:w="1560" w:type="dxa"/>
            <w:noWrap/>
            <w:hideMark/>
          </w:tcPr>
          <w:p w:rsidR="00AE0549" w:rsidRPr="00A604A3" w:rsidRDefault="00AE0549" w:rsidP="00D07867">
            <w:pPr>
              <w:pStyle w:val="Tabletext"/>
              <w:jc w:val="center"/>
              <w:rPr>
                <w:lang w:eastAsia="zh-CN"/>
              </w:rPr>
            </w:pPr>
            <w:r w:rsidRPr="00A604A3">
              <w:rPr>
                <w:lang w:eastAsia="zh-CN"/>
              </w:rPr>
              <w:t>93.75%</w:t>
            </w:r>
          </w:p>
        </w:tc>
      </w:tr>
    </w:tbl>
    <w:p w:rsidR="00AE0549" w:rsidRPr="00A604A3" w:rsidRDefault="00AE0549" w:rsidP="00D07867">
      <w:pPr>
        <w:pStyle w:val="Tablefin"/>
        <w:rPr>
          <w:lang w:eastAsia="zh-CN"/>
        </w:rPr>
      </w:pPr>
    </w:p>
    <w:p w:rsidR="00AE0549" w:rsidRPr="00A604A3" w:rsidRDefault="00AE0549" w:rsidP="00D07867">
      <w:pPr>
        <w:rPr>
          <w:lang w:eastAsia="zh-CN"/>
        </w:rPr>
      </w:pPr>
      <w:r w:rsidRPr="00A604A3">
        <w:rPr>
          <w:lang w:eastAsia="zh-CN"/>
        </w:rPr>
        <w:t>From Table 123 it can be seen that LTE networks can achieve high sleep ratio for FeMBMS/Unicast-mixed cell and MBMS-dedicated cell in unloaded case.</w:t>
      </w:r>
    </w:p>
    <w:p w:rsidR="00AE0549" w:rsidRPr="00A604A3" w:rsidRDefault="00AE0549" w:rsidP="00D07867">
      <w:pPr>
        <w:rPr>
          <w:lang w:eastAsia="zh-CN"/>
        </w:rPr>
      </w:pPr>
      <w:r w:rsidRPr="00A604A3">
        <w:rPr>
          <w:lang w:eastAsia="zh-CN"/>
        </w:rPr>
        <w:t>The sleep duration for LTE is given in [14], and Table 124 for the sleep duration is taken from there:</w:t>
      </w:r>
    </w:p>
    <w:p w:rsidR="00D07867" w:rsidRDefault="00D07867" w:rsidP="00D07867">
      <w:pPr>
        <w:pStyle w:val="TableNo"/>
      </w:pPr>
      <w:bookmarkStart w:id="584" w:name="_Ref25074497"/>
      <w:bookmarkStart w:id="585" w:name="_Ref25426153"/>
      <w:bookmarkStart w:id="586" w:name="_Toc28265824"/>
      <w:bookmarkStart w:id="587" w:name="_Toc28277058"/>
      <w:bookmarkStart w:id="588" w:name="_Toc32066475"/>
      <w:r>
        <w:rPr>
          <w:rFonts w:eastAsia="MS Mincho"/>
        </w:rPr>
        <w:lastRenderedPageBreak/>
        <w:t>Table 124</w:t>
      </w:r>
    </w:p>
    <w:p w:rsidR="00D07867" w:rsidRPr="00A604A3" w:rsidRDefault="00D07867" w:rsidP="00D07867">
      <w:pPr>
        <w:pStyle w:val="Tabletitle"/>
      </w:pPr>
      <w:r w:rsidRPr="00A604A3">
        <w:t>LTE network sleep duration (ms) in subframe level</w:t>
      </w:r>
      <w:bookmarkEnd w:id="584"/>
      <w:r w:rsidRPr="00A604A3">
        <w:t xml:space="preserve"> (from [14])</w:t>
      </w:r>
      <w:bookmarkEnd w:id="585"/>
      <w:bookmarkEnd w:id="586"/>
      <w:bookmarkEnd w:id="587"/>
      <w:bookmarkEnd w:id="588"/>
    </w:p>
    <w:tbl>
      <w:tblPr>
        <w:tblStyle w:val="TableGrid"/>
        <w:tblW w:w="4957" w:type="dxa"/>
        <w:jc w:val="center"/>
        <w:tblLook w:val="04A0" w:firstRow="1" w:lastRow="0" w:firstColumn="1" w:lastColumn="0" w:noHBand="0" w:noVBand="1"/>
      </w:tblPr>
      <w:tblGrid>
        <w:gridCol w:w="2830"/>
        <w:gridCol w:w="2127"/>
      </w:tblGrid>
      <w:tr w:rsidR="00AE0549" w:rsidRPr="00A604A3" w:rsidTr="00D07867">
        <w:trPr>
          <w:jc w:val="center"/>
        </w:trPr>
        <w:tc>
          <w:tcPr>
            <w:tcW w:w="2830" w:type="dxa"/>
          </w:tcPr>
          <w:p w:rsidR="00AE0549" w:rsidRPr="00A604A3" w:rsidRDefault="00AE0549" w:rsidP="00D07867">
            <w:pPr>
              <w:pStyle w:val="Tablehead"/>
              <w:rPr>
                <w:lang w:eastAsia="zh-CN"/>
              </w:rPr>
            </w:pPr>
            <w:r w:rsidRPr="00A604A3">
              <w:rPr>
                <w:lang w:eastAsia="zh-CN"/>
              </w:rPr>
              <w:t>Cell type</w:t>
            </w:r>
          </w:p>
        </w:tc>
        <w:tc>
          <w:tcPr>
            <w:tcW w:w="2127" w:type="dxa"/>
            <w:noWrap/>
          </w:tcPr>
          <w:p w:rsidR="00AE0549" w:rsidRPr="00A604A3" w:rsidRDefault="00AE0549" w:rsidP="00D07867">
            <w:pPr>
              <w:pStyle w:val="Tablehead"/>
              <w:rPr>
                <w:lang w:eastAsia="zh-CN"/>
              </w:rPr>
            </w:pPr>
            <w:r w:rsidRPr="00A604A3">
              <w:rPr>
                <w:lang w:eastAsia="zh-CN"/>
              </w:rPr>
              <w:t>Sleep duration (ms)</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FeMBMS/Unicast-mixed cell</w:t>
            </w:r>
          </w:p>
        </w:tc>
        <w:tc>
          <w:tcPr>
            <w:tcW w:w="2127" w:type="dxa"/>
            <w:noWrap/>
            <w:hideMark/>
          </w:tcPr>
          <w:p w:rsidR="00AE0549" w:rsidRPr="00A604A3" w:rsidRDefault="00AE0549" w:rsidP="00D07867">
            <w:pPr>
              <w:pStyle w:val="Tabletext"/>
              <w:jc w:val="center"/>
              <w:rPr>
                <w:lang w:eastAsia="zh-CN"/>
              </w:rPr>
            </w:pPr>
            <w:r w:rsidRPr="00A604A3">
              <w:rPr>
                <w:lang w:eastAsia="zh-CN"/>
              </w:rPr>
              <w:t>4.00</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MBMS-dedicated cell</w:t>
            </w:r>
          </w:p>
        </w:tc>
        <w:tc>
          <w:tcPr>
            <w:tcW w:w="2127" w:type="dxa"/>
            <w:noWrap/>
            <w:hideMark/>
          </w:tcPr>
          <w:p w:rsidR="00AE0549" w:rsidRPr="00A604A3" w:rsidRDefault="00AE0549" w:rsidP="00D07867">
            <w:pPr>
              <w:pStyle w:val="Tabletext"/>
              <w:jc w:val="center"/>
              <w:rPr>
                <w:lang w:eastAsia="zh-CN"/>
              </w:rPr>
            </w:pPr>
            <w:r w:rsidRPr="00A604A3">
              <w:rPr>
                <w:lang w:eastAsia="zh-CN"/>
              </w:rPr>
              <w:t>39.00</w:t>
            </w:r>
          </w:p>
        </w:tc>
      </w:tr>
    </w:tbl>
    <w:p w:rsidR="00AE0549" w:rsidRPr="00A604A3" w:rsidRDefault="00AE0549" w:rsidP="00D07867">
      <w:pPr>
        <w:pStyle w:val="Tablefin"/>
        <w:rPr>
          <w:lang w:eastAsia="zh-CN"/>
        </w:rPr>
      </w:pPr>
    </w:p>
    <w:p w:rsidR="00AE0549" w:rsidRPr="00A604A3" w:rsidRDefault="00AE0549" w:rsidP="00D07867">
      <w:pPr>
        <w:rPr>
          <w:lang w:eastAsia="zh-CN"/>
        </w:rPr>
      </w:pPr>
      <w:r w:rsidRPr="00A604A3">
        <w:rPr>
          <w:lang w:eastAsia="zh-CN"/>
        </w:rPr>
        <w:t>From Table 124 it can be seen that MBMS-dedicated cells can achieve a sleep duration of 39 ms in the unloaded case.</w:t>
      </w:r>
    </w:p>
    <w:p w:rsidR="00AE0549" w:rsidRPr="00A604A3" w:rsidRDefault="00AE0549" w:rsidP="00D07867">
      <w:pPr>
        <w:rPr>
          <w:lang w:eastAsia="zh-CN"/>
        </w:rPr>
      </w:pPr>
      <w:r w:rsidRPr="00A604A3">
        <w:rPr>
          <w:lang w:eastAsia="zh-CN"/>
        </w:rPr>
        <w:t>Therefore, LTE meets network side energy efficiency requirement for FeMBMS/Unicast-mixed cell and MBMS-dedicated cell.</w:t>
      </w:r>
    </w:p>
    <w:p w:rsidR="00AE0549" w:rsidRPr="00A604A3" w:rsidRDefault="00D07867" w:rsidP="00D07867">
      <w:pPr>
        <w:pStyle w:val="Heading6"/>
      </w:pPr>
      <w:r>
        <w:rPr>
          <w:rFonts w:eastAsia="MS Mincho"/>
        </w:rPr>
        <w:t>II.5.10.2.2.2</w:t>
      </w:r>
      <w:r>
        <w:rPr>
          <w:rFonts w:eastAsia="MS Mincho"/>
        </w:rPr>
        <w:tab/>
      </w:r>
      <w:r w:rsidR="00AE0549" w:rsidRPr="00A604A3">
        <w:t>LTE device side</w:t>
      </w:r>
    </w:p>
    <w:p w:rsidR="00AE0549" w:rsidRPr="00A604A3" w:rsidRDefault="00AE0549" w:rsidP="00D07867">
      <w:pPr>
        <w:rPr>
          <w:lang w:eastAsia="zh-CN"/>
        </w:rPr>
      </w:pPr>
      <w:r w:rsidRPr="00A604A3">
        <w:rPr>
          <w:lang w:eastAsia="zh-CN"/>
        </w:rPr>
        <w:t>The sleep ratio for LTE on the device side is given in [14], and Table 125 and Table 126 for the sleep ratio is taken from there:</w:t>
      </w:r>
    </w:p>
    <w:p w:rsidR="005A28EF" w:rsidRDefault="005A28EF" w:rsidP="005A28EF">
      <w:pPr>
        <w:pStyle w:val="TableNo"/>
      </w:pPr>
      <w:bookmarkStart w:id="589" w:name="_Ref25074947"/>
      <w:bookmarkStart w:id="590" w:name="_Toc28265826"/>
      <w:bookmarkStart w:id="591" w:name="_Toc28277060"/>
      <w:bookmarkStart w:id="592" w:name="_Toc32066477"/>
      <w:r>
        <w:rPr>
          <w:rFonts w:eastAsia="MS Mincho"/>
        </w:rPr>
        <w:t>Table 125</w:t>
      </w:r>
    </w:p>
    <w:p w:rsidR="00D07867" w:rsidRPr="00A604A3" w:rsidRDefault="00D07867" w:rsidP="005A28EF">
      <w:pPr>
        <w:pStyle w:val="Tabletitle"/>
      </w:pPr>
      <w:r w:rsidRPr="00A604A3">
        <w:t>LTE device sleep ratio in subframe level (for idle mode)</w:t>
      </w:r>
      <w:bookmarkEnd w:id="589"/>
      <w:bookmarkEnd w:id="590"/>
      <w:bookmarkEnd w:id="591"/>
      <w:bookmarkEnd w:id="592"/>
    </w:p>
    <w:tbl>
      <w:tblPr>
        <w:tblStyle w:val="TableGrid"/>
        <w:tblW w:w="5377" w:type="pct"/>
        <w:jc w:val="center"/>
        <w:tblLayout w:type="fixed"/>
        <w:tblCellMar>
          <w:left w:w="28" w:type="dxa"/>
          <w:right w:w="28" w:type="dxa"/>
        </w:tblCellMar>
        <w:tblLook w:val="04A0" w:firstRow="1" w:lastRow="0" w:firstColumn="1" w:lastColumn="0" w:noHBand="0" w:noVBand="1"/>
      </w:tblPr>
      <w:tblGrid>
        <w:gridCol w:w="637"/>
        <w:gridCol w:w="746"/>
        <w:gridCol w:w="1478"/>
        <w:gridCol w:w="1478"/>
        <w:gridCol w:w="1447"/>
        <w:gridCol w:w="1257"/>
        <w:gridCol w:w="1028"/>
        <w:gridCol w:w="946"/>
        <w:gridCol w:w="679"/>
      </w:tblGrid>
      <w:tr w:rsidR="00AE0549" w:rsidRPr="005A28EF" w:rsidTr="005A28EF">
        <w:trPr>
          <w:jc w:val="center"/>
        </w:trPr>
        <w:tc>
          <w:tcPr>
            <w:tcW w:w="329" w:type="pct"/>
            <w:vAlign w:val="center"/>
            <w:hideMark/>
          </w:tcPr>
          <w:p w:rsidR="00AE0549" w:rsidRPr="005A28EF" w:rsidRDefault="00AE0549" w:rsidP="005A28EF">
            <w:pPr>
              <w:pStyle w:val="Tablehead"/>
              <w:rPr>
                <w:sz w:val="18"/>
                <w:szCs w:val="18"/>
                <w:lang w:eastAsia="zh-CN"/>
              </w:rPr>
            </w:pPr>
          </w:p>
        </w:tc>
        <w:tc>
          <w:tcPr>
            <w:tcW w:w="385" w:type="pct"/>
            <w:vAlign w:val="center"/>
            <w:hideMark/>
          </w:tcPr>
          <w:p w:rsidR="00AE0549" w:rsidRPr="005A28EF" w:rsidRDefault="00AE0549" w:rsidP="005A28EF">
            <w:pPr>
              <w:pStyle w:val="Tablehead"/>
              <w:rPr>
                <w:sz w:val="18"/>
                <w:szCs w:val="18"/>
                <w:lang w:eastAsia="zh-CN"/>
              </w:rPr>
            </w:pPr>
            <w:r w:rsidRPr="005A28EF">
              <w:rPr>
                <w:sz w:val="18"/>
                <w:szCs w:val="18"/>
                <w:lang w:eastAsia="zh-CN"/>
              </w:rPr>
              <w:t xml:space="preserve">Paging cycle </w:t>
            </w:r>
            <w:r w:rsidRPr="005A28EF">
              <w:rPr>
                <w:i/>
                <w:sz w:val="18"/>
                <w:szCs w:val="18"/>
                <w:lang w:eastAsia="zh-CN"/>
              </w:rPr>
              <w:t>N</w:t>
            </w:r>
            <w:r w:rsidRPr="005A28EF">
              <w:rPr>
                <w:sz w:val="18"/>
                <w:szCs w:val="18"/>
                <w:vertAlign w:val="subscript"/>
                <w:lang w:eastAsia="zh-CN"/>
              </w:rPr>
              <w:t>PC_RF</w:t>
            </w:r>
            <w:r w:rsidRPr="005A28EF">
              <w:rPr>
                <w:sz w:val="18"/>
                <w:szCs w:val="18"/>
                <w:lang w:eastAsia="zh-CN"/>
              </w:rPr>
              <w:t xml:space="preserve"> *10 (ms)</w:t>
            </w:r>
          </w:p>
        </w:tc>
        <w:tc>
          <w:tcPr>
            <w:tcW w:w="762"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Synchronization reception time per cycle(ms)</w:t>
            </w:r>
          </w:p>
        </w:tc>
        <w:tc>
          <w:tcPr>
            <w:tcW w:w="762"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Synchronization cycle(ms)</w:t>
            </w:r>
          </w:p>
        </w:tc>
        <w:tc>
          <w:tcPr>
            <w:tcW w:w="746" w:type="pct"/>
            <w:vAlign w:val="center"/>
            <w:hideMark/>
          </w:tcPr>
          <w:p w:rsidR="00AE0549" w:rsidRPr="005A28EF" w:rsidRDefault="00AE0549" w:rsidP="005A28EF">
            <w:pPr>
              <w:pStyle w:val="Tablehead"/>
              <w:rPr>
                <w:sz w:val="18"/>
                <w:szCs w:val="18"/>
                <w:lang w:eastAsia="zh-CN"/>
              </w:rPr>
            </w:pPr>
            <w:r w:rsidRPr="005A28EF">
              <w:rPr>
                <w:sz w:val="18"/>
                <w:szCs w:val="18"/>
                <w:lang w:eastAsia="zh-CN"/>
              </w:rPr>
              <w:t>Number of</w:t>
            </w:r>
            <w:r w:rsidR="005A28EF" w:rsidRPr="005A28EF">
              <w:rPr>
                <w:sz w:val="18"/>
                <w:szCs w:val="18"/>
                <w:lang w:eastAsia="zh-CN"/>
              </w:rPr>
              <w:br/>
            </w:r>
            <w:r w:rsidRPr="005A28EF">
              <w:rPr>
                <w:sz w:val="18"/>
                <w:szCs w:val="18"/>
                <w:lang w:eastAsia="zh-CN"/>
              </w:rPr>
              <w:t>synchronization</w:t>
            </w:r>
          </w:p>
        </w:tc>
        <w:tc>
          <w:tcPr>
            <w:tcW w:w="648" w:type="pct"/>
            <w:vAlign w:val="center"/>
            <w:hideMark/>
          </w:tcPr>
          <w:p w:rsidR="00AE0549" w:rsidRPr="005A28EF" w:rsidRDefault="00AE0549" w:rsidP="005A28EF">
            <w:pPr>
              <w:pStyle w:val="Tablehead"/>
              <w:rPr>
                <w:sz w:val="18"/>
                <w:szCs w:val="18"/>
                <w:lang w:eastAsia="zh-CN"/>
              </w:rPr>
            </w:pPr>
            <w:r w:rsidRPr="005A28EF">
              <w:rPr>
                <w:sz w:val="18"/>
                <w:szCs w:val="18"/>
                <w:lang w:eastAsia="zh-CN"/>
              </w:rPr>
              <w:t>RRM measurement time per DRX (ms)</w:t>
            </w:r>
          </w:p>
        </w:tc>
        <w:tc>
          <w:tcPr>
            <w:tcW w:w="530" w:type="pct"/>
            <w:vAlign w:val="center"/>
          </w:tcPr>
          <w:p w:rsidR="00AE0549" w:rsidRPr="005A28EF" w:rsidRDefault="00AE0549" w:rsidP="005A28EF">
            <w:pPr>
              <w:pStyle w:val="Tablehead"/>
              <w:rPr>
                <w:sz w:val="18"/>
                <w:szCs w:val="18"/>
                <w:lang w:eastAsia="zh-CN"/>
              </w:rPr>
            </w:pPr>
            <w:r w:rsidRPr="005A28EF">
              <w:rPr>
                <w:sz w:val="18"/>
                <w:szCs w:val="18"/>
                <w:lang w:eastAsia="zh-CN"/>
              </w:rPr>
              <w:t>Transition time (ms)</w:t>
            </w:r>
          </w:p>
        </w:tc>
        <w:tc>
          <w:tcPr>
            <w:tcW w:w="488" w:type="pct"/>
            <w:vAlign w:val="center"/>
            <w:hideMark/>
          </w:tcPr>
          <w:p w:rsidR="00AE0549" w:rsidRPr="005A28EF" w:rsidRDefault="00AE0549" w:rsidP="005A28EF">
            <w:pPr>
              <w:pStyle w:val="Tablehead"/>
              <w:rPr>
                <w:sz w:val="18"/>
                <w:szCs w:val="18"/>
                <w:lang w:eastAsia="zh-CN"/>
              </w:rPr>
            </w:pPr>
            <w:r w:rsidRPr="005A28EF">
              <w:rPr>
                <w:sz w:val="18"/>
                <w:szCs w:val="18"/>
                <w:lang w:eastAsia="zh-CN"/>
              </w:rPr>
              <w:t>DL/UL subframe ratio</w:t>
            </w:r>
          </w:p>
        </w:tc>
        <w:tc>
          <w:tcPr>
            <w:tcW w:w="351"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Sleep ratio</w:t>
            </w:r>
          </w:p>
        </w:tc>
      </w:tr>
      <w:tr w:rsidR="00AE0549" w:rsidRPr="005A28EF" w:rsidTr="005A28EF">
        <w:trPr>
          <w:jc w:val="center"/>
        </w:trPr>
        <w:tc>
          <w:tcPr>
            <w:tcW w:w="329" w:type="pct"/>
            <w:vMerge w:val="restar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RRC-Idle</w:t>
            </w: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320</w:t>
            </w:r>
          </w:p>
        </w:tc>
        <w:tc>
          <w:tcPr>
            <w:tcW w:w="762" w:type="pct"/>
            <w:vAlign w:val="center"/>
            <w:hideMark/>
          </w:tcPr>
          <w:p w:rsidR="00AE0549" w:rsidRPr="005A28EF" w:rsidRDefault="00AE0549" w:rsidP="005A28EF">
            <w:pPr>
              <w:pStyle w:val="Tabletext"/>
              <w:jc w:val="center"/>
              <w:rPr>
                <w:sz w:val="18"/>
                <w:szCs w:val="18"/>
                <w:lang w:eastAsia="zh-CN"/>
              </w:rPr>
            </w:pPr>
            <w:bookmarkStart w:id="593" w:name="RANGE!O63"/>
            <w:r w:rsidRPr="005A28EF">
              <w:rPr>
                <w:sz w:val="18"/>
                <w:szCs w:val="18"/>
                <w:lang w:eastAsia="zh-CN"/>
              </w:rPr>
              <w:t>2</w:t>
            </w:r>
            <w:bookmarkEnd w:id="593"/>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93.1%</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320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90.0%</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r w:rsidR="005A28EF" w:rsidRPr="005A28EF">
              <w:rPr>
                <w:sz w:val="18"/>
                <w:szCs w:val="18"/>
                <w:lang w:eastAsia="zh-CN"/>
              </w:rPr>
              <w:t> </w:t>
            </w:r>
            <w:r w:rsidRPr="005A28EF">
              <w:rPr>
                <w:sz w:val="18"/>
                <w:szCs w:val="18"/>
                <w:lang w:eastAsia="zh-CN"/>
              </w:rPr>
              <w:t>560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99.1%</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r w:rsidR="005A28EF" w:rsidRPr="005A28EF">
              <w:rPr>
                <w:sz w:val="18"/>
                <w:szCs w:val="18"/>
                <w:lang w:eastAsia="zh-CN"/>
              </w:rPr>
              <w:t> </w:t>
            </w:r>
            <w:r w:rsidRPr="005A28EF">
              <w:rPr>
                <w:sz w:val="18"/>
                <w:szCs w:val="18"/>
                <w:lang w:eastAsia="zh-CN"/>
              </w:rPr>
              <w:t>560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98.8%</w:t>
            </w:r>
          </w:p>
        </w:tc>
      </w:tr>
    </w:tbl>
    <w:p w:rsidR="00AE0549" w:rsidRPr="00A604A3" w:rsidRDefault="00AE0549" w:rsidP="005A28EF">
      <w:pPr>
        <w:pStyle w:val="Tablefin"/>
      </w:pPr>
    </w:p>
    <w:p w:rsidR="00AE0549" w:rsidRPr="00A604A3" w:rsidRDefault="00AE0549" w:rsidP="005A28EF">
      <w:r w:rsidRPr="00A604A3">
        <w:t>From Table 125 it can be seen that more than 90% sleep ratio can be achieved in idle mode by LTE devices.</w:t>
      </w:r>
    </w:p>
    <w:p w:rsidR="005A28EF" w:rsidRDefault="005A28EF" w:rsidP="005A28EF">
      <w:pPr>
        <w:pStyle w:val="TableNo"/>
      </w:pPr>
      <w:bookmarkStart w:id="594" w:name="_Ref25075037"/>
      <w:bookmarkStart w:id="595" w:name="_Toc28265827"/>
      <w:bookmarkStart w:id="596" w:name="_Toc28277061"/>
      <w:bookmarkStart w:id="597" w:name="_Toc32066478"/>
      <w:r>
        <w:rPr>
          <w:rFonts w:eastAsia="MS Mincho"/>
        </w:rPr>
        <w:t>Table 126</w:t>
      </w:r>
    </w:p>
    <w:p w:rsidR="00D07867" w:rsidRPr="00A604A3" w:rsidRDefault="00D07867" w:rsidP="005A28EF">
      <w:pPr>
        <w:pStyle w:val="Tabletitle"/>
      </w:pPr>
      <w:r w:rsidRPr="00A604A3">
        <w:t>LTE device sleep ratio in subframe level (for connected mode)</w:t>
      </w:r>
      <w:bookmarkEnd w:id="594"/>
      <w:bookmarkEnd w:id="595"/>
      <w:bookmarkEnd w:id="596"/>
      <w:bookmarkEnd w:id="597"/>
    </w:p>
    <w:tbl>
      <w:tblPr>
        <w:tblW w:w="5135" w:type="pct"/>
        <w:jc w:val="center"/>
        <w:tblLayout w:type="fixed"/>
        <w:tblCellMar>
          <w:left w:w="28" w:type="dxa"/>
          <w:right w:w="28" w:type="dxa"/>
        </w:tblCellMar>
        <w:tblLook w:val="04A0" w:firstRow="1" w:lastRow="0" w:firstColumn="1" w:lastColumn="0" w:noHBand="0" w:noVBand="1"/>
      </w:tblPr>
      <w:tblGrid>
        <w:gridCol w:w="989"/>
        <w:gridCol w:w="965"/>
        <w:gridCol w:w="1244"/>
        <w:gridCol w:w="1148"/>
        <w:gridCol w:w="1317"/>
        <w:gridCol w:w="904"/>
        <w:gridCol w:w="1039"/>
        <w:gridCol w:w="909"/>
        <w:gridCol w:w="744"/>
      </w:tblGrid>
      <w:tr w:rsidR="00AE0549" w:rsidRPr="00BC1828" w:rsidTr="005A28EF">
        <w:trPr>
          <w:jc w:val="center"/>
        </w:trPr>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p>
        </w:tc>
        <w:tc>
          <w:tcPr>
            <w:tcW w:w="52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val="fr-CH" w:eastAsia="zh-CN"/>
              </w:rPr>
            </w:pPr>
            <w:r w:rsidRPr="00BC1828">
              <w:rPr>
                <w:sz w:val="18"/>
                <w:szCs w:val="18"/>
                <w:lang w:val="fr-CH" w:eastAsia="zh-CN"/>
              </w:rPr>
              <w:t xml:space="preserve">DRX cycle </w:t>
            </w:r>
            <w:r w:rsidRPr="00BC1828">
              <w:rPr>
                <w:i/>
                <w:sz w:val="18"/>
                <w:szCs w:val="18"/>
                <w:lang w:val="fr-CH"/>
              </w:rPr>
              <w:t>T</w:t>
            </w:r>
            <w:r w:rsidRPr="00BC1828">
              <w:rPr>
                <w:sz w:val="18"/>
                <w:szCs w:val="18"/>
                <w:vertAlign w:val="subscript"/>
                <w:lang w:val="fr-CH"/>
              </w:rPr>
              <w:t>CYCLE_SF</w:t>
            </w:r>
            <w:r w:rsidRPr="00BC1828">
              <w:rPr>
                <w:sz w:val="18"/>
                <w:szCs w:val="18"/>
                <w:lang w:val="fr-CH" w:eastAsia="zh-CN"/>
              </w:rPr>
              <w:t xml:space="preserve"> (ms)</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Synchronization reception time</w:t>
            </w:r>
            <w:r w:rsidR="00BC1828">
              <w:rPr>
                <w:sz w:val="18"/>
                <w:szCs w:val="18"/>
                <w:lang w:eastAsia="zh-CN"/>
              </w:rPr>
              <w:br/>
            </w:r>
            <w:r w:rsidRPr="00BC1828">
              <w:rPr>
                <w:sz w:val="18"/>
                <w:szCs w:val="18"/>
                <w:lang w:eastAsia="zh-CN"/>
              </w:rPr>
              <w:t>(ms)</w:t>
            </w:r>
          </w:p>
        </w:tc>
        <w:tc>
          <w:tcPr>
            <w:tcW w:w="6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Synchronization cycle</w:t>
            </w:r>
            <w:r w:rsidR="00BC1828">
              <w:rPr>
                <w:sz w:val="18"/>
                <w:szCs w:val="18"/>
                <w:lang w:eastAsia="zh-CN"/>
              </w:rPr>
              <w:br/>
            </w:r>
            <w:r w:rsidRPr="00BC1828">
              <w:rPr>
                <w:sz w:val="18"/>
                <w:szCs w:val="18"/>
                <w:lang w:eastAsia="zh-CN"/>
              </w:rPr>
              <w:t>(ms)</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Number of synchronization</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PDCCH reception time</w:t>
            </w:r>
            <w:r w:rsidR="00BC1828">
              <w:rPr>
                <w:sz w:val="18"/>
                <w:szCs w:val="18"/>
                <w:lang w:eastAsia="zh-CN"/>
              </w:rPr>
              <w:br/>
            </w:r>
            <w:r w:rsidRPr="00BC1828">
              <w:rPr>
                <w:sz w:val="18"/>
                <w:szCs w:val="18"/>
                <w:lang w:eastAsia="zh-CN"/>
              </w:rPr>
              <w:t>(ms)</w:t>
            </w:r>
          </w:p>
        </w:tc>
        <w:tc>
          <w:tcPr>
            <w:tcW w:w="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RRM measurement time per DRX (ms)</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DL/UL subframe ratio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Sleep ratio</w:t>
            </w:r>
          </w:p>
        </w:tc>
      </w:tr>
      <w:tr w:rsidR="00AE0549" w:rsidRPr="00BC1828" w:rsidTr="00BC1828">
        <w:trPr>
          <w:jc w:val="center"/>
        </w:trPr>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bookmarkStart w:id="598" w:name="_Hlk522694259"/>
            <w:bookmarkStart w:id="599" w:name="OLE_LINK45"/>
            <w:r w:rsidRPr="00BC1828">
              <w:rPr>
                <w:sz w:val="18"/>
                <w:szCs w:val="18"/>
                <w:lang w:eastAsia="zh-CN"/>
              </w:rPr>
              <w:t>RRC-Connected</w:t>
            </w: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320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91.9%</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320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0.5</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85.6%</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r w:rsidR="00BC1828" w:rsidRPr="00BC1828">
              <w:rPr>
                <w:sz w:val="18"/>
                <w:szCs w:val="18"/>
                <w:lang w:eastAsia="zh-CN"/>
              </w:rPr>
              <w:t> </w:t>
            </w:r>
            <w:r w:rsidRPr="00BC1828">
              <w:rPr>
                <w:sz w:val="18"/>
                <w:szCs w:val="18"/>
                <w:lang w:eastAsia="zh-CN"/>
              </w:rPr>
              <w:t>560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95.5%</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r w:rsidR="00BC1828" w:rsidRPr="00BC1828">
              <w:rPr>
                <w:sz w:val="18"/>
                <w:szCs w:val="18"/>
                <w:lang w:eastAsia="zh-CN"/>
              </w:rPr>
              <w:t> </w:t>
            </w:r>
            <w:r w:rsidRPr="00BC1828">
              <w:rPr>
                <w:sz w:val="18"/>
                <w:szCs w:val="18"/>
                <w:lang w:eastAsia="zh-CN"/>
              </w:rPr>
              <w:t>560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0.5</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91.2%</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r w:rsidR="00BC1828" w:rsidRPr="00BC1828">
              <w:rPr>
                <w:sz w:val="18"/>
                <w:szCs w:val="18"/>
                <w:lang w:eastAsia="zh-CN"/>
              </w:rPr>
              <w:t> </w:t>
            </w:r>
            <w:r w:rsidRPr="00BC1828">
              <w:rPr>
                <w:sz w:val="18"/>
                <w:szCs w:val="18"/>
                <w:lang w:eastAsia="zh-CN"/>
              </w:rPr>
              <w:t>240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r w:rsidR="00BC1828" w:rsidRPr="00BC1828">
              <w:rPr>
                <w:sz w:val="18"/>
                <w:szCs w:val="18"/>
                <w:lang w:eastAsia="zh-CN"/>
              </w:rPr>
              <w:t> </w:t>
            </w:r>
            <w:r w:rsidRPr="00BC1828">
              <w:rPr>
                <w:sz w:val="18"/>
                <w:szCs w:val="18"/>
                <w:lang w:eastAsia="zh-CN"/>
              </w:rPr>
              <w:t>600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84.2%</w:t>
            </w:r>
          </w:p>
        </w:tc>
      </w:tr>
      <w:bookmarkEnd w:id="598"/>
      <w:bookmarkEnd w:id="599"/>
    </w:tbl>
    <w:p w:rsidR="00AE0549" w:rsidRPr="00A604A3" w:rsidRDefault="00AE0549" w:rsidP="00BC1828">
      <w:pPr>
        <w:pStyle w:val="Tablefin"/>
      </w:pPr>
    </w:p>
    <w:p w:rsidR="00AE0549" w:rsidRPr="00A604A3" w:rsidRDefault="00AE0549" w:rsidP="00BC1828">
      <w:r w:rsidRPr="00A604A3">
        <w:t>From Table 126 it can be seen that high sleep ratios can be achieved for different DRX cycles.</w:t>
      </w:r>
    </w:p>
    <w:p w:rsidR="00AE0549" w:rsidRPr="00A604A3" w:rsidRDefault="00AE0549" w:rsidP="00BC1828">
      <w:r w:rsidRPr="00A604A3">
        <w:lastRenderedPageBreak/>
        <w:t>It can therefore be concluded that LTE devices can achieve high sleep ratio for both idle/inactive state and connected state in the unloaded case.</w:t>
      </w:r>
    </w:p>
    <w:p w:rsidR="00AE0549" w:rsidRPr="00A604A3" w:rsidRDefault="00AE0549" w:rsidP="00BC1828">
      <w:pPr>
        <w:rPr>
          <w:szCs w:val="24"/>
        </w:rPr>
      </w:pPr>
      <w:r w:rsidRPr="00A604A3">
        <w:rPr>
          <w:color w:val="000000" w:themeColor="text1"/>
          <w:szCs w:val="24"/>
          <w:lang w:eastAsia="zh-CN"/>
        </w:rPr>
        <w:t>The sleep duration for NR on the device side is given in [14], and the following is an extract of the text:</w:t>
      </w:r>
    </w:p>
    <w:p w:rsidR="00AE0549" w:rsidRPr="00BC1828" w:rsidRDefault="00BC1828" w:rsidP="00BC1828">
      <w:pPr>
        <w:pStyle w:val="enumlev1"/>
        <w:rPr>
          <w:i/>
          <w:iCs/>
        </w:rPr>
      </w:pPr>
      <w:r>
        <w:tab/>
      </w:r>
      <w:r w:rsidR="00AE0549" w:rsidRPr="00BC1828">
        <w:rPr>
          <w:i/>
          <w:iCs/>
        </w:rPr>
        <w:t>Based on LTE DRX mechanism for idle mode and connected mode, the sleep duration for idle mode is 2538ms for paging cycle of 2560ms with the assumed parameters, and for connected mode, it is 8624ms for paging cycle of 10240ms with the assumed parameters.</w:t>
      </w:r>
    </w:p>
    <w:p w:rsidR="00AE0549" w:rsidRPr="00A604A3" w:rsidRDefault="00AE0549" w:rsidP="00BC1828">
      <w:r w:rsidRPr="00A604A3">
        <w:t>Consequently, the LTE device can achieve very long sleep duration in both idle mode and connected mode.</w:t>
      </w:r>
    </w:p>
    <w:p w:rsidR="00AE0549" w:rsidRPr="00A604A3" w:rsidRDefault="00AE0549" w:rsidP="00BC1828">
      <w:r w:rsidRPr="00A604A3">
        <w:t>It can therefore be concluded that LTE meets the device side energy efficiency requirement.</w:t>
      </w:r>
    </w:p>
    <w:p w:rsidR="00AE0549" w:rsidRPr="00A604A3" w:rsidRDefault="00BC1828" w:rsidP="00BC1828">
      <w:pPr>
        <w:pStyle w:val="Heading3"/>
      </w:pPr>
      <w:bookmarkStart w:id="600" w:name="_Toc32412971"/>
      <w:r>
        <w:t>II.5.11</w:t>
      </w:r>
      <w:r>
        <w:tab/>
      </w:r>
      <w:r w:rsidR="00AE0549" w:rsidRPr="00A604A3">
        <w:t>Reliability</w:t>
      </w:r>
      <w:bookmarkEnd w:id="600"/>
    </w:p>
    <w:p w:rsidR="00AE0549" w:rsidRPr="00A604A3" w:rsidRDefault="00AE0549" w:rsidP="00BC1828">
      <w:r w:rsidRPr="00A604A3">
        <w:t>The ITU-R minimum requirements on reliability are given in [1]. The following requirements and remarks are extracted from [1]:</w:t>
      </w:r>
    </w:p>
    <w:p w:rsidR="00AE0549" w:rsidRPr="00BC1828" w:rsidRDefault="00BC1828" w:rsidP="00BC1828">
      <w:pPr>
        <w:pStyle w:val="enumlev1"/>
        <w:rPr>
          <w:i/>
          <w:iCs/>
          <w:lang w:eastAsia="zh-CN"/>
        </w:rPr>
      </w:pPr>
      <w:r>
        <w:rPr>
          <w:i/>
          <w:iCs/>
          <w:lang w:eastAsia="zh-CN"/>
        </w:rPr>
        <w:tab/>
      </w:r>
      <w:r w:rsidR="00AE0549" w:rsidRPr="00BC1828">
        <w:rPr>
          <w:i/>
          <w:iCs/>
          <w:lang w:eastAsia="zh-CN"/>
        </w:rPr>
        <w:t xml:space="preserve">Reliability </w:t>
      </w:r>
      <w:r w:rsidR="00AE0549" w:rsidRPr="00BC1828">
        <w:rPr>
          <w:i/>
          <w:iCs/>
        </w:rPr>
        <w:t xml:space="preserve">relates to the capability </w:t>
      </w:r>
      <w:r w:rsidR="00AE0549" w:rsidRPr="00BC1828">
        <w:rPr>
          <w:i/>
          <w:iCs/>
          <w:lang w:eastAsia="zh-CN"/>
        </w:rPr>
        <w:t xml:space="preserve">of transmitting </w:t>
      </w:r>
      <w:r w:rsidR="00AE0549" w:rsidRPr="00BC1828">
        <w:rPr>
          <w:i/>
          <w:iCs/>
          <w:lang w:eastAsia="ko-KR"/>
        </w:rPr>
        <w:t xml:space="preserve">a given amount of traffic </w:t>
      </w:r>
      <w:r w:rsidR="00AE0549" w:rsidRPr="00BC1828">
        <w:rPr>
          <w:i/>
          <w:iCs/>
          <w:lang w:eastAsia="zh-CN"/>
        </w:rPr>
        <w:t xml:space="preserve">within a </w:t>
      </w:r>
      <w:r w:rsidR="00AE0549" w:rsidRPr="00BC1828">
        <w:rPr>
          <w:i/>
          <w:iCs/>
          <w:lang w:eastAsia="ko-KR"/>
        </w:rPr>
        <w:t>predetermined time duration</w:t>
      </w:r>
      <w:r w:rsidR="00AE0549" w:rsidRPr="00BC1828">
        <w:rPr>
          <w:i/>
          <w:iCs/>
          <w:lang w:eastAsia="zh-CN"/>
        </w:rPr>
        <w:t xml:space="preserve"> with high success probability.</w:t>
      </w:r>
    </w:p>
    <w:p w:rsidR="00AE0549" w:rsidRPr="00BC1828" w:rsidRDefault="00BC1828" w:rsidP="00BC1828">
      <w:pPr>
        <w:pStyle w:val="enumlev1"/>
        <w:rPr>
          <w:i/>
          <w:iCs/>
          <w:szCs w:val="24"/>
        </w:rPr>
      </w:pPr>
      <w:r>
        <w:rPr>
          <w:i/>
          <w:iCs/>
          <w:szCs w:val="24"/>
        </w:rPr>
        <w:tab/>
      </w:r>
      <w:r w:rsidR="00AE0549" w:rsidRPr="00BC1828">
        <w:rPr>
          <w:i/>
          <w:iCs/>
          <w:szCs w:val="24"/>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AE0549" w:rsidRPr="00BC1828" w:rsidRDefault="00BC1828" w:rsidP="00BC1828">
      <w:pPr>
        <w:pStyle w:val="enumlev1"/>
        <w:rPr>
          <w:i/>
          <w:iCs/>
        </w:rPr>
      </w:pPr>
      <w:r>
        <w:rPr>
          <w:i/>
          <w:iCs/>
        </w:rPr>
        <w:tab/>
      </w:r>
      <w:r w:rsidR="00AE0549" w:rsidRPr="00BC1828">
        <w:rPr>
          <w:i/>
          <w:iCs/>
        </w:rPr>
        <w:t xml:space="preserve">This requirement is defined for the purpose of evaluation in the URLLC usage scenario. </w:t>
      </w:r>
    </w:p>
    <w:p w:rsidR="00AE0549" w:rsidRPr="00BC1828" w:rsidRDefault="00BC1828" w:rsidP="00BC1828">
      <w:pPr>
        <w:pStyle w:val="enumlev1"/>
        <w:rPr>
          <w:i/>
          <w:iCs/>
          <w:lang w:eastAsia="zh-CN"/>
        </w:rPr>
      </w:pPr>
      <w:r>
        <w:rPr>
          <w:i/>
          <w:iCs/>
          <w:lang w:eastAsia="zh-CN"/>
        </w:rPr>
        <w:tab/>
      </w:r>
      <w:r w:rsidR="00AE0549" w:rsidRPr="00BC1828">
        <w:rPr>
          <w:i/>
          <w:iCs/>
          <w:lang w:eastAsia="zh-CN"/>
        </w:rPr>
        <w:t>The minimum requirement for the reliability is 1-</w:t>
      </w:r>
      <w:r w:rsidR="00AE0549" w:rsidRPr="00BC1828">
        <w:rPr>
          <w:i/>
          <w:iCs/>
        </w:rPr>
        <w:t>10</w:t>
      </w:r>
      <w:r w:rsidR="00AE0549" w:rsidRPr="00BC1828">
        <w:rPr>
          <w:i/>
          <w:iCs/>
          <w:vertAlign w:val="superscript"/>
        </w:rPr>
        <w:t>−5</w:t>
      </w:r>
      <w:r w:rsidR="00AE0549" w:rsidRPr="00BC1828">
        <w:rPr>
          <w:i/>
          <w:iCs/>
          <w:lang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AE0549" w:rsidRPr="00BC1828" w:rsidRDefault="00BC1828" w:rsidP="00BC1828">
      <w:pPr>
        <w:pStyle w:val="enumlev1"/>
        <w:rPr>
          <w:i/>
          <w:iCs/>
          <w:lang w:eastAsia="zh-CN"/>
        </w:rPr>
      </w:pPr>
      <w:r>
        <w:rPr>
          <w:i/>
          <w:iCs/>
          <w:lang w:eastAsia="zh-CN"/>
        </w:rPr>
        <w:tab/>
      </w:r>
      <w:r w:rsidR="00AE0549" w:rsidRPr="00BC1828">
        <w:rPr>
          <w:i/>
          <w:iCs/>
          <w:lang w:eastAsia="zh-CN"/>
        </w:rPr>
        <w:t>Proponents are encouraged to consider larger packet sizes, e.g. layer 2 PDU size of up to 100 bytes.</w:t>
      </w:r>
    </w:p>
    <w:p w:rsidR="00AE0549" w:rsidRPr="00A604A3" w:rsidRDefault="00AE0549" w:rsidP="00AA0B2B">
      <w:r w:rsidRPr="00A604A3">
        <w:t xml:space="preserve">Based on the reasoning given at the beginning of Section </w:t>
      </w:r>
      <w:r w:rsidR="00AA0B2B" w:rsidRPr="00AA0B2B">
        <w:t>II.5</w:t>
      </w:r>
      <w:r w:rsidRPr="00A604A3">
        <w:t>.3 only 5G-NR RIT is evaluated.</w:t>
      </w:r>
    </w:p>
    <w:p w:rsidR="00AE0549" w:rsidRPr="00A604A3" w:rsidRDefault="00BC1828" w:rsidP="00BC1828">
      <w:pPr>
        <w:pStyle w:val="Heading4"/>
      </w:pPr>
      <w:r>
        <w:t>II.5.11.1</w:t>
      </w:r>
      <w:r>
        <w:tab/>
      </w:r>
      <w:r w:rsidR="00AE0549" w:rsidRPr="00A604A3">
        <w:t>Evaluation methodology and KPIs</w:t>
      </w:r>
    </w:p>
    <w:p w:rsidR="00AE0549" w:rsidRPr="00A604A3" w:rsidRDefault="00AE0549" w:rsidP="00BC1828">
      <w:r w:rsidRPr="00A604A3">
        <w:t xml:space="preserve">The ITU-R minimum requirements on reliability are given in [1]. Specifically, reliability relates to the capability of transmitting </w:t>
      </w:r>
      <w:r w:rsidRPr="00A604A3">
        <w:rPr>
          <w:lang w:eastAsia="ko-KR"/>
        </w:rPr>
        <w:t xml:space="preserve">a given amount of traffic </w:t>
      </w:r>
      <w:r w:rsidRPr="00A604A3">
        <w:t xml:space="preserve">within a </w:t>
      </w:r>
      <w:r w:rsidRPr="00A604A3">
        <w:rPr>
          <w:lang w:eastAsia="ko-KR"/>
        </w:rPr>
        <w:t>predetermined time duration</w:t>
      </w:r>
      <w:r w:rsidRPr="00A604A3">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AE0549" w:rsidRPr="00A604A3" w:rsidRDefault="00AE0549" w:rsidP="00BC1828">
      <w:r w:rsidRPr="00A604A3">
        <w:t>The minimum requirement for the reliability is 1-10</w:t>
      </w:r>
      <w:r w:rsidRPr="00A604A3">
        <w:rPr>
          <w:vertAlign w:val="superscript"/>
        </w:rPr>
        <w:t>−5</w:t>
      </w:r>
      <w:r w:rsidRPr="00A604A3">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AE0549" w:rsidRPr="00A604A3" w:rsidRDefault="00BC1828" w:rsidP="00BC1828">
      <w:pPr>
        <w:pStyle w:val="Heading4"/>
      </w:pPr>
      <w:r>
        <w:lastRenderedPageBreak/>
        <w:t>II.5.11.2</w:t>
      </w:r>
      <w:r>
        <w:tab/>
      </w:r>
      <w:r w:rsidR="00AE0549" w:rsidRPr="00A604A3">
        <w:t>Simulation results</w:t>
      </w:r>
    </w:p>
    <w:p w:rsidR="00AE0549" w:rsidRPr="00A604A3" w:rsidRDefault="00AE0549" w:rsidP="00BC1828">
      <w:r w:rsidRPr="00A604A3">
        <w:t>The basic evaluation parameters for downlink in Urban – URLLC are provided Table 127:</w:t>
      </w:r>
    </w:p>
    <w:p w:rsidR="00BC1828" w:rsidRDefault="00BC1828" w:rsidP="00BC1828">
      <w:pPr>
        <w:pStyle w:val="TableNo"/>
      </w:pPr>
      <w:bookmarkStart w:id="601" w:name="_Ref24496189"/>
      <w:bookmarkStart w:id="602" w:name="_Toc28265831"/>
      <w:bookmarkStart w:id="603" w:name="_Toc28277065"/>
      <w:bookmarkStart w:id="604" w:name="_Toc32066482"/>
      <w:r>
        <w:t>Table 127</w:t>
      </w:r>
    </w:p>
    <w:p w:rsidR="00BC1828" w:rsidRPr="00A604A3" w:rsidRDefault="00BC1828" w:rsidP="00BC1828">
      <w:pPr>
        <w:pStyle w:val="Tabletitle"/>
      </w:pPr>
      <w:r w:rsidRPr="00A604A3">
        <w:t>Evaluation parameters</w:t>
      </w:r>
      <w:bookmarkEnd w:id="601"/>
      <w:bookmarkEnd w:id="602"/>
      <w:bookmarkEnd w:id="603"/>
      <w:bookmarkEnd w:id="604"/>
    </w:p>
    <w:tbl>
      <w:tblPr>
        <w:tblStyle w:val="TableGrid"/>
        <w:tblW w:w="3681" w:type="dxa"/>
        <w:jc w:val="center"/>
        <w:tblLayout w:type="fixed"/>
        <w:tblCellMar>
          <w:left w:w="28" w:type="dxa"/>
          <w:right w:w="28" w:type="dxa"/>
        </w:tblCellMar>
        <w:tblLook w:val="04A0" w:firstRow="1" w:lastRow="0" w:firstColumn="1" w:lastColumn="0" w:noHBand="0" w:noVBand="1"/>
      </w:tblPr>
      <w:tblGrid>
        <w:gridCol w:w="1922"/>
        <w:gridCol w:w="1759"/>
      </w:tblGrid>
      <w:tr w:rsidR="00AE0549" w:rsidRPr="00A604A3" w:rsidTr="00BC1828">
        <w:trPr>
          <w:jc w:val="center"/>
        </w:trPr>
        <w:tc>
          <w:tcPr>
            <w:tcW w:w="1922" w:type="dxa"/>
          </w:tcPr>
          <w:p w:rsidR="00AE0549" w:rsidRPr="00A604A3" w:rsidRDefault="00AE0549" w:rsidP="00BC1828">
            <w:pPr>
              <w:pStyle w:val="Tablehead"/>
            </w:pPr>
          </w:p>
        </w:tc>
        <w:tc>
          <w:tcPr>
            <w:tcW w:w="1759" w:type="dxa"/>
          </w:tcPr>
          <w:p w:rsidR="00AE0549" w:rsidRPr="00A604A3" w:rsidRDefault="00AE0549" w:rsidP="00BC1828">
            <w:pPr>
              <w:pStyle w:val="Tablehead"/>
            </w:pPr>
            <w:r w:rsidRPr="00A604A3">
              <w:t>Value</w:t>
            </w:r>
          </w:p>
        </w:tc>
      </w:tr>
      <w:tr w:rsidR="00AE0549" w:rsidRPr="00A604A3" w:rsidTr="00BC1828">
        <w:trPr>
          <w:jc w:val="center"/>
        </w:trPr>
        <w:tc>
          <w:tcPr>
            <w:tcW w:w="1922" w:type="dxa"/>
          </w:tcPr>
          <w:p w:rsidR="00AE0549" w:rsidRPr="00A604A3" w:rsidRDefault="00AE0549" w:rsidP="00BC1828">
            <w:pPr>
              <w:pStyle w:val="Tabletext"/>
            </w:pPr>
            <w:r w:rsidRPr="00A604A3">
              <w:t>Inter-site distance</w:t>
            </w:r>
          </w:p>
        </w:tc>
        <w:tc>
          <w:tcPr>
            <w:tcW w:w="1759" w:type="dxa"/>
          </w:tcPr>
          <w:p w:rsidR="00AE0549" w:rsidRPr="00A604A3" w:rsidRDefault="00AE0549" w:rsidP="00BC1828">
            <w:pPr>
              <w:pStyle w:val="Tabletext"/>
              <w:jc w:val="center"/>
            </w:pPr>
            <w:r w:rsidRPr="00A604A3">
              <w:t>500 m</w:t>
            </w:r>
          </w:p>
        </w:tc>
      </w:tr>
      <w:tr w:rsidR="00AE0549" w:rsidRPr="00A604A3" w:rsidTr="00BC1828">
        <w:trPr>
          <w:jc w:val="center"/>
        </w:trPr>
        <w:tc>
          <w:tcPr>
            <w:tcW w:w="1922" w:type="dxa"/>
          </w:tcPr>
          <w:p w:rsidR="00AE0549" w:rsidRPr="00A604A3" w:rsidRDefault="00AE0549" w:rsidP="00BC1828">
            <w:pPr>
              <w:pStyle w:val="Tabletext"/>
            </w:pPr>
            <w:r w:rsidRPr="00A604A3">
              <w:rPr>
                <w:bCs/>
              </w:rPr>
              <w:t xml:space="preserve">Macro BSs </w:t>
            </w:r>
            <w:r w:rsidR="00BC1828">
              <w:rPr>
                <w:bCs/>
              </w:rPr>
              <w:br/>
            </w:r>
            <w:r w:rsidRPr="00A604A3">
              <w:rPr>
                <w:bCs/>
              </w:rPr>
              <w:t>(3 TRxP each)</w:t>
            </w:r>
          </w:p>
        </w:tc>
        <w:tc>
          <w:tcPr>
            <w:tcW w:w="1759" w:type="dxa"/>
          </w:tcPr>
          <w:p w:rsidR="00AE0549" w:rsidRPr="00A604A3" w:rsidRDefault="00AE0549" w:rsidP="00BC1828">
            <w:pPr>
              <w:pStyle w:val="Tabletext"/>
              <w:jc w:val="center"/>
            </w:pPr>
            <w:r w:rsidRPr="00A604A3">
              <w:t>3</w:t>
            </w:r>
          </w:p>
        </w:tc>
      </w:tr>
      <w:tr w:rsidR="00AE0549" w:rsidRPr="00A604A3" w:rsidTr="00BC1828">
        <w:trPr>
          <w:jc w:val="center"/>
        </w:trPr>
        <w:tc>
          <w:tcPr>
            <w:tcW w:w="1922" w:type="dxa"/>
          </w:tcPr>
          <w:p w:rsidR="00AE0549" w:rsidRPr="00A604A3" w:rsidRDefault="00AE0549" w:rsidP="00BC1828">
            <w:pPr>
              <w:pStyle w:val="Tabletext"/>
              <w:rPr>
                <w:bCs/>
              </w:rPr>
            </w:pPr>
            <w:bookmarkStart w:id="605" w:name="__DdeLink__115_4231348199"/>
            <w:r w:rsidRPr="00A604A3">
              <w:rPr>
                <w:bCs/>
              </w:rPr>
              <w:t>Bandwidth (MHz)</w:t>
            </w:r>
            <w:bookmarkEnd w:id="605"/>
          </w:p>
        </w:tc>
        <w:tc>
          <w:tcPr>
            <w:tcW w:w="1759" w:type="dxa"/>
          </w:tcPr>
          <w:p w:rsidR="00AE0549" w:rsidRPr="00A604A3" w:rsidRDefault="00AE0549" w:rsidP="00BC1828">
            <w:pPr>
              <w:pStyle w:val="Tabletext"/>
              <w:jc w:val="center"/>
            </w:pPr>
            <w:r w:rsidRPr="00A604A3">
              <w:rPr>
                <w:spacing w:val="-1"/>
              </w:rPr>
              <w:t>10</w:t>
            </w:r>
          </w:p>
        </w:tc>
      </w:tr>
      <w:tr w:rsidR="00AE0549" w:rsidRPr="00A604A3" w:rsidTr="00BC1828">
        <w:trPr>
          <w:jc w:val="center"/>
        </w:trPr>
        <w:tc>
          <w:tcPr>
            <w:tcW w:w="1922" w:type="dxa"/>
          </w:tcPr>
          <w:p w:rsidR="00AE0549" w:rsidRPr="00A604A3" w:rsidRDefault="00AE0549" w:rsidP="00BC1828">
            <w:pPr>
              <w:pStyle w:val="Tabletext"/>
            </w:pPr>
            <w:r w:rsidRPr="00A604A3">
              <w:rPr>
                <w:bCs/>
              </w:rPr>
              <w:t>Packet size (bytes)</w:t>
            </w:r>
          </w:p>
        </w:tc>
        <w:tc>
          <w:tcPr>
            <w:tcW w:w="1759" w:type="dxa"/>
          </w:tcPr>
          <w:p w:rsidR="00AE0549" w:rsidRPr="00A604A3" w:rsidRDefault="00AE0549" w:rsidP="00BC1828">
            <w:pPr>
              <w:pStyle w:val="Tabletext"/>
              <w:jc w:val="center"/>
            </w:pPr>
            <w:r w:rsidRPr="00A604A3">
              <w:t>50</w:t>
            </w:r>
          </w:p>
        </w:tc>
      </w:tr>
    </w:tbl>
    <w:p w:rsidR="00AE0549" w:rsidRPr="00A604A3" w:rsidRDefault="00AE0549" w:rsidP="00BC1828">
      <w:pPr>
        <w:pStyle w:val="Tablefin"/>
      </w:pPr>
    </w:p>
    <w:p w:rsidR="00AE0549" w:rsidRPr="00A604A3" w:rsidRDefault="00AE0549" w:rsidP="00BC1828">
      <w:r w:rsidRPr="00A604A3">
        <w:t>Two scenarios have been examined (Table 128) to determine the reliability metric for the evaluation configurations A and B (CF equals to 700 MHz and 4 GHz respectively). The first one considers a fixed amount of UEs and variable session periods (Figure 15) while the second one uses a fixed session period for every UE and varies the UE density in the area (Figure 16).</w:t>
      </w:r>
    </w:p>
    <w:p w:rsidR="00BC1828" w:rsidRPr="00BC1828" w:rsidRDefault="00BC1828" w:rsidP="00BC1828">
      <w:pPr>
        <w:pStyle w:val="TableNo"/>
      </w:pPr>
      <w:bookmarkStart w:id="606" w:name="_Ref24496398"/>
      <w:bookmarkStart w:id="607" w:name="_Toc28265832"/>
      <w:bookmarkStart w:id="608" w:name="_Toc28277066"/>
      <w:bookmarkStart w:id="609" w:name="_Toc32066483"/>
      <w:r>
        <w:t>Table 128</w:t>
      </w:r>
    </w:p>
    <w:p w:rsidR="00BC1828" w:rsidRPr="00A604A3" w:rsidRDefault="00BC1828" w:rsidP="00BC1828">
      <w:pPr>
        <w:pStyle w:val="Tabletitle"/>
      </w:pPr>
      <w:r w:rsidRPr="00A604A3">
        <w:t>Scenario configuration</w:t>
      </w:r>
      <w:bookmarkEnd w:id="606"/>
      <w:bookmarkEnd w:id="607"/>
      <w:bookmarkEnd w:id="608"/>
      <w:bookmarkEnd w:id="609"/>
    </w:p>
    <w:tbl>
      <w:tblPr>
        <w:tblStyle w:val="TableGrid"/>
        <w:tblW w:w="5305" w:type="dxa"/>
        <w:jc w:val="center"/>
        <w:tblLook w:val="04A0" w:firstRow="1" w:lastRow="0" w:firstColumn="1" w:lastColumn="0" w:noHBand="0" w:noVBand="1"/>
      </w:tblPr>
      <w:tblGrid>
        <w:gridCol w:w="1149"/>
        <w:gridCol w:w="1871"/>
        <w:gridCol w:w="2285"/>
      </w:tblGrid>
      <w:tr w:rsidR="00AE0549" w:rsidRPr="00A604A3" w:rsidTr="00BC1828">
        <w:trPr>
          <w:cantSplit/>
          <w:jc w:val="center"/>
        </w:trPr>
        <w:tc>
          <w:tcPr>
            <w:tcW w:w="1149" w:type="dxa"/>
          </w:tcPr>
          <w:p w:rsidR="00AE0549" w:rsidRPr="00A604A3" w:rsidRDefault="00AE0549" w:rsidP="00BC1828">
            <w:pPr>
              <w:pStyle w:val="Tablehead"/>
            </w:pPr>
          </w:p>
        </w:tc>
        <w:tc>
          <w:tcPr>
            <w:tcW w:w="1871" w:type="dxa"/>
          </w:tcPr>
          <w:p w:rsidR="00AE0549" w:rsidRPr="00A604A3" w:rsidRDefault="00AE0549" w:rsidP="00BC1828">
            <w:pPr>
              <w:pStyle w:val="Tablehead"/>
            </w:pPr>
            <w:r w:rsidRPr="00A604A3">
              <w:t>UE density</w:t>
            </w:r>
          </w:p>
        </w:tc>
        <w:tc>
          <w:tcPr>
            <w:tcW w:w="2285" w:type="dxa"/>
          </w:tcPr>
          <w:p w:rsidR="00AE0549" w:rsidRPr="00A604A3" w:rsidRDefault="00AE0549" w:rsidP="00BC1828">
            <w:pPr>
              <w:pStyle w:val="Tablehead"/>
            </w:pPr>
            <w:r w:rsidRPr="00A604A3">
              <w:rPr>
                <w:rFonts w:eastAsia="SimSun"/>
              </w:rPr>
              <w:t>Session period</w:t>
            </w:r>
          </w:p>
        </w:tc>
      </w:tr>
      <w:tr w:rsidR="00AE0549" w:rsidRPr="00A604A3" w:rsidTr="00BC1828">
        <w:trPr>
          <w:cantSplit/>
          <w:jc w:val="center"/>
        </w:trPr>
        <w:tc>
          <w:tcPr>
            <w:tcW w:w="1149" w:type="dxa"/>
          </w:tcPr>
          <w:p w:rsidR="00AE0549" w:rsidRPr="00A604A3" w:rsidRDefault="00AE0549" w:rsidP="00BC1828">
            <w:pPr>
              <w:pStyle w:val="Tabletext"/>
            </w:pPr>
            <w:r w:rsidRPr="00A604A3">
              <w:t>Scenario 1</w:t>
            </w:r>
          </w:p>
        </w:tc>
        <w:tc>
          <w:tcPr>
            <w:tcW w:w="1871" w:type="dxa"/>
          </w:tcPr>
          <w:p w:rsidR="00AE0549" w:rsidRPr="00A604A3" w:rsidRDefault="00AE0549" w:rsidP="00BC1828">
            <w:pPr>
              <w:pStyle w:val="Tabletext"/>
              <w:jc w:val="center"/>
            </w:pPr>
            <w:r w:rsidRPr="00A604A3">
              <w:rPr>
                <w:rFonts w:eastAsia="Calibri"/>
                <w:color w:val="0F243E" w:themeColor="text2" w:themeShade="80"/>
              </w:rPr>
              <w:t xml:space="preserve">10 </w:t>
            </w:r>
            <w:r w:rsidRPr="00A604A3">
              <w:rPr>
                <w:color w:val="0F243E" w:themeColor="text2" w:themeShade="80"/>
              </w:rPr>
              <w:t>UEs/TRxP</w:t>
            </w:r>
          </w:p>
        </w:tc>
        <w:tc>
          <w:tcPr>
            <w:tcW w:w="2285" w:type="dxa"/>
          </w:tcPr>
          <w:p w:rsidR="00AE0549" w:rsidRPr="00A604A3" w:rsidRDefault="00AE0549" w:rsidP="00BC1828">
            <w:pPr>
              <w:pStyle w:val="Tabletext"/>
              <w:jc w:val="center"/>
            </w:pPr>
            <w:r w:rsidRPr="00A604A3">
              <w:rPr>
                <w:rFonts w:eastAsia="Calibri"/>
                <w:color w:val="0F243E" w:themeColor="text2" w:themeShade="80"/>
              </w:rPr>
              <w:t>variable</w:t>
            </w:r>
          </w:p>
        </w:tc>
      </w:tr>
      <w:tr w:rsidR="00AE0549" w:rsidRPr="00A604A3" w:rsidTr="00BC1828">
        <w:trPr>
          <w:cantSplit/>
          <w:jc w:val="center"/>
        </w:trPr>
        <w:tc>
          <w:tcPr>
            <w:tcW w:w="1149" w:type="dxa"/>
          </w:tcPr>
          <w:p w:rsidR="00AE0549" w:rsidRPr="00A604A3" w:rsidRDefault="00AE0549" w:rsidP="00BC1828">
            <w:pPr>
              <w:pStyle w:val="Tabletext"/>
            </w:pPr>
            <w:r w:rsidRPr="00A604A3">
              <w:t>Scenario 2</w:t>
            </w:r>
          </w:p>
        </w:tc>
        <w:tc>
          <w:tcPr>
            <w:tcW w:w="1871" w:type="dxa"/>
          </w:tcPr>
          <w:p w:rsidR="00AE0549" w:rsidRPr="00A604A3" w:rsidRDefault="00AE0549" w:rsidP="00BC1828">
            <w:pPr>
              <w:pStyle w:val="Tabletext"/>
              <w:jc w:val="center"/>
            </w:pPr>
            <w:r w:rsidRPr="00A604A3">
              <w:rPr>
                <w:rFonts w:eastAsia="Calibri"/>
                <w:color w:val="0F243E" w:themeColor="text2" w:themeShade="80"/>
              </w:rPr>
              <w:t>variable</w:t>
            </w:r>
          </w:p>
        </w:tc>
        <w:tc>
          <w:tcPr>
            <w:tcW w:w="2285" w:type="dxa"/>
          </w:tcPr>
          <w:p w:rsidR="00AE0549" w:rsidRPr="00A604A3" w:rsidRDefault="00AE0549" w:rsidP="00BC1828">
            <w:pPr>
              <w:pStyle w:val="Tabletext"/>
              <w:jc w:val="center"/>
            </w:pPr>
            <w:r w:rsidRPr="00A604A3">
              <w:rPr>
                <w:rFonts w:eastAsia="Calibri"/>
                <w:color w:val="0F243E" w:themeColor="text2" w:themeShade="80"/>
              </w:rPr>
              <w:t>1</w:t>
            </w:r>
            <w:r w:rsidR="00BC1828">
              <w:rPr>
                <w:rFonts w:eastAsia="Calibri"/>
                <w:color w:val="0F243E" w:themeColor="text2" w:themeShade="80"/>
              </w:rPr>
              <w:t> </w:t>
            </w:r>
            <w:r w:rsidRPr="00A604A3">
              <w:rPr>
                <w:rFonts w:eastAsia="Calibri"/>
                <w:color w:val="0F243E" w:themeColor="text2" w:themeShade="80"/>
              </w:rPr>
              <w:t>000 sessions/hour/UE</w:t>
            </w:r>
          </w:p>
        </w:tc>
      </w:tr>
    </w:tbl>
    <w:p w:rsidR="00AE0549" w:rsidRDefault="00AE0549" w:rsidP="00BC1828">
      <w:pPr>
        <w:pStyle w:val="Tablefin"/>
      </w:pPr>
    </w:p>
    <w:p w:rsidR="00BC1828" w:rsidRDefault="00BC1828" w:rsidP="00BC1828">
      <w:pPr>
        <w:pStyle w:val="FigureNo"/>
        <w:spacing w:before="240"/>
      </w:pPr>
      <w:bookmarkStart w:id="610" w:name="_Ref24496647"/>
      <w:r>
        <w:t>Figure 15</w:t>
      </w:r>
    </w:p>
    <w:p w:rsidR="00BC1828" w:rsidRPr="00A604A3" w:rsidRDefault="00BC1828" w:rsidP="00BC1828">
      <w:pPr>
        <w:pStyle w:val="Figuretitle"/>
      </w:pPr>
      <w:r w:rsidRPr="00A604A3">
        <w:t>Reliability for variable session periods</w:t>
      </w:r>
      <w:bookmarkEnd w:id="610"/>
    </w:p>
    <w:p w:rsidR="00AE0549" w:rsidRPr="00A604A3" w:rsidRDefault="00AE0549" w:rsidP="00BC1828">
      <w:pPr>
        <w:pStyle w:val="Figure"/>
      </w:pPr>
      <w:r w:rsidRPr="00A604A3">
        <w:drawing>
          <wp:inline distT="0" distB="0" distL="0" distR="0" wp14:anchorId="0B21EB98" wp14:editId="3248A50A">
            <wp:extent cx="3852000" cy="309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52000" cy="3092400"/>
                    </a:xfrm>
                    <a:prstGeom prst="rect">
                      <a:avLst/>
                    </a:prstGeom>
                    <a:noFill/>
                  </pic:spPr>
                </pic:pic>
              </a:graphicData>
            </a:graphic>
          </wp:inline>
        </w:drawing>
      </w:r>
    </w:p>
    <w:p w:rsidR="00BC1828" w:rsidRDefault="00BC1828" w:rsidP="00BC1828">
      <w:pPr>
        <w:pStyle w:val="FigureNo"/>
      </w:pPr>
      <w:bookmarkStart w:id="611" w:name="_Ref28267099"/>
      <w:bookmarkStart w:id="612" w:name="_Ref24496735"/>
      <w:r>
        <w:lastRenderedPageBreak/>
        <w:t>Figure 16</w:t>
      </w:r>
    </w:p>
    <w:p w:rsidR="00BC1828" w:rsidRPr="00A604A3" w:rsidRDefault="00BC1828" w:rsidP="00BC1828">
      <w:pPr>
        <w:pStyle w:val="Figuretitle"/>
      </w:pPr>
      <w:r w:rsidRPr="00A604A3">
        <w:t>Reliability for variable UE densities</w:t>
      </w:r>
      <w:bookmarkEnd w:id="611"/>
      <w:r w:rsidRPr="00A604A3">
        <w:t xml:space="preserve"> </w:t>
      </w:r>
      <w:bookmarkEnd w:id="612"/>
    </w:p>
    <w:p w:rsidR="00AE0549" w:rsidRPr="00A604A3" w:rsidRDefault="00AE0549" w:rsidP="00BC1828">
      <w:pPr>
        <w:pStyle w:val="Figure"/>
      </w:pPr>
      <w:r w:rsidRPr="00A604A3">
        <w:drawing>
          <wp:inline distT="0" distB="0" distL="0" distR="0" wp14:anchorId="16336D48" wp14:editId="074691E3">
            <wp:extent cx="3844800" cy="288360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4800" cy="2883600"/>
                    </a:xfrm>
                    <a:prstGeom prst="rect">
                      <a:avLst/>
                    </a:prstGeom>
                    <a:noFill/>
                  </pic:spPr>
                </pic:pic>
              </a:graphicData>
            </a:graphic>
          </wp:inline>
        </w:drawing>
      </w:r>
    </w:p>
    <w:p w:rsidR="00AE0549" w:rsidRPr="00A604A3" w:rsidRDefault="00AE0549" w:rsidP="00BC1828">
      <w:pPr>
        <w:rPr>
          <w:lang w:eastAsia="zh-CN"/>
        </w:rPr>
      </w:pPr>
      <w:r w:rsidRPr="00A604A3">
        <w:rPr>
          <w:lang w:eastAsia="zh-CN"/>
        </w:rPr>
        <w:t>For uplink reliability, both evaluation configuration A and evaluation configuration B are evaluated. In the evaluation, one-shot PUSCH transmission with 14 OFDM symbols is assumed. The evaluation results are provided in Table 129.</w:t>
      </w:r>
    </w:p>
    <w:p w:rsidR="00BC1828" w:rsidRDefault="00BC1828" w:rsidP="00BC1828">
      <w:pPr>
        <w:pStyle w:val="FigureNo"/>
      </w:pPr>
      <w:bookmarkStart w:id="613" w:name="_Ref25069983"/>
      <w:bookmarkStart w:id="614" w:name="_Toc28265833"/>
      <w:bookmarkStart w:id="615" w:name="_Toc28277067"/>
      <w:bookmarkStart w:id="616" w:name="_Toc32066484"/>
      <w:r>
        <w:t>Table 129</w:t>
      </w:r>
    </w:p>
    <w:p w:rsidR="00BC1828" w:rsidRPr="00A604A3" w:rsidRDefault="00BC1828" w:rsidP="00BC1828">
      <w:pPr>
        <w:pStyle w:val="Figuretitle"/>
      </w:pPr>
      <w:r w:rsidRPr="00A604A3">
        <w:t>Uplink reliability evaluation results for evaluation configuration A and configuration B</w:t>
      </w:r>
      <w:bookmarkEnd w:id="613"/>
      <w:bookmarkEnd w:id="614"/>
      <w:bookmarkEnd w:id="615"/>
      <w:bookmarkEnd w:id="616"/>
    </w:p>
    <w:tbl>
      <w:tblPr>
        <w:tblStyle w:val="TableGrid"/>
        <w:tblW w:w="5000" w:type="pct"/>
        <w:jc w:val="center"/>
        <w:tblCellMar>
          <w:left w:w="28" w:type="dxa"/>
          <w:right w:w="28" w:type="dxa"/>
        </w:tblCellMar>
        <w:tblLook w:val="01E0" w:firstRow="1" w:lastRow="1" w:firstColumn="1" w:lastColumn="1" w:noHBand="0" w:noVBand="0"/>
      </w:tblPr>
      <w:tblGrid>
        <w:gridCol w:w="1293"/>
        <w:gridCol w:w="1293"/>
        <w:gridCol w:w="820"/>
        <w:gridCol w:w="1262"/>
        <w:gridCol w:w="965"/>
        <w:gridCol w:w="1163"/>
        <w:gridCol w:w="965"/>
        <w:gridCol w:w="1255"/>
      </w:tblGrid>
      <w:tr w:rsidR="00AE0549" w:rsidRPr="001E4030" w:rsidTr="001E4030">
        <w:trPr>
          <w:trHeight w:val="250"/>
          <w:jc w:val="center"/>
        </w:trPr>
        <w:tc>
          <w:tcPr>
            <w:tcW w:w="717"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Evaluation configuration</w:t>
            </w:r>
          </w:p>
        </w:tc>
        <w:tc>
          <w:tcPr>
            <w:tcW w:w="717"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Antenna configuration</w:t>
            </w:r>
          </w:p>
        </w:tc>
        <w:tc>
          <w:tcPr>
            <w:tcW w:w="455"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Sub-carrier spacing [kHz]</w:t>
            </w:r>
          </w:p>
        </w:tc>
        <w:tc>
          <w:tcPr>
            <w:tcW w:w="700" w:type="pct"/>
            <w:vMerge w:val="restart"/>
            <w:vAlign w:val="center"/>
          </w:tcPr>
          <w:p w:rsidR="00AE0549" w:rsidRPr="001E4030" w:rsidRDefault="00AE0549" w:rsidP="001E4030">
            <w:pPr>
              <w:pStyle w:val="Tablehead"/>
              <w:rPr>
                <w:sz w:val="18"/>
                <w:szCs w:val="18"/>
                <w:lang w:eastAsia="zh-CN"/>
              </w:rPr>
            </w:pPr>
            <w:r w:rsidRPr="001E4030">
              <w:rPr>
                <w:sz w:val="18"/>
                <w:szCs w:val="18"/>
                <w:lang w:eastAsia="zh-CN"/>
              </w:rPr>
              <w:t>ITU</w:t>
            </w:r>
            <w:r w:rsidR="001E4030" w:rsidRPr="001E4030">
              <w:rPr>
                <w:sz w:val="18"/>
                <w:szCs w:val="18"/>
                <w:lang w:eastAsia="zh-CN"/>
              </w:rPr>
              <w:br/>
            </w:r>
            <w:r w:rsidRPr="001E4030">
              <w:rPr>
                <w:sz w:val="18"/>
                <w:szCs w:val="18"/>
                <w:lang w:eastAsia="zh-CN"/>
              </w:rPr>
              <w:t>Requirement</w:t>
            </w:r>
          </w:p>
        </w:tc>
        <w:tc>
          <w:tcPr>
            <w:tcW w:w="1180" w:type="pct"/>
            <w:gridSpan w:val="2"/>
            <w:vAlign w:val="center"/>
          </w:tcPr>
          <w:p w:rsidR="00AE0549" w:rsidRPr="001E4030" w:rsidRDefault="00AE0549" w:rsidP="00BC1828">
            <w:pPr>
              <w:pStyle w:val="Tablehead"/>
              <w:rPr>
                <w:sz w:val="18"/>
                <w:szCs w:val="18"/>
                <w:lang w:eastAsia="zh-CN"/>
              </w:rPr>
            </w:pPr>
            <w:r w:rsidRPr="001E4030">
              <w:rPr>
                <w:sz w:val="18"/>
                <w:szCs w:val="18"/>
                <w:lang w:eastAsia="zh-CN"/>
              </w:rPr>
              <w:t>Channel model A</w:t>
            </w:r>
          </w:p>
        </w:tc>
        <w:tc>
          <w:tcPr>
            <w:tcW w:w="1231" w:type="pct"/>
            <w:gridSpan w:val="2"/>
            <w:vAlign w:val="center"/>
          </w:tcPr>
          <w:p w:rsidR="00AE0549" w:rsidRPr="001E4030" w:rsidRDefault="00AE0549" w:rsidP="00BC1828">
            <w:pPr>
              <w:pStyle w:val="Tablehead"/>
              <w:rPr>
                <w:sz w:val="18"/>
                <w:szCs w:val="18"/>
                <w:lang w:eastAsia="zh-CN"/>
              </w:rPr>
            </w:pPr>
            <w:r w:rsidRPr="001E4030">
              <w:rPr>
                <w:sz w:val="18"/>
                <w:szCs w:val="18"/>
                <w:lang w:eastAsia="zh-CN"/>
              </w:rPr>
              <w:t>Channel model B</w:t>
            </w:r>
          </w:p>
        </w:tc>
      </w:tr>
      <w:tr w:rsidR="00AE0549" w:rsidRPr="001E4030" w:rsidDel="00194D07" w:rsidTr="001E4030">
        <w:trPr>
          <w:trHeight w:val="250"/>
          <w:jc w:val="center"/>
        </w:trPr>
        <w:tc>
          <w:tcPr>
            <w:tcW w:w="717" w:type="pct"/>
            <w:vMerge/>
            <w:vAlign w:val="center"/>
          </w:tcPr>
          <w:p w:rsidR="00AE0549" w:rsidRPr="001E4030" w:rsidRDefault="00AE0549" w:rsidP="00BC1828">
            <w:pPr>
              <w:pStyle w:val="Tablehead"/>
              <w:rPr>
                <w:sz w:val="18"/>
                <w:szCs w:val="18"/>
                <w:lang w:eastAsia="zh-CN"/>
              </w:rPr>
            </w:pPr>
          </w:p>
        </w:tc>
        <w:tc>
          <w:tcPr>
            <w:tcW w:w="717" w:type="pct"/>
            <w:vMerge/>
            <w:vAlign w:val="center"/>
          </w:tcPr>
          <w:p w:rsidR="00AE0549" w:rsidRPr="001E4030" w:rsidRDefault="00AE0549" w:rsidP="00BC1828">
            <w:pPr>
              <w:pStyle w:val="Tablehead"/>
              <w:rPr>
                <w:sz w:val="18"/>
                <w:szCs w:val="18"/>
                <w:lang w:eastAsia="zh-CN"/>
              </w:rPr>
            </w:pPr>
          </w:p>
        </w:tc>
        <w:tc>
          <w:tcPr>
            <w:tcW w:w="455" w:type="pct"/>
            <w:vMerge/>
            <w:vAlign w:val="center"/>
          </w:tcPr>
          <w:p w:rsidR="00AE0549" w:rsidRPr="001E4030" w:rsidDel="00194D07" w:rsidRDefault="00AE0549" w:rsidP="00BC1828">
            <w:pPr>
              <w:pStyle w:val="Tablehead"/>
              <w:rPr>
                <w:sz w:val="18"/>
                <w:szCs w:val="18"/>
                <w:lang w:eastAsia="zh-CN"/>
              </w:rPr>
            </w:pPr>
          </w:p>
        </w:tc>
        <w:tc>
          <w:tcPr>
            <w:tcW w:w="700" w:type="pct"/>
            <w:vMerge/>
            <w:vAlign w:val="center"/>
          </w:tcPr>
          <w:p w:rsidR="00AE0549" w:rsidRPr="001E4030" w:rsidDel="00194D07" w:rsidRDefault="00AE0549" w:rsidP="00BC1828">
            <w:pPr>
              <w:pStyle w:val="Tablehead"/>
              <w:rPr>
                <w:sz w:val="18"/>
                <w:szCs w:val="18"/>
                <w:lang w:eastAsia="zh-CN"/>
              </w:rPr>
            </w:pPr>
          </w:p>
        </w:tc>
        <w:tc>
          <w:tcPr>
            <w:tcW w:w="535" w:type="pct"/>
            <w:vAlign w:val="center"/>
          </w:tcPr>
          <w:p w:rsidR="00AE0549" w:rsidRPr="001E4030" w:rsidRDefault="00AE0549" w:rsidP="00BC1828">
            <w:pPr>
              <w:pStyle w:val="Tablehead"/>
              <w:rPr>
                <w:sz w:val="18"/>
                <w:szCs w:val="18"/>
                <w:lang w:eastAsia="zh-CN"/>
              </w:rPr>
            </w:pPr>
            <w:r w:rsidRPr="001E4030">
              <w:rPr>
                <w:sz w:val="18"/>
                <w:szCs w:val="18"/>
                <w:lang w:eastAsia="zh-CN"/>
              </w:rPr>
              <w:t>Channel condition</w:t>
            </w:r>
          </w:p>
        </w:tc>
        <w:tc>
          <w:tcPr>
            <w:tcW w:w="645" w:type="pct"/>
            <w:vAlign w:val="center"/>
          </w:tcPr>
          <w:p w:rsidR="00AE0549" w:rsidRPr="001E4030" w:rsidDel="00194D07" w:rsidRDefault="00AE0549" w:rsidP="00BC1828">
            <w:pPr>
              <w:pStyle w:val="Tablehead"/>
              <w:rPr>
                <w:sz w:val="18"/>
                <w:szCs w:val="18"/>
                <w:lang w:eastAsia="zh-CN"/>
              </w:rPr>
            </w:pPr>
            <w:r w:rsidRPr="001E4030">
              <w:rPr>
                <w:sz w:val="18"/>
                <w:szCs w:val="18"/>
                <w:lang w:eastAsia="zh-CN"/>
              </w:rPr>
              <w:t>Reliability</w:t>
            </w:r>
          </w:p>
        </w:tc>
        <w:tc>
          <w:tcPr>
            <w:tcW w:w="535" w:type="pct"/>
            <w:vAlign w:val="center"/>
          </w:tcPr>
          <w:p w:rsidR="00AE0549" w:rsidRPr="001E4030" w:rsidRDefault="00AE0549" w:rsidP="00BC1828">
            <w:pPr>
              <w:pStyle w:val="Tablehead"/>
              <w:rPr>
                <w:sz w:val="18"/>
                <w:szCs w:val="18"/>
                <w:lang w:eastAsia="zh-CN"/>
              </w:rPr>
            </w:pPr>
            <w:r w:rsidRPr="001E4030">
              <w:rPr>
                <w:sz w:val="18"/>
                <w:szCs w:val="18"/>
                <w:lang w:eastAsia="zh-CN"/>
              </w:rPr>
              <w:t>Channel condition</w:t>
            </w:r>
          </w:p>
        </w:tc>
        <w:tc>
          <w:tcPr>
            <w:tcW w:w="697" w:type="pct"/>
            <w:vAlign w:val="center"/>
          </w:tcPr>
          <w:p w:rsidR="00AE0549" w:rsidRPr="001E4030" w:rsidDel="00194D07" w:rsidRDefault="00AE0549" w:rsidP="00BC1828">
            <w:pPr>
              <w:pStyle w:val="Tablehead"/>
              <w:rPr>
                <w:sz w:val="18"/>
                <w:szCs w:val="18"/>
                <w:lang w:eastAsia="zh-CN"/>
              </w:rPr>
            </w:pPr>
            <w:r w:rsidRPr="001E4030">
              <w:rPr>
                <w:sz w:val="18"/>
                <w:szCs w:val="18"/>
                <w:lang w:eastAsia="zh-CN"/>
              </w:rPr>
              <w:t>Reliability</w:t>
            </w:r>
          </w:p>
        </w:tc>
      </w:tr>
      <w:tr w:rsidR="00AE0549" w:rsidRPr="001E4030" w:rsidDel="00194D07" w:rsidTr="001E4030">
        <w:trPr>
          <w:trHeight w:val="312"/>
          <w:jc w:val="center"/>
        </w:trPr>
        <w:tc>
          <w:tcPr>
            <w:tcW w:w="717" w:type="pct"/>
            <w:vAlign w:val="center"/>
          </w:tcPr>
          <w:p w:rsidR="00AE0549" w:rsidRPr="001E4030" w:rsidRDefault="00AE0549" w:rsidP="00BC1828">
            <w:pPr>
              <w:pStyle w:val="Tabletext"/>
              <w:jc w:val="center"/>
              <w:rPr>
                <w:sz w:val="18"/>
                <w:szCs w:val="18"/>
              </w:rPr>
            </w:pPr>
            <w:r w:rsidRPr="001E4030">
              <w:rPr>
                <w:sz w:val="18"/>
                <w:szCs w:val="18"/>
              </w:rPr>
              <w:t>Evaluation configuration A</w:t>
            </w:r>
          </w:p>
        </w:tc>
        <w:tc>
          <w:tcPr>
            <w:tcW w:w="717" w:type="pct"/>
            <w:vAlign w:val="center"/>
          </w:tcPr>
          <w:p w:rsidR="00AE0549" w:rsidRPr="001E4030" w:rsidRDefault="00AE0549" w:rsidP="00BC1828">
            <w:pPr>
              <w:pStyle w:val="Tabletext"/>
              <w:jc w:val="center"/>
              <w:rPr>
                <w:sz w:val="18"/>
                <w:szCs w:val="18"/>
              </w:rPr>
            </w:pPr>
            <w:r w:rsidRPr="001E4030">
              <w:rPr>
                <w:sz w:val="18"/>
                <w:szCs w:val="18"/>
              </w:rPr>
              <w:t>1T8R</w:t>
            </w:r>
          </w:p>
        </w:tc>
        <w:tc>
          <w:tcPr>
            <w:tcW w:w="455" w:type="pct"/>
            <w:vAlign w:val="center"/>
          </w:tcPr>
          <w:p w:rsidR="00AE0549" w:rsidRPr="001E4030" w:rsidRDefault="00AE0549" w:rsidP="00BC1828">
            <w:pPr>
              <w:pStyle w:val="Tabletext"/>
              <w:jc w:val="center"/>
              <w:rPr>
                <w:sz w:val="18"/>
                <w:szCs w:val="18"/>
              </w:rPr>
            </w:pPr>
            <w:r w:rsidRPr="001E4030">
              <w:rPr>
                <w:sz w:val="18"/>
                <w:szCs w:val="18"/>
              </w:rPr>
              <w:t>60</w:t>
            </w:r>
          </w:p>
        </w:tc>
        <w:tc>
          <w:tcPr>
            <w:tcW w:w="700" w:type="pct"/>
            <w:vMerge w:val="restart"/>
            <w:vAlign w:val="center"/>
          </w:tcPr>
          <w:p w:rsidR="00AE0549" w:rsidRPr="001E4030" w:rsidRDefault="00AE0549" w:rsidP="00BC1828">
            <w:pPr>
              <w:pStyle w:val="Tabletext"/>
              <w:jc w:val="center"/>
              <w:rPr>
                <w:sz w:val="18"/>
                <w:szCs w:val="18"/>
              </w:rPr>
            </w:pPr>
            <w:r w:rsidRPr="001E4030">
              <w:rPr>
                <w:sz w:val="18"/>
                <w:szCs w:val="18"/>
              </w:rPr>
              <w:t>99.999%</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45" w:type="pct"/>
            <w:vAlign w:val="center"/>
          </w:tcPr>
          <w:p w:rsidR="00AE0549" w:rsidRPr="001E4030" w:rsidRDefault="00AE0549" w:rsidP="00BC1828">
            <w:pPr>
              <w:pStyle w:val="Tabletext"/>
              <w:jc w:val="center"/>
              <w:rPr>
                <w:sz w:val="18"/>
                <w:szCs w:val="18"/>
              </w:rPr>
            </w:pPr>
            <w:r w:rsidRPr="001E4030">
              <w:rPr>
                <w:sz w:val="18"/>
                <w:szCs w:val="18"/>
              </w:rPr>
              <w:t>99.999995%</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97" w:type="pct"/>
            <w:vAlign w:val="center"/>
          </w:tcPr>
          <w:p w:rsidR="00AE0549" w:rsidRPr="001E4030" w:rsidDel="00194D07" w:rsidRDefault="00AE0549" w:rsidP="00BC1828">
            <w:pPr>
              <w:pStyle w:val="Tabletext"/>
              <w:jc w:val="center"/>
              <w:rPr>
                <w:sz w:val="18"/>
                <w:szCs w:val="18"/>
              </w:rPr>
            </w:pPr>
            <w:r w:rsidRPr="001E4030">
              <w:rPr>
                <w:sz w:val="18"/>
                <w:szCs w:val="18"/>
              </w:rPr>
              <w:t>99.9999997%</w:t>
            </w:r>
          </w:p>
        </w:tc>
      </w:tr>
      <w:tr w:rsidR="00AE0549" w:rsidRPr="001E4030" w:rsidDel="00194D07" w:rsidTr="001E4030">
        <w:trPr>
          <w:trHeight w:val="312"/>
          <w:jc w:val="center"/>
        </w:trPr>
        <w:tc>
          <w:tcPr>
            <w:tcW w:w="717" w:type="pct"/>
            <w:vAlign w:val="center"/>
          </w:tcPr>
          <w:p w:rsidR="00AE0549" w:rsidRPr="001E4030" w:rsidRDefault="00AE0549" w:rsidP="00BC1828">
            <w:pPr>
              <w:pStyle w:val="Tabletext"/>
              <w:jc w:val="center"/>
              <w:rPr>
                <w:sz w:val="18"/>
                <w:szCs w:val="18"/>
              </w:rPr>
            </w:pPr>
            <w:r w:rsidRPr="001E4030">
              <w:rPr>
                <w:sz w:val="18"/>
                <w:szCs w:val="18"/>
              </w:rPr>
              <w:t>Evaluation configuration B</w:t>
            </w:r>
          </w:p>
        </w:tc>
        <w:tc>
          <w:tcPr>
            <w:tcW w:w="717" w:type="pct"/>
            <w:vAlign w:val="center"/>
          </w:tcPr>
          <w:p w:rsidR="00AE0549" w:rsidRPr="001E4030" w:rsidRDefault="00AE0549" w:rsidP="00BC1828">
            <w:pPr>
              <w:pStyle w:val="Tabletext"/>
              <w:jc w:val="center"/>
              <w:rPr>
                <w:sz w:val="18"/>
                <w:szCs w:val="18"/>
              </w:rPr>
            </w:pPr>
            <w:r w:rsidRPr="001E4030">
              <w:rPr>
                <w:sz w:val="18"/>
                <w:szCs w:val="18"/>
              </w:rPr>
              <w:t>1T16R</w:t>
            </w:r>
          </w:p>
        </w:tc>
        <w:tc>
          <w:tcPr>
            <w:tcW w:w="455" w:type="pct"/>
            <w:vAlign w:val="center"/>
          </w:tcPr>
          <w:p w:rsidR="00AE0549" w:rsidRPr="001E4030" w:rsidRDefault="00AE0549" w:rsidP="00BC1828">
            <w:pPr>
              <w:pStyle w:val="Tabletext"/>
              <w:jc w:val="center"/>
              <w:rPr>
                <w:sz w:val="18"/>
                <w:szCs w:val="18"/>
              </w:rPr>
            </w:pPr>
            <w:r w:rsidRPr="001E4030">
              <w:rPr>
                <w:sz w:val="18"/>
                <w:szCs w:val="18"/>
              </w:rPr>
              <w:t>60</w:t>
            </w:r>
          </w:p>
        </w:tc>
        <w:tc>
          <w:tcPr>
            <w:tcW w:w="700" w:type="pct"/>
            <w:vMerge/>
            <w:vAlign w:val="center"/>
          </w:tcPr>
          <w:p w:rsidR="00AE0549" w:rsidRPr="001E4030" w:rsidRDefault="00AE0549" w:rsidP="00BC1828">
            <w:pPr>
              <w:pStyle w:val="Tabletext"/>
              <w:jc w:val="center"/>
              <w:rPr>
                <w:sz w:val="18"/>
                <w:szCs w:val="18"/>
              </w:rPr>
            </w:pP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45" w:type="pct"/>
            <w:vAlign w:val="center"/>
          </w:tcPr>
          <w:p w:rsidR="00AE0549" w:rsidRPr="001E4030" w:rsidRDefault="00AE0549" w:rsidP="00BC1828">
            <w:pPr>
              <w:pStyle w:val="Tabletext"/>
              <w:jc w:val="center"/>
              <w:rPr>
                <w:sz w:val="18"/>
                <w:szCs w:val="18"/>
              </w:rPr>
            </w:pPr>
            <w:r w:rsidRPr="001E4030">
              <w:rPr>
                <w:sz w:val="18"/>
                <w:szCs w:val="18"/>
              </w:rPr>
              <w:t>99.99989%</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97" w:type="pct"/>
            <w:vAlign w:val="center"/>
          </w:tcPr>
          <w:p w:rsidR="00AE0549" w:rsidRPr="001E4030" w:rsidRDefault="00AE0549" w:rsidP="00BC1828">
            <w:pPr>
              <w:pStyle w:val="Tabletext"/>
              <w:jc w:val="center"/>
              <w:rPr>
                <w:sz w:val="18"/>
                <w:szCs w:val="18"/>
              </w:rPr>
            </w:pPr>
            <w:r w:rsidRPr="001E4030">
              <w:rPr>
                <w:sz w:val="18"/>
                <w:szCs w:val="18"/>
              </w:rPr>
              <w:t>99.999992%</w:t>
            </w:r>
          </w:p>
        </w:tc>
      </w:tr>
    </w:tbl>
    <w:p w:rsidR="00AE0549" w:rsidRPr="00A604A3" w:rsidRDefault="00AE0549" w:rsidP="001E4030">
      <w:pPr>
        <w:pStyle w:val="Tablefin"/>
        <w:rPr>
          <w:lang w:eastAsia="zh-CN"/>
        </w:rPr>
      </w:pPr>
    </w:p>
    <w:p w:rsidR="00AE0549" w:rsidRPr="00A604A3" w:rsidRDefault="00AE0549" w:rsidP="001E4030">
      <w:pPr>
        <w:rPr>
          <w:lang w:eastAsia="zh-CN"/>
        </w:rPr>
      </w:pPr>
      <w:r w:rsidRPr="00A604A3">
        <w:rPr>
          <w:lang w:eastAsia="zh-CN"/>
        </w:rPr>
        <w:t xml:space="preserve">It can be observed that NR can meet the reliability requirement in evaluation configuration A and configuration B. </w:t>
      </w:r>
    </w:p>
    <w:p w:rsidR="00AE0549" w:rsidRPr="00A604A3" w:rsidRDefault="006606CB" w:rsidP="001E4030">
      <w:pPr>
        <w:pStyle w:val="Heading4"/>
      </w:pPr>
      <w:r>
        <w:t>II.5.11.3</w:t>
      </w:r>
      <w:r>
        <w:tab/>
      </w:r>
      <w:r w:rsidR="00AE0549" w:rsidRPr="00A604A3">
        <w:t>Summary</w:t>
      </w:r>
    </w:p>
    <w:p w:rsidR="00AE0549" w:rsidRPr="00A604A3" w:rsidRDefault="00AE0549" w:rsidP="006606CB">
      <w:pPr>
        <w:rPr>
          <w:iCs/>
        </w:rPr>
      </w:pPr>
      <w:r w:rsidRPr="00A604A3">
        <w:t>The provided results from the conducted system-level simulation show that NR fulfils the reliability constraint for several setups. Frequencies of 700 MHz and 4 GHz have been checked according to the ITU requirements. As it is expected, configuration B (as indicated by ITU) achieves lower reliability values than configuration A almost all the times due to the higher loss it faces. In general, it is shown that t</w:t>
      </w:r>
      <w:r w:rsidRPr="00A604A3">
        <w:rPr>
          <w:iCs/>
        </w:rPr>
        <w:t>he minimum requirement for the reliability is 1-10</w:t>
      </w:r>
      <w:r w:rsidRPr="00A604A3">
        <w:rPr>
          <w:iCs/>
          <w:vertAlign w:val="superscript"/>
        </w:rPr>
        <w:t>−5</w:t>
      </w:r>
      <w:r w:rsidRPr="00A604A3">
        <w:rPr>
          <w:iCs/>
        </w:rPr>
        <w:t xml:space="preserve"> success probability of transmitting a layer 2 PDU (protocol data unit) of 32 bytes is achieved for up to almost 12,000 sessions/hour at 700 MHz and up to almost 5</w:t>
      </w:r>
      <w:r w:rsidR="006606CB">
        <w:rPr>
          <w:iCs/>
        </w:rPr>
        <w:t> </w:t>
      </w:r>
      <w:r w:rsidRPr="00A604A3">
        <w:rPr>
          <w:iCs/>
        </w:rPr>
        <w:t>000 sessions/hour at 4 GHz. Similarly, reliability is 1-10</w:t>
      </w:r>
      <w:r w:rsidRPr="00A604A3">
        <w:rPr>
          <w:iCs/>
          <w:vertAlign w:val="superscript"/>
        </w:rPr>
        <w:t>−5</w:t>
      </w:r>
      <w:r w:rsidRPr="00A604A3">
        <w:rPr>
          <w:iCs/>
        </w:rPr>
        <w:t xml:space="preserve"> success probability for UE densities for up to almost 250 UEs/TRx at 700 MHz and up to almost 120 UEs/TRx at 4 GHz.</w:t>
      </w:r>
    </w:p>
    <w:p w:rsidR="00AE0549" w:rsidRPr="00A604A3" w:rsidRDefault="006606CB" w:rsidP="006606CB">
      <w:pPr>
        <w:pStyle w:val="Heading3"/>
      </w:pPr>
      <w:bookmarkStart w:id="617" w:name="_Toc32412972"/>
      <w:r>
        <w:lastRenderedPageBreak/>
        <w:t>II.5.12</w:t>
      </w:r>
      <w:r>
        <w:tab/>
      </w:r>
      <w:r w:rsidR="00AE0549" w:rsidRPr="00A604A3">
        <w:t>Mobility</w:t>
      </w:r>
      <w:bookmarkEnd w:id="617"/>
    </w:p>
    <w:p w:rsidR="00AE0549" w:rsidRPr="00A604A3" w:rsidRDefault="00AE0549" w:rsidP="006606CB">
      <w:r w:rsidRPr="00A604A3">
        <w:t>The ITU-R minimum requirements on mobility are given in [1]. The following requirements and remarks are extracted from [1]:</w:t>
      </w:r>
    </w:p>
    <w:p w:rsidR="00AE0549" w:rsidRPr="006606CB" w:rsidRDefault="006606CB" w:rsidP="006606CB">
      <w:pPr>
        <w:pStyle w:val="enumlev1"/>
        <w:rPr>
          <w:i/>
          <w:iCs/>
        </w:rPr>
      </w:pPr>
      <w:r>
        <w:rPr>
          <w:i/>
          <w:iCs/>
        </w:rPr>
        <w:tab/>
      </w:r>
      <w:r w:rsidR="00AE0549" w:rsidRPr="006606CB">
        <w:rPr>
          <w:i/>
          <w:iCs/>
        </w:rPr>
        <w:t xml:space="preserve">Mobility is the maximum </w:t>
      </w:r>
      <w:r w:rsidR="00AE0549" w:rsidRPr="006606CB">
        <w:rPr>
          <w:i/>
          <w:iCs/>
          <w:lang w:eastAsia="ja-JP"/>
        </w:rPr>
        <w:t>mobile station</w:t>
      </w:r>
      <w:r w:rsidR="00AE0549" w:rsidRPr="006606CB">
        <w:rPr>
          <w:i/>
          <w:iCs/>
        </w:rPr>
        <w:t xml:space="preserve"> speed at which a defined QoS can be achieved (in km/h).</w:t>
      </w:r>
    </w:p>
    <w:p w:rsidR="00AE0549" w:rsidRPr="006606CB" w:rsidRDefault="006606CB" w:rsidP="006606CB">
      <w:pPr>
        <w:pStyle w:val="enumlev1"/>
        <w:rPr>
          <w:i/>
          <w:iCs/>
        </w:rPr>
      </w:pPr>
      <w:r>
        <w:rPr>
          <w:i/>
          <w:iCs/>
        </w:rPr>
        <w:tab/>
      </w:r>
      <w:r w:rsidR="00AE0549" w:rsidRPr="006606CB">
        <w:rPr>
          <w:i/>
          <w:iCs/>
        </w:rPr>
        <w:t>The following classes of mobility are defined:</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Stationary: 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Pedestrian: 0 km/h to 10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Vehicular: 10 km/h to 120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High speed vehicular: 120 km/h to 500 km/h.</w:t>
      </w:r>
    </w:p>
    <w:p w:rsidR="00AE0549" w:rsidRPr="006606CB" w:rsidRDefault="006606CB" w:rsidP="006606CB">
      <w:pPr>
        <w:pStyle w:val="enumlev1"/>
        <w:rPr>
          <w:i/>
          <w:iCs/>
        </w:rPr>
      </w:pPr>
      <w:r>
        <w:rPr>
          <w:i/>
          <w:iCs/>
        </w:rPr>
        <w:tab/>
      </w:r>
      <w:r w:rsidR="00AE0549" w:rsidRPr="006606CB">
        <w:rPr>
          <w:i/>
          <w:iCs/>
        </w:rPr>
        <w:t>High speed vehicular up to 500 km/h is mainly envisioned for high speed trains. Table 1 defines the mobility classes that shall be supported in the respective test environment</w:t>
      </w:r>
      <w:r w:rsidR="00AE0549" w:rsidRPr="006606CB">
        <w:rPr>
          <w:i/>
          <w:iCs/>
          <w:lang w:eastAsia="ja-JP"/>
        </w:rPr>
        <w:t>s</w:t>
      </w:r>
      <w:r w:rsidR="00AE0549" w:rsidRPr="006606CB">
        <w:rPr>
          <w:i/>
          <w:iCs/>
        </w:rPr>
        <w:t>.</w:t>
      </w:r>
    </w:p>
    <w:p w:rsidR="00743793" w:rsidRPr="00743793" w:rsidRDefault="00743793" w:rsidP="00743793">
      <w:pPr>
        <w:pStyle w:val="TableNo"/>
        <w:spacing w:before="240"/>
        <w:rPr>
          <w:i/>
          <w:iCs/>
        </w:rPr>
      </w:pPr>
      <w:bookmarkStart w:id="618" w:name="_Ref536805367"/>
      <w:r w:rsidRPr="00743793">
        <w:rPr>
          <w:i/>
          <w:iCs/>
        </w:rPr>
        <w:t>Table 1</w:t>
      </w:r>
    </w:p>
    <w:p w:rsidR="00AE0549" w:rsidRPr="00743793" w:rsidRDefault="00AE0549" w:rsidP="00743793">
      <w:pPr>
        <w:pStyle w:val="Tabletitle"/>
        <w:rPr>
          <w:i/>
          <w:iCs/>
        </w:rPr>
      </w:pPr>
      <w:r w:rsidRPr="00743793">
        <w:rPr>
          <w:i/>
          <w:iCs/>
        </w:rPr>
        <w:t>Mobility classes</w:t>
      </w:r>
      <w:bookmarkEnd w:id="618"/>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22"/>
        <w:gridCol w:w="2552"/>
        <w:gridCol w:w="2699"/>
        <w:gridCol w:w="2408"/>
      </w:tblGrid>
      <w:tr w:rsidR="00AE0549" w:rsidRPr="00A604A3" w:rsidTr="00470885">
        <w:trPr>
          <w:cantSplit/>
          <w:jc w:val="center"/>
        </w:trPr>
        <w:tc>
          <w:tcPr>
            <w:tcW w:w="783" w:type="pct"/>
            <w:vMerge w:val="restart"/>
          </w:tcPr>
          <w:p w:rsidR="00AE0549" w:rsidRPr="00A604A3" w:rsidRDefault="00AE0549" w:rsidP="00470885">
            <w:pPr>
              <w:pStyle w:val="Tablehead"/>
              <w:rPr>
                <w:i/>
              </w:rPr>
            </w:pPr>
          </w:p>
        </w:tc>
        <w:tc>
          <w:tcPr>
            <w:tcW w:w="4217" w:type="pct"/>
            <w:gridSpan w:val="3"/>
          </w:tcPr>
          <w:p w:rsidR="00AE0549" w:rsidRPr="00A604A3" w:rsidRDefault="00AE0549" w:rsidP="00470885">
            <w:pPr>
              <w:pStyle w:val="Tablehead"/>
              <w:rPr>
                <w:i/>
              </w:rPr>
            </w:pPr>
            <w:r w:rsidRPr="00A604A3">
              <w:rPr>
                <w:i/>
              </w:rPr>
              <w:t>Test environments for eMBB</w:t>
            </w:r>
          </w:p>
        </w:tc>
      </w:tr>
      <w:tr w:rsidR="00AE0549" w:rsidRPr="00A604A3" w:rsidTr="00470885">
        <w:trPr>
          <w:cantSplit/>
          <w:jc w:val="center"/>
        </w:trPr>
        <w:tc>
          <w:tcPr>
            <w:tcW w:w="783" w:type="pct"/>
            <w:vMerge/>
          </w:tcPr>
          <w:p w:rsidR="00AE0549" w:rsidRPr="00A604A3" w:rsidRDefault="00AE0549" w:rsidP="00470885">
            <w:pPr>
              <w:pStyle w:val="Tablehead"/>
              <w:rPr>
                <w:i/>
              </w:rPr>
            </w:pPr>
          </w:p>
        </w:tc>
        <w:tc>
          <w:tcPr>
            <w:tcW w:w="1405" w:type="pct"/>
          </w:tcPr>
          <w:p w:rsidR="00AE0549" w:rsidRPr="00A604A3" w:rsidRDefault="00AE0549" w:rsidP="00470885">
            <w:pPr>
              <w:pStyle w:val="Tablehead"/>
              <w:rPr>
                <w:i/>
              </w:rPr>
            </w:pPr>
            <w:r w:rsidRPr="00A604A3">
              <w:rPr>
                <w:i/>
              </w:rPr>
              <w:t>Indoor Hotspot – eMBB</w:t>
            </w:r>
          </w:p>
        </w:tc>
        <w:tc>
          <w:tcPr>
            <w:tcW w:w="1486" w:type="pct"/>
          </w:tcPr>
          <w:p w:rsidR="00AE0549" w:rsidRPr="00A604A3" w:rsidRDefault="00AE0549" w:rsidP="00470885">
            <w:pPr>
              <w:pStyle w:val="Tablehead"/>
              <w:rPr>
                <w:i/>
              </w:rPr>
            </w:pPr>
            <w:r w:rsidRPr="00A604A3">
              <w:rPr>
                <w:i/>
              </w:rPr>
              <w:t>Dense Urban – eMBB</w:t>
            </w:r>
          </w:p>
        </w:tc>
        <w:tc>
          <w:tcPr>
            <w:tcW w:w="1326" w:type="pct"/>
          </w:tcPr>
          <w:p w:rsidR="00AE0549" w:rsidRPr="00A604A3" w:rsidRDefault="00AE0549" w:rsidP="00470885">
            <w:pPr>
              <w:pStyle w:val="Tablehead"/>
              <w:rPr>
                <w:i/>
              </w:rPr>
            </w:pPr>
            <w:r w:rsidRPr="00A604A3">
              <w:rPr>
                <w:i/>
              </w:rPr>
              <w:t xml:space="preserve">Rural – eMBB </w:t>
            </w:r>
          </w:p>
        </w:tc>
      </w:tr>
      <w:tr w:rsidR="00AE0549" w:rsidRPr="00A604A3" w:rsidTr="00470885">
        <w:trPr>
          <w:cantSplit/>
          <w:jc w:val="center"/>
        </w:trPr>
        <w:tc>
          <w:tcPr>
            <w:tcW w:w="783" w:type="pct"/>
          </w:tcPr>
          <w:p w:rsidR="00AE0549" w:rsidRPr="00A604A3" w:rsidRDefault="00AE0549" w:rsidP="00470885">
            <w:pPr>
              <w:pStyle w:val="Tabletext"/>
              <w:rPr>
                <w:i/>
              </w:rPr>
            </w:pPr>
            <w:r w:rsidRPr="00A604A3">
              <w:rPr>
                <w:i/>
              </w:rPr>
              <w:t>Mobility classes supported</w:t>
            </w:r>
          </w:p>
        </w:tc>
        <w:tc>
          <w:tcPr>
            <w:tcW w:w="1405" w:type="pct"/>
          </w:tcPr>
          <w:p w:rsidR="00AE0549" w:rsidRPr="00A604A3" w:rsidRDefault="00AE0549" w:rsidP="00470885">
            <w:pPr>
              <w:pStyle w:val="Tabletext"/>
              <w:rPr>
                <w:i/>
              </w:rPr>
            </w:pPr>
            <w:r w:rsidRPr="00A604A3">
              <w:rPr>
                <w:i/>
              </w:rPr>
              <w:t>Stationary, Pedestrian</w:t>
            </w:r>
          </w:p>
        </w:tc>
        <w:tc>
          <w:tcPr>
            <w:tcW w:w="1486" w:type="pct"/>
          </w:tcPr>
          <w:p w:rsidR="00AE0549" w:rsidRPr="00A604A3" w:rsidRDefault="00AE0549" w:rsidP="00743793">
            <w:pPr>
              <w:pStyle w:val="Tabletext"/>
              <w:spacing w:before="20" w:after="20"/>
              <w:rPr>
                <w:b/>
                <w:i/>
                <w:lang w:eastAsia="ja-JP"/>
              </w:rPr>
            </w:pPr>
            <w:r w:rsidRPr="00A604A3">
              <w:rPr>
                <w:i/>
              </w:rPr>
              <w:t xml:space="preserve">Stationary, </w:t>
            </w:r>
            <w:r w:rsidRPr="00A604A3">
              <w:rPr>
                <w:i/>
                <w:lang w:eastAsia="ja-JP"/>
              </w:rPr>
              <w:t>P</w:t>
            </w:r>
            <w:r w:rsidRPr="00A604A3">
              <w:rPr>
                <w:i/>
              </w:rPr>
              <w:t>edestrian,</w:t>
            </w:r>
            <w:r w:rsidR="00743793">
              <w:rPr>
                <w:i/>
              </w:rPr>
              <w:br/>
            </w:r>
            <w:r w:rsidRPr="00A604A3">
              <w:rPr>
                <w:i/>
              </w:rPr>
              <w:t>Vehicular (up to 30 km</w:t>
            </w:r>
            <w:r w:rsidRPr="00A604A3">
              <w:rPr>
                <w:i/>
                <w:lang w:eastAsia="ja-JP"/>
              </w:rPr>
              <w:t>/</w:t>
            </w:r>
            <w:r w:rsidRPr="00A604A3">
              <w:rPr>
                <w:i/>
              </w:rPr>
              <w:t>h)</w:t>
            </w:r>
          </w:p>
        </w:tc>
        <w:tc>
          <w:tcPr>
            <w:tcW w:w="1326" w:type="pct"/>
          </w:tcPr>
          <w:p w:rsidR="00AE0549" w:rsidRPr="00A604A3" w:rsidRDefault="00AE0549" w:rsidP="00470885">
            <w:pPr>
              <w:pStyle w:val="Tabletext"/>
              <w:spacing w:before="20" w:after="20"/>
              <w:rPr>
                <w:b/>
                <w:i/>
                <w:lang w:eastAsia="ja-JP"/>
              </w:rPr>
            </w:pPr>
            <w:r w:rsidRPr="00A604A3">
              <w:rPr>
                <w:i/>
                <w:lang w:eastAsia="ja-JP"/>
              </w:rPr>
              <w:t>P</w:t>
            </w:r>
            <w:r w:rsidRPr="00A604A3">
              <w:rPr>
                <w:i/>
              </w:rPr>
              <w:t xml:space="preserve">edestrian, </w:t>
            </w:r>
            <w:r w:rsidRPr="00A604A3">
              <w:rPr>
                <w:i/>
                <w:lang w:eastAsia="ja-JP"/>
              </w:rPr>
              <w:t xml:space="preserve">Vehicular, </w:t>
            </w:r>
            <w:r w:rsidRPr="00A604A3">
              <w:rPr>
                <w:i/>
              </w:rPr>
              <w:t xml:space="preserve">High speed vehicular </w:t>
            </w:r>
          </w:p>
        </w:tc>
      </w:tr>
    </w:tbl>
    <w:p w:rsidR="00AE0549" w:rsidRPr="00743793" w:rsidRDefault="00AE0549" w:rsidP="00743793">
      <w:pPr>
        <w:pStyle w:val="Tablefin"/>
      </w:pPr>
    </w:p>
    <w:p w:rsidR="00AE0549" w:rsidRPr="00743793" w:rsidRDefault="00743793" w:rsidP="00743793">
      <w:pPr>
        <w:pStyle w:val="enumlev1"/>
        <w:rPr>
          <w:i/>
          <w:iCs/>
        </w:rPr>
      </w:pPr>
      <w:r>
        <w:rPr>
          <w:i/>
          <w:iCs/>
        </w:rPr>
        <w:tab/>
      </w:r>
      <w:r w:rsidR="00AE0549" w:rsidRPr="00743793">
        <w:rPr>
          <w:i/>
          <w:iCs/>
        </w:rPr>
        <w:t>A mobility class is supported if the traffic channel link data rate on the uplink, normalized by bandwidth, is as shown in Table 2</w:t>
      </w:r>
      <w:r w:rsidR="00AE0549" w:rsidRPr="00743793">
        <w:rPr>
          <w:i/>
          <w:iCs/>
          <w:lang w:eastAsia="ja-JP"/>
        </w:rPr>
        <w:t>.</w:t>
      </w:r>
      <w:r w:rsidR="00AE0549" w:rsidRPr="00743793">
        <w:rPr>
          <w:i/>
          <w:iCs/>
        </w:rPr>
        <w:t xml:space="preserve"> This assumes the user is moving at the maximum speed in that mobility class in each of the test environments.</w:t>
      </w:r>
    </w:p>
    <w:p w:rsidR="00AE0549" w:rsidRPr="00743793" w:rsidRDefault="00743793" w:rsidP="00743793">
      <w:pPr>
        <w:pStyle w:val="enumlev1"/>
        <w:rPr>
          <w:i/>
          <w:iCs/>
        </w:rPr>
      </w:pPr>
      <w:r>
        <w:rPr>
          <w:i/>
          <w:iCs/>
        </w:rPr>
        <w:tab/>
      </w:r>
      <w:r w:rsidR="00AE0549" w:rsidRPr="00743793">
        <w:rPr>
          <w:i/>
          <w:iCs/>
        </w:rPr>
        <w:t>This requirement is defined for the purpose of evaluation in the eMBB usage scenario.</w:t>
      </w:r>
    </w:p>
    <w:p w:rsidR="00743793" w:rsidRPr="00743793" w:rsidRDefault="00743793" w:rsidP="00743793">
      <w:pPr>
        <w:pStyle w:val="TableNo"/>
        <w:spacing w:before="240"/>
        <w:rPr>
          <w:i/>
          <w:iCs/>
        </w:rPr>
      </w:pPr>
      <w:bookmarkStart w:id="619" w:name="_Ref536805368"/>
      <w:r w:rsidRPr="00743793">
        <w:rPr>
          <w:i/>
          <w:iCs/>
        </w:rPr>
        <w:t>Table 2</w:t>
      </w:r>
    </w:p>
    <w:p w:rsidR="00AE0549" w:rsidRPr="00743793" w:rsidRDefault="00AE0549" w:rsidP="00743793">
      <w:pPr>
        <w:pStyle w:val="Tabletitle"/>
        <w:rPr>
          <w:i/>
          <w:iCs/>
        </w:rPr>
      </w:pPr>
      <w:r w:rsidRPr="00743793">
        <w:rPr>
          <w:i/>
          <w:iCs/>
        </w:rPr>
        <w:t>Traffic channel link data rates normalized by bandwidth</w:t>
      </w:r>
      <w:bookmarkEnd w:id="619"/>
    </w:p>
    <w:tbl>
      <w:tblPr>
        <w:tblW w:w="9016" w:type="dxa"/>
        <w:jc w:val="center"/>
        <w:tblLook w:val="01E0" w:firstRow="1" w:lastRow="1" w:firstColumn="1" w:lastColumn="1" w:noHBand="0" w:noVBand="0"/>
      </w:tblPr>
      <w:tblGrid>
        <w:gridCol w:w="3573"/>
        <w:gridCol w:w="3057"/>
        <w:gridCol w:w="2386"/>
      </w:tblGrid>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Test environment</w:t>
            </w:r>
          </w:p>
        </w:tc>
        <w:tc>
          <w:tcPr>
            <w:tcW w:w="3057"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Normalized traffic channel link data rate (bit/s/Hz)</w:t>
            </w:r>
          </w:p>
        </w:tc>
        <w:tc>
          <w:tcPr>
            <w:tcW w:w="2386"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Mobility</w:t>
            </w:r>
            <w:r w:rsidRPr="00A604A3">
              <w:rPr>
                <w:rFonts w:asciiTheme="majorBidi" w:hAnsiTheme="majorBidi" w:cstheme="majorBidi"/>
                <w:i/>
              </w:rPr>
              <w:br/>
              <w:t>(km/h)</w:t>
            </w:r>
          </w:p>
        </w:tc>
      </w:tr>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Indoor Hotspot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1.5</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10</w:t>
            </w:r>
          </w:p>
        </w:tc>
      </w:tr>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Dense Urban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1.12</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30</w:t>
            </w:r>
          </w:p>
        </w:tc>
      </w:tr>
      <w:tr w:rsidR="00AE0549" w:rsidRPr="00A604A3" w:rsidTr="00743793">
        <w:trPr>
          <w:jc w:val="center"/>
        </w:trPr>
        <w:tc>
          <w:tcPr>
            <w:tcW w:w="3573" w:type="dxa"/>
            <w:vMerge w:val="restart"/>
            <w:tcBorders>
              <w:top w:val="single" w:sz="4" w:space="0" w:color="auto"/>
              <w:left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Rural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0.8</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120</w:t>
            </w:r>
          </w:p>
        </w:tc>
      </w:tr>
      <w:tr w:rsidR="00AE0549" w:rsidRPr="00A604A3" w:rsidTr="00743793">
        <w:trPr>
          <w:jc w:val="center"/>
        </w:trPr>
        <w:tc>
          <w:tcPr>
            <w:tcW w:w="3573" w:type="dxa"/>
            <w:vMerge/>
            <w:tcBorders>
              <w:left w:val="single" w:sz="4" w:space="0" w:color="auto"/>
              <w:bottom w:val="single" w:sz="4" w:space="0" w:color="auto"/>
              <w:right w:val="single" w:sz="4" w:space="0" w:color="auto"/>
            </w:tcBorders>
            <w:hideMark/>
          </w:tcPr>
          <w:p w:rsidR="00AE0549" w:rsidRPr="00A604A3" w:rsidRDefault="00AE0549" w:rsidP="00470885">
            <w:pPr>
              <w:pStyle w:val="Tabletext"/>
              <w:rPr>
                <w:rFonts w:asciiTheme="majorBidi" w:hAnsiTheme="majorBidi" w:cstheme="majorBidi"/>
                <w:i/>
              </w:rPr>
            </w:pP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0.45</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500</w:t>
            </w:r>
          </w:p>
        </w:tc>
      </w:tr>
    </w:tbl>
    <w:p w:rsidR="00AE0549" w:rsidRPr="00743793" w:rsidRDefault="00AE0549" w:rsidP="00743793">
      <w:pPr>
        <w:pStyle w:val="Tablefin"/>
      </w:pPr>
    </w:p>
    <w:p w:rsidR="00AE0549" w:rsidRPr="00743793" w:rsidRDefault="00743793" w:rsidP="00743793">
      <w:pPr>
        <w:pStyle w:val="enumlev1"/>
        <w:rPr>
          <w:i/>
          <w:iCs/>
          <w:lang w:eastAsia="ja-JP"/>
        </w:rPr>
      </w:pPr>
      <w:r w:rsidRPr="00743793">
        <w:rPr>
          <w:i/>
          <w:iCs/>
        </w:rPr>
        <w:tab/>
      </w:r>
      <w:r w:rsidR="00AE0549" w:rsidRPr="00743793">
        <w:rPr>
          <w:i/>
          <w:iCs/>
        </w:rPr>
        <w:t xml:space="preserve">These values were defined assuming an antenna configuration </w:t>
      </w:r>
      <w:r w:rsidR="00AE0549" w:rsidRPr="00743793">
        <w:rPr>
          <w:i/>
          <w:iCs/>
          <w:lang w:eastAsia="ko-KR"/>
        </w:rPr>
        <w:t>as described in Report ITU-R M.2412-0</w:t>
      </w:r>
      <w:r w:rsidR="00AE0549" w:rsidRPr="00743793">
        <w:rPr>
          <w:i/>
          <w:iCs/>
          <w:lang w:eastAsia="ja-JP"/>
        </w:rPr>
        <w:t xml:space="preserve">. </w:t>
      </w:r>
    </w:p>
    <w:p w:rsidR="00AE0549" w:rsidRPr="00743793" w:rsidRDefault="00743793" w:rsidP="00743793">
      <w:pPr>
        <w:pStyle w:val="enumlev1"/>
        <w:rPr>
          <w:i/>
          <w:iCs/>
        </w:rPr>
      </w:pPr>
      <w:r>
        <w:rPr>
          <w:i/>
          <w:iCs/>
          <w:lang w:eastAsia="zh-CN"/>
        </w:rPr>
        <w:tab/>
      </w:r>
      <w:r w:rsidR="00AE0549" w:rsidRPr="00743793">
        <w:rPr>
          <w:i/>
          <w:iCs/>
          <w:lang w:eastAsia="zh-CN"/>
        </w:rPr>
        <w:t>Proponents are encouraged to consider higher normalized channel link data rates in the uplink. In addition, proponents are encouraged to</w:t>
      </w:r>
      <w:r w:rsidR="00AE0549" w:rsidRPr="00743793">
        <w:rPr>
          <w:i/>
          <w:iCs/>
        </w:rPr>
        <w:t xml:space="preserve"> consider the downlink mobility performance.</w:t>
      </w:r>
    </w:p>
    <w:p w:rsidR="00AE0549" w:rsidRPr="00A604A3" w:rsidRDefault="00743793" w:rsidP="00743793">
      <w:pPr>
        <w:pStyle w:val="Heading4"/>
      </w:pPr>
      <w:r>
        <w:lastRenderedPageBreak/>
        <w:t>II.5.12.1</w:t>
      </w:r>
      <w:r>
        <w:tab/>
      </w:r>
      <w:r w:rsidR="00AE0549" w:rsidRPr="00A604A3">
        <w:t>Evaluation methodology</w:t>
      </w:r>
    </w:p>
    <w:p w:rsidR="00AE0549" w:rsidRPr="00A604A3" w:rsidRDefault="00AE0549" w:rsidP="00743793">
      <w:pPr>
        <w:rPr>
          <w:sz w:val="20"/>
        </w:rPr>
      </w:pPr>
      <w:r w:rsidRPr="00A604A3">
        <w:rPr>
          <w:lang w:eastAsia="zh-CN"/>
        </w:rPr>
        <w:t>The general evaluation method and procedure for mobility evaluation is defined in Report I</w:t>
      </w:r>
      <w:r w:rsidRPr="00743793">
        <w:t>T</w:t>
      </w:r>
      <w:r w:rsidRPr="00A604A3">
        <w:rPr>
          <w:lang w:eastAsia="zh-CN"/>
        </w:rPr>
        <w:t>U-R M.2412. This procedure includes system-level simulation (SLS) part and link-level simulation (LLS) part. The following evaluation steps are extracted from Report ITU-R M.2412</w:t>
      </w:r>
      <w:r w:rsidRPr="00A604A3">
        <w:rPr>
          <w:sz w:val="20"/>
        </w:rPr>
        <w:t>.</w:t>
      </w:r>
    </w:p>
    <w:p w:rsidR="00AE0549" w:rsidRPr="00743793" w:rsidRDefault="00AE0549" w:rsidP="00743793">
      <w:pPr>
        <w:pStyle w:val="enumlev1"/>
      </w:pPr>
      <w:r w:rsidRPr="00743793">
        <w:rPr>
          <w:i/>
          <w:iCs/>
        </w:rPr>
        <w:t>Step 1:</w:t>
      </w:r>
      <w:r w:rsidRPr="00743793">
        <w:t xml:space="preserve"> </w:t>
      </w:r>
      <w:r w:rsidRPr="00743793">
        <w:tab/>
        <w:t>Run uplink system-level simulations, identical to those for average spectral efficiency, and 5th percentile user spectral efficiency except for speeds taken from Table 4 of Report ITU-R M.2410-0, using link-level simulations and a link-to-system interface appropriate for these speed values, for the set of selected test environment(s) associated with the candidate RITs/SRITs and collect overall statistics for uplink SINR values, and construct CDF over these values for each test environment.</w:t>
      </w:r>
    </w:p>
    <w:p w:rsidR="00AE0549" w:rsidRPr="00743793" w:rsidRDefault="00AE0549" w:rsidP="00743793">
      <w:pPr>
        <w:pStyle w:val="enumlev1"/>
      </w:pPr>
      <w:r w:rsidRPr="00743793">
        <w:rPr>
          <w:i/>
          <w:iCs/>
        </w:rPr>
        <w:t>Step 2:</w:t>
      </w:r>
      <w:r w:rsidRPr="00743793">
        <w:tab/>
        <w:t>Use the CDF for the test environment(s) to save the respective 50th-percentile SINR value.</w:t>
      </w:r>
    </w:p>
    <w:p w:rsidR="00AE0549" w:rsidRPr="00743793" w:rsidRDefault="00AE0549" w:rsidP="00743793">
      <w:pPr>
        <w:pStyle w:val="enumlev1"/>
      </w:pPr>
      <w:r w:rsidRPr="00743793">
        <w:rPr>
          <w:i/>
          <w:iCs/>
        </w:rPr>
        <w:t>Step 3:</w:t>
      </w:r>
      <w:r w:rsidRPr="00743793">
        <w:t xml:space="preserve"> </w:t>
      </w:r>
      <w:r w:rsidRPr="00743793">
        <w:tab/>
        <w:t>Run new uplink link-level simulations for the selected test environment(s) for either NLOS or LOS channel conditions using the associated speeds in Table 4 of Report ITU</w:t>
      </w:r>
      <w:r w:rsidRPr="00743793">
        <w:noBreakHyphen/>
        <w:t>R M.2410</w:t>
      </w:r>
      <w:r w:rsidRPr="00743793">
        <w:noBreakHyphen/>
        <w:t>0, as input parameters, to obtain link data rate and residual packet error ratio as a function of SINR. The link-level simulation shall use air interface configuration(s) supported by the proposal and take into account retransmission, channel estimation and phase noise impact.</w:t>
      </w:r>
    </w:p>
    <w:p w:rsidR="00AE0549" w:rsidRPr="00743793" w:rsidRDefault="00AE0549" w:rsidP="00743793">
      <w:pPr>
        <w:pStyle w:val="enumlev1"/>
      </w:pPr>
      <w:r w:rsidRPr="00743793">
        <w:rPr>
          <w:i/>
          <w:iCs/>
        </w:rPr>
        <w:t>Step 4:</w:t>
      </w:r>
      <w:r w:rsidRPr="00743793">
        <w:t xml:space="preserve"> </w:t>
      </w:r>
      <w:r w:rsidRPr="00743793">
        <w:tab/>
        <w:t>Compare the uplink spectral efficiency values (link data rate normalized by channel bandwidth) obtained from Step 3 using the associated SINR value obtained from Step 2 for selected test environments, with the corresponding threshold values in the Table 4 of Report ITU-R M.2410-0.</w:t>
      </w:r>
    </w:p>
    <w:p w:rsidR="00AE0549" w:rsidRPr="00743793" w:rsidRDefault="00AE0549" w:rsidP="00743793">
      <w:pPr>
        <w:pStyle w:val="enumlev1"/>
      </w:pPr>
      <w:r w:rsidRPr="00743793">
        <w:rPr>
          <w:i/>
          <w:iCs/>
        </w:rPr>
        <w:t>Step 5:</w:t>
      </w:r>
      <w:r w:rsidRPr="00743793">
        <w:t xml:space="preserve"> </w:t>
      </w:r>
      <w:r w:rsidRPr="00743793">
        <w:tab/>
        <w:t>The proposal fulfils the mobility requirement if the spectral efficiency value is larger than or equal to the corresponding threshold value and if also the residual decoded packet error ratio is less than 1%, for all selected test environments. For the selected test environment it is sufficient if one of the spectral efficiency values (using either NLOS or LOS channel conditions) fulfils the threshold.</w:t>
      </w:r>
    </w:p>
    <w:p w:rsidR="00AE0549" w:rsidRPr="00A604A3" w:rsidRDefault="00AE0549" w:rsidP="00743793">
      <w:pPr>
        <w:rPr>
          <w:lang w:eastAsia="zh-CN"/>
        </w:rPr>
      </w:pPr>
      <w:r w:rsidRPr="00A604A3">
        <w:rPr>
          <w:lang w:eastAsia="zh-CN"/>
        </w:rPr>
        <w:t>For SLS part, the pre-processing SINR is used. The pre-processing SINR is defined on an Rx antenna port with respect to a Tx antenna port.</w:t>
      </w:r>
    </w:p>
    <w:p w:rsidR="00AE0549" w:rsidRPr="00A604A3" w:rsidRDefault="00743793" w:rsidP="00743793">
      <w:pPr>
        <w:pStyle w:val="Heading4"/>
      </w:pPr>
      <w:r>
        <w:t>II.5.12.2</w:t>
      </w:r>
      <w:r>
        <w:tab/>
      </w:r>
      <w:r w:rsidR="00AE0549" w:rsidRPr="00A604A3">
        <w:t>Results</w:t>
      </w:r>
    </w:p>
    <w:p w:rsidR="00AE0549" w:rsidRPr="00A604A3" w:rsidRDefault="00AE0549" w:rsidP="00743793">
      <w:pPr>
        <w:rPr>
          <w:lang w:eastAsia="zh-CN"/>
        </w:rPr>
      </w:pPr>
      <w:r w:rsidRPr="00A604A3">
        <w:rPr>
          <w:lang w:eastAsia="zh-CN"/>
        </w:rPr>
        <w:t>The evaluation results are provided in Table 130.</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Indoor Hotspot – eMBB test environment, evaluation configuration A (carrier frequency = 4 GHz) with 12TRxP is evaluated.</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Dense Urban – eMBB test environment, evaluation configuration A (carrier frequency = 4 GHz) is evaluated.</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Rural – eMBB test environment, evaluation configuration A (carrier frequency = 700 MHz) and evaluation configuration B (carrier frequency = 4 GHz) with different mobile speeds are evaluated.</w:t>
      </w:r>
    </w:p>
    <w:p w:rsidR="00AE0549" w:rsidRPr="00A604A3" w:rsidRDefault="00AE0549" w:rsidP="00743793">
      <w:pPr>
        <w:rPr>
          <w:lang w:eastAsia="zh-CN"/>
        </w:rPr>
      </w:pPr>
      <w:r w:rsidRPr="00A604A3">
        <w:rPr>
          <w:lang w:eastAsia="zh-CN"/>
        </w:rPr>
        <w:t>Both channel model A and channel model B are applied in the simulation [3].</w:t>
      </w:r>
    </w:p>
    <w:p w:rsidR="00743793" w:rsidRDefault="00244704" w:rsidP="00244704">
      <w:pPr>
        <w:pStyle w:val="TableNo"/>
      </w:pPr>
      <w:bookmarkStart w:id="620" w:name="_Ref25066438"/>
      <w:bookmarkStart w:id="621" w:name="_Toc28265838"/>
      <w:bookmarkStart w:id="622" w:name="_Toc28277072"/>
      <w:bookmarkStart w:id="623" w:name="_Toc32066489"/>
      <w:r>
        <w:lastRenderedPageBreak/>
        <w:t>Table 130</w:t>
      </w:r>
    </w:p>
    <w:p w:rsidR="00743793" w:rsidRPr="00A604A3" w:rsidRDefault="00743793" w:rsidP="00743793">
      <w:pPr>
        <w:pStyle w:val="Tabletitle"/>
      </w:pPr>
      <w:r w:rsidRPr="00A604A3">
        <w:t>Mobility evaluation results for different test environments</w:t>
      </w:r>
      <w:bookmarkEnd w:id="620"/>
      <w:bookmarkEnd w:id="621"/>
      <w:bookmarkEnd w:id="622"/>
      <w:bookmarkEnd w:id="623"/>
    </w:p>
    <w:tbl>
      <w:tblPr>
        <w:tblStyle w:val="TableGrid"/>
        <w:tblW w:w="9308" w:type="dxa"/>
        <w:jc w:val="center"/>
        <w:tblLayout w:type="fixed"/>
        <w:tblLook w:val="04A0" w:firstRow="1" w:lastRow="0" w:firstColumn="1" w:lastColumn="0" w:noHBand="0" w:noVBand="1"/>
      </w:tblPr>
      <w:tblGrid>
        <w:gridCol w:w="1409"/>
        <w:gridCol w:w="1430"/>
        <w:gridCol w:w="1483"/>
        <w:gridCol w:w="1036"/>
        <w:gridCol w:w="1140"/>
        <w:gridCol w:w="739"/>
        <w:gridCol w:w="666"/>
        <w:gridCol w:w="739"/>
        <w:gridCol w:w="666"/>
      </w:tblGrid>
      <w:tr w:rsidR="00AE0549" w:rsidRPr="00A604A3" w:rsidTr="00244704">
        <w:trPr>
          <w:jc w:val="center"/>
        </w:trPr>
        <w:tc>
          <w:tcPr>
            <w:tcW w:w="1409" w:type="dxa"/>
            <w:vMerge w:val="restart"/>
            <w:vAlign w:val="center"/>
          </w:tcPr>
          <w:p w:rsidR="00AE0549" w:rsidRPr="00A604A3" w:rsidRDefault="00AE0549" w:rsidP="00244704">
            <w:pPr>
              <w:pStyle w:val="Tablehead"/>
              <w:rPr>
                <w:lang w:eastAsia="zh-CN"/>
              </w:rPr>
            </w:pPr>
            <w:r w:rsidRPr="00A604A3">
              <w:rPr>
                <w:lang w:eastAsia="zh-CN"/>
              </w:rPr>
              <w:t>Test environment</w:t>
            </w:r>
          </w:p>
        </w:tc>
        <w:tc>
          <w:tcPr>
            <w:tcW w:w="1430" w:type="dxa"/>
            <w:vMerge w:val="restart"/>
            <w:vAlign w:val="center"/>
          </w:tcPr>
          <w:p w:rsidR="00AE0549" w:rsidRPr="00A604A3" w:rsidRDefault="00AE0549" w:rsidP="00244704">
            <w:pPr>
              <w:pStyle w:val="Tablehead"/>
              <w:rPr>
                <w:lang w:eastAsia="zh-CN"/>
              </w:rPr>
            </w:pPr>
            <w:r w:rsidRPr="00A604A3">
              <w:rPr>
                <w:lang w:eastAsia="zh-CN"/>
              </w:rPr>
              <w:t>ITU requirement (bit/s/Hz)</w:t>
            </w:r>
          </w:p>
        </w:tc>
        <w:tc>
          <w:tcPr>
            <w:tcW w:w="1483" w:type="dxa"/>
            <w:vMerge w:val="restart"/>
            <w:vAlign w:val="center"/>
          </w:tcPr>
          <w:p w:rsidR="00AE0549" w:rsidRPr="00A604A3" w:rsidRDefault="00AE0549" w:rsidP="00244704">
            <w:pPr>
              <w:pStyle w:val="Tablehead"/>
              <w:rPr>
                <w:lang w:eastAsia="zh-CN"/>
              </w:rPr>
            </w:pPr>
            <w:r w:rsidRPr="00A604A3">
              <w:rPr>
                <w:lang w:eastAsia="zh-CN"/>
              </w:rPr>
              <w:t>Evaluation configuration</w:t>
            </w:r>
          </w:p>
        </w:tc>
        <w:tc>
          <w:tcPr>
            <w:tcW w:w="1036" w:type="dxa"/>
            <w:vMerge w:val="restart"/>
            <w:vAlign w:val="center"/>
          </w:tcPr>
          <w:p w:rsidR="00AE0549" w:rsidRPr="00A604A3" w:rsidRDefault="00AE0549" w:rsidP="00244704">
            <w:pPr>
              <w:pStyle w:val="Tablehead"/>
              <w:rPr>
                <w:lang w:eastAsia="zh-CN"/>
              </w:rPr>
            </w:pPr>
            <w:r w:rsidRPr="00A604A3">
              <w:rPr>
                <w:lang w:eastAsia="zh-CN"/>
              </w:rPr>
              <w:t>Channel Model</w:t>
            </w:r>
          </w:p>
        </w:tc>
        <w:tc>
          <w:tcPr>
            <w:tcW w:w="1140" w:type="dxa"/>
            <w:vMerge w:val="restart"/>
            <w:vAlign w:val="center"/>
          </w:tcPr>
          <w:p w:rsidR="00AE0549" w:rsidRPr="00A604A3" w:rsidRDefault="00AE0549" w:rsidP="00244704">
            <w:pPr>
              <w:pStyle w:val="Tablehead"/>
              <w:rPr>
                <w:lang w:eastAsia="zh-CN"/>
              </w:rPr>
            </w:pPr>
            <w:r w:rsidRPr="00A604A3">
              <w:rPr>
                <w:lang w:eastAsia="zh-CN"/>
              </w:rPr>
              <w:t>50%-ile point of SINR CDF (dB)</w:t>
            </w:r>
          </w:p>
        </w:tc>
        <w:tc>
          <w:tcPr>
            <w:tcW w:w="2810" w:type="dxa"/>
            <w:gridSpan w:val="4"/>
            <w:vAlign w:val="center"/>
          </w:tcPr>
          <w:p w:rsidR="00AE0549" w:rsidRPr="00A604A3" w:rsidRDefault="00AE0549" w:rsidP="00244704">
            <w:pPr>
              <w:pStyle w:val="Tablehead"/>
              <w:rPr>
                <w:lang w:eastAsia="zh-CN"/>
              </w:rPr>
            </w:pPr>
            <w:r w:rsidRPr="00A604A3">
              <w:rPr>
                <w:lang w:eastAsia="zh-CN"/>
              </w:rPr>
              <w:t>Uplink SE (bit/s/Hz)</w:t>
            </w:r>
          </w:p>
        </w:tc>
      </w:tr>
      <w:tr w:rsidR="00AE0549" w:rsidRPr="00A604A3" w:rsidTr="00244704">
        <w:trPr>
          <w:trHeight w:val="194"/>
          <w:jc w:val="center"/>
        </w:trPr>
        <w:tc>
          <w:tcPr>
            <w:tcW w:w="1409" w:type="dxa"/>
            <w:vMerge/>
            <w:vAlign w:val="center"/>
          </w:tcPr>
          <w:p w:rsidR="00AE0549" w:rsidRPr="00A604A3" w:rsidRDefault="00AE0549" w:rsidP="00244704">
            <w:pPr>
              <w:pStyle w:val="Tablehead"/>
              <w:rPr>
                <w:lang w:eastAsia="zh-CN"/>
              </w:rPr>
            </w:pPr>
          </w:p>
        </w:tc>
        <w:tc>
          <w:tcPr>
            <w:tcW w:w="1430" w:type="dxa"/>
            <w:vMerge/>
            <w:vAlign w:val="center"/>
          </w:tcPr>
          <w:p w:rsidR="00AE0549" w:rsidRPr="00A604A3" w:rsidRDefault="00AE0549" w:rsidP="00244704">
            <w:pPr>
              <w:pStyle w:val="Tablehead"/>
              <w:rPr>
                <w:lang w:eastAsia="zh-CN"/>
              </w:rPr>
            </w:pPr>
          </w:p>
        </w:tc>
        <w:tc>
          <w:tcPr>
            <w:tcW w:w="1483" w:type="dxa"/>
            <w:vMerge/>
            <w:vAlign w:val="center"/>
          </w:tcPr>
          <w:p w:rsidR="00AE0549" w:rsidRPr="00A604A3" w:rsidRDefault="00AE0549" w:rsidP="00244704">
            <w:pPr>
              <w:pStyle w:val="Tablehead"/>
              <w:rPr>
                <w:lang w:eastAsia="zh-CN"/>
              </w:rPr>
            </w:pPr>
          </w:p>
        </w:tc>
        <w:tc>
          <w:tcPr>
            <w:tcW w:w="1036" w:type="dxa"/>
            <w:vMerge/>
            <w:vAlign w:val="center"/>
          </w:tcPr>
          <w:p w:rsidR="00AE0549" w:rsidRPr="00A604A3" w:rsidRDefault="00AE0549" w:rsidP="00244704">
            <w:pPr>
              <w:pStyle w:val="Tablehead"/>
              <w:rPr>
                <w:lang w:eastAsia="zh-CN"/>
              </w:rPr>
            </w:pPr>
          </w:p>
        </w:tc>
        <w:tc>
          <w:tcPr>
            <w:tcW w:w="1140" w:type="dxa"/>
            <w:vMerge/>
            <w:vAlign w:val="center"/>
          </w:tcPr>
          <w:p w:rsidR="00AE0549" w:rsidRPr="00A604A3" w:rsidRDefault="00AE0549" w:rsidP="00244704">
            <w:pPr>
              <w:pStyle w:val="Tablehead"/>
              <w:rPr>
                <w:lang w:eastAsia="zh-CN"/>
              </w:rPr>
            </w:pPr>
          </w:p>
        </w:tc>
        <w:tc>
          <w:tcPr>
            <w:tcW w:w="1405" w:type="dxa"/>
            <w:gridSpan w:val="2"/>
            <w:vAlign w:val="center"/>
          </w:tcPr>
          <w:p w:rsidR="00AE0549" w:rsidRPr="00A604A3" w:rsidRDefault="00AE0549" w:rsidP="00244704">
            <w:pPr>
              <w:pStyle w:val="Tablehead"/>
              <w:rPr>
                <w:sz w:val="18"/>
                <w:szCs w:val="18"/>
                <w:lang w:eastAsia="zh-CN"/>
              </w:rPr>
            </w:pPr>
            <w:r w:rsidRPr="00A604A3">
              <w:rPr>
                <w:sz w:val="18"/>
                <w:szCs w:val="18"/>
                <w:lang w:eastAsia="zh-CN"/>
              </w:rPr>
              <w:t>FDD</w:t>
            </w:r>
          </w:p>
        </w:tc>
        <w:tc>
          <w:tcPr>
            <w:tcW w:w="1405" w:type="dxa"/>
            <w:gridSpan w:val="2"/>
            <w:vAlign w:val="center"/>
          </w:tcPr>
          <w:p w:rsidR="00AE0549" w:rsidRPr="00A604A3" w:rsidRDefault="00AE0549" w:rsidP="00244704">
            <w:pPr>
              <w:pStyle w:val="Tablehead"/>
              <w:rPr>
                <w:sz w:val="18"/>
                <w:szCs w:val="18"/>
                <w:lang w:eastAsia="zh-CN"/>
              </w:rPr>
            </w:pPr>
            <w:r w:rsidRPr="00A604A3">
              <w:rPr>
                <w:sz w:val="18"/>
                <w:szCs w:val="18"/>
                <w:lang w:eastAsia="zh-CN"/>
              </w:rPr>
              <w:t>TDD</w:t>
            </w:r>
          </w:p>
        </w:tc>
      </w:tr>
      <w:tr w:rsidR="00AE0549" w:rsidRPr="00A604A3" w:rsidTr="00244704">
        <w:trPr>
          <w:trHeight w:val="194"/>
          <w:jc w:val="center"/>
        </w:trPr>
        <w:tc>
          <w:tcPr>
            <w:tcW w:w="1409" w:type="dxa"/>
            <w:vMerge/>
            <w:vAlign w:val="center"/>
          </w:tcPr>
          <w:p w:rsidR="00AE0549" w:rsidRPr="00A604A3" w:rsidRDefault="00AE0549" w:rsidP="00244704">
            <w:pPr>
              <w:pStyle w:val="Tablehead"/>
              <w:rPr>
                <w:lang w:eastAsia="zh-CN"/>
              </w:rPr>
            </w:pPr>
          </w:p>
        </w:tc>
        <w:tc>
          <w:tcPr>
            <w:tcW w:w="1430" w:type="dxa"/>
            <w:vMerge/>
            <w:vAlign w:val="center"/>
          </w:tcPr>
          <w:p w:rsidR="00AE0549" w:rsidRPr="00A604A3" w:rsidRDefault="00AE0549" w:rsidP="00244704">
            <w:pPr>
              <w:pStyle w:val="Tablehead"/>
              <w:rPr>
                <w:lang w:eastAsia="zh-CN"/>
              </w:rPr>
            </w:pPr>
          </w:p>
        </w:tc>
        <w:tc>
          <w:tcPr>
            <w:tcW w:w="1483" w:type="dxa"/>
            <w:vMerge/>
            <w:vAlign w:val="center"/>
          </w:tcPr>
          <w:p w:rsidR="00AE0549" w:rsidRPr="00A604A3" w:rsidRDefault="00AE0549" w:rsidP="00244704">
            <w:pPr>
              <w:pStyle w:val="Tablehead"/>
              <w:rPr>
                <w:lang w:eastAsia="zh-CN"/>
              </w:rPr>
            </w:pPr>
          </w:p>
        </w:tc>
        <w:tc>
          <w:tcPr>
            <w:tcW w:w="1036" w:type="dxa"/>
            <w:vMerge/>
            <w:vAlign w:val="center"/>
          </w:tcPr>
          <w:p w:rsidR="00AE0549" w:rsidRPr="00A604A3" w:rsidRDefault="00AE0549" w:rsidP="00244704">
            <w:pPr>
              <w:pStyle w:val="Tablehead"/>
              <w:rPr>
                <w:lang w:eastAsia="zh-CN"/>
              </w:rPr>
            </w:pPr>
          </w:p>
        </w:tc>
        <w:tc>
          <w:tcPr>
            <w:tcW w:w="1140" w:type="dxa"/>
            <w:vMerge/>
            <w:vAlign w:val="center"/>
          </w:tcPr>
          <w:p w:rsidR="00AE0549" w:rsidRPr="00A604A3" w:rsidRDefault="00AE0549" w:rsidP="00244704">
            <w:pPr>
              <w:pStyle w:val="Tablehead"/>
              <w:rPr>
                <w:lang w:eastAsia="zh-CN"/>
              </w:rPr>
            </w:pPr>
          </w:p>
        </w:tc>
        <w:tc>
          <w:tcPr>
            <w:tcW w:w="739" w:type="dxa"/>
            <w:vAlign w:val="center"/>
          </w:tcPr>
          <w:p w:rsidR="00AE0549" w:rsidRPr="00A604A3" w:rsidRDefault="00AE0549" w:rsidP="00244704">
            <w:pPr>
              <w:pStyle w:val="Tablehead"/>
              <w:rPr>
                <w:sz w:val="18"/>
                <w:szCs w:val="18"/>
                <w:lang w:eastAsia="zh-CN"/>
              </w:rPr>
            </w:pPr>
            <w:r w:rsidRPr="00A604A3">
              <w:rPr>
                <w:sz w:val="18"/>
                <w:szCs w:val="18"/>
                <w:lang w:eastAsia="zh-CN"/>
              </w:rPr>
              <w:t>NLOS</w:t>
            </w:r>
          </w:p>
        </w:tc>
        <w:tc>
          <w:tcPr>
            <w:tcW w:w="666" w:type="dxa"/>
            <w:vAlign w:val="center"/>
          </w:tcPr>
          <w:p w:rsidR="00AE0549" w:rsidRPr="00A604A3" w:rsidRDefault="00AE0549" w:rsidP="00244704">
            <w:pPr>
              <w:pStyle w:val="Tablehead"/>
              <w:rPr>
                <w:sz w:val="18"/>
                <w:szCs w:val="18"/>
                <w:lang w:eastAsia="zh-CN"/>
              </w:rPr>
            </w:pPr>
            <w:r w:rsidRPr="00A604A3">
              <w:rPr>
                <w:sz w:val="18"/>
                <w:szCs w:val="18"/>
                <w:lang w:eastAsia="zh-CN"/>
              </w:rPr>
              <w:t>LOS</w:t>
            </w:r>
          </w:p>
        </w:tc>
        <w:tc>
          <w:tcPr>
            <w:tcW w:w="739" w:type="dxa"/>
            <w:vAlign w:val="center"/>
          </w:tcPr>
          <w:p w:rsidR="00AE0549" w:rsidRPr="00A604A3" w:rsidRDefault="00AE0549" w:rsidP="00244704">
            <w:pPr>
              <w:pStyle w:val="Tablehead"/>
              <w:rPr>
                <w:sz w:val="18"/>
                <w:szCs w:val="18"/>
                <w:lang w:eastAsia="zh-CN"/>
              </w:rPr>
            </w:pPr>
            <w:r w:rsidRPr="00A604A3">
              <w:rPr>
                <w:sz w:val="18"/>
                <w:szCs w:val="18"/>
                <w:lang w:eastAsia="zh-CN"/>
              </w:rPr>
              <w:t>NLOS</w:t>
            </w:r>
          </w:p>
        </w:tc>
        <w:tc>
          <w:tcPr>
            <w:tcW w:w="666" w:type="dxa"/>
            <w:vAlign w:val="center"/>
          </w:tcPr>
          <w:p w:rsidR="00AE0549" w:rsidRPr="00A604A3" w:rsidRDefault="00AE0549" w:rsidP="00244704">
            <w:pPr>
              <w:pStyle w:val="Tablehead"/>
              <w:rPr>
                <w:sz w:val="18"/>
                <w:szCs w:val="18"/>
                <w:lang w:eastAsia="zh-CN"/>
              </w:rPr>
            </w:pPr>
            <w:r w:rsidRPr="00A604A3">
              <w:rPr>
                <w:sz w:val="18"/>
                <w:szCs w:val="18"/>
                <w:lang w:eastAsia="zh-CN"/>
              </w:rPr>
              <w:t>LOS</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Indoor Hotspot –eMBB </w:t>
            </w:r>
          </w:p>
          <w:p w:rsidR="00AE0549" w:rsidRPr="00A604A3" w:rsidRDefault="00AE0549" w:rsidP="00244704">
            <w:pPr>
              <w:pStyle w:val="Tabletext"/>
              <w:rPr>
                <w:lang w:eastAsia="zh-CN"/>
              </w:rPr>
            </w:pPr>
            <w:r w:rsidRPr="00A604A3">
              <w:rPr>
                <w:lang w:eastAsia="zh-CN"/>
              </w:rPr>
              <w:t>(12 TRxP)</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1.5</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3.90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1.75</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1.59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1.94</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3.95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1.75</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1.60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1.95</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Dense Urban – eMBB</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1.12</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5.52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1.92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2.22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2.17</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5.32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2.19</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2.06</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Rural –eMBB </w:t>
            </w:r>
            <w:r w:rsidR="00244704">
              <w:rPr>
                <w:lang w:eastAsia="zh-CN"/>
              </w:rPr>
              <w:br/>
            </w:r>
            <w:r w:rsidRPr="00A604A3">
              <w:rPr>
                <w:lang w:eastAsia="zh-CN"/>
              </w:rPr>
              <w:t>(120 km/h)</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0.8</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(700 MHz)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10.21</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2.32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2.10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2.63</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10.14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2.31</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2.63</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B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4.66</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1.30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1.74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1.18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1.57</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4.50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1.28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1.68</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1.16</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1.52</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Rural –eMBB </w:t>
            </w:r>
            <w:r w:rsidR="00244704">
              <w:rPr>
                <w:lang w:eastAsia="zh-CN"/>
              </w:rPr>
              <w:br/>
            </w:r>
            <w:r w:rsidRPr="00A604A3">
              <w:rPr>
                <w:lang w:eastAsia="zh-CN"/>
              </w:rPr>
              <w:t>(500 km/h)</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0.45</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(700 MHz)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9.67</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2.39</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9.65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2.39</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B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0.92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1.33</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0.84</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1.22</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2.72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0.91</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1.33</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0.83</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1.22</w:t>
            </w:r>
          </w:p>
        </w:tc>
      </w:tr>
    </w:tbl>
    <w:p w:rsidR="00AE0549" w:rsidRPr="00A604A3" w:rsidRDefault="00AE0549" w:rsidP="00244704">
      <w:pPr>
        <w:pStyle w:val="Tablefin"/>
      </w:pPr>
    </w:p>
    <w:p w:rsidR="00AE0549" w:rsidRPr="00A604A3" w:rsidRDefault="00AE0549" w:rsidP="00244704">
      <w:pPr>
        <w:rPr>
          <w:rFonts w:eastAsia="SimSun"/>
          <w:szCs w:val="24"/>
          <w:lang w:eastAsia="zh-CN"/>
        </w:rPr>
      </w:pPr>
      <w:r w:rsidRPr="00A604A3">
        <w:t>It is observed that NR meets the mobility requirements in the test environments for eMBB.</w:t>
      </w:r>
    </w:p>
    <w:p w:rsidR="00AE0549" w:rsidRPr="00A604A3" w:rsidRDefault="00244704" w:rsidP="00244704">
      <w:pPr>
        <w:pStyle w:val="Heading3"/>
      </w:pPr>
      <w:bookmarkStart w:id="624" w:name="_Toc32412973"/>
      <w:r>
        <w:t>II.5.13</w:t>
      </w:r>
      <w:r>
        <w:tab/>
      </w:r>
      <w:r w:rsidR="00AE0549" w:rsidRPr="00A604A3">
        <w:t>Mobility interruption time</w:t>
      </w:r>
      <w:bookmarkEnd w:id="624"/>
    </w:p>
    <w:p w:rsidR="00AE0549" w:rsidRPr="00A604A3" w:rsidRDefault="00AE0549" w:rsidP="00244704">
      <w:r w:rsidRPr="00A604A3">
        <w:t>The ITU-R minimum requirements on mobility interruption time are given in [1]. The following requirements and remarks are extracted from [1]:</w:t>
      </w:r>
    </w:p>
    <w:p w:rsidR="00AE0549" w:rsidRPr="00244704" w:rsidRDefault="00244704" w:rsidP="00244704">
      <w:pPr>
        <w:pStyle w:val="enumlev1"/>
        <w:rPr>
          <w:i/>
          <w:iCs/>
        </w:rPr>
      </w:pPr>
      <w:r>
        <w:rPr>
          <w:i/>
          <w:iCs/>
        </w:rPr>
        <w:tab/>
      </w:r>
      <w:r w:rsidR="00AE0549" w:rsidRPr="00244704">
        <w:rPr>
          <w:i/>
          <w:iCs/>
        </w:rPr>
        <w:t>Mobility interruption time is the shortest time duration supported by the system during which a user terminal cannot exchange user plane packets with any base station during transitions</w:t>
      </w:r>
      <w:r w:rsidR="00AE0549" w:rsidRPr="00244704">
        <w:rPr>
          <w:rFonts w:eastAsia="MS Mincho"/>
          <w:i/>
          <w:iCs/>
        </w:rPr>
        <w:t>.</w:t>
      </w:r>
    </w:p>
    <w:p w:rsidR="00AE0549" w:rsidRPr="00244704" w:rsidRDefault="00244704" w:rsidP="00244704">
      <w:pPr>
        <w:pStyle w:val="enumlev1"/>
        <w:rPr>
          <w:i/>
          <w:iCs/>
        </w:rPr>
      </w:pPr>
      <w:r>
        <w:rPr>
          <w:i/>
          <w:iCs/>
        </w:rPr>
        <w:tab/>
      </w:r>
      <w:r w:rsidR="00AE0549" w:rsidRPr="00244704">
        <w:rPr>
          <w:i/>
          <w:iCs/>
        </w:rPr>
        <w:t xml:space="preserve">The mobility interruption time includes the time required to execute any radio access network procedure, radio resource control signalling protocol, or other message exchanges between the </w:t>
      </w:r>
      <w:r w:rsidR="00AE0549" w:rsidRPr="00244704">
        <w:rPr>
          <w:i/>
          <w:iCs/>
          <w:lang w:eastAsia="ja-JP"/>
        </w:rPr>
        <w:t xml:space="preserve">mobile station </w:t>
      </w:r>
      <w:r w:rsidR="00AE0549" w:rsidRPr="00244704">
        <w:rPr>
          <w:i/>
          <w:iCs/>
        </w:rPr>
        <w:t>and the radio access network, as applicable to the candidate RIT</w:t>
      </w:r>
      <w:r w:rsidR="00AE0549" w:rsidRPr="00244704">
        <w:rPr>
          <w:i/>
          <w:iCs/>
          <w:lang w:eastAsia="ja-JP"/>
        </w:rPr>
        <w:t>/</w:t>
      </w:r>
      <w:r w:rsidR="00AE0549" w:rsidRPr="00244704">
        <w:rPr>
          <w:i/>
          <w:iCs/>
        </w:rPr>
        <w:t>SRIT.</w:t>
      </w:r>
    </w:p>
    <w:p w:rsidR="00AE0549" w:rsidRPr="00244704" w:rsidRDefault="00244704" w:rsidP="00244704">
      <w:pPr>
        <w:pStyle w:val="enumlev1"/>
        <w:rPr>
          <w:i/>
          <w:iCs/>
        </w:rPr>
      </w:pPr>
      <w:r>
        <w:rPr>
          <w:i/>
          <w:iCs/>
        </w:rPr>
        <w:tab/>
      </w:r>
      <w:r w:rsidR="00AE0549" w:rsidRPr="00244704">
        <w:rPr>
          <w:i/>
          <w:iCs/>
        </w:rPr>
        <w:t>This requirement is defined for the purpose of evaluation in the eMBB and URLLC usage scenarios.</w:t>
      </w:r>
    </w:p>
    <w:p w:rsidR="00AE0549" w:rsidRPr="00244704" w:rsidRDefault="00244704" w:rsidP="00244704">
      <w:pPr>
        <w:pStyle w:val="enumlev1"/>
        <w:rPr>
          <w:i/>
          <w:iCs/>
          <w:lang w:eastAsia="ja-JP"/>
        </w:rPr>
      </w:pPr>
      <w:r>
        <w:rPr>
          <w:i/>
          <w:iCs/>
        </w:rPr>
        <w:tab/>
      </w:r>
      <w:r w:rsidR="00AE0549" w:rsidRPr="00244704">
        <w:rPr>
          <w:i/>
          <w:iCs/>
        </w:rPr>
        <w:t xml:space="preserve">The minimum requirement for </w:t>
      </w:r>
      <w:r w:rsidR="00AE0549" w:rsidRPr="00244704">
        <w:rPr>
          <w:rFonts w:hAnsi="MS Mincho"/>
          <w:i/>
          <w:iCs/>
          <w:szCs w:val="21"/>
          <w:lang w:eastAsia="ja-JP"/>
        </w:rPr>
        <w:t>mobility interruption time</w:t>
      </w:r>
      <w:r w:rsidR="00AE0549" w:rsidRPr="00244704">
        <w:rPr>
          <w:i/>
          <w:iCs/>
        </w:rPr>
        <w:t xml:space="preserve"> is </w:t>
      </w:r>
      <w:r w:rsidR="00AE0549" w:rsidRPr="00244704">
        <w:rPr>
          <w:i/>
          <w:iCs/>
          <w:lang w:eastAsia="ja-JP"/>
        </w:rPr>
        <w:t>0 ms.</w:t>
      </w:r>
    </w:p>
    <w:p w:rsidR="00AE0549" w:rsidRPr="00A604A3" w:rsidRDefault="00AE0549" w:rsidP="00244704">
      <w:pPr>
        <w:rPr>
          <w:i/>
          <w:lang w:eastAsia="ja-JP"/>
        </w:rPr>
      </w:pPr>
      <w:r w:rsidRPr="00A604A3">
        <w:t>The ITU-R Guidelines for Evaluation report [3] is requesting in addition:</w:t>
      </w:r>
    </w:p>
    <w:p w:rsidR="00AE0549" w:rsidRPr="00244704" w:rsidRDefault="00244704" w:rsidP="00244704">
      <w:pPr>
        <w:pStyle w:val="enumlev1"/>
        <w:rPr>
          <w:i/>
          <w:iCs/>
        </w:rPr>
      </w:pPr>
      <w:r>
        <w:rPr>
          <w:i/>
          <w:iCs/>
        </w:rPr>
        <w:lastRenderedPageBreak/>
        <w:tab/>
      </w:r>
      <w:r w:rsidR="00AE0549" w:rsidRPr="00244704">
        <w:rPr>
          <w:i/>
          <w:iCs/>
        </w:rPr>
        <w:t>The procedure of exchanging user plane packets with base stations during transitions shall be described based on the proposed technology including the functions and the timing involved.</w:t>
      </w:r>
    </w:p>
    <w:p w:rsidR="00AE0549" w:rsidRPr="00A604A3" w:rsidRDefault="00244704" w:rsidP="00244704">
      <w:pPr>
        <w:pStyle w:val="Heading4"/>
      </w:pPr>
      <w:r>
        <w:t>II.5.13.1</w:t>
      </w:r>
      <w:r>
        <w:tab/>
      </w:r>
      <w:r w:rsidR="00AE0549" w:rsidRPr="00A604A3">
        <w:t>Mobility interruption time in NR and LTE</w:t>
      </w:r>
    </w:p>
    <w:p w:rsidR="00AE0549" w:rsidRPr="00A604A3" w:rsidRDefault="00AE0549" w:rsidP="00244704">
      <w:pPr>
        <w:rPr>
          <w:lang w:eastAsia="zh-CN"/>
        </w:rPr>
      </w:pPr>
      <w:r w:rsidRPr="00A604A3">
        <w:rPr>
          <w:lang w:eastAsia="zh-CN"/>
        </w:rPr>
        <w:t>A typical mobility handover procedure includes procedures in the radio access network (RAN) as well as procedures in the core network (CN). Figure 17 shows a handover procedure in NR. It can be observed that there a handover preparation step and a handover execution step in the RAN network between the source next generation RAN (NG-RAN) and the target NG-RAN. During the handover execution procedure, the source NG-RAN needs to forward user plane data to the target NG-RAN using the Xn interface in NR. Next, a number of messaging steps occur between CN functions to modify the user plane data path for the user. Although LTE has a different system architecture, LTE is using similar procedures in LTE RAN and CN.</w:t>
      </w:r>
    </w:p>
    <w:p w:rsidR="00244704" w:rsidRDefault="00244704" w:rsidP="00244704">
      <w:pPr>
        <w:pStyle w:val="FigureNo"/>
      </w:pPr>
      <w:bookmarkStart w:id="625" w:name="_Ref24379459"/>
      <w:r>
        <w:t>Figure 17</w:t>
      </w:r>
    </w:p>
    <w:p w:rsidR="00244704" w:rsidRPr="00A604A3" w:rsidRDefault="00244704" w:rsidP="00244704">
      <w:pPr>
        <w:pStyle w:val="Figuretitle"/>
      </w:pPr>
      <w:r w:rsidRPr="00A604A3">
        <w:t>Mobility handover procedure in NR (intra NR)</w:t>
      </w:r>
      <w:bookmarkEnd w:id="625"/>
    </w:p>
    <w:p w:rsidR="00AE0549" w:rsidRPr="00A604A3" w:rsidRDefault="009002F1" w:rsidP="00244704">
      <w:pPr>
        <w:pStyle w:val="Figure"/>
      </w:pPr>
      <w:r>
        <w:pict>
          <v:shape id="_x0000_i1042" type="#_x0000_t75" style="width:317.1pt;height:237.7pt">
            <v:imagedata r:id="rId36" o:title=""/>
          </v:shape>
        </w:pict>
      </w:r>
    </w:p>
    <w:p w:rsidR="00AE0549" w:rsidRPr="00A604A3" w:rsidRDefault="00AE0549" w:rsidP="00244704">
      <w:pPr>
        <w:rPr>
          <w:lang w:eastAsia="zh-CN"/>
        </w:rPr>
      </w:pPr>
      <w:r w:rsidRPr="00A604A3">
        <w:rPr>
          <w:lang w:eastAsia="zh-CN"/>
        </w:rPr>
        <w:t>Depending on the types of the source cell and the target cell, handover scenarios can additionally include handover between intra-3GPP cells, and handover between 3GPP and non-3GPP cells. Intra-3GPP handover may include intra-NR cells, intra-LTE cells, NR and LTE cells, NR and UTRAN. In this case, the user only needs to ensure its synchronization to the target cell. Handover between 3GPP and non-3GPP cells may include NR- HRPD handover and NR-</w:t>
      </w:r>
      <w:r w:rsidRPr="00A604A3">
        <w:t xml:space="preserve"> </w:t>
      </w:r>
      <w:r w:rsidRPr="00A604A3">
        <w:rPr>
          <w:lang w:eastAsia="zh-CN"/>
        </w:rPr>
        <w:t>cdma2000 1X handover. In this case, there is an additional registration process to the target cell. The RAN procedure can result in delays in the order of a few milliseconds while the CN procedure can result in delays in the order of tens of milliseconds.</w:t>
      </w:r>
    </w:p>
    <w:p w:rsidR="00AE0549" w:rsidRPr="00A604A3" w:rsidRDefault="0019490C" w:rsidP="0019490C">
      <w:pPr>
        <w:pStyle w:val="Heading4"/>
      </w:pPr>
      <w:r>
        <w:t>II.5.13.2</w:t>
      </w:r>
      <w:r>
        <w:tab/>
      </w:r>
      <w:r w:rsidR="00AE0549" w:rsidRPr="00A604A3">
        <w:t xml:space="preserve">Means to minimize mobility interruption </w:t>
      </w:r>
    </w:p>
    <w:p w:rsidR="00AE0549" w:rsidRPr="00A604A3" w:rsidRDefault="00AE0549" w:rsidP="0019490C">
      <w:pPr>
        <w:rPr>
          <w:lang w:eastAsia="zh-CN"/>
        </w:rPr>
      </w:pPr>
      <w:r w:rsidRPr="00A604A3">
        <w:rPr>
          <w:lang w:eastAsia="zh-CN"/>
        </w:rPr>
        <w:t xml:space="preserve">In order to satisfy the requirement of 0 ms proposed by ITU-R, a number of means, which are based on the “Make-before-break Handover” and “Dual Connectivity” (DC) principle, have been proposed in Section 5.2.3.2.5 in [16] and Section 5.10 in [17]. With DC, before the </w:t>
      </w:r>
      <w:r w:rsidRPr="00A604A3">
        <w:rPr>
          <w:lang w:eastAsia="zh-CN"/>
        </w:rPr>
        <w:lastRenderedPageBreak/>
        <w:t>handover procedure starts, DC in the master base station (MeNB) will be configured and a secondary base station (SeNB) will be added to the UE.</w:t>
      </w:r>
    </w:p>
    <w:p w:rsidR="00AE0549" w:rsidRPr="00A604A3" w:rsidRDefault="00AE0549" w:rsidP="0019490C">
      <w:pPr>
        <w:rPr>
          <w:lang w:eastAsia="zh-CN"/>
        </w:rPr>
      </w:pPr>
      <w:r w:rsidRPr="00A604A3">
        <w:rPr>
          <w:lang w:eastAsia="zh-CN"/>
        </w:rPr>
        <w:t>The SeNB addition procedure and SeNB release procedures are shown in Figure 18, Figure 19, and Figure 20. The SeNB addition procedure is initiated by the MeNB and is used to establish a UE context at the SeNB in order to provide radio resources from the SeNB to the UE. This procedure is used to add at least the first cell (PSCell) of the SCG. Figure 5.10.2.2-1 shows the SeNB addition procedure. The detailed description of each step is found in Section 10.1.2.8.1 in 3GPP TS36.300.</w:t>
      </w:r>
    </w:p>
    <w:p w:rsidR="0019490C" w:rsidRDefault="00FC12AC" w:rsidP="0019490C">
      <w:pPr>
        <w:pStyle w:val="FigureNo"/>
      </w:pPr>
      <w:bookmarkStart w:id="626" w:name="_Ref24379615"/>
      <w:r>
        <w:t>Figure 18</w:t>
      </w:r>
    </w:p>
    <w:p w:rsidR="0019490C" w:rsidRPr="00A604A3" w:rsidRDefault="0019490C" w:rsidP="0019490C">
      <w:pPr>
        <w:pStyle w:val="Figuretitle"/>
      </w:pPr>
      <w:r w:rsidRPr="00A604A3">
        <w:t>SeNB Addition procedure</w:t>
      </w:r>
      <w:bookmarkEnd w:id="626"/>
    </w:p>
    <w:p w:rsidR="00AE0549" w:rsidRPr="00A604A3" w:rsidRDefault="009002F1" w:rsidP="0019490C">
      <w:pPr>
        <w:pStyle w:val="Figure"/>
      </w:pPr>
      <w:r>
        <w:pict>
          <v:shape id="_x0000_i1043" type="#_x0000_t75" style="width:337.4pt;height:201.7pt">
            <v:imagedata r:id="rId37" o:title=""/>
          </v:shape>
        </w:pict>
      </w:r>
    </w:p>
    <w:p w:rsidR="00AE0549" w:rsidRPr="00A604A3" w:rsidRDefault="00AE0549" w:rsidP="00FC12AC">
      <w:pPr>
        <w:rPr>
          <w:lang w:eastAsia="zh-CN"/>
        </w:rPr>
      </w:pPr>
      <w:r w:rsidRPr="00A604A3">
        <w:rPr>
          <w:lang w:eastAsia="zh-CN"/>
        </w:rPr>
        <w:t>The SeNB Release procedure may be initiated either by the MeNB or by the SeNB and is used to initiate the release of the UE context at the SeNB. It does not necessarily need to involve signaling towards the UE, e.g., RRC connection re-establishment due to Radio Link Failure in MeNB.</w:t>
      </w:r>
    </w:p>
    <w:p w:rsidR="00FC12AC" w:rsidRDefault="00FC12AC" w:rsidP="00FC12AC">
      <w:pPr>
        <w:pStyle w:val="FigureNo"/>
      </w:pPr>
      <w:bookmarkStart w:id="627" w:name="_Ref24379859"/>
      <w:r>
        <w:t>Figure 19</w:t>
      </w:r>
    </w:p>
    <w:p w:rsidR="00FC12AC" w:rsidRPr="00A604A3" w:rsidRDefault="00FC12AC" w:rsidP="00FC12AC">
      <w:pPr>
        <w:pStyle w:val="Figuretitle"/>
      </w:pPr>
      <w:r w:rsidRPr="00A604A3">
        <w:t>SeNB Release procedure – MeNB initiated</w:t>
      </w:r>
      <w:bookmarkEnd w:id="627"/>
    </w:p>
    <w:p w:rsidR="00AE0549" w:rsidRPr="00A604A3" w:rsidRDefault="009002F1" w:rsidP="00FC12AC">
      <w:pPr>
        <w:pStyle w:val="Figure"/>
        <w:rPr>
          <w:color w:val="000000" w:themeColor="text1"/>
        </w:rPr>
      </w:pPr>
      <w:r>
        <w:pict>
          <v:shape id="_x0000_i1044" type="#_x0000_t75" style="width:381.25pt;height:151.85pt">
            <v:imagedata r:id="rId38" o:title=""/>
          </v:shape>
        </w:pict>
      </w:r>
    </w:p>
    <w:p w:rsidR="00FC12AC" w:rsidRDefault="00FC12AC" w:rsidP="00FC12AC">
      <w:pPr>
        <w:pStyle w:val="FigureNo"/>
      </w:pPr>
      <w:bookmarkStart w:id="628" w:name="_Ref24379866"/>
      <w:r>
        <w:lastRenderedPageBreak/>
        <w:t>Figure 20</w:t>
      </w:r>
    </w:p>
    <w:p w:rsidR="00FC12AC" w:rsidRPr="00A604A3" w:rsidRDefault="00FC12AC" w:rsidP="00FC12AC">
      <w:pPr>
        <w:pStyle w:val="Figuretitle"/>
      </w:pPr>
      <w:r w:rsidRPr="00A604A3">
        <w:t>SeNB Release procedure – SeNB initiated</w:t>
      </w:r>
      <w:bookmarkEnd w:id="628"/>
    </w:p>
    <w:p w:rsidR="00AE0549" w:rsidRPr="00A604A3" w:rsidRDefault="009002F1" w:rsidP="00FC12AC">
      <w:pPr>
        <w:pStyle w:val="Figure"/>
        <w:rPr>
          <w:color w:val="000000" w:themeColor="text1"/>
        </w:rPr>
      </w:pPr>
      <w:r>
        <w:pict>
          <v:shape id="_x0000_i1045" type="#_x0000_t75" style="width:388.6pt;height:158.75pt">
            <v:imagedata r:id="rId39" o:title=""/>
          </v:shape>
        </w:pict>
      </w:r>
    </w:p>
    <w:p w:rsidR="00AE0549" w:rsidRPr="00A604A3" w:rsidRDefault="00AE0549" w:rsidP="00FC12AC">
      <w:pPr>
        <w:rPr>
          <w:lang w:eastAsia="zh-CN"/>
        </w:rPr>
      </w:pPr>
      <w:r w:rsidRPr="00A604A3">
        <w:rPr>
          <w:lang w:eastAsia="zh-CN"/>
        </w:rPr>
        <w:t>The DC principle can be applied to intra-NR handover, intra-LTE handover, inter-RAT handover, and inter-system handover. It is observed that during these procedures, the UE can always exchange user plane packets with MeNB during transitions. Therefore, 0ms mobility interruption time is achieved by LTE for the DC mobility scenario.</w:t>
      </w:r>
    </w:p>
    <w:p w:rsidR="00AE0549" w:rsidRPr="00A604A3" w:rsidRDefault="00FC12AC" w:rsidP="00FC12AC">
      <w:pPr>
        <w:pStyle w:val="Heading5"/>
      </w:pPr>
      <w:r>
        <w:t>II.5.13.2.1</w:t>
      </w:r>
      <w:r>
        <w:tab/>
      </w:r>
      <w:r w:rsidR="00AE0549" w:rsidRPr="00A604A3">
        <w:t>Intra-NR handover</w:t>
      </w:r>
    </w:p>
    <w:p w:rsidR="00AE0549" w:rsidRPr="00A604A3" w:rsidRDefault="00AE0549" w:rsidP="00FC12AC">
      <w:pPr>
        <w:rPr>
          <w:lang w:eastAsia="zh-CN"/>
        </w:rPr>
      </w:pPr>
      <w:r w:rsidRPr="00A604A3">
        <w:rPr>
          <w:lang w:eastAsia="zh-CN"/>
        </w:rPr>
        <w:t xml:space="preserve">Network controlled mobility applies to UEs in RRC_CONNECTED and is categorized into two types of mobility. </w:t>
      </w:r>
    </w:p>
    <w:p w:rsidR="00AE0549" w:rsidRPr="00A604A3" w:rsidRDefault="00AE0549" w:rsidP="00FC12AC">
      <w:pPr>
        <w:rPr>
          <w:lang w:eastAsia="zh-CN"/>
        </w:rPr>
      </w:pPr>
      <w:r w:rsidRPr="00A604A3">
        <w:rPr>
          <w:lang w:eastAsia="zh-CN"/>
        </w:rPr>
        <w:t xml:space="preserve">The first type is cell-level mobility, which requires explicit RRC signaling to be triggered, i.e. handover. For inter-gNB handover, handover request, handover acknowledgement, handover command, handover complete procedure are supported between source gNB and target gNB. Using the “Make-before-break Handover” and DC principle, the release of the resources at the source gNB during the handover completion phase is triggered by the target gNB. The second type is beam-level mobility, which does not require explicit RRC signaling to be triggered. Beam-level mobility is handled by lower layers and RRC is not required to know which beam is being used at a given point in time. </w:t>
      </w:r>
    </w:p>
    <w:p w:rsidR="00AE0549" w:rsidRPr="00A604A3" w:rsidRDefault="00AE0549" w:rsidP="00FC12AC">
      <w:pPr>
        <w:rPr>
          <w:lang w:eastAsia="zh-CN"/>
        </w:rPr>
      </w:pPr>
      <w:r w:rsidRPr="00A604A3">
        <w:rPr>
          <w:lang w:eastAsia="zh-CN"/>
        </w:rPr>
        <w:t>In both types, a UE needs to perform measurement to assist the mobility procedure. 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 In addition, data forwarding, in-sequence delivery and duplication avoidance at handover can be guaranteed between target gNB and source gNB. For more details, refer to [18] sub-clauses 9.2.3 &amp; 9.3.</w:t>
      </w:r>
    </w:p>
    <w:p w:rsidR="00AE0549" w:rsidRPr="00A604A3" w:rsidRDefault="00FC12AC" w:rsidP="00FC12AC">
      <w:pPr>
        <w:pStyle w:val="Heading5"/>
      </w:pPr>
      <w:r>
        <w:t>II.5.13.2.2</w:t>
      </w:r>
      <w:r>
        <w:tab/>
      </w:r>
      <w:r w:rsidR="00AE0549" w:rsidRPr="00A604A3">
        <w:t>Intra-LTE handover</w:t>
      </w:r>
    </w:p>
    <w:p w:rsidR="00AE0549" w:rsidRPr="00A604A3" w:rsidRDefault="00AE0549" w:rsidP="00DD3346">
      <w:pPr>
        <w:rPr>
          <w:lang w:eastAsia="zh-CN"/>
        </w:rPr>
      </w:pPr>
      <w:r w:rsidRPr="00A604A3">
        <w:rPr>
          <w:lang w:eastAsia="zh-CN"/>
        </w:rPr>
        <w:t xml:space="preserve">In E-UTRAN RRC_CONNECTED state, network-controlled UE-assisted handovers and DC specific activities are performed and various DRX cycles are supported. Handover procedures, like processes that precede the final handover decision on the source network side (control and evaluation of UE and eNB measurements taking into account certain UE specific roaming and access restrictions), preparation of resources on the target network side, </w:t>
      </w:r>
      <w:r w:rsidRPr="00A604A3">
        <w:rPr>
          <w:lang w:eastAsia="zh-CN"/>
        </w:rPr>
        <w:lastRenderedPageBreak/>
        <w:t>commanding the UE to the new radio resources and finally releasing resources on the (old) source network side with the DC principle. It contains mechanisms to transfer context data between evolved nodes, and to update node relations on C-plane and U-plane.</w:t>
      </w:r>
    </w:p>
    <w:p w:rsidR="00AE0549" w:rsidRPr="00A604A3" w:rsidRDefault="00AE0549" w:rsidP="00DD3346">
      <w:pPr>
        <w:rPr>
          <w:lang w:eastAsia="zh-CN"/>
        </w:rPr>
      </w:pPr>
      <w:r w:rsidRPr="00A604A3">
        <w:rPr>
          <w:lang w:eastAsia="zh-CN"/>
        </w:rPr>
        <w:t>Measurements to be performed by a UE for intra/inter-frequency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In RRC_CONNECTED state, a UE shall follow the measurement configurations specified by RRC directed from the E-UTRAN (e.g. as in UTRAN MEASUREMENT_CONTROL). In RRC_IDLE and RRC_CONNECTED the UE may be configured to monitor some UTRA or E-UTRA carriers according to reduced performance requirements as specified in [19]. For more details, refer to [20] sub-clauses 10.1 &amp; 10.2.</w:t>
      </w:r>
    </w:p>
    <w:p w:rsidR="00AE0549" w:rsidRPr="00A604A3" w:rsidRDefault="00DD3346" w:rsidP="00DD3346">
      <w:pPr>
        <w:pStyle w:val="Heading5"/>
      </w:pPr>
      <w:r>
        <w:t>II.5.13.2.3</w:t>
      </w:r>
      <w:r>
        <w:tab/>
      </w:r>
      <w:r w:rsidR="00AE0549" w:rsidRPr="00A604A3">
        <w:t>Inter-RAT handover</w:t>
      </w:r>
    </w:p>
    <w:p w:rsidR="00AE0549" w:rsidRPr="00A604A3" w:rsidRDefault="00AE0549" w:rsidP="00DD3346">
      <w:pPr>
        <w:rPr>
          <w:lang w:eastAsia="zh-CN"/>
        </w:rPr>
      </w:pPr>
      <w:r w:rsidRPr="00A604A3">
        <w:rPr>
          <w:lang w:eastAsia="zh-CN"/>
        </w:rPr>
        <w:t>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AE0549" w:rsidRPr="00A604A3" w:rsidRDefault="00DD3346" w:rsidP="00DD3346">
      <w:pPr>
        <w:pStyle w:val="Heading5"/>
      </w:pPr>
      <w:r>
        <w:t>II.5.13.2.4</w:t>
      </w:r>
      <w:r>
        <w:tab/>
      </w:r>
      <w:r w:rsidR="00AE0549" w:rsidRPr="00A604A3">
        <w:t>Inter-System handover</w:t>
      </w:r>
    </w:p>
    <w:p w:rsidR="00AE0549" w:rsidRPr="00A604A3" w:rsidRDefault="00AE0549" w:rsidP="00DD3346">
      <w:pPr>
        <w:rPr>
          <w:lang w:eastAsia="zh-CN"/>
        </w:rPr>
      </w:pPr>
      <w:r w:rsidRPr="00A604A3">
        <w:rPr>
          <w:lang w:eastAsia="zh-CN"/>
        </w:rPr>
        <w:t>Inter-system handover is supported between 5G Core Network (5GC) and EPC. Handover between NR in 5GC and E-UTRA in EPC is supported via inter-RAT handover. Handover between E-UTRA in 5GC and E-UTRA in EPC is supported via intra-E-UTRA handover with change of CN type. The source eNB/ng-eNB decides handover procedure to trigger (e.g. via the same CN type or to the other CN type). UE has to know the target CN type from the handover command during intra-LTE inter-system handover, intra-LTE intra-system handover.</w:t>
      </w:r>
    </w:p>
    <w:p w:rsidR="00AE0549" w:rsidRPr="00A604A3" w:rsidRDefault="00DD3346" w:rsidP="00DD3346">
      <w:pPr>
        <w:pStyle w:val="Heading4"/>
      </w:pPr>
      <w:r>
        <w:t>II.5.13.3</w:t>
      </w:r>
      <w:r>
        <w:tab/>
      </w:r>
      <w:r w:rsidR="00AE0549" w:rsidRPr="00A604A3">
        <w:t>Evaluation of the proposal</w:t>
      </w:r>
    </w:p>
    <w:p w:rsidR="00AE0549" w:rsidRPr="00A604A3" w:rsidRDefault="00AE0549" w:rsidP="00DD3346">
      <w:pPr>
        <w:rPr>
          <w:lang w:eastAsia="zh-CN"/>
        </w:rPr>
      </w:pPr>
      <w:r w:rsidRPr="00A604A3">
        <w:rPr>
          <w:lang w:eastAsia="zh-CN"/>
        </w:rPr>
        <w:t>The proposal is using means like “Make-before-break Handover” and DC to mitigate Mobility interruption time. This ensures that the minimum ITU-R requirement above of 0 ms mobility interruption time is fulfilled.</w:t>
      </w:r>
    </w:p>
    <w:p w:rsidR="00AE0549" w:rsidRPr="00A604A3" w:rsidRDefault="00DD3346" w:rsidP="00DD3346">
      <w:pPr>
        <w:pStyle w:val="Heading3"/>
      </w:pPr>
      <w:bookmarkStart w:id="629" w:name="_Toc32412974"/>
      <w:r>
        <w:t>II.5.14</w:t>
      </w:r>
      <w:r>
        <w:tab/>
      </w:r>
      <w:r w:rsidR="00AE0549" w:rsidRPr="00A604A3">
        <w:t>Bandwidth</w:t>
      </w:r>
      <w:bookmarkEnd w:id="629"/>
    </w:p>
    <w:p w:rsidR="00AE0549" w:rsidRPr="00A604A3" w:rsidRDefault="00AE0549" w:rsidP="00DD3346">
      <w:r w:rsidRPr="00A604A3">
        <w:t>The ITU-R minimum requirements on supported bandwidth is given in [1]. The following requirements and additional remarks are following from [1]:</w:t>
      </w:r>
    </w:p>
    <w:p w:rsidR="00AE0549" w:rsidRPr="00DD3346" w:rsidRDefault="00DD3346" w:rsidP="00DD3346">
      <w:pPr>
        <w:pStyle w:val="enumlev1"/>
        <w:rPr>
          <w:i/>
          <w:iCs/>
        </w:rPr>
      </w:pPr>
      <w:r>
        <w:rPr>
          <w:i/>
          <w:iCs/>
        </w:rPr>
        <w:tab/>
      </w:r>
      <w:r w:rsidR="00AE0549" w:rsidRPr="00DD3346">
        <w:rPr>
          <w:i/>
          <w:iCs/>
        </w:rPr>
        <w:t xml:space="preserve">Bandwidth </w:t>
      </w:r>
      <w:r w:rsidR="00AE0549" w:rsidRPr="00DD3346">
        <w:rPr>
          <w:bCs/>
          <w:i/>
          <w:iCs/>
        </w:rPr>
        <w:t xml:space="preserve">is </w:t>
      </w:r>
      <w:r w:rsidR="00AE0549" w:rsidRPr="00DD3346">
        <w:rPr>
          <w:i/>
          <w:iCs/>
          <w:lang w:eastAsia="ko-KR"/>
        </w:rPr>
        <w:t>the maximum aggregated system bandwidth.</w:t>
      </w:r>
      <w:r w:rsidR="00AE0549" w:rsidRPr="00DD3346">
        <w:rPr>
          <w:i/>
          <w:iCs/>
        </w:rPr>
        <w:t xml:space="preserve"> </w:t>
      </w:r>
      <w:r w:rsidR="00AE0549" w:rsidRPr="00DD3346">
        <w:rPr>
          <w:i/>
          <w:iCs/>
          <w:lang w:eastAsia="zh-CN"/>
        </w:rPr>
        <w:t>The</w:t>
      </w:r>
      <w:r w:rsidR="00AE0549" w:rsidRPr="00DD3346">
        <w:rPr>
          <w:i/>
          <w:iCs/>
        </w:rPr>
        <w:t xml:space="preserve"> bandwidth may be supported by single or multiple </w:t>
      </w:r>
      <w:r w:rsidR="00AE0549" w:rsidRPr="00DD3346">
        <w:rPr>
          <w:i/>
          <w:iCs/>
          <w:lang w:eastAsia="ja-JP"/>
        </w:rPr>
        <w:t>radio frequency (</w:t>
      </w:r>
      <w:r w:rsidR="00AE0549" w:rsidRPr="00DD3346">
        <w:rPr>
          <w:i/>
          <w:iCs/>
          <w:lang w:eastAsia="zh-CN"/>
        </w:rPr>
        <w:t>RF</w:t>
      </w:r>
      <w:r w:rsidR="00AE0549" w:rsidRPr="00DD3346">
        <w:rPr>
          <w:i/>
          <w:iCs/>
          <w:lang w:eastAsia="ja-JP"/>
        </w:rPr>
        <w:t>)</w:t>
      </w:r>
      <w:r w:rsidR="00AE0549" w:rsidRPr="00DD3346">
        <w:rPr>
          <w:i/>
          <w:iCs/>
        </w:rPr>
        <w:t xml:space="preserve"> carriers. The bandwidth </w:t>
      </w:r>
      <w:r w:rsidR="00AE0549" w:rsidRPr="00DD3346">
        <w:rPr>
          <w:i/>
          <w:iCs/>
          <w:lang w:eastAsia="ko-KR"/>
        </w:rPr>
        <w:t>capability of the RIT/SRIT</w:t>
      </w:r>
      <w:r w:rsidR="00AE0549" w:rsidRPr="00DD3346">
        <w:rPr>
          <w:i/>
          <w:iCs/>
        </w:rPr>
        <w:t xml:space="preserve"> is defined for the purpose of IMT-2020 evaluation.</w:t>
      </w:r>
    </w:p>
    <w:p w:rsidR="00AE0549" w:rsidRPr="00DD3346" w:rsidRDefault="00DD3346" w:rsidP="00DD3346">
      <w:pPr>
        <w:pStyle w:val="enumlev1"/>
        <w:rPr>
          <w:i/>
          <w:iCs/>
        </w:rPr>
      </w:pPr>
      <w:r>
        <w:rPr>
          <w:i/>
          <w:iCs/>
        </w:rPr>
        <w:tab/>
      </w:r>
      <w:r w:rsidR="00AE0549" w:rsidRPr="00DD3346">
        <w:rPr>
          <w:i/>
          <w:iCs/>
        </w:rPr>
        <w:t>The requirement for bandwidth is at least 100 MHz.</w:t>
      </w:r>
    </w:p>
    <w:p w:rsidR="00AE0549" w:rsidRPr="00DD3346" w:rsidRDefault="00DD3346" w:rsidP="00DD3346">
      <w:pPr>
        <w:pStyle w:val="enumlev1"/>
        <w:rPr>
          <w:i/>
          <w:iCs/>
        </w:rPr>
      </w:pPr>
      <w:r>
        <w:rPr>
          <w:i/>
          <w:iCs/>
        </w:rPr>
        <w:tab/>
      </w:r>
      <w:r w:rsidR="00AE0549" w:rsidRPr="00DD3346">
        <w:rPr>
          <w:i/>
          <w:iCs/>
        </w:rPr>
        <w:t>The RIT/SRIT shall support bandwidths up to 1 GHz for operation in higher frequency bands (e.g. above 6 GHz).</w:t>
      </w:r>
    </w:p>
    <w:p w:rsidR="00AE0549" w:rsidRPr="00DD3346" w:rsidRDefault="00DD3346" w:rsidP="00DD3346">
      <w:pPr>
        <w:pStyle w:val="enumlev1"/>
        <w:rPr>
          <w:i/>
          <w:iCs/>
        </w:rPr>
      </w:pPr>
      <w:r>
        <w:rPr>
          <w:i/>
          <w:iCs/>
        </w:rPr>
        <w:lastRenderedPageBreak/>
        <w:tab/>
      </w:r>
      <w:r w:rsidR="00AE0549" w:rsidRPr="00DD3346">
        <w:rPr>
          <w:i/>
          <w:iCs/>
        </w:rPr>
        <w:t>Proponents are encouraged to consider extensions to support operation in wider bandwidths considering the research targets expressed in Recommendation ITU-R M.2083.</w:t>
      </w:r>
    </w:p>
    <w:p w:rsidR="00AE0549" w:rsidRPr="00DD3346" w:rsidRDefault="00DD3346" w:rsidP="00DD3346">
      <w:pPr>
        <w:pStyle w:val="enumlev1"/>
        <w:rPr>
          <w:i/>
          <w:iCs/>
        </w:rPr>
      </w:pPr>
      <w:r>
        <w:rPr>
          <w:rFonts w:eastAsiaTheme="minorHAnsi"/>
          <w:i/>
          <w:iCs/>
        </w:rPr>
        <w:tab/>
      </w:r>
      <w:r w:rsidR="00AE0549" w:rsidRPr="00DD3346">
        <w:rPr>
          <w:rFonts w:eastAsiaTheme="minorHAnsi"/>
          <w:i/>
          <w:iCs/>
        </w:rPr>
        <w:t>The RIT</w:t>
      </w:r>
      <w:r w:rsidR="00AE0549" w:rsidRPr="00DD3346">
        <w:rPr>
          <w:i/>
          <w:iCs/>
          <w:lang w:eastAsia="ja-JP"/>
        </w:rPr>
        <w:t>/SRIT</w:t>
      </w:r>
      <w:r w:rsidR="00AE0549" w:rsidRPr="00DD3346">
        <w:rPr>
          <w:rFonts w:eastAsiaTheme="minorHAnsi"/>
          <w:i/>
          <w:iCs/>
        </w:rPr>
        <w:t xml:space="preserve"> shall support scalable bandwidth. </w:t>
      </w:r>
      <w:r w:rsidR="00AE0549" w:rsidRPr="00DD3346">
        <w:rPr>
          <w:i/>
          <w:iCs/>
        </w:rPr>
        <w:t>Scalable bandwidth is the ability of the candidate RIT</w:t>
      </w:r>
      <w:r w:rsidR="00AE0549" w:rsidRPr="00DD3346">
        <w:rPr>
          <w:i/>
          <w:iCs/>
          <w:lang w:eastAsia="ja-JP"/>
        </w:rPr>
        <w:t>/SRIT</w:t>
      </w:r>
      <w:r w:rsidR="00AE0549" w:rsidRPr="00DD3346">
        <w:rPr>
          <w:i/>
          <w:iCs/>
        </w:rPr>
        <w:t xml:space="preserve"> to operate with different bandwidths.</w:t>
      </w:r>
    </w:p>
    <w:p w:rsidR="00AE0549" w:rsidRPr="00A604A3" w:rsidRDefault="00AE0549" w:rsidP="00DD3346">
      <w:r w:rsidRPr="00A604A3">
        <w:t>The Table 131 and Table 132 are summarizing the characteristics of the NR RIT and the LTE SRIT of 5G.</w:t>
      </w:r>
    </w:p>
    <w:p w:rsidR="00DD3346" w:rsidRPr="00DD3346" w:rsidRDefault="00DD3346" w:rsidP="00DD3346">
      <w:pPr>
        <w:pStyle w:val="TableNo"/>
      </w:pPr>
      <w:bookmarkStart w:id="630" w:name="_Ref24380551"/>
      <w:bookmarkStart w:id="631" w:name="_Toc28265848"/>
      <w:bookmarkStart w:id="632" w:name="_Toc28277082"/>
      <w:bookmarkStart w:id="633" w:name="_Toc32066499"/>
      <w:r>
        <w:t>Table 131</w:t>
      </w:r>
    </w:p>
    <w:p w:rsidR="00AE0549" w:rsidRPr="00A604A3" w:rsidRDefault="00AE0549" w:rsidP="00DD3346">
      <w:pPr>
        <w:pStyle w:val="Tabletitle"/>
      </w:pPr>
      <w:r w:rsidRPr="00A604A3">
        <w:t>Characteristics template for SRIT of “5G” (Release 15 and beyond)</w:t>
      </w:r>
      <w:bookmarkEnd w:id="630"/>
      <w:bookmarkEnd w:id="631"/>
      <w:bookmarkEnd w:id="632"/>
      <w:bookmarkEnd w:id="6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BB4ACE">
            <w:pPr>
              <w:pStyle w:val="Tablehead"/>
            </w:pPr>
            <w:r w:rsidRPr="00A604A3">
              <w:t>ITU-R requirements</w:t>
            </w:r>
          </w:p>
        </w:tc>
        <w:tc>
          <w:tcPr>
            <w:tcW w:w="3005" w:type="dxa"/>
          </w:tcPr>
          <w:p w:rsidR="00AE0549" w:rsidRPr="00A604A3" w:rsidRDefault="00AE0549" w:rsidP="00BB4ACE">
            <w:pPr>
              <w:pStyle w:val="Tablehead"/>
            </w:pPr>
            <w:r w:rsidRPr="00A604A3">
              <w:rPr>
                <w:lang w:eastAsia="zh-CN"/>
              </w:rPr>
              <w:t>NR component RIT</w:t>
            </w:r>
          </w:p>
        </w:tc>
        <w:tc>
          <w:tcPr>
            <w:tcW w:w="3006" w:type="dxa"/>
          </w:tcPr>
          <w:p w:rsidR="00AE0549" w:rsidRPr="00A604A3" w:rsidRDefault="00AE0549" w:rsidP="00BB4ACE">
            <w:pPr>
              <w:pStyle w:val="Tablehead"/>
            </w:pPr>
            <w:r w:rsidRPr="00A604A3">
              <w:rPr>
                <w:lang w:eastAsia="zh-CN"/>
              </w:rPr>
              <w:t>LTE component SRIT</w:t>
            </w:r>
          </w:p>
        </w:tc>
      </w:tr>
      <w:tr w:rsidR="00AE0549" w:rsidRPr="00A604A3" w:rsidTr="00470885">
        <w:tc>
          <w:tcPr>
            <w:tcW w:w="3005" w:type="dxa"/>
          </w:tcPr>
          <w:p w:rsidR="00AE0549" w:rsidRPr="00A604A3" w:rsidRDefault="00AE0549" w:rsidP="00BB4ACE">
            <w:pPr>
              <w:pStyle w:val="Tabletext"/>
            </w:pPr>
            <w:r w:rsidRPr="00A604A3">
              <w:t>Below 6 GHz: at least 100 MHz</w:t>
            </w:r>
          </w:p>
        </w:tc>
        <w:tc>
          <w:tcPr>
            <w:tcW w:w="3005"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rPr>
                <w:lang w:eastAsia="zh-CN"/>
              </w:rPr>
            </w:pPr>
            <w:r w:rsidRPr="00DB6769">
              <w:rPr>
                <w:b/>
                <w:bCs/>
                <w:lang w:eastAsia="zh-CN"/>
              </w:rPr>
              <w:t>One component carrier</w:t>
            </w:r>
            <w:r w:rsidRPr="00A604A3">
              <w:rPr>
                <w:lang w:eastAsia="zh-CN"/>
              </w:rPr>
              <w:t xml:space="preserve"> supports a scalable bandwidth, </w:t>
            </w:r>
            <w:r w:rsidRPr="00DB6769">
              <w:rPr>
                <w:b/>
                <w:bCs/>
                <w:lang w:eastAsia="zh-CN"/>
              </w:rPr>
              <w:t>5, 10, 15, 20, 25, 40, 50, 60, 80, 100 MHz</w:t>
            </w:r>
            <w:r w:rsidRPr="00A604A3">
              <w:rPr>
                <w:lang w:eastAsia="zh-CN"/>
              </w:rPr>
              <w:t xml:space="preserve"> for frequency range 450 MHz to 6</w:t>
            </w:r>
            <w:r w:rsidR="00DB6769">
              <w:rPr>
                <w:lang w:eastAsia="zh-CN"/>
              </w:rPr>
              <w:t> </w:t>
            </w:r>
            <w:r w:rsidRPr="00A604A3">
              <w:rPr>
                <w:lang w:eastAsia="zh-CN"/>
              </w:rPr>
              <w:t xml:space="preserve">000 MHz (see [11] for the actual support of bandwidth for each band), with guard band ratio from 20% to 2%; and a scalable bandwidth, 50, 100, 200, 400 MHz for frequency range 24250 – 52600 MHz (see [11] for the actual support of bandwidth for each band), with guard band ratio from 8% to 5%. </w:t>
            </w:r>
          </w:p>
          <w:p w:rsidR="00AE0549" w:rsidRPr="00A604A3" w:rsidRDefault="00AE0549" w:rsidP="00BB4ACE">
            <w:pPr>
              <w:pStyle w:val="Tabletext"/>
              <w:rPr>
                <w:lang w:eastAsia="zh-CN"/>
              </w:rPr>
            </w:pPr>
            <w:r w:rsidRPr="00A604A3">
              <w:rPr>
                <w:lang w:eastAsia="zh-CN"/>
              </w:rPr>
              <w:t xml:space="preserve">By aggregating multiple component carriers, transmission bandwidths </w:t>
            </w:r>
            <w:r w:rsidRPr="00DB6769">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r w:rsidR="00BB4ACE">
              <w:rPr>
                <w:lang w:eastAsia="zh-CN"/>
              </w:rPr>
              <w:br/>
            </w:r>
            <w:r w:rsidR="00BB4ACE">
              <w:rPr>
                <w:lang w:eastAsia="zh-CN"/>
              </w:rPr>
              <w:br/>
            </w:r>
            <w:r w:rsidR="00BB4ACE">
              <w:rPr>
                <w:lang w:eastAsia="zh-CN"/>
              </w:rPr>
              <w:br/>
            </w:r>
          </w:p>
          <w:p w:rsidR="00AE0549" w:rsidRPr="00A604A3" w:rsidRDefault="00AE0549" w:rsidP="00BB4ACE">
            <w:pPr>
              <w:pStyle w:val="Tabletext"/>
              <w:rPr>
                <w:lang w:eastAsia="zh-CN"/>
              </w:rPr>
            </w:pPr>
          </w:p>
          <w:p w:rsidR="00AE0549" w:rsidRPr="00A604A3" w:rsidRDefault="00AE0549" w:rsidP="00BB4ACE">
            <w:pPr>
              <w:pStyle w:val="Tabletext"/>
              <w:rPr>
                <w:lang w:eastAsia="zh-CN"/>
              </w:rPr>
            </w:pP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BB4ACE" w:rsidP="00BB4ACE">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BB4ACE">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BB4ACE" w:rsidP="00BB4ACE">
            <w:pPr>
              <w:pStyle w:val="Tabletext"/>
              <w:ind w:left="567" w:hanging="567"/>
              <w:rPr>
                <w:lang w:eastAsia="zh-CN"/>
              </w:rPr>
            </w:pPr>
            <w:r>
              <w:rPr>
                <w:lang w:eastAsia="zh-CN"/>
              </w:rPr>
              <w:lastRenderedPageBreak/>
              <w:tab/>
              <w:t>•</w:t>
            </w:r>
            <w:r>
              <w:rPr>
                <w:lang w:eastAsia="zh-CN"/>
              </w:rPr>
              <w:tab/>
            </w:r>
            <w:r w:rsidR="00AE0549" w:rsidRPr="00DB6769">
              <w:rPr>
                <w:b/>
                <w:bCs/>
                <w:lang w:eastAsia="zh-CN"/>
              </w:rPr>
              <w:t>5 MHz</w:t>
            </w:r>
            <w:r w:rsidR="00AE0549" w:rsidRPr="00A604A3">
              <w:rPr>
                <w:lang w:eastAsia="zh-CN"/>
              </w:rPr>
              <w:t xml:space="preserve"> for frequency range 450–6</w:t>
            </w:r>
            <w:r>
              <w:rPr>
                <w:lang w:eastAsia="zh-CN"/>
              </w:rPr>
              <w:t> </w:t>
            </w:r>
            <w:r w:rsidR="00AE0549" w:rsidRPr="00A604A3">
              <w:rPr>
                <w:lang w:eastAsia="zh-CN"/>
              </w:rPr>
              <w:t>000 MHz;</w:t>
            </w:r>
          </w:p>
          <w:p w:rsidR="00AE0549" w:rsidRPr="00A604A3" w:rsidRDefault="00BB4ACE" w:rsidP="00BB4ACE">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BB4ACE">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BB4ACE" w:rsidP="00BB4ACE">
            <w:pPr>
              <w:pStyle w:val="Tabletext"/>
              <w:ind w:left="567" w:hanging="567"/>
              <w:rPr>
                <w:lang w:eastAsia="zh-CN"/>
              </w:rPr>
            </w:pPr>
            <w:r>
              <w:rPr>
                <w:lang w:eastAsia="zh-CN"/>
              </w:rPr>
              <w:tab/>
              <w:t>•</w:t>
            </w:r>
            <w:r>
              <w:rPr>
                <w:lang w:eastAsia="zh-CN"/>
              </w:rPr>
              <w:tab/>
            </w:r>
            <w:r w:rsidR="00AE0549" w:rsidRPr="00BB4ACE">
              <w:rPr>
                <w:b/>
                <w:bCs/>
                <w:lang w:eastAsia="zh-CN"/>
              </w:rPr>
              <w:t>100 MHz</w:t>
            </w:r>
            <w:r w:rsidR="00AE0549" w:rsidRPr="00A604A3">
              <w:rPr>
                <w:lang w:eastAsia="zh-CN"/>
              </w:rPr>
              <w:t xml:space="preserve"> for frequency range 450–6</w:t>
            </w:r>
            <w:r>
              <w:rPr>
                <w:lang w:eastAsia="zh-CN"/>
              </w:rPr>
              <w:t> </w:t>
            </w:r>
            <w:r w:rsidR="00AE0549" w:rsidRPr="00A604A3">
              <w:rPr>
                <w:lang w:eastAsia="zh-CN"/>
              </w:rPr>
              <w:t xml:space="preserve">000 MHz; </w:t>
            </w:r>
          </w:p>
          <w:p w:rsidR="00AE0549" w:rsidRPr="00A604A3" w:rsidRDefault="00BB4ACE" w:rsidP="00BB4ACE">
            <w:pPr>
              <w:pStyle w:val="Tabletext"/>
              <w:ind w:left="284" w:hanging="284"/>
              <w:rPr>
                <w:lang w:eastAsia="fr-FR"/>
              </w:rPr>
            </w:pPr>
            <w:r>
              <w:rPr>
                <w:lang w:eastAsia="fr-FR"/>
              </w:rPr>
              <w:t>–</w:t>
            </w:r>
            <w:r>
              <w:rPr>
                <w:lang w:eastAsia="fr-FR"/>
              </w:rPr>
              <w:tab/>
            </w:r>
            <w:r w:rsidR="00AE0549" w:rsidRPr="00BB4ACE">
              <w:rPr>
                <w:b/>
                <w:bCs/>
                <w:lang w:eastAsia="fr-FR"/>
              </w:rPr>
              <w:t>Multiple component carriers</w:t>
            </w:r>
            <w:r w:rsidR="00AE0549" w:rsidRPr="00A604A3">
              <w:rPr>
                <w:lang w:eastAsia="fr-FR"/>
              </w:rPr>
              <w:t xml:space="preserve"> can be aggregated to achieve </w:t>
            </w:r>
            <w:r w:rsidR="00AE0549" w:rsidRPr="00BB4ACE">
              <w:rPr>
                <w:b/>
                <w:bCs/>
                <w:lang w:eastAsia="fr-FR"/>
              </w:rPr>
              <w:t>up to 6.4 GHz</w:t>
            </w:r>
            <w:r w:rsidR="00AE0549" w:rsidRPr="00A604A3">
              <w:rPr>
                <w:lang w:eastAsia="fr-FR"/>
              </w:rPr>
              <w:t xml:space="preserve"> of transmission bandwidth.</w:t>
            </w:r>
          </w:p>
        </w:tc>
        <w:tc>
          <w:tcPr>
            <w:tcW w:w="3006" w:type="dxa"/>
          </w:tcPr>
          <w:p w:rsidR="00AE0549" w:rsidRPr="00A604A3" w:rsidRDefault="00AE0549" w:rsidP="00BB4ACE">
            <w:pPr>
              <w:pStyle w:val="Tabletext"/>
              <w:rPr>
                <w:lang w:eastAsia="zh-CN"/>
              </w:rPr>
            </w:pPr>
            <w:r w:rsidRPr="00A604A3">
              <w:rPr>
                <w:lang w:eastAsia="zh-CN"/>
              </w:rPr>
              <w:lastRenderedPageBreak/>
              <w:t xml:space="preserve">[4], [8], Section </w:t>
            </w:r>
            <w:r w:rsidRPr="00A604A3">
              <w:t>5.2.3.2.8.2</w:t>
            </w:r>
          </w:p>
          <w:p w:rsidR="00AE0549" w:rsidRPr="00A604A3" w:rsidRDefault="00AE0549" w:rsidP="00BB4ACE">
            <w:pPr>
              <w:pStyle w:val="Tabletext"/>
              <w:rPr>
                <w:lang w:eastAsia="zh-CN"/>
              </w:rPr>
            </w:pPr>
            <w:r w:rsidRPr="00DB6769">
              <w:rPr>
                <w:b/>
                <w:bCs/>
                <w:lang w:eastAsia="zh-CN"/>
              </w:rPr>
              <w:t>One component carrier</w:t>
            </w:r>
            <w:r w:rsidRPr="00A604A3">
              <w:rPr>
                <w:lang w:eastAsia="zh-CN"/>
              </w:rPr>
              <w:t xml:space="preserve"> supports a scalable bandwidth, </w:t>
            </w:r>
            <w:r w:rsidRPr="00DB6769">
              <w:rPr>
                <w:b/>
                <w:bCs/>
                <w:lang w:eastAsia="zh-CN"/>
              </w:rPr>
              <w:t>1.4, 3, 5, 10, 15 and 20 MHz</w:t>
            </w:r>
            <w:r w:rsidRPr="00A604A3">
              <w:rPr>
                <w:lang w:eastAsia="zh-CN"/>
              </w:rPr>
              <w:t>, with guard band ratio from 23% to 10% (see [12] sub-clause 5.6 for more details).</w:t>
            </w:r>
          </w:p>
          <w:p w:rsidR="00AE0549" w:rsidRPr="00A604A3" w:rsidRDefault="00AE0549" w:rsidP="00BB4ACE">
            <w:pPr>
              <w:pStyle w:val="Tabletext"/>
              <w:rPr>
                <w:lang w:eastAsia="zh-CN"/>
              </w:rPr>
            </w:pPr>
            <w:r w:rsidRPr="00A604A3">
              <w:rPr>
                <w:lang w:eastAsia="zh-CN"/>
              </w:rPr>
              <w:t xml:space="preserve">By </w:t>
            </w:r>
            <w:r w:rsidRPr="00DB6769">
              <w:rPr>
                <w:b/>
                <w:bCs/>
                <w:lang w:eastAsia="zh-CN"/>
              </w:rPr>
              <w:t>aggregating multiple component carriers</w:t>
            </w:r>
            <w:r w:rsidRPr="00A604A3">
              <w:rPr>
                <w:lang w:eastAsia="zh-CN"/>
              </w:rPr>
              <w:t xml:space="preserve">, transmission bandwidths </w:t>
            </w:r>
            <w:r w:rsidRPr="00DB6769">
              <w:rPr>
                <w:b/>
                <w:bCs/>
                <w:lang w:eastAsia="zh-CN"/>
              </w:rPr>
              <w:t>up to 640 MHz</w:t>
            </w:r>
            <w:r w:rsidRPr="00A604A3">
              <w:rPr>
                <w:lang w:eastAsia="zh-CN"/>
              </w:rPr>
              <w:t xml:space="preserve"> are supported to provide the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BB4ACE">
            <w:pPr>
              <w:pStyle w:val="Tabletext"/>
              <w:rPr>
                <w:lang w:eastAsia="zh-CN"/>
              </w:rPr>
            </w:pPr>
            <w:r w:rsidRPr="00A604A3">
              <w:rPr>
                <w:lang w:eastAsia="zh-CN"/>
              </w:rPr>
              <w:t>For NB-IoT, the channel bandwidth is not scalable. There is not aggregation of multiple NB-IoT carriers – see item [4], [8] Section 5.2.3.2.8.1 for more details.</w:t>
            </w:r>
          </w:p>
          <w:p w:rsidR="00AE0549" w:rsidRPr="00A604A3" w:rsidRDefault="00AE0549" w:rsidP="00BB4ACE">
            <w:pPr>
              <w:pStyle w:val="Tabletext"/>
              <w:rPr>
                <w:lang w:eastAsia="zh-CN"/>
              </w:rPr>
            </w:pPr>
            <w:r w:rsidRPr="00A604A3">
              <w:rPr>
                <w:lang w:eastAsia="zh-CN"/>
              </w:rPr>
              <w:t xml:space="preserve">For </w:t>
            </w:r>
            <w:r w:rsidRPr="00DB6769">
              <w:rPr>
                <w:b/>
                <w:bCs/>
                <w:lang w:eastAsia="zh-CN"/>
              </w:rPr>
              <w:t>eMTC</w:t>
            </w:r>
            <w:r w:rsidRPr="00A604A3">
              <w:rPr>
                <w:lang w:eastAsia="zh-CN"/>
              </w:rPr>
              <w:t xml:space="preserve">, the above scalable bandwidth from </w:t>
            </w:r>
            <w:r w:rsidRPr="00DB6769">
              <w:rPr>
                <w:b/>
                <w:bCs/>
                <w:lang w:eastAsia="zh-CN"/>
              </w:rPr>
              <w:t>1.4 to 20 MHz</w:t>
            </w:r>
            <w:r w:rsidRPr="00A604A3">
              <w:rPr>
                <w:lang w:eastAsia="zh-CN"/>
              </w:rPr>
              <w:t xml:space="preserve"> is supported. The eMTC UE can have a narrower RF bandwidth than the cell is configured with. Category M1 UE has a bandwidth of 1.4 MHz, and category M2 UE has 5 MHz bandwidth.</w:t>
            </w: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F11511"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r w:rsidR="00AE0549" w:rsidRPr="00874D28">
              <w:rPr>
                <w:b/>
                <w:bCs/>
                <w:lang w:eastAsia="fr-FR"/>
              </w:rPr>
              <w:t>1.4 MHz</w:t>
            </w:r>
            <w:r w:rsidR="00AE0549" w:rsidRPr="00A604A3">
              <w:rPr>
                <w:lang w:eastAsia="fr-FR"/>
              </w:rPr>
              <w:t>.</w:t>
            </w:r>
          </w:p>
          <w:p w:rsidR="00AE0549" w:rsidRPr="00A604A3" w:rsidRDefault="00AE0549" w:rsidP="00BB4ACE">
            <w:pPr>
              <w:pStyle w:val="Tabletext"/>
              <w:rPr>
                <w:lang w:eastAsia="fr-FR"/>
              </w:rPr>
            </w:pPr>
          </w:p>
          <w:p w:rsidR="00AE0549" w:rsidRPr="00A604A3" w:rsidRDefault="00F11511"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r w:rsidR="00AE0549" w:rsidRPr="00874D28">
              <w:rPr>
                <w:b/>
                <w:bCs/>
                <w:lang w:eastAsia="fr-FR"/>
              </w:rPr>
              <w:t>20 MHz</w:t>
            </w:r>
            <w:r w:rsidR="00AE0549" w:rsidRPr="00A604A3">
              <w:rPr>
                <w:lang w:eastAsia="fr-FR"/>
              </w:rPr>
              <w:t>.</w:t>
            </w:r>
          </w:p>
          <w:p w:rsidR="00AE0549" w:rsidRPr="00A604A3" w:rsidRDefault="00AE0549" w:rsidP="00BB4ACE">
            <w:pPr>
              <w:pStyle w:val="Tabletext"/>
              <w:rPr>
                <w:lang w:eastAsia="fr-FR"/>
              </w:rPr>
            </w:pPr>
          </w:p>
          <w:p w:rsidR="00AE0549" w:rsidRPr="00A604A3" w:rsidRDefault="00AE0549" w:rsidP="00BB4ACE">
            <w:pPr>
              <w:pStyle w:val="Tabletext"/>
              <w:rPr>
                <w:lang w:eastAsia="fr-FR"/>
              </w:rPr>
            </w:pPr>
          </w:p>
          <w:p w:rsidR="00AE0549" w:rsidRPr="00A604A3" w:rsidRDefault="00F11511" w:rsidP="00874D28">
            <w:pPr>
              <w:pStyle w:val="Tabletext"/>
              <w:ind w:left="284" w:hanging="284"/>
              <w:rPr>
                <w:lang w:eastAsia="fr-FR"/>
              </w:rPr>
            </w:pPr>
            <w:r>
              <w:rPr>
                <w:lang w:eastAsia="fr-FR"/>
              </w:rPr>
              <w:t>–</w:t>
            </w:r>
            <w:r>
              <w:rPr>
                <w:lang w:eastAsia="fr-FR"/>
              </w:rPr>
              <w:tab/>
            </w:r>
            <w:r w:rsidR="00AE0549" w:rsidRPr="00874D28">
              <w:rPr>
                <w:b/>
                <w:bCs/>
                <w:lang w:eastAsia="fr-FR"/>
              </w:rPr>
              <w:t>Multiple component carriers</w:t>
            </w:r>
            <w:r w:rsidR="00AE0549" w:rsidRPr="00A604A3">
              <w:rPr>
                <w:lang w:eastAsia="fr-FR"/>
              </w:rPr>
              <w:t xml:space="preserve"> can be aggregated to achieve </w:t>
            </w:r>
            <w:r w:rsidR="00AE0549" w:rsidRPr="00874D28">
              <w:rPr>
                <w:b/>
                <w:bCs/>
                <w:lang w:eastAsia="fr-FR"/>
              </w:rPr>
              <w:t xml:space="preserve">up to 640 MHz </w:t>
            </w:r>
            <w:r w:rsidR="00AE0549" w:rsidRPr="00A604A3">
              <w:rPr>
                <w:lang w:eastAsia="fr-FR"/>
              </w:rPr>
              <w:t>of transmission bandwidth.</w:t>
            </w:r>
          </w:p>
          <w:p w:rsidR="00AE0549" w:rsidRPr="00A604A3" w:rsidRDefault="00AE0549" w:rsidP="00BB4ACE">
            <w:pPr>
              <w:pStyle w:val="Tabletext"/>
            </w:pPr>
            <w:r w:rsidRPr="00A604A3">
              <w:t xml:space="preserve">For NB-IoT, the 99% channel bandwidth is </w:t>
            </w:r>
            <w:r w:rsidRPr="00874D28">
              <w:rPr>
                <w:b/>
                <w:bCs/>
              </w:rPr>
              <w:t>0.2 MHz</w:t>
            </w:r>
            <w:r w:rsidRPr="00874D28">
              <w:t>.</w:t>
            </w:r>
          </w:p>
        </w:tc>
      </w:tr>
      <w:tr w:rsidR="00AE0549" w:rsidRPr="00A604A3" w:rsidTr="00470885">
        <w:tc>
          <w:tcPr>
            <w:tcW w:w="3005" w:type="dxa"/>
          </w:tcPr>
          <w:p w:rsidR="00AE0549" w:rsidRPr="00A604A3" w:rsidRDefault="00AE0549" w:rsidP="00BB4ACE">
            <w:pPr>
              <w:pStyle w:val="Tabletext"/>
            </w:pPr>
            <w:r w:rsidRPr="00A604A3">
              <w:lastRenderedPageBreak/>
              <w:t>Above 6 GHz: up to 1 GHz</w:t>
            </w:r>
          </w:p>
        </w:tc>
        <w:tc>
          <w:tcPr>
            <w:tcW w:w="3005" w:type="dxa"/>
          </w:tcPr>
          <w:p w:rsidR="00AE0549" w:rsidRPr="00A604A3" w:rsidRDefault="00AE0549" w:rsidP="00BB4ACE">
            <w:pPr>
              <w:pStyle w:val="Tabletext"/>
              <w:rPr>
                <w:lang w:eastAsia="zh-CN"/>
              </w:rPr>
            </w:pPr>
            <w:r w:rsidRPr="00A604A3">
              <w:rPr>
                <w:lang w:eastAsia="zh-CN"/>
              </w:rPr>
              <w:t>[4], [8], Section 5.2.3.2.8.2</w:t>
            </w:r>
          </w:p>
          <w:p w:rsidR="00AE0549" w:rsidRPr="00A604A3" w:rsidRDefault="00AE0549" w:rsidP="00874D28">
            <w:pPr>
              <w:pStyle w:val="Tabletext"/>
              <w:rPr>
                <w:lang w:eastAsia="zh-CN"/>
              </w:rPr>
            </w:pPr>
            <w:r w:rsidRPr="00874D28">
              <w:rPr>
                <w:b/>
                <w:bCs/>
                <w:lang w:eastAsia="zh-CN"/>
              </w:rPr>
              <w:t>One component carrier</w:t>
            </w:r>
            <w:r w:rsidRPr="00A604A3">
              <w:rPr>
                <w:lang w:eastAsia="zh-CN"/>
              </w:rPr>
              <w:t xml:space="preserve"> supports a scalable bandwidth, </w:t>
            </w:r>
            <w:r w:rsidRPr="00874D28">
              <w:rPr>
                <w:b/>
                <w:bCs/>
                <w:lang w:eastAsia="zh-CN"/>
              </w:rPr>
              <w:t>5, 10, 15, 20, 25, 40, 50, 60, 80, 100 MHz</w:t>
            </w:r>
            <w:r w:rsidRPr="00A604A3">
              <w:rPr>
                <w:lang w:eastAsia="zh-CN"/>
              </w:rPr>
              <w:t xml:space="preserve"> for frequency range 450 MHz to 6</w:t>
            </w:r>
            <w:r w:rsidR="00874D28">
              <w:rPr>
                <w:lang w:eastAsia="zh-CN"/>
              </w:rPr>
              <w:t> </w:t>
            </w:r>
            <w:r w:rsidRPr="00A604A3">
              <w:rPr>
                <w:lang w:eastAsia="zh-CN"/>
              </w:rPr>
              <w:t>000 MHz (see [11] for the actual support of bandwidth for each band), with guard band ratio from 20% to 2%; and a scalable bandwidth, 50, 100, 200, 400 MHz for frequency range 24</w:t>
            </w:r>
            <w:r w:rsidR="00874D28">
              <w:rPr>
                <w:lang w:eastAsia="zh-CN"/>
              </w:rPr>
              <w:t> </w:t>
            </w:r>
            <w:r w:rsidRPr="00A604A3">
              <w:rPr>
                <w:lang w:eastAsia="zh-CN"/>
              </w:rPr>
              <w:t>250</w:t>
            </w:r>
            <w:r w:rsidR="00874D28">
              <w:rPr>
                <w:lang w:eastAsia="zh-CN"/>
              </w:rPr>
              <w:noBreakHyphen/>
            </w:r>
            <w:r w:rsidRPr="00A604A3">
              <w:rPr>
                <w:lang w:eastAsia="zh-CN"/>
              </w:rPr>
              <w:t>52</w:t>
            </w:r>
            <w:r w:rsidR="00874D28">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BB4ACE">
            <w:pPr>
              <w:pStyle w:val="Tabletext"/>
              <w:rPr>
                <w:lang w:eastAsia="zh-CN"/>
              </w:rPr>
            </w:pPr>
            <w:r w:rsidRPr="00A604A3">
              <w:rPr>
                <w:lang w:eastAsia="zh-CN"/>
              </w:rPr>
              <w:t xml:space="preserve">By </w:t>
            </w:r>
            <w:r w:rsidRPr="00874D28">
              <w:rPr>
                <w:b/>
                <w:bCs/>
                <w:lang w:eastAsia="zh-CN"/>
              </w:rPr>
              <w:t>aggregating multiple component carriers</w:t>
            </w:r>
            <w:r w:rsidRPr="00A604A3">
              <w:rPr>
                <w:lang w:eastAsia="zh-CN"/>
              </w:rPr>
              <w:t xml:space="preserve">, transmission bandwidths </w:t>
            </w:r>
            <w:r w:rsidRPr="00874D28">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874D28"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874D28" w:rsidP="00874D28">
            <w:pPr>
              <w:pStyle w:val="Tabletext"/>
              <w:ind w:left="567" w:hanging="567"/>
              <w:rPr>
                <w:lang w:eastAsia="zh-CN"/>
              </w:rPr>
            </w:pPr>
            <w:r>
              <w:rPr>
                <w:lang w:eastAsia="zh-CN"/>
              </w:rPr>
              <w:tab/>
              <w:t>•</w:t>
            </w:r>
            <w:r>
              <w:rPr>
                <w:lang w:eastAsia="zh-CN"/>
              </w:rPr>
              <w:tab/>
            </w:r>
            <w:r w:rsidR="00AE0549" w:rsidRPr="00031A19">
              <w:rPr>
                <w:b/>
                <w:bCs/>
                <w:lang w:eastAsia="zh-CN"/>
              </w:rPr>
              <w:t>50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874D28"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874D28" w:rsidP="00031A19">
            <w:pPr>
              <w:pStyle w:val="Tabletext"/>
              <w:ind w:left="567" w:hanging="567"/>
              <w:rPr>
                <w:lang w:eastAsia="zh-CN"/>
              </w:rPr>
            </w:pPr>
            <w:r>
              <w:rPr>
                <w:lang w:eastAsia="zh-CN"/>
              </w:rPr>
              <w:tab/>
              <w:t>•</w:t>
            </w:r>
            <w:r>
              <w:rPr>
                <w:lang w:eastAsia="zh-CN"/>
              </w:rPr>
              <w:tab/>
            </w:r>
            <w:r w:rsidR="00AE0549" w:rsidRPr="00031A19">
              <w:rPr>
                <w:b/>
                <w:bCs/>
                <w:lang w:eastAsia="zh-CN"/>
              </w:rPr>
              <w:t>400 MHz</w:t>
            </w:r>
            <w:r w:rsidR="00AE0549" w:rsidRPr="00A604A3">
              <w:rPr>
                <w:lang w:eastAsia="zh-CN"/>
              </w:rPr>
              <w:t xml:space="preserve"> for frequency range 24</w:t>
            </w:r>
            <w:r w:rsidR="00031A19">
              <w:rPr>
                <w:lang w:eastAsia="zh-CN"/>
              </w:rPr>
              <w:t> </w:t>
            </w:r>
            <w:r w:rsidR="00AE0549" w:rsidRPr="00A604A3">
              <w:rPr>
                <w:lang w:eastAsia="zh-CN"/>
              </w:rPr>
              <w:t>250</w:t>
            </w:r>
            <w:r w:rsidR="00031A19">
              <w:rPr>
                <w:lang w:eastAsia="zh-CN"/>
              </w:rPr>
              <w:t>-</w:t>
            </w:r>
            <w:r w:rsidR="00AE0549" w:rsidRPr="00A604A3">
              <w:rPr>
                <w:lang w:eastAsia="zh-CN"/>
              </w:rPr>
              <w:t>52</w:t>
            </w:r>
            <w:r w:rsidR="00031A19">
              <w:rPr>
                <w:lang w:eastAsia="zh-CN"/>
              </w:rPr>
              <w:t> </w:t>
            </w:r>
            <w:r w:rsidR="00AE0549" w:rsidRPr="00A604A3">
              <w:rPr>
                <w:lang w:eastAsia="zh-CN"/>
              </w:rPr>
              <w:t>600 MHz.</w:t>
            </w:r>
          </w:p>
          <w:p w:rsidR="00AE0549" w:rsidRPr="00A604A3" w:rsidRDefault="00874D28" w:rsidP="00874D28">
            <w:pPr>
              <w:pStyle w:val="Tabletext"/>
              <w:ind w:left="284" w:hanging="284"/>
              <w:rPr>
                <w:lang w:eastAsia="fr-FR"/>
              </w:rPr>
            </w:pPr>
            <w:r>
              <w:rPr>
                <w:lang w:eastAsia="fr-FR"/>
              </w:rPr>
              <w:lastRenderedPageBreak/>
              <w:t>–</w:t>
            </w:r>
            <w:r>
              <w:rPr>
                <w:lang w:eastAsia="fr-FR"/>
              </w:rPr>
              <w:tab/>
            </w:r>
            <w:r w:rsidR="00AE0549" w:rsidRPr="00031A19">
              <w:rPr>
                <w:b/>
                <w:bCs/>
                <w:lang w:eastAsia="fr-FR"/>
              </w:rPr>
              <w:t>Multiple component carriers</w:t>
            </w:r>
            <w:r w:rsidR="00AE0549" w:rsidRPr="00A604A3">
              <w:rPr>
                <w:lang w:eastAsia="fr-FR"/>
              </w:rPr>
              <w:t xml:space="preserve"> can be aggregated to achieve </w:t>
            </w:r>
            <w:r w:rsidR="00AE0549" w:rsidRPr="00031A19">
              <w:rPr>
                <w:b/>
                <w:bCs/>
                <w:lang w:eastAsia="fr-FR"/>
              </w:rPr>
              <w:t>up to 6.4 GHz</w:t>
            </w:r>
            <w:r w:rsidR="00AE0549" w:rsidRPr="00A604A3">
              <w:rPr>
                <w:lang w:eastAsia="fr-FR"/>
              </w:rPr>
              <w:t xml:space="preserve"> of transmission bandwidth.</w:t>
            </w:r>
          </w:p>
        </w:tc>
        <w:tc>
          <w:tcPr>
            <w:tcW w:w="3006" w:type="dxa"/>
          </w:tcPr>
          <w:p w:rsidR="00AE0549" w:rsidRPr="00A604A3" w:rsidRDefault="00AE0549" w:rsidP="00BB4ACE">
            <w:pPr>
              <w:pStyle w:val="Tabletext"/>
              <w:rPr>
                <w:lang w:eastAsia="zh-CN"/>
              </w:rPr>
            </w:pPr>
            <w:r w:rsidRPr="00A604A3">
              <w:rPr>
                <w:lang w:eastAsia="zh-CN"/>
              </w:rPr>
              <w:lastRenderedPageBreak/>
              <w:t xml:space="preserve">[4], [8], Section </w:t>
            </w:r>
            <w:r w:rsidRPr="00A604A3">
              <w:t>5.2.3.2.8.2</w:t>
            </w:r>
          </w:p>
          <w:p w:rsidR="00AE0549" w:rsidRPr="00A604A3" w:rsidRDefault="00AE0549" w:rsidP="00BB4ACE">
            <w:pPr>
              <w:pStyle w:val="Tabletext"/>
            </w:pPr>
            <w:r w:rsidRPr="00A604A3">
              <w:t>No higher frequency bands above 6 GHz are supported by the LTE component.</w:t>
            </w:r>
          </w:p>
        </w:tc>
      </w:tr>
      <w:tr w:rsidR="00AE0549" w:rsidRPr="00A604A3" w:rsidTr="00470885">
        <w:tc>
          <w:tcPr>
            <w:tcW w:w="3005" w:type="dxa"/>
          </w:tcPr>
          <w:p w:rsidR="00AE0549" w:rsidRPr="00A604A3" w:rsidRDefault="00AE0549" w:rsidP="00BB4ACE">
            <w:pPr>
              <w:pStyle w:val="Tabletext"/>
            </w:pPr>
            <w:r w:rsidRPr="00A604A3">
              <w:t>Minimum amount of spectrum</w:t>
            </w:r>
          </w:p>
        </w:tc>
        <w:tc>
          <w:tcPr>
            <w:tcW w:w="3005" w:type="dxa"/>
          </w:tcPr>
          <w:p w:rsidR="00AE0549" w:rsidRPr="00A604A3" w:rsidRDefault="00AE0549" w:rsidP="00BB4ACE">
            <w:pPr>
              <w:pStyle w:val="Tabletext"/>
              <w:rPr>
                <w:lang w:eastAsia="zh-CN"/>
              </w:rPr>
            </w:pPr>
            <w:r w:rsidRPr="00A604A3">
              <w:rPr>
                <w:lang w:eastAsia="zh-CN"/>
              </w:rPr>
              <w:t xml:space="preserve">[4], [8], Section </w:t>
            </w:r>
            <w:r w:rsidRPr="00A604A3">
              <w:t>5.2.3.2.8.4</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paired spectrum is </w:t>
            </w:r>
            <w:r w:rsidR="00AE0549" w:rsidRPr="0045350C">
              <w:rPr>
                <w:b/>
                <w:bCs/>
                <w:lang w:eastAsia="zh-CN"/>
              </w:rPr>
              <w:t>2 x 5 MHz</w:t>
            </w:r>
            <w:r w:rsidR="00AE0549" w:rsidRPr="00A604A3">
              <w:rPr>
                <w:lang w:eastAsia="zh-CN"/>
              </w:rPr>
              <w:t>.</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unpaired spectrum is </w:t>
            </w:r>
            <w:r w:rsidR="00AE0549" w:rsidRPr="0045350C">
              <w:rPr>
                <w:b/>
                <w:bCs/>
                <w:lang w:eastAsia="zh-CN"/>
              </w:rPr>
              <w:t>5 MHz</w:t>
            </w:r>
            <w:r w:rsidR="00AE0549" w:rsidRPr="00A604A3">
              <w:rPr>
                <w:lang w:eastAsia="zh-CN"/>
              </w:rPr>
              <w:t>.</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5.2.3.2.8.4</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paired spectrum is </w:t>
            </w:r>
            <w:r w:rsidR="00AE0549" w:rsidRPr="0045350C">
              <w:rPr>
                <w:b/>
                <w:bCs/>
                <w:lang w:eastAsia="zh-CN"/>
              </w:rPr>
              <w:t>2 x 1.4 MHz</w:t>
            </w:r>
            <w:r w:rsidR="00AE0549" w:rsidRPr="00A604A3">
              <w:rPr>
                <w:lang w:eastAsia="zh-CN"/>
              </w:rPr>
              <w:t xml:space="preserve">, and the minimum amount of unpaired spectrum is </w:t>
            </w:r>
            <w:r w:rsidR="00AE0549" w:rsidRPr="0045350C">
              <w:rPr>
                <w:b/>
                <w:bCs/>
                <w:lang w:eastAsia="zh-CN"/>
              </w:rPr>
              <w:t>1.4 MHz</w:t>
            </w:r>
            <w:r w:rsidR="00AE0549" w:rsidRPr="00A604A3">
              <w:rPr>
                <w:lang w:eastAsia="zh-CN"/>
              </w:rPr>
              <w:t>, except for NB-IoT.</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For NB-IoT, the minimum amount of unpaired spectrum is </w:t>
            </w:r>
            <w:r w:rsidR="00AE0549" w:rsidRPr="0045350C">
              <w:rPr>
                <w:b/>
                <w:bCs/>
                <w:lang w:eastAsia="zh-CN"/>
              </w:rPr>
              <w:t>0.2 MHz</w:t>
            </w:r>
            <w:r w:rsidR="00AE0549" w:rsidRPr="00A604A3">
              <w:rPr>
                <w:lang w:eastAsia="zh-CN"/>
              </w:rPr>
              <w:t>.</w:t>
            </w:r>
          </w:p>
        </w:tc>
      </w:tr>
    </w:tbl>
    <w:p w:rsidR="00AE0549" w:rsidRPr="00A604A3" w:rsidRDefault="00AE0549" w:rsidP="0045350C">
      <w:pPr>
        <w:pStyle w:val="Tablefin"/>
      </w:pPr>
    </w:p>
    <w:p w:rsidR="0045350C" w:rsidRDefault="0045350C" w:rsidP="0045350C">
      <w:pPr>
        <w:pStyle w:val="TableNo"/>
      </w:pPr>
      <w:bookmarkStart w:id="634" w:name="_Ref24380558"/>
      <w:bookmarkStart w:id="635" w:name="_Toc28265849"/>
      <w:bookmarkStart w:id="636" w:name="_Toc28277083"/>
      <w:bookmarkStart w:id="637" w:name="_Toc32066500"/>
      <w:r>
        <w:t>Table 132</w:t>
      </w:r>
    </w:p>
    <w:p w:rsidR="00AE0549" w:rsidRPr="00A604A3" w:rsidRDefault="00AE0549" w:rsidP="0045350C">
      <w:pPr>
        <w:pStyle w:val="Tabletitle"/>
      </w:pPr>
      <w:r w:rsidRPr="00A604A3">
        <w:t>Characteristics template for NR RIT of “5G” (Release 15 and beyond)</w:t>
      </w:r>
      <w:bookmarkEnd w:id="634"/>
      <w:bookmarkEnd w:id="635"/>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E0549" w:rsidRPr="00A604A3" w:rsidTr="00470885">
        <w:tc>
          <w:tcPr>
            <w:tcW w:w="4508" w:type="dxa"/>
          </w:tcPr>
          <w:p w:rsidR="00AE0549" w:rsidRPr="00A604A3" w:rsidRDefault="00AE0549" w:rsidP="0045350C">
            <w:pPr>
              <w:pStyle w:val="Tablehead"/>
            </w:pPr>
            <w:r w:rsidRPr="00A604A3">
              <w:t>ITU-R requirements</w:t>
            </w:r>
          </w:p>
        </w:tc>
        <w:tc>
          <w:tcPr>
            <w:tcW w:w="4508" w:type="dxa"/>
          </w:tcPr>
          <w:p w:rsidR="00AE0549" w:rsidRPr="00A604A3" w:rsidRDefault="00AE0549" w:rsidP="0045350C">
            <w:pPr>
              <w:pStyle w:val="Tablehead"/>
            </w:pPr>
            <w:r w:rsidRPr="00A604A3">
              <w:t>NR RIT</w:t>
            </w:r>
          </w:p>
        </w:tc>
      </w:tr>
      <w:tr w:rsidR="00AE0549" w:rsidRPr="00A604A3" w:rsidTr="00470885">
        <w:tc>
          <w:tcPr>
            <w:tcW w:w="4508" w:type="dxa"/>
          </w:tcPr>
          <w:p w:rsidR="00AE0549" w:rsidRPr="00A604A3" w:rsidRDefault="00AE0549" w:rsidP="0045350C">
            <w:pPr>
              <w:pStyle w:val="Tabletext"/>
            </w:pPr>
            <w:r w:rsidRPr="00A604A3">
              <w:t>Below 6 GHz: at least 100 MHz</w:t>
            </w:r>
          </w:p>
        </w:tc>
        <w:tc>
          <w:tcPr>
            <w:tcW w:w="4508" w:type="dxa"/>
          </w:tcPr>
          <w:p w:rsidR="00AE0549" w:rsidRPr="00A604A3" w:rsidRDefault="00AE0549" w:rsidP="0045350C">
            <w:pPr>
              <w:pStyle w:val="Tabletext"/>
            </w:pPr>
            <w:r w:rsidRPr="00A604A3">
              <w:t>[4], [8], Section 5.2.3.2.8.2</w:t>
            </w:r>
          </w:p>
          <w:p w:rsidR="00AE0549" w:rsidRPr="00A604A3" w:rsidRDefault="00AE0549" w:rsidP="0045350C">
            <w:pPr>
              <w:pStyle w:val="Tabletext"/>
              <w:rPr>
                <w:lang w:eastAsia="zh-CN"/>
              </w:rPr>
            </w:pPr>
            <w:r w:rsidRPr="0045350C">
              <w:rPr>
                <w:b/>
                <w:bCs/>
                <w:lang w:eastAsia="zh-CN"/>
              </w:rPr>
              <w:t xml:space="preserve">One component carrier </w:t>
            </w:r>
            <w:r w:rsidRPr="00A604A3">
              <w:rPr>
                <w:lang w:eastAsia="zh-CN"/>
              </w:rPr>
              <w:t>supports a scalable bandwidth</w:t>
            </w:r>
            <w:r w:rsidRPr="0045350C">
              <w:rPr>
                <w:lang w:eastAsia="zh-CN"/>
              </w:rPr>
              <w:t>,</w:t>
            </w:r>
            <w:r w:rsidRPr="0045350C">
              <w:rPr>
                <w:b/>
                <w:bCs/>
                <w:lang w:eastAsia="zh-CN"/>
              </w:rPr>
              <w:t xml:space="preserve"> 5, 10, 15, 20, 25, 40, 50, 60, 80, 100</w:t>
            </w:r>
            <w:r w:rsidR="0045350C">
              <w:rPr>
                <w:b/>
                <w:bCs/>
                <w:lang w:eastAsia="zh-CN"/>
              </w:rPr>
              <w:t> </w:t>
            </w:r>
            <w:r w:rsidRPr="0045350C">
              <w:rPr>
                <w:b/>
                <w:bCs/>
                <w:lang w:eastAsia="zh-CN"/>
              </w:rPr>
              <w:t>MHz</w:t>
            </w:r>
            <w:r w:rsidRPr="00A604A3">
              <w:rPr>
                <w:lang w:eastAsia="zh-CN"/>
              </w:rPr>
              <w:t xml:space="preserve"> for frequency range 450 MHz to 6</w:t>
            </w:r>
            <w:r w:rsidR="0045350C">
              <w:rPr>
                <w:lang w:eastAsia="zh-CN"/>
              </w:rPr>
              <w:t> </w:t>
            </w:r>
            <w:r w:rsidRPr="00A604A3">
              <w:rPr>
                <w:lang w:eastAsia="zh-CN"/>
              </w:rPr>
              <w:t>000 MHz (see [11] for the actual support of bandwidth for each band), with guard band ratio from 20% to 2%; and a scalable bandwidth, 50, 100, 200, 400MHz for frequency range 24</w:t>
            </w:r>
            <w:r w:rsidR="0045350C">
              <w:rPr>
                <w:lang w:eastAsia="zh-CN"/>
              </w:rPr>
              <w:t> </w:t>
            </w:r>
            <w:r w:rsidRPr="00A604A3">
              <w:rPr>
                <w:lang w:eastAsia="zh-CN"/>
              </w:rPr>
              <w:t>250</w:t>
            </w:r>
            <w:r w:rsidR="0045350C">
              <w:rPr>
                <w:lang w:eastAsia="zh-CN"/>
              </w:rPr>
              <w:t>-</w:t>
            </w:r>
            <w:r w:rsidRPr="00A604A3">
              <w:rPr>
                <w:lang w:eastAsia="zh-CN"/>
              </w:rPr>
              <w:t>52</w:t>
            </w:r>
            <w:r w:rsidR="0045350C">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45350C">
            <w:pPr>
              <w:pStyle w:val="Tabletext"/>
              <w:rPr>
                <w:lang w:eastAsia="zh-CN"/>
              </w:rPr>
            </w:pPr>
            <w:r w:rsidRPr="00A604A3">
              <w:rPr>
                <w:lang w:eastAsia="zh-CN"/>
              </w:rPr>
              <w:t xml:space="preserve">By </w:t>
            </w:r>
            <w:r w:rsidRPr="0045350C">
              <w:rPr>
                <w:b/>
                <w:bCs/>
                <w:lang w:eastAsia="zh-CN"/>
              </w:rPr>
              <w:t>aggregating multiple component carriers</w:t>
            </w:r>
            <w:r w:rsidRPr="00A604A3">
              <w:rPr>
                <w:lang w:eastAsia="zh-CN"/>
              </w:rPr>
              <w:t xml:space="preserve">, transmission bandwidths </w:t>
            </w:r>
            <w:r w:rsidRPr="0045350C">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45350C">
            <w:pPr>
              <w:pStyle w:val="Tabletext"/>
              <w:rPr>
                <w:lang w:eastAsia="zh-CN"/>
              </w:rPr>
            </w:pPr>
          </w:p>
          <w:p w:rsidR="00AE0549" w:rsidRPr="00A604A3" w:rsidRDefault="00AE0549" w:rsidP="0045350C">
            <w:pPr>
              <w:pStyle w:val="Tabletext"/>
              <w:rPr>
                <w:lang w:eastAsia="zh-CN"/>
              </w:rPr>
            </w:pPr>
            <w:r w:rsidRPr="00A604A3">
              <w:rPr>
                <w:lang w:eastAsia="zh-CN"/>
              </w:rPr>
              <w:t xml:space="preserve">[4], [8], Section </w:t>
            </w:r>
            <w:r w:rsidRPr="00A604A3">
              <w:t>5.2.3.2.8.5</w:t>
            </w:r>
          </w:p>
          <w:p w:rsidR="00AE0549" w:rsidRPr="00A604A3" w:rsidRDefault="00AE0549" w:rsidP="0045350C">
            <w:pPr>
              <w:pStyle w:val="Tabletext"/>
              <w:rPr>
                <w:lang w:eastAsia="zh-CN"/>
              </w:rPr>
            </w:pPr>
            <w:r w:rsidRPr="00A604A3">
              <w:rPr>
                <w:lang w:eastAsia="zh-CN"/>
              </w:rPr>
              <w:t>The 3 dB bandwidth is not part of the specifications, however:</w:t>
            </w:r>
          </w:p>
          <w:p w:rsidR="00AE0549" w:rsidRPr="00A604A3" w:rsidRDefault="0045350C" w:rsidP="0045350C">
            <w:pPr>
              <w:pStyle w:val="Tabletext"/>
              <w:ind w:left="284" w:hanging="284"/>
              <w:rPr>
                <w:lang w:eastAsia="ja-JP"/>
              </w:rPr>
            </w:pPr>
            <w:r>
              <w:rPr>
                <w:lang w:eastAsia="fr-FR"/>
              </w:rPr>
              <w:t>–</w:t>
            </w:r>
            <w:r>
              <w:rPr>
                <w:lang w:eastAsia="fr-FR"/>
              </w:rPr>
              <w:tab/>
            </w:r>
            <w:r w:rsidR="00AE0549" w:rsidRPr="00A604A3">
              <w:rPr>
                <w:lang w:eastAsia="fr-FR"/>
              </w:rPr>
              <w:t xml:space="preserve">The </w:t>
            </w:r>
            <w:r w:rsidR="00AE0549" w:rsidRPr="0071772A">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w:t>
            </w:r>
            <w:r w:rsidR="00AE0549" w:rsidRPr="00A604A3">
              <w:rPr>
                <w:lang w:eastAsia="ja-JP"/>
              </w:rPr>
              <w:t xml:space="preserve"> </w:t>
            </w:r>
            <w:r w:rsidR="0071772A">
              <w:rPr>
                <w:lang w:eastAsia="fr-FR"/>
              </w:rPr>
              <w:t>carrier) is:</w:t>
            </w:r>
          </w:p>
          <w:p w:rsidR="00AE0549" w:rsidRPr="00A604A3" w:rsidRDefault="0045350C" w:rsidP="0071772A">
            <w:pPr>
              <w:pStyle w:val="Tabletext"/>
              <w:ind w:left="567" w:hanging="567"/>
              <w:rPr>
                <w:lang w:eastAsia="ja-JP"/>
              </w:rPr>
            </w:pPr>
            <w:r>
              <w:rPr>
                <w:lang w:eastAsia="zh-CN"/>
              </w:rPr>
              <w:tab/>
              <w:t>•</w:t>
            </w:r>
            <w:r>
              <w:rPr>
                <w:lang w:eastAsia="zh-CN"/>
              </w:rPr>
              <w:tab/>
            </w:r>
            <w:r w:rsidR="00AE0549" w:rsidRPr="0071772A">
              <w:rPr>
                <w:b/>
                <w:bCs/>
                <w:lang w:eastAsia="zh-CN"/>
              </w:rPr>
              <w:t>5</w:t>
            </w:r>
            <w:r w:rsidR="00AE0549" w:rsidRPr="0071772A">
              <w:rPr>
                <w:b/>
                <w:bCs/>
                <w:lang w:eastAsia="fr-FR"/>
              </w:rPr>
              <w:t xml:space="preserve"> MHz</w:t>
            </w:r>
            <w:r w:rsidR="00AE0549" w:rsidRPr="00A604A3">
              <w:rPr>
                <w:lang w:eastAsia="zh-CN"/>
              </w:rPr>
              <w:t xml:space="preserve"> for frequency range 450</w:t>
            </w:r>
            <w:r w:rsidR="0071772A">
              <w:rPr>
                <w:lang w:eastAsia="zh-CN"/>
              </w:rPr>
              <w:t>-</w:t>
            </w:r>
            <w:r w:rsidR="00AE0549" w:rsidRPr="00A604A3">
              <w:rPr>
                <w:lang w:eastAsia="zh-CN"/>
              </w:rPr>
              <w:t>6</w:t>
            </w:r>
            <w:r w:rsidR="0071772A">
              <w:rPr>
                <w:lang w:eastAsia="zh-CN"/>
              </w:rPr>
              <w:t> </w:t>
            </w:r>
            <w:r w:rsidR="00AE0549" w:rsidRPr="00A604A3">
              <w:rPr>
                <w:lang w:eastAsia="zh-CN"/>
              </w:rPr>
              <w:t>000 MHz;</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w:t>
            </w:r>
            <w:r>
              <w:rPr>
                <w:lang w:eastAsia="fr-FR"/>
              </w:rPr>
              <w:t>of single component carrier) is:</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100 MHz</w:t>
            </w:r>
            <w:r w:rsidR="00AE0549" w:rsidRPr="00A604A3">
              <w:rPr>
                <w:lang w:eastAsia="zh-CN"/>
              </w:rPr>
              <w:t xml:space="preserve"> for frequency range 450</w:t>
            </w:r>
            <w:r>
              <w:rPr>
                <w:lang w:eastAsia="zh-CN"/>
              </w:rPr>
              <w:t>-</w:t>
            </w:r>
            <w:r w:rsidR="00AE0549" w:rsidRPr="00A604A3">
              <w:rPr>
                <w:lang w:eastAsia="zh-CN"/>
              </w:rPr>
              <w:t>6</w:t>
            </w:r>
            <w:r>
              <w:rPr>
                <w:lang w:eastAsia="zh-CN"/>
              </w:rPr>
              <w:t> </w:t>
            </w:r>
            <w:r w:rsidR="00AE0549" w:rsidRPr="00A604A3">
              <w:rPr>
                <w:lang w:eastAsia="zh-CN"/>
              </w:rPr>
              <w:t>000</w:t>
            </w:r>
            <w:r>
              <w:rPr>
                <w:lang w:eastAsia="zh-CN"/>
              </w:rPr>
              <w:t> </w:t>
            </w:r>
            <w:r w:rsidR="00AE0549" w:rsidRPr="00A604A3">
              <w:rPr>
                <w:lang w:eastAsia="zh-CN"/>
              </w:rPr>
              <w:t xml:space="preserve">MHz; </w:t>
            </w:r>
          </w:p>
          <w:p w:rsidR="00AE0549" w:rsidRPr="00A604A3" w:rsidRDefault="00AE0549" w:rsidP="0045350C">
            <w:pPr>
              <w:pStyle w:val="Tabletext"/>
              <w:rPr>
                <w:lang w:eastAsia="fr-FR"/>
              </w:rPr>
            </w:pPr>
            <w:r w:rsidRPr="0071772A">
              <w:rPr>
                <w:b/>
                <w:bCs/>
                <w:lang w:eastAsia="fr-FR"/>
              </w:rPr>
              <w:t>Multiple component carriers</w:t>
            </w:r>
            <w:r w:rsidRPr="00A604A3">
              <w:rPr>
                <w:lang w:eastAsia="fr-FR"/>
              </w:rPr>
              <w:t xml:space="preserve"> can be aggregated to achieve </w:t>
            </w:r>
            <w:r w:rsidRPr="0071772A">
              <w:rPr>
                <w:b/>
                <w:bCs/>
                <w:lang w:eastAsia="fr-FR"/>
              </w:rPr>
              <w:t xml:space="preserve">up to </w:t>
            </w:r>
            <w:r w:rsidRPr="0071772A">
              <w:rPr>
                <w:rFonts w:eastAsia="MS Mincho"/>
                <w:b/>
                <w:bCs/>
                <w:lang w:eastAsia="fr-FR"/>
              </w:rPr>
              <w:t>6.4 G</w:t>
            </w:r>
            <w:r w:rsidRPr="0071772A">
              <w:rPr>
                <w:b/>
                <w:bCs/>
                <w:lang w:eastAsia="fr-FR"/>
              </w:rPr>
              <w:t>Hz</w:t>
            </w:r>
            <w:r w:rsidRPr="00A604A3">
              <w:rPr>
                <w:lang w:eastAsia="fr-FR"/>
              </w:rPr>
              <w:t xml:space="preserve"> of transmission bandwidth.</w:t>
            </w:r>
          </w:p>
        </w:tc>
      </w:tr>
      <w:tr w:rsidR="00AE0549" w:rsidRPr="00A604A3" w:rsidTr="00470885">
        <w:tc>
          <w:tcPr>
            <w:tcW w:w="4508" w:type="dxa"/>
          </w:tcPr>
          <w:p w:rsidR="00AE0549" w:rsidRPr="00A604A3" w:rsidRDefault="00AE0549" w:rsidP="0045350C">
            <w:pPr>
              <w:pStyle w:val="Tabletext"/>
            </w:pPr>
            <w:r w:rsidRPr="00A604A3">
              <w:t>Above 6 GHz: up to 1 GHz</w:t>
            </w:r>
          </w:p>
        </w:tc>
        <w:tc>
          <w:tcPr>
            <w:tcW w:w="4508" w:type="dxa"/>
          </w:tcPr>
          <w:p w:rsidR="00AE0549" w:rsidRPr="00A604A3" w:rsidRDefault="00AE0549" w:rsidP="0045350C">
            <w:pPr>
              <w:pStyle w:val="Tabletext"/>
            </w:pPr>
            <w:r w:rsidRPr="00A604A3">
              <w:t>[4], [8], Section 5.2.3.2.8.2</w:t>
            </w:r>
          </w:p>
          <w:p w:rsidR="00AE0549" w:rsidRPr="00A604A3" w:rsidRDefault="00AE0549" w:rsidP="0071772A">
            <w:pPr>
              <w:pStyle w:val="Tabletext"/>
              <w:rPr>
                <w:lang w:eastAsia="zh-CN"/>
              </w:rPr>
            </w:pPr>
            <w:r w:rsidRPr="0071772A">
              <w:rPr>
                <w:b/>
                <w:bCs/>
                <w:lang w:eastAsia="zh-CN"/>
              </w:rPr>
              <w:lastRenderedPageBreak/>
              <w:t xml:space="preserve">One component carrier </w:t>
            </w:r>
            <w:r w:rsidRPr="00A604A3">
              <w:rPr>
                <w:lang w:eastAsia="zh-CN"/>
              </w:rPr>
              <w:t xml:space="preserve">supports a scalable bandwidth, </w:t>
            </w:r>
            <w:r w:rsidRPr="0071772A">
              <w:rPr>
                <w:b/>
                <w:bCs/>
                <w:lang w:eastAsia="zh-CN"/>
              </w:rPr>
              <w:t>5, 10, 15, 20, 25, 40, 50, 60, 80, 100</w:t>
            </w:r>
            <w:r w:rsidR="0071772A">
              <w:rPr>
                <w:b/>
                <w:bCs/>
                <w:lang w:eastAsia="zh-CN"/>
              </w:rPr>
              <w:t> </w:t>
            </w:r>
            <w:r w:rsidRPr="0071772A">
              <w:rPr>
                <w:b/>
                <w:bCs/>
                <w:lang w:eastAsia="zh-CN"/>
              </w:rPr>
              <w:t>MHz</w:t>
            </w:r>
            <w:r w:rsidRPr="00A604A3">
              <w:rPr>
                <w:lang w:eastAsia="zh-CN"/>
              </w:rPr>
              <w:t xml:space="preserve"> for frequency range 450 MHz to 6</w:t>
            </w:r>
            <w:r w:rsidR="0071772A">
              <w:rPr>
                <w:lang w:eastAsia="zh-CN"/>
              </w:rPr>
              <w:t> </w:t>
            </w:r>
            <w:r w:rsidRPr="00A604A3">
              <w:rPr>
                <w:lang w:eastAsia="zh-CN"/>
              </w:rPr>
              <w:t>000 MHz (see [11] for the actual support of bandwidth for each band), with guard band ratio from 20% to 2%; and a scalable bandwidth, 50, 100, 200, 400MHz for frequency range 24</w:t>
            </w:r>
            <w:r w:rsidR="0071772A">
              <w:rPr>
                <w:lang w:eastAsia="zh-CN"/>
              </w:rPr>
              <w:t> </w:t>
            </w:r>
            <w:r w:rsidRPr="00A604A3">
              <w:rPr>
                <w:lang w:eastAsia="zh-CN"/>
              </w:rPr>
              <w:t>250</w:t>
            </w:r>
            <w:r w:rsidR="0071772A">
              <w:rPr>
                <w:lang w:eastAsia="zh-CN"/>
              </w:rPr>
              <w:t>-</w:t>
            </w:r>
            <w:r w:rsidRPr="00A604A3">
              <w:rPr>
                <w:lang w:eastAsia="zh-CN"/>
              </w:rPr>
              <w:t>52</w:t>
            </w:r>
            <w:r w:rsidR="0071772A">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45350C">
            <w:pPr>
              <w:pStyle w:val="Tabletext"/>
              <w:rPr>
                <w:lang w:eastAsia="zh-CN"/>
              </w:rPr>
            </w:pPr>
            <w:r w:rsidRPr="00A604A3">
              <w:rPr>
                <w:lang w:eastAsia="zh-CN"/>
              </w:rPr>
              <w:t xml:space="preserve">By </w:t>
            </w:r>
            <w:r w:rsidRPr="0071772A">
              <w:rPr>
                <w:b/>
                <w:bCs/>
                <w:lang w:eastAsia="zh-CN"/>
              </w:rPr>
              <w:t>aggregating multiple component carriers</w:t>
            </w:r>
            <w:r w:rsidRPr="00A604A3">
              <w:rPr>
                <w:lang w:eastAsia="zh-CN"/>
              </w:rPr>
              <w:t xml:space="preserve">, transmission bandwidths </w:t>
            </w:r>
            <w:r w:rsidRPr="0071772A">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45350C">
            <w:pPr>
              <w:pStyle w:val="Tabletext"/>
              <w:rPr>
                <w:lang w:eastAsia="zh-CN"/>
              </w:rPr>
            </w:pPr>
          </w:p>
          <w:p w:rsidR="00AE0549" w:rsidRPr="00A604A3" w:rsidRDefault="00AE0549" w:rsidP="0045350C">
            <w:pPr>
              <w:pStyle w:val="Tabletext"/>
              <w:rPr>
                <w:lang w:eastAsia="zh-CN"/>
              </w:rPr>
            </w:pPr>
            <w:r w:rsidRPr="00A604A3">
              <w:rPr>
                <w:lang w:eastAsia="zh-CN"/>
              </w:rPr>
              <w:t xml:space="preserve">[4], [8], Section </w:t>
            </w:r>
            <w:r w:rsidRPr="00A604A3">
              <w:t>5.2.3.2.8.5</w:t>
            </w:r>
          </w:p>
          <w:p w:rsidR="00AE0549" w:rsidRPr="00A604A3" w:rsidRDefault="00AE0549" w:rsidP="0045350C">
            <w:pPr>
              <w:pStyle w:val="Tabletext"/>
              <w:rPr>
                <w:lang w:eastAsia="ja-JP"/>
              </w:rPr>
            </w:pPr>
            <w:r w:rsidRPr="00A604A3">
              <w:t>The 3 dB bandwidth is not part of the specifications, however:</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50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400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AE0549" w:rsidP="0045350C">
            <w:pPr>
              <w:pStyle w:val="Tabletext"/>
              <w:rPr>
                <w:lang w:eastAsia="fr-FR"/>
              </w:rPr>
            </w:pPr>
            <w:r w:rsidRPr="0071772A">
              <w:rPr>
                <w:b/>
                <w:bCs/>
                <w:lang w:eastAsia="fr-FR"/>
              </w:rPr>
              <w:t>Multiple component carriers</w:t>
            </w:r>
            <w:r w:rsidRPr="00A604A3">
              <w:rPr>
                <w:lang w:eastAsia="fr-FR"/>
              </w:rPr>
              <w:t xml:space="preserve"> can be aggregated to achieve </w:t>
            </w:r>
            <w:r w:rsidRPr="0071772A">
              <w:rPr>
                <w:b/>
                <w:bCs/>
                <w:lang w:eastAsia="fr-FR"/>
              </w:rPr>
              <w:t xml:space="preserve">up to </w:t>
            </w:r>
            <w:r w:rsidRPr="0071772A">
              <w:rPr>
                <w:rFonts w:eastAsia="MS Mincho"/>
                <w:b/>
                <w:bCs/>
                <w:lang w:eastAsia="fr-FR"/>
              </w:rPr>
              <w:t>6.4 G</w:t>
            </w:r>
            <w:r w:rsidRPr="0071772A">
              <w:rPr>
                <w:b/>
                <w:bCs/>
                <w:lang w:eastAsia="fr-FR"/>
              </w:rPr>
              <w:t>Hz</w:t>
            </w:r>
            <w:r w:rsidRPr="00A604A3">
              <w:rPr>
                <w:lang w:eastAsia="fr-FR"/>
              </w:rPr>
              <w:t xml:space="preserve"> of transmission bandwidth.</w:t>
            </w:r>
          </w:p>
        </w:tc>
      </w:tr>
      <w:tr w:rsidR="00AE0549" w:rsidRPr="00A604A3" w:rsidTr="00470885">
        <w:tc>
          <w:tcPr>
            <w:tcW w:w="4508" w:type="dxa"/>
          </w:tcPr>
          <w:p w:rsidR="00AE0549" w:rsidRPr="00A604A3" w:rsidRDefault="00AE0549" w:rsidP="0045350C">
            <w:pPr>
              <w:pStyle w:val="Tabletext"/>
            </w:pPr>
            <w:r w:rsidRPr="00A604A3">
              <w:lastRenderedPageBreak/>
              <w:t>Minimum amount of spectrum</w:t>
            </w:r>
          </w:p>
        </w:tc>
        <w:tc>
          <w:tcPr>
            <w:tcW w:w="4508" w:type="dxa"/>
          </w:tcPr>
          <w:p w:rsidR="00AE0549" w:rsidRPr="00A604A3" w:rsidRDefault="00AE0549" w:rsidP="0045350C">
            <w:pPr>
              <w:pStyle w:val="Tabletext"/>
              <w:rPr>
                <w:lang w:eastAsia="zh-CN"/>
              </w:rPr>
            </w:pPr>
            <w:r w:rsidRPr="00A604A3">
              <w:rPr>
                <w:lang w:eastAsia="zh-CN"/>
              </w:rPr>
              <w:t xml:space="preserve">[4], [8], Section </w:t>
            </w:r>
            <w:r w:rsidRPr="00A604A3">
              <w:t>5.2.3.2.8.4</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minimum amount of paired spectrum is </w:t>
            </w:r>
            <w:r w:rsidR="00AE0549" w:rsidRPr="0071772A">
              <w:rPr>
                <w:b/>
                <w:bCs/>
                <w:lang w:eastAsia="fr-FR"/>
              </w:rPr>
              <w:t>2 x 5 MHz</w:t>
            </w:r>
            <w:r w:rsidR="00AE0549" w:rsidRPr="00A604A3">
              <w:rPr>
                <w:lang w:eastAsia="fr-FR"/>
              </w:rPr>
              <w:t>.</w:t>
            </w:r>
          </w:p>
          <w:p w:rsidR="00AE0549" w:rsidRPr="00A604A3" w:rsidRDefault="0071772A" w:rsidP="0071772A">
            <w:pPr>
              <w:pStyle w:val="Tabletext"/>
              <w:ind w:left="284" w:hanging="284"/>
            </w:pPr>
            <w:r>
              <w:rPr>
                <w:lang w:eastAsia="fr-FR"/>
              </w:rPr>
              <w:t>–</w:t>
            </w:r>
            <w:r>
              <w:rPr>
                <w:lang w:eastAsia="fr-FR"/>
              </w:rPr>
              <w:tab/>
            </w:r>
            <w:r w:rsidR="00AE0549" w:rsidRPr="00A604A3">
              <w:rPr>
                <w:lang w:eastAsia="fr-FR"/>
              </w:rPr>
              <w:t xml:space="preserve">The minimum amount of unpaired spectrum is </w:t>
            </w:r>
            <w:r w:rsidR="00AE0549" w:rsidRPr="0071772A">
              <w:rPr>
                <w:b/>
                <w:bCs/>
                <w:lang w:eastAsia="fr-FR"/>
              </w:rPr>
              <w:t>5 MHz</w:t>
            </w:r>
            <w:r w:rsidR="00AE0549" w:rsidRPr="00A604A3">
              <w:rPr>
                <w:lang w:eastAsia="fr-FR"/>
              </w:rPr>
              <w:t>.</w:t>
            </w:r>
          </w:p>
        </w:tc>
      </w:tr>
    </w:tbl>
    <w:p w:rsidR="00AE0549" w:rsidRPr="00A604A3" w:rsidRDefault="00AE0549" w:rsidP="0071772A">
      <w:pPr>
        <w:pStyle w:val="Tablefin"/>
      </w:pPr>
    </w:p>
    <w:p w:rsidR="00AE0549" w:rsidRPr="00A604A3" w:rsidRDefault="00AE0549" w:rsidP="0071772A">
      <w:r w:rsidRPr="00A604A3">
        <w:t>The combination of the 3GPP submissions on</w:t>
      </w:r>
    </w:p>
    <w:p w:rsidR="00AE0549" w:rsidRPr="00A604A3" w:rsidRDefault="0071772A" w:rsidP="0071772A">
      <w:pPr>
        <w:pStyle w:val="enumlev1"/>
        <w:rPr>
          <w:lang w:eastAsia="zh-CN"/>
        </w:rPr>
      </w:pPr>
      <w:bookmarkStart w:id="638" w:name="_Toc28265850"/>
      <w:bookmarkStart w:id="639" w:name="_Toc28277084"/>
      <w:bookmarkStart w:id="640" w:name="_Toc32066501"/>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38"/>
      <w:bookmarkEnd w:id="639"/>
      <w:bookmarkEnd w:id="640"/>
    </w:p>
    <w:p w:rsidR="00AE0549" w:rsidRPr="00A604A3" w:rsidRDefault="0071772A" w:rsidP="0071772A">
      <w:pPr>
        <w:pStyle w:val="enumlev1"/>
        <w:rPr>
          <w:lang w:eastAsia="zh-CN"/>
        </w:rPr>
      </w:pPr>
      <w:bookmarkStart w:id="641" w:name="_Toc28265851"/>
      <w:bookmarkStart w:id="642" w:name="_Toc28277085"/>
      <w:bookmarkStart w:id="643" w:name="_Toc32066502"/>
      <w:r>
        <w:rPr>
          <w:lang w:eastAsia="zh-CN"/>
        </w:rPr>
        <w:t>–</w:t>
      </w:r>
      <w:r>
        <w:rPr>
          <w:lang w:eastAsia="zh-CN"/>
        </w:rPr>
        <w:tab/>
      </w:r>
      <w:r w:rsidR="00AE0549" w:rsidRPr="00A604A3">
        <w:rPr>
          <w:lang w:eastAsia="zh-CN"/>
        </w:rPr>
        <w:t>NR RIT of “5G” (Release 15 and beyond)</w:t>
      </w:r>
      <w:bookmarkEnd w:id="641"/>
      <w:bookmarkEnd w:id="642"/>
      <w:bookmarkEnd w:id="643"/>
    </w:p>
    <w:p w:rsidR="00AE0549" w:rsidRPr="00A604A3" w:rsidRDefault="00AE0549" w:rsidP="0071772A">
      <w:r w:rsidRPr="00A604A3">
        <w:t>is supporting the minimum requirements on bandwidth of</w:t>
      </w:r>
    </w:p>
    <w:p w:rsidR="00AE0549" w:rsidRPr="00A604A3" w:rsidRDefault="0071772A" w:rsidP="0071772A">
      <w:pPr>
        <w:pStyle w:val="enumlev1"/>
      </w:pPr>
      <w:r>
        <w:t>–</w:t>
      </w:r>
      <w:r>
        <w:tab/>
      </w:r>
      <w:r w:rsidR="00AE0549" w:rsidRPr="00A604A3">
        <w:t>at least 100 MHz for frequency bands below 6 GHz</w:t>
      </w:r>
    </w:p>
    <w:p w:rsidR="00AE0549" w:rsidRPr="00A604A3" w:rsidRDefault="0071772A" w:rsidP="0071772A">
      <w:pPr>
        <w:pStyle w:val="enumlev1"/>
      </w:pPr>
      <w:r>
        <w:t>–</w:t>
      </w:r>
      <w:r>
        <w:tab/>
      </w:r>
      <w:r w:rsidR="00AE0549" w:rsidRPr="00A604A3">
        <w:t>and up to 1 GHz for higher frequency bands e.g., above 6 GHz.</w:t>
      </w:r>
    </w:p>
    <w:p w:rsidR="00AE0549" w:rsidRPr="00A604A3" w:rsidRDefault="00AE0549" w:rsidP="0071772A">
      <w:r w:rsidRPr="00A604A3">
        <w:t>By means of carrier aggregation higher bandwidth up to 6.4 GHz are possible.</w:t>
      </w:r>
    </w:p>
    <w:p w:rsidR="00AE0549" w:rsidRPr="00A604A3" w:rsidRDefault="00AE0549" w:rsidP="0071772A">
      <w:r w:rsidRPr="00A604A3">
        <w:t>The bandwidth is scalable in several steps.</w:t>
      </w:r>
    </w:p>
    <w:p w:rsidR="00AE0549" w:rsidRPr="00A604A3" w:rsidRDefault="00AE0549" w:rsidP="0071772A">
      <w:r w:rsidRPr="00A604A3">
        <w:t>The 3GPP submission is fulfilling the minimum requirements according to [1].</w:t>
      </w:r>
    </w:p>
    <w:p w:rsidR="00AE0549" w:rsidRPr="00A604A3" w:rsidRDefault="0071772A" w:rsidP="0071772A">
      <w:pPr>
        <w:pStyle w:val="Heading3"/>
      </w:pPr>
      <w:bookmarkStart w:id="644" w:name="_Toc32412975"/>
      <w:r>
        <w:lastRenderedPageBreak/>
        <w:t>II.5.15</w:t>
      </w:r>
      <w:r>
        <w:tab/>
      </w:r>
      <w:r w:rsidR="00AE0549" w:rsidRPr="00A604A3">
        <w:t>Support of wide range of services</w:t>
      </w:r>
      <w:bookmarkEnd w:id="644"/>
    </w:p>
    <w:p w:rsidR="00AE0549" w:rsidRPr="00A604A3" w:rsidRDefault="00AE0549" w:rsidP="0071772A">
      <w:r w:rsidRPr="00A604A3">
        <w:t>The ITU-R requirements on “support of wide range of services” are given in [2] and specifically section 3.1 Services:</w:t>
      </w:r>
    </w:p>
    <w:p w:rsidR="00AE0549" w:rsidRPr="0071772A" w:rsidRDefault="0071772A" w:rsidP="0071772A">
      <w:pPr>
        <w:pStyle w:val="enumlev1"/>
        <w:rPr>
          <w:i/>
          <w:iCs/>
        </w:rPr>
      </w:pPr>
      <w:r>
        <w:rPr>
          <w:i/>
          <w:iCs/>
        </w:rPr>
        <w:tab/>
      </w:r>
      <w:r w:rsidR="00AE0549" w:rsidRPr="0071772A">
        <w:rPr>
          <w:i/>
          <w:iCs/>
        </w:rPr>
        <w:t>Recommendation ITU-R M.2083 – IMT Vision – Framework and overall objectives of the future development of IMT for 2020 and beyond, envisaged three usage scenarios for IMT-2020:</w:t>
      </w:r>
    </w:p>
    <w:p w:rsidR="00AE0549" w:rsidRPr="0071772A" w:rsidRDefault="00AE0549" w:rsidP="0071772A">
      <w:pPr>
        <w:pStyle w:val="enumlev2"/>
        <w:rPr>
          <w:i/>
          <w:iCs/>
        </w:rPr>
      </w:pPr>
      <w:r w:rsidRPr="0071772A">
        <w:rPr>
          <w:i/>
          <w:iCs/>
        </w:rPr>
        <w:t>–</w:t>
      </w:r>
      <w:r w:rsidRPr="0071772A">
        <w:rPr>
          <w:i/>
          <w:iCs/>
        </w:rPr>
        <w:tab/>
        <w:t xml:space="preserve">Enhanced Mobile Broadband (eMBB). </w:t>
      </w:r>
    </w:p>
    <w:p w:rsidR="00AE0549" w:rsidRPr="0071772A" w:rsidRDefault="00AE0549" w:rsidP="0071772A">
      <w:pPr>
        <w:pStyle w:val="enumlev2"/>
        <w:rPr>
          <w:i/>
          <w:iCs/>
        </w:rPr>
      </w:pPr>
      <w:r w:rsidRPr="0071772A">
        <w:rPr>
          <w:i/>
          <w:iCs/>
        </w:rPr>
        <w:t>–</w:t>
      </w:r>
      <w:r w:rsidRPr="0071772A">
        <w:rPr>
          <w:i/>
          <w:iCs/>
        </w:rPr>
        <w:tab/>
        <w:t>Ultra-reliable and low latency communications (URLLC).</w:t>
      </w:r>
    </w:p>
    <w:p w:rsidR="00AE0549" w:rsidRPr="006853C6" w:rsidRDefault="00AE0549" w:rsidP="0071772A">
      <w:pPr>
        <w:pStyle w:val="enumlev2"/>
        <w:rPr>
          <w:lang w:val="fr-CH"/>
        </w:rPr>
      </w:pPr>
      <w:r w:rsidRPr="006853C6">
        <w:rPr>
          <w:i/>
          <w:iCs/>
          <w:lang w:val="fr-CH"/>
        </w:rPr>
        <w:t>–</w:t>
      </w:r>
      <w:r w:rsidRPr="006853C6">
        <w:rPr>
          <w:i/>
          <w:iCs/>
          <w:lang w:val="fr-CH"/>
        </w:rPr>
        <w:tab/>
        <w:t>Massive machine type communications (mMTC).</w:t>
      </w:r>
    </w:p>
    <w:p w:rsidR="00AE0549" w:rsidRPr="0071772A" w:rsidRDefault="0071772A" w:rsidP="0071772A">
      <w:pPr>
        <w:pStyle w:val="enumlev1"/>
        <w:rPr>
          <w:i/>
          <w:iCs/>
        </w:rPr>
      </w:pPr>
      <w:r w:rsidRPr="006853C6">
        <w:rPr>
          <w:i/>
          <w:iCs/>
          <w:lang w:val="fr-CH"/>
        </w:rPr>
        <w:tab/>
      </w:r>
      <w:r w:rsidR="00AE0549" w:rsidRPr="0071772A">
        <w:rPr>
          <w:i/>
          <w:iCs/>
        </w:rPr>
        <w:t>Diverse services and applications for the three usage scenarios are envisaged, as shown in Fig. 2 in Recommendation ITU-R M.2083.</w:t>
      </w:r>
    </w:p>
    <w:p w:rsidR="00AE0549" w:rsidRPr="0071772A" w:rsidRDefault="0071772A" w:rsidP="0071772A">
      <w:pPr>
        <w:pStyle w:val="enumlev1"/>
        <w:rPr>
          <w:i/>
          <w:iCs/>
        </w:rPr>
      </w:pPr>
      <w:r>
        <w:rPr>
          <w:i/>
          <w:iCs/>
        </w:rPr>
        <w:tab/>
      </w:r>
      <w:r w:rsidR="00AE0549" w:rsidRPr="0071772A">
        <w:rPr>
          <w:i/>
          <w:iCs/>
        </w:rPr>
        <w:t>IMT-2020 RIT/SRIT shall support a wide range of services across different usage scenarios, for which the evaluation methodology is found in §</w:t>
      </w:r>
      <w:r w:rsidR="00AE0549" w:rsidRPr="0071772A">
        <w:rPr>
          <w:i/>
          <w:iCs/>
          <w:lang w:eastAsia="ja-JP"/>
        </w:rPr>
        <w:t xml:space="preserve"> </w:t>
      </w:r>
      <w:r w:rsidR="00AE0549" w:rsidRPr="0071772A">
        <w:rPr>
          <w:i/>
          <w:iCs/>
        </w:rPr>
        <w:t>7.3.3 of Report ITU-R M.2412-0.</w:t>
      </w:r>
    </w:p>
    <w:p w:rsidR="00AE0549" w:rsidRPr="00A604A3" w:rsidRDefault="00AE0549" w:rsidP="0071772A">
      <w:r w:rsidRPr="00A604A3">
        <w:t>For convenience, Figure 2</w:t>
      </w:r>
      <w:r w:rsidR="0071772A">
        <w:t>1</w:t>
      </w:r>
      <w:r w:rsidRPr="00A604A3">
        <w:t xml:space="preserve"> in Recommendation ITU-R M.2083 is given below [21]:</w:t>
      </w:r>
    </w:p>
    <w:p w:rsidR="0071772A" w:rsidRDefault="0071772A" w:rsidP="0071772A">
      <w:pPr>
        <w:pStyle w:val="FigureNo"/>
      </w:pPr>
      <w:r>
        <w:t>Figure 21</w:t>
      </w:r>
    </w:p>
    <w:p w:rsidR="0071772A" w:rsidRPr="00A604A3" w:rsidRDefault="0071772A" w:rsidP="0071772A">
      <w:pPr>
        <w:pStyle w:val="Figuretitle"/>
      </w:pPr>
      <w:r w:rsidRPr="00A604A3">
        <w:t>Usage scenarios of IMT for 2020 and beyond (Fig.2 in ITU-R M.2083)</w:t>
      </w:r>
    </w:p>
    <w:p w:rsidR="00AE0549" w:rsidRPr="00A604A3" w:rsidRDefault="009002F1" w:rsidP="0071772A">
      <w:pPr>
        <w:pStyle w:val="Figure"/>
      </w:pPr>
      <w:r>
        <w:pict>
          <v:shape id="_x0000_i1046" type="#_x0000_t75" style="width:374.75pt;height:252pt">
            <v:imagedata r:id="rId40" o:title=""/>
          </v:shape>
        </w:pict>
      </w:r>
    </w:p>
    <w:p w:rsidR="00AE0549" w:rsidRPr="00A604A3" w:rsidRDefault="00AE0549" w:rsidP="0071772A">
      <w:r w:rsidRPr="00A604A3">
        <w:t>The evaluation by means of inspection of “Support of Wide Range of Services” is using a list of capabilities of IMT-2020 according to page 4 of [3]:</w:t>
      </w:r>
    </w:p>
    <w:p w:rsidR="00AE0549" w:rsidRPr="0071772A" w:rsidRDefault="0071772A" w:rsidP="0071772A">
      <w:pPr>
        <w:pStyle w:val="enumlev1"/>
        <w:rPr>
          <w:i/>
          <w:iCs/>
        </w:rPr>
      </w:pPr>
      <w:r>
        <w:rPr>
          <w:i/>
          <w:iCs/>
        </w:rPr>
        <w:tab/>
      </w:r>
      <w:r w:rsidR="00AE0549" w:rsidRPr="0071772A">
        <w:rPr>
          <w:i/>
          <w:iCs/>
        </w:rPr>
        <w:t>IMT-</w:t>
      </w:r>
      <w:r w:rsidR="00AE0549" w:rsidRPr="0071772A">
        <w:rPr>
          <w:i/>
          <w:iCs/>
          <w:lang w:eastAsia="zh-CN"/>
        </w:rPr>
        <w:t>2020</w:t>
      </w:r>
      <w:r w:rsidR="00AE0549" w:rsidRPr="0071772A">
        <w:rPr>
          <w:i/>
          <w:iCs/>
        </w:rPr>
        <w:t xml:space="preserve"> systems support low to high mobility applications and </w:t>
      </w:r>
      <w:r w:rsidR="00AE0549" w:rsidRPr="0071772A">
        <w:rPr>
          <w:i/>
          <w:iCs/>
          <w:lang w:eastAsia="zh-CN"/>
        </w:rPr>
        <w:t>much enhanced</w:t>
      </w:r>
      <w:r w:rsidR="00AE0549" w:rsidRPr="0071772A">
        <w:rPr>
          <w:i/>
          <w:iCs/>
        </w:rPr>
        <w:t xml:space="preserve"> data rates in accordance with user and service demands in multiple user environments. IMT</w:t>
      </w:r>
      <w:r w:rsidR="00AE0549" w:rsidRPr="0071772A">
        <w:rPr>
          <w:i/>
          <w:iCs/>
        </w:rPr>
        <w:noBreakHyphen/>
      </w:r>
      <w:r w:rsidR="00AE0549" w:rsidRPr="0071772A">
        <w:rPr>
          <w:i/>
          <w:iCs/>
          <w:lang w:eastAsia="zh-CN"/>
        </w:rPr>
        <w:t>2020</w:t>
      </w:r>
      <w:r w:rsidR="00AE0549" w:rsidRPr="0071772A">
        <w:rPr>
          <w:i/>
          <w:iCs/>
        </w:rPr>
        <w:t xml:space="preserve"> also has c</w:t>
      </w:r>
      <w:r w:rsidR="00AE0549" w:rsidRPr="0071772A">
        <w:rPr>
          <w:i/>
          <w:iCs/>
          <w:lang w:eastAsia="ja-JP"/>
        </w:rPr>
        <w:t xml:space="preserve">apabilities for </w:t>
      </w:r>
      <w:r w:rsidR="00AE0549" w:rsidRPr="0071772A">
        <w:rPr>
          <w:i/>
          <w:iCs/>
          <w:lang w:eastAsia="zh-CN"/>
        </w:rPr>
        <w:t>enabling massive connections for a wide range of services, and guarantee ultra</w:t>
      </w:r>
      <w:r w:rsidR="00AE0549" w:rsidRPr="0071772A">
        <w:rPr>
          <w:i/>
          <w:iCs/>
          <w:lang w:eastAsia="zh-CN"/>
        </w:rPr>
        <w:noBreakHyphen/>
        <w:t>reliable and low latency communications for future deployed services even in critical environments</w:t>
      </w:r>
      <w:r w:rsidR="00AE0549" w:rsidRPr="0071772A">
        <w:rPr>
          <w:i/>
          <w:iCs/>
        </w:rPr>
        <w:t>.</w:t>
      </w:r>
    </w:p>
    <w:p w:rsidR="00AE0549" w:rsidRPr="0071772A" w:rsidRDefault="0071772A" w:rsidP="0071772A">
      <w:pPr>
        <w:pStyle w:val="enumlev1"/>
        <w:rPr>
          <w:i/>
          <w:iCs/>
        </w:rPr>
      </w:pPr>
      <w:r>
        <w:rPr>
          <w:i/>
          <w:iCs/>
        </w:rPr>
        <w:tab/>
      </w:r>
      <w:r w:rsidR="00AE0549" w:rsidRPr="0071772A">
        <w:rPr>
          <w:i/>
          <w:iCs/>
        </w:rPr>
        <w:t xml:space="preserve">The </w:t>
      </w:r>
      <w:r w:rsidR="00AE0549" w:rsidRPr="0071772A">
        <w:rPr>
          <w:i/>
          <w:iCs/>
          <w:lang w:eastAsia="zh-CN"/>
        </w:rPr>
        <w:t>capabilities</w:t>
      </w:r>
      <w:r w:rsidR="00AE0549" w:rsidRPr="0071772A">
        <w:rPr>
          <w:i/>
          <w:iCs/>
        </w:rPr>
        <w:t xml:space="preserve"> of IMT-</w:t>
      </w:r>
      <w:r w:rsidR="00AE0549" w:rsidRPr="0071772A">
        <w:rPr>
          <w:i/>
          <w:iCs/>
          <w:lang w:eastAsia="zh-CN"/>
        </w:rPr>
        <w:t>2020</w:t>
      </w:r>
      <w:r w:rsidR="00AE0549" w:rsidRPr="0071772A">
        <w:rPr>
          <w:i/>
          <w:iCs/>
        </w:rPr>
        <w:t xml:space="preserve"> </w:t>
      </w:r>
      <w:r w:rsidR="00AE0549" w:rsidRPr="0071772A">
        <w:rPr>
          <w:rFonts w:eastAsia="MS Mincho"/>
          <w:i/>
          <w:iCs/>
          <w:lang w:eastAsia="ja-JP"/>
        </w:rPr>
        <w:t>include</w:t>
      </w:r>
      <w:r w:rsidR="00AE0549" w:rsidRPr="0071772A">
        <w:rPr>
          <w:i/>
          <w:iCs/>
        </w:rPr>
        <w:t>:</w:t>
      </w:r>
    </w:p>
    <w:p w:rsidR="00AE0549" w:rsidRPr="0071772A" w:rsidRDefault="0071772A" w:rsidP="0071772A">
      <w:pPr>
        <w:pStyle w:val="enumlev2"/>
        <w:rPr>
          <w:i/>
          <w:iCs/>
        </w:rPr>
      </w:pPr>
      <w:r>
        <w:rPr>
          <w:i/>
          <w:iCs/>
          <w:lang w:eastAsia="zh-CN"/>
        </w:rPr>
        <w:lastRenderedPageBreak/>
        <w:t>(1)</w:t>
      </w:r>
      <w:r>
        <w:rPr>
          <w:i/>
          <w:iCs/>
          <w:lang w:eastAsia="zh-CN"/>
        </w:rPr>
        <w:tab/>
      </w:r>
      <w:r w:rsidR="00AE0549" w:rsidRPr="0071772A">
        <w:rPr>
          <w:i/>
          <w:iCs/>
          <w:lang w:eastAsia="zh-CN"/>
        </w:rPr>
        <w:t>very high peak data rate;</w:t>
      </w:r>
    </w:p>
    <w:p w:rsidR="00AE0549" w:rsidRPr="0071772A" w:rsidRDefault="0071772A" w:rsidP="0071772A">
      <w:pPr>
        <w:pStyle w:val="enumlev2"/>
        <w:rPr>
          <w:i/>
          <w:iCs/>
        </w:rPr>
      </w:pPr>
      <w:r>
        <w:rPr>
          <w:i/>
          <w:iCs/>
          <w:lang w:eastAsia="zh-CN"/>
        </w:rPr>
        <w:t>(2)</w:t>
      </w:r>
      <w:r>
        <w:rPr>
          <w:i/>
          <w:iCs/>
          <w:lang w:eastAsia="zh-CN"/>
        </w:rPr>
        <w:tab/>
      </w:r>
      <w:r w:rsidR="00AE0549" w:rsidRPr="0071772A">
        <w:rPr>
          <w:i/>
          <w:iCs/>
          <w:lang w:eastAsia="zh-CN"/>
        </w:rPr>
        <w:t>very high and guaranteed user experienced data rate</w:t>
      </w:r>
      <w:r w:rsidR="00AE0549" w:rsidRPr="0071772A">
        <w:rPr>
          <w:i/>
          <w:iCs/>
        </w:rPr>
        <w:t>;</w:t>
      </w:r>
    </w:p>
    <w:p w:rsidR="00AE0549" w:rsidRPr="0071772A" w:rsidRDefault="0071772A" w:rsidP="0071772A">
      <w:pPr>
        <w:pStyle w:val="enumlev2"/>
        <w:rPr>
          <w:i/>
          <w:iCs/>
        </w:rPr>
      </w:pPr>
      <w:r>
        <w:rPr>
          <w:i/>
          <w:iCs/>
          <w:lang w:eastAsia="zh-CN"/>
        </w:rPr>
        <w:t>(3)</w:t>
      </w:r>
      <w:r>
        <w:rPr>
          <w:i/>
          <w:iCs/>
          <w:lang w:eastAsia="zh-CN"/>
        </w:rPr>
        <w:tab/>
      </w:r>
      <w:r w:rsidR="00AE0549" w:rsidRPr="0071772A">
        <w:rPr>
          <w:i/>
          <w:iCs/>
          <w:lang w:eastAsia="zh-CN"/>
        </w:rPr>
        <w:t>quite low air interface latency</w:t>
      </w:r>
      <w:r w:rsidR="00AE0549" w:rsidRPr="0071772A">
        <w:rPr>
          <w:i/>
          <w:iCs/>
        </w:rPr>
        <w:t>;</w:t>
      </w:r>
    </w:p>
    <w:p w:rsidR="00AE0549" w:rsidRPr="0071772A" w:rsidRDefault="0071772A" w:rsidP="0071772A">
      <w:pPr>
        <w:pStyle w:val="enumlev2"/>
        <w:rPr>
          <w:i/>
          <w:iCs/>
        </w:rPr>
      </w:pPr>
      <w:r>
        <w:rPr>
          <w:i/>
          <w:iCs/>
          <w:lang w:eastAsia="zh-CN"/>
        </w:rPr>
        <w:t>(4)</w:t>
      </w:r>
      <w:r>
        <w:rPr>
          <w:i/>
          <w:iCs/>
          <w:lang w:eastAsia="zh-CN"/>
        </w:rPr>
        <w:tab/>
      </w:r>
      <w:r w:rsidR="00AE0549" w:rsidRPr="0071772A">
        <w:rPr>
          <w:i/>
          <w:iCs/>
          <w:lang w:eastAsia="zh-CN"/>
        </w:rPr>
        <w:t>quite high mobility while providing satisfactory quality of service;</w:t>
      </w:r>
    </w:p>
    <w:p w:rsidR="00AE0549" w:rsidRPr="0071772A" w:rsidRDefault="0071772A" w:rsidP="0071772A">
      <w:pPr>
        <w:pStyle w:val="enumlev2"/>
        <w:rPr>
          <w:i/>
          <w:iCs/>
        </w:rPr>
      </w:pPr>
      <w:r>
        <w:rPr>
          <w:i/>
          <w:iCs/>
          <w:lang w:eastAsia="zh-CN"/>
        </w:rPr>
        <w:t>(5)</w:t>
      </w:r>
      <w:r>
        <w:rPr>
          <w:i/>
          <w:iCs/>
          <w:lang w:eastAsia="zh-CN"/>
        </w:rPr>
        <w:tab/>
      </w:r>
      <w:r w:rsidR="00AE0549" w:rsidRPr="0071772A">
        <w:rPr>
          <w:i/>
          <w:iCs/>
          <w:lang w:eastAsia="zh-CN"/>
        </w:rPr>
        <w:t>enabling massive connection in very high density scenario</w:t>
      </w:r>
      <w:r w:rsidR="00AE0549" w:rsidRPr="0071772A">
        <w:rPr>
          <w:i/>
          <w:iCs/>
        </w:rPr>
        <w:t>;</w:t>
      </w:r>
    </w:p>
    <w:p w:rsidR="00AE0549" w:rsidRPr="0071772A" w:rsidRDefault="0071772A" w:rsidP="0071772A">
      <w:pPr>
        <w:pStyle w:val="enumlev2"/>
        <w:rPr>
          <w:i/>
          <w:iCs/>
        </w:rPr>
      </w:pPr>
      <w:r>
        <w:rPr>
          <w:i/>
          <w:iCs/>
          <w:lang w:eastAsia="zh-CN"/>
        </w:rPr>
        <w:t>(6)</w:t>
      </w:r>
      <w:r>
        <w:rPr>
          <w:i/>
          <w:iCs/>
          <w:lang w:eastAsia="zh-CN"/>
        </w:rPr>
        <w:tab/>
      </w:r>
      <w:r w:rsidR="00AE0549" w:rsidRPr="0071772A">
        <w:rPr>
          <w:i/>
          <w:iCs/>
          <w:lang w:eastAsia="zh-CN"/>
        </w:rPr>
        <w:t>very high energy efficiency for network and device side</w:t>
      </w:r>
      <w:r w:rsidR="00AE0549" w:rsidRPr="0071772A">
        <w:rPr>
          <w:i/>
          <w:iCs/>
        </w:rPr>
        <w:t>;</w:t>
      </w:r>
    </w:p>
    <w:p w:rsidR="00AE0549" w:rsidRPr="0071772A" w:rsidRDefault="0071772A" w:rsidP="0071772A">
      <w:pPr>
        <w:pStyle w:val="enumlev2"/>
        <w:rPr>
          <w:i/>
          <w:iCs/>
          <w:lang w:eastAsia="zh-CN"/>
        </w:rPr>
      </w:pPr>
      <w:r>
        <w:rPr>
          <w:i/>
          <w:iCs/>
          <w:lang w:eastAsia="zh-CN"/>
        </w:rPr>
        <w:t>(7)</w:t>
      </w:r>
      <w:r>
        <w:rPr>
          <w:i/>
          <w:iCs/>
          <w:lang w:eastAsia="zh-CN"/>
        </w:rPr>
        <w:tab/>
      </w:r>
      <w:r w:rsidR="00AE0549" w:rsidRPr="0071772A">
        <w:rPr>
          <w:i/>
          <w:iCs/>
          <w:lang w:eastAsia="zh-CN"/>
        </w:rPr>
        <w:t>greatly enhanced spectral efficiency</w:t>
      </w:r>
      <w:r w:rsidR="00AE0549" w:rsidRPr="0071772A">
        <w:rPr>
          <w:i/>
          <w:iCs/>
        </w:rPr>
        <w:t>;</w:t>
      </w:r>
    </w:p>
    <w:p w:rsidR="00AE0549" w:rsidRPr="0071772A" w:rsidRDefault="0071772A" w:rsidP="0071772A">
      <w:pPr>
        <w:pStyle w:val="enumlev2"/>
        <w:rPr>
          <w:i/>
          <w:iCs/>
          <w:lang w:eastAsia="zh-CN"/>
        </w:rPr>
      </w:pPr>
      <w:r>
        <w:rPr>
          <w:i/>
          <w:iCs/>
          <w:lang w:eastAsia="zh-CN"/>
        </w:rPr>
        <w:t>(8)</w:t>
      </w:r>
      <w:r>
        <w:rPr>
          <w:i/>
          <w:iCs/>
          <w:lang w:eastAsia="zh-CN"/>
        </w:rPr>
        <w:tab/>
      </w:r>
      <w:r w:rsidR="00AE0549" w:rsidRPr="0071772A">
        <w:rPr>
          <w:i/>
          <w:iCs/>
          <w:lang w:eastAsia="zh-CN"/>
        </w:rPr>
        <w:t>significantly larger area traffic capacity;</w:t>
      </w:r>
    </w:p>
    <w:p w:rsidR="00AE0549" w:rsidRPr="0071772A" w:rsidRDefault="0071772A" w:rsidP="0071772A">
      <w:pPr>
        <w:pStyle w:val="enumlev2"/>
        <w:rPr>
          <w:i/>
          <w:iCs/>
          <w:lang w:eastAsia="zh-CN"/>
        </w:rPr>
      </w:pPr>
      <w:r>
        <w:rPr>
          <w:i/>
          <w:iCs/>
          <w:lang w:eastAsia="zh-CN"/>
        </w:rPr>
        <w:t>(9)</w:t>
      </w:r>
      <w:r>
        <w:rPr>
          <w:i/>
          <w:iCs/>
          <w:lang w:eastAsia="zh-CN"/>
        </w:rPr>
        <w:tab/>
      </w:r>
      <w:r w:rsidR="00AE0549" w:rsidRPr="0071772A">
        <w:rPr>
          <w:i/>
          <w:iCs/>
          <w:lang w:eastAsia="zh-CN"/>
        </w:rPr>
        <w:t>high spectrum and bandwidth flexibility;</w:t>
      </w:r>
    </w:p>
    <w:p w:rsidR="00AE0549" w:rsidRPr="0071772A" w:rsidRDefault="0071772A" w:rsidP="0071772A">
      <w:pPr>
        <w:pStyle w:val="enumlev2"/>
        <w:rPr>
          <w:i/>
          <w:iCs/>
          <w:lang w:eastAsia="zh-CN"/>
        </w:rPr>
      </w:pPr>
      <w:r>
        <w:rPr>
          <w:i/>
          <w:iCs/>
          <w:lang w:eastAsia="zh-CN"/>
        </w:rPr>
        <w:t>(10)</w:t>
      </w:r>
      <w:r>
        <w:rPr>
          <w:i/>
          <w:iCs/>
          <w:lang w:eastAsia="zh-CN"/>
        </w:rPr>
        <w:tab/>
      </w:r>
      <w:r w:rsidR="00AE0549" w:rsidRPr="0071772A">
        <w:rPr>
          <w:i/>
          <w:iCs/>
          <w:lang w:eastAsia="zh-CN"/>
        </w:rPr>
        <w:t>ultra high reliability and good resilience capability;</w:t>
      </w:r>
    </w:p>
    <w:p w:rsidR="00AE0549" w:rsidRPr="0071772A" w:rsidRDefault="0071772A" w:rsidP="0071772A">
      <w:pPr>
        <w:pStyle w:val="enumlev2"/>
        <w:rPr>
          <w:i/>
          <w:iCs/>
          <w:lang w:eastAsia="zh-CN"/>
        </w:rPr>
      </w:pPr>
      <w:r>
        <w:rPr>
          <w:i/>
          <w:iCs/>
          <w:lang w:eastAsia="zh-CN"/>
        </w:rPr>
        <w:t>(11)</w:t>
      </w:r>
      <w:r>
        <w:rPr>
          <w:i/>
          <w:iCs/>
          <w:lang w:eastAsia="zh-CN"/>
        </w:rPr>
        <w:tab/>
      </w:r>
      <w:r w:rsidR="00AE0549" w:rsidRPr="0071772A">
        <w:rPr>
          <w:i/>
          <w:iCs/>
          <w:lang w:eastAsia="zh-CN"/>
        </w:rPr>
        <w:t>enhanced security and privacy.</w:t>
      </w:r>
    </w:p>
    <w:p w:rsidR="00AE0549" w:rsidRPr="0071772A" w:rsidRDefault="0071772A" w:rsidP="0071772A">
      <w:pPr>
        <w:pStyle w:val="enumlev1"/>
        <w:rPr>
          <w:i/>
          <w:iCs/>
        </w:rPr>
      </w:pPr>
      <w:r>
        <w:rPr>
          <w:i/>
          <w:iCs/>
        </w:rPr>
        <w:tab/>
      </w:r>
      <w:r w:rsidR="00AE0549" w:rsidRPr="0071772A">
        <w:rPr>
          <w:i/>
          <w:iCs/>
        </w:rPr>
        <w:t>These features enable IMT-2020 to address evolving user and industry needs.</w:t>
      </w:r>
    </w:p>
    <w:p w:rsidR="00AE0549" w:rsidRPr="0071772A" w:rsidRDefault="0071772A" w:rsidP="0071772A">
      <w:pPr>
        <w:pStyle w:val="enumlev1"/>
        <w:rPr>
          <w:i/>
          <w:iCs/>
        </w:rPr>
      </w:pPr>
      <w:r>
        <w:rPr>
          <w:i/>
          <w:iCs/>
        </w:rPr>
        <w:tab/>
      </w:r>
      <w:r w:rsidR="00AE0549" w:rsidRPr="0071772A">
        <w:rPr>
          <w:i/>
          <w:iCs/>
        </w:rPr>
        <w:t>The capabilities of IMT-2020 systems are being continuously enhanced in line with user and industry trends, and consistent with technology developments.</w:t>
      </w:r>
    </w:p>
    <w:p w:rsidR="00AE0549" w:rsidRPr="00A604A3" w:rsidRDefault="00AE0549" w:rsidP="0071772A">
      <w:r w:rsidRPr="00A604A3">
        <w:t>Moreover, in section 7.3.3 of [3], the inspection approach is described through the statement with the referenced reports [1] and [21]:</w:t>
      </w:r>
    </w:p>
    <w:p w:rsidR="00AE0549" w:rsidRPr="0071772A" w:rsidRDefault="0071772A" w:rsidP="0071772A">
      <w:pPr>
        <w:pStyle w:val="enumlev1"/>
        <w:rPr>
          <w:i/>
          <w:iCs/>
          <w:lang w:eastAsia="ja-JP"/>
        </w:rPr>
      </w:pPr>
      <w:r>
        <w:rPr>
          <w:lang w:eastAsia="ja-JP"/>
        </w:rPr>
        <w:tab/>
      </w:r>
      <w:r w:rsidR="00AE0549" w:rsidRPr="0071772A">
        <w:rPr>
          <w:i/>
          <w:iCs/>
          <w:lang w:eastAsia="ja-JP"/>
        </w:rPr>
        <w:t>There are elements of the minimum technical performance requirements identified within Report ITU-R M.2410-0 that indicate whether or not the candidate RITs/SRITs are capable of enabling certain services and performance targets, as envisioned in Recommendation ITU-R M.2083.</w:t>
      </w:r>
    </w:p>
    <w:p w:rsidR="00AE0549" w:rsidRPr="0071772A" w:rsidRDefault="0071772A" w:rsidP="0071772A">
      <w:pPr>
        <w:pStyle w:val="enumlev1"/>
        <w:rPr>
          <w:i/>
          <w:iCs/>
          <w:lang w:eastAsia="ja-JP"/>
        </w:rPr>
      </w:pPr>
      <w:r w:rsidRPr="0071772A">
        <w:rPr>
          <w:i/>
          <w:iCs/>
          <w:lang w:eastAsia="ja-JP"/>
        </w:rPr>
        <w:tab/>
      </w:r>
      <w:r w:rsidR="00AE0549" w:rsidRPr="0071772A">
        <w:rPr>
          <w:i/>
          <w:iCs/>
          <w:lang w:eastAsia="ja-JP"/>
        </w:rPr>
        <w:t>The support of a wide range of services is verified by inspection of the candidate RITs/SRITs ability to meet the minimum technical performance requirements for various usage scenarios and their associated test environments.</w:t>
      </w:r>
    </w:p>
    <w:p w:rsidR="00AE0549" w:rsidRPr="00A604A3" w:rsidRDefault="00AE0549" w:rsidP="0071772A">
      <w:pPr>
        <w:rPr>
          <w:i/>
          <w:lang w:eastAsia="ja-JP"/>
        </w:rPr>
      </w:pPr>
      <w:r w:rsidRPr="00A604A3">
        <w:rPr>
          <w:lang w:eastAsia="ja-JP"/>
        </w:rPr>
        <w:t xml:space="preserve">The characteristics evaluated in the current report correspond to the minimum technical requirements that have to be fulfilled by 3GPP RIT/SRIT submission and also correspond to capabilities items (1) to (10) of the above list. Minimum requirements of the current evaluation report do not include security and privacy issues. Therefore, 3GPP RIT/SRIT submission fulfils the requirement for </w:t>
      </w:r>
      <w:r w:rsidRPr="00A604A3">
        <w:t>“support of wide range of services” if all the other characteristics meet the requirements defined by ITU.</w:t>
      </w:r>
    </w:p>
    <w:p w:rsidR="00AE0549" w:rsidRPr="00A604A3" w:rsidRDefault="00AE0549" w:rsidP="00470885">
      <w:pPr>
        <w:spacing w:before="0"/>
      </w:pPr>
    </w:p>
    <w:p w:rsidR="00AE0549" w:rsidRPr="00A604A3" w:rsidRDefault="0071772A" w:rsidP="0071772A">
      <w:pPr>
        <w:pStyle w:val="Heading4"/>
      </w:pPr>
      <w:r>
        <w:t>II.5.15.1</w:t>
      </w:r>
      <w:r>
        <w:tab/>
      </w:r>
      <w:r w:rsidR="00AE0549" w:rsidRPr="00A604A3">
        <w:t>3GPP description template</w:t>
      </w:r>
    </w:p>
    <w:p w:rsidR="00AE0549" w:rsidRPr="00A604A3" w:rsidRDefault="00AE0549" w:rsidP="0071772A">
      <w:r w:rsidRPr="00A604A3">
        <w:t>The characteristics template for SRIT and NR RIT of “5G” (Release 15 and beyond) are given below in Table 133 and Table 134 with the references [22] and [23]. The description of the SRIT and NR RIT 3GPP proposals for this evaluation characteristic is identical.</w:t>
      </w:r>
    </w:p>
    <w:p w:rsidR="0071772A" w:rsidRDefault="0071772A" w:rsidP="0071772A">
      <w:pPr>
        <w:pStyle w:val="TableNo"/>
        <w:rPr>
          <w:lang w:eastAsia="zh-CN"/>
        </w:rPr>
      </w:pPr>
      <w:bookmarkStart w:id="645" w:name="_Ref31905648"/>
      <w:r>
        <w:rPr>
          <w:lang w:eastAsia="zh-CN"/>
        </w:rPr>
        <w:t>Table 133</w:t>
      </w:r>
    </w:p>
    <w:p w:rsidR="00AE0549" w:rsidRPr="00A604A3" w:rsidRDefault="00AE0549" w:rsidP="0071772A">
      <w:pPr>
        <w:pStyle w:val="Tabletitle"/>
      </w:pPr>
      <w:r w:rsidRPr="00A604A3">
        <w:rPr>
          <w:lang w:eastAsia="zh-CN"/>
        </w:rPr>
        <w:t>Characteristics template for Support of Wide Range of Services for SRIT 5G</w:t>
      </w:r>
      <w:bookmarkEnd w:id="645"/>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8286"/>
      </w:tblGrid>
      <w:tr w:rsidR="00AE0549" w:rsidRPr="00A604A3" w:rsidTr="00F21FB0">
        <w:trPr>
          <w:jc w:val="center"/>
        </w:trPr>
        <w:tc>
          <w:tcPr>
            <w:tcW w:w="1426" w:type="dxa"/>
          </w:tcPr>
          <w:p w:rsidR="00AE0549" w:rsidRPr="00A604A3" w:rsidRDefault="00AE0549" w:rsidP="00470885">
            <w:pPr>
              <w:pStyle w:val="Tabletext"/>
              <w:rPr>
                <w:rFonts w:eastAsia="SimSun"/>
                <w:b/>
                <w:color w:val="000000" w:themeColor="text1"/>
                <w:sz w:val="22"/>
                <w:szCs w:val="22"/>
              </w:rPr>
            </w:pPr>
            <w:r w:rsidRPr="00A604A3">
              <w:rPr>
                <w:rFonts w:asciiTheme="majorBidi" w:hAnsiTheme="majorBidi" w:cstheme="majorBidi"/>
                <w:b/>
                <w:color w:val="000000" w:themeColor="text1"/>
                <w:sz w:val="22"/>
                <w:szCs w:val="22"/>
                <w:lang w:eastAsia="ja-JP"/>
              </w:rPr>
              <w:t>5.2.3.2.</w:t>
            </w:r>
            <w:r w:rsidRPr="00A604A3">
              <w:rPr>
                <w:rFonts w:asciiTheme="majorBidi" w:hAnsiTheme="majorBidi" w:cstheme="majorBidi"/>
                <w:b/>
                <w:color w:val="000000" w:themeColor="text1"/>
                <w:sz w:val="22"/>
                <w:szCs w:val="22"/>
                <w:lang w:eastAsia="zh-CN"/>
              </w:rPr>
              <w:t>23</w:t>
            </w:r>
          </w:p>
        </w:tc>
        <w:tc>
          <w:tcPr>
            <w:tcW w:w="8286" w:type="dxa"/>
          </w:tcPr>
          <w:p w:rsidR="00AE0549" w:rsidRPr="00A604A3" w:rsidRDefault="00AE0549" w:rsidP="00470885">
            <w:pPr>
              <w:pStyle w:val="Tabletext"/>
              <w:rPr>
                <w:b/>
                <w:color w:val="000000" w:themeColor="text1"/>
                <w:sz w:val="22"/>
                <w:szCs w:val="22"/>
              </w:rPr>
            </w:pPr>
            <w:r w:rsidRPr="00A604A3">
              <w:rPr>
                <w:rFonts w:asciiTheme="majorBidi" w:hAnsiTheme="majorBidi" w:cstheme="majorBidi"/>
                <w:b/>
                <w:color w:val="000000" w:themeColor="text1"/>
                <w:sz w:val="22"/>
                <w:szCs w:val="22"/>
                <w:lang w:eastAsia="ja-JP"/>
              </w:rPr>
              <w:t>Support for wide range of services SRIT of 5G</w:t>
            </w:r>
          </w:p>
        </w:tc>
      </w:tr>
      <w:tr w:rsidR="00AE0549" w:rsidRPr="00A604A3" w:rsidTr="00F21FB0">
        <w:trPr>
          <w:jc w:val="center"/>
        </w:trPr>
        <w:tc>
          <w:tcPr>
            <w:tcW w:w="1426"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.1</w:t>
            </w:r>
          </w:p>
        </w:tc>
        <w:tc>
          <w:tcPr>
            <w:tcW w:w="8286"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what kind of services/applications can be supported in each usage scenarios in Recommendation ITU-R M.2083 (eMBB, URLLC, and mMTC).</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This proposal supports a wide range of services across the diverse usage scenarios including eMBB, URLLC, and mMTC envisaged in Recommendation ITU-R M.2083.</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lastRenderedPageBreak/>
              <w:t>The example services supported by this proposal include the services defined in</w:t>
            </w:r>
            <w:r w:rsidRPr="00A604A3">
              <w:rPr>
                <w:color w:val="000000" w:themeColor="text1"/>
                <w:sz w:val="16"/>
              </w:rPr>
              <w:t xml:space="preserve"> </w:t>
            </w:r>
            <w:r w:rsidRPr="00A604A3">
              <w:rPr>
                <w:rFonts w:asciiTheme="majorBidi" w:hAnsiTheme="majorBidi" w:cstheme="majorBidi"/>
                <w:bCs/>
                <w:i/>
                <w:color w:val="000000" w:themeColor="text1"/>
                <w:szCs w:val="22"/>
                <w:lang w:eastAsia="zh-CN"/>
              </w:rPr>
              <w:t>Recommendation ITU-R M.1822, [22.261], and other services, such as</w:t>
            </w:r>
          </w:p>
          <w:p w:rsidR="00AE0549" w:rsidRPr="00A604A3" w:rsidRDefault="00F21FB0" w:rsidP="00F21FB0">
            <w:pPr>
              <w:pStyle w:val="Tabletext"/>
              <w:ind w:left="284" w:hanging="284"/>
              <w:rPr>
                <w:bCs/>
                <w:i/>
                <w:color w:val="000000" w:themeColor="text1"/>
                <w:szCs w:val="22"/>
                <w:lang w:eastAsia="zh-CN"/>
              </w:rPr>
            </w:pPr>
            <w:r>
              <w:rPr>
                <w:rFonts w:asciiTheme="majorBidi" w:hAnsiTheme="majorBidi" w:cstheme="majorBidi"/>
                <w:bCs/>
                <w:i/>
                <w:color w:val="000000" w:themeColor="text1"/>
                <w:szCs w:val="22"/>
                <w:lang w:eastAsia="zh-CN"/>
              </w:rPr>
              <w:t>–</w:t>
            </w:r>
            <w:r>
              <w:rPr>
                <w:rFonts w:asciiTheme="majorBidi" w:hAnsiTheme="majorBidi" w:cstheme="majorBidi"/>
                <w:bCs/>
                <w:i/>
                <w:color w:val="000000" w:themeColor="text1"/>
                <w:szCs w:val="22"/>
                <w:lang w:eastAsia="zh-CN"/>
              </w:rPr>
              <w:tab/>
            </w:r>
            <w:r w:rsidR="00AE0549" w:rsidRPr="00A604A3">
              <w:rPr>
                <w:rFonts w:asciiTheme="majorBidi" w:hAnsiTheme="majorBidi" w:cstheme="majorBidi"/>
                <w:bCs/>
                <w:i/>
                <w:color w:val="000000" w:themeColor="text1"/>
                <w:szCs w:val="22"/>
                <w:lang w:eastAsia="zh-CN"/>
              </w:rPr>
              <w:t xml:space="preserve">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AE0549" w:rsidRPr="00A604A3" w:rsidRDefault="00F21FB0" w:rsidP="00F21FB0">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URLLC services including transportation safety, smart grid, mobile health application, wireless industry automation, etc.</w:t>
            </w:r>
          </w:p>
          <w:p w:rsidR="00AE0549" w:rsidRPr="00A604A3" w:rsidRDefault="00F21FB0" w:rsidP="00F21FB0">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mMTC services including smart city, smart home applications, and other machine-type communication (also known as Machine-to-Machine (M2M)) services.</w:t>
            </w:r>
          </w:p>
        </w:tc>
      </w:tr>
      <w:tr w:rsidR="00AE0549" w:rsidRPr="00A604A3" w:rsidTr="00F21FB0">
        <w:trPr>
          <w:jc w:val="center"/>
        </w:trPr>
        <w:tc>
          <w:tcPr>
            <w:tcW w:w="1426"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lastRenderedPageBreak/>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.2</w:t>
            </w:r>
          </w:p>
        </w:tc>
        <w:tc>
          <w:tcPr>
            <w:tcW w:w="8286"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AE0549" w:rsidRPr="00A604A3" w:rsidRDefault="00AE0549" w:rsidP="00470885">
            <w:pPr>
              <w:pStyle w:val="Tabletext"/>
              <w:rPr>
                <w:rFonts w:asciiTheme="majorBidi" w:hAnsiTheme="majorBidi" w:cstheme="majorBidi"/>
                <w:b/>
                <w:bCs/>
                <w:i/>
                <w:color w:val="000000" w:themeColor="text1"/>
                <w:szCs w:val="22"/>
                <w:u w:val="single"/>
                <w:lang w:eastAsia="zh-CN"/>
              </w:rPr>
            </w:pPr>
            <w:r w:rsidRPr="00A604A3">
              <w:rPr>
                <w:rFonts w:asciiTheme="majorBidi" w:hAnsiTheme="majorBidi" w:cstheme="majorBidi"/>
                <w:b/>
                <w:bCs/>
                <w:i/>
                <w:color w:val="000000" w:themeColor="text1"/>
                <w:szCs w:val="22"/>
                <w:u w:val="single"/>
                <w:lang w:eastAsia="zh-CN"/>
              </w:rPr>
              <w:t>For NR component RIT:</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NR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rPr>
            </w:pPr>
            <w:r w:rsidRPr="00A604A3">
              <w:rPr>
                <w:i/>
                <w:iCs/>
                <w:color w:val="000000" w:themeColor="text1"/>
                <w:szCs w:val="22"/>
                <w:lang w:eastAsia="zh-CN"/>
              </w:rPr>
              <w:t xml:space="preserve">Specifically, </w:t>
            </w:r>
            <w:r w:rsidRPr="00A604A3">
              <w:rPr>
                <w:i/>
                <w:iCs/>
                <w:color w:val="000000" w:themeColor="text1"/>
                <w:szCs w:val="22"/>
              </w:rPr>
              <w:t>the following low latency structures cater especially to the URLLC services</w:t>
            </w:r>
          </w:p>
          <w:p w:rsidR="00AE0549" w:rsidRPr="00F21FB0" w:rsidRDefault="00F21FB0" w:rsidP="00F21FB0">
            <w:pPr>
              <w:pStyle w:val="Tabletext"/>
              <w:ind w:left="284" w:hanging="284"/>
              <w:rPr>
                <w:i/>
                <w:iCs/>
              </w:rPr>
            </w:pPr>
            <w:r>
              <w:rPr>
                <w:i/>
                <w:iCs/>
              </w:rPr>
              <w:t>–</w:t>
            </w:r>
            <w:r>
              <w:rPr>
                <w:i/>
                <w:iCs/>
              </w:rPr>
              <w:tab/>
            </w:r>
            <w:r w:rsidR="00AE0549" w:rsidRPr="00F21FB0">
              <w:rPr>
                <w:i/>
                <w:iCs/>
              </w:rPr>
              <w:t>Front loaded DMRS allows for the channel estimate to be ready before the full data block is received</w:t>
            </w:r>
          </w:p>
          <w:p w:rsidR="00AE0549" w:rsidRPr="00F21FB0" w:rsidRDefault="00F21FB0" w:rsidP="00F21FB0">
            <w:pPr>
              <w:pStyle w:val="Tabletext"/>
              <w:ind w:left="284" w:hanging="284"/>
              <w:rPr>
                <w:i/>
                <w:iCs/>
              </w:rPr>
            </w:pPr>
            <w:r>
              <w:rPr>
                <w:i/>
                <w:iCs/>
              </w:rPr>
              <w:t>–</w:t>
            </w:r>
            <w:r>
              <w:rPr>
                <w:i/>
                <w:iCs/>
              </w:rPr>
              <w:tab/>
            </w:r>
            <w:r w:rsidR="00AE0549" w:rsidRPr="00F21FB0">
              <w:rPr>
                <w:i/>
                <w:iCs/>
              </w:rPr>
              <w:t>Frequency-first mapping of data bits to physical resources allows for the channel decoder to operate in a pipelined fashion, starting to decode the data block immediately when the first symbol has been received</w:t>
            </w:r>
          </w:p>
          <w:p w:rsidR="00AE0549" w:rsidRPr="00F21FB0" w:rsidRDefault="00F21FB0" w:rsidP="00F21FB0">
            <w:pPr>
              <w:pStyle w:val="Tabletext"/>
              <w:ind w:left="284" w:hanging="284"/>
              <w:rPr>
                <w:i/>
                <w:iCs/>
              </w:rPr>
            </w:pPr>
            <w:r>
              <w:rPr>
                <w:i/>
                <w:iCs/>
              </w:rPr>
              <w:t>–</w:t>
            </w:r>
            <w:r>
              <w:rPr>
                <w:i/>
                <w:iCs/>
              </w:rPr>
              <w:tab/>
            </w:r>
            <w:r w:rsidR="00AE0549" w:rsidRPr="00F21FB0">
              <w:rPr>
                <w:i/>
                <w:iCs/>
              </w:rPr>
              <w:t>Very tight UE processing time budget especially targeted for ultra-low latency device types</w:t>
            </w:r>
          </w:p>
          <w:p w:rsidR="00AE0549" w:rsidRPr="00F21FB0" w:rsidRDefault="00F21FB0" w:rsidP="00F21FB0">
            <w:pPr>
              <w:pStyle w:val="Tabletext"/>
              <w:ind w:left="284" w:hanging="284"/>
              <w:rPr>
                <w:i/>
                <w:iCs/>
              </w:rPr>
            </w:pPr>
            <w:r>
              <w:rPr>
                <w:i/>
                <w:iCs/>
              </w:rPr>
              <w:t>–</w:t>
            </w:r>
            <w:r>
              <w:rPr>
                <w:i/>
                <w:iCs/>
              </w:rPr>
              <w:tab/>
            </w:r>
            <w:r w:rsidR="00AE0549" w:rsidRPr="00F21FB0">
              <w:rPr>
                <w:i/>
                <w:iCs/>
              </w:rPr>
              <w:t>Very short scheduling interval achieved with both high subcarrier spacing (short symbol duration) and the possibility to schedule short time intervals only</w:t>
            </w:r>
          </w:p>
          <w:p w:rsidR="00AE0549" w:rsidRPr="00F21FB0" w:rsidRDefault="00F21FB0" w:rsidP="00F21FB0">
            <w:pPr>
              <w:pStyle w:val="Tabletext"/>
              <w:ind w:left="284" w:hanging="284"/>
              <w:rPr>
                <w:i/>
                <w:iCs/>
              </w:rPr>
            </w:pPr>
            <w:r>
              <w:rPr>
                <w:i/>
                <w:iCs/>
              </w:rPr>
              <w:t>–</w:t>
            </w:r>
            <w:r>
              <w:rPr>
                <w:i/>
                <w:iCs/>
              </w:rPr>
              <w:tab/>
            </w:r>
            <w:r w:rsidR="00AE0549" w:rsidRPr="00F21FB0">
              <w:rPr>
                <w:i/>
                <w:iCs/>
              </w:rPr>
              <w:t>At least an UL transmission scheme without scheduling grant is supported to reduce UL latency.</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00" w:themeColor="text1"/>
                <w:szCs w:val="22"/>
              </w:rPr>
            </w:pP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mMTC services can benefit from the following components</w:t>
            </w:r>
          </w:p>
          <w:p w:rsidR="00AE0549" w:rsidRPr="00F21FB0" w:rsidRDefault="00F21FB0" w:rsidP="00F21FB0">
            <w:pPr>
              <w:pStyle w:val="Tabletext"/>
              <w:ind w:left="284" w:hanging="284"/>
              <w:rPr>
                <w:i/>
                <w:iCs/>
              </w:rPr>
            </w:pPr>
            <w:r>
              <w:rPr>
                <w:i/>
                <w:iCs/>
              </w:rPr>
              <w:t>–</w:t>
            </w:r>
            <w:r>
              <w:rPr>
                <w:i/>
                <w:iCs/>
              </w:rPr>
              <w:tab/>
            </w:r>
            <w:r w:rsidR="00AE0549" w:rsidRPr="00F21FB0">
              <w:rPr>
                <w:i/>
                <w:iCs/>
              </w:rPr>
              <w:t>DFT-spreading and Pi/2 BPSK modulation for reduced PAPR and increased average Tx power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Slot aggregation for both control and data for better coverage</w:t>
            </w:r>
            <w:r w:rsidR="00AE0549" w:rsidRPr="00F21FB0">
              <w:rPr>
                <w:i/>
                <w:iCs/>
              </w:rPr>
              <w:tab/>
            </w:r>
          </w:p>
          <w:p w:rsidR="00AE0549" w:rsidRPr="00F21FB0" w:rsidRDefault="00F21FB0" w:rsidP="00F21FB0">
            <w:pPr>
              <w:pStyle w:val="Tabletext"/>
              <w:ind w:left="284" w:hanging="284"/>
              <w:rPr>
                <w:i/>
                <w:iCs/>
              </w:rPr>
            </w:pPr>
            <w:r>
              <w:rPr>
                <w:i/>
                <w:iCs/>
              </w:rPr>
              <w:t>–</w:t>
            </w:r>
            <w:r>
              <w:rPr>
                <w:i/>
                <w:iCs/>
              </w:rPr>
              <w:tab/>
            </w:r>
            <w:r w:rsidR="00AE0549" w:rsidRPr="00F21FB0">
              <w:rPr>
                <w:i/>
                <w:iCs/>
              </w:rPr>
              <w:t>High-aggregation level downlink control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RRC inactive state for optimized signalling overhead when moving to active state</w:t>
            </w:r>
          </w:p>
          <w:p w:rsidR="00AE0549" w:rsidRPr="00F21FB0" w:rsidRDefault="00F21FB0" w:rsidP="00F21FB0">
            <w:pPr>
              <w:pStyle w:val="Tabletext"/>
              <w:ind w:left="284" w:hanging="284"/>
              <w:rPr>
                <w:i/>
                <w:iCs/>
              </w:rPr>
            </w:pPr>
            <w:r>
              <w:rPr>
                <w:i/>
                <w:iCs/>
              </w:rPr>
              <w:t>–</w:t>
            </w:r>
            <w:r>
              <w:rPr>
                <w:i/>
                <w:iCs/>
              </w:rPr>
              <w:tab/>
            </w:r>
            <w:r w:rsidR="00AE0549" w:rsidRPr="00F21FB0">
              <w:rPr>
                <w:i/>
                <w:iCs/>
              </w:rPr>
              <w:t>Extended DRX cycle for RRC active state to improve battery life</w:t>
            </w:r>
          </w:p>
          <w:p w:rsidR="00AE0549" w:rsidRPr="00F21FB0" w:rsidRDefault="00F21FB0" w:rsidP="00F21FB0">
            <w:pPr>
              <w:pStyle w:val="Tabletext"/>
              <w:ind w:left="284" w:hanging="284"/>
              <w:rPr>
                <w:i/>
                <w:iCs/>
              </w:rPr>
            </w:pPr>
            <w:r>
              <w:rPr>
                <w:i/>
                <w:iCs/>
              </w:rPr>
              <w:t>–</w:t>
            </w:r>
            <w:r>
              <w:rPr>
                <w:i/>
                <w:iCs/>
              </w:rPr>
              <w:tab/>
            </w:r>
            <w:r w:rsidR="00AE0549" w:rsidRPr="00F21FB0">
              <w:rPr>
                <w:i/>
                <w:iCs/>
              </w:rPr>
              <w:t>Support for narrow-band (low-cost) UEs within a wide-band carrier</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URLLC, eMBB and mMTC services can coexist within the same spectrum in both time and frequency domain</w:t>
            </w:r>
            <w:r w:rsidRPr="00A604A3">
              <w:rPr>
                <w:i/>
                <w:iCs/>
                <w:color w:val="000000" w:themeColor="text1"/>
                <w:szCs w:val="22"/>
                <w:lang w:eastAsia="zh-CN"/>
              </w:rPr>
              <w:t xml:space="preserve"> in</w:t>
            </w:r>
            <w:r w:rsidRPr="00A604A3">
              <w:rPr>
                <w:i/>
                <w:iCs/>
                <w:color w:val="000000" w:themeColor="text1"/>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604A3">
              <w:rPr>
                <w:i/>
                <w:iCs/>
                <w:color w:val="000000" w:themeColor="text1"/>
                <w:szCs w:val="22"/>
                <w:lang w:eastAsia="zh-CN"/>
              </w:rPr>
              <w:t>BB</w:t>
            </w:r>
            <w:r w:rsidRPr="00A604A3">
              <w:rPr>
                <w:i/>
                <w:iCs/>
                <w:color w:val="000000" w:themeColor="text1"/>
                <w:szCs w:val="22"/>
              </w:rPr>
              <w:t xml:space="preserve"> services can be mapped to do the opposite. Different sub-carrier spacings and scheduling interval durations </w:t>
            </w:r>
            <w:r w:rsidRPr="00A604A3">
              <w:rPr>
                <w:bCs/>
                <w:i/>
                <w:color w:val="000000" w:themeColor="text1"/>
                <w:szCs w:val="22"/>
                <w:lang w:eastAsia="zh-CN"/>
              </w:rPr>
              <w:t xml:space="preserve">that are appropriate to the desired service type (e.g., different latency and data rate requirements) </w:t>
            </w:r>
            <w:r w:rsidRPr="00A604A3">
              <w:rPr>
                <w:i/>
                <w:iCs/>
                <w:color w:val="000000" w:themeColor="text1"/>
                <w:szCs w:val="22"/>
              </w:rPr>
              <w:t>can coexist in a single carrier with no need for fixed divisions within the carrier</w:t>
            </w:r>
            <w:r w:rsidRPr="00A604A3">
              <w:rPr>
                <w:i/>
                <w:iCs/>
                <w:color w:val="000000" w:themeColor="text1"/>
                <w:szCs w:val="22"/>
                <w:lang w:eastAsia="zh-CN"/>
              </w:rPr>
              <w:t xml:space="preserve">, by e.g., using </w:t>
            </w:r>
            <w:r w:rsidRPr="00A604A3">
              <w:rPr>
                <w:bCs/>
                <w:i/>
                <w:color w:val="000000" w:themeColor="text1"/>
                <w:szCs w:val="22"/>
                <w:lang w:eastAsia="zh-CN"/>
              </w:rPr>
              <w:t xml:space="preserve">spectral refinement techniques such as </w:t>
            </w:r>
            <w:r w:rsidRPr="00A604A3">
              <w:rPr>
                <w:i/>
                <w:color w:val="000000" w:themeColor="text1"/>
                <w:szCs w:val="22"/>
                <w:lang w:eastAsia="zh-CN"/>
              </w:rPr>
              <w:t>filtering, windowing, etc. with the designated waveforms for NR</w:t>
            </w:r>
            <w:r w:rsidRPr="00A604A3">
              <w:rPr>
                <w:i/>
                <w:iCs/>
                <w:color w:val="000000" w:themeColor="text1"/>
                <w:szCs w:val="22"/>
              </w:rPr>
              <w:t>.</w:t>
            </w:r>
          </w:p>
          <w:p w:rsidR="00AE0549" w:rsidRPr="00A604A3" w:rsidRDefault="00AE0549" w:rsidP="00470885">
            <w:pPr>
              <w:pStyle w:val="Tabletext"/>
              <w:rPr>
                <w:i/>
                <w:iCs/>
                <w:color w:val="000000" w:themeColor="text1"/>
                <w:szCs w:val="22"/>
                <w:lang w:eastAsia="zh-CN"/>
              </w:rPr>
            </w:pPr>
          </w:p>
          <w:p w:rsidR="00AE0549" w:rsidRPr="00A604A3" w:rsidRDefault="00AE0549" w:rsidP="00470885">
            <w:pPr>
              <w:pStyle w:val="Tabletext"/>
              <w:rPr>
                <w:rFonts w:asciiTheme="majorBidi" w:hAnsiTheme="majorBidi" w:cstheme="majorBidi"/>
                <w:b/>
                <w:bCs/>
                <w:i/>
                <w:color w:val="000000" w:themeColor="text1"/>
                <w:szCs w:val="22"/>
                <w:u w:val="single"/>
                <w:lang w:eastAsia="zh-CN"/>
              </w:rPr>
            </w:pPr>
            <w:r w:rsidRPr="00A604A3">
              <w:rPr>
                <w:rFonts w:asciiTheme="majorBidi" w:hAnsiTheme="majorBidi" w:cstheme="majorBidi"/>
                <w:b/>
                <w:bCs/>
                <w:i/>
                <w:color w:val="000000" w:themeColor="text1"/>
                <w:szCs w:val="22"/>
                <w:u w:val="single"/>
                <w:lang w:eastAsia="zh-CN"/>
              </w:rPr>
              <w:t>For LTE component RIT:</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lang w:eastAsia="zh-CN"/>
              </w:rPr>
              <w:t>LTE</w:t>
            </w:r>
            <w:r w:rsidRPr="00A604A3">
              <w:rPr>
                <w:i/>
                <w:iCs/>
                <w:color w:val="000000" w:themeColor="text1"/>
                <w:szCs w:val="22"/>
              </w:rPr>
              <w:t xml:space="preserve">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lang w:eastAsia="zh-CN"/>
              </w:rPr>
              <w:t xml:space="preserve">Specifically, </w:t>
            </w:r>
            <w:r w:rsidRPr="00A604A3">
              <w:rPr>
                <w:i/>
                <w:iCs/>
                <w:color w:val="000000" w:themeColor="text1"/>
                <w:szCs w:val="22"/>
              </w:rPr>
              <w:t xml:space="preserve">the following low latency </w:t>
            </w:r>
            <w:r w:rsidRPr="00A604A3">
              <w:rPr>
                <w:i/>
                <w:iCs/>
                <w:color w:val="000000" w:themeColor="text1"/>
                <w:szCs w:val="22"/>
                <w:lang w:eastAsia="zh-CN"/>
              </w:rPr>
              <w:t>components are enabled</w:t>
            </w:r>
          </w:p>
          <w:p w:rsidR="00AE0549" w:rsidRPr="00F21FB0" w:rsidRDefault="00F21FB0" w:rsidP="00F21FB0">
            <w:pPr>
              <w:pStyle w:val="Tabletext"/>
              <w:ind w:left="284" w:hanging="284"/>
              <w:rPr>
                <w:i/>
                <w:iCs/>
              </w:rPr>
            </w:pPr>
            <w:r>
              <w:rPr>
                <w:i/>
                <w:iCs/>
              </w:rPr>
              <w:t>–</w:t>
            </w:r>
            <w:r>
              <w:rPr>
                <w:i/>
                <w:iCs/>
              </w:rPr>
              <w:tab/>
            </w:r>
            <w:r w:rsidR="00AE0549" w:rsidRPr="00F21FB0">
              <w:rPr>
                <w:i/>
                <w:iCs/>
              </w:rPr>
              <w:t>Frequency-first mapping of data bits to physical resources allows for the channel decoder to operate in a pipelined fashion, starting to decode the data block immediately when the first symbol has been received</w:t>
            </w:r>
          </w:p>
          <w:p w:rsidR="00AE0549" w:rsidRPr="00F21FB0" w:rsidRDefault="00F21FB0" w:rsidP="00F21FB0">
            <w:pPr>
              <w:pStyle w:val="Tabletext"/>
              <w:ind w:left="284" w:hanging="284"/>
              <w:rPr>
                <w:i/>
                <w:iCs/>
              </w:rPr>
            </w:pPr>
            <w:r>
              <w:rPr>
                <w:i/>
                <w:iCs/>
              </w:rPr>
              <w:lastRenderedPageBreak/>
              <w:t>–</w:t>
            </w:r>
            <w:r>
              <w:rPr>
                <w:i/>
                <w:iCs/>
              </w:rPr>
              <w:tab/>
            </w:r>
            <w:r w:rsidR="00AE0549" w:rsidRPr="00F21FB0">
              <w:rPr>
                <w:i/>
                <w:iCs/>
              </w:rPr>
              <w:t>Short scheduling interval achieved with short TTI length (see item 5.2.3.2.7 and reference therein)</w:t>
            </w:r>
          </w:p>
          <w:p w:rsidR="00AE0549" w:rsidRPr="00F21FB0" w:rsidRDefault="00F21FB0" w:rsidP="00F21FB0">
            <w:pPr>
              <w:pStyle w:val="Tabletext"/>
              <w:ind w:left="284" w:hanging="284"/>
              <w:rPr>
                <w:i/>
                <w:iCs/>
              </w:rPr>
            </w:pPr>
            <w:r>
              <w:rPr>
                <w:i/>
                <w:iCs/>
              </w:rPr>
              <w:t>–</w:t>
            </w:r>
            <w:r>
              <w:rPr>
                <w:i/>
                <w:iCs/>
              </w:rPr>
              <w:tab/>
            </w:r>
            <w:r w:rsidR="00AE0549" w:rsidRPr="00F21FB0">
              <w:rPr>
                <w:i/>
                <w:iCs/>
              </w:rPr>
              <w:t xml:space="preserve">Configurable shorter uplink semi-persistent-scheduling (SPS) interval (can be less than 10 subframes, e.g. 1ms) is introduced to reduce uplink latency for SPS. </w:t>
            </w:r>
          </w:p>
          <w:p w:rsidR="00AE0549" w:rsidRPr="00F21FB0" w:rsidRDefault="00F21FB0" w:rsidP="00F21FB0">
            <w:pPr>
              <w:pStyle w:val="Tabletext"/>
              <w:ind w:left="284" w:hanging="284"/>
              <w:rPr>
                <w:i/>
                <w:iCs/>
              </w:rPr>
            </w:pPr>
            <w:r>
              <w:rPr>
                <w:i/>
                <w:iCs/>
              </w:rPr>
              <w:t>–</w:t>
            </w:r>
            <w:r>
              <w:rPr>
                <w:i/>
                <w:iCs/>
              </w:rPr>
              <w:tab/>
            </w:r>
            <w:r w:rsidR="00AE0549" w:rsidRPr="00F21FB0">
              <w:rPr>
                <w:i/>
                <w:iCs/>
              </w:rPr>
              <w:t>Uplink skipping mechanism is introduced for SPS to avoid resource release such that the latency of waiting for the next SPS uplink grant can be avoided.</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mMTC services </w:t>
            </w:r>
            <w:r w:rsidRPr="00A604A3">
              <w:rPr>
                <w:i/>
                <w:iCs/>
                <w:color w:val="000000" w:themeColor="text1"/>
                <w:szCs w:val="22"/>
                <w:lang w:eastAsia="zh-CN"/>
              </w:rPr>
              <w:t>are supported by NB-IoT / eMTC</w:t>
            </w:r>
          </w:p>
          <w:p w:rsidR="00AE0549" w:rsidRPr="00F21FB0" w:rsidRDefault="00F21FB0" w:rsidP="00F21FB0">
            <w:pPr>
              <w:pStyle w:val="Tabletext"/>
              <w:ind w:left="284" w:hanging="284"/>
              <w:rPr>
                <w:i/>
                <w:iCs/>
              </w:rPr>
            </w:pPr>
            <w:r>
              <w:rPr>
                <w:i/>
                <w:iCs/>
              </w:rPr>
              <w:t>–</w:t>
            </w:r>
            <w:r>
              <w:rPr>
                <w:i/>
                <w:iCs/>
              </w:rPr>
              <w:tab/>
            </w:r>
            <w:r w:rsidR="00AE0549" w:rsidRPr="00F21FB0">
              <w:rPr>
                <w:i/>
                <w:iCs/>
              </w:rPr>
              <w:t>DFT-spreading and Pi/2 BPSK (for both NB-IoT and eMTC) and Pi/4 QPSK (for NB-IoT) modulation for reduced PAPR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Repetition of a transmission for both control and data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RV cycling to improve code rates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Cyclic repetition to enable symbol-level I/Q combining and to improve frequency/timing offset tracking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Frequency hopping in eMTC to improve frequency diversity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High-aggregation level downlink control in eMTC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 xml:space="preserve">Small data transmission during random access without moving to RRC connected mode for optimized signalling overhead </w:t>
            </w:r>
          </w:p>
          <w:p w:rsidR="00AE0549" w:rsidRPr="00F21FB0" w:rsidRDefault="00F21FB0" w:rsidP="00F21FB0">
            <w:pPr>
              <w:pStyle w:val="Tabletext"/>
              <w:ind w:left="284" w:hanging="284"/>
              <w:rPr>
                <w:i/>
                <w:iCs/>
              </w:rPr>
            </w:pPr>
            <w:r>
              <w:rPr>
                <w:i/>
                <w:iCs/>
              </w:rPr>
              <w:t>–</w:t>
            </w:r>
            <w:r>
              <w:rPr>
                <w:i/>
                <w:iCs/>
              </w:rPr>
              <w:tab/>
            </w:r>
            <w:r w:rsidR="00AE0549" w:rsidRPr="00F21FB0">
              <w:rPr>
                <w:i/>
                <w:iCs/>
              </w:rPr>
              <w:t>PSM mode and extended DRX cycle for RRC IDLE mode to improve battery life</w:t>
            </w:r>
          </w:p>
          <w:p w:rsidR="00AE0549" w:rsidRPr="00F21FB0" w:rsidRDefault="00F21FB0" w:rsidP="00F21FB0">
            <w:pPr>
              <w:pStyle w:val="Tabletext"/>
              <w:ind w:left="284" w:hanging="284"/>
              <w:rPr>
                <w:i/>
                <w:iCs/>
              </w:rPr>
            </w:pPr>
            <w:r>
              <w:rPr>
                <w:i/>
                <w:iCs/>
              </w:rPr>
              <w:t>–</w:t>
            </w:r>
            <w:r>
              <w:rPr>
                <w:i/>
                <w:iCs/>
              </w:rPr>
              <w:tab/>
            </w:r>
            <w:r w:rsidR="00AE0549" w:rsidRPr="00F21FB0">
              <w:rPr>
                <w:i/>
                <w:iCs/>
              </w:rPr>
              <w:t>Support for narrow-band (low-cost) UEs within a wide-band carrier system; 1.08 MHz for eMTC and 180kHz for NB-IoT.</w:t>
            </w:r>
          </w:p>
          <w:p w:rsidR="00AE0549" w:rsidRPr="00A604A3" w:rsidRDefault="00F21FB0" w:rsidP="00F21FB0">
            <w:pPr>
              <w:pStyle w:val="Tabletext"/>
              <w:ind w:left="284" w:hanging="284"/>
              <w:rPr>
                <w:lang w:eastAsia="zh-CN"/>
              </w:rPr>
            </w:pPr>
            <w:r>
              <w:rPr>
                <w:i/>
                <w:iCs/>
              </w:rPr>
              <w:t>–</w:t>
            </w:r>
            <w:r>
              <w:rPr>
                <w:i/>
                <w:iCs/>
              </w:rPr>
              <w:tab/>
            </w:r>
            <w:r w:rsidR="00AE0549" w:rsidRPr="00F21FB0">
              <w:rPr>
                <w:i/>
                <w:iCs/>
              </w:rPr>
              <w:t>Support for single sub-carrier and sub-PRB (3 and 6 subcarriers) uplink transmission in NB-IoT, and sub-PRB (3 and 6 subcarriers) transmission for eMTC, to increase connection density in extended coverage</w:t>
            </w:r>
          </w:p>
          <w:p w:rsidR="00AE0549" w:rsidRPr="00A604A3" w:rsidRDefault="00AE0549" w:rsidP="00470885">
            <w:pPr>
              <w:pStyle w:val="Tabletext"/>
              <w:rPr>
                <w:i/>
                <w:iCs/>
                <w:color w:val="000000" w:themeColor="text1"/>
                <w:szCs w:val="22"/>
                <w:lang w:eastAsia="zh-CN"/>
              </w:rPr>
            </w:pPr>
          </w:p>
          <w:p w:rsidR="00AE0549" w:rsidRPr="00A604A3" w:rsidRDefault="00AE0549" w:rsidP="00470885">
            <w:pPr>
              <w:pStyle w:val="Tabletext"/>
              <w:rPr>
                <w:i/>
                <w:iCs/>
                <w:color w:val="000000" w:themeColor="text1"/>
                <w:szCs w:val="22"/>
                <w:lang w:eastAsia="zh-CN"/>
              </w:rPr>
            </w:pPr>
            <w:r w:rsidRPr="00A604A3">
              <w:rPr>
                <w:bCs/>
                <w:i/>
                <w:color w:val="000000" w:themeColor="text1"/>
                <w:szCs w:val="22"/>
                <w:lang w:eastAsia="zh-CN"/>
              </w:rPr>
              <w:t xml:space="preserve">LTE is capable of deploying a range of services, e.g., mMTC and eMBB services, on a single continuous block of spectrum, by e.g., eMTC in-band operation or NB-IoT with in-band / guard-band operation (see item </w:t>
            </w:r>
            <w:r w:rsidRPr="00A604A3">
              <w:rPr>
                <w:i/>
                <w:color w:val="000000" w:themeColor="text1"/>
                <w:szCs w:val="22"/>
              </w:rPr>
              <w:t>5.2.3.2.8.1</w:t>
            </w:r>
            <w:r w:rsidRPr="00A604A3">
              <w:rPr>
                <w:rFonts w:asciiTheme="minorEastAsia" w:hAnsiTheme="minorEastAsia"/>
                <w:i/>
                <w:color w:val="000000" w:themeColor="text1"/>
                <w:szCs w:val="22"/>
                <w:lang w:eastAsia="zh-CN"/>
              </w:rPr>
              <w:t xml:space="preserve"> </w:t>
            </w:r>
            <w:r w:rsidRPr="00A604A3">
              <w:rPr>
                <w:bCs/>
                <w:i/>
                <w:color w:val="000000" w:themeColor="text1"/>
                <w:szCs w:val="22"/>
                <w:lang w:eastAsia="zh-CN"/>
              </w:rPr>
              <w:t>for more details).</w:t>
            </w:r>
          </w:p>
        </w:tc>
      </w:tr>
    </w:tbl>
    <w:p w:rsidR="00AE0549" w:rsidRPr="00A604A3" w:rsidRDefault="00AE0549" w:rsidP="00F21FB0">
      <w:pPr>
        <w:pStyle w:val="Tablefin"/>
      </w:pPr>
    </w:p>
    <w:p w:rsidR="00F21FB0" w:rsidRDefault="00F21FB0" w:rsidP="00F21FB0">
      <w:pPr>
        <w:pStyle w:val="TableNo"/>
        <w:rPr>
          <w:lang w:eastAsia="zh-CN"/>
        </w:rPr>
      </w:pPr>
      <w:bookmarkStart w:id="646" w:name="_Ref31905606"/>
      <w:r>
        <w:rPr>
          <w:lang w:eastAsia="zh-CN"/>
        </w:rPr>
        <w:t>Table 134</w:t>
      </w:r>
    </w:p>
    <w:p w:rsidR="00AE0549" w:rsidRPr="00A604A3" w:rsidRDefault="00AE0549" w:rsidP="00B9591C">
      <w:pPr>
        <w:pStyle w:val="Tabletitle"/>
      </w:pPr>
      <w:r w:rsidRPr="00A604A3">
        <w:rPr>
          <w:lang w:eastAsia="zh-CN"/>
        </w:rPr>
        <w:t>Characteristics template for Support of Wide Range of Services for NR RIT 5G</w:t>
      </w:r>
      <w:bookmarkEnd w:id="646"/>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085"/>
      </w:tblGrid>
      <w:tr w:rsidR="00AE0549" w:rsidRPr="00A604A3" w:rsidTr="00BA42A4">
        <w:trPr>
          <w:jc w:val="center"/>
        </w:trPr>
        <w:tc>
          <w:tcPr>
            <w:tcW w:w="1589" w:type="dxa"/>
          </w:tcPr>
          <w:p w:rsidR="00AE0549" w:rsidRPr="00A604A3" w:rsidRDefault="00AE0549" w:rsidP="00470885">
            <w:pPr>
              <w:pStyle w:val="Tabletext"/>
              <w:rPr>
                <w:rFonts w:eastAsia="SimSun"/>
                <w:b/>
                <w:color w:val="000000" w:themeColor="text1"/>
                <w:sz w:val="22"/>
                <w:szCs w:val="22"/>
              </w:rPr>
            </w:pPr>
            <w:r w:rsidRPr="00A604A3">
              <w:rPr>
                <w:rFonts w:asciiTheme="majorBidi" w:hAnsiTheme="majorBidi" w:cstheme="majorBidi"/>
                <w:b/>
                <w:color w:val="000000" w:themeColor="text1"/>
                <w:sz w:val="22"/>
                <w:szCs w:val="22"/>
                <w:lang w:eastAsia="ja-JP"/>
              </w:rPr>
              <w:t>5.2.3.2.</w:t>
            </w:r>
            <w:r w:rsidRPr="00A604A3">
              <w:rPr>
                <w:rFonts w:asciiTheme="majorBidi" w:hAnsiTheme="majorBidi" w:cstheme="majorBidi"/>
                <w:b/>
                <w:color w:val="000000" w:themeColor="text1"/>
                <w:sz w:val="22"/>
                <w:szCs w:val="22"/>
                <w:lang w:eastAsia="zh-CN"/>
              </w:rPr>
              <w:t>23</w:t>
            </w:r>
          </w:p>
        </w:tc>
        <w:tc>
          <w:tcPr>
            <w:tcW w:w="8085" w:type="dxa"/>
          </w:tcPr>
          <w:p w:rsidR="00AE0549" w:rsidRPr="00A604A3" w:rsidRDefault="00AE0549" w:rsidP="00470885">
            <w:pPr>
              <w:pStyle w:val="Tabletext"/>
              <w:rPr>
                <w:b/>
                <w:color w:val="000000" w:themeColor="text1"/>
                <w:sz w:val="22"/>
                <w:szCs w:val="22"/>
              </w:rPr>
            </w:pPr>
            <w:r w:rsidRPr="00A604A3">
              <w:rPr>
                <w:rFonts w:asciiTheme="majorBidi" w:hAnsiTheme="majorBidi" w:cstheme="majorBidi"/>
                <w:b/>
                <w:color w:val="000000" w:themeColor="text1"/>
                <w:sz w:val="22"/>
                <w:szCs w:val="22"/>
                <w:lang w:eastAsia="ja-JP"/>
              </w:rPr>
              <w:t>Support for wide range of services NR RIT of 5G</w:t>
            </w:r>
          </w:p>
        </w:tc>
      </w:tr>
      <w:tr w:rsidR="00AE0549" w:rsidRPr="00A604A3" w:rsidTr="00BA42A4">
        <w:trPr>
          <w:jc w:val="center"/>
        </w:trPr>
        <w:tc>
          <w:tcPr>
            <w:tcW w:w="1589"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.1</w:t>
            </w:r>
          </w:p>
        </w:tc>
        <w:tc>
          <w:tcPr>
            <w:tcW w:w="8085"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what kind of services/applications can be supported in each usage scenarios in Recommendation ITU-R M.2083 (eMBB, URLLC, and mMTC).</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This proposal targets to support a wide range of services across the diverse usage scenarios including eMBB, URLLC, and mMTC envisaged in Recommendation ITU-R M.2083.</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The example services supported by this proposal include the services defined in</w:t>
            </w:r>
            <w:r w:rsidRPr="00A604A3">
              <w:rPr>
                <w:color w:val="000000" w:themeColor="text1"/>
                <w:sz w:val="16"/>
              </w:rPr>
              <w:t xml:space="preserve"> </w:t>
            </w:r>
            <w:r w:rsidRPr="00A604A3">
              <w:rPr>
                <w:rFonts w:asciiTheme="majorBidi" w:hAnsiTheme="majorBidi" w:cstheme="majorBidi"/>
                <w:bCs/>
                <w:i/>
                <w:color w:val="000000" w:themeColor="text1"/>
                <w:szCs w:val="22"/>
                <w:lang w:eastAsia="zh-CN"/>
              </w:rPr>
              <w:t>Recommendation ITU-R M.1822, [22.261], and other services, such as</w:t>
            </w:r>
          </w:p>
          <w:p w:rsidR="00AE0549" w:rsidRPr="00A604A3" w:rsidRDefault="00B9591C" w:rsidP="00B9591C">
            <w:pPr>
              <w:pStyle w:val="Tabletext"/>
              <w:ind w:left="284" w:hanging="284"/>
              <w:rPr>
                <w:bCs/>
                <w:i/>
                <w:color w:val="000000" w:themeColor="text1"/>
                <w:szCs w:val="22"/>
                <w:lang w:eastAsia="zh-CN"/>
              </w:rPr>
            </w:pPr>
            <w:r>
              <w:rPr>
                <w:rFonts w:asciiTheme="majorBidi" w:hAnsiTheme="majorBidi" w:cstheme="majorBidi"/>
                <w:bCs/>
                <w:i/>
                <w:color w:val="000000" w:themeColor="text1"/>
                <w:szCs w:val="22"/>
                <w:lang w:eastAsia="zh-CN"/>
              </w:rPr>
              <w:t>–</w:t>
            </w:r>
            <w:r>
              <w:rPr>
                <w:rFonts w:asciiTheme="majorBidi" w:hAnsiTheme="majorBidi" w:cstheme="majorBidi"/>
                <w:bCs/>
                <w:i/>
                <w:color w:val="000000" w:themeColor="text1"/>
                <w:szCs w:val="22"/>
                <w:lang w:eastAsia="zh-CN"/>
              </w:rPr>
              <w:tab/>
            </w:r>
            <w:r w:rsidR="00AE0549" w:rsidRPr="00A604A3">
              <w:rPr>
                <w:rFonts w:asciiTheme="majorBidi" w:hAnsiTheme="majorBidi" w:cstheme="majorBidi"/>
                <w:bCs/>
                <w:i/>
                <w:color w:val="000000" w:themeColor="text1"/>
                <w:szCs w:val="22"/>
                <w:lang w:eastAsia="zh-CN"/>
              </w:rPr>
              <w:t xml:space="preserve">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AE0549" w:rsidRPr="00A604A3" w:rsidRDefault="00B9591C" w:rsidP="00B9591C">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URLLC services including transportation safety, smart grid, mobile health application, wireless industry automation, etc.</w:t>
            </w:r>
          </w:p>
          <w:p w:rsidR="00AE0549" w:rsidRPr="00A604A3" w:rsidRDefault="00B9591C" w:rsidP="00B9591C">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mMTC services including smart city, smart home applications, and other machine-type communication (also known as Machine-to-Machine (M2M)) services.</w:t>
            </w:r>
          </w:p>
        </w:tc>
      </w:tr>
      <w:tr w:rsidR="00AE0549" w:rsidRPr="00A604A3" w:rsidTr="00BA42A4">
        <w:trPr>
          <w:jc w:val="center"/>
        </w:trPr>
        <w:tc>
          <w:tcPr>
            <w:tcW w:w="1589"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.2</w:t>
            </w:r>
          </w:p>
        </w:tc>
        <w:tc>
          <w:tcPr>
            <w:tcW w:w="8085"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NR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rPr>
            </w:pPr>
            <w:r w:rsidRPr="00A604A3">
              <w:rPr>
                <w:i/>
                <w:iCs/>
                <w:color w:val="000000" w:themeColor="text1"/>
                <w:szCs w:val="22"/>
                <w:lang w:eastAsia="zh-CN"/>
              </w:rPr>
              <w:lastRenderedPageBreak/>
              <w:t xml:space="preserve">Specifically, </w:t>
            </w:r>
            <w:r w:rsidRPr="00A604A3">
              <w:rPr>
                <w:i/>
                <w:iCs/>
                <w:color w:val="000000" w:themeColor="text1"/>
                <w:szCs w:val="22"/>
              </w:rPr>
              <w:t>the following low latency structures cater especially to the URLLC services</w:t>
            </w:r>
          </w:p>
          <w:p w:rsidR="00AE0549" w:rsidRPr="00BA42A4" w:rsidRDefault="00BA42A4" w:rsidP="00BA42A4">
            <w:pPr>
              <w:pStyle w:val="Tabletext"/>
              <w:ind w:left="284" w:hanging="284"/>
              <w:rPr>
                <w:i/>
                <w:iCs/>
              </w:rPr>
            </w:pPr>
            <w:r>
              <w:rPr>
                <w:i/>
                <w:iCs/>
              </w:rPr>
              <w:t>–</w:t>
            </w:r>
            <w:r>
              <w:rPr>
                <w:i/>
                <w:iCs/>
              </w:rPr>
              <w:tab/>
            </w:r>
            <w:r w:rsidR="00AE0549" w:rsidRPr="00BA42A4">
              <w:rPr>
                <w:i/>
                <w:iCs/>
              </w:rPr>
              <w:t>Front loaded DMRS allows for the channel estimate to be ready before the full data block is received</w:t>
            </w:r>
          </w:p>
          <w:p w:rsidR="00AE0549" w:rsidRPr="00BA42A4" w:rsidRDefault="00BA42A4" w:rsidP="00BA42A4">
            <w:pPr>
              <w:pStyle w:val="Tabletext"/>
              <w:ind w:left="284" w:hanging="284"/>
              <w:rPr>
                <w:i/>
                <w:iCs/>
              </w:rPr>
            </w:pPr>
            <w:r>
              <w:rPr>
                <w:i/>
                <w:iCs/>
              </w:rPr>
              <w:t>–</w:t>
            </w:r>
            <w:r>
              <w:rPr>
                <w:i/>
                <w:iCs/>
              </w:rPr>
              <w:tab/>
            </w:r>
            <w:r w:rsidR="00AE0549" w:rsidRPr="00BA42A4">
              <w:rPr>
                <w:i/>
                <w:iCs/>
              </w:rPr>
              <w:t>Frequency-first mapping of data bits to physical resources allows for the channel decoder to operate in a pipelined fashion, starting to decode the data block immediately when the first symbol has been received</w:t>
            </w:r>
          </w:p>
          <w:p w:rsidR="00AE0549" w:rsidRPr="00BA42A4" w:rsidRDefault="00BA42A4" w:rsidP="00BA42A4">
            <w:pPr>
              <w:pStyle w:val="Tabletext"/>
              <w:ind w:left="284" w:hanging="284"/>
              <w:rPr>
                <w:i/>
                <w:iCs/>
              </w:rPr>
            </w:pPr>
            <w:r>
              <w:rPr>
                <w:i/>
                <w:iCs/>
              </w:rPr>
              <w:t>–</w:t>
            </w:r>
            <w:r>
              <w:rPr>
                <w:i/>
                <w:iCs/>
              </w:rPr>
              <w:tab/>
            </w:r>
            <w:r w:rsidR="00AE0549" w:rsidRPr="00BA42A4">
              <w:rPr>
                <w:i/>
                <w:iCs/>
              </w:rPr>
              <w:t>Very tight UE processing time budget especially targeted for ultra-low latency device types</w:t>
            </w:r>
          </w:p>
          <w:p w:rsidR="00AE0549" w:rsidRPr="00BA42A4" w:rsidRDefault="00BA42A4" w:rsidP="00BA42A4">
            <w:pPr>
              <w:pStyle w:val="Tabletext"/>
              <w:ind w:left="284" w:hanging="284"/>
              <w:rPr>
                <w:i/>
                <w:iCs/>
              </w:rPr>
            </w:pPr>
            <w:r>
              <w:rPr>
                <w:i/>
                <w:iCs/>
              </w:rPr>
              <w:t>–</w:t>
            </w:r>
            <w:r>
              <w:rPr>
                <w:i/>
                <w:iCs/>
              </w:rPr>
              <w:tab/>
            </w:r>
            <w:r w:rsidR="00AE0549" w:rsidRPr="00BA42A4">
              <w:rPr>
                <w:i/>
                <w:iCs/>
              </w:rPr>
              <w:t>Very short scheduling interval achieved with both high subcarrier spacing (short symbol duration) and the possibility to schedule short time intervals only</w:t>
            </w:r>
          </w:p>
          <w:p w:rsidR="00AE0549" w:rsidRPr="00BA42A4" w:rsidRDefault="00BA42A4" w:rsidP="00BA42A4">
            <w:pPr>
              <w:pStyle w:val="Tabletext"/>
              <w:ind w:left="284" w:hanging="284"/>
              <w:rPr>
                <w:i/>
                <w:iCs/>
              </w:rPr>
            </w:pPr>
            <w:r>
              <w:rPr>
                <w:i/>
                <w:iCs/>
              </w:rPr>
              <w:t>–</w:t>
            </w:r>
            <w:r>
              <w:rPr>
                <w:i/>
                <w:iCs/>
              </w:rPr>
              <w:tab/>
            </w:r>
            <w:r w:rsidR="00AE0549" w:rsidRPr="00BA42A4">
              <w:rPr>
                <w:i/>
                <w:iCs/>
              </w:rPr>
              <w:t>At least an UL transmission scheme without scheduling grant is supported to reduce UL latency.</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00" w:themeColor="text1"/>
                <w:szCs w:val="22"/>
              </w:rPr>
            </w:pPr>
            <w:r w:rsidRPr="00A604A3">
              <w:rPr>
                <w:i/>
                <w:iCs/>
                <w:color w:val="000000" w:themeColor="text1"/>
                <w:szCs w:val="22"/>
              </w:rPr>
              <w:tab/>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mMTC services can benefit from the following components</w:t>
            </w:r>
          </w:p>
          <w:p w:rsidR="00AE0549" w:rsidRPr="00BA42A4" w:rsidRDefault="00BA42A4" w:rsidP="00BA42A4">
            <w:pPr>
              <w:pStyle w:val="Tabletext"/>
              <w:ind w:left="284" w:hanging="284"/>
              <w:rPr>
                <w:i/>
                <w:iCs/>
              </w:rPr>
            </w:pPr>
            <w:r>
              <w:rPr>
                <w:i/>
                <w:iCs/>
              </w:rPr>
              <w:t>–</w:t>
            </w:r>
            <w:r>
              <w:rPr>
                <w:i/>
                <w:iCs/>
              </w:rPr>
              <w:tab/>
            </w:r>
            <w:r w:rsidR="00AE0549" w:rsidRPr="00BA42A4">
              <w:rPr>
                <w:i/>
                <w:iCs/>
              </w:rPr>
              <w:t>DFT-spreading and Pi/2 BPSK modulation for reduced PAPR and increased average Tx power for better coverage</w:t>
            </w:r>
          </w:p>
          <w:p w:rsidR="00AE0549" w:rsidRPr="00BA42A4" w:rsidRDefault="00BA42A4" w:rsidP="00BA42A4">
            <w:pPr>
              <w:pStyle w:val="Tabletext"/>
              <w:ind w:left="284" w:hanging="284"/>
              <w:rPr>
                <w:i/>
                <w:iCs/>
              </w:rPr>
            </w:pPr>
            <w:r>
              <w:rPr>
                <w:i/>
                <w:iCs/>
              </w:rPr>
              <w:t>–</w:t>
            </w:r>
            <w:r>
              <w:rPr>
                <w:i/>
                <w:iCs/>
              </w:rPr>
              <w:tab/>
            </w:r>
            <w:r w:rsidR="00AE0549" w:rsidRPr="00BA42A4">
              <w:rPr>
                <w:i/>
                <w:iCs/>
              </w:rPr>
              <w:t>Slot aggregation for both control and data for better coverage</w:t>
            </w:r>
            <w:r w:rsidR="00AE0549" w:rsidRPr="00BA42A4">
              <w:rPr>
                <w:i/>
                <w:iCs/>
              </w:rPr>
              <w:tab/>
            </w:r>
          </w:p>
          <w:p w:rsidR="00AE0549" w:rsidRPr="00BA42A4" w:rsidRDefault="00BA42A4" w:rsidP="00BA42A4">
            <w:pPr>
              <w:pStyle w:val="Tabletext"/>
              <w:ind w:left="284" w:hanging="284"/>
              <w:rPr>
                <w:i/>
                <w:iCs/>
              </w:rPr>
            </w:pPr>
            <w:r>
              <w:rPr>
                <w:i/>
                <w:iCs/>
              </w:rPr>
              <w:t>–</w:t>
            </w:r>
            <w:r>
              <w:rPr>
                <w:i/>
                <w:iCs/>
              </w:rPr>
              <w:tab/>
            </w:r>
            <w:r w:rsidR="00AE0549" w:rsidRPr="00BA42A4">
              <w:rPr>
                <w:i/>
                <w:iCs/>
              </w:rPr>
              <w:t>High-aggregation level downlink control for better coverage</w:t>
            </w:r>
          </w:p>
          <w:p w:rsidR="00AE0549" w:rsidRPr="00BA42A4" w:rsidRDefault="00BA42A4" w:rsidP="00BA42A4">
            <w:pPr>
              <w:pStyle w:val="Tabletext"/>
              <w:ind w:left="284" w:hanging="284"/>
              <w:rPr>
                <w:i/>
                <w:iCs/>
              </w:rPr>
            </w:pPr>
            <w:r>
              <w:rPr>
                <w:i/>
                <w:iCs/>
              </w:rPr>
              <w:t>–</w:t>
            </w:r>
            <w:r>
              <w:rPr>
                <w:i/>
                <w:iCs/>
              </w:rPr>
              <w:tab/>
            </w:r>
            <w:r w:rsidR="00AE0549" w:rsidRPr="00BA42A4">
              <w:rPr>
                <w:i/>
                <w:iCs/>
              </w:rPr>
              <w:t>RRC inactive state for optimized signalling overhead when moving to active state</w:t>
            </w:r>
          </w:p>
          <w:p w:rsidR="00AE0549" w:rsidRPr="00BA42A4" w:rsidRDefault="00BA42A4" w:rsidP="00BA42A4">
            <w:pPr>
              <w:pStyle w:val="Tabletext"/>
              <w:ind w:left="284" w:hanging="284"/>
              <w:rPr>
                <w:i/>
                <w:iCs/>
              </w:rPr>
            </w:pPr>
            <w:r>
              <w:rPr>
                <w:i/>
                <w:iCs/>
              </w:rPr>
              <w:t>–</w:t>
            </w:r>
            <w:r>
              <w:rPr>
                <w:i/>
                <w:iCs/>
              </w:rPr>
              <w:tab/>
            </w:r>
            <w:r w:rsidR="00AE0549" w:rsidRPr="00BA42A4">
              <w:rPr>
                <w:i/>
                <w:iCs/>
              </w:rPr>
              <w:t>Extended DRX cycle for RRC active state to improve battery life</w:t>
            </w:r>
          </w:p>
          <w:p w:rsidR="00AE0549" w:rsidRPr="00BA42A4" w:rsidRDefault="00BA42A4" w:rsidP="00BA42A4">
            <w:pPr>
              <w:pStyle w:val="Tabletext"/>
              <w:ind w:left="284" w:hanging="284"/>
              <w:rPr>
                <w:i/>
                <w:iCs/>
              </w:rPr>
            </w:pPr>
            <w:r>
              <w:rPr>
                <w:i/>
                <w:iCs/>
              </w:rPr>
              <w:t>–</w:t>
            </w:r>
            <w:r>
              <w:rPr>
                <w:i/>
                <w:iCs/>
              </w:rPr>
              <w:tab/>
            </w:r>
            <w:r w:rsidR="00AE0549" w:rsidRPr="00BA42A4">
              <w:rPr>
                <w:i/>
                <w:iCs/>
              </w:rPr>
              <w:t>Support for narrow-band (low-cost) UEs within a wide-band carrier</w:t>
            </w:r>
          </w:p>
          <w:p w:rsidR="00AE0549" w:rsidRPr="00A604A3" w:rsidRDefault="00AE0549" w:rsidP="00BA42A4">
            <w:pPr>
              <w:pStyle w:val="Tabletext"/>
              <w:rPr>
                <w:i/>
                <w:iCs/>
                <w:color w:val="000000" w:themeColor="text1"/>
                <w:szCs w:val="22"/>
                <w:lang w:eastAsia="zh-CN"/>
              </w:rPr>
            </w:pPr>
            <w:r w:rsidRPr="00A604A3">
              <w:rPr>
                <w:i/>
                <w:iCs/>
                <w:color w:val="000000" w:themeColor="text1"/>
                <w:szCs w:val="22"/>
              </w:rPr>
              <w:t>URLLC, eMBB and mMTC services can coexist within the same spectrum in both time and frequency domain</w:t>
            </w:r>
            <w:r w:rsidRPr="00A604A3">
              <w:rPr>
                <w:i/>
                <w:iCs/>
                <w:color w:val="000000" w:themeColor="text1"/>
                <w:szCs w:val="22"/>
                <w:lang w:eastAsia="zh-CN"/>
              </w:rPr>
              <w:t xml:space="preserve"> in</w:t>
            </w:r>
            <w:r w:rsidRPr="00A604A3">
              <w:rPr>
                <w:i/>
                <w:iCs/>
                <w:color w:val="000000" w:themeColor="text1"/>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604A3">
              <w:rPr>
                <w:i/>
                <w:iCs/>
                <w:color w:val="000000" w:themeColor="text1"/>
                <w:szCs w:val="22"/>
                <w:lang w:eastAsia="zh-CN"/>
              </w:rPr>
              <w:t>BB</w:t>
            </w:r>
            <w:r w:rsidRPr="00A604A3">
              <w:rPr>
                <w:i/>
                <w:iCs/>
                <w:color w:val="000000" w:themeColor="text1"/>
                <w:szCs w:val="22"/>
              </w:rPr>
              <w:t xml:space="preserve"> services can be mapped to do the opposite. Different sub-carrier spacings and scheduling interval durations </w:t>
            </w:r>
            <w:r w:rsidRPr="00A604A3">
              <w:rPr>
                <w:bCs/>
                <w:i/>
                <w:color w:val="000000" w:themeColor="text1"/>
                <w:szCs w:val="22"/>
                <w:lang w:eastAsia="zh-CN"/>
              </w:rPr>
              <w:t xml:space="preserve">that are appropriate to the desired service type (e.g., different latency and data rate requirements) </w:t>
            </w:r>
            <w:r w:rsidRPr="00A604A3">
              <w:rPr>
                <w:i/>
                <w:iCs/>
                <w:color w:val="000000" w:themeColor="text1"/>
                <w:szCs w:val="22"/>
              </w:rPr>
              <w:t>can coexist in a single carrier with no need for fixed divisions within the carrier</w:t>
            </w:r>
            <w:r w:rsidRPr="00A604A3">
              <w:rPr>
                <w:i/>
                <w:iCs/>
                <w:color w:val="000000" w:themeColor="text1"/>
                <w:szCs w:val="22"/>
                <w:lang w:eastAsia="zh-CN"/>
              </w:rPr>
              <w:t xml:space="preserve">, by e.g., using </w:t>
            </w:r>
            <w:r w:rsidRPr="00A604A3">
              <w:rPr>
                <w:bCs/>
                <w:i/>
                <w:color w:val="000000" w:themeColor="text1"/>
                <w:szCs w:val="22"/>
                <w:lang w:eastAsia="zh-CN"/>
              </w:rPr>
              <w:t xml:space="preserve">spectral refinement techniques such as </w:t>
            </w:r>
            <w:r w:rsidRPr="00A604A3">
              <w:rPr>
                <w:i/>
                <w:color w:val="000000" w:themeColor="text1"/>
                <w:szCs w:val="22"/>
                <w:lang w:eastAsia="zh-CN"/>
              </w:rPr>
              <w:t>filtering, windowing, etc. with the designated waveforms for NR</w:t>
            </w:r>
            <w:r w:rsidRPr="00A604A3">
              <w:rPr>
                <w:i/>
                <w:iCs/>
                <w:color w:val="000000" w:themeColor="text1"/>
                <w:szCs w:val="22"/>
              </w:rPr>
              <w:t>.</w:t>
            </w:r>
          </w:p>
        </w:tc>
      </w:tr>
    </w:tbl>
    <w:p w:rsidR="00AE0549" w:rsidRPr="00A604A3" w:rsidRDefault="00AE0549" w:rsidP="00BA42A4">
      <w:pPr>
        <w:pStyle w:val="Tablefin"/>
      </w:pPr>
    </w:p>
    <w:p w:rsidR="00AE0549" w:rsidRPr="00A604A3" w:rsidRDefault="00AE0549" w:rsidP="00BA42A4">
      <w:r w:rsidRPr="00A604A3">
        <w:t>The Recommendation ITU-R M.1822 [22] is used as a reference as in the Table 133 and Table 134 above especially for the eMBB services definition although this recommendation was already finalized in 2007 and refers to IMT Advanced. Thus, the 3GPP proposal for the eMBB usage scenario categorizes services as conversational, interactive and streaming.</w:t>
      </w:r>
    </w:p>
    <w:p w:rsidR="00AE0549" w:rsidRPr="00A604A3" w:rsidRDefault="00BA42A4" w:rsidP="00BA42A4">
      <w:pPr>
        <w:pStyle w:val="Heading4"/>
      </w:pPr>
      <w:r>
        <w:t>II.5.15.2</w:t>
      </w:r>
      <w:r>
        <w:tab/>
      </w:r>
      <w:r w:rsidR="00AE0549" w:rsidRPr="00A604A3">
        <w:t>Conclusion</w:t>
      </w:r>
    </w:p>
    <w:p w:rsidR="00AE0549" w:rsidRPr="00A604A3" w:rsidRDefault="00AE0549" w:rsidP="00BA42A4">
      <w:r w:rsidRPr="00A604A3">
        <w:t>The combination of the 3GPP submissions on</w:t>
      </w:r>
    </w:p>
    <w:p w:rsidR="00AE0549" w:rsidRPr="00A604A3" w:rsidRDefault="00BA42A4" w:rsidP="00BA42A4">
      <w:pPr>
        <w:pStyle w:val="enumlev1"/>
        <w:rPr>
          <w:lang w:eastAsia="zh-CN"/>
        </w:rPr>
      </w:pPr>
      <w:bookmarkStart w:id="647" w:name="_Toc32066506"/>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47"/>
    </w:p>
    <w:p w:rsidR="00AE0549" w:rsidRPr="00A604A3" w:rsidRDefault="00BA42A4" w:rsidP="00BA42A4">
      <w:pPr>
        <w:pStyle w:val="enumlev1"/>
        <w:rPr>
          <w:lang w:eastAsia="zh-CN"/>
        </w:rPr>
      </w:pPr>
      <w:bookmarkStart w:id="648" w:name="_Toc32066507"/>
      <w:r>
        <w:rPr>
          <w:lang w:eastAsia="zh-CN"/>
        </w:rPr>
        <w:t>–</w:t>
      </w:r>
      <w:r>
        <w:rPr>
          <w:lang w:eastAsia="zh-CN"/>
        </w:rPr>
        <w:tab/>
      </w:r>
      <w:r w:rsidR="00AE0549" w:rsidRPr="00A604A3">
        <w:rPr>
          <w:lang w:eastAsia="zh-CN"/>
        </w:rPr>
        <w:t>NR RIT of 5G (Release 15 and beyond)</w:t>
      </w:r>
      <w:bookmarkEnd w:id="648"/>
    </w:p>
    <w:p w:rsidR="00AE0549" w:rsidRPr="00A604A3" w:rsidRDefault="00AE0549" w:rsidP="00BA42A4">
      <w:r w:rsidRPr="00A604A3">
        <w:t>support diverse services and applications in the three usage scenarios namely, eMBB, URLLC, mMTC meeting the requirements of ITU in [1].</w:t>
      </w:r>
    </w:p>
    <w:p w:rsidR="00AE0549" w:rsidRPr="00A604A3" w:rsidRDefault="00AE0549" w:rsidP="00BA42A4">
      <w:r w:rsidRPr="00A604A3">
        <w:t>All the characteristics evaluated in this report meet the minimum requirements in order to support wide range of services in various scenarios and environments.</w:t>
      </w:r>
    </w:p>
    <w:p w:rsidR="00AE0549" w:rsidRPr="00A604A3" w:rsidRDefault="00AE0549" w:rsidP="00470885">
      <w:pPr>
        <w:spacing w:before="0"/>
      </w:pPr>
    </w:p>
    <w:p w:rsidR="00AE0549" w:rsidRPr="00A604A3" w:rsidRDefault="00AE0549" w:rsidP="00470885">
      <w:pPr>
        <w:spacing w:before="0"/>
      </w:pPr>
    </w:p>
    <w:p w:rsidR="00AE0549" w:rsidRPr="00A604A3" w:rsidRDefault="00AE0549" w:rsidP="00470885">
      <w:pPr>
        <w:spacing w:before="0"/>
        <w:sectPr w:rsidR="00AE0549" w:rsidRPr="00A604A3" w:rsidSect="00470885">
          <w:pgSz w:w="11906" w:h="16838" w:code="9"/>
          <w:pgMar w:top="1440" w:right="1440" w:bottom="1440" w:left="1440" w:header="709" w:footer="709" w:gutter="0"/>
          <w:cols w:space="708"/>
          <w:docGrid w:linePitch="360"/>
        </w:sectPr>
      </w:pPr>
    </w:p>
    <w:p w:rsidR="00AE0549" w:rsidRPr="00A604A3" w:rsidRDefault="00604502" w:rsidP="00604502">
      <w:pPr>
        <w:pStyle w:val="Heading3"/>
      </w:pPr>
      <w:bookmarkStart w:id="649" w:name="_Toc32412976"/>
      <w:r>
        <w:lastRenderedPageBreak/>
        <w:t>II.5.16</w:t>
      </w:r>
      <w:r>
        <w:tab/>
      </w:r>
      <w:r w:rsidR="00AE0549" w:rsidRPr="00A604A3">
        <w:t>Supported spectrum bands</w:t>
      </w:r>
      <w:bookmarkEnd w:id="649"/>
    </w:p>
    <w:p w:rsidR="00AE0549" w:rsidRPr="00A604A3" w:rsidRDefault="00AE0549" w:rsidP="00604502">
      <w:r w:rsidRPr="00A604A3">
        <w:t>The ITU-R minimum requirements on supported spectrum bands are given in [2]. The following requirements and additional remarks are following from [2]:</w:t>
      </w:r>
    </w:p>
    <w:p w:rsidR="00AE0549" w:rsidRPr="00604502" w:rsidRDefault="00604502" w:rsidP="00604502">
      <w:pPr>
        <w:pStyle w:val="enumlev1"/>
        <w:rPr>
          <w:i/>
          <w:iCs/>
        </w:rPr>
      </w:pPr>
      <w:r>
        <w:rPr>
          <w:i/>
          <w:iCs/>
        </w:rPr>
        <w:tab/>
      </w:r>
      <w:r w:rsidR="00AE0549" w:rsidRPr="00604502">
        <w:rPr>
          <w:i/>
          <w:iCs/>
        </w:rPr>
        <w:t xml:space="preserve">The following frequency bands have been identified for </w:t>
      </w:r>
      <w:bookmarkStart w:id="650" w:name="_Hlk512420698"/>
      <w:r w:rsidR="00AE0549" w:rsidRPr="00604502">
        <w:rPr>
          <w:i/>
          <w:iCs/>
        </w:rPr>
        <w:t>IMT in the ITU Radio Regulations by WARC-92, WRC-2000, WRC-07, WRC</w:t>
      </w:r>
      <w:r>
        <w:rPr>
          <w:i/>
          <w:iCs/>
        </w:rPr>
        <w:noBreakHyphen/>
      </w:r>
      <w:r w:rsidR="00AE0549" w:rsidRPr="00604502">
        <w:rPr>
          <w:i/>
          <w:iCs/>
        </w:rPr>
        <w:t>12 and WRC-15.</w:t>
      </w:r>
    </w:p>
    <w:p w:rsidR="00AE0549" w:rsidRPr="00A604A3" w:rsidRDefault="00604502" w:rsidP="00470885">
      <w:pPr>
        <w:pStyle w:val="enumlev2"/>
        <w:rPr>
          <w:i/>
        </w:rPr>
      </w:pPr>
      <w:r>
        <w:rPr>
          <w:i/>
        </w:rPr>
        <w:tab/>
      </w:r>
      <w:r w:rsidR="00AE0549" w:rsidRPr="00A604A3">
        <w:rPr>
          <w:i/>
        </w:rPr>
        <w:t xml:space="preserve">450-470 MHz (see No. </w:t>
      </w:r>
      <w:r w:rsidR="00AE0549" w:rsidRPr="00A604A3">
        <w:rPr>
          <w:b/>
          <w:bCs/>
          <w:i/>
        </w:rPr>
        <w:t>5.286AA</w:t>
      </w:r>
      <w:r w:rsidR="00AE0549" w:rsidRPr="00A604A3">
        <w:rPr>
          <w:i/>
        </w:rPr>
        <w:t xml:space="preserve"> of the Radio Regulations (RR))</w:t>
      </w:r>
    </w:p>
    <w:p w:rsidR="00AE0549" w:rsidRPr="00A604A3" w:rsidRDefault="00604502" w:rsidP="00470885">
      <w:pPr>
        <w:pStyle w:val="enumlev2"/>
        <w:rPr>
          <w:i/>
        </w:rPr>
      </w:pPr>
      <w:r>
        <w:rPr>
          <w:i/>
        </w:rPr>
        <w:tab/>
      </w:r>
      <w:r w:rsidR="00AE0549" w:rsidRPr="00A604A3">
        <w:rPr>
          <w:i/>
        </w:rPr>
        <w:t xml:space="preserve">470-698 MHz (see RR Nos. </w:t>
      </w:r>
      <w:r w:rsidR="00AE0549" w:rsidRPr="00A604A3">
        <w:rPr>
          <w:b/>
          <w:bCs/>
          <w:i/>
        </w:rPr>
        <w:t>5.</w:t>
      </w:r>
      <w:r w:rsidR="00AE0549" w:rsidRPr="00A604A3">
        <w:rPr>
          <w:rFonts w:eastAsia="Malgun Gothic"/>
          <w:b/>
          <w:bCs/>
          <w:i/>
        </w:rPr>
        <w:t>295</w:t>
      </w:r>
      <w:r w:rsidR="00AE0549" w:rsidRPr="00A604A3">
        <w:rPr>
          <w:i/>
        </w:rPr>
        <w:t xml:space="preserve">, </w:t>
      </w:r>
      <w:r w:rsidR="00AE0549" w:rsidRPr="00A604A3">
        <w:rPr>
          <w:b/>
          <w:bCs/>
          <w:i/>
        </w:rPr>
        <w:t>5.</w:t>
      </w:r>
      <w:r w:rsidR="00AE0549" w:rsidRPr="00A604A3">
        <w:rPr>
          <w:rFonts w:eastAsia="Malgun Gothic"/>
          <w:b/>
          <w:bCs/>
          <w:i/>
        </w:rPr>
        <w:t>308</w:t>
      </w:r>
      <w:r w:rsidR="00AE0549" w:rsidRPr="00A604A3">
        <w:rPr>
          <w:i/>
        </w:rPr>
        <w:t xml:space="preserve">, </w:t>
      </w:r>
      <w:r w:rsidR="00AE0549" w:rsidRPr="00A604A3">
        <w:rPr>
          <w:b/>
          <w:bCs/>
          <w:i/>
        </w:rPr>
        <w:t>5.</w:t>
      </w:r>
      <w:r w:rsidR="00AE0549" w:rsidRPr="00A604A3">
        <w:rPr>
          <w:rFonts w:eastAsia="Malgun Gothic"/>
          <w:b/>
          <w:bCs/>
          <w:i/>
        </w:rPr>
        <w:t>296A</w:t>
      </w:r>
      <w:r w:rsidR="00AE0549" w:rsidRPr="00A604A3">
        <w:rPr>
          <w:i/>
        </w:rPr>
        <w:t>)</w:t>
      </w:r>
    </w:p>
    <w:p w:rsidR="00AE0549" w:rsidRPr="00A604A3" w:rsidRDefault="00604502" w:rsidP="00470885">
      <w:pPr>
        <w:pStyle w:val="enumlev2"/>
        <w:rPr>
          <w:i/>
        </w:rPr>
      </w:pPr>
      <w:r>
        <w:rPr>
          <w:i/>
        </w:rPr>
        <w:tab/>
      </w:r>
      <w:r w:rsidR="00AE0549" w:rsidRPr="00A604A3">
        <w:rPr>
          <w:i/>
        </w:rPr>
        <w:t xml:space="preserve">694/698-960 MHz (see RR Nos. </w:t>
      </w:r>
      <w:r w:rsidR="00AE0549" w:rsidRPr="00A604A3">
        <w:rPr>
          <w:b/>
          <w:bCs/>
          <w:i/>
        </w:rPr>
        <w:t>5.313A</w:t>
      </w:r>
      <w:r w:rsidR="00AE0549" w:rsidRPr="00A604A3">
        <w:rPr>
          <w:i/>
        </w:rPr>
        <w:t xml:space="preserve">, </w:t>
      </w:r>
      <w:r w:rsidR="00AE0549" w:rsidRPr="00A604A3">
        <w:rPr>
          <w:b/>
          <w:bCs/>
          <w:i/>
        </w:rPr>
        <w:t>5.317A</w:t>
      </w:r>
      <w:r w:rsidR="00AE0549" w:rsidRPr="00A604A3">
        <w:rPr>
          <w:i/>
        </w:rPr>
        <w:t>)</w:t>
      </w:r>
    </w:p>
    <w:p w:rsidR="00AE0549" w:rsidRPr="00A604A3" w:rsidRDefault="00604502" w:rsidP="00470885">
      <w:pPr>
        <w:pStyle w:val="enumlev2"/>
        <w:rPr>
          <w:i/>
        </w:rPr>
      </w:pPr>
      <w:r>
        <w:rPr>
          <w:i/>
        </w:rPr>
        <w:tab/>
      </w:r>
      <w:r w:rsidR="00AE0549" w:rsidRPr="00A604A3">
        <w:rPr>
          <w:i/>
        </w:rPr>
        <w:t xml:space="preserve">1 427-1 518 MHz (see RR Nos. </w:t>
      </w:r>
      <w:r w:rsidR="00AE0549" w:rsidRPr="00A604A3">
        <w:rPr>
          <w:b/>
          <w:bCs/>
          <w:i/>
        </w:rPr>
        <w:t>5.</w:t>
      </w:r>
      <w:r w:rsidR="00AE0549" w:rsidRPr="00A604A3">
        <w:rPr>
          <w:rFonts w:eastAsia="Malgun Gothic"/>
          <w:b/>
          <w:bCs/>
          <w:i/>
        </w:rPr>
        <w:t>341A</w:t>
      </w:r>
      <w:r w:rsidR="00AE0549" w:rsidRPr="00A604A3">
        <w:rPr>
          <w:i/>
        </w:rPr>
        <w:t xml:space="preserve">, </w:t>
      </w:r>
      <w:r w:rsidR="00AE0549" w:rsidRPr="00A604A3">
        <w:rPr>
          <w:b/>
          <w:bCs/>
          <w:i/>
        </w:rPr>
        <w:t>5.</w:t>
      </w:r>
      <w:r w:rsidR="00AE0549" w:rsidRPr="00A604A3">
        <w:rPr>
          <w:rFonts w:eastAsia="Malgun Gothic"/>
          <w:b/>
          <w:bCs/>
          <w:i/>
        </w:rPr>
        <w:t>346</w:t>
      </w:r>
      <w:r w:rsidR="00AE0549" w:rsidRPr="00A604A3">
        <w:rPr>
          <w:i/>
        </w:rPr>
        <w:t xml:space="preserve">, </w:t>
      </w:r>
      <w:r w:rsidR="00AE0549" w:rsidRPr="00A604A3">
        <w:rPr>
          <w:b/>
          <w:bCs/>
          <w:i/>
        </w:rPr>
        <w:t>5.</w:t>
      </w:r>
      <w:r w:rsidR="00AE0549" w:rsidRPr="00A604A3">
        <w:rPr>
          <w:rFonts w:eastAsia="Malgun Gothic"/>
          <w:b/>
          <w:bCs/>
          <w:i/>
        </w:rPr>
        <w:t>341B</w:t>
      </w:r>
      <w:r w:rsidR="00AE0549" w:rsidRPr="00A604A3">
        <w:rPr>
          <w:i/>
        </w:rPr>
        <w:t xml:space="preserve">, </w:t>
      </w:r>
      <w:r w:rsidR="00AE0549" w:rsidRPr="00A604A3">
        <w:rPr>
          <w:b/>
          <w:bCs/>
          <w:i/>
        </w:rPr>
        <w:t>5.</w:t>
      </w:r>
      <w:r w:rsidR="00AE0549" w:rsidRPr="00A604A3">
        <w:rPr>
          <w:rFonts w:eastAsia="Malgun Gothic"/>
          <w:b/>
          <w:bCs/>
          <w:i/>
        </w:rPr>
        <w:t>341C</w:t>
      </w:r>
      <w:r w:rsidR="00AE0549" w:rsidRPr="00A604A3">
        <w:rPr>
          <w:i/>
        </w:rPr>
        <w:t>,</w:t>
      </w:r>
      <w:r w:rsidR="00AE0549" w:rsidRPr="00A604A3">
        <w:rPr>
          <w:b/>
          <w:bCs/>
          <w:i/>
        </w:rPr>
        <w:t xml:space="preserve"> 5.</w:t>
      </w:r>
      <w:r w:rsidR="00AE0549" w:rsidRPr="00A604A3">
        <w:rPr>
          <w:rFonts w:eastAsia="Malgun Gothic"/>
          <w:b/>
          <w:bCs/>
          <w:i/>
        </w:rPr>
        <w:t>346A</w:t>
      </w:r>
      <w:r w:rsidR="00AE0549" w:rsidRPr="00A604A3">
        <w:rPr>
          <w:i/>
        </w:rPr>
        <w:t>)</w:t>
      </w:r>
    </w:p>
    <w:p w:rsidR="00AE0549" w:rsidRPr="00A604A3" w:rsidRDefault="00604502" w:rsidP="00470885">
      <w:pPr>
        <w:pStyle w:val="enumlev2"/>
        <w:rPr>
          <w:i/>
        </w:rPr>
      </w:pPr>
      <w:r>
        <w:rPr>
          <w:i/>
        </w:rPr>
        <w:tab/>
      </w:r>
      <w:r w:rsidR="00AE0549" w:rsidRPr="00A604A3">
        <w:rPr>
          <w:i/>
        </w:rPr>
        <w:t xml:space="preserve">1 710-2 025 MHz (see RR Nos. </w:t>
      </w:r>
      <w:r w:rsidR="00AE0549" w:rsidRPr="00A604A3">
        <w:rPr>
          <w:b/>
          <w:bCs/>
          <w:i/>
        </w:rPr>
        <w:t>5.384A</w:t>
      </w:r>
      <w:r w:rsidR="00AE0549" w:rsidRPr="00A604A3">
        <w:rPr>
          <w:i/>
        </w:rPr>
        <w:t xml:space="preserve">, </w:t>
      </w:r>
      <w:r w:rsidR="00AE0549" w:rsidRPr="00A604A3">
        <w:rPr>
          <w:b/>
          <w:bCs/>
          <w:i/>
        </w:rPr>
        <w:t>5.388</w:t>
      </w:r>
      <w:r w:rsidR="00AE0549" w:rsidRPr="00A604A3">
        <w:rPr>
          <w:i/>
        </w:rPr>
        <w:t>)</w:t>
      </w:r>
    </w:p>
    <w:p w:rsidR="00AE0549" w:rsidRPr="00A604A3" w:rsidRDefault="00604502" w:rsidP="00470885">
      <w:pPr>
        <w:pStyle w:val="enumlev2"/>
        <w:rPr>
          <w:i/>
        </w:rPr>
      </w:pPr>
      <w:r>
        <w:rPr>
          <w:i/>
        </w:rPr>
        <w:tab/>
      </w:r>
      <w:r w:rsidR="00AE0549" w:rsidRPr="00A604A3">
        <w:rPr>
          <w:i/>
        </w:rPr>
        <w:t xml:space="preserve">2 110-2 200 MHz (see RR No. </w:t>
      </w:r>
      <w:r w:rsidR="00AE0549" w:rsidRPr="00A604A3">
        <w:rPr>
          <w:b/>
          <w:bCs/>
          <w:i/>
        </w:rPr>
        <w:t>5.388</w:t>
      </w:r>
      <w:r w:rsidR="00AE0549" w:rsidRPr="00A604A3">
        <w:rPr>
          <w:i/>
        </w:rPr>
        <w:t>)</w:t>
      </w:r>
    </w:p>
    <w:p w:rsidR="00AE0549" w:rsidRPr="00A604A3" w:rsidRDefault="00604502" w:rsidP="00470885">
      <w:pPr>
        <w:pStyle w:val="enumlev2"/>
        <w:rPr>
          <w:i/>
        </w:rPr>
      </w:pPr>
      <w:r>
        <w:rPr>
          <w:i/>
        </w:rPr>
        <w:tab/>
      </w:r>
      <w:r w:rsidR="00AE0549" w:rsidRPr="00A604A3">
        <w:rPr>
          <w:i/>
        </w:rPr>
        <w:t xml:space="preserve">2 300-2 400 MHz (see RR No. </w:t>
      </w:r>
      <w:r w:rsidR="00AE0549" w:rsidRPr="00A604A3">
        <w:rPr>
          <w:b/>
          <w:bCs/>
          <w:i/>
        </w:rPr>
        <w:t>5.384A</w:t>
      </w:r>
      <w:r w:rsidR="00AE0549" w:rsidRPr="00A604A3">
        <w:rPr>
          <w:i/>
        </w:rPr>
        <w:t>)</w:t>
      </w:r>
    </w:p>
    <w:p w:rsidR="00AE0549" w:rsidRPr="00A604A3" w:rsidRDefault="00604502" w:rsidP="00470885">
      <w:pPr>
        <w:pStyle w:val="enumlev2"/>
        <w:rPr>
          <w:i/>
        </w:rPr>
      </w:pPr>
      <w:r>
        <w:rPr>
          <w:i/>
        </w:rPr>
        <w:tab/>
      </w:r>
      <w:r w:rsidR="00AE0549" w:rsidRPr="00A604A3">
        <w:rPr>
          <w:i/>
        </w:rPr>
        <w:t xml:space="preserve">2 500-2 690 MHz (see RR No. </w:t>
      </w:r>
      <w:r w:rsidR="00AE0549" w:rsidRPr="00A604A3">
        <w:rPr>
          <w:b/>
          <w:bCs/>
          <w:i/>
        </w:rPr>
        <w:t>5.384A</w:t>
      </w:r>
      <w:r w:rsidR="00AE0549" w:rsidRPr="00A604A3">
        <w:rPr>
          <w:i/>
        </w:rPr>
        <w:t>)</w:t>
      </w:r>
    </w:p>
    <w:p w:rsidR="00AE0549" w:rsidRPr="00A604A3" w:rsidRDefault="00604502" w:rsidP="00470885">
      <w:pPr>
        <w:pStyle w:val="enumlev2"/>
        <w:rPr>
          <w:i/>
        </w:rPr>
      </w:pPr>
      <w:r>
        <w:rPr>
          <w:i/>
        </w:rPr>
        <w:tab/>
      </w:r>
      <w:r w:rsidR="00AE0549" w:rsidRPr="00A604A3">
        <w:rPr>
          <w:i/>
        </w:rPr>
        <w:t xml:space="preserve">3 300-3 400 MHz (see RR Nos. </w:t>
      </w:r>
      <w:r w:rsidR="00AE0549" w:rsidRPr="00A604A3">
        <w:rPr>
          <w:b/>
          <w:bCs/>
          <w:i/>
        </w:rPr>
        <w:t>5.</w:t>
      </w:r>
      <w:r w:rsidR="00AE0549" w:rsidRPr="00A604A3">
        <w:rPr>
          <w:rFonts w:eastAsia="Malgun Gothic"/>
          <w:b/>
          <w:bCs/>
          <w:i/>
        </w:rPr>
        <w:t>429B</w:t>
      </w:r>
      <w:r w:rsidR="00AE0549" w:rsidRPr="00A604A3">
        <w:rPr>
          <w:i/>
        </w:rPr>
        <w:t xml:space="preserve">, </w:t>
      </w:r>
      <w:r w:rsidR="00AE0549" w:rsidRPr="00A604A3">
        <w:rPr>
          <w:b/>
          <w:bCs/>
          <w:i/>
        </w:rPr>
        <w:t>5.</w:t>
      </w:r>
      <w:r w:rsidR="00AE0549" w:rsidRPr="00A604A3">
        <w:rPr>
          <w:rFonts w:eastAsia="Malgun Gothic"/>
          <w:b/>
          <w:bCs/>
          <w:i/>
        </w:rPr>
        <w:t>429D</w:t>
      </w:r>
      <w:r w:rsidR="00AE0549" w:rsidRPr="00A604A3">
        <w:rPr>
          <w:i/>
        </w:rPr>
        <w:t xml:space="preserve">, </w:t>
      </w:r>
      <w:r w:rsidR="00AE0549" w:rsidRPr="00A604A3">
        <w:rPr>
          <w:b/>
          <w:bCs/>
          <w:i/>
        </w:rPr>
        <w:t>5.</w:t>
      </w:r>
      <w:r w:rsidR="00AE0549" w:rsidRPr="00A604A3">
        <w:rPr>
          <w:rFonts w:eastAsia="Malgun Gothic"/>
          <w:b/>
          <w:bCs/>
          <w:i/>
        </w:rPr>
        <w:t>429F</w:t>
      </w:r>
      <w:r w:rsidR="00AE0549" w:rsidRPr="00A604A3">
        <w:rPr>
          <w:i/>
        </w:rPr>
        <w:t>)</w:t>
      </w:r>
    </w:p>
    <w:p w:rsidR="00AE0549" w:rsidRPr="00A604A3" w:rsidRDefault="00604502" w:rsidP="00470885">
      <w:pPr>
        <w:pStyle w:val="enumlev2"/>
        <w:rPr>
          <w:i/>
        </w:rPr>
      </w:pPr>
      <w:r>
        <w:rPr>
          <w:i/>
        </w:rPr>
        <w:tab/>
      </w:r>
      <w:r w:rsidR="00AE0549" w:rsidRPr="00A604A3">
        <w:rPr>
          <w:i/>
        </w:rPr>
        <w:t xml:space="preserve">3 400-3 600 MHz (see RR Nos. </w:t>
      </w:r>
      <w:r w:rsidR="00AE0549" w:rsidRPr="00A604A3">
        <w:rPr>
          <w:b/>
          <w:bCs/>
          <w:i/>
        </w:rPr>
        <w:t>5.430A</w:t>
      </w:r>
      <w:r w:rsidR="00AE0549" w:rsidRPr="00A604A3">
        <w:rPr>
          <w:i/>
        </w:rPr>
        <w:t xml:space="preserve">, </w:t>
      </w:r>
      <w:r w:rsidR="00AE0549" w:rsidRPr="00A604A3">
        <w:rPr>
          <w:rFonts w:eastAsia="Malgun Gothic"/>
          <w:b/>
          <w:bCs/>
          <w:i/>
        </w:rPr>
        <w:t>5.431B</w:t>
      </w:r>
      <w:r w:rsidR="00AE0549" w:rsidRPr="00A604A3">
        <w:rPr>
          <w:rFonts w:eastAsia="Malgun Gothic"/>
          <w:i/>
        </w:rPr>
        <w:t>,</w:t>
      </w:r>
      <w:r w:rsidR="00AE0549" w:rsidRPr="00A604A3">
        <w:rPr>
          <w:i/>
        </w:rPr>
        <w:t xml:space="preserve"> </w:t>
      </w:r>
      <w:r w:rsidR="00AE0549" w:rsidRPr="00A604A3">
        <w:rPr>
          <w:b/>
          <w:bCs/>
          <w:i/>
        </w:rPr>
        <w:t>5.432A</w:t>
      </w:r>
      <w:r w:rsidR="00AE0549" w:rsidRPr="00A604A3">
        <w:rPr>
          <w:i/>
        </w:rPr>
        <w:t xml:space="preserve">, </w:t>
      </w:r>
      <w:r w:rsidR="00AE0549" w:rsidRPr="00A604A3">
        <w:rPr>
          <w:b/>
          <w:bCs/>
          <w:i/>
        </w:rPr>
        <w:t>5.432B</w:t>
      </w:r>
      <w:r w:rsidR="00AE0549" w:rsidRPr="00A604A3">
        <w:rPr>
          <w:i/>
        </w:rPr>
        <w:t xml:space="preserve">, </w:t>
      </w:r>
      <w:r w:rsidR="00AE0549" w:rsidRPr="00A604A3">
        <w:rPr>
          <w:b/>
          <w:bCs/>
          <w:i/>
        </w:rPr>
        <w:t>5.433A</w:t>
      </w:r>
      <w:r w:rsidR="00AE0549" w:rsidRPr="00A604A3">
        <w:rPr>
          <w:i/>
        </w:rPr>
        <w:t>)</w:t>
      </w:r>
    </w:p>
    <w:p w:rsidR="00AE0549" w:rsidRPr="00A604A3" w:rsidRDefault="00604502" w:rsidP="00470885">
      <w:pPr>
        <w:pStyle w:val="enumlev2"/>
        <w:rPr>
          <w:i/>
        </w:rPr>
      </w:pPr>
      <w:r>
        <w:rPr>
          <w:i/>
        </w:rPr>
        <w:tab/>
      </w:r>
      <w:r w:rsidR="00AE0549" w:rsidRPr="00A604A3">
        <w:rPr>
          <w:i/>
        </w:rPr>
        <w:t xml:space="preserve">3 600-3 700 MHz (see RR No. </w:t>
      </w:r>
      <w:r w:rsidR="00AE0549" w:rsidRPr="00A604A3">
        <w:rPr>
          <w:b/>
          <w:bCs/>
          <w:i/>
        </w:rPr>
        <w:t>5.</w:t>
      </w:r>
      <w:r w:rsidR="00AE0549" w:rsidRPr="00A604A3">
        <w:rPr>
          <w:rFonts w:eastAsia="Malgun Gothic"/>
          <w:b/>
          <w:bCs/>
          <w:i/>
        </w:rPr>
        <w:t>434</w:t>
      </w:r>
      <w:r w:rsidR="00AE0549" w:rsidRPr="00A604A3">
        <w:rPr>
          <w:i/>
        </w:rPr>
        <w:t>)</w:t>
      </w:r>
    </w:p>
    <w:p w:rsidR="00AE0549" w:rsidRPr="00A604A3" w:rsidRDefault="00604502" w:rsidP="00470885">
      <w:pPr>
        <w:pStyle w:val="enumlev2"/>
        <w:rPr>
          <w:i/>
        </w:rPr>
      </w:pPr>
      <w:r>
        <w:rPr>
          <w:i/>
        </w:rPr>
        <w:tab/>
      </w:r>
      <w:r w:rsidR="00AE0549" w:rsidRPr="00A604A3">
        <w:rPr>
          <w:i/>
        </w:rPr>
        <w:t xml:space="preserve">4 800-4 990 MHz (see RR Nos. </w:t>
      </w:r>
      <w:r w:rsidR="00AE0549" w:rsidRPr="00A604A3">
        <w:rPr>
          <w:b/>
          <w:bCs/>
          <w:i/>
        </w:rPr>
        <w:t>5.</w:t>
      </w:r>
      <w:r w:rsidR="00AE0549" w:rsidRPr="00A604A3">
        <w:rPr>
          <w:rFonts w:eastAsia="Malgun Gothic"/>
          <w:b/>
          <w:bCs/>
          <w:i/>
        </w:rPr>
        <w:t>441A</w:t>
      </w:r>
      <w:r w:rsidR="00AE0549" w:rsidRPr="00A604A3">
        <w:rPr>
          <w:i/>
        </w:rPr>
        <w:t xml:space="preserve">, </w:t>
      </w:r>
      <w:r w:rsidR="00AE0549" w:rsidRPr="00A604A3">
        <w:rPr>
          <w:b/>
          <w:bCs/>
          <w:i/>
        </w:rPr>
        <w:t>5.</w:t>
      </w:r>
      <w:r w:rsidR="00AE0549" w:rsidRPr="00A604A3">
        <w:rPr>
          <w:rFonts w:eastAsia="Malgun Gothic"/>
          <w:b/>
          <w:bCs/>
          <w:i/>
        </w:rPr>
        <w:t>441B</w:t>
      </w:r>
      <w:r w:rsidR="00AE0549" w:rsidRPr="00A604A3">
        <w:rPr>
          <w:i/>
        </w:rPr>
        <w:t>)</w:t>
      </w:r>
    </w:p>
    <w:bookmarkEnd w:id="650"/>
    <w:p w:rsidR="00AE0549" w:rsidRPr="00604502" w:rsidRDefault="00604502" w:rsidP="00604502">
      <w:pPr>
        <w:pStyle w:val="enumlev1"/>
        <w:rPr>
          <w:i/>
          <w:iCs/>
        </w:rPr>
      </w:pPr>
      <w:r>
        <w:rPr>
          <w:i/>
          <w:iCs/>
        </w:rPr>
        <w:tab/>
      </w:r>
      <w:r w:rsidR="00AE0549" w:rsidRPr="00604502">
        <w:rPr>
          <w:i/>
          <w:iCs/>
        </w:rPr>
        <w:t xml:space="preserve">Frequency arrangements for these bands identified before WRC-15 are incorporated in Recommendation ITU-R M.1036-5. Work on frequency arrangements for the frequency bands that were identified by WRC-15 is currently ongoing in ITU-R. </w:t>
      </w:r>
    </w:p>
    <w:p w:rsidR="00AE0549" w:rsidRPr="00604502" w:rsidRDefault="00604502" w:rsidP="00604502">
      <w:pPr>
        <w:pStyle w:val="enumlev1"/>
        <w:rPr>
          <w:i/>
          <w:iCs/>
        </w:rPr>
      </w:pPr>
      <w:r>
        <w:rPr>
          <w:i/>
          <w:iCs/>
        </w:rPr>
        <w:tab/>
      </w:r>
      <w:r w:rsidR="00AE0549" w:rsidRPr="00604502">
        <w:rPr>
          <w:i/>
          <w:iCs/>
        </w:rPr>
        <w:t>Administrations would endeavour to make spectrum available from the frequency bands listed above.</w:t>
      </w:r>
    </w:p>
    <w:p w:rsidR="00AE0549" w:rsidRPr="00604502" w:rsidRDefault="00604502" w:rsidP="00604502">
      <w:pPr>
        <w:pStyle w:val="enumlev1"/>
        <w:rPr>
          <w:rFonts w:eastAsia="Malgun Gothic"/>
          <w:i/>
          <w:iCs/>
        </w:rPr>
      </w:pPr>
      <w:r>
        <w:rPr>
          <w:rFonts w:eastAsia="Malgun Gothic"/>
          <w:i/>
          <w:iCs/>
        </w:rPr>
        <w:tab/>
      </w:r>
      <w:r w:rsidR="00AE0549" w:rsidRPr="00604502">
        <w:rPr>
          <w:rFonts w:eastAsia="Malgun Gothic"/>
          <w:i/>
          <w:iCs/>
        </w:rPr>
        <w:t>Recommendation ITU-R M.2083 indicates a need of higher frequency bands to support the different usage scenarios with a requirement of several hundred MHz up to at least 1 GHz bandwidth corresponding wider and contiguous spectrum ability. Further, the development of IMT</w:t>
      </w:r>
      <w:r w:rsidR="00AE0549" w:rsidRPr="00604502">
        <w:rPr>
          <w:rFonts w:eastAsia="Malgun Gothic"/>
          <w:i/>
          <w:iCs/>
        </w:rPr>
        <w:noBreakHyphen/>
        <w:t xml:space="preserve">2020 is expected to enable new use cases and applications associated with radio traffic growth. </w:t>
      </w:r>
    </w:p>
    <w:p w:rsidR="00AE0549" w:rsidRPr="00604502" w:rsidRDefault="00604502" w:rsidP="00604502">
      <w:pPr>
        <w:pStyle w:val="enumlev1"/>
        <w:rPr>
          <w:rFonts w:eastAsia="Malgun Gothic"/>
          <w:i/>
          <w:iCs/>
        </w:rPr>
      </w:pPr>
      <w:r>
        <w:rPr>
          <w:rFonts w:eastAsia="Malgun Gothic"/>
          <w:i/>
          <w:iCs/>
        </w:rPr>
        <w:tab/>
      </w:r>
      <w:r w:rsidR="00AE0549" w:rsidRPr="00604502">
        <w:rPr>
          <w:rFonts w:eastAsia="Malgun Gothic"/>
          <w:i/>
          <w:iCs/>
        </w:rPr>
        <w:t>Taking into account the IMT-2020 deployment to be expected from the year 2020 onwards, Administrations would endeavour to make spectrum available from the higher frequency bands in a timely manner.</w:t>
      </w:r>
    </w:p>
    <w:p w:rsidR="00AE0549" w:rsidRPr="00604502" w:rsidRDefault="00604502" w:rsidP="00604502">
      <w:pPr>
        <w:pStyle w:val="enumlev1"/>
        <w:rPr>
          <w:rFonts w:eastAsia="MS Mincho"/>
          <w:i/>
          <w:iCs/>
        </w:rPr>
      </w:pPr>
      <w:r>
        <w:rPr>
          <w:i/>
          <w:iCs/>
        </w:rPr>
        <w:tab/>
      </w:r>
      <w:r w:rsidR="00AE0549" w:rsidRPr="00604502">
        <w:rPr>
          <w:i/>
          <w:iCs/>
        </w:rPr>
        <w:t xml:space="preserve">The requirements related to spectrum are in the compliance templates in </w:t>
      </w:r>
      <w:bookmarkStart w:id="651" w:name="_Hlk485353736"/>
      <w:r w:rsidR="00AE0549" w:rsidRPr="00604502">
        <w:rPr>
          <w:i/>
          <w:iCs/>
        </w:rPr>
        <w:t>§</w:t>
      </w:r>
      <w:bookmarkEnd w:id="651"/>
      <w:r w:rsidR="00AE0549" w:rsidRPr="00604502">
        <w:rPr>
          <w:i/>
          <w:iCs/>
        </w:rPr>
        <w:t xml:space="preserve"> 5.2.4.2.</w:t>
      </w:r>
    </w:p>
    <w:p w:rsidR="00AE0549" w:rsidRPr="00A604A3" w:rsidRDefault="00AE0549" w:rsidP="00604502">
      <w:r w:rsidRPr="00A604A3">
        <w:lastRenderedPageBreak/>
        <w:t>Table 135 and Table 136 show the supported bands compared to the minimum requirements.</w:t>
      </w:r>
    </w:p>
    <w:p w:rsidR="00604502" w:rsidRDefault="00604502" w:rsidP="00541DCC">
      <w:pPr>
        <w:pStyle w:val="TableNo"/>
        <w:spacing w:before="240"/>
      </w:pPr>
      <w:bookmarkStart w:id="652" w:name="_Ref25430952"/>
      <w:bookmarkStart w:id="653" w:name="_Toc28265854"/>
      <w:bookmarkStart w:id="654" w:name="_Toc28277088"/>
      <w:bookmarkStart w:id="655" w:name="_Toc32066509"/>
      <w:r>
        <w:t>Table 135</w:t>
      </w:r>
    </w:p>
    <w:p w:rsidR="00AE0549" w:rsidRPr="00A604A3" w:rsidRDefault="00AE0549" w:rsidP="00604502">
      <w:pPr>
        <w:pStyle w:val="Tabletitle"/>
      </w:pPr>
      <w:r w:rsidRPr="00A604A3">
        <w:t>Characteristics template for NR RIT and LTE SRIT of “5G” (Release 15 and beyond)</w:t>
      </w:r>
      <w:bookmarkEnd w:id="652"/>
      <w:bookmarkEnd w:id="653"/>
      <w:bookmarkEnd w:id="654"/>
      <w:bookmarkEnd w:id="6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3"/>
        <w:gridCol w:w="1993"/>
        <w:gridCol w:w="1993"/>
        <w:gridCol w:w="1993"/>
      </w:tblGrid>
      <w:tr w:rsidR="00AE0549" w:rsidRPr="00A604A3" w:rsidTr="00470885">
        <w:tc>
          <w:tcPr>
            <w:tcW w:w="1992" w:type="dxa"/>
            <w:vMerge w:val="restart"/>
          </w:tcPr>
          <w:p w:rsidR="00AE0549" w:rsidRPr="00A604A3" w:rsidRDefault="00AE0549" w:rsidP="00604502">
            <w:pPr>
              <w:spacing w:before="0" w:after="120"/>
              <w:jc w:val="center"/>
              <w:rPr>
                <w:color w:val="000000" w:themeColor="text1"/>
                <w:sz w:val="20"/>
              </w:rPr>
            </w:pPr>
            <w:r w:rsidRPr="00A604A3">
              <w:rPr>
                <w:color w:val="000000" w:themeColor="text1"/>
                <w:sz w:val="20"/>
              </w:rPr>
              <w:t>ITU-R [2]</w:t>
            </w:r>
            <w:r w:rsidR="00604502">
              <w:rPr>
                <w:color w:val="000000" w:themeColor="text1"/>
                <w:sz w:val="20"/>
              </w:rPr>
              <w:br/>
            </w:r>
            <w:r w:rsidRPr="00A604A3">
              <w:rPr>
                <w:color w:val="000000" w:themeColor="text1"/>
                <w:sz w:val="20"/>
              </w:rPr>
              <w:t>[MHz]</w:t>
            </w:r>
          </w:p>
        </w:tc>
        <w:tc>
          <w:tcPr>
            <w:tcW w:w="5977"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698"/>
              </w:tabs>
              <w:spacing w:before="0" w:after="120"/>
              <w:rPr>
                <w:color w:val="000000" w:themeColor="text1"/>
                <w:lang w:eastAsia="zh-CN"/>
              </w:rPr>
            </w:pPr>
            <w:r w:rsidRPr="00A604A3">
              <w:rPr>
                <w:b/>
                <w:i/>
                <w:color w:val="000000" w:themeColor="text1"/>
                <w:u w:val="single"/>
                <w:lang w:eastAsia="zh-CN"/>
              </w:rPr>
              <w:t>For 5G NR component 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4"/>
              </w:tabs>
              <w:spacing w:before="0" w:after="0"/>
              <w:jc w:val="both"/>
              <w:rPr>
                <w:i/>
                <w:color w:val="000000" w:themeColor="text1"/>
                <w:lang w:eastAsia="zh-CN"/>
              </w:rPr>
            </w:pPr>
            <w:r w:rsidRPr="00A604A3">
              <w:rPr>
                <w:i/>
                <w:color w:val="000000" w:themeColor="text1"/>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tc>
        <w:tc>
          <w:tcPr>
            <w:tcW w:w="5979"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762"/>
              </w:tabs>
              <w:spacing w:before="0" w:after="120"/>
              <w:rPr>
                <w:color w:val="000000" w:themeColor="text1"/>
                <w:lang w:eastAsia="zh-CN"/>
              </w:rPr>
            </w:pPr>
            <w:r w:rsidRPr="00A604A3">
              <w:rPr>
                <w:b/>
                <w:i/>
                <w:color w:val="000000" w:themeColor="text1"/>
                <w:u w:val="single"/>
                <w:lang w:eastAsia="zh-CN"/>
              </w:rPr>
              <w:t>For LTE component SRIT: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383"/>
              </w:tabs>
              <w:spacing w:before="0"/>
              <w:jc w:val="both"/>
              <w:rPr>
                <w:i/>
                <w:color w:val="000000" w:themeColor="text1"/>
                <w:lang w:eastAsia="zh-CN"/>
              </w:rPr>
            </w:pPr>
            <w:r w:rsidRPr="00A604A3">
              <w:rPr>
                <w:i/>
                <w:color w:val="000000" w:themeColor="text1"/>
                <w:lang w:eastAsia="zh-CN"/>
              </w:rPr>
              <w:t>The following frequency bands are currently specified, in accordance with spectrum requirements defined by Report ITU-R M.2411-0. Introduction of other ITU-R IMT identified bands are not precluded in the future. 3GPP technologies are also defined as appropriate to operate in other frequency arrangements and bands. Detailed information on the following bands can be found in [12] sub-clause 5.5.</w:t>
            </w:r>
          </w:p>
        </w:tc>
      </w:tr>
      <w:tr w:rsidR="00AE0549" w:rsidRPr="00A604A3" w:rsidTr="00470885">
        <w:tc>
          <w:tcPr>
            <w:tcW w:w="1992" w:type="dxa"/>
            <w:vMerge/>
          </w:tcPr>
          <w:p w:rsidR="00AE0549" w:rsidRPr="00A604A3" w:rsidRDefault="00AE0549" w:rsidP="00470885">
            <w:pPr>
              <w:spacing w:before="0"/>
              <w:jc w:val="center"/>
              <w:rPr>
                <w:color w:val="000000" w:themeColor="text1"/>
                <w:sz w:val="20"/>
              </w:rPr>
            </w:pPr>
          </w:p>
        </w:tc>
        <w:tc>
          <w:tcPr>
            <w:tcW w:w="1992"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1992"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450 – 470 MHz</w:t>
            </w:r>
          </w:p>
        </w:tc>
        <w:tc>
          <w:tcPr>
            <w:tcW w:w="1992"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2"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n73</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n72</w:t>
            </w:r>
          </w:p>
          <w:p w:rsidR="00AE0549" w:rsidRPr="00A604A3" w:rsidRDefault="00AE0549" w:rsidP="00470885">
            <w:pPr>
              <w:spacing w:before="0"/>
              <w:jc w:val="center"/>
              <w:rPr>
                <w:color w:val="000000" w:themeColor="text1"/>
                <w:sz w:val="20"/>
              </w:rPr>
            </w:pPr>
            <w:r w:rsidRPr="00A604A3">
              <w:rPr>
                <w:color w:val="000000" w:themeColor="text1"/>
                <w:sz w:val="20"/>
              </w:rPr>
              <w:t>n31</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450 – 455 MHz</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451</w:t>
            </w:r>
            <w:r w:rsidRPr="00A604A3">
              <w:rPr>
                <w:color w:val="000000" w:themeColor="text1"/>
                <w:sz w:val="20"/>
              </w:rPr>
              <w:t xml:space="preserve"> – </w:t>
            </w:r>
            <w:r w:rsidRPr="00A604A3">
              <w:rPr>
                <w:color w:val="000000" w:themeColor="text1"/>
                <w:sz w:val="20"/>
                <w:lang w:eastAsia="ko-KR"/>
              </w:rPr>
              <w:t>456 MHz</w:t>
            </w:r>
          </w:p>
          <w:p w:rsidR="00AE0549" w:rsidRPr="00A604A3" w:rsidRDefault="00AE0549" w:rsidP="00470885">
            <w:pPr>
              <w:spacing w:before="0"/>
              <w:jc w:val="center"/>
              <w:rPr>
                <w:color w:val="000000" w:themeColor="text1"/>
                <w:sz w:val="20"/>
                <w:lang w:eastAsia="ko-KR"/>
              </w:rPr>
            </w:pPr>
            <w:r w:rsidRPr="00A604A3">
              <w:rPr>
                <w:color w:val="000000" w:themeColor="text1"/>
                <w:sz w:val="20"/>
              </w:rPr>
              <w:t>452.5 – 457.5 MHz</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460 – 465 MHz</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461</w:t>
            </w:r>
            <w:r w:rsidRPr="00A604A3">
              <w:rPr>
                <w:color w:val="000000" w:themeColor="text1"/>
                <w:sz w:val="20"/>
              </w:rPr>
              <w:t xml:space="preserve"> – </w:t>
            </w:r>
            <w:r w:rsidRPr="00A604A3">
              <w:rPr>
                <w:color w:val="000000" w:themeColor="text1"/>
                <w:sz w:val="20"/>
                <w:lang w:eastAsia="ko-KR"/>
              </w:rPr>
              <w:t>466 MHz</w:t>
            </w:r>
          </w:p>
          <w:p w:rsidR="00AE0549" w:rsidRPr="00A604A3" w:rsidRDefault="00AE0549" w:rsidP="00470885">
            <w:pPr>
              <w:spacing w:before="0"/>
              <w:jc w:val="center"/>
              <w:rPr>
                <w:color w:val="000000" w:themeColor="text1"/>
                <w:sz w:val="20"/>
              </w:rPr>
            </w:pPr>
            <w:r w:rsidRPr="00A604A3">
              <w:rPr>
                <w:color w:val="000000" w:themeColor="text1"/>
                <w:sz w:val="20"/>
              </w:rPr>
              <w:t>462.5 – 467.5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470 – 698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694/698 – 960 MHz</w:t>
            </w:r>
          </w:p>
        </w:tc>
        <w:tc>
          <w:tcPr>
            <w:tcW w:w="1992"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r w:rsidRPr="00A604A3">
              <w:rPr>
                <w:color w:val="000000" w:themeColor="text1"/>
                <w:sz w:val="20"/>
              </w:rPr>
              <w:t>n83</w:t>
            </w: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r w:rsidRPr="00A604A3">
              <w:rPr>
                <w:color w:val="000000" w:themeColor="text1"/>
                <w:sz w:val="20"/>
              </w:rPr>
              <w:t>n82</w:t>
            </w: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r w:rsidRPr="00A604A3">
              <w:rPr>
                <w:color w:val="000000" w:themeColor="text1"/>
                <w:sz w:val="20"/>
              </w:rPr>
              <w:t>n81</w:t>
            </w:r>
          </w:p>
        </w:tc>
        <w:tc>
          <w:tcPr>
            <w:tcW w:w="1992"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tc>
        <w:tc>
          <w:tcPr>
            <w:tcW w:w="1993" w:type="dxa"/>
          </w:tcPr>
          <w:p w:rsidR="00AE0549" w:rsidRPr="006853C6" w:rsidRDefault="00AE0549" w:rsidP="00470885">
            <w:pPr>
              <w:spacing w:before="0"/>
              <w:jc w:val="center"/>
              <w:rPr>
                <w:color w:val="000000" w:themeColor="text1"/>
                <w:sz w:val="20"/>
                <w:lang w:val="es-ES"/>
              </w:rPr>
            </w:pP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729 – 746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758 – 803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869 – 894 MHz</w:t>
            </w:r>
          </w:p>
          <w:p w:rsidR="00AE0549" w:rsidRPr="006853C6" w:rsidRDefault="00AE0549" w:rsidP="00470885">
            <w:pPr>
              <w:spacing w:before="0"/>
              <w:jc w:val="center"/>
              <w:rPr>
                <w:color w:val="000000" w:themeColor="text1"/>
                <w:sz w:val="20"/>
                <w:lang w:val="es-ES"/>
              </w:rPr>
            </w:pP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791– 821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n85</w:t>
            </w:r>
          </w:p>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r w:rsidRPr="00A604A3">
              <w:rPr>
                <w:color w:val="000000" w:themeColor="text1"/>
                <w:sz w:val="20"/>
              </w:rPr>
              <w:t>n19</w:t>
            </w: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n68</w:t>
            </w:r>
          </w:p>
          <w:p w:rsidR="00AE0549" w:rsidRPr="00A604A3" w:rsidRDefault="00AE0549" w:rsidP="00470885">
            <w:pPr>
              <w:spacing w:before="0"/>
              <w:jc w:val="center"/>
              <w:rPr>
                <w:color w:val="000000" w:themeColor="text1"/>
                <w:sz w:val="20"/>
              </w:rPr>
            </w:pPr>
            <w:r w:rsidRPr="00A604A3">
              <w:rPr>
                <w:color w:val="000000" w:themeColor="text1"/>
                <w:sz w:val="20"/>
              </w:rPr>
              <w:t>n44</w:t>
            </w:r>
          </w:p>
          <w:p w:rsidR="00AE0549" w:rsidRPr="00A604A3" w:rsidRDefault="00AE0549" w:rsidP="00470885">
            <w:pPr>
              <w:spacing w:before="0"/>
              <w:jc w:val="center"/>
              <w:rPr>
                <w:color w:val="000000" w:themeColor="text1"/>
                <w:sz w:val="20"/>
              </w:rPr>
            </w:pPr>
            <w:r w:rsidRPr="00A604A3">
              <w:rPr>
                <w:color w:val="000000" w:themeColor="text1"/>
                <w:sz w:val="20"/>
              </w:rPr>
              <w:t>n29</w:t>
            </w:r>
          </w:p>
          <w:p w:rsidR="00AE0549" w:rsidRPr="00A604A3" w:rsidRDefault="00AE0549" w:rsidP="00470885">
            <w:pPr>
              <w:spacing w:before="0"/>
              <w:jc w:val="center"/>
              <w:rPr>
                <w:color w:val="000000" w:themeColor="text1"/>
                <w:sz w:val="20"/>
              </w:rPr>
            </w:pPr>
            <w:r w:rsidRPr="00A604A3">
              <w:rPr>
                <w:color w:val="000000" w:themeColor="text1"/>
                <w:sz w:val="20"/>
              </w:rPr>
              <w:t>n17</w:t>
            </w:r>
          </w:p>
          <w:p w:rsidR="00AE0549" w:rsidRPr="00A604A3" w:rsidRDefault="00AE0549" w:rsidP="00470885">
            <w:pPr>
              <w:spacing w:before="0"/>
              <w:jc w:val="center"/>
              <w:rPr>
                <w:color w:val="000000" w:themeColor="text1"/>
                <w:sz w:val="20"/>
              </w:rPr>
            </w:pPr>
            <w:r w:rsidRPr="00A604A3">
              <w:rPr>
                <w:color w:val="000000" w:themeColor="text1"/>
                <w:sz w:val="20"/>
              </w:rPr>
              <w:t>n67</w:t>
            </w:r>
          </w:p>
          <w:p w:rsidR="00AE0549" w:rsidRPr="00A604A3" w:rsidRDefault="00AE0549" w:rsidP="00470885">
            <w:pPr>
              <w:spacing w:before="0"/>
              <w:jc w:val="center"/>
              <w:rPr>
                <w:color w:val="000000" w:themeColor="text1"/>
                <w:sz w:val="20"/>
              </w:rPr>
            </w:pPr>
            <w:r w:rsidRPr="00A604A3">
              <w:rPr>
                <w:color w:val="000000" w:themeColor="text1"/>
                <w:sz w:val="20"/>
              </w:rPr>
              <w:t>n13</w:t>
            </w:r>
          </w:p>
          <w:p w:rsidR="00AE0549" w:rsidRPr="00A604A3" w:rsidRDefault="00AE0549" w:rsidP="00470885">
            <w:pPr>
              <w:spacing w:before="0"/>
              <w:jc w:val="center"/>
              <w:rPr>
                <w:color w:val="000000" w:themeColor="text1"/>
                <w:sz w:val="20"/>
              </w:rPr>
            </w:pPr>
            <w:r w:rsidRPr="00A604A3">
              <w:rPr>
                <w:color w:val="000000" w:themeColor="text1"/>
                <w:sz w:val="20"/>
              </w:rPr>
              <w:t>n14</w:t>
            </w:r>
          </w:p>
          <w:p w:rsidR="00AE0549" w:rsidRPr="00A604A3" w:rsidRDefault="00AE0549" w:rsidP="00470885">
            <w:pPr>
              <w:spacing w:before="0"/>
              <w:jc w:val="center"/>
              <w:rPr>
                <w:color w:val="000000" w:themeColor="text1"/>
                <w:sz w:val="20"/>
              </w:rPr>
            </w:pPr>
            <w:r w:rsidRPr="00A604A3">
              <w:rPr>
                <w:color w:val="000000" w:themeColor="text1"/>
                <w:sz w:val="20"/>
              </w:rPr>
              <w:t>n27</w:t>
            </w:r>
          </w:p>
          <w:p w:rsidR="00AE0549" w:rsidRPr="00A604A3" w:rsidRDefault="00AE0549" w:rsidP="00470885">
            <w:pPr>
              <w:spacing w:before="0"/>
              <w:jc w:val="center"/>
              <w:rPr>
                <w:color w:val="000000" w:themeColor="text1"/>
                <w:sz w:val="20"/>
              </w:rPr>
            </w:pPr>
            <w:r w:rsidRPr="00A604A3">
              <w:rPr>
                <w:color w:val="000000" w:themeColor="text1"/>
                <w:sz w:val="20"/>
              </w:rPr>
              <w:t>n26</w:t>
            </w:r>
          </w:p>
          <w:p w:rsidR="00AE0549" w:rsidRPr="00A604A3" w:rsidRDefault="00AE0549" w:rsidP="00470885">
            <w:pPr>
              <w:spacing w:before="0"/>
              <w:jc w:val="center"/>
              <w:rPr>
                <w:color w:val="000000" w:themeColor="text1"/>
                <w:sz w:val="20"/>
              </w:rPr>
            </w:pPr>
            <w:r w:rsidRPr="00A604A3">
              <w:rPr>
                <w:color w:val="000000" w:themeColor="text1"/>
                <w:sz w:val="20"/>
              </w:rPr>
              <w:t>n18</w:t>
            </w:r>
          </w:p>
          <w:p w:rsidR="00AE0549" w:rsidRPr="00A604A3" w:rsidRDefault="00AE0549" w:rsidP="00470885">
            <w:pPr>
              <w:spacing w:before="0"/>
              <w:jc w:val="center"/>
              <w:rPr>
                <w:color w:val="000000" w:themeColor="text1"/>
                <w:sz w:val="20"/>
              </w:rPr>
            </w:pPr>
            <w:r w:rsidRPr="00A604A3">
              <w:rPr>
                <w:color w:val="000000" w:themeColor="text1"/>
                <w:sz w:val="20"/>
              </w:rPr>
              <w:t>n6</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698 – 716 MHz</w:t>
            </w:r>
          </w:p>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r w:rsidRPr="00A604A3">
              <w:rPr>
                <w:color w:val="000000" w:themeColor="text1"/>
                <w:sz w:val="20"/>
              </w:rPr>
              <w:t>830 – 845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880 – 915 MHz</w:t>
            </w:r>
          </w:p>
          <w:p w:rsidR="00AE0549" w:rsidRPr="006853C6" w:rsidRDefault="00AE0549" w:rsidP="00470885">
            <w:pPr>
              <w:spacing w:before="0"/>
              <w:jc w:val="center"/>
              <w:rPr>
                <w:color w:val="000000" w:themeColor="text1"/>
                <w:sz w:val="20"/>
                <w:lang w:val="es-ES"/>
              </w:rPr>
            </w:pP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698 – 728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eastAsia="zh-CN"/>
              </w:rPr>
              <w:t xml:space="preserve">703 </w:t>
            </w:r>
            <w:r w:rsidRPr="006853C6">
              <w:rPr>
                <w:color w:val="000000" w:themeColor="text1"/>
                <w:sz w:val="20"/>
                <w:lang w:val="es-ES"/>
              </w:rPr>
              <w:t>–</w:t>
            </w:r>
            <w:r w:rsidRPr="006853C6">
              <w:rPr>
                <w:color w:val="000000" w:themeColor="text1"/>
                <w:sz w:val="20"/>
                <w:lang w:val="es-ES" w:eastAsia="zh-CN"/>
              </w:rPr>
              <w:t xml:space="preserve"> 803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eastAsia="zh-CN"/>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704 – 716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777 – 787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788 – 798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807 – 824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814 – 849 MHz</w:t>
            </w:r>
          </w:p>
          <w:p w:rsidR="00AE0549" w:rsidRPr="00A604A3" w:rsidRDefault="00AE0549" w:rsidP="00470885">
            <w:pPr>
              <w:spacing w:before="0"/>
              <w:jc w:val="center"/>
              <w:rPr>
                <w:color w:val="000000" w:themeColor="text1"/>
                <w:sz w:val="20"/>
              </w:rPr>
            </w:pPr>
            <w:r w:rsidRPr="00A604A3">
              <w:rPr>
                <w:color w:val="000000" w:themeColor="text1"/>
                <w:sz w:val="20"/>
              </w:rPr>
              <w:t>815 – 830 MHz</w:t>
            </w:r>
          </w:p>
          <w:p w:rsidR="00AE0549" w:rsidRPr="00A604A3" w:rsidRDefault="00AE0549" w:rsidP="00470885">
            <w:pPr>
              <w:spacing w:before="0"/>
              <w:jc w:val="center"/>
              <w:rPr>
                <w:color w:val="000000" w:themeColor="text1"/>
                <w:sz w:val="20"/>
              </w:rPr>
            </w:pPr>
            <w:r w:rsidRPr="00A604A3">
              <w:rPr>
                <w:color w:val="000000" w:themeColor="text1"/>
                <w:sz w:val="20"/>
              </w:rPr>
              <w:t>830 – 840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728 – 746 MHz</w:t>
            </w:r>
          </w:p>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r w:rsidRPr="00A604A3">
              <w:rPr>
                <w:color w:val="000000" w:themeColor="text1"/>
                <w:sz w:val="20"/>
              </w:rPr>
              <w:t>875 – 890 MHz</w:t>
            </w: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753 – 783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703 </w:t>
            </w:r>
            <w:r w:rsidRPr="00A604A3">
              <w:rPr>
                <w:color w:val="000000" w:themeColor="text1"/>
                <w:sz w:val="20"/>
              </w:rPr>
              <w:t>–</w:t>
            </w:r>
            <w:r w:rsidRPr="00A604A3">
              <w:rPr>
                <w:color w:val="000000" w:themeColor="text1"/>
                <w:sz w:val="20"/>
                <w:lang w:eastAsia="zh-CN"/>
              </w:rPr>
              <w:t xml:space="preserve"> 803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717 </w:t>
            </w:r>
            <w:r w:rsidRPr="00A604A3">
              <w:rPr>
                <w:color w:val="000000" w:themeColor="text1"/>
                <w:sz w:val="20"/>
              </w:rPr>
              <w:t>–</w:t>
            </w:r>
            <w:r w:rsidRPr="00A604A3">
              <w:rPr>
                <w:color w:val="000000" w:themeColor="text1"/>
                <w:sz w:val="20"/>
                <w:lang w:eastAsia="zh-CN"/>
              </w:rPr>
              <w:t xml:space="preserve"> 728 MHz</w:t>
            </w:r>
          </w:p>
          <w:p w:rsidR="00AE0549" w:rsidRPr="00A604A3" w:rsidRDefault="00AE0549" w:rsidP="00470885">
            <w:pPr>
              <w:spacing w:before="0"/>
              <w:jc w:val="center"/>
              <w:rPr>
                <w:color w:val="000000" w:themeColor="text1"/>
                <w:sz w:val="20"/>
              </w:rPr>
            </w:pPr>
            <w:r w:rsidRPr="00A604A3">
              <w:rPr>
                <w:color w:val="000000" w:themeColor="text1"/>
                <w:sz w:val="20"/>
              </w:rPr>
              <w:t>734 – 746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738 </w:t>
            </w:r>
            <w:r w:rsidRPr="00A604A3">
              <w:rPr>
                <w:color w:val="000000" w:themeColor="text1"/>
                <w:sz w:val="20"/>
              </w:rPr>
              <w:t>–</w:t>
            </w:r>
            <w:r w:rsidRPr="00A604A3">
              <w:rPr>
                <w:color w:val="000000" w:themeColor="text1"/>
                <w:sz w:val="20"/>
                <w:lang w:eastAsia="zh-CN"/>
              </w:rPr>
              <w:t xml:space="preserve"> 758 MHz</w:t>
            </w:r>
          </w:p>
          <w:p w:rsidR="00AE0549" w:rsidRPr="00A604A3" w:rsidRDefault="00AE0549" w:rsidP="00470885">
            <w:pPr>
              <w:spacing w:before="0"/>
              <w:jc w:val="center"/>
              <w:rPr>
                <w:color w:val="000000" w:themeColor="text1"/>
                <w:sz w:val="20"/>
              </w:rPr>
            </w:pPr>
            <w:r w:rsidRPr="00A604A3">
              <w:rPr>
                <w:color w:val="000000" w:themeColor="text1"/>
                <w:sz w:val="20"/>
              </w:rPr>
              <w:t>746 – 756 MHz</w:t>
            </w:r>
          </w:p>
          <w:p w:rsidR="00AE0549" w:rsidRPr="00A604A3" w:rsidRDefault="00AE0549" w:rsidP="00470885">
            <w:pPr>
              <w:spacing w:before="0"/>
              <w:jc w:val="center"/>
              <w:rPr>
                <w:color w:val="000000" w:themeColor="text1"/>
                <w:sz w:val="20"/>
              </w:rPr>
            </w:pPr>
            <w:r w:rsidRPr="00A604A3">
              <w:rPr>
                <w:color w:val="000000" w:themeColor="text1"/>
                <w:sz w:val="20"/>
              </w:rPr>
              <w:t>758 – 768 MHz</w:t>
            </w:r>
          </w:p>
          <w:p w:rsidR="00AE0549" w:rsidRPr="00A604A3" w:rsidRDefault="00AE0549" w:rsidP="00470885">
            <w:pPr>
              <w:spacing w:before="0"/>
              <w:jc w:val="center"/>
              <w:rPr>
                <w:color w:val="000000" w:themeColor="text1"/>
                <w:sz w:val="20"/>
              </w:rPr>
            </w:pPr>
            <w:r w:rsidRPr="00A604A3">
              <w:rPr>
                <w:color w:val="000000" w:themeColor="text1"/>
                <w:sz w:val="20"/>
              </w:rPr>
              <w:t>852 – 869 MHz</w:t>
            </w:r>
          </w:p>
          <w:p w:rsidR="00AE0549" w:rsidRPr="00A604A3" w:rsidRDefault="00AE0549" w:rsidP="00470885">
            <w:pPr>
              <w:spacing w:before="0"/>
              <w:jc w:val="center"/>
              <w:rPr>
                <w:color w:val="000000" w:themeColor="text1"/>
                <w:sz w:val="20"/>
              </w:rPr>
            </w:pPr>
            <w:r w:rsidRPr="00A604A3">
              <w:rPr>
                <w:color w:val="000000" w:themeColor="text1"/>
                <w:sz w:val="20"/>
              </w:rPr>
              <w:t>859 – 894 MHz</w:t>
            </w:r>
          </w:p>
          <w:p w:rsidR="00AE0549" w:rsidRPr="00A604A3" w:rsidRDefault="00AE0549" w:rsidP="00470885">
            <w:pPr>
              <w:spacing w:before="0"/>
              <w:jc w:val="center"/>
              <w:rPr>
                <w:color w:val="000000" w:themeColor="text1"/>
                <w:sz w:val="20"/>
              </w:rPr>
            </w:pPr>
            <w:r w:rsidRPr="00A604A3">
              <w:rPr>
                <w:color w:val="000000" w:themeColor="text1"/>
                <w:sz w:val="20"/>
              </w:rPr>
              <w:t>860 – 875 MHz</w:t>
            </w:r>
          </w:p>
          <w:p w:rsidR="00AE0549" w:rsidRPr="00A604A3" w:rsidRDefault="00AE0549" w:rsidP="00470885">
            <w:pPr>
              <w:spacing w:before="0"/>
              <w:jc w:val="center"/>
              <w:rPr>
                <w:color w:val="000000" w:themeColor="text1"/>
                <w:sz w:val="20"/>
              </w:rPr>
            </w:pPr>
            <w:r w:rsidRPr="00A604A3">
              <w:rPr>
                <w:color w:val="000000" w:themeColor="text1"/>
                <w:sz w:val="20"/>
              </w:rPr>
              <w:t>875 – 885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lastRenderedPageBreak/>
              <w:t>1427 – 1518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tc>
        <w:tc>
          <w:tcPr>
            <w:tcW w:w="1992"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1470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tc>
        <w:tc>
          <w:tcPr>
            <w:tcW w:w="1993"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1475 – 1518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p w:rsidR="00AE0549" w:rsidRPr="00A604A3" w:rsidRDefault="00AE0549" w:rsidP="00470885">
            <w:pPr>
              <w:spacing w:before="0"/>
              <w:jc w:val="center"/>
              <w:rPr>
                <w:color w:val="000000" w:themeColor="text1"/>
                <w:sz w:val="20"/>
              </w:rPr>
            </w:pPr>
            <w:r w:rsidRPr="00A604A3">
              <w:rPr>
                <w:color w:val="000000" w:themeColor="text1"/>
                <w:sz w:val="20"/>
              </w:rPr>
              <w:t>n32</w:t>
            </w:r>
          </w:p>
          <w:p w:rsidR="00AE0549" w:rsidRPr="00A604A3" w:rsidRDefault="00AE0549" w:rsidP="00470885">
            <w:pPr>
              <w:spacing w:before="0"/>
              <w:jc w:val="center"/>
              <w:rPr>
                <w:color w:val="000000" w:themeColor="text1"/>
                <w:sz w:val="20"/>
              </w:rPr>
            </w:pPr>
            <w:r w:rsidRPr="00A604A3">
              <w:rPr>
                <w:color w:val="000000" w:themeColor="text1"/>
                <w:sz w:val="20"/>
              </w:rPr>
              <w:t>n11</w:t>
            </w:r>
          </w:p>
          <w:p w:rsidR="00AE0549" w:rsidRPr="00A604A3" w:rsidRDefault="00AE0549" w:rsidP="00470885">
            <w:pPr>
              <w:spacing w:before="0"/>
              <w:jc w:val="center"/>
              <w:rPr>
                <w:color w:val="000000" w:themeColor="text1"/>
                <w:sz w:val="20"/>
              </w:rPr>
            </w:pPr>
            <w:r w:rsidRPr="00A604A3">
              <w:rPr>
                <w:color w:val="000000" w:themeColor="text1"/>
                <w:sz w:val="20"/>
              </w:rPr>
              <w:t>n</w:t>
            </w:r>
            <w:r w:rsidRPr="00A604A3">
              <w:rPr>
                <w:color w:val="000000" w:themeColor="text1"/>
                <w:sz w:val="20"/>
                <w:lang w:eastAsia="zh-CN"/>
              </w:rPr>
              <w:t>45</w:t>
            </w:r>
          </w:p>
          <w:p w:rsidR="00AE0549" w:rsidRPr="00A604A3" w:rsidRDefault="00AE0549" w:rsidP="00470885">
            <w:pPr>
              <w:spacing w:before="0"/>
              <w:jc w:val="center"/>
              <w:rPr>
                <w:color w:val="000000" w:themeColor="text1"/>
                <w:sz w:val="20"/>
              </w:rPr>
            </w:pPr>
            <w:r w:rsidRPr="00A604A3">
              <w:rPr>
                <w:color w:val="000000" w:themeColor="text1"/>
                <w:sz w:val="20"/>
              </w:rPr>
              <w:t>n21</w:t>
            </w:r>
          </w:p>
          <w:p w:rsidR="00AE0549" w:rsidRPr="00A604A3" w:rsidRDefault="00AE0549" w:rsidP="00470885">
            <w:pPr>
              <w:spacing w:before="0"/>
              <w:jc w:val="center"/>
              <w:rPr>
                <w:color w:val="000000" w:themeColor="text1"/>
                <w:sz w:val="20"/>
              </w:rPr>
            </w:pPr>
            <w:r w:rsidRPr="00A604A3">
              <w:rPr>
                <w:color w:val="000000" w:themeColor="text1"/>
                <w:sz w:val="20"/>
              </w:rPr>
              <w:t>n24</w:t>
            </w:r>
          </w:p>
        </w:tc>
        <w:tc>
          <w:tcPr>
            <w:tcW w:w="1993"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–1470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eastAsia="zh-CN"/>
              </w:rPr>
              <w:t>N/A</w:t>
            </w:r>
          </w:p>
          <w:p w:rsidR="00AE0549" w:rsidRPr="006853C6" w:rsidRDefault="00AE0549" w:rsidP="00470885">
            <w:pPr>
              <w:spacing w:before="0"/>
              <w:jc w:val="center"/>
              <w:rPr>
                <w:color w:val="000000" w:themeColor="text1"/>
                <w:spacing w:val="-8"/>
                <w:sz w:val="20"/>
                <w:lang w:val="es-ES"/>
              </w:rPr>
            </w:pPr>
            <w:r w:rsidRPr="006853C6">
              <w:rPr>
                <w:color w:val="000000" w:themeColor="text1"/>
                <w:spacing w:val="-8"/>
                <w:sz w:val="20"/>
                <w:lang w:val="es-ES"/>
              </w:rPr>
              <w:t>1427.9 – 1447.9 MHz</w:t>
            </w:r>
          </w:p>
          <w:p w:rsidR="00AE0549" w:rsidRPr="006853C6" w:rsidRDefault="00AE0549" w:rsidP="00470885">
            <w:pPr>
              <w:spacing w:before="0"/>
              <w:jc w:val="center"/>
              <w:rPr>
                <w:color w:val="000000" w:themeColor="text1"/>
                <w:spacing w:val="-8"/>
                <w:sz w:val="20"/>
                <w:lang w:val="es-ES"/>
              </w:rPr>
            </w:pPr>
            <w:r w:rsidRPr="006853C6">
              <w:rPr>
                <w:color w:val="000000" w:themeColor="text1"/>
                <w:sz w:val="20"/>
                <w:lang w:val="es-ES" w:eastAsia="zh-CN"/>
              </w:rPr>
              <w:t xml:space="preserve">1447 </w:t>
            </w:r>
            <w:r w:rsidRPr="006853C6">
              <w:rPr>
                <w:color w:val="000000" w:themeColor="text1"/>
                <w:spacing w:val="-8"/>
                <w:sz w:val="20"/>
                <w:lang w:val="es-ES"/>
              </w:rPr>
              <w:t>–</w:t>
            </w:r>
            <w:r w:rsidRPr="006853C6">
              <w:rPr>
                <w:color w:val="000000" w:themeColor="text1"/>
                <w:sz w:val="20"/>
                <w:lang w:val="es-ES" w:eastAsia="zh-CN"/>
              </w:rPr>
              <w:t xml:space="preserve"> 1467 MHz</w:t>
            </w:r>
          </w:p>
          <w:p w:rsidR="00AE0549" w:rsidRPr="006853C6" w:rsidRDefault="00AE0549" w:rsidP="00470885">
            <w:pPr>
              <w:spacing w:before="0"/>
              <w:jc w:val="center"/>
              <w:rPr>
                <w:color w:val="000000" w:themeColor="text1"/>
                <w:spacing w:val="-8"/>
                <w:sz w:val="20"/>
                <w:lang w:val="es-ES"/>
              </w:rPr>
            </w:pPr>
            <w:r w:rsidRPr="006853C6">
              <w:rPr>
                <w:color w:val="000000" w:themeColor="text1"/>
                <w:spacing w:val="-8"/>
                <w:sz w:val="20"/>
                <w:lang w:val="es-ES"/>
              </w:rPr>
              <w:t>1447.9 – 1462.9 MHz</w:t>
            </w:r>
          </w:p>
          <w:p w:rsidR="00AE0549" w:rsidRPr="006853C6" w:rsidRDefault="00AE0549" w:rsidP="00470885">
            <w:pPr>
              <w:spacing w:before="0"/>
              <w:jc w:val="center"/>
              <w:rPr>
                <w:color w:val="000000" w:themeColor="text1"/>
                <w:spacing w:val="-8"/>
                <w:sz w:val="20"/>
                <w:lang w:val="es-ES"/>
              </w:rPr>
            </w:pPr>
            <w:r w:rsidRPr="006853C6">
              <w:rPr>
                <w:color w:val="000000" w:themeColor="text1"/>
                <w:spacing w:val="-8"/>
                <w:sz w:val="20"/>
                <w:lang w:val="es-ES"/>
              </w:rPr>
              <w:t>1626.5 – 1660.5 MHz</w:t>
            </w:r>
          </w:p>
        </w:tc>
        <w:tc>
          <w:tcPr>
            <w:tcW w:w="1993"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1475 – 1518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1452 – 1496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1475.9 – 1495.9 MHz</w:t>
            </w:r>
          </w:p>
          <w:p w:rsidR="00AE0549" w:rsidRPr="00A604A3" w:rsidRDefault="00AE0549" w:rsidP="00470885">
            <w:pPr>
              <w:spacing w:before="0"/>
              <w:jc w:val="center"/>
              <w:rPr>
                <w:color w:val="000000" w:themeColor="text1"/>
                <w:spacing w:val="-8"/>
                <w:sz w:val="20"/>
              </w:rPr>
            </w:pPr>
            <w:r w:rsidRPr="00A604A3">
              <w:rPr>
                <w:color w:val="000000" w:themeColor="text1"/>
                <w:sz w:val="20"/>
                <w:lang w:eastAsia="zh-CN"/>
              </w:rPr>
              <w:t xml:space="preserve">1447 </w:t>
            </w:r>
            <w:r w:rsidRPr="00A604A3">
              <w:rPr>
                <w:color w:val="000000" w:themeColor="text1"/>
                <w:spacing w:val="-8"/>
                <w:sz w:val="20"/>
              </w:rPr>
              <w:t>–</w:t>
            </w:r>
            <w:r w:rsidRPr="00A604A3">
              <w:rPr>
                <w:color w:val="000000" w:themeColor="text1"/>
                <w:sz w:val="20"/>
                <w:lang w:eastAsia="zh-CN"/>
              </w:rPr>
              <w:t xml:space="preserve"> 1467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495.9 – 1510.9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1525 </w:t>
            </w:r>
            <w:r w:rsidRPr="00A604A3">
              <w:rPr>
                <w:color w:val="000000" w:themeColor="text1"/>
                <w:spacing w:val="-8"/>
                <w:sz w:val="20"/>
              </w:rPr>
              <w:t>–</w:t>
            </w:r>
            <w:r w:rsidRPr="00A604A3">
              <w:rPr>
                <w:color w:val="000000" w:themeColor="text1"/>
                <w:sz w:val="20"/>
              </w:rPr>
              <w:t xml:space="preserve"> 1559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1710 – 2025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2200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r w:rsidRPr="00A604A3">
              <w:rPr>
                <w:color w:val="000000" w:themeColor="text1"/>
                <w:sz w:val="20"/>
              </w:rPr>
              <w:t>n86</w:t>
            </w: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r w:rsidRPr="00A604A3">
              <w:rPr>
                <w:color w:val="000000" w:themeColor="text1"/>
                <w:sz w:val="20"/>
              </w:rPr>
              <w:t>n80</w:t>
            </w: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r w:rsidRPr="00A604A3">
              <w:rPr>
                <w:color w:val="000000" w:themeColor="text1"/>
                <w:sz w:val="20"/>
              </w:rPr>
              <w:t>n84</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r w:rsidRPr="00A604A3">
              <w:rPr>
                <w:color w:val="000000" w:themeColor="text1"/>
                <w:sz w:val="20"/>
              </w:rPr>
              <w:t>1850 – 1915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1993"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1995– 2020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2110 – 2200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1805 – 1880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1930 – 1990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1930 – 1995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1880 – 1920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2110 – 2170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n4</w:t>
            </w:r>
          </w:p>
          <w:p w:rsidR="00AE0549" w:rsidRPr="00A604A3" w:rsidRDefault="00AE0549" w:rsidP="00470885">
            <w:pPr>
              <w:spacing w:before="0"/>
              <w:jc w:val="center"/>
              <w:rPr>
                <w:color w:val="000000" w:themeColor="text1"/>
                <w:sz w:val="20"/>
              </w:rPr>
            </w:pPr>
            <w:r w:rsidRPr="00A604A3">
              <w:rPr>
                <w:color w:val="000000" w:themeColor="text1"/>
                <w:sz w:val="20"/>
              </w:rPr>
              <w:t>n10</w:t>
            </w:r>
          </w:p>
          <w:p w:rsidR="00AE0549" w:rsidRPr="00A604A3" w:rsidRDefault="00AE0549" w:rsidP="00470885">
            <w:pPr>
              <w:spacing w:before="0"/>
              <w:jc w:val="center"/>
              <w:rPr>
                <w:color w:val="000000" w:themeColor="text1"/>
                <w:sz w:val="20"/>
              </w:rPr>
            </w:pPr>
            <w:r w:rsidRPr="00A604A3">
              <w:rPr>
                <w:color w:val="000000" w:themeColor="text1"/>
                <w:sz w:val="20"/>
              </w:rPr>
              <w:t>n9</w:t>
            </w:r>
          </w:p>
          <w:p w:rsidR="00AE0549" w:rsidRPr="00A604A3" w:rsidRDefault="00AE0549" w:rsidP="00470885">
            <w:pPr>
              <w:spacing w:before="0"/>
              <w:jc w:val="center"/>
              <w:rPr>
                <w:color w:val="000000" w:themeColor="text1"/>
                <w:sz w:val="20"/>
              </w:rPr>
            </w:pPr>
            <w:r w:rsidRPr="00A604A3">
              <w:rPr>
                <w:color w:val="000000" w:themeColor="text1"/>
                <w:sz w:val="20"/>
              </w:rPr>
              <w:t>n35</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n33</w:t>
            </w:r>
          </w:p>
          <w:p w:rsidR="00AE0549" w:rsidRPr="00A604A3" w:rsidRDefault="00AE0549" w:rsidP="00470885">
            <w:pPr>
              <w:spacing w:before="0"/>
              <w:jc w:val="center"/>
              <w:rPr>
                <w:color w:val="000000" w:themeColor="text1"/>
                <w:sz w:val="20"/>
              </w:rPr>
            </w:pPr>
            <w:r w:rsidRPr="00A604A3">
              <w:rPr>
                <w:color w:val="000000" w:themeColor="text1"/>
                <w:sz w:val="20"/>
              </w:rPr>
              <w:t>n37</w:t>
            </w:r>
          </w:p>
          <w:p w:rsidR="00AE0549" w:rsidRPr="00A604A3" w:rsidRDefault="00AE0549" w:rsidP="00470885">
            <w:pPr>
              <w:spacing w:before="0"/>
              <w:jc w:val="center"/>
              <w:rPr>
                <w:color w:val="000000" w:themeColor="text1"/>
                <w:sz w:val="20"/>
              </w:rPr>
            </w:pPr>
            <w:r w:rsidRPr="00A604A3">
              <w:rPr>
                <w:color w:val="000000" w:themeColor="text1"/>
                <w:sz w:val="20"/>
              </w:rPr>
              <w:t>n65</w:t>
            </w:r>
          </w:p>
          <w:p w:rsidR="00AE0549" w:rsidRPr="00A604A3" w:rsidRDefault="00AE0549" w:rsidP="00470885">
            <w:pPr>
              <w:spacing w:before="0"/>
              <w:jc w:val="center"/>
              <w:rPr>
                <w:color w:val="000000" w:themeColor="text1"/>
                <w:sz w:val="20"/>
              </w:rPr>
            </w:pPr>
            <w:r w:rsidRPr="00A604A3">
              <w:rPr>
                <w:color w:val="000000" w:themeColor="text1"/>
                <w:sz w:val="20"/>
              </w:rPr>
              <w:t>n36</w:t>
            </w:r>
          </w:p>
          <w:p w:rsidR="00AE0549" w:rsidRPr="00A604A3" w:rsidRDefault="00AE0549" w:rsidP="00470885">
            <w:pPr>
              <w:spacing w:before="0"/>
              <w:jc w:val="center"/>
              <w:rPr>
                <w:color w:val="000000" w:themeColor="text1"/>
                <w:sz w:val="20"/>
              </w:rPr>
            </w:pPr>
            <w:r w:rsidRPr="00A604A3">
              <w:rPr>
                <w:color w:val="000000" w:themeColor="text1"/>
                <w:sz w:val="20"/>
              </w:rPr>
              <w:t>n23</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1710 – 1755 MHz</w:t>
            </w:r>
          </w:p>
          <w:p w:rsidR="00AE0549" w:rsidRPr="00A604A3" w:rsidRDefault="00AE0549" w:rsidP="00470885">
            <w:pPr>
              <w:spacing w:before="0"/>
              <w:jc w:val="center"/>
              <w:rPr>
                <w:color w:val="000000" w:themeColor="text1"/>
                <w:sz w:val="20"/>
              </w:rPr>
            </w:pPr>
            <w:r w:rsidRPr="00A604A3">
              <w:rPr>
                <w:color w:val="000000" w:themeColor="text1"/>
                <w:sz w:val="20"/>
              </w:rPr>
              <w:t>1710 – 1770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1749.9 – 1784.9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1915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1880 </w:t>
            </w:r>
            <w:r w:rsidRPr="00A604A3">
              <w:rPr>
                <w:color w:val="000000" w:themeColor="text1"/>
                <w:spacing w:val="-8"/>
                <w:sz w:val="20"/>
              </w:rPr>
              <w:t>–</w:t>
            </w:r>
            <w:r w:rsidRPr="00A604A3">
              <w:rPr>
                <w:color w:val="000000" w:themeColor="text1"/>
                <w:sz w:val="20"/>
              </w:rPr>
              <w:t xml:space="preserve"> 1920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1900 – 1920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1910 </w:t>
            </w:r>
            <w:r w:rsidRPr="00A604A3">
              <w:rPr>
                <w:color w:val="000000" w:themeColor="text1"/>
                <w:spacing w:val="-8"/>
                <w:sz w:val="20"/>
              </w:rPr>
              <w:t>–</w:t>
            </w:r>
            <w:r w:rsidRPr="00A604A3">
              <w:rPr>
                <w:color w:val="000000" w:themeColor="text1"/>
                <w:sz w:val="20"/>
              </w:rPr>
              <w:t xml:space="preserve"> 1930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1920 </w:t>
            </w:r>
            <w:r w:rsidRPr="00A604A3">
              <w:rPr>
                <w:color w:val="000000" w:themeColor="text1"/>
                <w:spacing w:val="-8"/>
                <w:sz w:val="20"/>
              </w:rPr>
              <w:t>–</w:t>
            </w:r>
            <w:r w:rsidRPr="00A604A3">
              <w:rPr>
                <w:color w:val="000000" w:themeColor="text1"/>
                <w:sz w:val="20"/>
              </w:rPr>
              <w:t xml:space="preserve"> 2010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2000 </w:t>
            </w:r>
            <w:r w:rsidRPr="00A604A3">
              <w:rPr>
                <w:color w:val="000000" w:themeColor="text1"/>
                <w:spacing w:val="-8"/>
                <w:sz w:val="20"/>
              </w:rPr>
              <w:t>–</w:t>
            </w:r>
            <w:r w:rsidRPr="00A604A3">
              <w:rPr>
                <w:color w:val="000000" w:themeColor="text1"/>
                <w:sz w:val="20"/>
              </w:rPr>
              <w:t xml:space="preserve"> 2020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2010 </w:t>
            </w:r>
            <w:r w:rsidRPr="00A604A3">
              <w:rPr>
                <w:color w:val="000000" w:themeColor="text1"/>
                <w:spacing w:val="-8"/>
                <w:sz w:val="20"/>
              </w:rPr>
              <w:t>–</w:t>
            </w:r>
            <w:r w:rsidRPr="00A604A3">
              <w:rPr>
                <w:color w:val="000000" w:themeColor="text1"/>
                <w:sz w:val="20"/>
              </w:rPr>
              <w:t xml:space="preserve">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2155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1844.9 – 1879.9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1995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1880 </w:t>
            </w:r>
            <w:r w:rsidRPr="00A604A3">
              <w:rPr>
                <w:color w:val="000000" w:themeColor="text1"/>
                <w:spacing w:val="-8"/>
                <w:sz w:val="20"/>
              </w:rPr>
              <w:t>–</w:t>
            </w:r>
            <w:r w:rsidRPr="00A604A3">
              <w:rPr>
                <w:color w:val="000000" w:themeColor="text1"/>
                <w:sz w:val="20"/>
              </w:rPr>
              <w:t xml:space="preserve"> 1920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1900 – 1920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1910 </w:t>
            </w:r>
            <w:r w:rsidRPr="00A604A3">
              <w:rPr>
                <w:color w:val="000000" w:themeColor="text1"/>
                <w:spacing w:val="-8"/>
                <w:sz w:val="20"/>
              </w:rPr>
              <w:t>–</w:t>
            </w:r>
            <w:r w:rsidRPr="00A604A3">
              <w:rPr>
                <w:color w:val="000000" w:themeColor="text1"/>
                <w:sz w:val="20"/>
              </w:rPr>
              <w:t xml:space="preserve"> 1930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2110 </w:t>
            </w:r>
            <w:r w:rsidRPr="00A604A3">
              <w:rPr>
                <w:color w:val="000000" w:themeColor="text1"/>
                <w:spacing w:val="-8"/>
                <w:sz w:val="20"/>
              </w:rPr>
              <w:t>–</w:t>
            </w:r>
            <w:r w:rsidRPr="00A604A3">
              <w:rPr>
                <w:color w:val="000000" w:themeColor="text1"/>
                <w:sz w:val="20"/>
              </w:rPr>
              <w:t xml:space="preserve"> 2200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2180 </w:t>
            </w:r>
            <w:r w:rsidRPr="00A604A3">
              <w:rPr>
                <w:color w:val="000000" w:themeColor="text1"/>
                <w:spacing w:val="-8"/>
                <w:sz w:val="20"/>
              </w:rPr>
              <w:t>–</w:t>
            </w:r>
            <w:r w:rsidRPr="00A604A3">
              <w:rPr>
                <w:color w:val="000000" w:themeColor="text1"/>
                <w:sz w:val="20"/>
              </w:rPr>
              <w:t xml:space="preserve"> 2200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2010 </w:t>
            </w:r>
            <w:r w:rsidRPr="00A604A3">
              <w:rPr>
                <w:color w:val="000000" w:themeColor="text1"/>
                <w:spacing w:val="-8"/>
                <w:sz w:val="20"/>
              </w:rPr>
              <w:t>–</w:t>
            </w:r>
            <w:r w:rsidRPr="00A604A3">
              <w:rPr>
                <w:color w:val="000000" w:themeColor="text1"/>
                <w:sz w:val="20"/>
              </w:rPr>
              <w:t xml:space="preserve"> 2025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2"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tc>
        <w:tc>
          <w:tcPr>
            <w:tcW w:w="1992"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p w:rsidR="00AE0549" w:rsidRPr="00A604A3" w:rsidRDefault="00AE0549" w:rsidP="00470885">
            <w:pPr>
              <w:spacing w:before="0"/>
              <w:jc w:val="center"/>
              <w:rPr>
                <w:color w:val="000000" w:themeColor="text1"/>
                <w:sz w:val="20"/>
              </w:rPr>
            </w:pPr>
            <w:r w:rsidRPr="00A604A3">
              <w:rPr>
                <w:color w:val="000000" w:themeColor="text1"/>
                <w:sz w:val="20"/>
              </w:rPr>
              <w:t>n30</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 xml:space="preserve">2300 </w:t>
            </w:r>
            <w:r w:rsidRPr="00A604A3">
              <w:rPr>
                <w:color w:val="000000" w:themeColor="text1"/>
                <w:spacing w:val="-8"/>
                <w:sz w:val="20"/>
              </w:rPr>
              <w:t>–</w:t>
            </w:r>
            <w:r w:rsidRPr="00A604A3">
              <w:rPr>
                <w:color w:val="000000" w:themeColor="text1"/>
                <w:sz w:val="20"/>
              </w:rPr>
              <w:t xml:space="preserve"> 2400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2305 </w:t>
            </w:r>
            <w:r w:rsidRPr="00A604A3">
              <w:rPr>
                <w:color w:val="000000" w:themeColor="text1"/>
                <w:spacing w:val="-8"/>
                <w:sz w:val="20"/>
              </w:rPr>
              <w:t>–</w:t>
            </w:r>
            <w:r w:rsidRPr="00A604A3">
              <w:rPr>
                <w:color w:val="000000" w:themeColor="text1"/>
                <w:sz w:val="20"/>
              </w:rPr>
              <w:t xml:space="preserve"> 2315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 xml:space="preserve">2300 </w:t>
            </w:r>
            <w:r w:rsidRPr="00A604A3">
              <w:rPr>
                <w:color w:val="000000" w:themeColor="text1"/>
                <w:spacing w:val="-8"/>
                <w:sz w:val="20"/>
              </w:rPr>
              <w:t>–</w:t>
            </w:r>
            <w:r w:rsidRPr="00A604A3">
              <w:rPr>
                <w:color w:val="000000" w:themeColor="text1"/>
                <w:sz w:val="20"/>
              </w:rPr>
              <w:t xml:space="preserve"> 2400 MHz</w:t>
            </w:r>
          </w:p>
          <w:p w:rsidR="00AE0549" w:rsidRPr="00A604A3" w:rsidRDefault="00AE0549" w:rsidP="00470885">
            <w:pPr>
              <w:pStyle w:val="TAR"/>
              <w:keepNext w:val="0"/>
              <w:keepLines w:val="0"/>
              <w:jc w:val="center"/>
              <w:rPr>
                <w:rFonts w:ascii="Times New Roman" w:hAnsi="Times New Roman"/>
                <w:color w:val="000000" w:themeColor="text1"/>
                <w:sz w:val="20"/>
                <w:lang w:eastAsia="en-US"/>
              </w:rPr>
            </w:pPr>
            <w:r w:rsidRPr="00A604A3">
              <w:rPr>
                <w:rFonts w:ascii="Times New Roman" w:hAnsi="Times New Roman"/>
                <w:color w:val="000000" w:themeColor="text1"/>
                <w:sz w:val="20"/>
                <w:lang w:eastAsia="en-US"/>
              </w:rPr>
              <w:t xml:space="preserve">2350 </w:t>
            </w:r>
            <w:r w:rsidRPr="00A604A3">
              <w:rPr>
                <w:rFonts w:ascii="Times New Roman" w:hAnsi="Times New Roman"/>
                <w:color w:val="000000" w:themeColor="text1"/>
                <w:spacing w:val="-8"/>
                <w:sz w:val="20"/>
              </w:rPr>
              <w:t>–</w:t>
            </w:r>
            <w:r w:rsidRPr="00A604A3">
              <w:rPr>
                <w:rFonts w:ascii="Times New Roman" w:hAnsi="Times New Roman"/>
                <w:color w:val="000000" w:themeColor="text1"/>
                <w:sz w:val="20"/>
                <w:lang w:eastAsia="en-US"/>
              </w:rPr>
              <w:t xml:space="preserve"> </w:t>
            </w:r>
            <w:r w:rsidRPr="00A604A3">
              <w:rPr>
                <w:rFonts w:ascii="Times New Roman" w:hAnsi="Times New Roman"/>
                <w:color w:val="000000" w:themeColor="text1"/>
                <w:sz w:val="20"/>
              </w:rPr>
              <w:t>2360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2500 – 2690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p w:rsidR="00AE0549" w:rsidRPr="00A604A3" w:rsidRDefault="00AE0549" w:rsidP="00470885">
            <w:pPr>
              <w:spacing w:before="0"/>
              <w:jc w:val="center"/>
              <w:rPr>
                <w:color w:val="000000" w:themeColor="text1"/>
                <w:sz w:val="20"/>
              </w:rPr>
            </w:pPr>
            <w:r w:rsidRPr="00A604A3">
              <w:rPr>
                <w:color w:val="000000" w:themeColor="text1"/>
                <w:sz w:val="20"/>
              </w:rPr>
              <w:t>n69</w:t>
            </w:r>
          </w:p>
        </w:tc>
        <w:tc>
          <w:tcPr>
            <w:tcW w:w="1993"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2496 – 2690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2500 – 2570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2570 – 2620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p w:rsidR="00AE0549" w:rsidRPr="00A604A3" w:rsidRDefault="00AE0549" w:rsidP="00470885">
            <w:pPr>
              <w:spacing w:before="0"/>
              <w:jc w:val="center"/>
              <w:rPr>
                <w:color w:val="000000" w:themeColor="text1"/>
                <w:sz w:val="20"/>
              </w:rPr>
            </w:pPr>
            <w:r w:rsidRPr="00A604A3">
              <w:rPr>
                <w:color w:val="000000" w:themeColor="text1"/>
                <w:sz w:val="20"/>
              </w:rPr>
              <w:t>2570 – 2570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lastRenderedPageBreak/>
              <w:t>3300 – 3400 MHz</w:t>
            </w:r>
          </w:p>
          <w:p w:rsidR="00AE0549" w:rsidRPr="00A604A3" w:rsidRDefault="00AE0549" w:rsidP="00470885">
            <w:pPr>
              <w:spacing w:before="0"/>
              <w:jc w:val="center"/>
              <w:rPr>
                <w:color w:val="000000" w:themeColor="text1"/>
                <w:sz w:val="20"/>
              </w:rPr>
            </w:pPr>
            <w:r w:rsidRPr="00A604A3">
              <w:rPr>
                <w:color w:val="000000" w:themeColor="text1"/>
                <w:sz w:val="20"/>
              </w:rPr>
              <w:t>3400 – 3600 MHz</w:t>
            </w:r>
          </w:p>
          <w:p w:rsidR="00AE0549" w:rsidRPr="00A604A3" w:rsidRDefault="00AE0549" w:rsidP="00470885">
            <w:pPr>
              <w:spacing w:before="0"/>
              <w:jc w:val="center"/>
              <w:rPr>
                <w:color w:val="000000" w:themeColor="text1"/>
                <w:sz w:val="20"/>
              </w:rPr>
            </w:pPr>
            <w:r w:rsidRPr="00A604A3">
              <w:rPr>
                <w:color w:val="000000" w:themeColor="text1"/>
                <w:sz w:val="20"/>
              </w:rPr>
              <w:t>3600 – 3700 MHz 4800 – 4990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n78</w:t>
            </w:r>
          </w:p>
          <w:p w:rsidR="00AE0549" w:rsidRPr="00A604A3" w:rsidRDefault="00AE0549" w:rsidP="00470885">
            <w:pPr>
              <w:spacing w:before="0"/>
              <w:jc w:val="center"/>
              <w:rPr>
                <w:color w:val="000000" w:themeColor="text1"/>
                <w:sz w:val="20"/>
              </w:rPr>
            </w:pPr>
            <w:r w:rsidRPr="00A604A3">
              <w:rPr>
                <w:color w:val="000000" w:themeColor="text1"/>
                <w:sz w:val="20"/>
              </w:rPr>
              <w:t>n77</w:t>
            </w:r>
          </w:p>
          <w:p w:rsidR="00AE0549" w:rsidRPr="00A604A3" w:rsidRDefault="00AE0549" w:rsidP="00470885">
            <w:pPr>
              <w:spacing w:before="0"/>
              <w:jc w:val="center"/>
              <w:rPr>
                <w:color w:val="000000" w:themeColor="text1"/>
                <w:sz w:val="20"/>
              </w:rPr>
            </w:pPr>
            <w:r w:rsidRPr="00A604A3">
              <w:rPr>
                <w:color w:val="000000" w:themeColor="text1"/>
                <w:sz w:val="20"/>
              </w:rPr>
              <w:t>n79</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n52</w:t>
            </w:r>
          </w:p>
          <w:p w:rsidR="00AE0549" w:rsidRPr="00A604A3" w:rsidRDefault="00AE0549" w:rsidP="00470885">
            <w:pPr>
              <w:spacing w:before="0"/>
              <w:jc w:val="center"/>
              <w:rPr>
                <w:color w:val="000000" w:themeColor="text1"/>
                <w:sz w:val="20"/>
              </w:rPr>
            </w:pPr>
            <w:r w:rsidRPr="00A604A3">
              <w:rPr>
                <w:color w:val="000000" w:themeColor="text1"/>
                <w:sz w:val="20"/>
              </w:rPr>
              <w:t>n</w:t>
            </w:r>
            <w:r w:rsidRPr="00A604A3">
              <w:rPr>
                <w:color w:val="000000" w:themeColor="text1"/>
                <w:sz w:val="20"/>
                <w:lang w:eastAsia="zh-CN"/>
              </w:rPr>
              <w:t>42</w:t>
            </w:r>
          </w:p>
          <w:p w:rsidR="00AE0549" w:rsidRPr="00A604A3" w:rsidRDefault="00AE0549" w:rsidP="00470885">
            <w:pPr>
              <w:spacing w:before="0"/>
              <w:jc w:val="center"/>
              <w:rPr>
                <w:rFonts w:eastAsia="MS Mincho"/>
                <w:color w:val="000000" w:themeColor="text1"/>
                <w:sz w:val="20"/>
              </w:rPr>
            </w:pPr>
            <w:r w:rsidRPr="00A604A3">
              <w:rPr>
                <w:color w:val="000000" w:themeColor="text1"/>
                <w:sz w:val="20"/>
              </w:rPr>
              <w:t>n2</w:t>
            </w:r>
            <w:r w:rsidRPr="00A604A3">
              <w:rPr>
                <w:rFonts w:eastAsia="MS Mincho"/>
                <w:color w:val="000000" w:themeColor="text1"/>
                <w:sz w:val="20"/>
              </w:rPr>
              <w:t>2</w:t>
            </w:r>
          </w:p>
          <w:p w:rsidR="00AE0549" w:rsidRPr="00A604A3" w:rsidRDefault="00AE0549" w:rsidP="00470885">
            <w:pPr>
              <w:spacing w:before="0"/>
              <w:jc w:val="center"/>
              <w:rPr>
                <w:rFonts w:eastAsia="MS Mincho"/>
                <w:color w:val="000000" w:themeColor="text1"/>
                <w:sz w:val="20"/>
              </w:rPr>
            </w:pPr>
            <w:r w:rsidRPr="00A604A3">
              <w:rPr>
                <w:rFonts w:eastAsia="MS Mincho"/>
                <w:color w:val="000000" w:themeColor="text1"/>
                <w:sz w:val="20"/>
              </w:rPr>
              <w:t>n</w:t>
            </w:r>
            <w:r w:rsidRPr="00A604A3">
              <w:rPr>
                <w:color w:val="000000" w:themeColor="text1"/>
                <w:sz w:val="20"/>
                <w:lang w:eastAsia="ja-JP"/>
              </w:rPr>
              <w:t>48 / n49</w:t>
            </w:r>
          </w:p>
          <w:p w:rsidR="00AE0549" w:rsidRPr="00A604A3" w:rsidRDefault="00AE0549" w:rsidP="00470885">
            <w:pPr>
              <w:spacing w:before="0"/>
              <w:jc w:val="center"/>
              <w:rPr>
                <w:color w:val="000000" w:themeColor="text1"/>
                <w:sz w:val="20"/>
              </w:rPr>
            </w:pPr>
            <w:r w:rsidRPr="00A604A3">
              <w:rPr>
                <w:color w:val="000000" w:themeColor="text1"/>
                <w:sz w:val="20"/>
              </w:rPr>
              <w:t>n43</w:t>
            </w:r>
          </w:p>
          <w:p w:rsidR="00AE0549" w:rsidRPr="00A604A3" w:rsidRDefault="00AE0549" w:rsidP="00470885">
            <w:pPr>
              <w:spacing w:before="0"/>
              <w:jc w:val="center"/>
              <w:rPr>
                <w:color w:val="000000" w:themeColor="text1"/>
                <w:sz w:val="20"/>
              </w:rPr>
            </w:pPr>
            <w:r w:rsidRPr="00A604A3">
              <w:rPr>
                <w:color w:val="000000" w:themeColor="text1"/>
                <w:sz w:val="20"/>
              </w:rPr>
              <w:t>n46</w:t>
            </w:r>
          </w:p>
          <w:p w:rsidR="00AE0549" w:rsidRPr="00A604A3" w:rsidRDefault="00AE0549" w:rsidP="00470885">
            <w:pPr>
              <w:spacing w:before="0"/>
              <w:jc w:val="center"/>
              <w:rPr>
                <w:color w:val="000000" w:themeColor="text1"/>
                <w:sz w:val="20"/>
              </w:rPr>
            </w:pPr>
            <w:r w:rsidRPr="00A604A3">
              <w:rPr>
                <w:color w:val="000000" w:themeColor="text1"/>
                <w:sz w:val="20"/>
              </w:rPr>
              <w:t>n47</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3400 </w:t>
            </w:r>
            <w:r w:rsidRPr="00A604A3">
              <w:rPr>
                <w:color w:val="000000" w:themeColor="text1"/>
                <w:sz w:val="20"/>
              </w:rPr>
              <w:t>–</w:t>
            </w:r>
            <w:r w:rsidRPr="00A604A3">
              <w:rPr>
                <w:color w:val="000000" w:themeColor="text1"/>
                <w:sz w:val="20"/>
                <w:lang w:eastAsia="zh-CN"/>
              </w:rPr>
              <w:t xml:space="preserve"> 3600 MHz</w:t>
            </w:r>
          </w:p>
          <w:p w:rsidR="00AE0549" w:rsidRPr="00A604A3" w:rsidRDefault="00AE0549" w:rsidP="00470885">
            <w:pPr>
              <w:spacing w:before="0"/>
              <w:jc w:val="center"/>
              <w:rPr>
                <w:color w:val="000000" w:themeColor="text1"/>
                <w:sz w:val="20"/>
              </w:rPr>
            </w:pPr>
            <w:r w:rsidRPr="00A604A3">
              <w:rPr>
                <w:color w:val="000000" w:themeColor="text1"/>
                <w:sz w:val="20"/>
              </w:rPr>
              <w:t>3410 – 3490 MHz</w:t>
            </w:r>
          </w:p>
          <w:p w:rsidR="00AE0549" w:rsidRPr="00A604A3" w:rsidRDefault="00AE0549" w:rsidP="00470885">
            <w:pPr>
              <w:pStyle w:val="TAR"/>
              <w:keepNext w:val="0"/>
              <w:keepLines w:val="0"/>
              <w:jc w:val="center"/>
              <w:rPr>
                <w:rFonts w:ascii="Times New Roman" w:hAnsi="Times New Roman"/>
                <w:color w:val="000000" w:themeColor="text1"/>
                <w:sz w:val="20"/>
                <w:lang w:eastAsia="ko-KR"/>
              </w:rPr>
            </w:pPr>
            <w:r w:rsidRPr="00A604A3">
              <w:rPr>
                <w:rFonts w:ascii="Times New Roman" w:hAnsi="Times New Roman"/>
                <w:color w:val="000000" w:themeColor="text1"/>
                <w:sz w:val="20"/>
                <w:lang w:eastAsia="zh-CN"/>
              </w:rPr>
              <w:t xml:space="preserve">3550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3700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 xml:space="preserve">3600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3800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5150 – 5925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5855 – 5925 MHz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3400 </w:t>
            </w:r>
            <w:r w:rsidRPr="00A604A3">
              <w:rPr>
                <w:color w:val="000000" w:themeColor="text1"/>
                <w:sz w:val="20"/>
              </w:rPr>
              <w:t>–</w:t>
            </w:r>
            <w:r w:rsidRPr="00A604A3">
              <w:rPr>
                <w:color w:val="000000" w:themeColor="text1"/>
                <w:sz w:val="20"/>
                <w:lang w:eastAsia="zh-CN"/>
              </w:rPr>
              <w:t xml:space="preserve"> 3600 MHz</w:t>
            </w:r>
          </w:p>
          <w:p w:rsidR="00AE0549" w:rsidRPr="00A604A3" w:rsidRDefault="00AE0549" w:rsidP="00470885">
            <w:pPr>
              <w:spacing w:before="0"/>
              <w:jc w:val="center"/>
              <w:rPr>
                <w:color w:val="000000" w:themeColor="text1"/>
                <w:sz w:val="20"/>
              </w:rPr>
            </w:pPr>
            <w:r w:rsidRPr="00A604A3">
              <w:rPr>
                <w:color w:val="000000" w:themeColor="text1"/>
                <w:sz w:val="20"/>
              </w:rPr>
              <w:t>3510 – 3590 MHz</w:t>
            </w:r>
          </w:p>
          <w:p w:rsidR="00AE0549" w:rsidRPr="00A604A3" w:rsidRDefault="00AE0549" w:rsidP="00470885">
            <w:pPr>
              <w:pStyle w:val="TAR"/>
              <w:keepNext w:val="0"/>
              <w:keepLines w:val="0"/>
              <w:jc w:val="center"/>
              <w:rPr>
                <w:rFonts w:ascii="Times New Roman" w:hAnsi="Times New Roman"/>
                <w:color w:val="000000" w:themeColor="text1"/>
                <w:sz w:val="20"/>
                <w:lang w:eastAsia="ko-KR"/>
              </w:rPr>
            </w:pPr>
            <w:r w:rsidRPr="00A604A3">
              <w:rPr>
                <w:rFonts w:ascii="Times New Roman" w:hAnsi="Times New Roman"/>
                <w:color w:val="000000" w:themeColor="text1"/>
                <w:sz w:val="20"/>
                <w:lang w:eastAsia="zh-CN"/>
              </w:rPr>
              <w:t xml:space="preserve">3550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3700 MHz</w:t>
            </w:r>
          </w:p>
          <w:p w:rsidR="00AE0549" w:rsidRPr="00A604A3" w:rsidRDefault="00AE0549" w:rsidP="00470885">
            <w:pPr>
              <w:spacing w:before="0"/>
              <w:jc w:val="center"/>
              <w:rPr>
                <w:color w:val="000000" w:themeColor="text1"/>
                <w:sz w:val="20"/>
                <w:lang w:eastAsia="zh-CN"/>
              </w:rPr>
            </w:pPr>
            <w:r w:rsidRPr="00A604A3">
              <w:rPr>
                <w:color w:val="000000" w:themeColor="text1"/>
                <w:sz w:val="20"/>
                <w:lang w:eastAsia="zh-CN"/>
              </w:rPr>
              <w:t xml:space="preserve">3600 </w:t>
            </w:r>
            <w:r w:rsidRPr="00A604A3">
              <w:rPr>
                <w:color w:val="000000" w:themeColor="text1"/>
                <w:sz w:val="20"/>
              </w:rPr>
              <w:t>–</w:t>
            </w:r>
            <w:r w:rsidRPr="00A604A3">
              <w:rPr>
                <w:color w:val="000000" w:themeColor="text1"/>
                <w:sz w:val="20"/>
                <w:lang w:eastAsia="zh-CN"/>
              </w:rPr>
              <w:t xml:space="preserve"> 3800 MHz</w:t>
            </w:r>
          </w:p>
          <w:p w:rsidR="00AE0549" w:rsidRPr="00A604A3" w:rsidRDefault="00AE0549" w:rsidP="00470885">
            <w:pPr>
              <w:spacing w:before="0"/>
              <w:jc w:val="center"/>
              <w:rPr>
                <w:color w:val="000000" w:themeColor="text1"/>
                <w:sz w:val="20"/>
                <w:lang w:eastAsia="zh-CN"/>
              </w:rPr>
            </w:pPr>
            <w:r w:rsidRPr="00A604A3">
              <w:rPr>
                <w:color w:val="000000" w:themeColor="text1"/>
                <w:sz w:val="20"/>
                <w:lang w:eastAsia="zh-CN"/>
              </w:rPr>
              <w:t>5150 – 5925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5855 – 5925 MHz</w:t>
            </w:r>
          </w:p>
        </w:tc>
      </w:tr>
      <w:tr w:rsidR="00AE0549" w:rsidRPr="00A604A3" w:rsidTr="00470885">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r>
      <w:tr w:rsidR="00AE0549" w:rsidRPr="00A604A3" w:rsidTr="00470885">
        <w:tc>
          <w:tcPr>
            <w:tcW w:w="1992" w:type="dxa"/>
            <w:vMerge w:val="restart"/>
          </w:tcPr>
          <w:p w:rsidR="00AE0549" w:rsidRPr="00A604A3" w:rsidRDefault="00AE0549" w:rsidP="00470885">
            <w:pPr>
              <w:spacing w:before="0"/>
              <w:rPr>
                <w:color w:val="000000" w:themeColor="text1"/>
                <w:sz w:val="20"/>
              </w:rPr>
            </w:pPr>
            <w:r w:rsidRPr="00A604A3">
              <w:rPr>
                <w:color w:val="000000" w:themeColor="text1"/>
                <w:sz w:val="20"/>
              </w:rPr>
              <w:t>Higher frequency bands are subject of WRC 2019</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n258</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n257</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26.5 –29.5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26.5 – 29.5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n261</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n260</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r>
      <w:tr w:rsidR="00AE0549" w:rsidRPr="00A604A3" w:rsidTr="00470885">
        <w:tc>
          <w:tcPr>
            <w:tcW w:w="1992" w:type="dxa"/>
          </w:tcPr>
          <w:p w:rsidR="00AE0549" w:rsidRPr="00A604A3" w:rsidRDefault="00AE0549" w:rsidP="00470885">
            <w:pPr>
              <w:spacing w:before="0"/>
              <w:rPr>
                <w:color w:val="000000" w:themeColor="text1"/>
                <w:sz w:val="20"/>
              </w:rPr>
            </w:pPr>
          </w:p>
        </w:tc>
        <w:tc>
          <w:tcPr>
            <w:tcW w:w="11956" w:type="dxa"/>
            <w:gridSpan w:val="6"/>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1651"/>
              </w:tabs>
              <w:spacing w:before="0" w:after="120"/>
              <w:rPr>
                <w:i/>
                <w:color w:val="000000" w:themeColor="text1"/>
                <w:lang w:eastAsia="zh-CN"/>
              </w:rPr>
            </w:pPr>
            <w:r w:rsidRPr="00A604A3">
              <w:rPr>
                <w:b/>
                <w:color w:val="000000" w:themeColor="text1"/>
                <w:lang w:eastAsia="zh-CN"/>
              </w:rPr>
              <w:t>Remark by 3GPP</w:t>
            </w:r>
            <w:r w:rsidRPr="00A604A3">
              <w:rPr>
                <w:color w:val="000000" w:themeColor="text1"/>
                <w:lang w:eastAsia="zh-CN"/>
              </w:rPr>
              <w:tab/>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NB-IoT, Category NB1 and NB2 are designed to operate in band 1, 2, 3, 4, 5, 8, 11, 12, 13, 17, 18, 19, 20, 21, 25, 26, 28, 31, 41, 66, 70, 71, 72 and 74 in the above table. See more details in [12] sub-clause 5.5F.</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eMTC, UE category M1 and M2 is designed to operate in band 1, 2, 3, 4, 5, 7, 8, 11, 12, 13, 14, 18, 19, 20, 21, 25, 26, 27, 28, 31, 39, 40, 41, 66, 71, 72 and 74 in the above table. See more details in [12] sub-clause 5.5E.</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V2X communication, the bands can be found in [12] sub-clause 5.5G.</w:t>
            </w:r>
          </w:p>
        </w:tc>
      </w:tr>
    </w:tbl>
    <w:p w:rsidR="00AE0549" w:rsidRPr="00A604A3" w:rsidRDefault="00AE0549" w:rsidP="00470885">
      <w:pPr>
        <w:spacing w:before="0"/>
        <w:rPr>
          <w:szCs w:val="24"/>
        </w:rPr>
      </w:pPr>
    </w:p>
    <w:p w:rsidR="00AE0549" w:rsidRPr="00A604A3" w:rsidRDefault="00AE0549" w:rsidP="00470885">
      <w:pPr>
        <w:spacing w:before="0"/>
        <w:rPr>
          <w:rFonts w:ascii="Arial" w:hAnsi="Arial" w:cs="Arial"/>
          <w:szCs w:val="24"/>
        </w:rPr>
        <w:sectPr w:rsidR="00AE0549" w:rsidRPr="00A604A3" w:rsidSect="00604502">
          <w:pgSz w:w="16838" w:h="11906" w:orient="landscape" w:code="9"/>
          <w:pgMar w:top="1440" w:right="1440" w:bottom="1440" w:left="1440" w:header="709" w:footer="709" w:gutter="0"/>
          <w:cols w:space="708"/>
          <w:docGrid w:linePitch="360"/>
        </w:sectPr>
      </w:pPr>
    </w:p>
    <w:p w:rsidR="00541DCC" w:rsidRDefault="00541DCC" w:rsidP="00541DCC">
      <w:pPr>
        <w:pStyle w:val="TableNo"/>
      </w:pPr>
      <w:bookmarkStart w:id="656" w:name="_Ref25430946"/>
      <w:bookmarkStart w:id="657" w:name="_Toc28265855"/>
      <w:bookmarkStart w:id="658" w:name="_Toc28277089"/>
      <w:bookmarkStart w:id="659" w:name="_Toc32066510"/>
      <w:r>
        <w:lastRenderedPageBreak/>
        <w:t>Table 136</w:t>
      </w:r>
    </w:p>
    <w:p w:rsidR="00AE0549" w:rsidRPr="00A604A3" w:rsidRDefault="00AE0549" w:rsidP="00541DCC">
      <w:pPr>
        <w:pStyle w:val="Tabletitle"/>
      </w:pPr>
      <w:r w:rsidRPr="00A604A3">
        <w:t>Characteristics template for 5G NR RIT of “5G” (Release 15 and beyond)</w:t>
      </w:r>
      <w:bookmarkEnd w:id="656"/>
      <w:bookmarkEnd w:id="657"/>
      <w:bookmarkEnd w:id="658"/>
      <w:bookmarkEnd w:id="659"/>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43"/>
        <w:gridCol w:w="2278"/>
        <w:gridCol w:w="2279"/>
      </w:tblGrid>
      <w:tr w:rsidR="00AE0549" w:rsidRPr="00A604A3" w:rsidTr="00541DCC">
        <w:trPr>
          <w:jc w:val="center"/>
        </w:trPr>
        <w:tc>
          <w:tcPr>
            <w:tcW w:w="1984" w:type="dxa"/>
            <w:vMerge w:val="restart"/>
          </w:tcPr>
          <w:p w:rsidR="00AE0549" w:rsidRPr="00A604A3" w:rsidRDefault="00AE0549" w:rsidP="00470885">
            <w:pPr>
              <w:spacing w:before="0" w:after="120"/>
              <w:jc w:val="center"/>
              <w:rPr>
                <w:color w:val="000000" w:themeColor="text1"/>
                <w:sz w:val="20"/>
              </w:rPr>
            </w:pPr>
            <w:r w:rsidRPr="00A604A3">
              <w:rPr>
                <w:color w:val="000000" w:themeColor="text1"/>
                <w:sz w:val="20"/>
              </w:rPr>
              <w:t>ITU-R [2]</w:t>
            </w:r>
          </w:p>
          <w:p w:rsidR="00AE0549" w:rsidRPr="00A604A3" w:rsidRDefault="00AE0549" w:rsidP="00470885">
            <w:pPr>
              <w:spacing w:before="0"/>
              <w:jc w:val="center"/>
              <w:rPr>
                <w:color w:val="000000" w:themeColor="text1"/>
                <w:sz w:val="20"/>
              </w:rPr>
            </w:pPr>
            <w:r w:rsidRPr="00A604A3">
              <w:rPr>
                <w:color w:val="000000" w:themeColor="text1"/>
                <w:sz w:val="20"/>
              </w:rPr>
              <w:t>[MHz]</w:t>
            </w:r>
          </w:p>
        </w:tc>
        <w:tc>
          <w:tcPr>
            <w:tcW w:w="6700"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698"/>
              </w:tabs>
              <w:spacing w:before="0" w:after="120"/>
              <w:rPr>
                <w:color w:val="000000" w:themeColor="text1"/>
                <w:lang w:eastAsia="zh-CN"/>
              </w:rPr>
            </w:pPr>
            <w:r w:rsidRPr="00A604A3">
              <w:rPr>
                <w:b/>
                <w:i/>
                <w:color w:val="000000" w:themeColor="text1"/>
                <w:u w:val="single"/>
                <w:lang w:eastAsia="zh-CN"/>
              </w:rPr>
              <w:t>For 5G NR component 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4"/>
              </w:tabs>
              <w:spacing w:before="0" w:after="0"/>
              <w:rPr>
                <w:i/>
                <w:color w:val="000000" w:themeColor="text1"/>
                <w:lang w:eastAsia="zh-CN"/>
              </w:rPr>
            </w:pPr>
            <w:r w:rsidRPr="00A604A3">
              <w:rPr>
                <w:i/>
                <w:color w:val="000000" w:themeColor="text1"/>
                <w:szCs w:val="22"/>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tc>
      </w:tr>
      <w:tr w:rsidR="00AE0549" w:rsidRPr="00A604A3" w:rsidTr="00541DCC">
        <w:trPr>
          <w:jc w:val="center"/>
        </w:trPr>
        <w:tc>
          <w:tcPr>
            <w:tcW w:w="1984" w:type="dxa"/>
            <w:vMerge/>
          </w:tcPr>
          <w:p w:rsidR="00AE0549" w:rsidRPr="00A604A3" w:rsidRDefault="00AE0549" w:rsidP="00470885">
            <w:pPr>
              <w:spacing w:before="0"/>
              <w:jc w:val="center"/>
              <w:rPr>
                <w:color w:val="000000" w:themeColor="text1"/>
                <w:sz w:val="20"/>
              </w:rPr>
            </w:pPr>
          </w:p>
        </w:tc>
        <w:tc>
          <w:tcPr>
            <w:tcW w:w="2143"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2278"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2279"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450 – 470 MHz</w:t>
            </w:r>
          </w:p>
        </w:tc>
        <w:tc>
          <w:tcPr>
            <w:tcW w:w="214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2278"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2279"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470 – 698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694/698 – 960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r w:rsidRPr="00A604A3">
              <w:rPr>
                <w:color w:val="000000" w:themeColor="text1"/>
                <w:sz w:val="20"/>
              </w:rPr>
              <w:t>n83</w:t>
            </w: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r w:rsidRPr="00A604A3">
              <w:rPr>
                <w:color w:val="000000" w:themeColor="text1"/>
                <w:sz w:val="20"/>
              </w:rPr>
              <w:t>n82</w:t>
            </w: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r w:rsidRPr="00A604A3">
              <w:rPr>
                <w:color w:val="000000" w:themeColor="text1"/>
                <w:sz w:val="20"/>
              </w:rPr>
              <w:t>n81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tc>
        <w:tc>
          <w:tcPr>
            <w:tcW w:w="2279"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729 – 746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758 – 803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869 – 894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791– 821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r>
      <w:tr w:rsidR="00AE0549" w:rsidRPr="006853C6"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1427 – 1518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tc>
        <w:tc>
          <w:tcPr>
            <w:tcW w:w="2278"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–1470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tc>
        <w:tc>
          <w:tcPr>
            <w:tcW w:w="2279"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1427 – 1432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1475 – 1518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1432 – 1517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1710 – 2025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2200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r w:rsidRPr="00A604A3">
              <w:rPr>
                <w:color w:val="000000" w:themeColor="text1"/>
                <w:sz w:val="20"/>
              </w:rPr>
              <w:t>n86</w:t>
            </w: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r w:rsidRPr="00A604A3">
              <w:rPr>
                <w:color w:val="000000" w:themeColor="text1"/>
                <w:sz w:val="20"/>
              </w:rPr>
              <w:t>n80</w:t>
            </w: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r w:rsidRPr="00A604A3">
              <w:rPr>
                <w:color w:val="000000" w:themeColor="text1"/>
                <w:sz w:val="20"/>
              </w:rPr>
              <w:t>n84</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r w:rsidRPr="00A604A3">
              <w:rPr>
                <w:color w:val="000000" w:themeColor="text1"/>
                <w:sz w:val="20"/>
              </w:rPr>
              <w:t>1850 – 1915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2279" w:type="dxa"/>
          </w:tcPr>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1995– 2020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2110 – 2200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1805 – 1880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1930 – 1990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1930 – 1995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1880 – 1920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2110 – 2170 MHz</w:t>
            </w:r>
          </w:p>
          <w:p w:rsidR="00AE0549" w:rsidRPr="006853C6" w:rsidRDefault="00AE0549" w:rsidP="00470885">
            <w:pPr>
              <w:spacing w:before="0"/>
              <w:jc w:val="center"/>
              <w:rPr>
                <w:color w:val="000000" w:themeColor="text1"/>
                <w:sz w:val="20"/>
                <w:lang w:val="es-ES"/>
              </w:rPr>
            </w:pPr>
            <w:r w:rsidRPr="006853C6">
              <w:rPr>
                <w:color w:val="000000" w:themeColor="text1"/>
                <w:sz w:val="20"/>
                <w:lang w:val="es-ES"/>
              </w:rPr>
              <w:t>N/A</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214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tc>
        <w:tc>
          <w:tcPr>
            <w:tcW w:w="2278"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2279"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2500 – 2690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rPr>
              <w:t>3400 – 3600 MHz</w:t>
            </w:r>
          </w:p>
          <w:p w:rsidR="00AE0549" w:rsidRPr="00A604A3" w:rsidRDefault="00AE0549" w:rsidP="00470885">
            <w:pPr>
              <w:spacing w:before="0"/>
              <w:jc w:val="center"/>
              <w:rPr>
                <w:color w:val="000000" w:themeColor="text1"/>
                <w:sz w:val="20"/>
              </w:rPr>
            </w:pPr>
            <w:r w:rsidRPr="00A604A3">
              <w:rPr>
                <w:color w:val="000000" w:themeColor="text1"/>
                <w:sz w:val="20"/>
              </w:rPr>
              <w:t>3600 – 3700 MHz</w:t>
            </w:r>
          </w:p>
          <w:p w:rsidR="00AE0549" w:rsidRPr="00A604A3" w:rsidRDefault="00AE0549" w:rsidP="00470885">
            <w:pPr>
              <w:spacing w:before="0"/>
              <w:jc w:val="center"/>
              <w:rPr>
                <w:color w:val="000000" w:themeColor="text1"/>
                <w:sz w:val="20"/>
              </w:rPr>
            </w:pPr>
            <w:r w:rsidRPr="00A604A3">
              <w:rPr>
                <w:color w:val="000000" w:themeColor="text1"/>
                <w:sz w:val="20"/>
              </w:rPr>
              <w:t>4800 – 4990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n78</w:t>
            </w:r>
          </w:p>
          <w:p w:rsidR="00AE0549" w:rsidRPr="00A604A3" w:rsidRDefault="00AE0549" w:rsidP="00470885">
            <w:pPr>
              <w:spacing w:before="0"/>
              <w:jc w:val="center"/>
              <w:rPr>
                <w:color w:val="000000" w:themeColor="text1"/>
                <w:sz w:val="20"/>
              </w:rPr>
            </w:pPr>
            <w:r w:rsidRPr="00A604A3">
              <w:rPr>
                <w:color w:val="000000" w:themeColor="text1"/>
                <w:sz w:val="20"/>
              </w:rPr>
              <w:t>n77</w:t>
            </w:r>
          </w:p>
          <w:p w:rsidR="00AE0549" w:rsidRPr="00A604A3" w:rsidRDefault="00AE0549" w:rsidP="00470885">
            <w:pPr>
              <w:spacing w:before="0"/>
              <w:jc w:val="center"/>
              <w:rPr>
                <w:color w:val="000000" w:themeColor="text1"/>
                <w:sz w:val="20"/>
              </w:rPr>
            </w:pPr>
            <w:r w:rsidRPr="00A604A3">
              <w:rPr>
                <w:color w:val="000000" w:themeColor="text1"/>
                <w:sz w:val="20"/>
              </w:rPr>
              <w:t>n79</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r>
      <w:tr w:rsidR="00AE0549" w:rsidRPr="00A604A3" w:rsidTr="00541DCC">
        <w:trPr>
          <w:jc w:val="center"/>
        </w:trPr>
        <w:tc>
          <w:tcPr>
            <w:tcW w:w="1984"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143" w:type="dxa"/>
            <w:shd w:val="clear" w:color="auto" w:fill="808080" w:themeFill="background1" w:themeFillShade="80"/>
          </w:tcPr>
          <w:p w:rsidR="00AE0549" w:rsidRPr="00A604A3" w:rsidRDefault="00AE0549" w:rsidP="00470885">
            <w:pPr>
              <w:spacing w:before="0"/>
              <w:rPr>
                <w:color w:val="000000" w:themeColor="text1"/>
                <w:sz w:val="20"/>
              </w:rPr>
            </w:pPr>
          </w:p>
        </w:tc>
        <w:tc>
          <w:tcPr>
            <w:tcW w:w="2278" w:type="dxa"/>
            <w:shd w:val="clear" w:color="auto" w:fill="808080" w:themeFill="background1" w:themeFillShade="80"/>
          </w:tcPr>
          <w:p w:rsidR="00AE0549" w:rsidRPr="00A604A3" w:rsidRDefault="00AE0549" w:rsidP="00470885">
            <w:pPr>
              <w:spacing w:before="0"/>
              <w:rPr>
                <w:color w:val="000000" w:themeColor="text1"/>
                <w:sz w:val="20"/>
              </w:rPr>
            </w:pPr>
          </w:p>
        </w:tc>
        <w:tc>
          <w:tcPr>
            <w:tcW w:w="2279" w:type="dxa"/>
            <w:shd w:val="clear" w:color="auto" w:fill="808080" w:themeFill="background1" w:themeFillShade="80"/>
          </w:tcPr>
          <w:p w:rsidR="00AE0549" w:rsidRPr="00A604A3" w:rsidRDefault="00AE0549" w:rsidP="00470885">
            <w:pPr>
              <w:spacing w:before="0"/>
              <w:rPr>
                <w:color w:val="000000" w:themeColor="text1"/>
                <w:sz w:val="20"/>
              </w:rPr>
            </w:pPr>
          </w:p>
        </w:tc>
      </w:tr>
      <w:tr w:rsidR="00AE0549" w:rsidRPr="00A604A3" w:rsidTr="00541DCC">
        <w:trPr>
          <w:jc w:val="center"/>
        </w:trPr>
        <w:tc>
          <w:tcPr>
            <w:tcW w:w="1984" w:type="dxa"/>
            <w:vMerge w:val="restart"/>
          </w:tcPr>
          <w:p w:rsidR="00AE0549" w:rsidRPr="00A604A3" w:rsidRDefault="00AE0549" w:rsidP="00470885">
            <w:pPr>
              <w:spacing w:before="0"/>
              <w:rPr>
                <w:color w:val="000000" w:themeColor="text1"/>
                <w:sz w:val="20"/>
              </w:rPr>
            </w:pPr>
            <w:r w:rsidRPr="00A604A3">
              <w:rPr>
                <w:color w:val="000000" w:themeColor="text1"/>
                <w:sz w:val="20"/>
              </w:rPr>
              <w:t>Higher frequency bands are subject of WRC 2019</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n258</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n257</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26.5 –29.5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26.5 – 29.5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n261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n260</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r>
      <w:tr w:rsidR="00AE0549" w:rsidRPr="00A604A3" w:rsidTr="00541DCC">
        <w:trPr>
          <w:jc w:val="center"/>
        </w:trPr>
        <w:tc>
          <w:tcPr>
            <w:tcW w:w="1984"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143"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278"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279" w:type="dxa"/>
            <w:shd w:val="clear" w:color="auto" w:fill="808080" w:themeFill="background1" w:themeFillShade="80"/>
          </w:tcPr>
          <w:p w:rsidR="00AE0549" w:rsidRPr="00A604A3" w:rsidRDefault="00AE0549" w:rsidP="00470885">
            <w:pPr>
              <w:spacing w:before="0"/>
              <w:jc w:val="right"/>
              <w:rPr>
                <w:color w:val="000000" w:themeColor="text1"/>
                <w:sz w:val="20"/>
              </w:rPr>
            </w:pPr>
          </w:p>
        </w:tc>
      </w:tr>
    </w:tbl>
    <w:p w:rsidR="00AE0549" w:rsidRPr="00A604A3" w:rsidRDefault="00AE0549" w:rsidP="00541DCC">
      <w:pPr>
        <w:pStyle w:val="Tablefin"/>
      </w:pPr>
    </w:p>
    <w:p w:rsidR="00AE0549" w:rsidRPr="00A604A3" w:rsidRDefault="00AE0549" w:rsidP="00541DCC">
      <w:r w:rsidRPr="00A604A3">
        <w:t>The combination of the 3GPP submissions on</w:t>
      </w:r>
    </w:p>
    <w:p w:rsidR="00AE0549" w:rsidRPr="00A604A3" w:rsidRDefault="00541DCC" w:rsidP="00541DCC">
      <w:pPr>
        <w:pStyle w:val="enumlev1"/>
        <w:rPr>
          <w:lang w:eastAsia="zh-CN"/>
        </w:rPr>
      </w:pPr>
      <w:bookmarkStart w:id="660" w:name="_Toc28265856"/>
      <w:bookmarkStart w:id="661" w:name="_Toc28277090"/>
      <w:bookmarkStart w:id="662" w:name="_Toc32066511"/>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60"/>
      <w:bookmarkEnd w:id="661"/>
      <w:bookmarkEnd w:id="662"/>
    </w:p>
    <w:p w:rsidR="00AE0549" w:rsidRPr="00A604A3" w:rsidRDefault="00541DCC" w:rsidP="00541DCC">
      <w:pPr>
        <w:pStyle w:val="enumlev1"/>
        <w:rPr>
          <w:lang w:eastAsia="zh-CN"/>
        </w:rPr>
      </w:pPr>
      <w:bookmarkStart w:id="663" w:name="_Toc28265857"/>
      <w:bookmarkStart w:id="664" w:name="_Toc28277091"/>
      <w:bookmarkStart w:id="665" w:name="_Toc32066512"/>
      <w:r>
        <w:rPr>
          <w:lang w:eastAsia="zh-CN"/>
        </w:rPr>
        <w:t>–</w:t>
      </w:r>
      <w:r>
        <w:rPr>
          <w:lang w:eastAsia="zh-CN"/>
        </w:rPr>
        <w:tab/>
      </w:r>
      <w:r w:rsidR="00AE0549" w:rsidRPr="00A604A3">
        <w:rPr>
          <w:lang w:eastAsia="zh-CN"/>
        </w:rPr>
        <w:t>NR RIT of “5G” (Release 15 and beyond)</w:t>
      </w:r>
      <w:bookmarkEnd w:id="663"/>
      <w:bookmarkEnd w:id="664"/>
      <w:bookmarkEnd w:id="665"/>
    </w:p>
    <w:p w:rsidR="00AE0549" w:rsidRPr="00A604A3" w:rsidRDefault="00AE0549" w:rsidP="00541DCC">
      <w:r w:rsidRPr="00A604A3">
        <w:lastRenderedPageBreak/>
        <w:t>is supporting all frequency bands, which are identified for IMT in the ITU Radio Regulations by WARC-92, WRC-2000, WRC-07, WRC-12 and WRC-15.</w:t>
      </w:r>
    </w:p>
    <w:p w:rsidR="00AE0549" w:rsidRPr="00A604A3" w:rsidRDefault="00AE0549" w:rsidP="00541DCC">
      <w:r w:rsidRPr="00A604A3">
        <w:t xml:space="preserve">In addition, the 3GPP submissions are also including </w:t>
      </w:r>
      <w:r w:rsidRPr="00A604A3">
        <w:rPr>
          <w:rFonts w:eastAsia="Malgun Gothic"/>
        </w:rPr>
        <w:t>higher frequency bands to support the different usage scenarios with a requirement of several hundred MHz up to at least 1 GHz bandwidth corresponding wider and contiguous spectrum ability (c.f. Section 14 on Bandwidth).</w:t>
      </w:r>
    </w:p>
    <w:p w:rsidR="00AE0549" w:rsidRPr="00A604A3" w:rsidRDefault="00AE0549" w:rsidP="00541DCC">
      <w:r w:rsidRPr="00A604A3">
        <w:t>The 3GPP submission is fulfilling the minimum requirements according to [2].</w:t>
      </w:r>
    </w:p>
    <w:p w:rsidR="00AE0549" w:rsidRPr="00A604A3" w:rsidRDefault="00541DCC" w:rsidP="00541DCC">
      <w:pPr>
        <w:pStyle w:val="Heading3"/>
      </w:pPr>
      <w:bookmarkStart w:id="666" w:name="_Toc32412977"/>
      <w:r>
        <w:t>II.5.17</w:t>
      </w:r>
      <w:r>
        <w:tab/>
      </w:r>
      <w:r w:rsidR="00AE0549" w:rsidRPr="00A604A3">
        <w:t>Analysis of submitted link budgets</w:t>
      </w:r>
      <w:bookmarkEnd w:id="666"/>
    </w:p>
    <w:p w:rsidR="00AE0549" w:rsidRPr="00A604A3" w:rsidRDefault="00AE0549" w:rsidP="00541DCC">
      <w:r w:rsidRPr="00A604A3">
        <w:t>In Report ITU-R M.2133 Section 4.2.3.3, link budget templates are given.</w:t>
      </w:r>
    </w:p>
    <w:p w:rsidR="00AE0549" w:rsidRPr="00A604A3" w:rsidRDefault="00AE0549" w:rsidP="00541DCC">
      <w:r w:rsidRPr="00A604A3">
        <w:t xml:space="preserve">For a given deployment scenario many of the parameter values called out in the link budget templates are given in or are given constraints in Report ITU-R M.2135, § 8. The corresponding parameter entries in the link budget templates follow those sets of values or constraints. </w:t>
      </w:r>
    </w:p>
    <w:p w:rsidR="00AE0549" w:rsidRPr="00A604A3" w:rsidRDefault="00AE0549" w:rsidP="00541DCC">
      <w:r w:rsidRPr="00A604A3">
        <w:t xml:space="preserve">The parameter entries for which there is no guidance in the template should be provided by the proponent. There is no specific requirement associated with how these input parameters have been chosen by the proponent. Furthermore, there is no specific requirement associated with the </w:t>
      </w:r>
      <w:r w:rsidRPr="00A604A3">
        <w:rPr>
          <w:i/>
        </w:rPr>
        <w:t>results</w:t>
      </w:r>
      <w:r w:rsidRPr="00A604A3">
        <w:t xml:space="preserve"> of the link budget calculations. </w:t>
      </w:r>
    </w:p>
    <w:p w:rsidR="00AE0549" w:rsidRPr="00A604A3" w:rsidRDefault="00AE0549" w:rsidP="00541DCC">
      <w:r w:rsidRPr="00A604A3">
        <w:t>In that sense, the link budgets are only informative, but they should be filled in and calculated correctly.</w:t>
      </w:r>
    </w:p>
    <w:p w:rsidR="00AE0549" w:rsidRPr="00A604A3" w:rsidRDefault="00AE0549" w:rsidP="00541DCC">
      <w:r w:rsidRPr="00A604A3">
        <w:t xml:space="preserve">For each of the FDD RIT and TDD RIT, the proponent has supplied link budgets for the LoS and NLOS propagation case (and in the microcellular case also the Outdoor-to-Indoor propagation case) for all mandatory scenarios for all four test environments. For the base coverage urban test environment also link budgets for the optional suburban macro-cell deployment are given. </w:t>
      </w:r>
    </w:p>
    <w:p w:rsidR="00AE0549" w:rsidRPr="00A604A3" w:rsidRDefault="00AE0549" w:rsidP="00541DCC">
      <w:r w:rsidRPr="00A604A3">
        <w:t>In a note after each link budget, the proponent states that “</w:t>
      </w:r>
      <w:r w:rsidRPr="00A604A3">
        <w:rPr>
          <w:i/>
        </w:rPr>
        <w:t>it was necessary to provide separate values for the data channel and the control channel in the following entries: cell area reliability, items 15, 16, 17, 18 and 25 for the reason that the control channel link budget is based on a set of different parameters from those for the data channel, e.g. the bandwidth, cell area reliability, receiver interference density, shadow fading margin, etc.”</w:t>
      </w:r>
      <w:r w:rsidRPr="00A604A3">
        <w:t xml:space="preserve">  </w:t>
      </w:r>
    </w:p>
    <w:p w:rsidR="00AE0549" w:rsidRPr="00A604A3" w:rsidRDefault="00AE0549" w:rsidP="00541DCC">
      <w:r w:rsidRPr="00A604A3">
        <w:t>This is a more detailed approach than what Report ITU-R M.2133 requires and provides more information on the balance between control and data link budgets.</w:t>
      </w:r>
    </w:p>
    <w:p w:rsidR="00AE0549" w:rsidRPr="00A604A3" w:rsidRDefault="00AE0549" w:rsidP="00541DCC">
      <w:pPr>
        <w:rPr>
          <w:i/>
        </w:rPr>
      </w:pPr>
      <w:r w:rsidRPr="00A604A3">
        <w:rPr>
          <w:i/>
        </w:rPr>
        <w:t>As a conclusion, 5G Infrastructure Association finds that the proponent has supplied all required information for both the TDD and FDD RIT in all test environments. Furthermore, it has been verified that all these link budgets are filled in and that the calculations has been performed correctly.</w:t>
      </w:r>
    </w:p>
    <w:p w:rsidR="00AE0549" w:rsidRPr="00A604A3" w:rsidRDefault="00AE0549" w:rsidP="00470885">
      <w:pPr>
        <w:pStyle w:val="BodyText"/>
        <w:spacing w:before="0" w:after="0"/>
        <w:jc w:val="both"/>
      </w:pPr>
    </w:p>
    <w:p w:rsidR="00AE0549" w:rsidRPr="00A604A3" w:rsidRDefault="00AE0549" w:rsidP="00470885">
      <w:pPr>
        <w:overflowPunct/>
        <w:autoSpaceDE/>
        <w:autoSpaceDN/>
        <w:adjustRightInd/>
        <w:spacing w:before="0" w:line="259" w:lineRule="auto"/>
        <w:textAlignment w:val="auto"/>
        <w:rPr>
          <w:rFonts w:eastAsia="MS Mincho"/>
          <w:highlight w:val="yellow"/>
        </w:rPr>
      </w:pPr>
      <w:r w:rsidRPr="00A604A3">
        <w:rPr>
          <w:highlight w:val="yellow"/>
        </w:rPr>
        <w:br w:type="page"/>
      </w:r>
    </w:p>
    <w:p w:rsidR="00AE0549" w:rsidRPr="00A604A3" w:rsidRDefault="00541DCC" w:rsidP="00541DCC">
      <w:pPr>
        <w:pStyle w:val="Heading2"/>
      </w:pPr>
      <w:bookmarkStart w:id="667" w:name="_Toc32412978"/>
      <w:r>
        <w:lastRenderedPageBreak/>
        <w:t>II.6</w:t>
      </w:r>
      <w:r>
        <w:tab/>
      </w:r>
      <w:r w:rsidR="00AE0549" w:rsidRPr="00A604A3">
        <w:t>Questions and feedback to WP 5D and/or the proponents or other IEGs</w:t>
      </w:r>
      <w:bookmarkEnd w:id="667"/>
    </w:p>
    <w:p w:rsidR="00AE0549" w:rsidRPr="00A604A3" w:rsidRDefault="00AE0549" w:rsidP="00541DCC">
      <w:r w:rsidRPr="00A604A3">
        <w:t>The minimum requirements on Dense Urban for 30 GHz cannot be realized due to a too high path loss.</w:t>
      </w:r>
    </w:p>
    <w:p w:rsidR="00AE0549" w:rsidRPr="00A604A3" w:rsidRDefault="00541DCC" w:rsidP="00541DCC">
      <w:pPr>
        <w:pStyle w:val="Heading2"/>
      </w:pPr>
      <w:bookmarkStart w:id="668" w:name="_Toc32412979"/>
      <w:r>
        <w:t>II.7</w:t>
      </w:r>
      <w:r>
        <w:tab/>
      </w:r>
      <w:r w:rsidR="00AE0549" w:rsidRPr="00A604A3">
        <w:t>In the interim report, kindly provide the proposed next steps towards the final report to be sent to WP 5D for the February 2020 meeting</w:t>
      </w:r>
      <w:bookmarkEnd w:id="668"/>
    </w:p>
    <w:p w:rsidR="00AE0549" w:rsidRPr="00A604A3" w:rsidRDefault="00AE0549" w:rsidP="00541DCC">
      <w:r w:rsidRPr="00A604A3">
        <w:t>Some aspects of the system evaluation are still under preparation and will be provided in the final Evaluation Report:</w:t>
      </w:r>
    </w:p>
    <w:p w:rsidR="00AE0549" w:rsidRPr="00A604A3" w:rsidRDefault="00541DCC" w:rsidP="00541DCC">
      <w:pPr>
        <w:pStyle w:val="enumlev1"/>
      </w:pPr>
      <w:r>
        <w:t>–</w:t>
      </w:r>
      <w:r>
        <w:tab/>
      </w:r>
      <w:r w:rsidR="00AE0549" w:rsidRPr="00A604A3">
        <w:t>Link budget calculation are work in progress.</w:t>
      </w:r>
    </w:p>
    <w:p w:rsidR="00AE0549" w:rsidRPr="00A604A3" w:rsidRDefault="00541DCC" w:rsidP="00541DCC">
      <w:pPr>
        <w:pStyle w:val="enumlev1"/>
      </w:pPr>
      <w:r>
        <w:t>–</w:t>
      </w:r>
      <w:r>
        <w:tab/>
      </w:r>
      <w:r w:rsidR="00AE0549" w:rsidRPr="00A604A3">
        <w:t>User Plane Latency evaluation is work in progress.</w:t>
      </w:r>
    </w:p>
    <w:p w:rsidR="00AE0549" w:rsidRPr="00A604A3" w:rsidRDefault="00541DCC" w:rsidP="00541DCC">
      <w:pPr>
        <w:pStyle w:val="enumlev1"/>
      </w:pPr>
      <w:r>
        <w:t>–</w:t>
      </w:r>
      <w:r>
        <w:tab/>
      </w:r>
      <w:r w:rsidR="00AE0549" w:rsidRPr="00A604A3">
        <w:t>Control Plane Latency for the LTE component is work in progress.</w:t>
      </w:r>
    </w:p>
    <w:p w:rsidR="00AE0549" w:rsidRPr="00A604A3" w:rsidRDefault="00541DCC" w:rsidP="00541DCC">
      <w:pPr>
        <w:pStyle w:val="enumlev1"/>
      </w:pPr>
      <w:r>
        <w:t>–</w:t>
      </w:r>
      <w:r>
        <w:tab/>
      </w:r>
      <w:r w:rsidR="00AE0549" w:rsidRPr="00A604A3">
        <w:t>Mobility: Further details will be provided in the final Evaluation Report.</w:t>
      </w:r>
    </w:p>
    <w:p w:rsidR="00AE0549" w:rsidRPr="00A604A3" w:rsidRDefault="00541DCC" w:rsidP="00541DCC">
      <w:pPr>
        <w:pStyle w:val="enumlev1"/>
      </w:pPr>
      <w:r>
        <w:t>–</w:t>
      </w:r>
      <w:r>
        <w:tab/>
      </w:r>
      <w:r w:rsidR="00AE0549" w:rsidRPr="00A604A3">
        <w:t>Support of Wide Range of Services can only be evaluated after all other characteristics have been evaluated.</w:t>
      </w:r>
    </w:p>
    <w:p w:rsidR="00AE0549" w:rsidRPr="00A604A3" w:rsidRDefault="00AE0549" w:rsidP="00541DCC">
      <w:r w:rsidRPr="00A604A3">
        <w:t>The 5G Infrastructure Association Evaluation Group will finalize the missing evaluation characteristics and results before submitting the final Evaluation Report in February 2020.</w:t>
      </w:r>
    </w:p>
    <w:p w:rsidR="00AE0549" w:rsidRPr="00A604A3" w:rsidRDefault="00AE0549" w:rsidP="00541DCC">
      <w:r w:rsidRPr="00A604A3">
        <w:t>Potentially, detailed interactions with other evaluation groups will take place after the ITU-R Evaluation Workshop on December 10 and 11, 2019.</w:t>
      </w:r>
    </w:p>
    <w:p w:rsidR="00AE0549" w:rsidRPr="00A604A3" w:rsidRDefault="00AE0549" w:rsidP="00470885">
      <w:pPr>
        <w:pStyle w:val="BodyText"/>
        <w:spacing w:before="0" w:after="0"/>
        <w:jc w:val="both"/>
      </w:pPr>
    </w:p>
    <w:p w:rsidR="00541DCC" w:rsidRDefault="00541DCC" w:rsidP="00541DCC">
      <w:pPr>
        <w:pStyle w:val="PartNo"/>
      </w:pPr>
      <w:bookmarkStart w:id="669" w:name="_Toc32412980"/>
      <w:r>
        <w:t>Part III</w:t>
      </w:r>
      <w:bookmarkEnd w:id="669"/>
    </w:p>
    <w:p w:rsidR="00AE0549" w:rsidRPr="00A604A3" w:rsidRDefault="00AE0549" w:rsidP="00541DCC">
      <w:pPr>
        <w:pStyle w:val="Parttitle"/>
      </w:pPr>
      <w:bookmarkStart w:id="670" w:name="_Toc32412981"/>
      <w:r w:rsidRPr="00A604A3">
        <w:t>Conclusion</w:t>
      </w:r>
      <w:bookmarkEnd w:id="670"/>
    </w:p>
    <w:p w:rsidR="00AE0549" w:rsidRPr="00A604A3" w:rsidRDefault="00541DCC" w:rsidP="00541DCC">
      <w:pPr>
        <w:pStyle w:val="Heading2"/>
      </w:pPr>
      <w:bookmarkStart w:id="671" w:name="_Toc32412982"/>
      <w:r>
        <w:t>III.1</w:t>
      </w:r>
      <w:r>
        <w:tab/>
      </w:r>
      <w:r w:rsidR="00AE0549" w:rsidRPr="00A604A3">
        <w:t>Completeness of submission</w:t>
      </w:r>
      <w:bookmarkEnd w:id="671"/>
    </w:p>
    <w:p w:rsidR="00AE0549" w:rsidRPr="00A604A3" w:rsidRDefault="00AE0549" w:rsidP="00541DCC">
      <w:r w:rsidRPr="00A604A3">
        <w:t>5G Infrastructure Association finds that the submission in [4] to [8] and are ‘complete’ according to [2].</w:t>
      </w:r>
    </w:p>
    <w:p w:rsidR="00AE0549" w:rsidRPr="00A604A3" w:rsidRDefault="00541DCC" w:rsidP="00541DCC">
      <w:pPr>
        <w:pStyle w:val="Heading2"/>
      </w:pPr>
      <w:bookmarkStart w:id="672" w:name="_Toc32412983"/>
      <w:r>
        <w:t>III.2</w:t>
      </w:r>
      <w:r>
        <w:tab/>
      </w:r>
      <w:r w:rsidR="00AE0549" w:rsidRPr="00A604A3">
        <w:t>Compliance with requirements</w:t>
      </w:r>
      <w:bookmarkEnd w:id="672"/>
    </w:p>
    <w:p w:rsidR="00AE0549" w:rsidRPr="00A604A3" w:rsidRDefault="00AE0549" w:rsidP="00541DCC">
      <w:r w:rsidRPr="00A604A3">
        <w:t>These are the main conclusions on the 5G Infrastructure Association evaluation of the evaluated proposal. In Table 137 below, it is shown whether or not 5G Infrastructure Association has confirmed the proponent’s claims relating to IMT-2020 requirements.</w:t>
      </w:r>
    </w:p>
    <w:p w:rsidR="00AE0549" w:rsidRPr="00A604A3" w:rsidRDefault="00AE0549" w:rsidP="00541DCC">
      <w:r w:rsidRPr="00A604A3">
        <w:t>The phrase ‘Requirements fulfilled’ in the tables below indicates that 5G Infrastructure Association Evaluation Group assessment confirms the associated claim from the proponent that the requirement is fulfilled.</w:t>
      </w:r>
    </w:p>
    <w:p w:rsidR="00AE0549" w:rsidRPr="00A604A3" w:rsidRDefault="00AE0549" w:rsidP="00541DCC">
      <w:r w:rsidRPr="00A604A3">
        <w:t>In Section III-2.1 the detailed compliance templates are summarized.</w:t>
      </w:r>
    </w:p>
    <w:p w:rsidR="00AE0549" w:rsidRDefault="00541DCC" w:rsidP="00541DCC">
      <w:pPr>
        <w:pStyle w:val="Heading3"/>
      </w:pPr>
      <w:bookmarkStart w:id="673" w:name="_Toc32412984"/>
      <w:r>
        <w:lastRenderedPageBreak/>
        <w:t>III.2.1</w:t>
      </w:r>
      <w:r>
        <w:tab/>
      </w:r>
      <w:r w:rsidR="00AE0549" w:rsidRPr="00A604A3">
        <w:t>Overall compliance</w:t>
      </w:r>
      <w:bookmarkEnd w:id="673"/>
    </w:p>
    <w:p w:rsidR="00541DCC" w:rsidRDefault="00541DCC" w:rsidP="00541DCC">
      <w:pPr>
        <w:pStyle w:val="TableNo"/>
      </w:pPr>
      <w:bookmarkStart w:id="674" w:name="_Ref536805369"/>
      <w:bookmarkStart w:id="675" w:name="_Toc28265868"/>
      <w:bookmarkStart w:id="676" w:name="_Toc28277102"/>
      <w:bookmarkStart w:id="677" w:name="_Toc32066520"/>
      <w:r>
        <w:t>Table 137</w:t>
      </w:r>
    </w:p>
    <w:p w:rsidR="00541DCC" w:rsidRPr="00A604A3" w:rsidRDefault="00541DCC" w:rsidP="00541DCC">
      <w:pPr>
        <w:pStyle w:val="Tabletitle"/>
      </w:pPr>
      <w:r w:rsidRPr="00A604A3">
        <w:t>5G Infrastructure Association assessment of compliance with requirements</w:t>
      </w:r>
      <w:bookmarkEnd w:id="674"/>
      <w:bookmarkEnd w:id="675"/>
      <w:bookmarkEnd w:id="676"/>
      <w:bookmarkEnd w:id="677"/>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41"/>
        <w:gridCol w:w="2041"/>
        <w:gridCol w:w="1701"/>
      </w:tblGrid>
      <w:tr w:rsidR="00AE0549" w:rsidRPr="00A604A3" w:rsidTr="00541DCC">
        <w:trPr>
          <w:trHeight w:val="70"/>
          <w:jc w:val="center"/>
        </w:trPr>
        <w:tc>
          <w:tcPr>
            <w:tcW w:w="2835" w:type="dxa"/>
            <w:vAlign w:val="center"/>
          </w:tcPr>
          <w:p w:rsidR="00AE0549" w:rsidRPr="00A604A3" w:rsidRDefault="00AE0549" w:rsidP="00541DCC">
            <w:pPr>
              <w:pStyle w:val="Tablehead"/>
            </w:pPr>
            <w:r w:rsidRPr="00A604A3">
              <w:t>Characteristic for evaluation</w:t>
            </w:r>
          </w:p>
        </w:tc>
        <w:tc>
          <w:tcPr>
            <w:tcW w:w="2041" w:type="dxa"/>
            <w:vAlign w:val="center"/>
          </w:tcPr>
          <w:p w:rsidR="00AE0549" w:rsidRPr="00A604A3" w:rsidRDefault="00AE0549" w:rsidP="00541DCC">
            <w:pPr>
              <w:pStyle w:val="Tablehead"/>
            </w:pPr>
            <w:r w:rsidRPr="00A604A3">
              <w:t>RIT NR:</w:t>
            </w:r>
            <w:r w:rsidR="00541DCC">
              <w:br/>
            </w:r>
            <w:r w:rsidRPr="00A604A3">
              <w:t>5G IA assessment</w:t>
            </w:r>
          </w:p>
        </w:tc>
        <w:tc>
          <w:tcPr>
            <w:tcW w:w="2041" w:type="dxa"/>
            <w:vAlign w:val="center"/>
          </w:tcPr>
          <w:p w:rsidR="00AE0549" w:rsidRPr="00A604A3" w:rsidRDefault="00AE0549" w:rsidP="00541DCC">
            <w:pPr>
              <w:pStyle w:val="Tablehead"/>
            </w:pPr>
            <w:r w:rsidRPr="00A604A3">
              <w:t>SRIT LTE:</w:t>
            </w:r>
            <w:r w:rsidR="00541DCC">
              <w:br/>
            </w:r>
            <w:r w:rsidRPr="00A604A3">
              <w:t>5G IA assessment</w:t>
            </w:r>
          </w:p>
        </w:tc>
        <w:tc>
          <w:tcPr>
            <w:tcW w:w="1701" w:type="dxa"/>
            <w:vAlign w:val="center"/>
          </w:tcPr>
          <w:p w:rsidR="00AE0549" w:rsidRPr="00A604A3" w:rsidRDefault="00AE0549" w:rsidP="00541DCC">
            <w:pPr>
              <w:pStyle w:val="Tablehead"/>
            </w:pPr>
            <w:r w:rsidRPr="00A604A3">
              <w:t>Section</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Peak data rate</w:t>
            </w:r>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w:t>
            </w:r>
          </w:p>
        </w:tc>
      </w:tr>
      <w:tr w:rsidR="00AE0549" w:rsidRPr="00A604A3" w:rsidTr="00470885">
        <w:trPr>
          <w:jc w:val="center"/>
        </w:trPr>
        <w:tc>
          <w:tcPr>
            <w:tcW w:w="2835" w:type="dxa"/>
            <w:vAlign w:val="center"/>
          </w:tcPr>
          <w:p w:rsidR="00AE0549" w:rsidRPr="00A604A3" w:rsidRDefault="00AE0549" w:rsidP="00541DCC">
            <w:pPr>
              <w:pStyle w:val="Tabletext"/>
            </w:pPr>
            <w:bookmarkStart w:id="678" w:name="_Hlk512948089"/>
            <w:r w:rsidRPr="00A604A3">
              <w:rPr>
                <w:color w:val="000000"/>
                <w:lang w:eastAsia="ko-KR"/>
              </w:rPr>
              <w:t>Peak spectral efficiency</w:t>
            </w:r>
            <w:bookmarkEnd w:id="678"/>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.2</w:t>
            </w:r>
          </w:p>
        </w:tc>
      </w:tr>
      <w:tr w:rsidR="00AE0549" w:rsidRPr="00A604A3" w:rsidTr="00470885">
        <w:trPr>
          <w:jc w:val="center"/>
        </w:trPr>
        <w:tc>
          <w:tcPr>
            <w:tcW w:w="2835" w:type="dxa"/>
            <w:vAlign w:val="center"/>
          </w:tcPr>
          <w:p w:rsidR="00AE0549" w:rsidRPr="00A604A3" w:rsidRDefault="00AE0549" w:rsidP="00541DCC">
            <w:pPr>
              <w:pStyle w:val="Tabletext"/>
            </w:pPr>
            <w:bookmarkStart w:id="679" w:name="_Hlk512948230"/>
            <w:r w:rsidRPr="00A604A3">
              <w:rPr>
                <w:rFonts w:eastAsia="TimesNewRoman"/>
                <w:lang w:eastAsia="zh-CN"/>
              </w:rPr>
              <w:t>User experienced data rate</w:t>
            </w:r>
            <w:bookmarkEnd w:id="679"/>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.3.2.2 for dense urban TDD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.3</w:t>
            </w:r>
          </w:p>
        </w:tc>
      </w:tr>
      <w:tr w:rsidR="00AE0549" w:rsidRPr="00A604A3" w:rsidTr="00470885">
        <w:trPr>
          <w:jc w:val="center"/>
        </w:trPr>
        <w:tc>
          <w:tcPr>
            <w:tcW w:w="2835" w:type="dxa"/>
            <w:vAlign w:val="center"/>
          </w:tcPr>
          <w:p w:rsidR="00AE0549" w:rsidRPr="00A604A3" w:rsidRDefault="00AE0549" w:rsidP="00541DCC">
            <w:pPr>
              <w:pStyle w:val="Tabletext"/>
            </w:pPr>
            <w:bookmarkStart w:id="680" w:name="_Hlk512948339"/>
            <w:r w:rsidRPr="00A604A3">
              <w:rPr>
                <w:color w:val="000000"/>
                <w:lang w:eastAsia="ko-KR"/>
              </w:rPr>
              <w:t>5</w:t>
            </w:r>
            <w:r w:rsidRPr="00A604A3">
              <w:rPr>
                <w:color w:val="000000"/>
                <w:vertAlign w:val="superscript"/>
                <w:lang w:eastAsia="ko-KR"/>
              </w:rPr>
              <w:t>th</w:t>
            </w:r>
            <w:r w:rsidRPr="00A604A3">
              <w:rPr>
                <w:color w:val="000000"/>
                <w:lang w:eastAsia="ko-KR"/>
              </w:rPr>
              <w:t xml:space="preserve"> percentile user spectral efficiency</w:t>
            </w:r>
            <w:bookmarkEnd w:id="680"/>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.4.2.2.2 for dense urban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.4</w:t>
            </w:r>
          </w:p>
        </w:tc>
      </w:tr>
      <w:tr w:rsidR="00AE0549" w:rsidRPr="00A604A3" w:rsidTr="00470885">
        <w:trPr>
          <w:jc w:val="center"/>
        </w:trPr>
        <w:tc>
          <w:tcPr>
            <w:tcW w:w="2835" w:type="dxa"/>
            <w:vAlign w:val="center"/>
          </w:tcPr>
          <w:p w:rsidR="00AE0549" w:rsidRPr="00A604A3" w:rsidRDefault="00AE0549" w:rsidP="00541DCC">
            <w:pPr>
              <w:pStyle w:val="Tabletext"/>
            </w:pPr>
            <w:bookmarkStart w:id="681" w:name="_Hlk512948456"/>
            <w:r w:rsidRPr="00A604A3">
              <w:rPr>
                <w:color w:val="000000"/>
                <w:lang w:eastAsia="ko-KR"/>
              </w:rPr>
              <w:t>Average spectral efficiency</w:t>
            </w:r>
            <w:bookmarkEnd w:id="681"/>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.5.2.2.2 for dense urban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 xml:space="preserve">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w:t>
            </w:r>
            <w:r w:rsidRPr="00A604A3">
              <w:rPr>
                <w:sz w:val="16"/>
                <w:szCs w:val="16"/>
              </w:rPr>
              <w:lastRenderedPageBreak/>
              <w:t>for this and related KPIs analyzed by means of system-level simulation is restricted to 5G-NR RIT only.</w:t>
            </w:r>
          </w:p>
        </w:tc>
        <w:tc>
          <w:tcPr>
            <w:tcW w:w="1701" w:type="dxa"/>
          </w:tcPr>
          <w:p w:rsidR="00AE0549" w:rsidRPr="00A604A3" w:rsidRDefault="00AE0549" w:rsidP="00541DCC">
            <w:pPr>
              <w:pStyle w:val="Tabletext"/>
            </w:pPr>
            <w:r w:rsidRPr="00A604A3">
              <w:lastRenderedPageBreak/>
              <w:t xml:space="preserve">Part </w:t>
            </w:r>
            <w:r w:rsidR="00AA0B2B" w:rsidRPr="00AA0B2B">
              <w:t>II.5</w:t>
            </w:r>
            <w:r w:rsidRPr="00A604A3">
              <w:t>.5</w:t>
            </w:r>
          </w:p>
        </w:tc>
      </w:tr>
      <w:tr w:rsidR="00AE0549" w:rsidRPr="00A604A3" w:rsidTr="00470885">
        <w:trPr>
          <w:jc w:val="center"/>
        </w:trPr>
        <w:tc>
          <w:tcPr>
            <w:tcW w:w="2835" w:type="dxa"/>
            <w:vAlign w:val="center"/>
          </w:tcPr>
          <w:p w:rsidR="00AE0549" w:rsidRPr="00A604A3" w:rsidRDefault="00AE0549" w:rsidP="00541DCC">
            <w:pPr>
              <w:pStyle w:val="Tabletext"/>
            </w:pPr>
            <w:bookmarkStart w:id="682" w:name="_Hlk512949430"/>
            <w:r w:rsidRPr="00A604A3">
              <w:rPr>
                <w:rFonts w:eastAsia="TimesNewRoman"/>
                <w:lang w:eastAsia="zh-CN"/>
              </w:rPr>
              <w:t>Area traffic capacity</w:t>
            </w:r>
            <w:bookmarkEnd w:id="682"/>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.6</w:t>
            </w:r>
          </w:p>
        </w:tc>
      </w:tr>
      <w:tr w:rsidR="00AE0549" w:rsidRPr="00A604A3" w:rsidTr="00470885">
        <w:trPr>
          <w:jc w:val="center"/>
        </w:trPr>
        <w:tc>
          <w:tcPr>
            <w:tcW w:w="2835" w:type="dxa"/>
            <w:vAlign w:val="center"/>
          </w:tcPr>
          <w:p w:rsidR="00AE0549" w:rsidRPr="00A604A3" w:rsidRDefault="00AE0549" w:rsidP="00541DCC">
            <w:pPr>
              <w:pStyle w:val="Tabletext"/>
            </w:pPr>
            <w:bookmarkStart w:id="683" w:name="_Hlk512949488"/>
            <w:r w:rsidRPr="00A604A3">
              <w:rPr>
                <w:rFonts w:eastAsia="Malgun Gothic"/>
                <w:lang w:eastAsia="ko-KR"/>
              </w:rPr>
              <w:t>User plane latency</w:t>
            </w:r>
            <w:bookmarkEnd w:id="683"/>
          </w:p>
        </w:tc>
        <w:tc>
          <w:tcPr>
            <w:tcW w:w="2041" w:type="dxa"/>
            <w:shd w:val="clear" w:color="auto" w:fill="auto"/>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.7</w:t>
            </w:r>
          </w:p>
        </w:tc>
      </w:tr>
      <w:tr w:rsidR="00AE0549" w:rsidRPr="00A604A3" w:rsidTr="00470885">
        <w:trPr>
          <w:jc w:val="center"/>
        </w:trPr>
        <w:tc>
          <w:tcPr>
            <w:tcW w:w="2835" w:type="dxa"/>
            <w:vAlign w:val="center"/>
          </w:tcPr>
          <w:p w:rsidR="00AE0549" w:rsidRPr="00A604A3" w:rsidRDefault="00AE0549" w:rsidP="00541DCC">
            <w:pPr>
              <w:pStyle w:val="Tabletext"/>
            </w:pPr>
            <w:bookmarkStart w:id="684" w:name="_Hlk512949549"/>
            <w:r w:rsidRPr="00A604A3">
              <w:rPr>
                <w:rFonts w:eastAsia="Malgun Gothic"/>
                <w:lang w:eastAsia="ko-KR"/>
              </w:rPr>
              <w:t>Control plane latency</w:t>
            </w:r>
            <w:bookmarkEnd w:id="684"/>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.8</w:t>
            </w:r>
          </w:p>
        </w:tc>
      </w:tr>
      <w:tr w:rsidR="00AE0549" w:rsidRPr="00A604A3" w:rsidTr="00470885">
        <w:trPr>
          <w:jc w:val="center"/>
        </w:trPr>
        <w:tc>
          <w:tcPr>
            <w:tcW w:w="2835" w:type="dxa"/>
            <w:vAlign w:val="center"/>
          </w:tcPr>
          <w:p w:rsidR="00AE0549" w:rsidRPr="00A604A3" w:rsidRDefault="00AE0549" w:rsidP="00541DCC">
            <w:pPr>
              <w:pStyle w:val="Tabletext"/>
            </w:pPr>
            <w:bookmarkStart w:id="685" w:name="_Hlk512949624"/>
            <w:r w:rsidRPr="00A604A3">
              <w:rPr>
                <w:rFonts w:eastAsia="TimesNewRoman"/>
                <w:lang w:eastAsia="zh-CN"/>
              </w:rPr>
              <w:t>Connection density</w:t>
            </w:r>
            <w:bookmarkEnd w:id="685"/>
          </w:p>
        </w:tc>
        <w:tc>
          <w:tcPr>
            <w:tcW w:w="2041" w:type="dxa"/>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.9</w:t>
            </w:r>
          </w:p>
        </w:tc>
      </w:tr>
      <w:tr w:rsidR="00AE0549" w:rsidRPr="00A604A3" w:rsidTr="00470885">
        <w:trPr>
          <w:jc w:val="center"/>
        </w:trPr>
        <w:tc>
          <w:tcPr>
            <w:tcW w:w="2835" w:type="dxa"/>
            <w:vAlign w:val="center"/>
          </w:tcPr>
          <w:p w:rsidR="00AE0549" w:rsidRPr="00A604A3" w:rsidRDefault="00AE0549" w:rsidP="00541DCC">
            <w:pPr>
              <w:pStyle w:val="Tabletext"/>
            </w:pPr>
            <w:bookmarkStart w:id="686" w:name="_Hlk512949659"/>
            <w:r w:rsidRPr="00A604A3">
              <w:rPr>
                <w:rFonts w:eastAsia="Malgun Gothic"/>
                <w:lang w:eastAsia="ko-KR"/>
              </w:rPr>
              <w:t>Energy efficiency</w:t>
            </w:r>
            <w:bookmarkEnd w:id="686"/>
          </w:p>
        </w:tc>
        <w:tc>
          <w:tcPr>
            <w:tcW w:w="2041" w:type="dxa"/>
          </w:tcPr>
          <w:p w:rsidR="00AE0549" w:rsidRPr="00A604A3" w:rsidRDefault="00AE0549" w:rsidP="00541DCC">
            <w:pPr>
              <w:pStyle w:val="Tabletext"/>
              <w:rPr>
                <w:highlight w:val="yellow"/>
              </w:rPr>
            </w:pPr>
            <w:r w:rsidRPr="00A604A3">
              <w:t>Requirements fulfilled</w:t>
            </w:r>
          </w:p>
        </w:tc>
        <w:tc>
          <w:tcPr>
            <w:tcW w:w="2041" w:type="dxa"/>
          </w:tcPr>
          <w:p w:rsidR="00AE0549" w:rsidRPr="00A604A3" w:rsidRDefault="00AE0549" w:rsidP="00541DCC">
            <w:pPr>
              <w:pStyle w:val="Tabletext"/>
              <w:rPr>
                <w:highlight w:val="yellow"/>
              </w:rPr>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.10</w:t>
            </w:r>
          </w:p>
        </w:tc>
      </w:tr>
      <w:tr w:rsidR="00AE0549" w:rsidRPr="00A604A3" w:rsidTr="00470885">
        <w:trPr>
          <w:jc w:val="center"/>
        </w:trPr>
        <w:tc>
          <w:tcPr>
            <w:tcW w:w="2835" w:type="dxa"/>
            <w:vAlign w:val="center"/>
          </w:tcPr>
          <w:p w:rsidR="00AE0549" w:rsidRPr="00A604A3" w:rsidRDefault="00AE0549" w:rsidP="00541DCC">
            <w:pPr>
              <w:pStyle w:val="Tabletext"/>
            </w:pPr>
            <w:bookmarkStart w:id="687" w:name="_Hlk512949693"/>
            <w:r w:rsidRPr="00A604A3">
              <w:rPr>
                <w:rFonts w:eastAsia="TimesNewRoman"/>
                <w:lang w:eastAsia="zh-CN"/>
              </w:rPr>
              <w:t>Reliability</w:t>
            </w:r>
            <w:bookmarkEnd w:id="687"/>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.11</w:t>
            </w:r>
          </w:p>
        </w:tc>
      </w:tr>
      <w:tr w:rsidR="00AE0549" w:rsidRPr="00A604A3" w:rsidTr="00470885">
        <w:trPr>
          <w:jc w:val="center"/>
        </w:trPr>
        <w:tc>
          <w:tcPr>
            <w:tcW w:w="2835" w:type="dxa"/>
            <w:vAlign w:val="center"/>
          </w:tcPr>
          <w:p w:rsidR="00AE0549" w:rsidRPr="00A604A3" w:rsidRDefault="00AE0549" w:rsidP="00541DCC">
            <w:pPr>
              <w:pStyle w:val="Tabletext"/>
            </w:pPr>
            <w:bookmarkStart w:id="688" w:name="_Hlk512949728"/>
            <w:r w:rsidRPr="00A604A3">
              <w:rPr>
                <w:rFonts w:eastAsia="TimesNewRoman"/>
                <w:lang w:eastAsia="zh-CN"/>
              </w:rPr>
              <w:t>Mobility</w:t>
            </w:r>
            <w:bookmarkEnd w:id="688"/>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.12</w:t>
            </w:r>
          </w:p>
        </w:tc>
      </w:tr>
      <w:tr w:rsidR="00AE0549" w:rsidRPr="00A604A3" w:rsidTr="00470885">
        <w:trPr>
          <w:jc w:val="center"/>
        </w:trPr>
        <w:tc>
          <w:tcPr>
            <w:tcW w:w="2835" w:type="dxa"/>
            <w:vAlign w:val="center"/>
          </w:tcPr>
          <w:p w:rsidR="00AE0549" w:rsidRPr="00A604A3" w:rsidRDefault="00AE0549" w:rsidP="00541DCC">
            <w:pPr>
              <w:pStyle w:val="Tabletext"/>
            </w:pPr>
            <w:bookmarkStart w:id="689" w:name="_Hlk512949763"/>
            <w:r w:rsidRPr="00A604A3">
              <w:rPr>
                <w:rFonts w:eastAsia="TimesNewRoman"/>
                <w:lang w:eastAsia="zh-CN"/>
              </w:rPr>
              <w:t>Mobility interruption time</w:t>
            </w:r>
            <w:bookmarkEnd w:id="689"/>
          </w:p>
        </w:tc>
        <w:tc>
          <w:tcPr>
            <w:tcW w:w="2041" w:type="dxa"/>
          </w:tcPr>
          <w:p w:rsidR="00AE0549" w:rsidRPr="00A604A3" w:rsidRDefault="00AE0549" w:rsidP="00541DCC">
            <w:pPr>
              <w:pStyle w:val="Tabletext"/>
              <w:rPr>
                <w:highlight w:val="yellow"/>
              </w:rPr>
            </w:pPr>
            <w:r w:rsidRPr="00A604A3">
              <w:t>Requirements fulfilled</w:t>
            </w:r>
          </w:p>
        </w:tc>
        <w:tc>
          <w:tcPr>
            <w:tcW w:w="2041" w:type="dxa"/>
          </w:tcPr>
          <w:p w:rsidR="00AE0549" w:rsidRPr="00A604A3" w:rsidRDefault="00AE0549" w:rsidP="00541DCC">
            <w:pPr>
              <w:pStyle w:val="Tabletext"/>
              <w:rPr>
                <w:highlight w:val="yellow"/>
              </w:rPr>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.13</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Bandwidth</w:t>
            </w:r>
          </w:p>
        </w:tc>
        <w:tc>
          <w:tcPr>
            <w:tcW w:w="2041" w:type="dxa"/>
            <w:tcBorders>
              <w:bottom w:val="single" w:sz="4" w:space="0" w:color="auto"/>
            </w:tcBorders>
          </w:tcPr>
          <w:p w:rsidR="00AE0549" w:rsidRPr="00A604A3" w:rsidRDefault="00AE0549" w:rsidP="00541DCC">
            <w:pPr>
              <w:pStyle w:val="Tabletext"/>
            </w:pPr>
            <w:r w:rsidRPr="00A604A3">
              <w:t>Requirements fulfilled</w:t>
            </w:r>
          </w:p>
        </w:tc>
        <w:tc>
          <w:tcPr>
            <w:tcW w:w="2041" w:type="dxa"/>
            <w:tcBorders>
              <w:bottom w:val="single" w:sz="4" w:space="0" w:color="auto"/>
            </w:tcBorders>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.14</w:t>
            </w:r>
          </w:p>
        </w:tc>
      </w:tr>
      <w:tr w:rsidR="00AE0549" w:rsidRPr="00A604A3" w:rsidTr="00470885">
        <w:trPr>
          <w:jc w:val="center"/>
        </w:trPr>
        <w:tc>
          <w:tcPr>
            <w:tcW w:w="2835" w:type="dxa"/>
            <w:vAlign w:val="center"/>
          </w:tcPr>
          <w:p w:rsidR="00AE0549" w:rsidRPr="00A604A3" w:rsidRDefault="00AE0549" w:rsidP="00541DCC">
            <w:pPr>
              <w:pStyle w:val="Tabletext"/>
            </w:pPr>
            <w:bookmarkStart w:id="690" w:name="_Hlk512949988"/>
            <w:r w:rsidRPr="00A604A3">
              <w:rPr>
                <w:rFonts w:eastAsia="TimesNewRoman"/>
                <w:lang w:eastAsia="zh-CN"/>
              </w:rPr>
              <w:t>Support of wide range of services</w:t>
            </w:r>
            <w:bookmarkEnd w:id="690"/>
          </w:p>
        </w:tc>
        <w:tc>
          <w:tcPr>
            <w:tcW w:w="2041" w:type="dxa"/>
            <w:shd w:val="clear" w:color="auto" w:fill="auto"/>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.15</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Supported spectrum band(s)/range(s)</w:t>
            </w:r>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.16</w:t>
            </w:r>
          </w:p>
        </w:tc>
      </w:tr>
    </w:tbl>
    <w:p w:rsidR="00AE0549" w:rsidRPr="00A604A3" w:rsidRDefault="00AE0549" w:rsidP="00541DCC">
      <w:pPr>
        <w:pStyle w:val="Tablefin"/>
      </w:pPr>
    </w:p>
    <w:p w:rsidR="00AE0549" w:rsidRPr="00A604A3" w:rsidRDefault="00AE0549" w:rsidP="00541DCC">
      <w:r w:rsidRPr="00A604A3">
        <w:t>It should be noted that the analysis behind the analytical and inspection results is not limited by properties of the test environment; hence all these conclusions are valid for all test environments.</w:t>
      </w:r>
    </w:p>
    <w:p w:rsidR="00AE0549" w:rsidRPr="00A604A3" w:rsidRDefault="00541DCC" w:rsidP="00541DCC">
      <w:pPr>
        <w:pStyle w:val="Heading3"/>
      </w:pPr>
      <w:bookmarkStart w:id="691" w:name="_Toc32412985"/>
      <w:r>
        <w:lastRenderedPageBreak/>
        <w:t>III.2.2</w:t>
      </w:r>
      <w:r>
        <w:tab/>
      </w:r>
      <w:r w:rsidR="00AE0549" w:rsidRPr="00A604A3">
        <w:t>Detailed compliance templates</w:t>
      </w:r>
      <w:bookmarkEnd w:id="691"/>
    </w:p>
    <w:p w:rsidR="00AE0549" w:rsidRPr="00A604A3" w:rsidRDefault="00541DCC" w:rsidP="00541DCC">
      <w:pPr>
        <w:pStyle w:val="Heading4"/>
        <w:spacing w:after="120"/>
      </w:pPr>
      <w:r>
        <w:t>III.2.2.1</w:t>
      </w:r>
      <w:r>
        <w:tab/>
      </w:r>
      <w:r w:rsidR="00AE0549" w:rsidRPr="00A604A3">
        <w:t>Compliance template for services</w:t>
      </w:r>
      <w:r w:rsidR="00AE0549" w:rsidRPr="00A604A3">
        <w:rPr>
          <w:vertAlign w:val="superscript"/>
        </w:rPr>
        <w:footnoteReference w:id="4"/>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48"/>
        <w:gridCol w:w="3526"/>
      </w:tblGrid>
      <w:tr w:rsidR="00AE0549" w:rsidRPr="00A604A3" w:rsidTr="00470885">
        <w:tc>
          <w:tcPr>
            <w:tcW w:w="1165"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head"/>
              <w:rPr>
                <w:rFonts w:eastAsia="SimSun"/>
              </w:rPr>
            </w:pPr>
          </w:p>
        </w:tc>
        <w:tc>
          <w:tcPr>
            <w:tcW w:w="4948"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S</w:t>
            </w:r>
            <w:r w:rsidRPr="00A604A3">
              <w:t>ervice</w:t>
            </w:r>
            <w:r w:rsidRPr="00A604A3">
              <w:rPr>
                <w:rFonts w:eastAsia="SimSun"/>
              </w:rPr>
              <w:t xml:space="preserve"> capability requirements</w:t>
            </w:r>
          </w:p>
        </w:tc>
        <w:tc>
          <w:tcPr>
            <w:tcW w:w="352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Evaluator’s comments</w:t>
            </w:r>
          </w:p>
        </w:tc>
      </w:tr>
      <w:tr w:rsidR="00AE0549" w:rsidRPr="00A604A3" w:rsidTr="00470885">
        <w:tc>
          <w:tcPr>
            <w:tcW w:w="116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b/>
                <w:bCs/>
              </w:rPr>
            </w:pPr>
            <w:r w:rsidRPr="00A604A3">
              <w:rPr>
                <w:b/>
                <w:bCs/>
              </w:rPr>
              <w:t>5</w:t>
            </w:r>
            <w:r w:rsidRPr="00A604A3">
              <w:rPr>
                <w:rFonts w:eastAsia="SimSun"/>
                <w:b/>
                <w:bCs/>
              </w:rPr>
              <w:t>.2.4.1</w:t>
            </w:r>
            <w:r w:rsidRPr="00A604A3">
              <w:rPr>
                <w:b/>
                <w:bCs/>
              </w:rPr>
              <w:t>.1</w:t>
            </w:r>
          </w:p>
        </w:tc>
        <w:tc>
          <w:tcPr>
            <w:tcW w:w="4948"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bCs/>
              </w:rPr>
            </w:pPr>
            <w:r w:rsidRPr="00A604A3">
              <w:rPr>
                <w:b/>
                <w:bCs/>
              </w:rPr>
              <w:t>Support for wide range of services</w:t>
            </w:r>
          </w:p>
          <w:p w:rsidR="00AE0549" w:rsidRPr="00A604A3" w:rsidRDefault="00AE0549" w:rsidP="00470885">
            <w:pPr>
              <w:pStyle w:val="Tabletext"/>
            </w:pPr>
            <w:r w:rsidRPr="00A604A3">
              <w:t xml:space="preserve">Is the proposal able to support a range of services across </w:t>
            </w:r>
            <w:r w:rsidRPr="00A604A3">
              <w:rPr>
                <w:rFonts w:eastAsia="Malgun Gothic"/>
              </w:rPr>
              <w:t>different</w:t>
            </w:r>
            <w:r w:rsidRPr="00A604A3">
              <w:t xml:space="preserve"> usage scenarios (eMBB, URLLC, and mMTC)</w:t>
            </w:r>
            <w:r w:rsidRPr="00A604A3">
              <w:rPr>
                <w:rFonts w:eastAsia="SimSun"/>
              </w:rPr>
              <w:t xml:space="preserve">? </w:t>
            </w:r>
            <w:r w:rsidRPr="00A604A3">
              <w:rPr>
                <w:rFonts w:eastAsia="SimSun"/>
              </w:rPr>
              <w:tab/>
              <w:t xml:space="preserve">X YES / </w:t>
            </w:r>
            <w:r w:rsidRPr="00A604A3">
              <w:rPr>
                <w:rFonts w:eastAsia="SimSun"/>
              </w:rPr>
              <w:sym w:font="Times New Roman" w:char="F072"/>
            </w:r>
            <w:r w:rsidRPr="00A604A3">
              <w:rPr>
                <w:rFonts w:eastAsia="SimSun"/>
              </w:rPr>
              <w:t>NO</w:t>
            </w:r>
          </w:p>
          <w:p w:rsidR="00AE0549" w:rsidRPr="00A604A3" w:rsidRDefault="00AE0549" w:rsidP="00470885">
            <w:pPr>
              <w:pStyle w:val="Tabletext"/>
              <w:rPr>
                <w:rFonts w:eastAsia="Malgun Gothic"/>
              </w:rPr>
            </w:pPr>
            <w:r w:rsidRPr="00A604A3">
              <w:t xml:space="preserve">Specify which usage scenarios (eMBB, URLLC, and mMTC) the </w:t>
            </w:r>
            <w:r w:rsidRPr="00A604A3">
              <w:rPr>
                <w:rFonts w:eastAsia="SimSun"/>
              </w:rPr>
              <w:t xml:space="preserve">candidate RIT or candidate SRIT can </w:t>
            </w:r>
            <w:r w:rsidRPr="00A604A3">
              <w:t>support.</w:t>
            </w:r>
            <w:r w:rsidRPr="00A604A3">
              <w:rPr>
                <w:vertAlign w:val="superscript"/>
                <w:lang w:eastAsia="ko-KR"/>
              </w:rPr>
              <w:t>(1)</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AE0549" w:rsidRPr="00A604A3" w:rsidRDefault="00AE0549" w:rsidP="00470885">
            <w:pPr>
              <w:pStyle w:val="Tabletext"/>
            </w:pPr>
            <w:r w:rsidRPr="00A604A3">
              <w:t>All evaluation characteristics are fulfilling the ITU-R minimum requirements and therefore a wide range of services is supported.</w:t>
            </w:r>
          </w:p>
        </w:tc>
      </w:tr>
      <w:tr w:rsidR="00AE0549" w:rsidRPr="00A604A3" w:rsidTr="00470885">
        <w:tc>
          <w:tcPr>
            <w:tcW w:w="9639" w:type="dxa"/>
            <w:gridSpan w:val="3"/>
            <w:tcBorders>
              <w:top w:val="single" w:sz="4" w:space="0" w:color="auto"/>
              <w:left w:val="nil"/>
              <w:bottom w:val="nil"/>
              <w:right w:val="nil"/>
            </w:tcBorders>
            <w:hideMark/>
          </w:tcPr>
          <w:p w:rsidR="00AE0549" w:rsidRPr="00A604A3" w:rsidRDefault="00AE0549" w:rsidP="00470885">
            <w:pPr>
              <w:pStyle w:val="Tablelegend"/>
              <w:rPr>
                <w:iCs/>
              </w:rPr>
            </w:pPr>
            <w:r w:rsidRPr="00A604A3">
              <w:rPr>
                <w:vertAlign w:val="superscript"/>
                <w:lang w:eastAsia="ko-KR"/>
              </w:rPr>
              <w:t>(1)</w:t>
            </w:r>
            <w:r w:rsidRPr="00A604A3">
              <w:rPr>
                <w:vertAlign w:val="superscript"/>
                <w:lang w:eastAsia="ko-KR"/>
              </w:rPr>
              <w:tab/>
            </w:r>
            <w:r w:rsidRPr="00A604A3">
              <w:t>Refer to the process requirements in IMT-2020/2.</w:t>
            </w:r>
          </w:p>
        </w:tc>
      </w:tr>
    </w:tbl>
    <w:p w:rsidR="00AE0549" w:rsidRPr="00A604A3" w:rsidRDefault="00AE0549" w:rsidP="00470885">
      <w:pPr>
        <w:pStyle w:val="BodyText"/>
        <w:spacing w:before="0" w:after="0"/>
        <w:jc w:val="both"/>
        <w:rPr>
          <w:szCs w:val="24"/>
        </w:rPr>
      </w:pPr>
    </w:p>
    <w:p w:rsidR="00AE0549" w:rsidRPr="00A604A3" w:rsidRDefault="00541DCC" w:rsidP="00541DCC">
      <w:pPr>
        <w:pStyle w:val="Heading4"/>
        <w:spacing w:after="120"/>
      </w:pPr>
      <w:r>
        <w:t>III.2.2.2</w:t>
      </w:r>
      <w:r>
        <w:tab/>
      </w:r>
      <w:r w:rsidR="00AE0549" w:rsidRPr="00A604A3">
        <w:t>Compliance template for spectrum</w:t>
      </w:r>
      <w:r w:rsidR="00AE0549" w:rsidRPr="00A604A3">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555"/>
      </w:tblGrid>
      <w:tr w:rsidR="00AE0549" w:rsidRPr="00A604A3" w:rsidTr="00470885">
        <w:tc>
          <w:tcPr>
            <w:tcW w:w="1461"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head"/>
              <w:rPr>
                <w:rFonts w:eastAsia="SimSun"/>
              </w:rPr>
            </w:pP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Spectrum capability requirements</w:t>
            </w:r>
          </w:p>
        </w:tc>
      </w:tr>
      <w:tr w:rsidR="00AE0549" w:rsidRPr="00A604A3" w:rsidTr="00470885">
        <w:tc>
          <w:tcPr>
            <w:tcW w:w="1461"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rPr>
            </w:pPr>
            <w:r w:rsidRPr="00A604A3">
              <w:rPr>
                <w:b/>
              </w:rPr>
              <w:t>5</w:t>
            </w:r>
            <w:r w:rsidRPr="00A604A3">
              <w:rPr>
                <w:rFonts w:eastAsia="SimSun"/>
                <w:b/>
              </w:rPr>
              <w:t>.2.4.2.1</w:t>
            </w: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rPr>
            </w:pPr>
            <w:r w:rsidRPr="00A604A3">
              <w:rPr>
                <w:rFonts w:eastAsia="SimSun"/>
                <w:b/>
              </w:rPr>
              <w:t>Frequency bands</w:t>
            </w:r>
            <w:r w:rsidRPr="00A604A3">
              <w:rPr>
                <w:b/>
              </w:rPr>
              <w:t xml:space="preserve"> identified for IMT</w:t>
            </w:r>
          </w:p>
          <w:p w:rsidR="00AE0549" w:rsidRPr="00A604A3" w:rsidRDefault="00AE0549" w:rsidP="00470885">
            <w:pPr>
              <w:pStyle w:val="Tabletext"/>
              <w:rPr>
                <w:rFonts w:eastAsia="SimSun"/>
              </w:rPr>
            </w:pPr>
            <w:r w:rsidRPr="00A604A3">
              <w:rPr>
                <w:rFonts w:eastAsia="SimSun"/>
              </w:rPr>
              <w:t>Is the proposal able to utilize at least one</w:t>
            </w:r>
            <w:r w:rsidRPr="00A604A3">
              <w:t xml:space="preserve"> frequency</w:t>
            </w:r>
            <w:r w:rsidRPr="00A604A3">
              <w:rPr>
                <w:rFonts w:eastAsia="SimSun"/>
              </w:rPr>
              <w:t xml:space="preserve"> band identified for IMT</w:t>
            </w:r>
            <w:r w:rsidRPr="00A604A3">
              <w:t xml:space="preserve"> in the ITU Radio Regulations</w:t>
            </w:r>
            <w:r w:rsidRPr="00A604A3">
              <w:rPr>
                <w:rFonts w:eastAsia="SimSun"/>
              </w:rPr>
              <w:t xml:space="preserve">? </w:t>
            </w:r>
            <w:r w:rsidRPr="00A604A3">
              <w:rPr>
                <w:rFonts w:eastAsia="SimSun"/>
              </w:rPr>
              <w:tab/>
              <w:t xml:space="preserve">X YES / </w:t>
            </w:r>
            <w:r w:rsidRPr="00A604A3">
              <w:rPr>
                <w:rFonts w:eastAsia="SimSun"/>
              </w:rPr>
              <w:sym w:font="Times New Roman" w:char="F072"/>
            </w:r>
            <w:r w:rsidRPr="00A604A3">
              <w:rPr>
                <w:rFonts w:eastAsia="SimSun"/>
              </w:rPr>
              <w:t xml:space="preserve"> NO</w:t>
            </w:r>
          </w:p>
          <w:p w:rsidR="00AE0549" w:rsidRPr="00A604A3" w:rsidRDefault="00AE0549" w:rsidP="00470885">
            <w:pPr>
              <w:pStyle w:val="Tabletext"/>
              <w:rPr>
                <w:rFonts w:eastAsia="SimSun"/>
              </w:rPr>
            </w:pPr>
            <w:r w:rsidRPr="00A604A3">
              <w:rPr>
                <w:rFonts w:eastAsia="SimSun"/>
              </w:rPr>
              <w:t>Specify in which band(s) the candidate RIT or candidate SRIT can be deployed.</w:t>
            </w:r>
          </w:p>
        </w:tc>
      </w:tr>
      <w:tr w:rsidR="00AE0549" w:rsidRPr="00A604A3" w:rsidTr="00470885">
        <w:tc>
          <w:tcPr>
            <w:tcW w:w="1461"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highlight w:val="yellow"/>
              </w:rPr>
            </w:pPr>
            <w:r w:rsidRPr="00A604A3">
              <w:rPr>
                <w:rFonts w:eastAsia="Malgun Gothic"/>
                <w:b/>
              </w:rPr>
              <w:t>5</w:t>
            </w:r>
            <w:r w:rsidRPr="00A604A3">
              <w:rPr>
                <w:rFonts w:eastAsia="SimSun"/>
                <w:b/>
              </w:rPr>
              <w:t>.2.4.2.2</w:t>
            </w: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Malgun Gothic"/>
                <w:b/>
              </w:rPr>
            </w:pPr>
            <w:r w:rsidRPr="00A604A3">
              <w:rPr>
                <w:rFonts w:eastAsia="SimSun"/>
                <w:b/>
              </w:rPr>
              <w:t>Higher Frequency range/band(s)</w:t>
            </w:r>
          </w:p>
          <w:p w:rsidR="00AE0549" w:rsidRPr="00A604A3" w:rsidRDefault="00AE0549" w:rsidP="00470885">
            <w:pPr>
              <w:pStyle w:val="Tabletext"/>
              <w:rPr>
                <w:rFonts w:eastAsia="SimSun"/>
              </w:rPr>
            </w:pPr>
            <w:r w:rsidRPr="00A604A3">
              <w:rPr>
                <w:rFonts w:eastAsia="SimSun"/>
              </w:rPr>
              <w:t>Is the proposal able to utilize</w:t>
            </w:r>
            <w:r w:rsidRPr="00A604A3">
              <w:rPr>
                <w:rFonts w:eastAsia="Malgun Gothic"/>
              </w:rPr>
              <w:t xml:space="preserve"> the higher frequency range/band(s) </w:t>
            </w:r>
            <w:r w:rsidRPr="00A604A3">
              <w:t xml:space="preserve">above </w:t>
            </w:r>
            <w:r w:rsidRPr="00A604A3">
              <w:rPr>
                <w:rFonts w:eastAsia="Malgun Gothic"/>
              </w:rPr>
              <w:t>24.25 GHz</w:t>
            </w:r>
            <w:r w:rsidRPr="00A604A3">
              <w:rPr>
                <w:rFonts w:eastAsia="SimSun"/>
              </w:rPr>
              <w:t>?</w:t>
            </w:r>
            <w:r w:rsidRPr="00A604A3">
              <w:rPr>
                <w:rFonts w:eastAsia="SimSun"/>
              </w:rPr>
              <w:tab/>
              <w:t xml:space="preserve">X YES / </w:t>
            </w:r>
            <w:r w:rsidRPr="00A604A3">
              <w:rPr>
                <w:rFonts w:eastAsia="SimSun"/>
              </w:rPr>
              <w:tab/>
            </w:r>
            <w:r w:rsidRPr="00A604A3">
              <w:rPr>
                <w:rFonts w:eastAsia="SimSun"/>
              </w:rPr>
              <w:sym w:font="Times New Roman" w:char="F072"/>
            </w:r>
            <w:r w:rsidRPr="00A604A3">
              <w:rPr>
                <w:rFonts w:eastAsia="SimSun"/>
              </w:rPr>
              <w:t xml:space="preserve"> NO</w:t>
            </w:r>
          </w:p>
          <w:p w:rsidR="00AE0549" w:rsidRPr="00A604A3" w:rsidRDefault="00AE0549" w:rsidP="00470885">
            <w:pPr>
              <w:pStyle w:val="Tabletext"/>
              <w:rPr>
                <w:rFonts w:eastAsia="SimSun"/>
              </w:rPr>
            </w:pPr>
            <w:r w:rsidRPr="00A604A3">
              <w:rPr>
                <w:rFonts w:eastAsia="SimSun"/>
              </w:rPr>
              <w:t>Specify in which band(s) the candidate RIT or candidate SRIT can be deployed.</w:t>
            </w:r>
          </w:p>
          <w:p w:rsidR="00AE0549" w:rsidRPr="00A604A3" w:rsidRDefault="00AE0549" w:rsidP="00470885">
            <w:pPr>
              <w:pStyle w:val="Tabletext"/>
              <w:rPr>
                <w:rFonts w:eastAsia="SimSun"/>
              </w:rPr>
            </w:pPr>
            <w:r w:rsidRPr="00A604A3">
              <w:rPr>
                <w:rFonts w:eastAsia="SimSun"/>
              </w:rPr>
              <w:t xml:space="preserve">Details are provided in Section </w:t>
            </w:r>
            <w:r w:rsidR="00AA0B2B" w:rsidRPr="00AA0B2B">
              <w:rPr>
                <w:rFonts w:eastAsia="SimSun"/>
              </w:rPr>
              <w:t>II.5</w:t>
            </w:r>
            <w:r w:rsidRPr="00A604A3">
              <w:rPr>
                <w:rFonts w:eastAsia="SimSun"/>
              </w:rPr>
              <w:t>.16.</w:t>
            </w:r>
          </w:p>
          <w:p w:rsidR="00AE0549" w:rsidRPr="00A604A3" w:rsidRDefault="00AE0549" w:rsidP="00470885">
            <w:pPr>
              <w:pStyle w:val="Tabletext"/>
            </w:pPr>
            <w:r w:rsidRPr="00A604A3">
              <w:rPr>
                <w:rFonts w:eastAsia="Malgun Gothic"/>
                <w:lang w:eastAsia="ko-KR"/>
              </w:rPr>
              <w:t>NOTE 1 – In the case of the candidate SRIT, at least one of the component RITs need to fulfil this requirement.</w:t>
            </w:r>
          </w:p>
        </w:tc>
      </w:tr>
    </w:tbl>
    <w:p w:rsidR="00AE0549" w:rsidRPr="00A604A3" w:rsidRDefault="00AE0549" w:rsidP="00541DCC">
      <w:pPr>
        <w:pStyle w:val="Tablefin"/>
      </w:pPr>
    </w:p>
    <w:p w:rsidR="00AE0549" w:rsidRPr="00A604A3" w:rsidRDefault="00541DCC" w:rsidP="00541DCC">
      <w:pPr>
        <w:pStyle w:val="Heading4"/>
        <w:spacing w:after="120"/>
      </w:pPr>
      <w:r>
        <w:t>III.2.2.3</w:t>
      </w:r>
      <w:r>
        <w:tab/>
      </w:r>
      <w:r w:rsidR="00AE0549" w:rsidRPr="00A604A3">
        <w:t>Compliance template for technical performance</w:t>
      </w:r>
      <w:r w:rsidR="00AE0549" w:rsidRPr="00A604A3">
        <w:rPr>
          <w:vertAlign w:val="superscript"/>
        </w:rPr>
        <w:t>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658"/>
        <w:gridCol w:w="1032"/>
        <w:gridCol w:w="1410"/>
        <w:gridCol w:w="1285"/>
        <w:gridCol w:w="1279"/>
        <w:gridCol w:w="1037"/>
        <w:gridCol w:w="1158"/>
        <w:gridCol w:w="780"/>
      </w:tblGrid>
      <w:tr w:rsidR="00AE0549" w:rsidRPr="002321A4" w:rsidTr="002321A4">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Minimum technical performance requirements item (5.2.4.3.x), units, and Report</w:t>
            </w:r>
            <w:r w:rsidRPr="002321A4">
              <w:rPr>
                <w:sz w:val="18"/>
                <w:szCs w:val="18"/>
              </w:rPr>
              <w:br/>
              <w:t>ITU-R M.2410-0 section reference</w:t>
            </w:r>
            <w:r w:rsidRPr="002321A4">
              <w:rPr>
                <w:sz w:val="18"/>
                <w:szCs w:val="18"/>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Required value</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Value</w:t>
            </w:r>
            <w:r w:rsidRPr="002321A4">
              <w:rPr>
                <w:sz w:val="18"/>
                <w:szCs w:val="18"/>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Requirement met?</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Comments</w:t>
            </w:r>
            <w:r w:rsidRPr="002321A4">
              <w:rPr>
                <w:sz w:val="18"/>
                <w:szCs w:val="18"/>
              </w:rPr>
              <w:br/>
            </w:r>
            <w:r w:rsidRPr="002321A4">
              <w:rPr>
                <w:sz w:val="18"/>
                <w:szCs w:val="18"/>
                <w:vertAlign w:val="superscript"/>
              </w:rPr>
              <w:t>(3)</w:t>
            </w:r>
          </w:p>
        </w:tc>
      </w:tr>
      <w:tr w:rsidR="00AE0549" w:rsidRPr="002321A4" w:rsidTr="002321A4">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overflowPunct/>
              <w:autoSpaceDE/>
              <w:autoSpaceDN/>
              <w:adjustRightInd/>
              <w:spacing w:before="0"/>
              <w:jc w:val="center"/>
              <w:rPr>
                <w:rFonts w:ascii="Times New Roman Bold" w:hAnsi="Times New Roman Bold" w:cs="Times New Roman Bold"/>
                <w:b/>
                <w:sz w:val="18"/>
                <w:szCs w:val="18"/>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w:t>
            </w:r>
            <w:r w:rsidRPr="00A604A3">
              <w:br/>
              <w:t>Peak data rate (Gbit/s)</w:t>
            </w:r>
            <w:r w:rsidRPr="00A604A3">
              <w:br/>
            </w:r>
            <w:r w:rsidRPr="00A604A3">
              <w:rPr>
                <w:i/>
                <w:iC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rFonts w:eastAsia="Malgun Gothic"/>
              </w:rPr>
              <w:t>1</w:t>
            </w:r>
            <w:r w:rsidRPr="00A604A3">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rPr>
                <w:b/>
              </w:rPr>
              <w:lastRenderedPageBreak/>
              <w:t>5.2.4.3.2</w:t>
            </w:r>
            <w:r w:rsidRPr="00A604A3">
              <w:br/>
              <w:t>Peak spectral efficiency (bit/s/Hz)</w:t>
            </w:r>
            <w:r w:rsidRPr="00A604A3">
              <w:br/>
            </w:r>
            <w:r w:rsidRPr="00A604A3">
              <w:rPr>
                <w:i/>
                <w:iC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keepNext/>
              <w:keepLines/>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keepNext/>
              <w:keepLines/>
              <w:jc w:val="center"/>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r w:rsidRPr="00A604A3">
              <w:t>c.f.</w:t>
            </w:r>
          </w:p>
          <w:p w:rsidR="00AE0549" w:rsidRPr="00A604A3" w:rsidRDefault="00AA0B2B" w:rsidP="00470885">
            <w:pPr>
              <w:pStyle w:val="Tabletext"/>
              <w:keepNext/>
              <w:keepLines/>
            </w:pPr>
            <w:r w:rsidRPr="00AA0B2B">
              <w:t>II.5</w:t>
            </w:r>
            <w:r w:rsidR="00AE0549" w:rsidRPr="00A604A3">
              <w:t>.2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keepNext/>
              <w:keepLines/>
              <w:overflowPunct/>
              <w:autoSpaceDE/>
              <w:autoSpaceDN/>
              <w:adjustRightInd/>
              <w:spacing w:before="0"/>
              <w:jc w:val="center"/>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keepNext/>
              <w:keepLines/>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rPr>
                <w:rFonts w:eastAsia="Malgun Gothic"/>
              </w:rPr>
              <w:t>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keepNext/>
              <w:keepLines/>
              <w:overflowPunct/>
              <w:autoSpaceDE/>
              <w:autoSpaceDN/>
              <w:adjustRightInd/>
              <w:spacing w:before="0"/>
              <w:rPr>
                <w:sz w:val="20"/>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5.2.4.3.3</w:t>
            </w:r>
            <w:r w:rsidRPr="00A604A3">
              <w:br/>
              <w:t>User experienced data rate (Mbit/s)</w:t>
            </w:r>
            <w:r w:rsidRPr="00A604A3">
              <w:br/>
            </w:r>
            <w:r w:rsidRPr="00A604A3">
              <w:rPr>
                <w:i/>
                <w:iCs/>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100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.3</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50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5.2.4.3.4</w:t>
            </w:r>
            <w:r w:rsidRPr="00A604A3">
              <w:br/>
              <w:t>5</w:t>
            </w:r>
            <w:r w:rsidRPr="00A604A3">
              <w:rPr>
                <w:vertAlign w:val="superscript"/>
              </w:rPr>
              <w:t>th</w:t>
            </w:r>
            <w:r w:rsidRPr="00A604A3">
              <w:t xml:space="preserve"> percentile user spectral efficiency (bit/s/Hz)</w:t>
            </w:r>
            <w:r w:rsidRPr="00A604A3">
              <w:br/>
            </w:r>
            <w:r w:rsidRPr="00A604A3">
              <w:rPr>
                <w:i/>
                <w:iC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0.21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0.225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0.12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0.045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5.2.4.3.5</w:t>
            </w:r>
            <w:r w:rsidRPr="00A604A3">
              <w:br/>
              <w:t>Average spectral efficiency (bit/s/Hz/ TRxP)</w:t>
            </w:r>
            <w:r w:rsidRPr="00A604A3">
              <w:br/>
            </w:r>
            <w:r w:rsidRPr="00A604A3">
              <w:rPr>
                <w:i/>
                <w:iC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9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.5</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6.75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7.8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5.4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3.3 </w:t>
            </w:r>
          </w:p>
        </w:tc>
        <w:tc>
          <w:tcPr>
            <w:tcW w:w="1037"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1.6 </w:t>
            </w:r>
          </w:p>
        </w:tc>
        <w:tc>
          <w:tcPr>
            <w:tcW w:w="1037"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5.2.4.3.6</w:t>
            </w:r>
            <w:r w:rsidRPr="00A604A3">
              <w:br/>
              <w:t>Area traffic capacity (Mbit/s/m</w:t>
            </w:r>
            <w:r w:rsidRPr="00A604A3">
              <w:rPr>
                <w:vertAlign w:val="superscript"/>
              </w:rPr>
              <w:t>2</w:t>
            </w:r>
            <w:r w:rsidRPr="00A604A3">
              <w:t>)</w:t>
            </w:r>
            <w:r w:rsidRPr="00A604A3">
              <w:br/>
            </w:r>
            <w:r w:rsidRPr="00A604A3">
              <w:rPr>
                <w:i/>
                <w:iCs/>
              </w:rPr>
              <w:t>(4.6)</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E-II.6</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0549" w:rsidRPr="00A604A3" w:rsidRDefault="00AE0549" w:rsidP="00470885">
            <w:pPr>
              <w:pStyle w:val="Tabletext"/>
            </w:pPr>
            <w:r w:rsidRPr="00A604A3">
              <w:rPr>
                <w:b/>
              </w:rPr>
              <w:t>5.2.4.3.7</w:t>
            </w:r>
            <w:r w:rsidRPr="00A604A3">
              <w:br/>
              <w:t>User plane latency</w:t>
            </w:r>
            <w:r w:rsidRPr="00A604A3">
              <w:br/>
              <w:t>(ms)</w:t>
            </w:r>
            <w:r w:rsidRPr="00A604A3">
              <w:br/>
            </w:r>
            <w:r w:rsidRPr="00A604A3">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E-II.7</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49" w:rsidRPr="00A604A3" w:rsidRDefault="00AE0549" w:rsidP="00470885">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E-II.7</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5.2.4.3.8</w:t>
            </w:r>
            <w:r w:rsidRPr="00A604A3">
              <w:br/>
              <w:t>Control plane latency (ms)</w:t>
            </w:r>
            <w:r w:rsidRPr="00A604A3">
              <w:br/>
            </w:r>
            <w:r w:rsidRPr="00A604A3">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r w:rsidRPr="00A604A3">
              <w:rPr>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E-II.8</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E-II.8</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5.2.4.3.9</w:t>
            </w:r>
            <w:r w:rsidRPr="00A604A3">
              <w:br/>
              <w:t>Connection density (devices/km</w:t>
            </w:r>
            <w:r w:rsidRPr="00A604A3">
              <w:rPr>
                <w:vertAlign w:val="superscript"/>
              </w:rPr>
              <w:t>2</w:t>
            </w:r>
            <w:r w:rsidRPr="00A604A3">
              <w:t>)</w:t>
            </w:r>
            <w:r w:rsidRPr="00A604A3">
              <w:br/>
            </w:r>
            <w:r w:rsidRPr="00A604A3">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mMTC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Urban Macro – mMTC</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1 000 000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E-II.9</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5.2.4.3.10</w:t>
            </w:r>
            <w:r w:rsidRPr="00A604A3">
              <w:br/>
              <w:t>Energy efficiency</w:t>
            </w:r>
            <w:r w:rsidRPr="00A604A3">
              <w:br/>
            </w:r>
            <w:r w:rsidRPr="00A604A3">
              <w:rPr>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lang w:eastAsia="ja-JP"/>
              </w:rPr>
            </w:pPr>
            <w:r w:rsidRPr="00A604A3">
              <w:rPr>
                <w:lang w:eastAsia="ko-KR"/>
              </w:rPr>
              <w:t>Capability to support a high sleep ratio and long sleep duration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E-II.10</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5.2.4.3.11</w:t>
            </w:r>
            <w:r w:rsidRPr="00A604A3">
              <w:br/>
              <w:t>Reliability</w:t>
            </w:r>
            <w:r w:rsidRPr="00A604A3">
              <w:br/>
            </w:r>
            <w:r w:rsidRPr="00A604A3">
              <w:rPr>
                <w:i/>
                <w:iC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 or Downlink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1-10</w:t>
            </w:r>
            <w:r w:rsidRPr="00A604A3">
              <w:rPr>
                <w:vertAlign w:val="superscript"/>
              </w:rPr>
              <w:t>−5</w:t>
            </w:r>
            <w:r w:rsidRPr="00A604A3">
              <w:t xml:space="preserve"> success probability of transmitting a layer</w:t>
            </w:r>
            <w:r w:rsidRPr="00A604A3">
              <w:rPr>
                <w:lang w:eastAsia="ko-KR"/>
              </w:rPr>
              <w:t xml:space="preserve"> 2 PDU </w:t>
            </w:r>
            <w:r w:rsidRPr="00A604A3">
              <w:rPr>
                <w:rFonts w:eastAsia="Malgun Gothic"/>
                <w:lang w:eastAsia="ko-KR"/>
              </w:rPr>
              <w:t>(protocol data unit)</w:t>
            </w:r>
            <w:r w:rsidRPr="00A604A3">
              <w:t xml:space="preserve"> of size 32 bytes within 1 ms in channel quality of coverage edge</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E-II.11</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bCs/>
              </w:rPr>
            </w:pPr>
            <w:r w:rsidRPr="00A604A3">
              <w:rPr>
                <w:b/>
              </w:rPr>
              <w:t>5.2.4.3.12</w:t>
            </w:r>
            <w:r w:rsidRPr="00A604A3">
              <w:br/>
              <w:t>Mobility classes</w:t>
            </w:r>
            <w:r w:rsidRPr="00A604A3">
              <w:br/>
            </w:r>
            <w:r w:rsidRPr="00A604A3">
              <w:rPr>
                <w:i/>
                <w:iCs/>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Stationary, Pedestrian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bCs/>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Stationary, Pedestrian,</w:t>
            </w:r>
          </w:p>
          <w:p w:rsidR="00AE0549" w:rsidRPr="00A604A3" w:rsidRDefault="00AE0549" w:rsidP="00470885">
            <w:pPr>
              <w:pStyle w:val="Tabletext"/>
            </w:pPr>
            <w:r w:rsidRPr="00A604A3">
              <w:t>Vehicular (up to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bCs/>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Pedestrian,</w:t>
            </w:r>
            <w:r w:rsidRPr="00A604A3">
              <w:rPr>
                <w:lang w:eastAsia="zh-CN"/>
              </w:rPr>
              <w:t xml:space="preserve"> </w:t>
            </w:r>
            <w:r w:rsidRPr="00A604A3">
              <w:t>Vehicular, High speed vehicular</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b/>
                <w:lang w:eastAsia="zh-CN"/>
              </w:rPr>
            </w:pPr>
            <w:r w:rsidRPr="00A604A3">
              <w:rPr>
                <w:b/>
              </w:rPr>
              <w:t>5.2.4.3.1</w:t>
            </w:r>
            <w:r w:rsidRPr="00A604A3">
              <w:rPr>
                <w:b/>
                <w:lang w:eastAsia="zh-CN"/>
              </w:rPr>
              <w:t>3</w:t>
            </w:r>
          </w:p>
          <w:p w:rsidR="00AE0549" w:rsidRPr="00A604A3" w:rsidRDefault="00AE0549" w:rsidP="00470885">
            <w:pPr>
              <w:pStyle w:val="Tabletext"/>
            </w:pPr>
            <w:r w:rsidRPr="00A604A3">
              <w:rPr>
                <w:lang w:eastAsia="zh-CN"/>
              </w:rPr>
              <w:lastRenderedPageBreak/>
              <w:t>Mobility</w:t>
            </w:r>
            <w:r w:rsidRPr="00A604A3">
              <w:rPr>
                <w:lang w:eastAsia="zh-CN"/>
              </w:rPr>
              <w:br/>
              <w:t>Traffic channel link data rates (bit/s/Hz)</w:t>
            </w:r>
            <w:r w:rsidRPr="00A604A3">
              <w:rPr>
                <w:lang w:eastAsia="zh-CN"/>
              </w:rPr>
              <w:br/>
            </w:r>
            <w:r w:rsidRPr="00A604A3">
              <w:rPr>
                <w:i/>
                <w:iCs/>
                <w:lang w:eastAsia="zh-CN"/>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lastRenderedPageBreak/>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1.5 (10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1.12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0.8 (120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0.45 (500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5.2.4.3.14</w:t>
            </w:r>
            <w:r w:rsidRPr="00A604A3">
              <w:rPr>
                <w:bCs/>
              </w:rPr>
              <w:br/>
            </w:r>
            <w:r w:rsidRPr="00A604A3">
              <w:t xml:space="preserve">Mobility interruption time (ms) </w:t>
            </w:r>
            <w:r w:rsidRPr="00A604A3">
              <w:br/>
            </w:r>
            <w:r w:rsidRPr="00A604A3">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E-II.14</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i/>
                <w:iCs/>
              </w:rPr>
            </w:pPr>
            <w:r w:rsidRPr="00A604A3">
              <w:rPr>
                <w:b/>
              </w:rPr>
              <w:t>5.2.4.3.15</w:t>
            </w:r>
            <w:r w:rsidRPr="00A604A3">
              <w:br/>
              <w:t xml:space="preserve">Bandwidth </w:t>
            </w:r>
            <w:r w:rsidRPr="00A604A3">
              <w:rPr>
                <w:lang w:eastAsia="ja-JP"/>
              </w:rPr>
              <w:t>and Scalability</w:t>
            </w:r>
            <w:r w:rsidRPr="00A604A3">
              <w:br/>
            </w:r>
            <w:r w:rsidRPr="00A604A3">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At least 100 MHz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lang w:eastAsia="ja-JP"/>
              </w:rPr>
            </w:pPr>
            <w:r w:rsidRPr="00A604A3">
              <w:rPr>
                <w:lang w:eastAsia="ja-JP"/>
              </w:rPr>
              <w:t>Up to 1 GHz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zh-CN"/>
              </w:rPr>
              <w:t>Support of multiple different bandwidth values</w:t>
            </w:r>
            <w:r w:rsidRPr="00A604A3">
              <w:rPr>
                <w:vertAlign w:val="superscript"/>
                <w:lang w:eastAsia="zh-CN"/>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9639" w:type="dxa"/>
            <w:gridSpan w:val="8"/>
            <w:tcBorders>
              <w:top w:val="single" w:sz="4" w:space="0" w:color="auto"/>
              <w:left w:val="nil"/>
              <w:bottom w:val="nil"/>
              <w:right w:val="nil"/>
            </w:tcBorders>
            <w:shd w:val="clear" w:color="auto" w:fill="FFFFFF"/>
            <w:hideMark/>
          </w:tcPr>
          <w:p w:rsidR="00AE0549" w:rsidRPr="00A604A3" w:rsidRDefault="00AE0549" w:rsidP="00470885">
            <w:pPr>
              <w:pStyle w:val="Tablelegend"/>
            </w:pPr>
            <w:r w:rsidRPr="00A604A3">
              <w:rPr>
                <w:vertAlign w:val="superscript"/>
              </w:rPr>
              <w:t>(1)</w:t>
            </w:r>
            <w:r w:rsidRPr="00A604A3">
              <w:t xml:space="preserve"> </w:t>
            </w:r>
            <w:r w:rsidRPr="00A604A3">
              <w:tab/>
              <w:t>As defined in Report ITU-R M.2410-0.</w:t>
            </w:r>
          </w:p>
          <w:p w:rsidR="00AE0549" w:rsidRPr="00A604A3" w:rsidRDefault="00AE0549" w:rsidP="00470885">
            <w:pPr>
              <w:pStyle w:val="Tablelegend"/>
            </w:pPr>
            <w:r w:rsidRPr="00A604A3">
              <w:rPr>
                <w:vertAlign w:val="superscript"/>
              </w:rPr>
              <w:t>(2)</w:t>
            </w:r>
            <w:r w:rsidRPr="00A604A3">
              <w:t xml:space="preserve"> </w:t>
            </w:r>
            <w:r w:rsidRPr="00A604A3">
              <w:tab/>
              <w:t>According to the evaluation methodology specified in Report ITU-R M.2412-0.</w:t>
            </w:r>
          </w:p>
          <w:p w:rsidR="00AE0549" w:rsidRPr="00A604A3" w:rsidRDefault="00AE0549" w:rsidP="00470885">
            <w:pPr>
              <w:pStyle w:val="Tablelegend"/>
            </w:pPr>
            <w:r w:rsidRPr="00A604A3">
              <w:rPr>
                <w:vertAlign w:val="superscript"/>
              </w:rPr>
              <w:t>(3)</w:t>
            </w:r>
            <w:r w:rsidRPr="00A604A3">
              <w:tab/>
            </w:r>
            <w:r w:rsidRPr="00A604A3">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604A3">
              <w:rPr>
                <w:lang w:eastAsia="ja-JP"/>
              </w:rPr>
              <w:t>, and could provide other relevant information as well</w:t>
            </w:r>
            <w:r w:rsidRPr="00A604A3">
              <w:rPr>
                <w:rFonts w:eastAsia="Malgun Gothic"/>
              </w:rPr>
              <w:t>. For details, refer to Report ITU-R M.2412-0, in particular, § 7.1.3 for the evaluation methodologies, § 8.4 for the evaluation configurations per each test environment, and Annex 1 on the channel model variants.</w:t>
            </w:r>
          </w:p>
          <w:p w:rsidR="00AE0549" w:rsidRPr="00A604A3" w:rsidRDefault="00AE0549" w:rsidP="00470885">
            <w:pPr>
              <w:pStyle w:val="Tablelegend"/>
              <w:rPr>
                <w:rFonts w:eastAsia="Malgun Gothic"/>
              </w:rPr>
            </w:pPr>
            <w:r w:rsidRPr="00A604A3">
              <w:rPr>
                <w:rFonts w:eastAsia="Malgun Gothic"/>
                <w:vertAlign w:val="superscript"/>
              </w:rPr>
              <w:t>(4)</w:t>
            </w:r>
            <w:r w:rsidRPr="00A604A3">
              <w:rPr>
                <w:rFonts w:eastAsia="Malgun Gothic"/>
              </w:rPr>
              <w:tab/>
              <w:t>Refer to § 7.3.1 of Report ITU-R M.2412-0.</w:t>
            </w:r>
          </w:p>
        </w:tc>
      </w:tr>
    </w:tbl>
    <w:p w:rsidR="00AE0549" w:rsidRPr="00A604A3" w:rsidRDefault="00AE0549" w:rsidP="00470885">
      <w:pPr>
        <w:pStyle w:val="BodyText"/>
        <w:spacing w:before="0" w:after="0"/>
        <w:jc w:val="both"/>
        <w:rPr>
          <w:szCs w:val="24"/>
        </w:rPr>
      </w:pPr>
    </w:p>
    <w:p w:rsidR="00AE0549" w:rsidRPr="00A604A3" w:rsidRDefault="002321A4" w:rsidP="002321A4">
      <w:pPr>
        <w:pStyle w:val="Heading2"/>
      </w:pPr>
      <w:bookmarkStart w:id="692" w:name="_Toc32412986"/>
      <w:r>
        <w:t>III.3</w:t>
      </w:r>
      <w:r>
        <w:tab/>
      </w:r>
      <w:r w:rsidR="00AE0549" w:rsidRPr="00A604A3">
        <w:t>Number of test environments meeting all IMT-2020 requirements</w:t>
      </w:r>
      <w:bookmarkEnd w:id="692"/>
    </w:p>
    <w:p w:rsidR="00AE0549" w:rsidRPr="00A604A3" w:rsidRDefault="00AE0549" w:rsidP="002321A4">
      <w:r w:rsidRPr="00A604A3">
        <w:t>This section is a place holder for the final report since no conclusions can be drawn until all relevant simulation-based evaluations have been made.</w:t>
      </w:r>
    </w:p>
    <w:p w:rsidR="00AE0549" w:rsidRPr="00A604A3" w:rsidRDefault="002321A4" w:rsidP="002321A4">
      <w:pPr>
        <w:pStyle w:val="Heading2"/>
      </w:pPr>
      <w:bookmarkStart w:id="693" w:name="_Toc32412987"/>
      <w:r>
        <w:t>III.4</w:t>
      </w:r>
      <w:r>
        <w:tab/>
      </w:r>
      <w:r w:rsidR="00AE0549" w:rsidRPr="00A604A3">
        <w:t>Conclusion of link budget analysis</w:t>
      </w:r>
      <w:bookmarkEnd w:id="693"/>
    </w:p>
    <w:p w:rsidR="00AE0549" w:rsidRPr="00A604A3" w:rsidRDefault="00AE0549" w:rsidP="002321A4">
      <w:r w:rsidRPr="00A604A3">
        <w:t>Link budget calculations are work in progress Details will be provided in the final Evaluation Report.5G Infrastructure Association concludes that the proponent has provided the required information relating to link budgets for all four test environments for both the TDD RIT and the FDD RIT.</w:t>
      </w:r>
    </w:p>
    <w:p w:rsidR="002321A4" w:rsidRDefault="002321A4" w:rsidP="002321A4">
      <w:pPr>
        <w:pStyle w:val="AnnexNo"/>
      </w:pPr>
      <w:bookmarkStart w:id="694" w:name="_Toc32412988"/>
      <w:r>
        <w:lastRenderedPageBreak/>
        <w:t>Annex A</w:t>
      </w:r>
      <w:bookmarkEnd w:id="694"/>
    </w:p>
    <w:p w:rsidR="00AE0549" w:rsidRPr="00A604A3" w:rsidRDefault="00AE0549" w:rsidP="002321A4">
      <w:pPr>
        <w:pStyle w:val="Annextitle"/>
      </w:pPr>
      <w:bookmarkStart w:id="695" w:name="_Toc32412989"/>
      <w:r w:rsidRPr="00A604A3">
        <w:t>Detailed assumptions on DL and UL peak data rate and peak spectral efficiency calculations for 5G NR and LTE</w:t>
      </w:r>
      <w:bookmarkEnd w:id="695"/>
    </w:p>
    <w:p w:rsidR="00AE0549" w:rsidRPr="00A604A3" w:rsidRDefault="00AE0549" w:rsidP="002321A4">
      <w:pPr>
        <w:pStyle w:val="Headingb"/>
        <w:spacing w:after="120"/>
      </w:pPr>
      <w:r w:rsidRPr="00A604A3">
        <w:t>5G NR Downlink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2126"/>
        <w:gridCol w:w="2126"/>
        <w:gridCol w:w="1985"/>
        <w:gridCol w:w="1701"/>
      </w:tblGrid>
      <w:tr w:rsidR="00AE0549" w:rsidRPr="00A604A3" w:rsidTr="00A8163A">
        <w:trPr>
          <w:jc w:val="center"/>
        </w:trPr>
        <w:tc>
          <w:tcPr>
            <w:tcW w:w="1413" w:type="dxa"/>
            <w:vMerge w:val="restart"/>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rPr>
              <w:t>Parameters</w:t>
            </w:r>
          </w:p>
        </w:tc>
        <w:tc>
          <w:tcPr>
            <w:tcW w:w="6237" w:type="dxa"/>
            <w:gridSpan w:val="3"/>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Downlink Configuration</w:t>
            </w:r>
          </w:p>
        </w:tc>
        <w:tc>
          <w:tcPr>
            <w:tcW w:w="1701" w:type="dxa"/>
            <w:vMerge w:val="restart"/>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Details</w:t>
            </w:r>
          </w:p>
        </w:tc>
      </w:tr>
      <w:tr w:rsidR="00AE0549" w:rsidRPr="00A604A3" w:rsidTr="00A8163A">
        <w:trPr>
          <w:jc w:val="center"/>
        </w:trPr>
        <w:tc>
          <w:tcPr>
            <w:tcW w:w="1413" w:type="dxa"/>
            <w:vMerge/>
            <w:vAlign w:val="center"/>
          </w:tcPr>
          <w:p w:rsidR="00AE0549" w:rsidRPr="00A604A3" w:rsidRDefault="00AE0549" w:rsidP="00470885">
            <w:pPr>
              <w:spacing w:before="0"/>
              <w:jc w:val="center"/>
              <w:rPr>
                <w:color w:val="000000" w:themeColor="text1"/>
                <w:sz w:val="22"/>
                <w:szCs w:val="22"/>
              </w:rPr>
            </w:pPr>
          </w:p>
        </w:tc>
        <w:tc>
          <w:tcPr>
            <w:tcW w:w="2126"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FDD FR1</w:t>
            </w:r>
          </w:p>
        </w:tc>
        <w:tc>
          <w:tcPr>
            <w:tcW w:w="2126"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FR1</w:t>
            </w:r>
          </w:p>
        </w:tc>
        <w:tc>
          <w:tcPr>
            <w:tcW w:w="1985"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FR2</w:t>
            </w:r>
          </w:p>
        </w:tc>
        <w:tc>
          <w:tcPr>
            <w:tcW w:w="1701" w:type="dxa"/>
            <w:vMerge/>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16</w:t>
            </w:r>
          </w:p>
        </w:tc>
        <w:tc>
          <w:tcPr>
            <w:tcW w:w="1701"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A8163A">
        <w:trPr>
          <w:jc w:val="center"/>
        </w:trPr>
        <w:tc>
          <w:tcPr>
            <w:tcW w:w="1413" w:type="dxa"/>
            <w:vAlign w:val="center"/>
          </w:tcPr>
          <w:p w:rsidR="00AE0549" w:rsidRPr="00A604A3" w:rsidRDefault="006853C6" w:rsidP="00470885">
            <w:pPr>
              <w:spacing w:before="0"/>
              <w:jc w:val="center"/>
              <w:rPr>
                <w:color w:val="000000" w:themeColor="text1"/>
                <w:sz w:val="20"/>
              </w:rPr>
            </w:pPr>
            <w:r>
              <w:rPr>
                <w:position w:val="-12"/>
                <w:lang w:eastAsia="zh-CN"/>
              </w:rPr>
              <w:pict>
                <v:shape id="_x0000_i1047" type="#_x0000_t75" style="width:21.25pt;height:21.25pt">
                  <v:imagedata r:id="rId41" o:title=""/>
                </v:shape>
              </w:pic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0.7643</w:t>
            </w:r>
          </w:p>
        </w:tc>
        <w:tc>
          <w:tcPr>
            <w:tcW w:w="1985"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0.7643</w:t>
            </w:r>
          </w:p>
        </w:tc>
        <w:tc>
          <w:tcPr>
            <w:tcW w:w="1701" w:type="dxa"/>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65CA4ACA" wp14:editId="1CA40798">
                  <wp:extent cx="307340" cy="248920"/>
                  <wp:effectExtent l="0" t="0" r="0" b="0"/>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8 (FR1), 6 (FR2)</w:t>
            </w:r>
          </w:p>
        </w:tc>
        <w:tc>
          <w:tcPr>
            <w:tcW w:w="1701" w:type="dxa"/>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2</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tc>
      </w:tr>
      <w:tr w:rsidR="00AE0549" w:rsidRPr="00A604A3" w:rsidTr="00A8163A">
        <w:trPr>
          <w:jc w:val="center"/>
        </w:trPr>
        <w:tc>
          <w:tcPr>
            <w:tcW w:w="1413" w:type="dxa"/>
            <w:vAlign w:val="center"/>
          </w:tcPr>
          <w:p w:rsidR="00AE0549" w:rsidRPr="00A604A3" w:rsidRDefault="00AE0549" w:rsidP="00470885">
            <w:pPr>
              <w:jc w:val="center"/>
              <w:rPr>
                <w:sz w:val="20"/>
              </w:rPr>
            </w:pPr>
            <w:r w:rsidRPr="00A604A3">
              <w:rPr>
                <w:sz w:val="20"/>
              </w:rPr>
              <w:t>Scaling factor of modulation</w:t>
            </w:r>
          </w:p>
          <w:p w:rsidR="00AE0549" w:rsidRPr="00A604A3" w:rsidRDefault="006853C6" w:rsidP="00470885">
            <w:pPr>
              <w:spacing w:before="0"/>
              <w:jc w:val="center"/>
              <w:rPr>
                <w:color w:val="000000" w:themeColor="text1"/>
                <w:sz w:val="20"/>
              </w:rPr>
            </w:pPr>
            <w:r>
              <w:rPr>
                <w:rFonts w:ascii="Arial" w:hAnsi="Arial" w:cs="Arial"/>
                <w:position w:val="-12"/>
                <w:sz w:val="20"/>
                <w:szCs w:val="18"/>
              </w:rPr>
              <w:pict>
                <v:shape id="_x0000_i1048" type="#_x0000_t75" style="width:21.25pt;height:21.25pt">
                  <v:imagedata r:id="rId43"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color w:val="000000" w:themeColor="text1"/>
                <w:lang w:eastAsia="fr-FR"/>
              </w:rPr>
              <w:t>984/1024 = 0.9258</w:t>
            </w:r>
          </w:p>
        </w:tc>
        <w:tc>
          <w:tcPr>
            <w:tcW w:w="1701"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CR</w:t>
            </w:r>
          </w:p>
        </w:tc>
      </w:tr>
      <w:tr w:rsidR="00AE0549" w:rsidRPr="00A604A3" w:rsidTr="00A8163A">
        <w:trPr>
          <w:jc w:val="center"/>
        </w:trPr>
        <w:tc>
          <w:tcPr>
            <w:tcW w:w="1413" w:type="dxa"/>
            <w:vAlign w:val="center"/>
          </w:tcPr>
          <w:p w:rsidR="00AE0549" w:rsidRPr="00A604A3" w:rsidRDefault="006853C6" w:rsidP="00470885">
            <w:pPr>
              <w:spacing w:before="0"/>
              <w:jc w:val="center"/>
              <w:rPr>
                <w:color w:val="000000" w:themeColor="text1"/>
                <w:sz w:val="20"/>
              </w:rPr>
            </w:pPr>
            <w:r>
              <w:rPr>
                <w:rFonts w:ascii="Arial" w:hAnsi="Arial" w:cs="Arial"/>
                <w:position w:val="-10"/>
                <w:sz w:val="18"/>
                <w:szCs w:val="18"/>
              </w:rPr>
              <w:pict>
                <v:shape id="_x0000_i1049" type="#_x0000_t75" style="width:14.75pt;height:14.75pt">
                  <v:imagedata r:id="rId44"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0,1,2,3</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According to [10]</w:t>
            </w:r>
          </w:p>
        </w:tc>
      </w:tr>
      <w:tr w:rsidR="00AE0549" w:rsidRPr="00A604A3" w:rsidTr="00A8163A">
        <w:trPr>
          <w:jc w:val="center"/>
        </w:trPr>
        <w:tc>
          <w:tcPr>
            <w:tcW w:w="1413" w:type="dxa"/>
            <w:vAlign w:val="center"/>
          </w:tcPr>
          <w:p w:rsidR="00AE0549" w:rsidRPr="00A604A3" w:rsidRDefault="006853C6" w:rsidP="00470885">
            <w:pPr>
              <w:spacing w:before="0"/>
              <w:jc w:val="center"/>
              <w:rPr>
                <w:rFonts w:ascii="Arial" w:hAnsi="Arial" w:cs="Arial"/>
                <w:sz w:val="18"/>
                <w:szCs w:val="18"/>
              </w:rPr>
            </w:pPr>
            <w:r>
              <w:rPr>
                <w:rFonts w:ascii="Arial" w:hAnsi="Arial" w:cs="Arial"/>
                <w:position w:val="-12"/>
                <w:sz w:val="18"/>
                <w:szCs w:val="18"/>
              </w:rPr>
              <w:pict>
                <v:shape id="_x0000_i1050" type="#_x0000_t75" style="width:14.75pt;height:21.25pt">
                  <v:imagedata r:id="rId45"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rFonts w:ascii="Arial" w:hAnsi="Arial" w:cs="Arial"/>
                <w:noProof/>
                <w:position w:val="-22"/>
                <w:sz w:val="18"/>
                <w:szCs w:val="18"/>
                <w:lang w:eastAsia="zh-CN"/>
              </w:rPr>
              <w:drawing>
                <wp:inline distT="0" distB="0" distL="0" distR="0" wp14:anchorId="5BC40E63" wp14:editId="0B68C056">
                  <wp:extent cx="702310" cy="358140"/>
                  <wp:effectExtent l="0" t="0" r="0" b="3810"/>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numerology.</w:t>
            </w:r>
          </w:p>
        </w:tc>
      </w:tr>
      <w:tr w:rsidR="00AE0549" w:rsidRPr="00A604A3" w:rsidTr="00A8163A">
        <w:trPr>
          <w:jc w:val="center"/>
        </w:trPr>
        <w:tc>
          <w:tcPr>
            <w:tcW w:w="1413" w:type="dxa"/>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4252" w:type="dxa"/>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- 270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- 135 for BW 100 MHz, SCS 60 kHz</w:t>
            </w:r>
          </w:p>
        </w:tc>
        <w:tc>
          <w:tcPr>
            <w:tcW w:w="1985" w:type="dxa"/>
            <w:vAlign w:val="center"/>
          </w:tcPr>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400 MHz, SCS 120 kHz</w:t>
            </w:r>
          </w:p>
          <w:p w:rsidR="00AE0549" w:rsidRPr="00A604A3" w:rsidRDefault="00AE0549" w:rsidP="00470885">
            <w:pPr>
              <w:pStyle w:val="Tabletext"/>
              <w:tabs>
                <w:tab w:val="clear" w:pos="1985"/>
              </w:tabs>
              <w:spacing w:before="0"/>
              <w:jc w:val="center"/>
              <w:rPr>
                <w:color w:val="000000" w:themeColor="text1"/>
                <w:lang w:eastAsia="zh-CN"/>
              </w:rPr>
            </w:pP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w:t>
            </w:r>
            <w:r w:rsidRPr="00A604A3">
              <w:rPr>
                <w:rFonts w:eastAsia="SimSun"/>
              </w:rPr>
              <w:t>9]</w:t>
            </w:r>
            <w:r w:rsidRPr="00A604A3">
              <w:rPr>
                <w:color w:val="000000" w:themeColor="text1"/>
                <w:lang w:eastAsia="zh-CN"/>
              </w:rPr>
              <w:t xml:space="preserve"> and the numerology.</w:t>
            </w:r>
          </w:p>
        </w:tc>
      </w:tr>
      <w:tr w:rsidR="00AE0549" w:rsidRPr="00A604A3" w:rsidTr="00A8163A">
        <w:trPr>
          <w:jc w:val="center"/>
        </w:trPr>
        <w:tc>
          <w:tcPr>
            <w:tcW w:w="1413" w:type="dxa"/>
            <w:vAlign w:val="center"/>
          </w:tcPr>
          <w:p w:rsidR="00AE0549" w:rsidRPr="00A604A3" w:rsidRDefault="006853C6" w:rsidP="00470885">
            <w:pPr>
              <w:spacing w:before="0"/>
              <w:jc w:val="center"/>
              <w:rPr>
                <w:rFonts w:ascii="Arial" w:hAnsi="Arial" w:cs="Arial"/>
                <w:sz w:val="18"/>
                <w:szCs w:val="18"/>
              </w:rPr>
            </w:pPr>
            <w:r>
              <w:rPr>
                <w:rFonts w:ascii="Arial" w:hAnsi="Arial" w:cs="Arial"/>
                <w:position w:val="-6"/>
                <w:sz w:val="18"/>
                <w:szCs w:val="18"/>
              </w:rPr>
              <w:pict>
                <v:shape id="_x0000_i1051" type="#_x0000_t75" style="width:28.15pt;height:14.75pt">
                  <v:imagedata r:id="rId46" o:title=""/>
                </v:shape>
              </w:pic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- 0.1037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- 0.1036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- 0.1076 for BW 100 MHz, SCS 60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- 0.1192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- 0.1193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- 0.1235 for BW 100 MHz, SCS 60 kHz</w:t>
            </w:r>
          </w:p>
        </w:tc>
        <w:tc>
          <w:tcPr>
            <w:tcW w:w="1985" w:type="dxa"/>
            <w:vAlign w:val="center"/>
          </w:tcPr>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- 0.1855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- 0.1827 for BW 400 MHz, SCS 120 kHz</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3</w:t>
            </w:r>
          </w:p>
        </w:tc>
      </w:tr>
      <w:tr w:rsidR="00AE0549" w:rsidRPr="005B0BBA" w:rsidTr="00A8163A">
        <w:trPr>
          <w:jc w:val="center"/>
        </w:trPr>
        <w:tc>
          <w:tcPr>
            <w:tcW w:w="9351" w:type="dxa"/>
            <w:gridSpan w:val="5"/>
            <w:vAlign w:val="center"/>
          </w:tcPr>
          <w:p w:rsidR="00AE0549" w:rsidRPr="005B0BBA" w:rsidRDefault="00AE0549" w:rsidP="005B0BBA">
            <w:pPr>
              <w:pStyle w:val="Tablelegend"/>
              <w:rPr>
                <w:b/>
                <w:bCs/>
                <w:lang w:eastAsia="zh-CN"/>
              </w:rPr>
            </w:pPr>
            <w:r w:rsidRPr="005B0BBA">
              <w:rPr>
                <w:b/>
                <w:bCs/>
                <w:lang w:eastAsia="zh-CN"/>
              </w:rPr>
              <w:t>Note 1: FDD/TDD Frame Structure</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For FDD DL, all subframes, slots and OFDM symbols in the 5G NR frame are assigned to DL transmissions.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 xml:space="preserve">For TDD DL, frame structure: DDDSUDDDSU (6D: Downlink, 2U: Uplink, 2S: Mixed Downlink and Uplink) and SFI = 31 with a slot structure allocating 14 OFDM symbols as: 11 DL, 1 GP and 2 UL. Half of the GP symbols are considered as DL resources. </w:t>
            </w:r>
          </w:p>
          <w:p w:rsidR="00AE0549" w:rsidRPr="005B0BBA" w:rsidRDefault="00AE0549" w:rsidP="005B0BBA">
            <w:pPr>
              <w:pStyle w:val="Tablelegend"/>
              <w:rPr>
                <w:b/>
                <w:bCs/>
                <w:lang w:eastAsia="zh-CN"/>
              </w:rPr>
            </w:pPr>
            <w:r w:rsidRPr="005B0BBA">
              <w:rPr>
                <w:b/>
                <w:bCs/>
                <w:lang w:eastAsia="zh-CN"/>
              </w:rPr>
              <w:t>Note 2: Maximum number of layers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In FR1, the maximum number of layers is equal to the maximum value allowed for DL, i.e. 8 layers.</w:t>
            </w:r>
          </w:p>
          <w:p w:rsidR="00AE0549" w:rsidRPr="005B0BBA" w:rsidRDefault="005B0BBA" w:rsidP="005B0BBA">
            <w:pPr>
              <w:pStyle w:val="Tablelegend"/>
              <w:ind w:left="284" w:hanging="284"/>
              <w:rPr>
                <w:lang w:eastAsia="zh-CN"/>
              </w:rPr>
            </w:pPr>
            <w:r>
              <w:rPr>
                <w:lang w:eastAsia="zh-CN"/>
              </w:rPr>
              <w:lastRenderedPageBreak/>
              <w:t>–</w:t>
            </w:r>
            <w:r>
              <w:rPr>
                <w:lang w:eastAsia="zh-CN"/>
              </w:rPr>
              <w:tab/>
            </w:r>
            <w:r w:rsidR="00AE0549" w:rsidRPr="005B0BBA">
              <w:rPr>
                <w:lang w:eastAsia="zh-CN"/>
              </w:rPr>
              <w:t xml:space="preserve">In FR2, the maximum number of layers is set to 6 since 8 layers cannot be configured due to complexity issues related to the operation in high frequency bands. </w:t>
            </w:r>
          </w:p>
          <w:p w:rsidR="00AE0549" w:rsidRPr="005B0BBA" w:rsidRDefault="00AE0549" w:rsidP="005B0BBA">
            <w:pPr>
              <w:pStyle w:val="Tablelegend"/>
              <w:rPr>
                <w:b/>
                <w:bCs/>
                <w:lang w:eastAsia="zh-CN"/>
              </w:rPr>
            </w:pPr>
            <w:r w:rsidRPr="005B0BBA">
              <w:rPr>
                <w:b/>
                <w:bCs/>
                <w:lang w:eastAsia="zh-CN"/>
              </w:rPr>
              <w:t>Note 3: Overhead Assumptions</w:t>
            </w:r>
          </w:p>
          <w:p w:rsidR="00AE0549" w:rsidRPr="005B0BBA" w:rsidRDefault="005B0BBA" w:rsidP="005B0BBA">
            <w:pPr>
              <w:pStyle w:val="Tablelegend"/>
              <w:rPr>
                <w:lang w:eastAsia="zh-CN"/>
              </w:rPr>
            </w:pPr>
            <w:r>
              <w:rPr>
                <w:lang w:eastAsia="zh-CN"/>
              </w:rPr>
              <w:t>–</w:t>
            </w:r>
            <w:r>
              <w:rPr>
                <w:lang w:eastAsia="zh-CN"/>
              </w:rPr>
              <w:tab/>
            </w:r>
            <w:r w:rsidR="00AE0549" w:rsidRPr="005B0BBA">
              <w:rPr>
                <w:lang w:eastAsia="zh-CN"/>
              </w:rPr>
              <w:t>For FDD FR1:</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10 subframes with 14 OFDM symbols per slot assigned to DL transmissions.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1 block transmitted each 20 slots. Each block is composed of 240 subcarriers x 4 OFDM symbols.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2 CCEs (12 RB) in all subframes with DL content (All the subframes).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PDSCH:</w:t>
            </w:r>
            <w:r w:rsidR="00AE0549" w:rsidRPr="005B0BBA">
              <w:rPr>
                <w:lang w:eastAsia="zh-CN"/>
              </w:rPr>
              <w:t xml:space="preserve"> </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16 RE/RB/slot in all RBs in all slots in all subframes.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5B0BBA" w:rsidP="005B0BBA">
            <w:pPr>
              <w:pStyle w:val="Tablelegend"/>
              <w:rPr>
                <w:lang w:eastAsia="zh-CN"/>
              </w:rPr>
            </w:pPr>
            <w:r>
              <w:rPr>
                <w:lang w:eastAsia="zh-CN"/>
              </w:rPr>
              <w:t>–</w:t>
            </w:r>
            <w:r>
              <w:rPr>
                <w:lang w:eastAsia="zh-CN"/>
              </w:rPr>
              <w:tab/>
            </w:r>
            <w:r w:rsidR="00AE0549" w:rsidRPr="005B0BBA">
              <w:rPr>
                <w:lang w:eastAsia="zh-CN"/>
              </w:rPr>
              <w:t>For TDD FR1:</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6 DL subframes with 14 OFDM symbols per slot, 1 Mixed subframe with 12 OFDM symbols (11 DL and 1 GP) per slot and 1 Mixed subframe with 12 OFDM symbols (11 DL) assigned to DL transmissions.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GP:</w:t>
            </w:r>
            <w:r w:rsidR="00AE0549" w:rsidRPr="005B0BBA">
              <w:rPr>
                <w:lang w:eastAsia="zh-CN"/>
              </w:rPr>
              <w:t xml:space="preserve"> 1 OFDM symbol in each slot in 1 Mixed UL/DL subframe.</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1 block transmitted each 20 slots. Each block is composed of 240 subcarriers x 4 OFDM symbols.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2 CCEs (12 RB) in all subframes with DL content (8 out of 10 subframes).</w:t>
            </w:r>
          </w:p>
          <w:p w:rsidR="00AE0549" w:rsidRPr="00CA7832" w:rsidRDefault="00CA7832" w:rsidP="00CA7832">
            <w:pPr>
              <w:pStyle w:val="Tablelegend"/>
              <w:ind w:left="567" w:hanging="567"/>
              <w:rPr>
                <w:b/>
                <w:bCs/>
                <w:lang w:eastAsia="zh-CN"/>
              </w:rPr>
            </w:pPr>
            <w:r>
              <w:rPr>
                <w:lang w:eastAsia="zh-CN"/>
              </w:rPr>
              <w:tab/>
              <w:t>•</w:t>
            </w:r>
            <w:r>
              <w:rPr>
                <w:lang w:eastAsia="zh-CN"/>
              </w:rPr>
              <w:tab/>
            </w:r>
            <w:r w:rsidR="00AE0549" w:rsidRPr="00CA7832">
              <w:rPr>
                <w:b/>
                <w:bCs/>
                <w:lang w:eastAsia="zh-CN"/>
              </w:rPr>
              <w:t xml:space="preserve">PDSCH: </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16 RE/RB/slot in all RBs in all slots in 8 out of 10 subframes.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5B0BBA" w:rsidP="00CA7832">
            <w:pPr>
              <w:pStyle w:val="Tablelegend"/>
              <w:ind w:left="284" w:hanging="284"/>
              <w:rPr>
                <w:lang w:eastAsia="zh-CN"/>
              </w:rPr>
            </w:pPr>
            <w:r>
              <w:rPr>
                <w:lang w:eastAsia="zh-CN"/>
              </w:rPr>
              <w:t>–</w:t>
            </w:r>
            <w:r>
              <w:rPr>
                <w:lang w:eastAsia="zh-CN"/>
              </w:rPr>
              <w:tab/>
            </w:r>
            <w:r w:rsidR="00AE0549" w:rsidRPr="005B0BBA">
              <w:rPr>
                <w:lang w:eastAsia="zh-CN"/>
              </w:rPr>
              <w:t>For TDD FR2:</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6 DL subframes with 14 OFDM symbols per slot, 1 Mixed subframe with 12 OFDM symbols (11 DL and 1 GP) per slot and 1 Mixed subframe with 12 OFDM symbols (11 DL) assigned to DL transmissions.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GP:</w:t>
            </w:r>
            <w:r w:rsidR="00AE0549" w:rsidRPr="005B0BBA">
              <w:rPr>
                <w:lang w:eastAsia="zh-CN"/>
              </w:rPr>
              <w:t xml:space="preserve"> 1 OFDM symbol in each slot in 1 Mixed UL/DL subframe.</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8 blocks transmitted each 20 slots. Each block 240 subcarriers x 4 OFDM symbols.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4 CCEs (24 RB) in all subframes with DL content (8 out of 10 subframes).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PDSCH:</w:t>
            </w:r>
            <w:r w:rsidR="00AE0549" w:rsidRPr="005B0BBA">
              <w:rPr>
                <w:lang w:eastAsia="zh-CN"/>
              </w:rPr>
              <w:t xml:space="preserve"> </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12 RE/RB/slot in all RBs in all slots in 8 out of 10 subframes.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PT-RS: 4 RB in 1 OFDM symbol in all slots in 8 out of 10 subframes.</w:t>
            </w:r>
          </w:p>
        </w:tc>
      </w:tr>
    </w:tbl>
    <w:p w:rsidR="00AE0549" w:rsidRPr="00A604A3" w:rsidRDefault="00AE0549" w:rsidP="00CA7832">
      <w:pPr>
        <w:pStyle w:val="Tablefin"/>
      </w:pPr>
    </w:p>
    <w:p w:rsidR="00AE0549" w:rsidRPr="00A604A3" w:rsidRDefault="00AE0549" w:rsidP="00CA7832">
      <w:pPr>
        <w:pStyle w:val="Headingb"/>
        <w:spacing w:after="120"/>
      </w:pPr>
      <w:r w:rsidRPr="00A604A3">
        <w:t>5G NR Uplink</w:t>
      </w:r>
    </w:p>
    <w:tbl>
      <w:tblPr>
        <w:tblW w:w="5000" w:type="pct"/>
        <w:jc w:val="center"/>
        <w:tblCellMar>
          <w:left w:w="28" w:type="dxa"/>
          <w:right w:w="28" w:type="dxa"/>
        </w:tblCellMar>
        <w:tblLook w:val="04A0" w:firstRow="1" w:lastRow="0" w:firstColumn="1" w:lastColumn="0" w:noHBand="0" w:noVBand="1"/>
      </w:tblPr>
      <w:tblGrid>
        <w:gridCol w:w="1455"/>
        <w:gridCol w:w="2190"/>
        <w:gridCol w:w="2043"/>
        <w:gridCol w:w="2190"/>
        <w:gridCol w:w="1751"/>
      </w:tblGrid>
      <w:tr w:rsidR="00AE0549" w:rsidRPr="00A604A3" w:rsidTr="00CA7832">
        <w:trPr>
          <w:jc w:val="center"/>
        </w:trPr>
        <w:tc>
          <w:tcPr>
            <w:tcW w:w="756"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rPr>
              <w:t>Parameters</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Uplink Configuration</w:t>
            </w:r>
          </w:p>
        </w:tc>
        <w:tc>
          <w:tcPr>
            <w:tcW w:w="910"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Details</w:t>
            </w:r>
          </w:p>
        </w:tc>
      </w:tr>
      <w:tr w:rsidR="00AE0549" w:rsidRPr="00A604A3" w:rsidTr="00CA7832">
        <w:trPr>
          <w:jc w:val="center"/>
        </w:trPr>
        <w:tc>
          <w:tcPr>
            <w:tcW w:w="756"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2"/>
                <w:szCs w:val="22"/>
              </w:rPr>
            </w:pP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FDD FR1</w:t>
            </w: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FR1</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FR2</w:t>
            </w:r>
          </w:p>
        </w:tc>
        <w:tc>
          <w:tcPr>
            <w:tcW w:w="910"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16</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color w:val="000000" w:themeColor="text1"/>
                <w:sz w:val="20"/>
              </w:rPr>
            </w:pPr>
            <m:oMathPara>
              <m:oMath>
                <m:sSubSup>
                  <m:sSubSupPr>
                    <m:ctrlPr>
                      <w:rPr>
                        <w:rFonts w:ascii="Cambria Math" w:hAnsi="Cambria Math"/>
                        <w:i/>
                        <w:sz w:val="22"/>
                        <w:lang w:eastAsia="zh-CN"/>
                      </w:rPr>
                    </m:ctrlPr>
                  </m:sSubSupPr>
                  <m:e>
                    <m:r>
                      <w:rPr>
                        <w:rFonts w:ascii="Cambria Math" w:hAnsi="Cambria Math"/>
                        <w:sz w:val="22"/>
                        <w:lang w:eastAsia="zh-CN"/>
                      </w:rPr>
                      <m:t>α</m:t>
                    </m:r>
                  </m:e>
                  <m:sub>
                    <m:r>
                      <w:rPr>
                        <w:rFonts w:ascii="Cambria Math" w:hAnsi="Cambria Math"/>
                        <w:sz w:val="22"/>
                        <w:lang w:eastAsia="zh-CN"/>
                      </w:rPr>
                      <m:t>UL</m:t>
                    </m:r>
                  </m:sub>
                  <m:sup>
                    <m:r>
                      <w:rPr>
                        <w:rFonts w:ascii="Cambria Math" w:hAnsi="Cambria Math"/>
                        <w:sz w:val="22"/>
                        <w:lang w:eastAsia="zh-CN"/>
                      </w:rPr>
                      <m:t>(j)</m:t>
                    </m:r>
                  </m:sup>
                </m:sSubSup>
              </m:oMath>
            </m:oMathPara>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0.6375</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0.6375</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4CA76AF3" wp14:editId="4DBEBF99">
                  <wp:extent cx="307340" cy="248920"/>
                  <wp:effectExtent l="0" t="0" r="0" b="0"/>
                  <wp:docPr id="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4</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UL</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widowControl w:val="0"/>
              <w:jc w:val="center"/>
              <w:rPr>
                <w:sz w:val="20"/>
              </w:rPr>
            </w:pPr>
            <w:r w:rsidRPr="00A604A3">
              <w:rPr>
                <w:sz w:val="20"/>
              </w:rPr>
              <w:t>Scaling factor of modulation</w:t>
            </w:r>
          </w:p>
          <w:p w:rsidR="00AE0549" w:rsidRPr="00A604A3" w:rsidRDefault="006853C6" w:rsidP="00470885">
            <w:pPr>
              <w:spacing w:before="0"/>
              <w:jc w:val="center"/>
              <w:rPr>
                <w:color w:val="000000" w:themeColor="text1"/>
                <w:sz w:val="20"/>
              </w:rPr>
            </w:pPr>
            <w:r>
              <w:rPr>
                <w:rFonts w:ascii="Arial" w:hAnsi="Arial" w:cs="Arial"/>
                <w:position w:val="-12"/>
                <w:sz w:val="20"/>
                <w:szCs w:val="18"/>
              </w:rPr>
              <w:pict>
                <v:shape id="_x0000_i1052" type="#_x0000_t75" style="width:21.25pt;height:21.25pt">
                  <v:imagedata r:id="rId43"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lastRenderedPageBreak/>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color w:val="000000" w:themeColor="text1"/>
                <w:lang w:eastAsia="fr-FR"/>
              </w:rPr>
              <w:t>984/1024 = 0.9258</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CR</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color w:val="000000" w:themeColor="text1"/>
                <w:sz w:val="20"/>
              </w:rPr>
            </w:pPr>
            <w:r>
              <w:rPr>
                <w:rFonts w:ascii="Arial" w:hAnsi="Arial" w:cs="Arial"/>
                <w:position w:val="-10"/>
                <w:sz w:val="18"/>
                <w:szCs w:val="18"/>
              </w:rPr>
              <w:pict>
                <v:shape id="_x0000_i1053" type="#_x0000_t75" style="width:14.75pt;height:14.75pt">
                  <v:imagedata r:id="rId44"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0,1,2,3</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According to [10]</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rFonts w:ascii="Arial" w:hAnsi="Arial" w:cs="Arial"/>
                <w:sz w:val="18"/>
                <w:szCs w:val="18"/>
              </w:rPr>
            </w:pPr>
            <w:r>
              <w:rPr>
                <w:rFonts w:ascii="Arial" w:hAnsi="Arial" w:cs="Arial"/>
                <w:position w:val="-12"/>
                <w:sz w:val="18"/>
                <w:szCs w:val="18"/>
              </w:rPr>
              <w:pict>
                <v:shape id="_x0000_i1054" type="#_x0000_t75" style="width:14.75pt;height:21.25pt">
                  <v:imagedata r:id="rId45"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rFonts w:ascii="Arial" w:hAnsi="Arial" w:cs="Arial"/>
                <w:noProof/>
                <w:position w:val="-22"/>
                <w:sz w:val="18"/>
                <w:szCs w:val="18"/>
                <w:lang w:eastAsia="zh-CN"/>
              </w:rPr>
              <w:drawing>
                <wp:inline distT="0" distB="0" distL="0" distR="0" wp14:anchorId="29C929D3" wp14:editId="255643F1">
                  <wp:extent cx="702310" cy="358140"/>
                  <wp:effectExtent l="0" t="0" r="0" b="3810"/>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numerology.</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198"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- 270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- 135 for BW 100 MHz, SCS 60 kHz</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400 MHz, SCS 120 kHz</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w:t>
            </w:r>
            <w:r w:rsidRPr="00A604A3">
              <w:rPr>
                <w:rFonts w:eastAsia="SimSun"/>
              </w:rPr>
              <w:t>9]</w:t>
            </w:r>
            <w:r w:rsidRPr="00A604A3">
              <w:rPr>
                <w:color w:val="000000" w:themeColor="text1"/>
                <w:lang w:eastAsia="zh-CN"/>
              </w:rPr>
              <w:t xml:space="preserve"> and the numerology.</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rFonts w:ascii="Arial" w:hAnsi="Arial" w:cs="Arial"/>
                <w:sz w:val="18"/>
                <w:szCs w:val="18"/>
              </w:rPr>
            </w:pPr>
            <w:r>
              <w:rPr>
                <w:rFonts w:ascii="Arial" w:hAnsi="Arial" w:cs="Arial"/>
                <w:position w:val="-6"/>
                <w:sz w:val="18"/>
                <w:szCs w:val="18"/>
              </w:rPr>
              <w:pict>
                <v:shape id="_x0000_i1055" type="#_x0000_t75" style="width:28.15pt;height:14.75pt">
                  <v:imagedata r:id="rId46" o:title=""/>
                </v:shape>
              </w:pic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- 0.0834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- 0.0815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-0.0826 for BW 100 MHz, SCS 60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- 0.1194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- 0.1163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lang w:eastAsia="zh-CN"/>
              </w:rPr>
              <w:t>- 0.1174 for BW 100 MHz, SCS 60 kHz</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1985"/>
              </w:tabs>
              <w:spacing w:before="0"/>
              <w:jc w:val="center"/>
              <w:rPr>
                <w:lang w:eastAsia="zh-CN"/>
              </w:rPr>
            </w:pPr>
            <w:r w:rsidRPr="00A604A3">
              <w:rPr>
                <w:lang w:eastAsia="zh-CN"/>
              </w:rPr>
              <w:t>- 0.1163 for BW 200 MHz, SCS 60 kHz</w:t>
            </w:r>
          </w:p>
          <w:p w:rsidR="00AE0549" w:rsidRPr="00A604A3" w:rsidRDefault="00AE0549" w:rsidP="00470885">
            <w:pPr>
              <w:pStyle w:val="Tabletext"/>
              <w:tabs>
                <w:tab w:val="clear" w:pos="1985"/>
              </w:tabs>
              <w:spacing w:before="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lang w:eastAsia="zh-CN"/>
              </w:rPr>
              <w:t>- 0.1155 for BW 400 MHz, SCS 120 kHz</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CA7832">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AE0549" w:rsidRPr="00A604A3" w:rsidRDefault="00AE0549" w:rsidP="00CA7832">
            <w:pPr>
              <w:pStyle w:val="Tablelegend"/>
              <w:rPr>
                <w:b/>
                <w:lang w:eastAsia="zh-CN"/>
              </w:rPr>
            </w:pPr>
            <w:r w:rsidRPr="00A604A3">
              <w:rPr>
                <w:b/>
                <w:lang w:eastAsia="zh-CN"/>
              </w:rPr>
              <w:t>Note 1: FDD/TDD Frame Structure</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FDD UL, all subframes, slots and OFDM symbols in the 5G NR frame are assigned to UL transmissions.</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TDD UL, frame structure: UUUSDUUUSD (6U: Uplink, 2D: Downlink, 2S: Mixed Downlink and Uplink) and SFI = 31 with a slot structure allocating 14 OFDM symbols as: 11 DL, 1 GP and 2 UL.</w:t>
            </w:r>
          </w:p>
          <w:p w:rsidR="00AE0549" w:rsidRPr="00A604A3" w:rsidRDefault="00AE0549" w:rsidP="00CA7832">
            <w:pPr>
              <w:pStyle w:val="Tablelegend"/>
              <w:rPr>
                <w:b/>
                <w:lang w:eastAsia="zh-CN"/>
              </w:rPr>
            </w:pPr>
            <w:r w:rsidRPr="00A604A3">
              <w:rPr>
                <w:b/>
                <w:lang w:eastAsia="zh-CN"/>
              </w:rPr>
              <w:t>Note 2: Overhead Assumptions</w:t>
            </w:r>
          </w:p>
          <w:p w:rsidR="00AE0549" w:rsidRPr="00A604A3" w:rsidRDefault="00CA7832" w:rsidP="00CA7832">
            <w:pPr>
              <w:pStyle w:val="Tablelegend"/>
              <w:rPr>
                <w:lang w:eastAsia="zh-CN"/>
              </w:rPr>
            </w:pPr>
            <w:r>
              <w:rPr>
                <w:lang w:eastAsia="zh-CN"/>
              </w:rPr>
              <w:t>–</w:t>
            </w:r>
            <w:r>
              <w:rPr>
                <w:lang w:eastAsia="zh-CN"/>
              </w:rPr>
              <w:tab/>
            </w:r>
            <w:r w:rsidR="00AE0549" w:rsidRPr="00A604A3">
              <w:rPr>
                <w:lang w:eastAsia="zh-CN"/>
              </w:rPr>
              <w:t>For FDD FR1:</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where all slots convey 14 OFDM symbols for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each slot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4 OFDM Symbols in each slot in all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12 RE/RB/slot in all RBs in all slots in all subframes.</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TDD FR1:</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UL subframes with 14 OFDM symbols per slot, 1 Mixed subframes with 2 OFDM symbols per slot assigned to UL transmissions, and 1 Mixed subframe with 3 OFDM symbols per slot assigned to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2 OFDM symbols in each slot in 6 out of 10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12 RE/RB/slot in all RBs in all slots in all subframes.</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rPr>
                <w:lang w:eastAsia="zh-CN"/>
              </w:rPr>
            </w:pPr>
            <w:r>
              <w:rPr>
                <w:lang w:eastAsia="zh-CN"/>
              </w:rPr>
              <w:t>–</w:t>
            </w:r>
            <w:r>
              <w:rPr>
                <w:lang w:eastAsia="zh-CN"/>
              </w:rPr>
              <w:tab/>
            </w:r>
            <w:r w:rsidR="00AE0549" w:rsidRPr="00A604A3">
              <w:rPr>
                <w:lang w:eastAsia="zh-CN"/>
              </w:rPr>
              <w:t>For TDD FR2:</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UL subframes with 14 OFDM symbols per slot, 1 Mixed subframes with 2 OFDM symbols per slot assigned to UL transmissions, and 1 Mixed subframe with 3 OFDM symbols per slot assigned to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2 OFDM symbols in each slot in 6 out of 10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DMRS: 12 RE/RB/slot in all RBs in all slots in 8 out of 10 subframes.</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PT-RS: 4 RB in 1 OFDM symbol in all slots in 8 out of 10 subframes.</w:t>
            </w:r>
          </w:p>
        </w:tc>
      </w:tr>
    </w:tbl>
    <w:p w:rsidR="00AE0549" w:rsidRPr="00A604A3" w:rsidRDefault="00AE0549" w:rsidP="00267286">
      <w:pPr>
        <w:pStyle w:val="Tablefin"/>
        <w:rPr>
          <w:lang w:eastAsia="zh-CN"/>
        </w:rPr>
      </w:pPr>
    </w:p>
    <w:p w:rsidR="00AE0549" w:rsidRPr="00A604A3" w:rsidRDefault="00AE0549" w:rsidP="00267286">
      <w:pPr>
        <w:pStyle w:val="Headingb"/>
        <w:spacing w:after="120"/>
      </w:pPr>
      <w:r w:rsidRPr="00A604A3">
        <w:lastRenderedPageBreak/>
        <w:t>LTE Downlink</w:t>
      </w:r>
    </w:p>
    <w:tbl>
      <w:tblPr>
        <w:tblW w:w="5000" w:type="pct"/>
        <w:jc w:val="center"/>
        <w:tblLayout w:type="fixed"/>
        <w:tblCellMar>
          <w:left w:w="28" w:type="dxa"/>
          <w:right w:w="28" w:type="dxa"/>
        </w:tblCellMar>
        <w:tblLook w:val="04A0" w:firstRow="1" w:lastRow="0" w:firstColumn="1" w:lastColumn="0" w:noHBand="0" w:noVBand="1"/>
      </w:tblPr>
      <w:tblGrid>
        <w:gridCol w:w="1894"/>
        <w:gridCol w:w="2482"/>
        <w:gridCol w:w="2773"/>
        <w:gridCol w:w="2480"/>
      </w:tblGrid>
      <w:tr w:rsidR="00AE0549" w:rsidRPr="00A604A3" w:rsidTr="00267286">
        <w:trPr>
          <w:jc w:val="center"/>
        </w:trPr>
        <w:tc>
          <w:tcPr>
            <w:tcW w:w="983"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t>Parameters</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rPr>
                <w:lang w:eastAsia="zh-CN"/>
              </w:rPr>
              <w:t>Downlink Configuration</w:t>
            </w:r>
          </w:p>
        </w:tc>
        <w:tc>
          <w:tcPr>
            <w:tcW w:w="1289"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rPr>
                <w:lang w:eastAsia="zh-CN"/>
              </w:rPr>
              <w:t>Details</w:t>
            </w:r>
          </w:p>
        </w:tc>
      </w:tr>
      <w:tr w:rsidR="00AE0549" w:rsidRPr="00A604A3" w:rsidTr="00267286">
        <w:trPr>
          <w:jc w:val="center"/>
        </w:trPr>
        <w:tc>
          <w:tcPr>
            <w:tcW w:w="983"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r w:rsidRPr="00A604A3">
              <w:rPr>
                <w:lang w:eastAsia="zh-CN"/>
              </w:rPr>
              <w:t>FDD</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r w:rsidRPr="00A604A3">
              <w:rPr>
                <w:lang w:eastAsia="zh-CN"/>
              </w:rPr>
              <w:t>TDD</w:t>
            </w:r>
          </w:p>
        </w:tc>
        <w:tc>
          <w:tcPr>
            <w:tcW w:w="1289"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32</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color w:val="000000" w:themeColor="text1"/>
                <w:sz w:val="20"/>
              </w:rPr>
            </w:pPr>
            <w:r>
              <w:rPr>
                <w:position w:val="-12"/>
                <w:lang w:eastAsia="zh-CN"/>
              </w:rPr>
              <w:pict>
                <v:shape id="_x0000_i1056" type="#_x0000_t75" style="width:21.25pt;height:21.25pt">
                  <v:imagedata r:id="rId41" o:title=""/>
                </v:shape>
              </w:pic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0.7429</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7979488B" wp14:editId="3CE0EE17">
                  <wp:extent cx="307340" cy="248920"/>
                  <wp:effectExtent l="0" t="0" r="0" b="0"/>
                  <wp:docPr id="4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8</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DL</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8, 10</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1024 QAM</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jc w:val="center"/>
              <w:rPr>
                <w:sz w:val="20"/>
              </w:rPr>
            </w:pPr>
            <w:r w:rsidRPr="00A604A3">
              <w:rPr>
                <w:sz w:val="20"/>
              </w:rPr>
              <w:t>Scaling factor of modulation</w:t>
            </w:r>
          </w:p>
          <w:p w:rsidR="00AE0549" w:rsidRPr="00A604A3" w:rsidRDefault="006853C6" w:rsidP="00470885">
            <w:pPr>
              <w:spacing w:before="0"/>
              <w:jc w:val="center"/>
              <w:rPr>
                <w:color w:val="000000" w:themeColor="text1"/>
                <w:sz w:val="20"/>
              </w:rPr>
            </w:pPr>
            <w:r>
              <w:rPr>
                <w:rFonts w:ascii="Arial" w:hAnsi="Arial" w:cs="Arial"/>
                <w:position w:val="-12"/>
                <w:sz w:val="20"/>
                <w:szCs w:val="18"/>
              </w:rPr>
              <w:pict>
                <v:shape id="_x0000_i1057" type="#_x0000_t75" style="width:21.25pt;height:21.25pt">
                  <v:imagedata r:id="rId43" o:title=""/>
                </v:shape>
              </w:pic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i/>
                <w:color w:val="000000" w:themeColor="text1"/>
              </w:rPr>
              <w:t>R</w:t>
            </w:r>
            <w:r w:rsidRPr="00A604A3">
              <w:rPr>
                <w:i/>
                <w:color w:val="000000" w:themeColor="text1"/>
                <w:vertAlign w:val="subscript"/>
              </w:rPr>
              <w:t>max</w:t>
            </w:r>
            <w:r w:rsidRPr="00A604A3">
              <w:rPr>
                <w:color w:val="000000" w:themeColor="text1"/>
                <w:lang w:eastAsia="fr-FR"/>
              </w:rPr>
              <w:t xml:space="preserve"> ≤ 0.93</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lang w:eastAsia="fr-FR"/>
              </w:rPr>
              <w:t>Depending on the maximum Transport block size (TBS) defined in [10] and the number of useful data bits.</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Subcarrier Spacing (kHz)</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15</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lang w:eastAsia="zh-CN"/>
              </w:rPr>
              <w:t>According to [10] for unicast subframes</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rFonts w:ascii="Arial" w:hAnsi="Arial" w:cs="Arial"/>
                <w:sz w:val="18"/>
                <w:szCs w:val="18"/>
              </w:rPr>
            </w:pPr>
            <w:r>
              <w:rPr>
                <w:rFonts w:ascii="Arial" w:hAnsi="Arial" w:cs="Arial"/>
                <w:position w:val="-12"/>
                <w:sz w:val="18"/>
                <w:szCs w:val="18"/>
              </w:rPr>
              <w:pict>
                <v:shape id="_x0000_i1058" type="#_x0000_t75" style="width:14.75pt;height:21.25pt">
                  <v:imagedata r:id="rId45" o:title=""/>
                </v:shape>
              </w:pic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m:oMathPara>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s</m:t>
                    </m:r>
                  </m:sub>
                  <m:sup>
                    <m:r>
                      <w:rPr>
                        <w:rFonts w:ascii="Cambria Math" w:hAnsi="Cambria Math"/>
                        <w:color w:val="000000" w:themeColor="text1"/>
                        <w:lang w:eastAsia="zh-CN"/>
                      </w:rPr>
                      <m:t>µ</m:t>
                    </m:r>
                  </m:sup>
                </m:sSubSup>
                <m:r>
                  <w:rPr>
                    <w:rFonts w:ascii="Cambria Math" w:hAnsi="Cambria Math"/>
                    <w:color w:val="000000" w:themeColor="text1"/>
                    <w:lang w:eastAsia="zh-CN"/>
                  </w:rPr>
                  <m:t>=</m:t>
                </m:r>
                <m:f>
                  <m:fPr>
                    <m:ctrlPr>
                      <w:rPr>
                        <w:rFonts w:ascii="Cambria Math" w:hAnsi="Cambria Math"/>
                        <w:i/>
                        <w:color w:val="000000" w:themeColor="text1"/>
                        <w:lang w:eastAsia="zh-CN"/>
                      </w:rPr>
                    </m:ctrlPr>
                  </m:fPr>
                  <m:num>
                    <m:sSup>
                      <m:sSupPr>
                        <m:ctrlPr>
                          <w:rPr>
                            <w:rFonts w:ascii="Cambria Math" w:hAnsi="Cambria Math"/>
                            <w:i/>
                            <w:color w:val="000000" w:themeColor="text1"/>
                            <w:lang w:eastAsia="zh-CN"/>
                          </w:rPr>
                        </m:ctrlPr>
                      </m:sSupPr>
                      <m:e>
                        <m:r>
                          <w:rPr>
                            <w:rFonts w:ascii="Cambria Math" w:hAnsi="Cambria Math"/>
                            <w:color w:val="000000" w:themeColor="text1"/>
                            <w:lang w:eastAsia="zh-CN"/>
                          </w:rPr>
                          <m:t>10</m:t>
                        </m:r>
                      </m:e>
                      <m:sup>
                        <m:r>
                          <w:rPr>
                            <w:rFonts w:ascii="Cambria Math" w:hAnsi="Cambria Math"/>
                            <w:color w:val="000000" w:themeColor="text1"/>
                            <w:lang w:eastAsia="zh-CN"/>
                          </w:rPr>
                          <m:t>-3</m:t>
                        </m:r>
                      </m:sup>
                    </m:sSup>
                  </m:num>
                  <m:den>
                    <m:r>
                      <w:rPr>
                        <w:rFonts w:ascii="Cambria Math" w:hAnsi="Cambria Math"/>
                        <w:color w:val="000000" w:themeColor="text1"/>
                        <w:lang w:eastAsia="zh-CN"/>
                      </w:rPr>
                      <m:t>14</m:t>
                    </m:r>
                  </m:den>
                </m:f>
              </m:oMath>
            </m:oMathPara>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OFDM symbol duration</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100 for BW 20 MHz, SCS 15 kHz</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and the subcarrier spacing [10]</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6853C6" w:rsidP="00470885">
            <w:pPr>
              <w:spacing w:before="0"/>
              <w:jc w:val="center"/>
              <w:rPr>
                <w:rFonts w:ascii="Arial" w:hAnsi="Arial" w:cs="Arial"/>
                <w:sz w:val="18"/>
                <w:szCs w:val="18"/>
              </w:rPr>
            </w:pPr>
            <w:r>
              <w:rPr>
                <w:rFonts w:ascii="Arial" w:hAnsi="Arial" w:cs="Arial"/>
                <w:position w:val="-6"/>
                <w:sz w:val="18"/>
                <w:szCs w:val="18"/>
              </w:rPr>
              <w:pict>
                <v:shape id="_x0000_i1059" type="#_x0000_t75" style="width:28.15pt;height:14.75pt">
                  <v:imagedata r:id="rId46" o:title=""/>
                </v:shape>
              </w:pic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jc w:val="center"/>
              <w:rPr>
                <w:color w:val="000000" w:themeColor="text1"/>
                <w:lang w:eastAsia="zh-CN"/>
              </w:rPr>
            </w:pPr>
            <w:r w:rsidRPr="00A604A3">
              <w:rPr>
                <w:color w:val="000000" w:themeColor="text1"/>
                <w:lang w:eastAsia="zh-CN"/>
              </w:rPr>
              <w:t>0.327 for BW 20 MHz, SCS 15 kHz</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0.304 for BW 20 MHz, SCS 15 kHz</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267286">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legend"/>
              <w:rPr>
                <w:b/>
                <w:lang w:eastAsia="zh-CN"/>
              </w:rPr>
            </w:pPr>
            <w:r w:rsidRPr="00A604A3">
              <w:rPr>
                <w:b/>
                <w:lang w:eastAsia="zh-CN"/>
              </w:rPr>
              <w:t>Note 1: FDD/TDD Frame Structure</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For FDD DL, all subframes, slots and OFDM symbols in the LTE frame are assigned to DL transmissions.</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 xml:space="preserve">For TDD DL, frame structure: DSUDDDSUDD (6D: Downlink, 2U: Uplink, 2S: Mixed Downlink and Uplink) and TDD Special subframe configuration of 10 OFDM symbols for DL, 1 for UL and 3 for GP. </w:t>
            </w:r>
          </w:p>
          <w:p w:rsidR="00AE0549" w:rsidRPr="00A604A3" w:rsidRDefault="00AE0549" w:rsidP="00267286">
            <w:pPr>
              <w:pStyle w:val="Tablelegend"/>
              <w:rPr>
                <w:b/>
                <w:lang w:eastAsia="zh-CN"/>
              </w:rPr>
            </w:pPr>
            <w:r w:rsidRPr="00A604A3">
              <w:rPr>
                <w:b/>
                <w:lang w:eastAsia="zh-CN"/>
              </w:rPr>
              <w:t>Note 2: Overhead Assumptions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FDD: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with 14 OFDM symbols per subframe assigned to DL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PBCH:</w:t>
            </w:r>
            <w:r w:rsidR="00AE0549" w:rsidRPr="00A604A3">
              <w:rPr>
                <w:lang w:eastAsia="zh-CN"/>
              </w:rPr>
              <w:t xml:space="preserve"> 1 transmitted each 20 slots.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PSS/SSS + Null Cells:</w:t>
            </w:r>
            <w:r w:rsidR="00AE0549" w:rsidRPr="00A604A3">
              <w:rPr>
                <w:lang w:eastAsia="zh-CN"/>
              </w:rPr>
              <w:t xml:space="preserve"> 288 REs each 10 ms. </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PDCCH:</w:t>
            </w:r>
            <w:r w:rsidR="00AE0549" w:rsidRPr="00A604A3">
              <w:rPr>
                <w:lang w:eastAsia="zh-CN"/>
              </w:rPr>
              <w:t xml:space="preserve"> 1 or 2 full OFDM symbols in all subframes with DL content.</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PDSCH: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CRS: 8 RE/RB/subframe in all RBs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 xml:space="preserve">DMRS: 24 RE/RB/subframe in all RBs in all subframes.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CSI-RS: 8 RE/RB in all RBs each 20 ms.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TDD: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DL subframes with 14 OFDM symbols and 2 Mixed DL/UL subframes with 13 OFDM symbols assigned to DL or GP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GP:</w:t>
            </w:r>
            <w:r w:rsidR="00AE0549" w:rsidRPr="00A604A3">
              <w:rPr>
                <w:lang w:eastAsia="zh-CN"/>
              </w:rPr>
              <w:t xml:space="preserve"> 3 full OFDM symbols in each slot in 2 Mixed UL/DL subframes in each 5G NR frame.</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PBCH:</w:t>
            </w:r>
            <w:r w:rsidR="00AE0549" w:rsidRPr="00A604A3">
              <w:rPr>
                <w:lang w:eastAsia="zh-CN"/>
              </w:rPr>
              <w:t xml:space="preserve"> 1 transmitted each 20 slots.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PSS/SSS + Null Cells:</w:t>
            </w:r>
            <w:r w:rsidR="00AE0549" w:rsidRPr="00A604A3">
              <w:rPr>
                <w:lang w:eastAsia="zh-CN"/>
              </w:rPr>
              <w:t xml:space="preserve"> 288 REs per subframe.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PDCCH:</w:t>
            </w:r>
            <w:r w:rsidR="00AE0549" w:rsidRPr="00A604A3">
              <w:rPr>
                <w:lang w:eastAsia="zh-CN"/>
              </w:rPr>
              <w:t xml:space="preserve"> 1 or 2 full OFDM symbols in all subframes with DL and mixed DL/UL content. </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PDSCH: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CRS: 4 RE/RB/slot in all RBs in all slots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DMRS: 12 RE/RB/subframe in all RBs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CSI-RS: 8 RE/RB in all RBs each 20 ms.</w:t>
            </w:r>
          </w:p>
        </w:tc>
      </w:tr>
    </w:tbl>
    <w:p w:rsidR="00AE0549" w:rsidRPr="00A604A3" w:rsidRDefault="00AE0549" w:rsidP="00267286">
      <w:pPr>
        <w:pStyle w:val="Tablefin"/>
        <w:rPr>
          <w:lang w:eastAsia="zh-CN"/>
        </w:rPr>
      </w:pPr>
    </w:p>
    <w:p w:rsidR="00AE0549" w:rsidRPr="00A604A3" w:rsidRDefault="00AE0549" w:rsidP="00267286">
      <w:pPr>
        <w:pStyle w:val="Headingb"/>
        <w:spacing w:after="120"/>
      </w:pPr>
      <w:r w:rsidRPr="00A604A3">
        <w:t>LTE Uplink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3"/>
        <w:gridCol w:w="2336"/>
        <w:gridCol w:w="2336"/>
        <w:gridCol w:w="3064"/>
      </w:tblGrid>
      <w:tr w:rsidR="00AE0549" w:rsidRPr="00A604A3" w:rsidTr="00267286">
        <w:trPr>
          <w:jc w:val="center"/>
        </w:trPr>
        <w:tc>
          <w:tcPr>
            <w:tcW w:w="983" w:type="pct"/>
            <w:vMerge w:val="restart"/>
            <w:vAlign w:val="center"/>
          </w:tcPr>
          <w:p w:rsidR="00AE0549" w:rsidRPr="00A604A3" w:rsidRDefault="00AE0549" w:rsidP="00267286">
            <w:pPr>
              <w:pStyle w:val="Tablehead"/>
            </w:pPr>
            <w:r w:rsidRPr="00A604A3">
              <w:t>Parameters</w:t>
            </w:r>
          </w:p>
        </w:tc>
        <w:tc>
          <w:tcPr>
            <w:tcW w:w="2425" w:type="pct"/>
            <w:gridSpan w:val="2"/>
            <w:vAlign w:val="center"/>
          </w:tcPr>
          <w:p w:rsidR="00AE0549" w:rsidRPr="00A604A3" w:rsidRDefault="00AE0549" w:rsidP="00267286">
            <w:pPr>
              <w:pStyle w:val="Tablehead"/>
            </w:pPr>
            <w:r w:rsidRPr="00A604A3">
              <w:rPr>
                <w:lang w:eastAsia="zh-CN"/>
              </w:rPr>
              <w:t>Downlink Configuration</w:t>
            </w:r>
          </w:p>
        </w:tc>
        <w:tc>
          <w:tcPr>
            <w:tcW w:w="1592" w:type="pct"/>
            <w:vMerge w:val="restart"/>
            <w:vAlign w:val="center"/>
          </w:tcPr>
          <w:p w:rsidR="00AE0549" w:rsidRPr="00A604A3" w:rsidRDefault="00AE0549" w:rsidP="00267286">
            <w:pPr>
              <w:pStyle w:val="Tablehead"/>
            </w:pPr>
            <w:r w:rsidRPr="00A604A3">
              <w:rPr>
                <w:lang w:eastAsia="zh-CN"/>
              </w:rPr>
              <w:t>Details</w:t>
            </w:r>
          </w:p>
        </w:tc>
      </w:tr>
      <w:tr w:rsidR="00AE0549" w:rsidRPr="00A604A3" w:rsidTr="00267286">
        <w:trPr>
          <w:jc w:val="center"/>
        </w:trPr>
        <w:tc>
          <w:tcPr>
            <w:tcW w:w="983" w:type="pct"/>
            <w:vMerge/>
            <w:vAlign w:val="center"/>
          </w:tcPr>
          <w:p w:rsidR="00AE0549" w:rsidRPr="00A604A3" w:rsidRDefault="00AE0549" w:rsidP="00470885">
            <w:pPr>
              <w:spacing w:before="0"/>
              <w:jc w:val="center"/>
              <w:rPr>
                <w:color w:val="000000" w:themeColor="text1"/>
                <w:sz w:val="22"/>
                <w:szCs w:val="22"/>
              </w:rPr>
            </w:pPr>
          </w:p>
        </w:tc>
        <w:tc>
          <w:tcPr>
            <w:tcW w:w="1213" w:type="pct"/>
            <w:vAlign w:val="center"/>
          </w:tcPr>
          <w:p w:rsidR="00AE0549" w:rsidRPr="00A604A3" w:rsidRDefault="00AE0549" w:rsidP="00267286">
            <w:pPr>
              <w:pStyle w:val="Tablehead"/>
              <w:rPr>
                <w:lang w:eastAsia="zh-CN"/>
              </w:rPr>
            </w:pPr>
            <w:r w:rsidRPr="00A604A3">
              <w:rPr>
                <w:lang w:eastAsia="zh-CN"/>
              </w:rPr>
              <w:t>FDD</w:t>
            </w:r>
          </w:p>
        </w:tc>
        <w:tc>
          <w:tcPr>
            <w:tcW w:w="1213" w:type="pct"/>
            <w:vAlign w:val="center"/>
          </w:tcPr>
          <w:p w:rsidR="00AE0549" w:rsidRPr="00A604A3" w:rsidRDefault="00AE0549" w:rsidP="00267286">
            <w:pPr>
              <w:pStyle w:val="Tablehead"/>
              <w:rPr>
                <w:lang w:eastAsia="zh-CN"/>
              </w:rPr>
            </w:pPr>
            <w:r w:rsidRPr="00A604A3">
              <w:rPr>
                <w:lang w:eastAsia="zh-CN"/>
              </w:rPr>
              <w:t>TDD</w:t>
            </w:r>
          </w:p>
        </w:tc>
        <w:tc>
          <w:tcPr>
            <w:tcW w:w="1592" w:type="pct"/>
            <w:vMerge/>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32</w:t>
            </w:r>
          </w:p>
        </w:tc>
        <w:tc>
          <w:tcPr>
            <w:tcW w:w="1592"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267286">
        <w:trPr>
          <w:jc w:val="center"/>
        </w:trPr>
        <w:tc>
          <w:tcPr>
            <w:tcW w:w="983" w:type="pct"/>
            <w:vAlign w:val="center"/>
          </w:tcPr>
          <w:p w:rsidR="00AE0549" w:rsidRPr="00A604A3" w:rsidRDefault="006853C6" w:rsidP="00470885">
            <w:pPr>
              <w:spacing w:before="0"/>
              <w:jc w:val="center"/>
              <w:rPr>
                <w:color w:val="000000" w:themeColor="text1"/>
                <w:sz w:val="20"/>
              </w:rPr>
            </w:pPr>
            <w:r>
              <w:rPr>
                <w:position w:val="-12"/>
                <w:lang w:eastAsia="zh-CN"/>
              </w:rPr>
              <w:pict>
                <v:shape id="_x0000_i1060" type="#_x0000_t75" style="width:21.25pt;height:21.25pt">
                  <v:imagedata r:id="rId41" o:title=""/>
                </v:shape>
              </w:pic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0.6143</w:t>
            </w:r>
          </w:p>
        </w:tc>
        <w:tc>
          <w:tcPr>
            <w:tcW w:w="1592" w:type="pct"/>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1C1AA9EC" wp14:editId="45F573BD">
                  <wp:extent cx="307340" cy="248920"/>
                  <wp:effectExtent l="0" t="0" r="0" b="0"/>
                  <wp:docPr id="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4</w:t>
            </w:r>
          </w:p>
        </w:tc>
        <w:tc>
          <w:tcPr>
            <w:tcW w:w="1592"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UL</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256QAM</w:t>
            </w:r>
          </w:p>
        </w:tc>
      </w:tr>
      <w:tr w:rsidR="00AE0549" w:rsidRPr="00A604A3" w:rsidTr="00267286">
        <w:trPr>
          <w:jc w:val="center"/>
        </w:trPr>
        <w:tc>
          <w:tcPr>
            <w:tcW w:w="983" w:type="pct"/>
            <w:vAlign w:val="center"/>
          </w:tcPr>
          <w:p w:rsidR="00AE0549" w:rsidRPr="00A604A3" w:rsidRDefault="00AE0549" w:rsidP="00470885">
            <w:pPr>
              <w:jc w:val="center"/>
              <w:rPr>
                <w:sz w:val="20"/>
              </w:rPr>
            </w:pPr>
            <w:r w:rsidRPr="00A604A3">
              <w:rPr>
                <w:sz w:val="20"/>
              </w:rPr>
              <w:t>Scaling factor of modulation</w:t>
            </w:r>
          </w:p>
          <w:p w:rsidR="00AE0549" w:rsidRPr="00A604A3" w:rsidRDefault="006853C6" w:rsidP="00470885">
            <w:pPr>
              <w:spacing w:before="0"/>
              <w:jc w:val="center"/>
              <w:rPr>
                <w:color w:val="000000" w:themeColor="text1"/>
                <w:sz w:val="20"/>
              </w:rPr>
            </w:pPr>
            <w:r>
              <w:rPr>
                <w:rFonts w:ascii="Arial" w:hAnsi="Arial" w:cs="Arial"/>
                <w:position w:val="-12"/>
                <w:sz w:val="20"/>
                <w:szCs w:val="18"/>
              </w:rPr>
              <w:pict>
                <v:shape id="_x0000_i1061" type="#_x0000_t75" style="width:21.25pt;height:21.25pt">
                  <v:imagedata r:id="rId43" o:title=""/>
                </v:shape>
              </w:pic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i/>
                <w:color w:val="000000" w:themeColor="text1"/>
              </w:rPr>
              <w:t>R</w:t>
            </w:r>
            <w:r w:rsidRPr="00A604A3">
              <w:rPr>
                <w:i/>
                <w:color w:val="000000" w:themeColor="text1"/>
                <w:vertAlign w:val="subscript"/>
              </w:rPr>
              <w:t>max</w:t>
            </w:r>
            <w:r w:rsidRPr="00A604A3">
              <w:rPr>
                <w:color w:val="000000" w:themeColor="text1"/>
                <w:lang w:eastAsia="fr-FR"/>
              </w:rPr>
              <w:t xml:space="preserve"> ≤ 0.93</w:t>
            </w:r>
          </w:p>
        </w:tc>
        <w:tc>
          <w:tcPr>
            <w:tcW w:w="1592" w:type="pct"/>
            <w:vAlign w:val="center"/>
          </w:tcPr>
          <w:p w:rsidR="00AE0549" w:rsidRPr="00A604A3" w:rsidRDefault="00AE0549" w:rsidP="00470885">
            <w:pPr>
              <w:spacing w:before="0"/>
              <w:jc w:val="center"/>
              <w:rPr>
                <w:sz w:val="20"/>
              </w:rPr>
            </w:pPr>
            <w:r w:rsidRPr="00A604A3">
              <w:rPr>
                <w:sz w:val="20"/>
                <w:lang w:eastAsia="fr-FR"/>
              </w:rPr>
              <w:t xml:space="preserve">Depending on the maximum Transport block size (TBS) defined in [10] and the number of useful data bits. </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Subcarrier Spacing (kHz)</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15</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lang w:eastAsia="zh-CN"/>
              </w:rPr>
              <w:t>According to [10] for unicast subframes</w:t>
            </w:r>
          </w:p>
        </w:tc>
      </w:tr>
      <w:tr w:rsidR="00AE0549" w:rsidRPr="00A604A3" w:rsidTr="00267286">
        <w:trPr>
          <w:jc w:val="center"/>
        </w:trPr>
        <w:tc>
          <w:tcPr>
            <w:tcW w:w="983" w:type="pct"/>
            <w:vAlign w:val="center"/>
          </w:tcPr>
          <w:p w:rsidR="00AE0549" w:rsidRPr="00A604A3" w:rsidRDefault="006853C6" w:rsidP="00470885">
            <w:pPr>
              <w:spacing w:before="0"/>
              <w:jc w:val="center"/>
              <w:rPr>
                <w:rFonts w:ascii="Arial" w:hAnsi="Arial" w:cs="Arial"/>
                <w:sz w:val="18"/>
                <w:szCs w:val="18"/>
              </w:rPr>
            </w:pPr>
            <w:r>
              <w:rPr>
                <w:rFonts w:ascii="Arial" w:hAnsi="Arial" w:cs="Arial"/>
                <w:position w:val="-12"/>
                <w:sz w:val="18"/>
                <w:szCs w:val="18"/>
              </w:rPr>
              <w:pict>
                <v:shape id="_x0000_i1062" type="#_x0000_t75" style="width:14.75pt;height:21.25pt">
                  <v:imagedata r:id="rId45" o:title=""/>
                </v:shape>
              </w:pict>
            </w:r>
          </w:p>
        </w:tc>
        <w:tc>
          <w:tcPr>
            <w:tcW w:w="2425" w:type="pct"/>
            <w:gridSpan w:val="2"/>
            <w:vAlign w:val="center"/>
          </w:tcPr>
          <w:p w:rsidR="00AE0549" w:rsidRPr="00A604A3" w:rsidRDefault="006853C6"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m:oMathPara>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s</m:t>
                    </m:r>
                  </m:sub>
                  <m:sup>
                    <m:r>
                      <w:rPr>
                        <w:rFonts w:ascii="Cambria Math" w:hAnsi="Cambria Math"/>
                        <w:color w:val="000000" w:themeColor="text1"/>
                        <w:lang w:eastAsia="zh-CN"/>
                      </w:rPr>
                      <m:t>µ</m:t>
                    </m:r>
                  </m:sup>
                </m:sSubSup>
                <m:r>
                  <w:rPr>
                    <w:rFonts w:ascii="Cambria Math" w:hAnsi="Cambria Math"/>
                    <w:color w:val="000000" w:themeColor="text1"/>
                    <w:lang w:eastAsia="zh-CN"/>
                  </w:rPr>
                  <m:t>=</m:t>
                </m:r>
                <m:f>
                  <m:fPr>
                    <m:ctrlPr>
                      <w:rPr>
                        <w:rFonts w:ascii="Cambria Math" w:hAnsi="Cambria Math"/>
                        <w:i/>
                        <w:color w:val="000000" w:themeColor="text1"/>
                        <w:lang w:eastAsia="zh-CN"/>
                      </w:rPr>
                    </m:ctrlPr>
                  </m:fPr>
                  <m:num>
                    <m:sSup>
                      <m:sSupPr>
                        <m:ctrlPr>
                          <w:rPr>
                            <w:rFonts w:ascii="Cambria Math" w:hAnsi="Cambria Math"/>
                            <w:i/>
                            <w:color w:val="000000" w:themeColor="text1"/>
                            <w:lang w:eastAsia="zh-CN"/>
                          </w:rPr>
                        </m:ctrlPr>
                      </m:sSupPr>
                      <m:e>
                        <m:r>
                          <w:rPr>
                            <w:rFonts w:ascii="Cambria Math" w:hAnsi="Cambria Math"/>
                            <w:color w:val="000000" w:themeColor="text1"/>
                            <w:lang w:eastAsia="zh-CN"/>
                          </w:rPr>
                          <m:t>10</m:t>
                        </m:r>
                      </m:e>
                      <m:sup>
                        <m:r>
                          <w:rPr>
                            <w:rFonts w:ascii="Cambria Math" w:hAnsi="Cambria Math"/>
                            <w:color w:val="000000" w:themeColor="text1"/>
                            <w:lang w:eastAsia="zh-CN"/>
                          </w:rPr>
                          <m:t>-3</m:t>
                        </m:r>
                      </m:sup>
                    </m:sSup>
                  </m:num>
                  <m:den>
                    <m:r>
                      <w:rPr>
                        <w:rFonts w:ascii="Cambria Math" w:hAnsi="Cambria Math"/>
                        <w:color w:val="000000" w:themeColor="text1"/>
                        <w:lang w:eastAsia="zh-CN"/>
                      </w:rPr>
                      <m:t>14</m:t>
                    </m:r>
                  </m:den>
                </m:f>
              </m:oMath>
            </m:oMathPara>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OFDM symbol duration</w:t>
            </w:r>
          </w:p>
        </w:tc>
      </w:tr>
      <w:tr w:rsidR="00AE0549" w:rsidRPr="00A604A3" w:rsidTr="00267286">
        <w:trPr>
          <w:jc w:val="center"/>
        </w:trPr>
        <w:tc>
          <w:tcPr>
            <w:tcW w:w="983" w:type="pct"/>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100 for BW 20 MHz, SCS 15 kHz</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and the subcarrier spacing [10]</w:t>
            </w:r>
          </w:p>
        </w:tc>
      </w:tr>
      <w:tr w:rsidR="00AE0549" w:rsidRPr="00A604A3" w:rsidTr="00267286">
        <w:trPr>
          <w:jc w:val="center"/>
        </w:trPr>
        <w:tc>
          <w:tcPr>
            <w:tcW w:w="983" w:type="pct"/>
            <w:vAlign w:val="center"/>
          </w:tcPr>
          <w:p w:rsidR="00AE0549" w:rsidRPr="00A604A3" w:rsidRDefault="006853C6" w:rsidP="00470885">
            <w:pPr>
              <w:spacing w:before="0"/>
              <w:jc w:val="center"/>
              <w:rPr>
                <w:rFonts w:ascii="Arial" w:hAnsi="Arial" w:cs="Arial"/>
                <w:sz w:val="18"/>
                <w:szCs w:val="18"/>
              </w:rPr>
            </w:pPr>
            <w:r>
              <w:rPr>
                <w:rFonts w:ascii="Arial" w:hAnsi="Arial" w:cs="Arial"/>
                <w:position w:val="-6"/>
                <w:sz w:val="18"/>
                <w:szCs w:val="18"/>
              </w:rPr>
              <w:pict>
                <v:shape id="_x0000_i1063" type="#_x0000_t75" style="width:28.15pt;height:14.75pt">
                  <v:imagedata r:id="rId46" o:title=""/>
                </v:shape>
              </w:pic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xml:space="preserve"> 0.1701 for BW 20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0.2472 for BW 20 MHz, SCS 15 kHz</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267286">
        <w:trPr>
          <w:jc w:val="center"/>
        </w:trPr>
        <w:tc>
          <w:tcPr>
            <w:tcW w:w="5000" w:type="pct"/>
            <w:gridSpan w:val="4"/>
            <w:vAlign w:val="center"/>
          </w:tcPr>
          <w:p w:rsidR="00AE0549" w:rsidRPr="00A604A3" w:rsidRDefault="00AE0549" w:rsidP="00267286">
            <w:pPr>
              <w:pStyle w:val="Tablelegend"/>
              <w:rPr>
                <w:b/>
                <w:lang w:eastAsia="zh-CN"/>
              </w:rPr>
            </w:pPr>
            <w:r w:rsidRPr="00A604A3">
              <w:rPr>
                <w:b/>
                <w:lang w:eastAsia="zh-CN"/>
              </w:rPr>
              <w:t>Note 1: FDD/TDD Frame Structure</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For FDD UL, all subframes, slots and OFDM symbols in LTE frames are assigned to UL transmission.</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 xml:space="preserve">For TDD UL, frame structure: DSUUUDSUUU (2D: Downlink, 6U: Uplink, 2S: Mixed Downlink and Uplink) and TDD Special subframe configuration of 10 OFDM symbols for DL, 1 for UL and 3 for GP. </w:t>
            </w:r>
          </w:p>
          <w:p w:rsidR="00AE0549" w:rsidRPr="00A604A3" w:rsidRDefault="00AE0549" w:rsidP="00267286">
            <w:pPr>
              <w:pStyle w:val="Tablelegend"/>
              <w:rPr>
                <w:b/>
                <w:lang w:eastAsia="zh-CN"/>
              </w:rPr>
            </w:pPr>
            <w:r w:rsidRPr="00A604A3">
              <w:rPr>
                <w:b/>
                <w:lang w:eastAsia="zh-CN"/>
              </w:rPr>
              <w:t>Note 2: Overhead Assumptions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FDD: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with 14 OFDM symbols per subframe assigned to UL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72 REs in 1 subframe each 10 ms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336 REs per subframe in all UL subframes.</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267286" w:rsidP="00267286">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2 full OFDM symbols per subframe in all UL subframes</w:t>
            </w:r>
          </w:p>
          <w:p w:rsidR="00AE0549" w:rsidRPr="00A604A3" w:rsidRDefault="00267286" w:rsidP="00267286">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96 RBs in 1 OFDM symbol in 1 subframe each 10 ms.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TDD: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DL subframes with 14 OFDM symbols and 2 Mixed DL/UL subframes with 1 OFDM symbols assigned to UL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GP:</w:t>
            </w:r>
            <w:r w:rsidR="00AE0549" w:rsidRPr="00A604A3">
              <w:rPr>
                <w:lang w:eastAsia="zh-CN"/>
              </w:rPr>
              <w:t xml:space="preserve"> 3 OFDM symbols in each slot in 2 Mixed UL/DL subframes in each 5G NR frame.</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72 REs in 1 subframe each 10 ms.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336 REs per subframe in all UL and mixed DL/UL subframes.</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DMRS: 2 OFDM per subframe in all UL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SRS: 96 RBs in 1 OFDM symbol in 1 subframe each 10 ms.</w:t>
            </w:r>
          </w:p>
        </w:tc>
      </w:tr>
    </w:tbl>
    <w:p w:rsidR="00AE0549" w:rsidRPr="00A604A3" w:rsidRDefault="00AE0549" w:rsidP="00267286">
      <w:pPr>
        <w:pStyle w:val="Tablefin"/>
        <w:rPr>
          <w:lang w:eastAsia="zh-CN"/>
        </w:rPr>
      </w:pPr>
    </w:p>
    <w:p w:rsidR="00267286" w:rsidRDefault="00267286" w:rsidP="00267286">
      <w:pPr>
        <w:pStyle w:val="AnnexNo"/>
      </w:pPr>
      <w:bookmarkStart w:id="696" w:name="_Ref31722881"/>
      <w:bookmarkStart w:id="697" w:name="_Toc32412990"/>
      <w:r>
        <w:lastRenderedPageBreak/>
        <w:t>Annex B</w:t>
      </w:r>
      <w:bookmarkEnd w:id="697"/>
    </w:p>
    <w:p w:rsidR="00AE0549" w:rsidRPr="00A604A3" w:rsidRDefault="00AE0549" w:rsidP="00267286">
      <w:pPr>
        <w:pStyle w:val="Annextitle"/>
      </w:pPr>
      <w:bookmarkStart w:id="698" w:name="_Toc32412991"/>
      <w:r w:rsidRPr="00A604A3">
        <w:t>Detailed simulation parameters for system-level simulation-based analysis</w:t>
      </w:r>
      <w:bookmarkEnd w:id="696"/>
      <w:bookmarkEnd w:id="698"/>
    </w:p>
    <w:p w:rsidR="00AE0549" w:rsidRPr="00A604A3" w:rsidRDefault="00AE0549" w:rsidP="00267286">
      <w:pPr>
        <w:pStyle w:val="Normalaftertitle"/>
        <w:rPr>
          <w:lang w:eastAsia="zh-CN"/>
        </w:rPr>
      </w:pPr>
      <w:r w:rsidRPr="00A604A3">
        <w:rPr>
          <w:lang w:eastAsia="zh-CN"/>
        </w:rPr>
        <w:t xml:space="preserve">In this Annex the parameters are summarized, which are used in the system-level simulations performed to evaluate </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5%ile user spectral efficiency</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average cell spectral efficiency</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user experienced data rate</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area traffic capacity.</w:t>
      </w:r>
    </w:p>
    <w:p w:rsidR="00AE0549" w:rsidRPr="00A604A3" w:rsidRDefault="00AE0549" w:rsidP="00267286">
      <w:pPr>
        <w:pStyle w:val="Headingb"/>
        <w:spacing w:after="120"/>
      </w:pPr>
      <w:r w:rsidRPr="00A604A3">
        <w:t>Source 1 (TDD: DSUUD, FDD)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110"/>
        <w:gridCol w:w="1121"/>
        <w:gridCol w:w="2423"/>
        <w:gridCol w:w="2469"/>
        <w:gridCol w:w="2496"/>
      </w:tblGrid>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Parameters</w:t>
            </w:r>
          </w:p>
        </w:tc>
        <w:tc>
          <w:tcPr>
            <w:tcW w:w="3836" w:type="pct"/>
            <w:gridSpan w:val="3"/>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Values</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Test environment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Indoor Hotspot – eMBB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Dense Urban – eMBB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Rural - eMBB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Evaluation configuration</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A/B/C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Channel model</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InH_B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RMa_B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ISD</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 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 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1732 m</w:t>
            </w:r>
          </w:p>
          <w:p w:rsidR="00AE0549" w:rsidRPr="00A604A3" w:rsidRDefault="00AE0549" w:rsidP="00267286">
            <w:pPr>
              <w:pStyle w:val="Tabletext"/>
              <w:rPr>
                <w:lang w:eastAsia="zh-CN"/>
              </w:rPr>
            </w:pPr>
            <w:r w:rsidRPr="00A604A3">
              <w:rPr>
                <w:lang w:eastAsia="zh-CN"/>
              </w:rPr>
              <w:t>Configuration C: 6000 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TDD frame structure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Carrier frequency</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700 MHz</w:t>
            </w:r>
          </w:p>
          <w:p w:rsidR="00AE0549" w:rsidRPr="00A604A3" w:rsidRDefault="00AE0549" w:rsidP="00267286">
            <w:pPr>
              <w:pStyle w:val="Tabletext"/>
              <w:rPr>
                <w:lang w:eastAsia="zh-CN"/>
              </w:rPr>
            </w:pPr>
            <w:r w:rsidRPr="00A604A3">
              <w:rPr>
                <w:lang w:eastAsia="zh-CN"/>
              </w:rPr>
              <w:t>Configuration B: 4 GHz</w:t>
            </w:r>
          </w:p>
          <w:p w:rsidR="00AE0549" w:rsidRPr="00A604A3" w:rsidRDefault="00AE0549" w:rsidP="00267286">
            <w:pPr>
              <w:pStyle w:val="Tabletext"/>
              <w:rPr>
                <w:lang w:eastAsia="zh-CN"/>
              </w:rPr>
            </w:pPr>
            <w:r w:rsidRPr="00A604A3">
              <w:rPr>
                <w:lang w:eastAsia="zh-CN"/>
              </w:rPr>
              <w:t>Configuration C: 700 MHz</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System bandwidth</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20 MHz</w:t>
            </w:r>
          </w:p>
          <w:p w:rsidR="00AE0549" w:rsidRPr="00A604A3" w:rsidRDefault="00AE0549" w:rsidP="00267286">
            <w:pPr>
              <w:pStyle w:val="Tabletext"/>
              <w:rPr>
                <w:lang w:eastAsia="zh-CN"/>
              </w:rPr>
            </w:pPr>
            <w:r w:rsidRPr="00A604A3">
              <w:rPr>
                <w:lang w:eastAsia="zh-CN"/>
              </w:rPr>
              <w:t xml:space="preserve">Configuration B: 80 MHz </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FDD: </w:t>
            </w:r>
          </w:p>
          <w:p w:rsidR="00AE0549" w:rsidRPr="00A604A3" w:rsidRDefault="00AE0549" w:rsidP="00267286">
            <w:pPr>
              <w:pStyle w:val="Tabletext"/>
              <w:rPr>
                <w:lang w:eastAsia="zh-CN"/>
              </w:rPr>
            </w:pPr>
            <w:r w:rsidRPr="00A604A3">
              <w:rPr>
                <w:lang w:eastAsia="zh-CN"/>
              </w:rPr>
              <w:t>Configuration A: 10 MHz</w:t>
            </w:r>
          </w:p>
          <w:p w:rsidR="00AE0549" w:rsidRPr="00A604A3" w:rsidRDefault="00AE0549" w:rsidP="00267286">
            <w:pPr>
              <w:pStyle w:val="Tabletext"/>
              <w:rPr>
                <w:lang w:eastAsia="zh-CN"/>
              </w:rPr>
            </w:pPr>
            <w:r w:rsidRPr="00A604A3">
              <w:rPr>
                <w:lang w:eastAsia="zh-CN"/>
              </w:rPr>
              <w:t>Configuration B: 40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Subcarrier spacing</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symbols per slot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16Tx cross-polarized antennas</w:t>
            </w:r>
          </w:p>
          <w:p w:rsidR="00AE0549" w:rsidRPr="00A604A3" w:rsidRDefault="00AE0549" w:rsidP="00267286">
            <w:pPr>
              <w:pStyle w:val="Tabletext"/>
              <w:rPr>
                <w:lang w:eastAsia="zh-CN"/>
              </w:rPr>
            </w:pPr>
            <w:r w:rsidRPr="00A604A3">
              <w:rPr>
                <w:lang w:eastAsia="zh-CN"/>
              </w:rPr>
              <w:t>(M,N,P,Mg,Ng;Mp,Np) = (4,4,2,1,1;4,4);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64Tx cross-polarized antennas</w:t>
            </w:r>
          </w:p>
          <w:p w:rsidR="00AE0549" w:rsidRPr="00A604A3" w:rsidRDefault="00AE0549" w:rsidP="00267286">
            <w:pPr>
              <w:pStyle w:val="Tabletext"/>
              <w:rPr>
                <w:lang w:eastAsia="zh-CN"/>
              </w:rPr>
            </w:pPr>
            <w:r w:rsidRPr="00A604A3">
              <w:rPr>
                <w:lang w:eastAsia="zh-CN"/>
              </w:rPr>
              <w:t>(M,N,P,Mg,Ng;Mp,Np) = (8,8,2,1,1;2,8)</w:t>
            </w:r>
          </w:p>
          <w:p w:rsidR="00AE0549" w:rsidRPr="00A604A3" w:rsidRDefault="00AE0549" w:rsidP="00267286">
            <w:pPr>
              <w:pStyle w:val="Tabletext"/>
              <w:rPr>
                <w:lang w:eastAsia="zh-CN"/>
              </w:rPr>
            </w:pPr>
            <w:r w:rsidRPr="00A604A3">
              <w:rPr>
                <w:lang w:eastAsia="zh-CN"/>
              </w:rPr>
              <w:t>Configuration B: 128Tx cross-polarized antennas</w:t>
            </w:r>
          </w:p>
          <w:p w:rsidR="00AE0549" w:rsidRPr="00A604A3" w:rsidRDefault="00AE0549" w:rsidP="00267286">
            <w:pPr>
              <w:pStyle w:val="Tabletext"/>
              <w:rPr>
                <w:lang w:eastAsia="zh-CN"/>
              </w:rPr>
            </w:pPr>
            <w:r w:rsidRPr="00A604A3">
              <w:rPr>
                <w:lang w:eastAsia="zh-CN"/>
              </w:rPr>
              <w:t>(M,N,P,Mg,Ng;Mp,Np) = (8,16,2,1,1;1,16)</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A/C: 32Tx cross-polarized antennas</w:t>
            </w:r>
          </w:p>
          <w:p w:rsidR="00AE0549" w:rsidRPr="00A604A3" w:rsidRDefault="00AE0549" w:rsidP="00267286">
            <w:pPr>
              <w:pStyle w:val="Tabletext"/>
              <w:rPr>
                <w:lang w:eastAsia="zh-CN"/>
              </w:rPr>
            </w:pPr>
            <w:r w:rsidRPr="00A604A3">
              <w:rPr>
                <w:lang w:eastAsia="zh-CN"/>
              </w:rPr>
              <w:t>(M,N,P,Mg,Ng;Mp,Np) = (8,4,2,1,1;1,4);</w:t>
            </w:r>
          </w:p>
          <w:p w:rsidR="00AE0549" w:rsidRPr="00A604A3" w:rsidRDefault="00AE0549" w:rsidP="00267286">
            <w:pPr>
              <w:pStyle w:val="Tabletext"/>
              <w:rPr>
                <w:lang w:eastAsia="zh-CN"/>
              </w:rPr>
            </w:pPr>
            <w:r w:rsidRPr="00A604A3">
              <w:rPr>
                <w:lang w:eastAsia="zh-CN"/>
              </w:rPr>
              <w:t>Configuration B: 64Tx cross-polarized antennas</w:t>
            </w:r>
          </w:p>
          <w:p w:rsidR="00AE0549" w:rsidRPr="00A604A3" w:rsidRDefault="00AE0549" w:rsidP="00267286">
            <w:pPr>
              <w:pStyle w:val="Tabletext"/>
              <w:rPr>
                <w:lang w:eastAsia="zh-CN"/>
              </w:rPr>
            </w:pPr>
            <w:r w:rsidRPr="00A604A3">
              <w:rPr>
                <w:lang w:eastAsia="zh-CN"/>
              </w:rPr>
              <w:t>(M,N,P,Mg,Ng;Mp,Np) = (8,8,2,1,1;2,8)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TXRU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w:t>
            </w:r>
          </w:p>
          <w:p w:rsidR="00AE0549" w:rsidRPr="00A604A3" w:rsidRDefault="00AE0549" w:rsidP="00267286">
            <w:pPr>
              <w:pStyle w:val="Tabletext"/>
              <w:rPr>
                <w:lang w:eastAsia="zh-CN"/>
              </w:rPr>
            </w:pPr>
            <w:r w:rsidRPr="00A604A3">
              <w:rPr>
                <w:lang w:eastAsia="zh-CN"/>
              </w:rPr>
              <w:t>32TXRU: Vertical 1-to-1</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32TXRU: Vertical 2-by-8</w:t>
            </w:r>
          </w:p>
          <w:p w:rsidR="00AE0549" w:rsidRPr="00A604A3" w:rsidRDefault="00AE0549" w:rsidP="00267286">
            <w:pPr>
              <w:pStyle w:val="Tabletext"/>
              <w:rPr>
                <w:lang w:eastAsia="zh-CN"/>
              </w:rPr>
            </w:pPr>
            <w:r w:rsidRPr="00A604A3">
              <w:rPr>
                <w:lang w:eastAsia="zh-CN"/>
              </w:rPr>
              <w:t>Configuration B: 32TXRU: Vertical 1-by-16</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A/C: 8TXRU, Vertical 1-by-8; </w:t>
            </w:r>
          </w:p>
          <w:p w:rsidR="00AE0549" w:rsidRPr="00A604A3" w:rsidRDefault="00AE0549" w:rsidP="00267286">
            <w:pPr>
              <w:pStyle w:val="Tabletext"/>
              <w:rPr>
                <w:lang w:eastAsia="zh-CN"/>
              </w:rPr>
            </w:pPr>
            <w:r w:rsidRPr="00A604A3">
              <w:rPr>
                <w:lang w:eastAsia="zh-CN"/>
              </w:rPr>
              <w:t>Configuration B: 32TXRU, Vertical 2-by-8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lastRenderedPageBreak/>
              <w:t>Number of antenna elements per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32Rx with 0° and 90° polarization</w:t>
            </w:r>
          </w:p>
          <w:p w:rsidR="00AE0549" w:rsidRPr="00A604A3" w:rsidRDefault="00AE0549" w:rsidP="00267286">
            <w:pPr>
              <w:pStyle w:val="Tabletext"/>
              <w:rPr>
                <w:lang w:eastAsia="zh-CN"/>
              </w:rPr>
            </w:pPr>
            <w:r w:rsidRPr="00A604A3">
              <w:rPr>
                <w:lang w:eastAsia="zh-CN"/>
              </w:rPr>
              <w:t>(M,N,P,Mg,Ng; Mp,Np) =  (2,4,2,1,2; 1,2)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32Rx with 0° and 90° polarization</w:t>
            </w:r>
          </w:p>
          <w:p w:rsidR="00AE0549" w:rsidRPr="00A604A3" w:rsidRDefault="00AE0549" w:rsidP="00267286">
            <w:pPr>
              <w:pStyle w:val="Tabletext"/>
              <w:rPr>
                <w:lang w:eastAsia="zh-CN"/>
              </w:rPr>
            </w:pPr>
            <w:r w:rsidRPr="00A604A3">
              <w:rPr>
                <w:lang w:eastAsia="zh-CN"/>
              </w:rPr>
              <w:t>(M,N,P,Mg,Ng; Mp,Np) =  (2,4,2,1,2; 1,2)</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 2Rx </w:t>
            </w:r>
          </w:p>
          <w:p w:rsidR="00AE0549" w:rsidRPr="00A604A3" w:rsidRDefault="00AE0549" w:rsidP="00267286">
            <w:pPr>
              <w:pStyle w:val="Tabletext"/>
              <w:rPr>
                <w:lang w:eastAsia="zh-CN"/>
              </w:rPr>
            </w:pPr>
            <w:r w:rsidRPr="00A604A3">
              <w:rPr>
                <w:lang w:eastAsia="zh-CN"/>
              </w:rPr>
              <w:t>Configuration B/C: 4Rx</w:t>
            </w:r>
          </w:p>
          <w:p w:rsidR="00AE0549" w:rsidRPr="00A604A3" w:rsidRDefault="00AE0549" w:rsidP="00267286">
            <w:pPr>
              <w:pStyle w:val="Tabletext"/>
              <w:rPr>
                <w:lang w:eastAsia="zh-CN"/>
              </w:rPr>
            </w:pPr>
            <w:r w:rsidRPr="00A604A3">
              <w:rPr>
                <w:lang w:eastAsia="zh-CN"/>
              </w:rPr>
              <w:t>with 0°and 90° polarization</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Transmit power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24 dBm; Configuration B: 23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44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46 dBm</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21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41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46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TRxP number per site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or 3</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Mechanic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TRxP / site: 180° in GCS (pointing to the ground)</w:t>
            </w:r>
          </w:p>
          <w:p w:rsidR="00AE0549" w:rsidRPr="00A604A3" w:rsidRDefault="00AE0549" w:rsidP="00267286">
            <w:pPr>
              <w:pStyle w:val="Tabletext"/>
              <w:rPr>
                <w:lang w:eastAsia="zh-CN"/>
              </w:rPr>
            </w:pPr>
            <w:r w:rsidRPr="00A604A3">
              <w:rPr>
                <w:lang w:eastAsia="zh-CN"/>
              </w:rPr>
              <w:t>3 TRxP / site: 110° in GCS</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Electronic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90° in LCS</w:t>
            </w:r>
          </w:p>
          <w:p w:rsidR="00AE0549" w:rsidRPr="00A604A3" w:rsidRDefault="00AE0549" w:rsidP="00267286">
            <w:pPr>
              <w:pStyle w:val="Tabletext"/>
              <w:rPr>
                <w:lang w:eastAsia="zh-CN"/>
              </w:rPr>
            </w:pPr>
            <w:r w:rsidRPr="00A604A3">
              <w:rPr>
                <w:lang w:eastAsia="zh-CN"/>
              </w:rPr>
              <w:t>Configuration B: According to Zenith angle in "Beam set at TRxP"</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100° in LCS </w:t>
            </w:r>
          </w:p>
          <w:p w:rsidR="00AE0549" w:rsidRPr="00A604A3" w:rsidRDefault="00AE0549" w:rsidP="00267286">
            <w:pPr>
              <w:pStyle w:val="Tabletext"/>
              <w:rPr>
                <w:lang w:eastAsia="zh-CN"/>
              </w:rPr>
            </w:pPr>
            <w:r w:rsidRPr="00A604A3">
              <w:rPr>
                <w:lang w:eastAsia="zh-CN"/>
              </w:rPr>
              <w:t xml:space="preserve">Configuration C: 92° in LCS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 Azimuth angle φi = [0], Zenith angle θj = [pi/2]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B: </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UT attachment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Scheduling</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MIMO mode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Configuration A: Maximum MU layer = 12;</w:t>
            </w:r>
          </w:p>
          <w:p w:rsidR="00AE0549" w:rsidRPr="00A604A3" w:rsidRDefault="00AE0549" w:rsidP="00267286">
            <w:pPr>
              <w:pStyle w:val="Tabletext"/>
              <w:rPr>
                <w:lang w:eastAsia="zh-CN"/>
              </w:rPr>
            </w:pPr>
            <w:r w:rsidRPr="00A604A3">
              <w:rPr>
                <w:lang w:eastAsia="zh-CN"/>
              </w:rPr>
              <w:t>Configuration B: Maximum MU layer = 6</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12</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8 for 8Tx and maximum MU layer = 12 for 32Tx;</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Guard band ratio</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Configuration A: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Configuration B: 5.5</w:t>
            </w:r>
            <w:r w:rsidR="00AA0B2B">
              <w:rPr>
                <w:lang w:eastAsia="zh-CN"/>
              </w:rPr>
              <w:t>%</w:t>
            </w:r>
            <w:r w:rsidRPr="00A604A3">
              <w:rPr>
                <w:lang w:eastAsia="zh-CN"/>
              </w:rPr>
              <w:t xml:space="preserve"> (for 80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BS receiver type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CSI feedback</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For 32Tx: 5 slots period based on non-precoded CSI-RS with delay;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SRS transmission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precoder derivation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r>
      <w:tr w:rsidR="00AE0549" w:rsidRPr="00A604A3" w:rsidTr="00267286">
        <w:trPr>
          <w:cantSplit/>
          <w:jc w:val="center"/>
        </w:trPr>
        <w:tc>
          <w:tcPr>
            <w:tcW w:w="525" w:type="pct"/>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Overhead</w:t>
            </w: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PDCCH</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DMRS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val="restart"/>
            <w:shd w:val="clear" w:color="auto" w:fill="auto"/>
            <w:vAlign w:val="center"/>
          </w:tcPr>
          <w:p w:rsidR="00AE0549" w:rsidRPr="00267286" w:rsidRDefault="00AE0549" w:rsidP="00267286">
            <w:pPr>
              <w:pStyle w:val="Tabletext"/>
              <w:rPr>
                <w:bCs/>
                <w:lang w:eastAsia="zh-CN"/>
              </w:rPr>
            </w:pPr>
            <w:r w:rsidRPr="00267286">
              <w:rPr>
                <w:bCs/>
                <w:lang w:eastAsia="zh-CN"/>
              </w:rPr>
              <w:t>CSI-RS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8/16/32 ports for 8Tx/16Tx/32Tx</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shd w:val="clear" w:color="auto" w:fill="auto"/>
            <w:vAlign w:val="center"/>
          </w:tcPr>
          <w:p w:rsidR="00AE0549" w:rsidRPr="00267286" w:rsidRDefault="00AE0549" w:rsidP="00267286">
            <w:pPr>
              <w:pStyle w:val="Tabletext"/>
              <w:rPr>
                <w:bCs/>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For 64Tx, 4 ports per UE per 5 slots; For 32Tx,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TDD: 8/16/32 ports for 8Tx/16Tx/32Tx </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CSI-RS for IM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SSB</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Channel estimation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Waveform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power class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scheduling</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MIMO mode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SU-MIMO with rank 2 adaptation; </w:t>
            </w:r>
          </w:p>
          <w:p w:rsidR="00AE0549" w:rsidRPr="00A604A3" w:rsidRDefault="00AE0549" w:rsidP="00267286">
            <w:pPr>
              <w:pStyle w:val="Tabletext"/>
              <w:rPr>
                <w:lang w:eastAsia="zh-CN"/>
              </w:rPr>
            </w:pPr>
            <w:r w:rsidRPr="00A604A3">
              <w:rPr>
                <w:lang w:eastAsia="zh-CN"/>
              </w:rPr>
              <w:t>Configuration B: SU-MIMO with rank 4 adaptation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2Tx/4Tx</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precoder scheme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power control</w:t>
            </w:r>
          </w:p>
        </w:tc>
        <w:tc>
          <w:tcPr>
            <w:tcW w:w="1258"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α=0.9</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=-86</m:t>
              </m:r>
            </m:oMath>
            <w:r w:rsidR="00AE0549" w:rsidRPr="00A604A3">
              <w:rPr>
                <w:lang w:eastAsia="zh-CN"/>
              </w:rPr>
              <w:t xml:space="preserve"> dBm</w:t>
            </w:r>
          </w:p>
        </w:tc>
        <w:tc>
          <w:tcPr>
            <w:tcW w:w="1282"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B: </w:t>
            </w:r>
            <m:oMath>
              <m:r>
                <m:rPr>
                  <m:sty m:val="p"/>
                </m:rPr>
                <w:rPr>
                  <w:rFonts w:ascii="Cambria Math" w:hAnsi="Cambria Math"/>
                  <w:lang w:eastAsia="zh-CN"/>
                </w:rPr>
                <m:t>α=0.6</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=-60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C: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 xml:space="preserve">dBm (FDD), </w:t>
            </w:r>
            <m:oMath>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=-82 </m:t>
              </m:r>
            </m:oMath>
            <w:r w:rsidRPr="00A604A3">
              <w:rPr>
                <w:lang w:eastAsia="zh-CN"/>
              </w:rPr>
              <w:t>dBm (TDD)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Power backoff model</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267286">
        <w:trPr>
          <w:cantSplit/>
          <w:jc w:val="center"/>
        </w:trPr>
        <w:tc>
          <w:tcPr>
            <w:tcW w:w="582" w:type="pct"/>
            <w:gridSpan w:val="2"/>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Overhead</w:t>
            </w: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PUCCH</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DMRS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SRS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PTRS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267286">
      <w:pPr>
        <w:pStyle w:val="Tablefin"/>
        <w:rPr>
          <w:lang w:eastAsia="zh-CN"/>
        </w:rPr>
      </w:pPr>
    </w:p>
    <w:p w:rsidR="00AE0549" w:rsidRPr="00267286" w:rsidRDefault="00AE0549" w:rsidP="00267286">
      <w:pPr>
        <w:pStyle w:val="Headingb"/>
        <w:spacing w:after="120"/>
        <w:rPr>
          <w:lang w:val="en-GB"/>
        </w:rPr>
      </w:pPr>
      <w:r w:rsidRPr="00267286">
        <w:rPr>
          <w:lang w:val="en-GB"/>
        </w:rPr>
        <w:t>Source 2 with spectral efficiency evaluation assumption (TDD: DDDSU, FDD)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110"/>
        <w:gridCol w:w="1121"/>
        <w:gridCol w:w="2423"/>
        <w:gridCol w:w="2469"/>
        <w:gridCol w:w="2496"/>
      </w:tblGrid>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Parameters</w:t>
            </w:r>
          </w:p>
        </w:tc>
        <w:tc>
          <w:tcPr>
            <w:tcW w:w="3836" w:type="pct"/>
            <w:gridSpan w:val="3"/>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Values</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Test environment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Indoor Hotspot – eMBB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Dense Urban – eMBB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Rural - eMBB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Evaluation configuration</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A/B/C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Channel model</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InH_B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RMa_B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ISD</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 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 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1732 m </w:t>
            </w:r>
          </w:p>
          <w:p w:rsidR="00AE0549" w:rsidRPr="00A604A3" w:rsidRDefault="00AE0549" w:rsidP="00267286">
            <w:pPr>
              <w:pStyle w:val="Tabletext"/>
              <w:rPr>
                <w:lang w:eastAsia="zh-CN"/>
              </w:rPr>
            </w:pPr>
            <w:r w:rsidRPr="00A604A3">
              <w:rPr>
                <w:lang w:eastAsia="zh-CN"/>
              </w:rPr>
              <w:t>Configuration C: 6000 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TDD frame structure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Carrier frequency</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700 MHz</w:t>
            </w:r>
          </w:p>
          <w:p w:rsidR="00AE0549" w:rsidRPr="00A604A3" w:rsidRDefault="00AE0549" w:rsidP="00267286">
            <w:pPr>
              <w:pStyle w:val="Tabletext"/>
              <w:rPr>
                <w:lang w:eastAsia="zh-CN"/>
              </w:rPr>
            </w:pPr>
            <w:r w:rsidRPr="00A604A3">
              <w:rPr>
                <w:lang w:eastAsia="zh-CN"/>
              </w:rPr>
              <w:t>Configuration B: 4 GHz</w:t>
            </w:r>
          </w:p>
          <w:p w:rsidR="00AE0549" w:rsidRPr="00A604A3" w:rsidRDefault="00AE0549" w:rsidP="00267286">
            <w:pPr>
              <w:pStyle w:val="Tabletext"/>
              <w:rPr>
                <w:lang w:eastAsia="zh-CN"/>
              </w:rPr>
            </w:pPr>
            <w:r w:rsidRPr="00A604A3">
              <w:rPr>
                <w:lang w:eastAsia="zh-CN"/>
              </w:rPr>
              <w:t>Configuration C: 700 MHz</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System bandwidth</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20 MHz</w:t>
            </w:r>
          </w:p>
          <w:p w:rsidR="00AE0549" w:rsidRPr="00A604A3" w:rsidRDefault="00AE0549" w:rsidP="00267286">
            <w:pPr>
              <w:pStyle w:val="Tabletext"/>
              <w:rPr>
                <w:lang w:eastAsia="zh-CN"/>
              </w:rPr>
            </w:pPr>
            <w:r w:rsidRPr="00A604A3">
              <w:rPr>
                <w:lang w:eastAsia="zh-CN"/>
              </w:rPr>
              <w:t xml:space="preserve">Configuration B: 80 MHz </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Subcarrier spacing</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symbols per slot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16Tx cross-polarized antennas</w:t>
            </w:r>
          </w:p>
          <w:p w:rsidR="00AE0549" w:rsidRPr="00A604A3" w:rsidRDefault="00AE0549" w:rsidP="00267286">
            <w:pPr>
              <w:pStyle w:val="Tabletext"/>
              <w:rPr>
                <w:lang w:eastAsia="zh-CN"/>
              </w:rPr>
            </w:pPr>
            <w:r w:rsidRPr="00A604A3">
              <w:rPr>
                <w:lang w:eastAsia="zh-CN"/>
              </w:rPr>
              <w:t>(M,N,P,Mg,Ng;Mp,Np) = (4,4,2,1,1;4,4);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32Tx: 64Tx cross-polarized antennas</w:t>
            </w:r>
          </w:p>
          <w:p w:rsidR="00AE0549" w:rsidRPr="00A604A3" w:rsidRDefault="00AE0549" w:rsidP="00267286">
            <w:pPr>
              <w:pStyle w:val="Tabletext"/>
              <w:rPr>
                <w:lang w:eastAsia="zh-CN"/>
              </w:rPr>
            </w:pPr>
            <w:r w:rsidRPr="00A604A3">
              <w:rPr>
                <w:lang w:eastAsia="zh-CN"/>
              </w:rPr>
              <w:t>(M,N,P,Mg,Ng;Mp,Np) = (8,8,2,1,1;2,8)</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A/C: 32Tx cross-polarized antennas</w:t>
            </w:r>
          </w:p>
          <w:p w:rsidR="00AE0549" w:rsidRPr="00A604A3" w:rsidRDefault="00AE0549" w:rsidP="00267286">
            <w:pPr>
              <w:pStyle w:val="Tabletext"/>
              <w:rPr>
                <w:lang w:eastAsia="zh-CN"/>
              </w:rPr>
            </w:pPr>
            <w:r w:rsidRPr="00A604A3">
              <w:rPr>
                <w:lang w:eastAsia="zh-CN"/>
              </w:rPr>
              <w:t>(M,N,P,Mg,Ng;Mp,Np) = (8,4,2,1,1;1,4);</w:t>
            </w:r>
          </w:p>
          <w:p w:rsidR="00AE0549" w:rsidRPr="00A604A3" w:rsidRDefault="00AE0549" w:rsidP="00267286">
            <w:pPr>
              <w:pStyle w:val="Tabletext"/>
              <w:rPr>
                <w:lang w:eastAsia="zh-CN"/>
              </w:rPr>
            </w:pPr>
            <w:r w:rsidRPr="00A604A3">
              <w:rPr>
                <w:lang w:eastAsia="zh-CN"/>
              </w:rPr>
              <w:t>Configuration B: 164Tx cross-polarized antennas</w:t>
            </w:r>
          </w:p>
          <w:p w:rsidR="00AE0549" w:rsidRPr="00A604A3" w:rsidRDefault="00AE0549" w:rsidP="00267286">
            <w:pPr>
              <w:pStyle w:val="Tabletext"/>
              <w:rPr>
                <w:lang w:eastAsia="zh-CN"/>
              </w:rPr>
            </w:pPr>
            <w:r w:rsidRPr="00A604A3">
              <w:rPr>
                <w:lang w:eastAsia="zh-CN"/>
              </w:rPr>
              <w:t>(M,N,P,Mg,Ng;Mp,Np) = (8,8,2,1,1;2,8)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TXRU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w:t>
            </w:r>
          </w:p>
          <w:p w:rsidR="00AE0549" w:rsidRPr="00A604A3" w:rsidRDefault="00AE0549" w:rsidP="00267286">
            <w:pPr>
              <w:pStyle w:val="Tabletext"/>
              <w:rPr>
                <w:lang w:eastAsia="zh-CN"/>
              </w:rPr>
            </w:pPr>
            <w:r w:rsidRPr="00A604A3">
              <w:rPr>
                <w:lang w:eastAsia="zh-CN"/>
              </w:rPr>
              <w:t>32TXRU: Vertical 1-to-1</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2-to-8</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A/C: 8TXRU, Vertical 1-to-8; </w:t>
            </w:r>
          </w:p>
          <w:p w:rsidR="00AE0549" w:rsidRPr="00A604A3" w:rsidRDefault="00AE0549" w:rsidP="00267286">
            <w:pPr>
              <w:pStyle w:val="Tabletext"/>
              <w:rPr>
                <w:lang w:eastAsia="zh-CN"/>
              </w:rPr>
            </w:pPr>
            <w:r w:rsidRPr="00A604A3">
              <w:rPr>
                <w:lang w:eastAsia="zh-CN"/>
              </w:rPr>
              <w:t>Configuration B: 32TXRU, Vertical 2-to-8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8Rx with 0° and 90° polarization</w:t>
            </w:r>
          </w:p>
          <w:p w:rsidR="00AE0549" w:rsidRPr="00A604A3" w:rsidRDefault="00AE0549" w:rsidP="00267286">
            <w:pPr>
              <w:pStyle w:val="Tabletext"/>
              <w:rPr>
                <w:lang w:eastAsia="zh-CN"/>
              </w:rPr>
            </w:pPr>
            <w:r w:rsidRPr="00A604A3">
              <w:rPr>
                <w:lang w:eastAsia="zh-CN"/>
              </w:rPr>
              <w:t>(M,N,P,Mg,Ng; Mp,Np) =  (2,4,2,1,2; 1,2)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4Rx with 0°and 90° polarization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 2Rx </w:t>
            </w:r>
          </w:p>
          <w:p w:rsidR="00AE0549" w:rsidRPr="00A604A3" w:rsidRDefault="00AE0549" w:rsidP="00267286">
            <w:pPr>
              <w:pStyle w:val="Tabletext"/>
              <w:rPr>
                <w:lang w:eastAsia="zh-CN"/>
              </w:rPr>
            </w:pPr>
            <w:r w:rsidRPr="00A604A3">
              <w:rPr>
                <w:lang w:eastAsia="zh-CN"/>
              </w:rPr>
              <w:t>Configuration B/C: 4Rx</w:t>
            </w:r>
          </w:p>
          <w:p w:rsidR="00AE0549" w:rsidRPr="00A604A3" w:rsidRDefault="00AE0549" w:rsidP="00267286">
            <w:pPr>
              <w:pStyle w:val="Tabletext"/>
              <w:rPr>
                <w:lang w:eastAsia="zh-CN"/>
              </w:rPr>
            </w:pPr>
            <w:r w:rsidRPr="00A604A3">
              <w:rPr>
                <w:lang w:eastAsia="zh-CN"/>
              </w:rPr>
              <w:t>with 0°and 90° polarization</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lastRenderedPageBreak/>
              <w:t>Transmit power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24 dBm; Configuration B: 23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44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46 dBm</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21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41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46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TRxP number per site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or 3</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Mechanic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TRxP / site: 180° in GCS (pointing to the ground)</w:t>
            </w:r>
          </w:p>
          <w:p w:rsidR="00AE0549" w:rsidRPr="00A604A3" w:rsidRDefault="00AE0549" w:rsidP="00267286">
            <w:pPr>
              <w:pStyle w:val="Tabletext"/>
              <w:rPr>
                <w:lang w:eastAsia="zh-CN"/>
              </w:rPr>
            </w:pPr>
            <w:r w:rsidRPr="00A604A3">
              <w:rPr>
                <w:lang w:eastAsia="zh-CN"/>
              </w:rPr>
              <w:t>3 TRxP / site: 110° in GCS</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Electronic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90° in LCS</w:t>
            </w:r>
          </w:p>
          <w:p w:rsidR="00AE0549" w:rsidRPr="00A604A3" w:rsidRDefault="00AE0549" w:rsidP="00267286">
            <w:pPr>
              <w:pStyle w:val="Tabletext"/>
              <w:rPr>
                <w:lang w:eastAsia="zh-CN"/>
              </w:rPr>
            </w:pPr>
            <w:r w:rsidRPr="00A604A3">
              <w:rPr>
                <w:lang w:eastAsia="zh-CN"/>
              </w:rPr>
              <w:t>Configuration B: According to Zenith angle in "Beam set at TRxP"</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100° in LCS </w:t>
            </w:r>
          </w:p>
          <w:p w:rsidR="00AE0549" w:rsidRPr="00A604A3" w:rsidRDefault="00AE0549" w:rsidP="00267286">
            <w:pPr>
              <w:pStyle w:val="Tabletext"/>
              <w:rPr>
                <w:lang w:eastAsia="zh-CN"/>
              </w:rPr>
            </w:pPr>
            <w:r w:rsidRPr="00A604A3">
              <w:rPr>
                <w:lang w:eastAsia="zh-CN"/>
              </w:rPr>
              <w:t xml:space="preserve">Configuration C: 92° in LCS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 Azimuth angle φi = [0], Zenith angle θj = [pi/2]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B: </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UT attachment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scheduling</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MIMO mode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Configuration A: Maximum MU layer = 12;</w:t>
            </w:r>
          </w:p>
          <w:p w:rsidR="00AE0549" w:rsidRPr="00A604A3" w:rsidRDefault="00AE0549" w:rsidP="00267286">
            <w:pPr>
              <w:pStyle w:val="Tabletext"/>
              <w:rPr>
                <w:lang w:eastAsia="zh-CN"/>
              </w:rPr>
            </w:pPr>
            <w:r w:rsidRPr="00A604A3">
              <w:rPr>
                <w:lang w:eastAsia="zh-CN"/>
              </w:rPr>
              <w:t>Configuration B: Maximum MU layer = 6</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12</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8 for 8Tx and maximum MU layer = 12 for 32Tx;</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Guard band ratio</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Configuration A: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Configuration B: 5.5</w:t>
            </w:r>
            <w:r w:rsidR="00AA0B2B">
              <w:rPr>
                <w:lang w:eastAsia="zh-CN"/>
              </w:rPr>
              <w:t>%</w:t>
            </w:r>
            <w:r w:rsidRPr="00A604A3">
              <w:rPr>
                <w:lang w:eastAsia="zh-CN"/>
              </w:rPr>
              <w:t xml:space="preserve"> (for 80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BS receiver type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CSI feedback</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For 32Tx: 5 slots period based on non-precoded CSI-RS with delay;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SRS transmission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2Tx/4Tx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precoder derivation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r>
      <w:tr w:rsidR="00AE0549" w:rsidRPr="00A604A3" w:rsidTr="00267286">
        <w:trPr>
          <w:cantSplit/>
          <w:jc w:val="center"/>
        </w:trPr>
        <w:tc>
          <w:tcPr>
            <w:tcW w:w="525" w:type="pct"/>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Overhead</w:t>
            </w: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PDCCH</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DMRS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val="restart"/>
            <w:shd w:val="clear" w:color="auto" w:fill="auto"/>
            <w:vAlign w:val="center"/>
          </w:tcPr>
          <w:p w:rsidR="00AE0549" w:rsidRPr="00267286" w:rsidRDefault="00AE0549" w:rsidP="00267286">
            <w:pPr>
              <w:pStyle w:val="Tabletext"/>
              <w:rPr>
                <w:bCs/>
                <w:lang w:eastAsia="zh-CN"/>
              </w:rPr>
            </w:pPr>
            <w:r w:rsidRPr="00267286">
              <w:rPr>
                <w:bCs/>
                <w:lang w:eastAsia="zh-CN"/>
              </w:rPr>
              <w:t>CSI-RS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8/32 ports for 8Tx/32Tx</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shd w:val="clear" w:color="auto" w:fill="auto"/>
            <w:vAlign w:val="center"/>
          </w:tcPr>
          <w:p w:rsidR="00AE0549" w:rsidRPr="00267286" w:rsidRDefault="00AE0549" w:rsidP="00267286">
            <w:pPr>
              <w:pStyle w:val="Tabletext"/>
              <w:rPr>
                <w:bCs/>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TDD: 8/32 ports for 8Tx/32Tx </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CSI-RS for IM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SSB</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Channel estimation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Waveform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power class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scheduling</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MIMO mode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SU-MIMO with rank 2 adaptation; </w:t>
            </w:r>
          </w:p>
          <w:p w:rsidR="00AE0549" w:rsidRPr="00A604A3" w:rsidRDefault="00AE0549" w:rsidP="00267286">
            <w:pPr>
              <w:pStyle w:val="Tabletext"/>
              <w:rPr>
                <w:lang w:eastAsia="zh-CN"/>
              </w:rPr>
            </w:pPr>
            <w:r w:rsidRPr="00A604A3">
              <w:rPr>
                <w:lang w:eastAsia="zh-CN"/>
              </w:rPr>
              <w:t>Configuration B: SU-MIMO with rank 2 adaptation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2Tx/4Tx</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precoder scheme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power control</w:t>
            </w:r>
          </w:p>
        </w:tc>
        <w:tc>
          <w:tcPr>
            <w:tcW w:w="1258"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282"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α=0.9</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=-86</m:t>
              </m:r>
            </m:oMath>
            <w:r w:rsidR="00AE0549" w:rsidRPr="00A604A3">
              <w:rPr>
                <w:lang w:eastAsia="zh-CN"/>
              </w:rPr>
              <w:t xml:space="preserve">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B: </w:t>
            </w:r>
            <m:oMath>
              <m:r>
                <m:rPr>
                  <m:sty m:val="p"/>
                </m:rPr>
                <w:rPr>
                  <w:rFonts w:ascii="Cambria Math" w:hAnsi="Cambria Math"/>
                  <w:lang w:eastAsia="zh-CN"/>
                </w:rPr>
                <m:t>α=0.6</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=-60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C: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Power backoff model</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267286">
        <w:trPr>
          <w:cantSplit/>
          <w:jc w:val="center"/>
        </w:trPr>
        <w:tc>
          <w:tcPr>
            <w:tcW w:w="582" w:type="pct"/>
            <w:gridSpan w:val="2"/>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Overhead</w:t>
            </w: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PUCCH</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DMRS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SRS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PTRS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267286">
      <w:pPr>
        <w:pStyle w:val="Tablefin"/>
        <w:rPr>
          <w:lang w:eastAsia="zh-CN"/>
        </w:rPr>
      </w:pPr>
    </w:p>
    <w:p w:rsidR="00AE0549" w:rsidRPr="006853C6" w:rsidRDefault="00AE0549" w:rsidP="00267286">
      <w:pPr>
        <w:pStyle w:val="Headingb"/>
        <w:rPr>
          <w:lang w:val="en-GB"/>
        </w:rPr>
      </w:pPr>
      <w:r w:rsidRPr="006853C6">
        <w:rPr>
          <w:lang w:val="en-GB"/>
        </w:rPr>
        <w:lastRenderedPageBreak/>
        <w:t>Source 1 additional parameters for single-band multi-layer configuration in Dense Urban C for user experienced data rate</w:t>
      </w:r>
    </w:p>
    <w:p w:rsidR="00AE0549" w:rsidRPr="00A604A3" w:rsidRDefault="00AE0549" w:rsidP="00267286">
      <w:pPr>
        <w:spacing w:after="120"/>
        <w:rPr>
          <w:lang w:eastAsia="zh-CN"/>
        </w:rPr>
      </w:pPr>
      <w:r w:rsidRPr="00A604A3">
        <w:rPr>
          <w:lang w:eastAsia="zh-CN"/>
        </w:rPr>
        <w:t>For evaluation of user experienced data rate the following parameters pertaining to micro-layer deployment and UE drop model apply on top of those specified above for Dense Urban Configuration A. Where parameters are not specified, the same settings as for the macro-layer apply.</w:t>
      </w:r>
    </w:p>
    <w:tbl>
      <w:tblPr>
        <w:tblW w:w="3377" w:type="pct"/>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8"/>
        <w:gridCol w:w="3495"/>
      </w:tblGrid>
      <w:tr w:rsidR="00AE0549" w:rsidRPr="00A604A3" w:rsidTr="00267286">
        <w:trPr>
          <w:trHeight w:val="189"/>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head"/>
              <w:jc w:val="left"/>
              <w:rPr>
                <w:lang w:eastAsia="zh-CN"/>
              </w:rPr>
            </w:pPr>
            <w:r w:rsidRPr="00A604A3">
              <w:rPr>
                <w:lang w:eastAsia="zh-CN"/>
              </w:rPr>
              <w:t>Parameters</w:t>
            </w:r>
          </w:p>
        </w:tc>
        <w:tc>
          <w:tcPr>
            <w:tcW w:w="2687" w:type="pct"/>
            <w:shd w:val="clear" w:color="auto" w:fill="auto"/>
            <w:vAlign w:val="center"/>
          </w:tcPr>
          <w:p w:rsidR="00AE0549" w:rsidRPr="00A604A3" w:rsidRDefault="00AE0549" w:rsidP="00267286">
            <w:pPr>
              <w:pStyle w:val="Tablehead"/>
              <w:rPr>
                <w:lang w:eastAsia="zh-CN"/>
              </w:rPr>
            </w:pPr>
            <w:r w:rsidRPr="00A604A3">
              <w:rPr>
                <w:lang w:eastAsia="zh-CN"/>
              </w:rPr>
              <w:t>Values</w:t>
            </w:r>
          </w:p>
        </w:tc>
      </w:tr>
      <w:tr w:rsidR="00AE0549" w:rsidRPr="00A604A3" w:rsidTr="00267286">
        <w:trPr>
          <w:trHeight w:val="191"/>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Micro TRxP drop model</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u.i.i.d. with minimum distance of 40m between any pair of TRxPs. </w:t>
            </w:r>
          </w:p>
        </w:tc>
      </w:tr>
      <w:tr w:rsidR="00AE0549" w:rsidRPr="00A604A3" w:rsidTr="00267286">
        <w:trPr>
          <w:trHeight w:val="194"/>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UE drop model</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 UEs per TRxP.</w:t>
            </w:r>
          </w:p>
          <w:p w:rsidR="00AE0549" w:rsidRPr="00A604A3" w:rsidRDefault="00AE0549" w:rsidP="00267286">
            <w:pPr>
              <w:pStyle w:val="Tabletext"/>
              <w:rPr>
                <w:lang w:eastAsia="zh-CN"/>
              </w:rPr>
            </w:pPr>
            <w:r w:rsidRPr="00A604A3">
              <w:rPr>
                <w:lang w:eastAsia="zh-CN"/>
              </w:rPr>
              <w:t>Macro: u.i.i.d. over macro cell area</w:t>
            </w:r>
          </w:p>
          <w:p w:rsidR="00AE0549" w:rsidRPr="00A604A3" w:rsidRDefault="00AE0549" w:rsidP="00267286">
            <w:pPr>
              <w:pStyle w:val="Tabletext"/>
              <w:rPr>
                <w:lang w:eastAsia="zh-CN"/>
              </w:rPr>
            </w:pPr>
            <w:r w:rsidRPr="00A604A3">
              <w:rPr>
                <w:lang w:eastAsia="zh-CN"/>
              </w:rPr>
              <w:t>Micro: u.i.i.d. within radius of 20m around micro cell.</w:t>
            </w:r>
          </w:p>
        </w:tc>
      </w:tr>
      <w:tr w:rsidR="00AE0549" w:rsidRPr="00A604A3" w:rsidTr="00267286">
        <w:trPr>
          <w:trHeight w:val="191"/>
        </w:trPr>
        <w:tc>
          <w:tcPr>
            <w:tcW w:w="2313" w:type="pct"/>
            <w:shd w:val="clear" w:color="auto" w:fill="auto"/>
            <w:vAlign w:val="center"/>
            <w:hideMark/>
          </w:tcPr>
          <w:p w:rsidR="00AE0549" w:rsidRPr="00A604A3" w:rsidRDefault="00AE0549" w:rsidP="00267286">
            <w:pPr>
              <w:pStyle w:val="Tabletext"/>
              <w:rPr>
                <w:lang w:eastAsia="zh-CN"/>
              </w:rPr>
            </w:pPr>
            <w:r w:rsidRPr="00A604A3">
              <w:rPr>
                <w:lang w:eastAsia="zh-CN"/>
              </w:rPr>
              <w:t>Transmit power per TRxP</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33 dBm</w:t>
            </w:r>
          </w:p>
        </w:tc>
      </w:tr>
      <w:tr w:rsidR="00AE0549" w:rsidRPr="00A604A3" w:rsidTr="00267286">
        <w:trPr>
          <w:trHeight w:val="191"/>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TRxP number per site</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w:t>
            </w:r>
          </w:p>
        </w:tc>
      </w:tr>
      <w:tr w:rsidR="00AE0549" w:rsidRPr="00A604A3" w:rsidTr="00267286">
        <w:trPr>
          <w:trHeight w:val="349"/>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highlight w:val="yellow"/>
                <w:lang w:eastAsia="zh-CN"/>
              </w:rPr>
            </w:pPr>
            <w:r w:rsidRPr="00A604A3">
              <w:rPr>
                <w:lang w:eastAsia="zh-CN"/>
              </w:rPr>
              <w:t>Electronic tilt</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highlight w:val="yellow"/>
                <w:lang w:eastAsia="zh-CN"/>
              </w:rPr>
            </w:pPr>
            <w:r w:rsidRPr="00A604A3">
              <w:rPr>
                <w:lang w:eastAsia="zh-CN"/>
              </w:rPr>
              <w:t>102° in LCS</w:t>
            </w:r>
          </w:p>
        </w:tc>
      </w:tr>
    </w:tbl>
    <w:p w:rsidR="00AE0549" w:rsidRPr="00A604A3" w:rsidRDefault="00AE0549" w:rsidP="00267286">
      <w:pPr>
        <w:pStyle w:val="Tablefin"/>
        <w:rPr>
          <w:lang w:eastAsia="zh-CN"/>
        </w:rPr>
      </w:pPr>
    </w:p>
    <w:p w:rsidR="00AE0549" w:rsidRPr="006853C6" w:rsidRDefault="00AE0549" w:rsidP="00267286">
      <w:pPr>
        <w:pStyle w:val="Headingb"/>
        <w:rPr>
          <w:lang w:val="en-GB"/>
        </w:rPr>
      </w:pPr>
      <w:r w:rsidRPr="006853C6">
        <w:rPr>
          <w:lang w:val="en-GB"/>
        </w:rPr>
        <w:t>Source 2 with user experienced data evaluation assumption</w:t>
      </w:r>
    </w:p>
    <w:p w:rsidR="00AE0549" w:rsidRPr="00A604A3" w:rsidRDefault="00AE0549" w:rsidP="00267286">
      <w:pPr>
        <w:spacing w:after="120"/>
        <w:rPr>
          <w:lang w:eastAsia="zh-CN"/>
        </w:rPr>
      </w:pPr>
      <w:r w:rsidRPr="00A604A3">
        <w:rPr>
          <w:lang w:eastAsia="zh-CN"/>
        </w:rPr>
        <w:t>For evaluation configuration A, the evaluation assumption is the same as that of spectral efficiency evaluation in Dense Urban – eMBB test environment. The following assumption is applied in the evaluation configuration C (multi-layer) for user experienced data evaluation.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1504"/>
        <w:gridCol w:w="3127"/>
        <w:gridCol w:w="3495"/>
      </w:tblGrid>
      <w:tr w:rsidR="00AE0549" w:rsidRPr="00A604A3" w:rsidTr="00AB6936">
        <w:trPr>
          <w:trHeight w:val="189"/>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head"/>
              <w:jc w:val="left"/>
              <w:rPr>
                <w:lang w:eastAsia="zh-CN"/>
              </w:rPr>
            </w:pPr>
            <w:r w:rsidRPr="00AB6936">
              <w:rPr>
                <w:lang w:eastAsia="zh-CN"/>
              </w:rPr>
              <w:t>Parameters</w:t>
            </w:r>
          </w:p>
        </w:tc>
        <w:tc>
          <w:tcPr>
            <w:tcW w:w="3439" w:type="pct"/>
            <w:gridSpan w:val="2"/>
            <w:shd w:val="clear" w:color="auto" w:fill="auto"/>
          </w:tcPr>
          <w:p w:rsidR="00AE0549" w:rsidRPr="00A604A3" w:rsidRDefault="00AE0549" w:rsidP="00AB6936">
            <w:pPr>
              <w:pStyle w:val="Tablehead"/>
              <w:rPr>
                <w:lang w:eastAsia="zh-CN"/>
              </w:rPr>
            </w:pPr>
            <w:r w:rsidRPr="00A604A3">
              <w:rPr>
                <w:lang w:eastAsia="zh-CN"/>
              </w:rPr>
              <w:t>Values</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head"/>
              <w:jc w:val="left"/>
              <w:rPr>
                <w:lang w:eastAsia="zh-CN"/>
              </w:rPr>
            </w:pPr>
            <w:r w:rsidRPr="00AB6936">
              <w:rPr>
                <w:lang w:eastAsia="zh-CN"/>
              </w:rPr>
              <w:t>Test environment</w:t>
            </w:r>
          </w:p>
        </w:tc>
        <w:tc>
          <w:tcPr>
            <w:tcW w:w="1624" w:type="pct"/>
            <w:shd w:val="clear" w:color="auto" w:fill="auto"/>
            <w:tcMar>
              <w:top w:w="15" w:type="dxa"/>
              <w:left w:w="22" w:type="dxa"/>
              <w:bottom w:w="0" w:type="dxa"/>
              <w:right w:w="22" w:type="dxa"/>
            </w:tcMar>
            <w:hideMark/>
          </w:tcPr>
          <w:p w:rsidR="00AE0549" w:rsidRPr="00A604A3" w:rsidRDefault="00AE0549" w:rsidP="00AB6936">
            <w:pPr>
              <w:pStyle w:val="Tablehead"/>
              <w:rPr>
                <w:lang w:eastAsia="zh-CN"/>
              </w:rPr>
            </w:pPr>
            <w:r w:rsidRPr="00A604A3">
              <w:rPr>
                <w:lang w:eastAsia="zh-CN"/>
              </w:rPr>
              <w:t>Dense Urban – eMBB</w:t>
            </w:r>
          </w:p>
        </w:tc>
        <w:tc>
          <w:tcPr>
            <w:tcW w:w="1815" w:type="pct"/>
            <w:shd w:val="clear" w:color="auto" w:fill="auto"/>
            <w:tcMar>
              <w:top w:w="15" w:type="dxa"/>
              <w:left w:w="22" w:type="dxa"/>
              <w:bottom w:w="0" w:type="dxa"/>
              <w:right w:w="22" w:type="dxa"/>
            </w:tcMar>
            <w:hideMark/>
          </w:tcPr>
          <w:p w:rsidR="00AE0549" w:rsidRPr="00A604A3" w:rsidRDefault="00AE0549" w:rsidP="00AB6936">
            <w:pPr>
              <w:pStyle w:val="Tablehead"/>
              <w:rPr>
                <w:lang w:eastAsia="zh-CN"/>
              </w:rPr>
            </w:pPr>
            <w:r w:rsidRPr="00A604A3">
              <w:rPr>
                <w:lang w:eastAsia="zh-CN"/>
              </w:rPr>
              <w:t>Dense Urban – eMBB</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Evaluation configuration</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C </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Channel model</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r>
      <w:tr w:rsidR="00AE0549" w:rsidRPr="00A604A3" w:rsidTr="00AB6936">
        <w:trPr>
          <w:trHeight w:val="194"/>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ISD</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200m</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200m</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Frame structure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UUUUU (FDD)</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Carrier frequency</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r>
      <w:tr w:rsidR="00AE0549" w:rsidRPr="00A604A3" w:rsidTr="00AB6936">
        <w:trPr>
          <w:trHeight w:val="191"/>
          <w:jc w:val="center"/>
        </w:trPr>
        <w:tc>
          <w:tcPr>
            <w:tcW w:w="1561" w:type="pct"/>
            <w:gridSpan w:val="2"/>
            <w:shd w:val="clear" w:color="auto" w:fill="auto"/>
            <w:vAlign w:val="center"/>
            <w:hideMark/>
          </w:tcPr>
          <w:p w:rsidR="00AE0549" w:rsidRPr="00AB6936" w:rsidRDefault="00AE0549" w:rsidP="00AB6936">
            <w:pPr>
              <w:pStyle w:val="Tabletext"/>
              <w:rPr>
                <w:b/>
                <w:lang w:eastAsia="zh-CN"/>
              </w:rPr>
            </w:pPr>
            <w:r w:rsidRPr="00AB6936">
              <w:rPr>
                <w:b/>
                <w:lang w:eastAsia="zh-CN"/>
              </w:rPr>
              <w:t>Simulation bandwidth</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 MHz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80 MHz</w:t>
            </w:r>
          </w:p>
        </w:tc>
      </w:tr>
      <w:tr w:rsidR="00AE0549" w:rsidRPr="00A604A3" w:rsidTr="00AB6936">
        <w:trPr>
          <w:trHeight w:val="400"/>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Subcarrier spacing</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60 kHz</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symbols per slot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AB6936">
        <w:trPr>
          <w:trHeight w:val="834"/>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antenna elements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32Tx: 64Tx cross-polarized antennas</w:t>
            </w:r>
          </w:p>
          <w:p w:rsidR="00AE0549" w:rsidRPr="00A604A3" w:rsidRDefault="00AE0549" w:rsidP="00267286">
            <w:pPr>
              <w:pStyle w:val="Tabletext"/>
              <w:rPr>
                <w:lang w:eastAsia="zh-CN"/>
              </w:rPr>
            </w:pPr>
            <w:r w:rsidRPr="00A604A3">
              <w:rPr>
                <w:lang w:eastAsia="zh-CN"/>
              </w:rPr>
              <w:t>(M,N,P,Mg,Ng;Mp,Np) = (8,8,2,1,1;2,8)</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 For 32Tx: 128Tx cross-polarized antennas</w:t>
            </w:r>
          </w:p>
          <w:p w:rsidR="00AE0549" w:rsidRPr="00A604A3" w:rsidRDefault="00AE0549" w:rsidP="00267286">
            <w:pPr>
              <w:pStyle w:val="Tabletext"/>
              <w:rPr>
                <w:lang w:eastAsia="zh-CN"/>
              </w:rPr>
            </w:pPr>
            <w:r w:rsidRPr="00A604A3">
              <w:rPr>
                <w:lang w:eastAsia="zh-CN"/>
              </w:rPr>
              <w:t xml:space="preserve"> (M,N,P,Mg,Ng;Mp,Np) = (4,8,2,2,2; 1,4)</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TXRU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2-to-8</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1-to-4 and horizontal 1 to 2</w:t>
            </w:r>
          </w:p>
        </w:tc>
      </w:tr>
      <w:tr w:rsidR="00AE0549" w:rsidRPr="00A604A3" w:rsidTr="00AB6936">
        <w:trPr>
          <w:trHeight w:val="572"/>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antenna elements per UE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4Rx with 0°and 90° polarization</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8Rx with 0°and 90° polarization</w:t>
            </w:r>
          </w:p>
          <w:p w:rsidR="00AE0549" w:rsidRPr="00A604A3" w:rsidRDefault="00AE0549" w:rsidP="00267286">
            <w:pPr>
              <w:pStyle w:val="Tabletext"/>
              <w:rPr>
                <w:lang w:eastAsia="zh-CN"/>
              </w:rPr>
            </w:pPr>
            <w:r w:rsidRPr="00A604A3">
              <w:rPr>
                <w:lang w:eastAsia="zh-CN"/>
              </w:rPr>
              <w:t>(M,N,P,Mg,Ng; Mp,Np) =  (2,4,2,1,2; 1,2)</w:t>
            </w:r>
          </w:p>
        </w:tc>
      </w:tr>
      <w:tr w:rsidR="00AE0549" w:rsidRPr="00A604A3" w:rsidTr="00AB6936">
        <w:trPr>
          <w:trHeight w:val="191"/>
          <w:jc w:val="center"/>
        </w:trPr>
        <w:tc>
          <w:tcPr>
            <w:tcW w:w="1561" w:type="pct"/>
            <w:gridSpan w:val="2"/>
            <w:shd w:val="clear" w:color="auto" w:fill="auto"/>
            <w:vAlign w:val="center"/>
            <w:hideMark/>
          </w:tcPr>
          <w:p w:rsidR="00AE0549" w:rsidRPr="00AB6936" w:rsidRDefault="00AE0549" w:rsidP="00AB6936">
            <w:pPr>
              <w:pStyle w:val="Tabletext"/>
              <w:rPr>
                <w:b/>
                <w:lang w:eastAsia="zh-CN"/>
              </w:rPr>
            </w:pPr>
            <w:r w:rsidRPr="00AB6936">
              <w:rPr>
                <w:b/>
                <w:lang w:eastAsia="zh-CN"/>
              </w:rPr>
              <w:t>Transmit power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41 dBm</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40 dBm</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TRxP number per site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Mechanic tilt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AB6936">
        <w:trPr>
          <w:trHeight w:val="349"/>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lastRenderedPageBreak/>
              <w:t>Electronic tilt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(According to Zenith angle in "Beam set at TRxP")</w:t>
            </w:r>
          </w:p>
        </w:tc>
      </w:tr>
      <w:tr w:rsidR="00AE0549" w:rsidRPr="00A604A3" w:rsidTr="00AB6936">
        <w:trPr>
          <w:trHeight w:val="227"/>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Beam set at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direction of TRxP analog beam steering (in LCS):</w:t>
            </w:r>
          </w:p>
          <w:p w:rsidR="00AE0549" w:rsidRPr="00A604A3" w:rsidRDefault="00AE0549" w:rsidP="00267286">
            <w:pPr>
              <w:pStyle w:val="Tabletext"/>
              <w:rPr>
                <w:lang w:eastAsia="zh-CN"/>
              </w:rPr>
            </w:pPr>
            <w:r w:rsidRPr="00A604A3">
              <w:rPr>
                <w:lang w:eastAsia="zh-CN"/>
              </w:rPr>
              <w:t xml:space="preserve">Azimuth angle φi = [-pi/4, pi/4] </w:t>
            </w:r>
          </w:p>
          <w:p w:rsidR="00AE0549" w:rsidRPr="00A604A3" w:rsidRDefault="00AE0549" w:rsidP="00267286">
            <w:pPr>
              <w:pStyle w:val="Tabletext"/>
              <w:rPr>
                <w:lang w:eastAsia="zh-CN"/>
              </w:rPr>
            </w:pPr>
            <w:r w:rsidRPr="00A604A3">
              <w:rPr>
                <w:lang w:eastAsia="zh-CN"/>
              </w:rPr>
              <w:t>Zenith angle θj = 7*pi/12</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Beam set at UE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direction of UE analog beam steering (in LCS):</w:t>
            </w:r>
          </w:p>
          <w:p w:rsidR="00AE0549" w:rsidRPr="00A604A3" w:rsidRDefault="00AE0549" w:rsidP="00267286">
            <w:pPr>
              <w:pStyle w:val="Tabletext"/>
              <w:rPr>
                <w:lang w:eastAsia="zh-CN"/>
              </w:rPr>
            </w:pPr>
            <w:r w:rsidRPr="00A604A3">
              <w:rPr>
                <w:lang w:eastAsia="zh-CN"/>
              </w:rPr>
              <w:t>Azimuth angle φi = [-pi/4, pi/4]</w:t>
            </w:r>
          </w:p>
          <w:p w:rsidR="00AE0549" w:rsidRPr="00A604A3" w:rsidRDefault="00AE0549" w:rsidP="00267286">
            <w:pPr>
              <w:pStyle w:val="Tabletext"/>
              <w:rPr>
                <w:lang w:eastAsia="zh-CN"/>
              </w:rPr>
            </w:pPr>
            <w:r w:rsidRPr="00A604A3">
              <w:rPr>
                <w:lang w:eastAsia="zh-CN"/>
              </w:rPr>
              <w:t>Zenith angle θj = [pi/4, 3*pi/4];</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UT attachment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w:t>
            </w:r>
            <w:r w:rsidRPr="00A604A3">
              <w:t xml:space="preserve"> </w:t>
            </w:r>
            <w:r w:rsidRPr="00A604A3">
              <w:rPr>
                <w:lang w:eastAsia="zh-CN"/>
              </w:rPr>
              <w:t>Maximizing RSRP with best analog beam pair, where the digital beamforming is not considered</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Guard band ratio</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spacing w:val="-10"/>
                <w:lang w:eastAsia="zh-CN"/>
              </w:rPr>
            </w:pPr>
            <w:r w:rsidRPr="00A604A3">
              <w:rPr>
                <w:spacing w:val="-10"/>
                <w:lang w:eastAsia="zh-CN"/>
              </w:rPr>
              <w:t>6.4</w:t>
            </w:r>
            <w:r w:rsidR="00AA0B2B">
              <w:rPr>
                <w:spacing w:val="-10"/>
                <w:lang w:eastAsia="zh-CN"/>
              </w:rPr>
              <w:t>%</w:t>
            </w:r>
            <w:r w:rsidRPr="00A604A3">
              <w:rPr>
                <w:spacing w:val="-10"/>
                <w:lang w:eastAsia="zh-CN"/>
              </w:rPr>
              <w:t xml:space="preserve"> for 15 kHz SCS (for 10 MHz)</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5.5</w:t>
            </w:r>
            <w:r w:rsidR="00AA0B2B">
              <w:rPr>
                <w:lang w:eastAsia="zh-CN"/>
              </w:rPr>
              <w:t>%</w:t>
            </w:r>
            <w:r w:rsidRPr="00A604A3">
              <w:rPr>
                <w:lang w:eastAsia="zh-CN"/>
              </w:rPr>
              <w:t xml:space="preserve"> for 60 kHz SCS (for 80 MHz) </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BS receiver type</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SRS transmission</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Channel estimation</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Waveform</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UE power class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scheduling</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MIMO mode</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 with the best panel</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UE precoder scheme</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power control</w:t>
            </w:r>
          </w:p>
        </w:tc>
        <w:tc>
          <w:tcPr>
            <w:tcW w:w="1624" w:type="pct"/>
            <w:shd w:val="clear" w:color="auto" w:fill="auto"/>
            <w:tcMar>
              <w:top w:w="15" w:type="dxa"/>
              <w:left w:w="22" w:type="dxa"/>
              <w:bottom w:w="0" w:type="dxa"/>
              <w:right w:w="22" w:type="dxa"/>
            </w:tcMar>
            <w:vAlign w:val="center"/>
          </w:tcPr>
          <w:p w:rsidR="00AE0549" w:rsidRPr="00A604A3" w:rsidRDefault="00AB693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815" w:type="pct"/>
            <w:shd w:val="clear" w:color="auto" w:fill="auto"/>
            <w:tcMar>
              <w:top w:w="15" w:type="dxa"/>
              <w:left w:w="22" w:type="dxa"/>
              <w:bottom w:w="0" w:type="dxa"/>
              <w:right w:w="22" w:type="dxa"/>
            </w:tcMar>
            <w:vAlign w:val="center"/>
          </w:tcPr>
          <w:p w:rsidR="00AE0549" w:rsidRPr="00A604A3" w:rsidRDefault="00AB693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Power backoff model</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AB6936">
        <w:trPr>
          <w:trHeight w:val="183"/>
          <w:jc w:val="center"/>
        </w:trPr>
        <w:tc>
          <w:tcPr>
            <w:tcW w:w="780" w:type="pct"/>
            <w:vMerge w:val="restart"/>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Overhead</w:t>
            </w: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PUCCH</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DMRS</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SRS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PTRS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470885">
      <w:pPr>
        <w:spacing w:before="0"/>
        <w:rPr>
          <w:rFonts w:eastAsia="SimSun"/>
          <w:szCs w:val="24"/>
          <w:lang w:eastAsia="zh-CN"/>
        </w:rPr>
      </w:pPr>
    </w:p>
    <w:p w:rsidR="00AB6936" w:rsidRDefault="00AB6936" w:rsidP="00AB6936">
      <w:pPr>
        <w:pStyle w:val="AnnexNo"/>
      </w:pPr>
      <w:bookmarkStart w:id="699" w:name="_Toc32412992"/>
      <w:r>
        <w:t>Annex C</w:t>
      </w:r>
      <w:bookmarkEnd w:id="699"/>
    </w:p>
    <w:p w:rsidR="00AE0549" w:rsidRPr="00A604A3" w:rsidRDefault="00AE0549" w:rsidP="00AB6936">
      <w:pPr>
        <w:pStyle w:val="Annextitle"/>
      </w:pPr>
      <w:bookmarkStart w:id="700" w:name="_Toc32412993"/>
      <w:r w:rsidRPr="00A604A3">
        <w:t>Link-level simulation parameters</w:t>
      </w:r>
      <w:bookmarkEnd w:id="700"/>
    </w:p>
    <w:p w:rsidR="00AE0549" w:rsidRDefault="00AE0549" w:rsidP="00AB6936">
      <w:pPr>
        <w:pStyle w:val="Normalaftertitle"/>
      </w:pPr>
      <w:r w:rsidRPr="00A604A3">
        <w:t xml:space="preserve">The following document lists the simulation parameters introduced in the physical layer of 5G New Radio Rel-15 for link-level simulations. The obtained results were employed as an input to the system-level simulations presented in the Evaluation Report from the 5G Infrastructure Association </w:t>
      </w:r>
      <w:r w:rsidRPr="00A604A3">
        <w:lastRenderedPageBreak/>
        <w:t>on the IMT-2020 proposal. The parameters apply to both Physical Downlink Shared Channel (PDSCH) and Physical Uplink Shared Channel (PUSCH).</w:t>
      </w:r>
    </w:p>
    <w:p w:rsidR="00AB6936" w:rsidRPr="00AB6936" w:rsidRDefault="00AB6936" w:rsidP="00AB6936">
      <w:pPr>
        <w:pStyle w:val="TableNo"/>
      </w:pPr>
      <w:r>
        <w:t>Table 138</w:t>
      </w:r>
    </w:p>
    <w:p w:rsidR="00AB6936" w:rsidRPr="00A604A3" w:rsidRDefault="00AB6936" w:rsidP="00AB6936">
      <w:pPr>
        <w:pStyle w:val="Tabletitle"/>
      </w:pPr>
      <w:bookmarkStart w:id="701" w:name="_Ref24383227"/>
      <w:bookmarkStart w:id="702" w:name="_Toc32066530"/>
      <w:r w:rsidRPr="00A604A3">
        <w:t>Link-level simulation parameters for PDSCH and PUSCH.</w:t>
      </w:r>
      <w:bookmarkEnd w:id="701"/>
      <w:bookmarkEnd w:id="702"/>
    </w:p>
    <w:tbl>
      <w:tblPr>
        <w:tblStyle w:val="TableGrid"/>
        <w:tblW w:w="3778" w:type="pct"/>
        <w:jc w:val="center"/>
        <w:tblLayout w:type="fixed"/>
        <w:tblLook w:val="04A0" w:firstRow="1" w:lastRow="0" w:firstColumn="1" w:lastColumn="0" w:noHBand="0" w:noVBand="1"/>
      </w:tblPr>
      <w:tblGrid>
        <w:gridCol w:w="3370"/>
        <w:gridCol w:w="3906"/>
      </w:tblGrid>
      <w:tr w:rsidR="00AE0549" w:rsidRPr="00A604A3" w:rsidTr="00AB6936">
        <w:trPr>
          <w:trHeight w:val="20"/>
          <w:jc w:val="center"/>
        </w:trPr>
        <w:tc>
          <w:tcPr>
            <w:tcW w:w="2316" w:type="pct"/>
            <w:hideMark/>
          </w:tcPr>
          <w:p w:rsidR="00AE0549" w:rsidRPr="00A604A3" w:rsidRDefault="00AE0549" w:rsidP="00AB6936">
            <w:pPr>
              <w:pStyle w:val="Tablehead"/>
              <w:jc w:val="left"/>
              <w:rPr>
                <w:lang w:eastAsia="zh-CN"/>
              </w:rPr>
            </w:pPr>
            <w:r w:rsidRPr="00A604A3">
              <w:rPr>
                <w:lang w:eastAsia="zh-CN"/>
              </w:rPr>
              <w:t>Parameter</w:t>
            </w:r>
          </w:p>
        </w:tc>
        <w:tc>
          <w:tcPr>
            <w:tcW w:w="2684" w:type="pct"/>
            <w:hideMark/>
          </w:tcPr>
          <w:p w:rsidR="00AE0549" w:rsidRPr="00A604A3" w:rsidRDefault="00AE0549" w:rsidP="00AB6936">
            <w:pPr>
              <w:pStyle w:val="Tablehead"/>
              <w:rPr>
                <w:lang w:eastAsia="zh-CN"/>
              </w:rPr>
            </w:pPr>
            <w:r w:rsidRPr="00A604A3">
              <w:rPr>
                <w:lang w:eastAsia="zh-CN"/>
              </w:rPr>
              <w:t>Value</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subframes simulated</w:t>
            </w:r>
          </w:p>
        </w:tc>
        <w:tc>
          <w:tcPr>
            <w:tcW w:w="2684" w:type="pct"/>
          </w:tcPr>
          <w:p w:rsidR="00AE0549" w:rsidRPr="00A604A3" w:rsidRDefault="00AE0549" w:rsidP="00AB6936">
            <w:pPr>
              <w:pStyle w:val="Tabletext"/>
              <w:jc w:val="center"/>
              <w:rPr>
                <w:lang w:eastAsia="zh-CN"/>
              </w:rPr>
            </w:pPr>
            <w:r w:rsidRPr="00A604A3">
              <w:rPr>
                <w:lang w:eastAsia="zh-CN"/>
              </w:rPr>
              <w:t>5000</w:t>
            </w:r>
          </w:p>
        </w:tc>
      </w:tr>
      <w:tr w:rsidR="00AE0549" w:rsidRPr="00A604A3" w:rsidTr="00AB6936">
        <w:trPr>
          <w:trHeight w:val="230"/>
          <w:jc w:val="center"/>
        </w:trPr>
        <w:tc>
          <w:tcPr>
            <w:tcW w:w="2316" w:type="pct"/>
          </w:tcPr>
          <w:p w:rsidR="00AE0549" w:rsidRPr="00A604A3" w:rsidRDefault="00AE0549" w:rsidP="00AB6936">
            <w:pPr>
              <w:pStyle w:val="Tabletext"/>
              <w:rPr>
                <w:lang w:eastAsia="zh-CN"/>
              </w:rPr>
            </w:pPr>
            <w:r w:rsidRPr="00A604A3">
              <w:rPr>
                <w:lang w:eastAsia="zh-CN"/>
              </w:rPr>
              <w:t xml:space="preserve">Channel </w:t>
            </w:r>
          </w:p>
        </w:tc>
        <w:tc>
          <w:tcPr>
            <w:tcW w:w="2684" w:type="pct"/>
          </w:tcPr>
          <w:p w:rsidR="00AE0549" w:rsidRPr="00A604A3" w:rsidRDefault="00AE0549" w:rsidP="00AB6936">
            <w:pPr>
              <w:pStyle w:val="Tabletext"/>
              <w:jc w:val="center"/>
              <w:rPr>
                <w:lang w:eastAsia="zh-CN"/>
              </w:rPr>
            </w:pPr>
            <w:r w:rsidRPr="00A604A3">
              <w:rPr>
                <w:lang w:eastAsia="zh-CN"/>
              </w:rPr>
              <w:t>AWGN</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Bandwidth</w:t>
            </w:r>
          </w:p>
        </w:tc>
        <w:tc>
          <w:tcPr>
            <w:tcW w:w="2684" w:type="pct"/>
          </w:tcPr>
          <w:p w:rsidR="00AE0549" w:rsidRPr="00A604A3" w:rsidRDefault="00AE0549" w:rsidP="00AB6936">
            <w:pPr>
              <w:pStyle w:val="Tabletext"/>
              <w:jc w:val="center"/>
              <w:rPr>
                <w:lang w:eastAsia="zh-CN"/>
              </w:rPr>
            </w:pPr>
            <w:r w:rsidRPr="00A604A3">
              <w:rPr>
                <w:lang w:eastAsia="zh-CN"/>
              </w:rPr>
              <w:t>10 MHz</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Effective bandwidth</w:t>
            </w:r>
          </w:p>
        </w:tc>
        <w:tc>
          <w:tcPr>
            <w:tcW w:w="2684" w:type="pct"/>
          </w:tcPr>
          <w:p w:rsidR="00AE0549" w:rsidRPr="00A604A3" w:rsidRDefault="00AE0549" w:rsidP="00AB6936">
            <w:pPr>
              <w:pStyle w:val="Tabletext"/>
              <w:jc w:val="center"/>
              <w:rPr>
                <w:lang w:eastAsia="zh-CN"/>
              </w:rPr>
            </w:pPr>
            <w:r w:rsidRPr="00A604A3">
              <w:rPr>
                <w:lang w:eastAsia="zh-CN"/>
              </w:rPr>
              <w:t>93.75%</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Numerology</w:t>
            </w:r>
          </w:p>
        </w:tc>
        <w:tc>
          <w:tcPr>
            <w:tcW w:w="2684" w:type="pct"/>
          </w:tcPr>
          <w:p w:rsidR="00AE0549" w:rsidRPr="00A604A3" w:rsidRDefault="00AE0549" w:rsidP="00AB6936">
            <w:pPr>
              <w:pStyle w:val="Tabletext"/>
              <w:jc w:val="center"/>
              <w:rPr>
                <w:lang w:eastAsia="zh-CN"/>
              </w:rPr>
            </w:pPr>
            <w:r w:rsidRPr="00A604A3">
              <w:rPr>
                <w:lang w:eastAsia="zh-CN"/>
              </w:rPr>
              <w:t>0</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Carrier spacing</w:t>
            </w:r>
          </w:p>
        </w:tc>
        <w:tc>
          <w:tcPr>
            <w:tcW w:w="2684" w:type="pct"/>
          </w:tcPr>
          <w:p w:rsidR="00AE0549" w:rsidRPr="00A604A3" w:rsidRDefault="00AE0549" w:rsidP="00AB6936">
            <w:pPr>
              <w:pStyle w:val="Tabletext"/>
              <w:jc w:val="center"/>
              <w:rPr>
                <w:lang w:eastAsia="zh-CN"/>
              </w:rPr>
            </w:pPr>
            <w:r w:rsidRPr="00A604A3">
              <w:rPr>
                <w:lang w:eastAsia="zh-CN"/>
              </w:rPr>
              <w:t>15 kHz</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Cyclic prefix</w:t>
            </w:r>
          </w:p>
        </w:tc>
        <w:tc>
          <w:tcPr>
            <w:tcW w:w="2684" w:type="pct"/>
          </w:tcPr>
          <w:p w:rsidR="00AE0549" w:rsidRPr="00A604A3" w:rsidRDefault="00AE0549" w:rsidP="00AB6936">
            <w:pPr>
              <w:pStyle w:val="Tabletext"/>
              <w:jc w:val="center"/>
              <w:rPr>
                <w:lang w:eastAsia="zh-CN"/>
              </w:rPr>
            </w:pPr>
            <w:r w:rsidRPr="00A604A3">
              <w:rPr>
                <w:lang w:eastAsia="zh-CN"/>
              </w:rPr>
              <w:t>Normal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DMRS symbols per slot</w:t>
            </w:r>
          </w:p>
        </w:tc>
        <w:tc>
          <w:tcPr>
            <w:tcW w:w="2684" w:type="pct"/>
          </w:tcPr>
          <w:p w:rsidR="00AE0549" w:rsidRPr="00A604A3" w:rsidRDefault="00AE0549" w:rsidP="00AB6936">
            <w:pPr>
              <w:pStyle w:val="Tabletext"/>
              <w:jc w:val="center"/>
              <w:rPr>
                <w:lang w:eastAsia="zh-CN"/>
              </w:rPr>
            </w:pPr>
            <w:r w:rsidRPr="00A604A3">
              <w:rPr>
                <w:lang w:eastAsia="zh-CN"/>
              </w:rPr>
              <w:t>2</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DMRS configuration type</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layers</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TX/RX antennas</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Channel estimation method</w:t>
            </w:r>
          </w:p>
        </w:tc>
        <w:tc>
          <w:tcPr>
            <w:tcW w:w="2684" w:type="pct"/>
          </w:tcPr>
          <w:p w:rsidR="00AE0549" w:rsidRPr="00A604A3" w:rsidRDefault="00AE0549" w:rsidP="00AB6936">
            <w:pPr>
              <w:pStyle w:val="Tabletext"/>
              <w:jc w:val="center"/>
              <w:rPr>
                <w:lang w:eastAsia="zh-CN"/>
              </w:rPr>
            </w:pPr>
            <w:r w:rsidRPr="00A604A3">
              <w:rPr>
                <w:lang w:eastAsia="zh-CN"/>
              </w:rPr>
              <w:t>Ideal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Modulation demapper</w:t>
            </w:r>
          </w:p>
        </w:tc>
        <w:tc>
          <w:tcPr>
            <w:tcW w:w="2684" w:type="pct"/>
          </w:tcPr>
          <w:p w:rsidR="00AE0549" w:rsidRPr="00A604A3" w:rsidRDefault="00AE0549" w:rsidP="00AB6936">
            <w:pPr>
              <w:pStyle w:val="Tabletext"/>
              <w:jc w:val="center"/>
              <w:rPr>
                <w:lang w:eastAsia="zh-CN"/>
              </w:rPr>
            </w:pPr>
            <w:r w:rsidRPr="00A604A3">
              <w:rPr>
                <w:lang w:eastAsia="zh-CN"/>
              </w:rPr>
              <w:t>Maximum Likelihood (ML)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Minimum Block Error Rate</w:t>
            </w:r>
          </w:p>
        </w:tc>
        <w:tc>
          <w:tcPr>
            <w:tcW w:w="2684" w:type="pct"/>
          </w:tcPr>
          <w:p w:rsidR="00AE0549" w:rsidRPr="00A604A3" w:rsidRDefault="00AE0549" w:rsidP="00AB6936">
            <w:pPr>
              <w:pStyle w:val="Tabletext"/>
              <w:jc w:val="center"/>
              <w:rPr>
                <w:lang w:eastAsia="zh-CN"/>
              </w:rPr>
            </w:pPr>
            <w:r w:rsidRPr="00A604A3">
              <w:rPr>
                <w:lang w:eastAsia="zh-CN"/>
              </w:rPr>
              <w:t>BLER ≤ 10</w:t>
            </w:r>
            <w:r w:rsidRPr="00A604A3">
              <w:rPr>
                <w:vertAlign w:val="superscript"/>
                <w:lang w:eastAsia="zh-CN"/>
              </w:rPr>
              <w:t>-3</w:t>
            </w:r>
            <w:r w:rsidRPr="00A604A3">
              <w:rPr>
                <w:lang w:eastAsia="zh-CN"/>
              </w:rPr>
              <w:t xml:space="preserve"> (0.1%)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Stop criterion per CNR</w:t>
            </w:r>
          </w:p>
        </w:tc>
        <w:tc>
          <w:tcPr>
            <w:tcW w:w="2684" w:type="pct"/>
          </w:tcPr>
          <w:p w:rsidR="00AE0549" w:rsidRPr="00A604A3" w:rsidRDefault="00AE0549" w:rsidP="00AB6936">
            <w:pPr>
              <w:pStyle w:val="Tabletext"/>
              <w:jc w:val="center"/>
              <w:rPr>
                <w:lang w:eastAsia="zh-CN"/>
              </w:rPr>
            </w:pPr>
            <w:r w:rsidRPr="00A604A3">
              <w:rPr>
                <w:lang w:eastAsia="zh-CN"/>
              </w:rPr>
              <w:t>500 erroneous subframes</w:t>
            </w:r>
          </w:p>
        </w:tc>
      </w:tr>
    </w:tbl>
    <w:p w:rsidR="00AE0549" w:rsidRPr="00A604A3" w:rsidRDefault="00AE0549" w:rsidP="00AB6936">
      <w:pPr>
        <w:pStyle w:val="Tablefin"/>
        <w:rPr>
          <w:lang w:eastAsia="zh-CN"/>
        </w:rPr>
      </w:pPr>
    </w:p>
    <w:p w:rsidR="00AE0549" w:rsidRPr="00A604A3" w:rsidRDefault="00AE0549" w:rsidP="00470885">
      <w:pPr>
        <w:spacing w:before="0"/>
        <w:rPr>
          <w:rFonts w:eastAsia="SimSun"/>
          <w:szCs w:val="24"/>
          <w:lang w:eastAsia="zh-CN"/>
        </w:rPr>
      </w:pPr>
      <w:r w:rsidRPr="00A604A3">
        <w:rPr>
          <w:rFonts w:eastAsia="SimSun"/>
          <w:szCs w:val="24"/>
          <w:lang w:eastAsia="zh-CN"/>
        </w:rPr>
        <w:br w:type="page"/>
      </w:r>
    </w:p>
    <w:p w:rsidR="00AE0549" w:rsidRPr="00A604A3" w:rsidRDefault="00AE0549" w:rsidP="00AB6936">
      <w:pPr>
        <w:pStyle w:val="Reftitle"/>
        <w:rPr>
          <w:b/>
        </w:rPr>
      </w:pPr>
      <w:r w:rsidRPr="00A604A3">
        <w:lastRenderedPageBreak/>
        <w:t>References</w:t>
      </w:r>
    </w:p>
    <w:p w:rsidR="00AE0549" w:rsidRPr="00A604A3" w:rsidRDefault="00AB6936" w:rsidP="00AB6936">
      <w:pPr>
        <w:pStyle w:val="Reftext"/>
      </w:pPr>
      <w:bookmarkStart w:id="703" w:name="_Ref536805370"/>
      <w:r>
        <w:t>[1]</w:t>
      </w:r>
      <w:r>
        <w:tab/>
      </w:r>
      <w:r w:rsidR="00AE0549" w:rsidRPr="00A604A3">
        <w:t>ITU-R: Minimum requirements related to technical performance for IMT-2020 radio interface(s). Report ITU-R M.2410-0, (11/2017).</w:t>
      </w:r>
      <w:bookmarkEnd w:id="703"/>
    </w:p>
    <w:p w:rsidR="00AE0549" w:rsidRPr="00A604A3" w:rsidRDefault="00AB6936" w:rsidP="00AB6936">
      <w:pPr>
        <w:pStyle w:val="Reftext"/>
      </w:pPr>
      <w:bookmarkStart w:id="704" w:name="_Ref536805376"/>
      <w:r>
        <w:t>[2]</w:t>
      </w:r>
      <w:r>
        <w:tab/>
      </w:r>
      <w:r w:rsidR="00AE0549" w:rsidRPr="00A604A3">
        <w:t>ITU-R: Requirements, evaluation criteria and submission templates for the development of IMT-2020. Report ITU-R M.2411-0, (11/2017).</w:t>
      </w:r>
      <w:bookmarkEnd w:id="704"/>
    </w:p>
    <w:p w:rsidR="00AE0549" w:rsidRPr="00A604A3" w:rsidRDefault="00AB6936" w:rsidP="00AB6936">
      <w:pPr>
        <w:pStyle w:val="Reftext"/>
      </w:pPr>
      <w:bookmarkStart w:id="705" w:name="_Ref536805371"/>
      <w:r>
        <w:t>[3]</w:t>
      </w:r>
      <w:r>
        <w:tab/>
      </w:r>
      <w:r w:rsidR="00AE0549" w:rsidRPr="00A604A3">
        <w:t>ITU-R: Guidelines for evaluation of radio interface technologies for IMT-2020. Report ITU-R M.2412-0, (10/2017).</w:t>
      </w:r>
      <w:bookmarkEnd w:id="705"/>
    </w:p>
    <w:p w:rsidR="00AE0549" w:rsidRPr="00A604A3" w:rsidRDefault="00AB6936" w:rsidP="00AB6936">
      <w:pPr>
        <w:pStyle w:val="Reftext"/>
      </w:pPr>
      <w:r>
        <w:t>[4]</w:t>
      </w:r>
      <w:r>
        <w:tab/>
      </w:r>
      <w:r w:rsidR="00AE0549" w:rsidRPr="00A604A3">
        <w:t xml:space="preserve">ITU-R WP5D: </w:t>
      </w:r>
      <w:bookmarkStart w:id="706" w:name="_Ref536805372"/>
      <w:r w:rsidR="00AE0549" w:rsidRPr="00A604A3">
        <w:rPr>
          <w:lang w:eastAsia="zh-CN"/>
        </w:rPr>
        <w:t>Acknowledgement of Candidate SRIT Submission from 3GPP Proponent under Step 3 of the IMT-2020 Process. Document IMT-2020/13-E, 23 July 2019.</w:t>
      </w:r>
    </w:p>
    <w:p w:rsidR="00AE0549" w:rsidRPr="00A604A3" w:rsidRDefault="00AB6936" w:rsidP="00AB6936">
      <w:pPr>
        <w:pStyle w:val="Reftext"/>
        <w:rPr>
          <w:lang w:eastAsia="zh-CN"/>
        </w:rPr>
      </w:pPr>
      <w:bookmarkStart w:id="707" w:name="_Ref27910542"/>
      <w:bookmarkEnd w:id="706"/>
      <w:r>
        <w:t>[5]</w:t>
      </w:r>
      <w:r>
        <w:tab/>
      </w:r>
      <w:r w:rsidR="00AE0549" w:rsidRPr="00A604A3">
        <w:t xml:space="preserve">ITU-R WP5D: </w:t>
      </w:r>
      <w:r w:rsidR="00AE0549" w:rsidRPr="00A604A3">
        <w:rPr>
          <w:lang w:eastAsia="zh-CN"/>
        </w:rPr>
        <w:t>Acknowledgement of Candidate RIT Submission from 3GPP Proponent under Step 3 of the IMT-2020 Process. Document IMT-2020/14-E, 23 July 2019.</w:t>
      </w:r>
      <w:bookmarkEnd w:id="707"/>
    </w:p>
    <w:p w:rsidR="00AE0549" w:rsidRPr="00A604A3" w:rsidRDefault="00AB6936" w:rsidP="00AB6936">
      <w:pPr>
        <w:pStyle w:val="Reftext"/>
      </w:pPr>
      <w:bookmarkStart w:id="708" w:name="_Ref536805373"/>
      <w:r>
        <w:t>[6]</w:t>
      </w:r>
      <w:r>
        <w:tab/>
      </w:r>
      <w:r w:rsidR="00AE0549" w:rsidRPr="00A604A3">
        <w:t xml:space="preserve">ITU-R WP5D: </w:t>
      </w:r>
      <w:r w:rsidR="00AE0549" w:rsidRPr="00A604A3">
        <w:rPr>
          <w:lang w:eastAsia="zh-CN"/>
        </w:rPr>
        <w:t>Acknowledgement of Candidate RIT Submission from China (People’s Republic of) under Step 3 of the IMT-2020 Process. Document IMT-2020/15-E, 23 July 2019.</w:t>
      </w:r>
    </w:p>
    <w:p w:rsidR="00AE0549" w:rsidRPr="00A604A3" w:rsidRDefault="00AB6936" w:rsidP="00AB6936">
      <w:pPr>
        <w:pStyle w:val="Reftext"/>
      </w:pPr>
      <w:bookmarkStart w:id="709" w:name="_Ref27914629"/>
      <w:bookmarkEnd w:id="708"/>
      <w:r>
        <w:t>[7]</w:t>
      </w:r>
      <w:r>
        <w:tab/>
      </w:r>
      <w:r w:rsidR="00AE0549" w:rsidRPr="00A604A3">
        <w:t xml:space="preserve">ITU-R WP5D: </w:t>
      </w:r>
      <w:r w:rsidR="00AE0549" w:rsidRPr="00A604A3">
        <w:rPr>
          <w:lang w:eastAsia="zh-CN"/>
        </w:rPr>
        <w:t>Acknowledgement of Candidate RIT Submission from Korea (Republic of) under Step 3 of the IMT-2020 Process. Document IMT-2020/16-E, 23 July 2019.</w:t>
      </w:r>
      <w:bookmarkEnd w:id="709"/>
    </w:p>
    <w:p w:rsidR="00AE0549" w:rsidRPr="00A604A3" w:rsidRDefault="00AB6936" w:rsidP="00AB6936">
      <w:pPr>
        <w:pStyle w:val="Reftext"/>
        <w:rPr>
          <w:lang w:eastAsia="zh-CN"/>
        </w:rPr>
      </w:pPr>
      <w:bookmarkStart w:id="710" w:name="_Ref27914392"/>
      <w:bookmarkStart w:id="711" w:name="_Ref536805375"/>
      <w:r>
        <w:t>[8]</w:t>
      </w:r>
      <w:r>
        <w:tab/>
      </w:r>
      <w:r w:rsidR="00AE0549" w:rsidRPr="00A604A3">
        <w:t xml:space="preserve">ITU-R WP5D: </w:t>
      </w:r>
      <w:r w:rsidR="00AE0549" w:rsidRPr="00A604A3">
        <w:rPr>
          <w:lang w:eastAsia="zh-CN"/>
        </w:rPr>
        <w:t>Acknowledgement of Candidate SRIT Submission from ETSI (TC DECT) and DECT Forum under Step 3 of the IMT-2020 Process. Document IMT-2020/1/17-E, 16 December 2019.</w:t>
      </w:r>
      <w:bookmarkEnd w:id="710"/>
    </w:p>
    <w:p w:rsidR="00AE0549" w:rsidRPr="00A604A3" w:rsidRDefault="00AB6936" w:rsidP="00AB6936">
      <w:pPr>
        <w:pStyle w:val="Reftext"/>
        <w:rPr>
          <w:lang w:eastAsia="zh-CN"/>
        </w:rPr>
      </w:pPr>
      <w:bookmarkStart w:id="712" w:name="_Ref16509998"/>
      <w:bookmarkEnd w:id="711"/>
      <w:r>
        <w:t>[9]</w:t>
      </w:r>
      <w:r>
        <w:tab/>
      </w:r>
      <w:r w:rsidR="00AE0549" w:rsidRPr="00A604A3">
        <w:rPr>
          <w:lang w:eastAsia="zh-CN"/>
        </w:rPr>
        <w:t>ITU-R WP 5D: Information of the evaluation for the terrestrial components of the radio interface(s) for IMT-2020. Liaison statement to registered Independent Evaluation Groups. Document 5D/TEMP/769(Rev 1), 16 July 2019.</w:t>
      </w:r>
      <w:bookmarkEnd w:id="712"/>
    </w:p>
    <w:p w:rsidR="00AE0549" w:rsidRPr="00A604A3" w:rsidRDefault="00AB6936" w:rsidP="00AB6936">
      <w:pPr>
        <w:pStyle w:val="Reftext"/>
        <w:rPr>
          <w:lang w:eastAsia="zh-CN"/>
        </w:rPr>
      </w:pPr>
      <w:bookmarkStart w:id="713" w:name="_Ref14785007"/>
      <w:bookmarkStart w:id="714" w:name="_Ref536805377"/>
      <w:r>
        <w:t>[10]</w:t>
      </w:r>
      <w:r>
        <w:tab/>
      </w:r>
      <w:r w:rsidR="00AE0549" w:rsidRPr="00A604A3">
        <w:rPr>
          <w:lang w:eastAsia="zh-CN"/>
        </w:rPr>
        <w:t>3GPP: TS38.211v15.2.0 “NR; Physical channels and modulation (Release 15)”.</w:t>
      </w:r>
      <w:bookmarkEnd w:id="713"/>
    </w:p>
    <w:p w:rsidR="00AE0549" w:rsidRPr="00A604A3" w:rsidRDefault="00AB6936" w:rsidP="00AB6936">
      <w:pPr>
        <w:pStyle w:val="Reftext"/>
        <w:rPr>
          <w:lang w:eastAsia="zh-CN"/>
        </w:rPr>
      </w:pPr>
      <w:bookmarkStart w:id="715" w:name="_Ref536805378"/>
      <w:bookmarkEnd w:id="714"/>
      <w:r>
        <w:t>[11]</w:t>
      </w:r>
      <w:r>
        <w:tab/>
      </w:r>
      <w:r w:rsidR="00AE0549" w:rsidRPr="00A604A3">
        <w:rPr>
          <w:lang w:eastAsia="zh-CN"/>
        </w:rPr>
        <w:t>3GPP: [38.101]: TS38.101v15.2.0 “NR; User Equipment (UE) radio transmission and reception”.</w:t>
      </w:r>
      <w:bookmarkEnd w:id="715"/>
    </w:p>
    <w:p w:rsidR="00AE0549" w:rsidRPr="00A604A3" w:rsidRDefault="00AB6936" w:rsidP="00AB6936">
      <w:pPr>
        <w:pStyle w:val="Reftext"/>
        <w:rPr>
          <w:lang w:eastAsia="zh-CN"/>
        </w:rPr>
      </w:pPr>
      <w:bookmarkStart w:id="716" w:name="_Ref536805379"/>
      <w:bookmarkStart w:id="717" w:name="_Ref14785091"/>
      <w:r>
        <w:t>[12]</w:t>
      </w:r>
      <w:r>
        <w:tab/>
      </w:r>
      <w:r w:rsidR="00AE0549" w:rsidRPr="00A604A3">
        <w:rPr>
          <w:lang w:eastAsia="ja-JP"/>
        </w:rPr>
        <w:t>3GPP: [36.101]: TS36.101v</w:t>
      </w:r>
      <w:r w:rsidR="00AE0549" w:rsidRPr="00A604A3">
        <w:rPr>
          <w:lang w:eastAsia="zh-CN"/>
        </w:rPr>
        <w:t>15.3.0</w:t>
      </w:r>
      <w:r w:rsidR="00AE0549" w:rsidRPr="00A604A3">
        <w:rPr>
          <w:lang w:eastAsia="ja-JP"/>
        </w:rPr>
        <w:t xml:space="preserve"> “Evolved Universal Terrestrial Radio Access (E-UTRA); User Equipment (UE) radio transmission and reception”</w:t>
      </w:r>
      <w:bookmarkEnd w:id="716"/>
      <w:r w:rsidR="00AE0549" w:rsidRPr="00A604A3">
        <w:rPr>
          <w:lang w:eastAsia="ja-JP"/>
        </w:rPr>
        <w:t>.</w:t>
      </w:r>
      <w:bookmarkEnd w:id="717"/>
    </w:p>
    <w:p w:rsidR="00AE0549" w:rsidRPr="00A604A3" w:rsidRDefault="00AB6936" w:rsidP="00AB6936">
      <w:pPr>
        <w:pStyle w:val="Reftext"/>
        <w:rPr>
          <w:lang w:eastAsia="zh-CN"/>
        </w:rPr>
      </w:pPr>
      <w:bookmarkStart w:id="718" w:name="_Ref14785809"/>
      <w:bookmarkStart w:id="719" w:name="_Ref536805381"/>
      <w:r>
        <w:t>[13]</w:t>
      </w:r>
      <w:r>
        <w:tab/>
      </w:r>
      <w:r w:rsidR="00AE0549" w:rsidRPr="00A604A3">
        <w:t>L. Yu, C. Dietrich, V. Pauli, “IMT- 2020 Evaluation: Calibration of NOMOR’s System Simulator“, Nomor White Paper, November 2018.</w:t>
      </w:r>
      <w:bookmarkEnd w:id="718"/>
    </w:p>
    <w:p w:rsidR="00AE0549" w:rsidRPr="00A604A3" w:rsidRDefault="00AB6936" w:rsidP="00AB6936">
      <w:pPr>
        <w:pStyle w:val="Reftext"/>
        <w:rPr>
          <w:lang w:eastAsia="zh-CN"/>
        </w:rPr>
      </w:pPr>
      <w:bookmarkStart w:id="720" w:name="_Ref14793902"/>
      <w:r>
        <w:t>[14]</w:t>
      </w:r>
      <w:r>
        <w:tab/>
      </w:r>
      <w:r w:rsidR="00AE0549" w:rsidRPr="00A604A3">
        <w:t>3GPP TR 37.910 V16.1.0 (2019-09): Study on Self Evaluation towards IMT-2020 Submission (Release 16).</w:t>
      </w:r>
      <w:bookmarkEnd w:id="720"/>
    </w:p>
    <w:p w:rsidR="00AE0549" w:rsidRPr="00A604A3" w:rsidRDefault="00AB6936" w:rsidP="00AB6936">
      <w:pPr>
        <w:pStyle w:val="Reftext"/>
        <w:rPr>
          <w:lang w:eastAsia="zh-CN"/>
        </w:rPr>
      </w:pPr>
      <w:bookmarkStart w:id="721" w:name="_Ref14794261"/>
      <w:r>
        <w:t>[15]</w:t>
      </w:r>
      <w:r>
        <w:tab/>
      </w:r>
      <w:r w:rsidR="00AE0549" w:rsidRPr="00A604A3">
        <w:t>3GPP: TS38.214 v15.4.0 (2018-12) “Physical layer procedures for data (Release 15)”.</w:t>
      </w:r>
      <w:bookmarkEnd w:id="721"/>
    </w:p>
    <w:p w:rsidR="00AE0549" w:rsidRPr="00A604A3" w:rsidRDefault="00AB6936" w:rsidP="00AB6936">
      <w:pPr>
        <w:pStyle w:val="Reftext"/>
        <w:rPr>
          <w:lang w:eastAsia="zh-CN"/>
        </w:rPr>
      </w:pPr>
      <w:bookmarkStart w:id="722" w:name="_Ref18321271"/>
      <w:r>
        <w:t>[16]</w:t>
      </w:r>
      <w:r>
        <w:tab/>
      </w:r>
      <w:r w:rsidR="00AE0549" w:rsidRPr="00A604A3">
        <w:t>ITU-R WP 5D: Preliminary Description Template and Self-Evaluation</w:t>
      </w:r>
      <w:r w:rsidR="00AE0549" w:rsidRPr="00A604A3">
        <w:rPr>
          <w:rFonts w:ascii="Arial" w:hAnsi="Arial" w:cs="Arial"/>
        </w:rPr>
        <w:t xml:space="preserve"> </w:t>
      </w:r>
      <w:r w:rsidR="00AE0549" w:rsidRPr="00A604A3">
        <w:t>of 3GPP 5G candidate for inclusion in IMT-2020 from proponent ‘3GPP’ under step 3 of the IMT-2020 process – Characteristics Template. Document 5D/TEMP/1050, 1 October 2018.</w:t>
      </w:r>
      <w:bookmarkEnd w:id="722"/>
    </w:p>
    <w:p w:rsidR="00AE0549" w:rsidRPr="00A604A3" w:rsidRDefault="00AB6936" w:rsidP="00AB6936">
      <w:pPr>
        <w:pStyle w:val="Reftext"/>
        <w:rPr>
          <w:lang w:eastAsia="zh-CN"/>
        </w:rPr>
      </w:pPr>
      <w:bookmarkStart w:id="723" w:name="_Ref18323012"/>
      <w:bookmarkStart w:id="724" w:name="_Ref18322314"/>
      <w:r>
        <w:t>[17]</w:t>
      </w:r>
      <w:r>
        <w:tab/>
      </w:r>
      <w:r w:rsidR="00AE0549" w:rsidRPr="00A604A3">
        <w:t>3GPP: TR</w:t>
      </w:r>
      <w:r w:rsidR="00AE0549" w:rsidRPr="00A604A3">
        <w:rPr>
          <w:lang w:eastAsia="zh-CN"/>
        </w:rPr>
        <w:t>37</w:t>
      </w:r>
      <w:r w:rsidR="00AE0549" w:rsidRPr="00A604A3">
        <w:t>.</w:t>
      </w:r>
      <w:r w:rsidR="00AE0549" w:rsidRPr="00A604A3">
        <w:rPr>
          <w:lang w:eastAsia="zh-CN"/>
        </w:rPr>
        <w:t>910</w:t>
      </w:r>
      <w:r w:rsidR="00AE0549" w:rsidRPr="00A604A3">
        <w:t xml:space="preserve"> V</w:t>
      </w:r>
      <w:r w:rsidR="00AE0549" w:rsidRPr="00A604A3">
        <w:rPr>
          <w:lang w:eastAsia="zh-CN"/>
        </w:rPr>
        <w:t>1.0</w:t>
      </w:r>
      <w:r w:rsidR="00AE0549" w:rsidRPr="00A604A3">
        <w:t>.</w:t>
      </w:r>
      <w:r w:rsidR="00AE0549" w:rsidRPr="00A604A3">
        <w:rPr>
          <w:lang w:eastAsia="zh-CN"/>
        </w:rPr>
        <w:t>0</w:t>
      </w:r>
      <w:r w:rsidR="00AE0549" w:rsidRPr="00A604A3">
        <w:t xml:space="preserve"> (</w:t>
      </w:r>
      <w:r w:rsidR="00AE0549" w:rsidRPr="00A604A3">
        <w:rPr>
          <w:lang w:eastAsia="zh-CN"/>
        </w:rPr>
        <w:t>2018-09</w:t>
      </w:r>
      <w:r w:rsidR="00AE0549" w:rsidRPr="00A604A3">
        <w:t>) “Technical Specification Group Radio Access Network</w:t>
      </w:r>
      <w:r w:rsidR="00AE0549" w:rsidRPr="00A604A3">
        <w:rPr>
          <w:b/>
        </w:rPr>
        <w:t xml:space="preserve">, </w:t>
      </w:r>
      <w:r w:rsidR="00AE0549" w:rsidRPr="00A604A3">
        <w:rPr>
          <w:lang w:eastAsia="zh-CN"/>
        </w:rPr>
        <w:t>Study on Self Evaluation towards IMT-2020 Submission</w:t>
      </w:r>
      <w:r w:rsidR="00AE0549" w:rsidRPr="00A604A3">
        <w:t xml:space="preserve"> (</w:t>
      </w:r>
      <w:r w:rsidR="00AE0549" w:rsidRPr="00A604A3">
        <w:rPr>
          <w:rFonts w:eastAsia="MS Mincho"/>
        </w:rPr>
        <w:t>Release 15</w:t>
      </w:r>
      <w:r w:rsidR="00AE0549" w:rsidRPr="00A604A3">
        <w:t>)”.</w:t>
      </w:r>
      <w:bookmarkEnd w:id="723"/>
    </w:p>
    <w:p w:rsidR="00AE0549" w:rsidRPr="00A604A3" w:rsidRDefault="00AB6936" w:rsidP="00AB6936">
      <w:pPr>
        <w:pStyle w:val="Reftext"/>
        <w:rPr>
          <w:lang w:eastAsia="zh-CN"/>
        </w:rPr>
      </w:pPr>
      <w:bookmarkStart w:id="725" w:name="_Ref32076054"/>
      <w:r>
        <w:t>[18]</w:t>
      </w:r>
      <w:r>
        <w:tab/>
      </w:r>
      <w:r w:rsidR="00AE0549" w:rsidRPr="00A604A3">
        <w:t>3GPP: TS38.300 V15.6.0 (2019-06) “Evolved Universal Terrestrial Radio Access (E-UTRA) and Evolved Universal Terrestrial Radio Access Network (E-UTRAN), Overall description, Stage 2 (</w:t>
      </w:r>
      <w:r w:rsidR="00AE0549" w:rsidRPr="00A604A3">
        <w:rPr>
          <w:rFonts w:eastAsia="MS Mincho"/>
        </w:rPr>
        <w:t>Release 15</w:t>
      </w:r>
      <w:r w:rsidR="00AE0549" w:rsidRPr="00A604A3">
        <w:t>)”.</w:t>
      </w:r>
      <w:bookmarkEnd w:id="724"/>
      <w:bookmarkEnd w:id="725"/>
    </w:p>
    <w:p w:rsidR="00AE0549" w:rsidRPr="00A604A3" w:rsidRDefault="00AB6936" w:rsidP="00AB6936">
      <w:pPr>
        <w:pStyle w:val="Reftext"/>
        <w:rPr>
          <w:lang w:eastAsia="zh-CN"/>
        </w:rPr>
      </w:pPr>
      <w:bookmarkStart w:id="726" w:name="_Ref18322337"/>
      <w:r>
        <w:lastRenderedPageBreak/>
        <w:t>[19]</w:t>
      </w:r>
      <w:r>
        <w:tab/>
      </w:r>
      <w:r w:rsidR="00AE0549" w:rsidRPr="00A604A3">
        <w:rPr>
          <w:lang w:eastAsia="zh-CN"/>
        </w:rPr>
        <w:t>3GPP: TS</w:t>
      </w:r>
      <w:r w:rsidR="00AE0549" w:rsidRPr="00A604A3">
        <w:t xml:space="preserve">36.133 V16.2.0 (2019-06) </w:t>
      </w:r>
      <w:r w:rsidR="00AE0549" w:rsidRPr="00A604A3">
        <w:rPr>
          <w:lang w:eastAsia="zh-CN"/>
        </w:rPr>
        <w:t>“</w:t>
      </w:r>
      <w:r w:rsidR="00AE0549" w:rsidRPr="00A604A3">
        <w:t>Evolved Universal Terrestrial Radio Access (E-UTRA); Requirements for support of radio resource management (</w:t>
      </w:r>
      <w:r w:rsidR="00AE0549" w:rsidRPr="00A604A3">
        <w:rPr>
          <w:rFonts w:eastAsia="MS Mincho"/>
        </w:rPr>
        <w:t>Release 16</w:t>
      </w:r>
      <w:r w:rsidR="00AE0549" w:rsidRPr="00A604A3">
        <w:t>)”.</w:t>
      </w:r>
      <w:bookmarkEnd w:id="726"/>
    </w:p>
    <w:p w:rsidR="00AE0549" w:rsidRPr="00A604A3" w:rsidRDefault="00AB6936" w:rsidP="00AB6936">
      <w:pPr>
        <w:pStyle w:val="Reftext"/>
        <w:rPr>
          <w:lang w:eastAsia="zh-CN"/>
        </w:rPr>
      </w:pPr>
      <w:bookmarkStart w:id="727" w:name="_Ref18322350"/>
      <w:r>
        <w:t>[20]</w:t>
      </w:r>
      <w:r>
        <w:tab/>
      </w:r>
      <w:r w:rsidR="00AE0549" w:rsidRPr="00A604A3">
        <w:t>3GPP: TS36.300 V15.6.0 (2019-06) “Evolved Universal Terrestrial Radio Access (E-UTRA) and Evolved Universal Terrestrial Radio Access Network (E-UTRAN);</w:t>
      </w:r>
      <w:r w:rsidR="00AE0549" w:rsidRPr="00A604A3">
        <w:rPr>
          <w:b/>
        </w:rPr>
        <w:t xml:space="preserve"> </w:t>
      </w:r>
      <w:r w:rsidR="00AE0549" w:rsidRPr="00A604A3">
        <w:t>Overall description;</w:t>
      </w:r>
      <w:r w:rsidR="00AE0549" w:rsidRPr="00A604A3">
        <w:rPr>
          <w:b/>
        </w:rPr>
        <w:t xml:space="preserve"> </w:t>
      </w:r>
      <w:r w:rsidR="00AE0549" w:rsidRPr="00A604A3">
        <w:t>Stage 2</w:t>
      </w:r>
      <w:r w:rsidR="00AE0549" w:rsidRPr="00A604A3">
        <w:rPr>
          <w:b/>
        </w:rPr>
        <w:t xml:space="preserve"> </w:t>
      </w:r>
      <w:r w:rsidR="00AE0549" w:rsidRPr="00A604A3">
        <w:t>(</w:t>
      </w:r>
      <w:r w:rsidR="00AE0549" w:rsidRPr="00A604A3">
        <w:rPr>
          <w:rFonts w:eastAsia="MS Mincho"/>
        </w:rPr>
        <w:t>Release 15</w:t>
      </w:r>
      <w:r w:rsidR="00AE0549" w:rsidRPr="00A604A3">
        <w:t>)”.</w:t>
      </w:r>
      <w:bookmarkStart w:id="728" w:name="_Ref32062277"/>
      <w:bookmarkStart w:id="729" w:name="_Ref14795192"/>
      <w:bookmarkEnd w:id="727"/>
    </w:p>
    <w:p w:rsidR="00AE0549" w:rsidRPr="00A604A3" w:rsidRDefault="00AB6936" w:rsidP="00AB6936">
      <w:pPr>
        <w:pStyle w:val="Reftext"/>
        <w:rPr>
          <w:lang w:eastAsia="zh-CN"/>
        </w:rPr>
      </w:pPr>
      <w:bookmarkStart w:id="730" w:name="_Ref32076705"/>
      <w:r>
        <w:t>[21]</w:t>
      </w:r>
      <w:r>
        <w:tab/>
      </w:r>
      <w:r w:rsidR="00AE0549" w:rsidRPr="00A604A3">
        <w:rPr>
          <w:lang w:eastAsia="zh-CN"/>
        </w:rPr>
        <w:t xml:space="preserve">ITU-R: </w:t>
      </w:r>
      <w:r w:rsidR="00AE0549" w:rsidRPr="00A604A3">
        <w:t>IMT Vision – Framework and overall objectives of the future development of IMT for 2020 and beyond</w:t>
      </w:r>
      <w:r w:rsidR="00312703">
        <w:t>. Recommendation ITU-R M.2083-0</w:t>
      </w:r>
      <w:r w:rsidR="00AE0549" w:rsidRPr="00A604A3">
        <w:t xml:space="preserve"> (09/2015).</w:t>
      </w:r>
      <w:bookmarkEnd w:id="728"/>
      <w:bookmarkEnd w:id="730"/>
    </w:p>
    <w:p w:rsidR="00AE0549" w:rsidRPr="00A604A3" w:rsidRDefault="00AB6936" w:rsidP="00AB6936">
      <w:pPr>
        <w:pStyle w:val="Reftext"/>
        <w:rPr>
          <w:lang w:eastAsia="zh-CN"/>
        </w:rPr>
      </w:pPr>
      <w:bookmarkStart w:id="731" w:name="_Ref32076791"/>
      <w:r>
        <w:t>[22]</w:t>
      </w:r>
      <w:r>
        <w:tab/>
      </w:r>
      <w:r w:rsidR="00AE0549" w:rsidRPr="00A604A3">
        <w:rPr>
          <w:lang w:eastAsia="zh-CN"/>
        </w:rPr>
        <w:t>3GPP: [22.261]: TS22.261v16.4.0 “Service requirements for next generation new services and markets”.</w:t>
      </w:r>
      <w:bookmarkStart w:id="732" w:name="_Ref32065704"/>
      <w:bookmarkEnd w:id="719"/>
      <w:bookmarkEnd w:id="729"/>
      <w:bookmarkEnd w:id="731"/>
    </w:p>
    <w:p w:rsidR="00AE0549" w:rsidRPr="00A604A3" w:rsidRDefault="00AB6936" w:rsidP="00AB6936">
      <w:pPr>
        <w:pStyle w:val="Reftext"/>
        <w:rPr>
          <w:lang w:eastAsia="zh-CN"/>
        </w:rPr>
      </w:pPr>
      <w:bookmarkStart w:id="733" w:name="_Ref32076803"/>
      <w:r>
        <w:t>[23]</w:t>
      </w:r>
      <w:r>
        <w:tab/>
      </w:r>
      <w:r w:rsidR="00AE0549" w:rsidRPr="00A604A3">
        <w:rPr>
          <w:lang w:eastAsia="zh-CN"/>
        </w:rPr>
        <w:t xml:space="preserve">ITU-R: </w:t>
      </w:r>
      <w:r w:rsidR="00AE0549" w:rsidRPr="00A604A3">
        <w:t xml:space="preserve">Framework for services supported by IMT. Recommendation </w:t>
      </w:r>
      <w:r w:rsidR="00AE0549" w:rsidRPr="00A604A3">
        <w:rPr>
          <w:rStyle w:val="href"/>
          <w:rFonts w:eastAsia="MS Mincho"/>
        </w:rPr>
        <w:t>ITU-R M.1822, 2007.</w:t>
      </w:r>
      <w:bookmarkEnd w:id="732"/>
      <w:bookmarkEnd w:id="733"/>
    </w:p>
    <w:p w:rsidR="00AE0549" w:rsidRPr="00A604A3" w:rsidRDefault="00AE0549" w:rsidP="00470885">
      <w:pPr>
        <w:spacing w:before="0" w:after="120"/>
        <w:rPr>
          <w:szCs w:val="24"/>
          <w:lang w:eastAsia="zh-CN"/>
        </w:rPr>
      </w:pPr>
    </w:p>
    <w:p w:rsidR="00AB6936" w:rsidRDefault="00AB6936" w:rsidP="0032202E">
      <w:pPr>
        <w:pStyle w:val="Reasons"/>
      </w:pPr>
    </w:p>
    <w:p w:rsidR="000069D4" w:rsidRPr="00A604A3" w:rsidRDefault="00AB6936" w:rsidP="00AB6936">
      <w:pPr>
        <w:jc w:val="center"/>
      </w:pPr>
      <w:r>
        <w:t>______________</w:t>
      </w:r>
    </w:p>
    <w:sectPr w:rsidR="000069D4" w:rsidRPr="00A604A3" w:rsidSect="00470885">
      <w:footerReference w:type="first" r:id="rId4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86" w:rsidRDefault="00267286">
      <w:r>
        <w:separator/>
      </w:r>
    </w:p>
  </w:endnote>
  <w:endnote w:type="continuationSeparator" w:id="0">
    <w:p w:rsidR="00267286" w:rsidRDefault="0026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auto"/>
    <w:pitch w:val="variable"/>
    <w:sig w:usb0="800002E7" w:usb1="2AC7FCFF" w:usb2="00000012" w:usb3="00000000" w:csb0="0002009F" w:csb1="00000000"/>
  </w:font>
  <w:font w:name="+mn-ea">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Pr="00AE0549" w:rsidRDefault="006853C6" w:rsidP="00AE0549">
    <w:pPr>
      <w:pStyle w:val="Footer"/>
    </w:pPr>
    <w:r>
      <w:fldChar w:fldCharType="begin"/>
    </w:r>
    <w:r>
      <w:instrText xml:space="preserve"> FILENAME \p  \* MERGEFORMAT </w:instrText>
    </w:r>
    <w:r>
      <w:fldChar w:fldCharType="separate"/>
    </w:r>
    <w:r w:rsidR="00267286">
      <w:t>M:\BRSGD\TEXT2019\SG05\WP5D\000\050e.docx</w:t>
    </w:r>
    <w:r>
      <w:fldChar w:fldCharType="end"/>
    </w:r>
    <w:r w:rsidR="00267286">
      <w:tab/>
    </w:r>
    <w:r w:rsidR="00267286">
      <w:fldChar w:fldCharType="begin"/>
    </w:r>
    <w:r w:rsidR="00267286">
      <w:instrText xml:space="preserve"> SAVEDATE \@ DD.MM.YY </w:instrText>
    </w:r>
    <w:r w:rsidR="00267286">
      <w:fldChar w:fldCharType="separate"/>
    </w:r>
    <w:r w:rsidR="009002F1">
      <w:t>11.02.20</w:t>
    </w:r>
    <w:r w:rsidR="00267286">
      <w:fldChar w:fldCharType="end"/>
    </w:r>
    <w:r w:rsidR="00267286">
      <w:tab/>
    </w:r>
    <w:r w:rsidR="00267286">
      <w:fldChar w:fldCharType="begin"/>
    </w:r>
    <w:r w:rsidR="00267286">
      <w:instrText xml:space="preserve"> PRINTDATE \@ DD.MM.YY </w:instrText>
    </w:r>
    <w:r w:rsidR="00267286">
      <w:fldChar w:fldCharType="separate"/>
    </w:r>
    <w:r w:rsidR="00267286">
      <w:t>21.02.08</w:t>
    </w:r>
    <w:r w:rsidR="002672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Default="006853C6" w:rsidP="00AE0549">
    <w:pPr>
      <w:pStyle w:val="Footer"/>
    </w:pPr>
    <w:r>
      <w:fldChar w:fldCharType="begin"/>
    </w:r>
    <w:r>
      <w:instrText xml:space="preserve"> FILENAME \p  \* MERGEFORMAT </w:instrText>
    </w:r>
    <w:r>
      <w:fldChar w:fldCharType="separate"/>
    </w:r>
    <w:r w:rsidR="00267286">
      <w:t>M:\BRSGD\TEXT2019\SG05\WP5D\000\050e.docx</w:t>
    </w:r>
    <w:r>
      <w:fldChar w:fldCharType="end"/>
    </w:r>
    <w:r w:rsidR="00267286">
      <w:tab/>
    </w:r>
    <w:r w:rsidR="00267286">
      <w:fldChar w:fldCharType="begin"/>
    </w:r>
    <w:r w:rsidR="00267286">
      <w:instrText xml:space="preserve"> SAVEDATE \@ DD.MM.YY </w:instrText>
    </w:r>
    <w:r w:rsidR="00267286">
      <w:fldChar w:fldCharType="separate"/>
    </w:r>
    <w:r w:rsidR="009002F1">
      <w:t>11.02.20</w:t>
    </w:r>
    <w:r w:rsidR="00267286">
      <w:fldChar w:fldCharType="end"/>
    </w:r>
    <w:r w:rsidR="00267286">
      <w:tab/>
    </w:r>
    <w:r w:rsidR="00267286">
      <w:fldChar w:fldCharType="begin"/>
    </w:r>
    <w:r w:rsidR="00267286">
      <w:instrText xml:space="preserve"> PRINTDATE \@ DD.MM.YY </w:instrText>
    </w:r>
    <w:r w:rsidR="00267286">
      <w:fldChar w:fldCharType="separate"/>
    </w:r>
    <w:r w:rsidR="00267286">
      <w:t>21.02.08</w:t>
    </w:r>
    <w:r w:rsidR="0026728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Pr="002F7CB3" w:rsidRDefault="00267286"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Document5</w:t>
    </w:r>
    <w:r>
      <w:fldChar w:fldCharType="end"/>
    </w:r>
    <w:r>
      <w:t xml:space="preserve"> ( )</w:t>
    </w:r>
    <w:r w:rsidRPr="002F7CB3">
      <w:rPr>
        <w:lang w:val="en-US"/>
      </w:rPr>
      <w:tab/>
    </w:r>
    <w:r>
      <w:fldChar w:fldCharType="begin"/>
    </w:r>
    <w:r>
      <w:instrText xml:space="preserve"> savedate \@ dd.MM.yy </w:instrText>
    </w:r>
    <w:r>
      <w:fldChar w:fldCharType="separate"/>
    </w:r>
    <w:r w:rsidR="009002F1">
      <w:t>11.02.20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86" w:rsidRDefault="00267286">
      <w:r>
        <w:t>____________________</w:t>
      </w:r>
    </w:p>
  </w:footnote>
  <w:footnote w:type="continuationSeparator" w:id="0">
    <w:p w:rsidR="00267286" w:rsidRDefault="00267286">
      <w:r>
        <w:continuationSeparator/>
      </w:r>
    </w:p>
  </w:footnote>
  <w:footnote w:id="1">
    <w:p w:rsidR="00267286" w:rsidRPr="00860431" w:rsidRDefault="00267286" w:rsidP="00D97E03">
      <w:pPr>
        <w:pStyle w:val="FootnoteText"/>
      </w:pPr>
      <w:r w:rsidRPr="00860431">
        <w:rPr>
          <w:rStyle w:val="FootnoteReference"/>
          <w:sz w:val="20"/>
        </w:rPr>
        <w:footnoteRef/>
      </w:r>
      <w:r w:rsidRPr="00860431">
        <w:tab/>
      </w:r>
      <w:r w:rsidRPr="00D97E03">
        <w:t>Submitted</w:t>
      </w:r>
      <w:r w:rsidRPr="00860431">
        <w:t xml:space="preserve"> on behalf of the Independent Evaluation Group 5G Infrastructure Association.</w:t>
      </w:r>
    </w:p>
  </w:footnote>
  <w:footnote w:id="2">
    <w:p w:rsidR="00267286" w:rsidRPr="00AA0B2B" w:rsidRDefault="00267286" w:rsidP="00D97E03">
      <w:pPr>
        <w:pStyle w:val="FootnoteText"/>
        <w:rPr>
          <w:rFonts w:eastAsia="SimSun"/>
          <w:szCs w:val="24"/>
          <w:lang w:eastAsia="zh-CN"/>
        </w:rPr>
      </w:pPr>
      <w:r w:rsidRPr="00860431">
        <w:rPr>
          <w:rStyle w:val="FootnoteReference"/>
          <w:sz w:val="20"/>
        </w:rPr>
        <w:footnoteRef/>
      </w:r>
      <w:r w:rsidRPr="00860431">
        <w:tab/>
      </w:r>
      <w:r w:rsidRPr="00AA0B2B">
        <w:rPr>
          <w:szCs w:val="24"/>
          <w:lang w:val="en-US" w:eastAsia="zh-CN"/>
        </w:rPr>
        <w:t xml:space="preserve">This contribution is based on work underway within the research in 5G PPP and </w:t>
      </w:r>
      <w:r w:rsidRPr="00AA0B2B">
        <w:rPr>
          <w:szCs w:val="24"/>
        </w:rPr>
        <w:t>5G Infrastructure Association</w:t>
      </w:r>
      <w:r w:rsidRPr="00AA0B2B">
        <w:rPr>
          <w:szCs w:val="24"/>
          <w:lang w:val="en-US" w:eastAsia="zh-CN"/>
        </w:rPr>
        <w:t xml:space="preserve">, see </w:t>
      </w:r>
      <w:hyperlink r:id="rId1" w:history="1">
        <w:r w:rsidRPr="00AA0B2B">
          <w:rPr>
            <w:rStyle w:val="Hyperlink"/>
            <w:szCs w:val="24"/>
            <w:lang w:val="en-US" w:eastAsia="zh-CN"/>
          </w:rPr>
          <w:t>https://5g-ppp.eu/</w:t>
        </w:r>
      </w:hyperlink>
      <w:r w:rsidRPr="00AA0B2B">
        <w:rPr>
          <w:szCs w:val="24"/>
          <w:lang w:val="en-US" w:eastAsia="zh-CN"/>
        </w:rPr>
        <w:t>. The views expressed in this contribution do not necessarily represent the 5G PPP.</w:t>
      </w:r>
    </w:p>
  </w:footnote>
  <w:footnote w:id="3">
    <w:p w:rsidR="00267286" w:rsidRPr="00A925F5" w:rsidRDefault="00267286" w:rsidP="00ED1900">
      <w:pPr>
        <w:pStyle w:val="FootnoteText"/>
        <w:rPr>
          <w:lang w:val="sv-SE"/>
        </w:rPr>
      </w:pPr>
      <w:r>
        <w:rPr>
          <w:rStyle w:val="FootnoteReference"/>
        </w:rPr>
        <w:footnoteRef/>
      </w:r>
      <w:r w:rsidRPr="002D750C">
        <w:rPr>
          <w:lang w:val="en-US"/>
        </w:rPr>
        <w:tab/>
        <w:t xml:space="preserve">Average spectral efficiency </w:t>
      </w:r>
      <w:r w:rsidRPr="00ED1900">
        <w:t>corresponds</w:t>
      </w:r>
      <w:r w:rsidRPr="002D750C">
        <w:rPr>
          <w:lang w:val="en-US"/>
        </w:rPr>
        <w:t xml:space="preserve"> to “spectrum efficiency” in Recommendation ITU</w:t>
      </w:r>
      <w:r w:rsidRPr="002D750C">
        <w:rPr>
          <w:lang w:val="en-US"/>
        </w:rPr>
        <w:noBreakHyphen/>
        <w:t>R M.2083.</w:t>
      </w:r>
    </w:p>
  </w:footnote>
  <w:footnote w:id="4">
    <w:p w:rsidR="00267286" w:rsidRPr="00D20117" w:rsidRDefault="00267286" w:rsidP="00470885">
      <w:pPr>
        <w:pStyle w:val="FootnoteText"/>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267286" w:rsidRPr="00D20117" w:rsidRDefault="00267286" w:rsidP="00470885">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Default="00267286" w:rsidP="00AE054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853C6">
      <w:rPr>
        <w:rStyle w:val="PageNumber"/>
        <w:noProof/>
      </w:rPr>
      <w:t>4</w:t>
    </w:r>
    <w:r>
      <w:rPr>
        <w:rStyle w:val="PageNumber"/>
      </w:rPr>
      <w:fldChar w:fldCharType="end"/>
    </w:r>
    <w:r>
      <w:rPr>
        <w:rStyle w:val="PageNumber"/>
      </w:rPr>
      <w:t xml:space="preserve"> -</w:t>
    </w:r>
  </w:p>
  <w:p w:rsidR="00267286" w:rsidRPr="00AE0549" w:rsidRDefault="00267286" w:rsidP="00AE0549">
    <w:pPr>
      <w:pStyle w:val="Header"/>
      <w:rPr>
        <w:lang w:val="en-US"/>
      </w:rPr>
    </w:pPr>
    <w:r>
      <w:rPr>
        <w:lang w:val="en-US"/>
      </w:rPr>
      <w:t>5D/50-E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0AC3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60F7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DCC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3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E6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EA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64E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3C7E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0B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DEA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3EBA"/>
    <w:multiLevelType w:val="hybridMultilevel"/>
    <w:tmpl w:val="3CDC1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5E5549D"/>
    <w:multiLevelType w:val="hybridMultilevel"/>
    <w:tmpl w:val="E8B4024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08514628"/>
    <w:multiLevelType w:val="hybridMultilevel"/>
    <w:tmpl w:val="FCEC8F6A"/>
    <w:lvl w:ilvl="0" w:tplc="CB4E1CAA">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8820EE9"/>
    <w:multiLevelType w:val="hybridMultilevel"/>
    <w:tmpl w:val="5D70E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B8510F9"/>
    <w:multiLevelType w:val="hybridMultilevel"/>
    <w:tmpl w:val="935232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BA14316"/>
    <w:multiLevelType w:val="hybridMultilevel"/>
    <w:tmpl w:val="D3C6E234"/>
    <w:lvl w:ilvl="0" w:tplc="04070015">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F5C70FB"/>
    <w:multiLevelType w:val="hybridMultilevel"/>
    <w:tmpl w:val="93909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0C84DD5"/>
    <w:multiLevelType w:val="hybridMultilevel"/>
    <w:tmpl w:val="4802E52C"/>
    <w:lvl w:ilvl="0" w:tplc="A288AAA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386008E"/>
    <w:multiLevelType w:val="multilevel"/>
    <w:tmpl w:val="C5AA9154"/>
    <w:lvl w:ilvl="0">
      <w:start w:val="1"/>
      <w:numFmt w:val="decimal"/>
      <w:lvlText w:val="II-E-1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3D5555E"/>
    <w:multiLevelType w:val="hybridMultilevel"/>
    <w:tmpl w:val="7C7066B0"/>
    <w:lvl w:ilvl="0" w:tplc="AFE804D8">
      <w:start w:val="1"/>
      <w:numFmt w:val="upperRoman"/>
      <w:lvlText w:val="Par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7883D3F"/>
    <w:multiLevelType w:val="hybridMultilevel"/>
    <w:tmpl w:val="D20A76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A7F0E15"/>
    <w:multiLevelType w:val="hybridMultilevel"/>
    <w:tmpl w:val="F3629D4A"/>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2AC16923"/>
    <w:multiLevelType w:val="hybridMultilevel"/>
    <w:tmpl w:val="5BE2771A"/>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2F74324E"/>
    <w:multiLevelType w:val="hybridMultilevel"/>
    <w:tmpl w:val="279A9B9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3CD86507"/>
    <w:multiLevelType w:val="hybridMultilevel"/>
    <w:tmpl w:val="321EEF0C"/>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600BCC"/>
    <w:multiLevelType w:val="hybridMultilevel"/>
    <w:tmpl w:val="81144594"/>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4810E71"/>
    <w:multiLevelType w:val="hybridMultilevel"/>
    <w:tmpl w:val="7284AAE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4A87A16"/>
    <w:multiLevelType w:val="hybridMultilevel"/>
    <w:tmpl w:val="CF72D544"/>
    <w:lvl w:ilvl="0" w:tplc="F7147BC6">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1943AE"/>
    <w:multiLevelType w:val="hybridMultilevel"/>
    <w:tmpl w:val="E85E223C"/>
    <w:lvl w:ilvl="0" w:tplc="04070001">
      <w:start w:val="1"/>
      <w:numFmt w:val="bullet"/>
      <w:lvlText w:val=""/>
      <w:lvlJc w:val="left"/>
      <w:pPr>
        <w:ind w:left="1080" w:hanging="360"/>
      </w:pPr>
      <w:rPr>
        <w:rFonts w:ascii="Symbol" w:hAnsi="Symbol" w:hint="default"/>
      </w:rPr>
    </w:lvl>
    <w:lvl w:ilvl="1" w:tplc="78385AA8">
      <w:start w:val="3"/>
      <w:numFmt w:val="bullet"/>
      <w:lvlText w:val="·"/>
      <w:lvlJc w:val="left"/>
      <w:pPr>
        <w:ind w:left="1800" w:hanging="360"/>
      </w:pPr>
      <w:rPr>
        <w:rFonts w:ascii="Times New Roman" w:eastAsiaTheme="minorEastAsia" w:hAnsi="Times New Roman" w:cs="Times New Roman"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B1518B"/>
    <w:multiLevelType w:val="multilevel"/>
    <w:tmpl w:val="04E4DDF8"/>
    <w:lvl w:ilvl="0">
      <w:start w:val="1"/>
      <w:numFmt w:val="decimal"/>
      <w:lvlText w:val="II-E-1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5F65FBC"/>
    <w:multiLevelType w:val="multilevel"/>
    <w:tmpl w:val="F190C568"/>
    <w:lvl w:ilvl="0">
      <w:start w:val="1"/>
      <w:numFmt w:val="decimal"/>
      <w:lvlText w:val="II-E-1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A447EA5"/>
    <w:multiLevelType w:val="hybridMultilevel"/>
    <w:tmpl w:val="AE466A0E"/>
    <w:lvl w:ilvl="0" w:tplc="4D22914C">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F15AA9"/>
    <w:multiLevelType w:val="hybridMultilevel"/>
    <w:tmpl w:val="8AF8D36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F003567"/>
    <w:multiLevelType w:val="multilevel"/>
    <w:tmpl w:val="FDE284BE"/>
    <w:lvl w:ilvl="0">
      <w:start w:val="1"/>
      <w:numFmt w:val="decimal"/>
      <w:lvlText w:val="II-E-15-%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7C1429"/>
    <w:multiLevelType w:val="hybridMultilevel"/>
    <w:tmpl w:val="32B23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552456"/>
    <w:multiLevelType w:val="hybridMultilevel"/>
    <w:tmpl w:val="63F8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7AA849EA"/>
    <w:multiLevelType w:val="hybridMultilevel"/>
    <w:tmpl w:val="A498C57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6022F9"/>
    <w:multiLevelType w:val="hybridMultilevel"/>
    <w:tmpl w:val="D07EFF4E"/>
    <w:lvl w:ilvl="0" w:tplc="6422D6E2">
      <w:start w:val="1"/>
      <w:numFmt w:val="upperLetter"/>
      <w:lvlText w:val="Annex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7"/>
  </w:num>
  <w:num w:numId="2">
    <w:abstractNumId w:val="14"/>
  </w:num>
  <w:num w:numId="3">
    <w:abstractNumId w:val="18"/>
  </w:num>
  <w:num w:numId="4">
    <w:abstractNumId w:val="43"/>
  </w:num>
  <w:num w:numId="5">
    <w:abstractNumId w:val="20"/>
  </w:num>
  <w:num w:numId="6">
    <w:abstractNumId w:val="23"/>
  </w:num>
  <w:num w:numId="7">
    <w:abstractNumId w:val="17"/>
  </w:num>
  <w:num w:numId="8">
    <w:abstractNumId w:val="32"/>
  </w:num>
  <w:num w:numId="9">
    <w:abstractNumId w:val="13"/>
  </w:num>
  <w:num w:numId="10">
    <w:abstractNumId w:val="40"/>
  </w:num>
  <w:num w:numId="11">
    <w:abstractNumId w:val="22"/>
  </w:num>
  <w:num w:numId="12">
    <w:abstractNumId w:val="30"/>
  </w:num>
  <w:num w:numId="13">
    <w:abstractNumId w:val="11"/>
  </w:num>
  <w:num w:numId="14">
    <w:abstractNumId w:val="35"/>
  </w:num>
  <w:num w:numId="15">
    <w:abstractNumId w:val="34"/>
  </w:num>
  <w:num w:numId="16">
    <w:abstractNumId w:val="21"/>
  </w:num>
  <w:num w:numId="17">
    <w:abstractNumId w:val="38"/>
  </w:num>
  <w:num w:numId="18">
    <w:abstractNumId w:val="28"/>
  </w:num>
  <w:num w:numId="19">
    <w:abstractNumId w:val="45"/>
  </w:num>
  <w:num w:numId="20">
    <w:abstractNumId w:val="12"/>
  </w:num>
  <w:num w:numId="21">
    <w:abstractNumId w:val="33"/>
  </w:num>
  <w:num w:numId="22">
    <w:abstractNumId w:val="15"/>
  </w:num>
  <w:num w:numId="23">
    <w:abstractNumId w:val="26"/>
  </w:num>
  <w:num w:numId="24">
    <w:abstractNumId w:val="31"/>
  </w:num>
  <w:num w:numId="25">
    <w:abstractNumId w:val="25"/>
  </w:num>
  <w:num w:numId="26">
    <w:abstractNumId w:val="27"/>
  </w:num>
  <w:num w:numId="27">
    <w:abstractNumId w:val="29"/>
  </w:num>
  <w:num w:numId="28">
    <w:abstractNumId w:val="24"/>
  </w:num>
  <w:num w:numId="29">
    <w:abstractNumId w:val="41"/>
  </w:num>
  <w:num w:numId="30">
    <w:abstractNumId w:val="10"/>
  </w:num>
  <w:num w:numId="31">
    <w:abstractNumId w:val="19"/>
  </w:num>
  <w:num w:numId="32">
    <w:abstractNumId w:val="42"/>
  </w:num>
  <w:num w:numId="33">
    <w:abstractNumId w:val="44"/>
  </w:num>
  <w:num w:numId="34">
    <w:abstractNumId w:val="16"/>
  </w:num>
  <w:num w:numId="35">
    <w:abstractNumId w:val="39"/>
  </w:num>
  <w:num w:numId="36">
    <w:abstractNumId w:val="3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49"/>
    <w:rsid w:val="000024E0"/>
    <w:rsid w:val="000069D4"/>
    <w:rsid w:val="000174AD"/>
    <w:rsid w:val="00031A19"/>
    <w:rsid w:val="000323CD"/>
    <w:rsid w:val="00033238"/>
    <w:rsid w:val="00047A1D"/>
    <w:rsid w:val="000604B9"/>
    <w:rsid w:val="00096764"/>
    <w:rsid w:val="000A7D55"/>
    <w:rsid w:val="000B1C6B"/>
    <w:rsid w:val="000B7669"/>
    <w:rsid w:val="000C039E"/>
    <w:rsid w:val="000C12C8"/>
    <w:rsid w:val="000C2E8E"/>
    <w:rsid w:val="000E0871"/>
    <w:rsid w:val="000E0E7C"/>
    <w:rsid w:val="000F1B4B"/>
    <w:rsid w:val="0011470E"/>
    <w:rsid w:val="0012744F"/>
    <w:rsid w:val="00131178"/>
    <w:rsid w:val="0014157C"/>
    <w:rsid w:val="00156F66"/>
    <w:rsid w:val="00163271"/>
    <w:rsid w:val="00164703"/>
    <w:rsid w:val="00170BA6"/>
    <w:rsid w:val="00172122"/>
    <w:rsid w:val="00182528"/>
    <w:rsid w:val="0018500B"/>
    <w:rsid w:val="0019490C"/>
    <w:rsid w:val="00196A19"/>
    <w:rsid w:val="001A2097"/>
    <w:rsid w:val="001C0062"/>
    <w:rsid w:val="001D43A3"/>
    <w:rsid w:val="001E4030"/>
    <w:rsid w:val="001E5DDD"/>
    <w:rsid w:val="001E6814"/>
    <w:rsid w:val="001E74CD"/>
    <w:rsid w:val="001F717F"/>
    <w:rsid w:val="0020103A"/>
    <w:rsid w:val="00202DC1"/>
    <w:rsid w:val="002072FE"/>
    <w:rsid w:val="00210A7B"/>
    <w:rsid w:val="002116EE"/>
    <w:rsid w:val="002141FC"/>
    <w:rsid w:val="0022732D"/>
    <w:rsid w:val="002309D8"/>
    <w:rsid w:val="002321A4"/>
    <w:rsid w:val="00244704"/>
    <w:rsid w:val="002573C6"/>
    <w:rsid w:val="002666F6"/>
    <w:rsid w:val="00267286"/>
    <w:rsid w:val="00286E68"/>
    <w:rsid w:val="002A7FE2"/>
    <w:rsid w:val="002E1B4F"/>
    <w:rsid w:val="002E4D43"/>
    <w:rsid w:val="002F2E67"/>
    <w:rsid w:val="002F7CB3"/>
    <w:rsid w:val="00304F7B"/>
    <w:rsid w:val="00312703"/>
    <w:rsid w:val="00315546"/>
    <w:rsid w:val="00324328"/>
    <w:rsid w:val="00330567"/>
    <w:rsid w:val="0034756C"/>
    <w:rsid w:val="003716C0"/>
    <w:rsid w:val="00386A9D"/>
    <w:rsid w:val="00391081"/>
    <w:rsid w:val="003B2789"/>
    <w:rsid w:val="003B7E99"/>
    <w:rsid w:val="003C13CE"/>
    <w:rsid w:val="003C697E"/>
    <w:rsid w:val="003E2518"/>
    <w:rsid w:val="003E2FBE"/>
    <w:rsid w:val="003E7CEF"/>
    <w:rsid w:val="003F72E9"/>
    <w:rsid w:val="004023AA"/>
    <w:rsid w:val="004038B0"/>
    <w:rsid w:val="00445291"/>
    <w:rsid w:val="0045350C"/>
    <w:rsid w:val="00470885"/>
    <w:rsid w:val="004725C1"/>
    <w:rsid w:val="00480327"/>
    <w:rsid w:val="004B1EF7"/>
    <w:rsid w:val="004B3FAD"/>
    <w:rsid w:val="004C5749"/>
    <w:rsid w:val="004E0838"/>
    <w:rsid w:val="004E6B1F"/>
    <w:rsid w:val="005016ED"/>
    <w:rsid w:val="00501DCA"/>
    <w:rsid w:val="00505DC7"/>
    <w:rsid w:val="00513A47"/>
    <w:rsid w:val="00514BE3"/>
    <w:rsid w:val="00516409"/>
    <w:rsid w:val="00517526"/>
    <w:rsid w:val="00521697"/>
    <w:rsid w:val="00534329"/>
    <w:rsid w:val="005408DF"/>
    <w:rsid w:val="00541DCC"/>
    <w:rsid w:val="00551768"/>
    <w:rsid w:val="00573344"/>
    <w:rsid w:val="00583771"/>
    <w:rsid w:val="00583F9B"/>
    <w:rsid w:val="005A10DA"/>
    <w:rsid w:val="005A28EF"/>
    <w:rsid w:val="005B0BBA"/>
    <w:rsid w:val="005B0D29"/>
    <w:rsid w:val="005C38AB"/>
    <w:rsid w:val="005E5C10"/>
    <w:rsid w:val="005F2C78"/>
    <w:rsid w:val="00604502"/>
    <w:rsid w:val="00604C09"/>
    <w:rsid w:val="006144E4"/>
    <w:rsid w:val="00650299"/>
    <w:rsid w:val="006543A4"/>
    <w:rsid w:val="00655FC5"/>
    <w:rsid w:val="006606CB"/>
    <w:rsid w:val="00663097"/>
    <w:rsid w:val="00670913"/>
    <w:rsid w:val="006853C6"/>
    <w:rsid w:val="00686B5B"/>
    <w:rsid w:val="00695800"/>
    <w:rsid w:val="006C06F4"/>
    <w:rsid w:val="0071772A"/>
    <w:rsid w:val="007371FB"/>
    <w:rsid w:val="00743793"/>
    <w:rsid w:val="0077118E"/>
    <w:rsid w:val="007714D8"/>
    <w:rsid w:val="00795901"/>
    <w:rsid w:val="007B169C"/>
    <w:rsid w:val="007C140C"/>
    <w:rsid w:val="007D70F7"/>
    <w:rsid w:val="007F7BFE"/>
    <w:rsid w:val="0080538C"/>
    <w:rsid w:val="00814E0A"/>
    <w:rsid w:val="00822581"/>
    <w:rsid w:val="008309DD"/>
    <w:rsid w:val="0083227A"/>
    <w:rsid w:val="00833540"/>
    <w:rsid w:val="00836EF5"/>
    <w:rsid w:val="0084660E"/>
    <w:rsid w:val="0084720C"/>
    <w:rsid w:val="00865EC5"/>
    <w:rsid w:val="0086618C"/>
    <w:rsid w:val="00866900"/>
    <w:rsid w:val="00874D28"/>
    <w:rsid w:val="00876A8A"/>
    <w:rsid w:val="00881BA1"/>
    <w:rsid w:val="00885CA9"/>
    <w:rsid w:val="008862C2"/>
    <w:rsid w:val="008974FE"/>
    <w:rsid w:val="008979F8"/>
    <w:rsid w:val="008A28FC"/>
    <w:rsid w:val="008A2BA0"/>
    <w:rsid w:val="008C2302"/>
    <w:rsid w:val="008C26B8"/>
    <w:rsid w:val="008C5895"/>
    <w:rsid w:val="008D0508"/>
    <w:rsid w:val="008E3BCC"/>
    <w:rsid w:val="008F208F"/>
    <w:rsid w:val="009002F1"/>
    <w:rsid w:val="009313A7"/>
    <w:rsid w:val="00935255"/>
    <w:rsid w:val="00944B5C"/>
    <w:rsid w:val="00952C4F"/>
    <w:rsid w:val="0097366D"/>
    <w:rsid w:val="00973D83"/>
    <w:rsid w:val="00973E02"/>
    <w:rsid w:val="00981AF6"/>
    <w:rsid w:val="00982084"/>
    <w:rsid w:val="00985785"/>
    <w:rsid w:val="009872A8"/>
    <w:rsid w:val="00995963"/>
    <w:rsid w:val="009B61EB"/>
    <w:rsid w:val="009C0978"/>
    <w:rsid w:val="009C2064"/>
    <w:rsid w:val="009D1697"/>
    <w:rsid w:val="009D6073"/>
    <w:rsid w:val="009F3A46"/>
    <w:rsid w:val="009F6520"/>
    <w:rsid w:val="00A014F8"/>
    <w:rsid w:val="00A5173C"/>
    <w:rsid w:val="00A5776E"/>
    <w:rsid w:val="00A604A3"/>
    <w:rsid w:val="00A61AEF"/>
    <w:rsid w:val="00A8163A"/>
    <w:rsid w:val="00A95D2F"/>
    <w:rsid w:val="00AA0B2B"/>
    <w:rsid w:val="00AB006A"/>
    <w:rsid w:val="00AB6936"/>
    <w:rsid w:val="00AC1BA5"/>
    <w:rsid w:val="00AC1F84"/>
    <w:rsid w:val="00AC2058"/>
    <w:rsid w:val="00AC5261"/>
    <w:rsid w:val="00AD2345"/>
    <w:rsid w:val="00AD705C"/>
    <w:rsid w:val="00AE0549"/>
    <w:rsid w:val="00AE35F5"/>
    <w:rsid w:val="00AE441C"/>
    <w:rsid w:val="00AE5064"/>
    <w:rsid w:val="00AF173A"/>
    <w:rsid w:val="00B066A4"/>
    <w:rsid w:val="00B07A13"/>
    <w:rsid w:val="00B13AB2"/>
    <w:rsid w:val="00B2665B"/>
    <w:rsid w:val="00B27B63"/>
    <w:rsid w:val="00B34F3A"/>
    <w:rsid w:val="00B4279B"/>
    <w:rsid w:val="00B458FB"/>
    <w:rsid w:val="00B45FC9"/>
    <w:rsid w:val="00B5452F"/>
    <w:rsid w:val="00B6548C"/>
    <w:rsid w:val="00B76F35"/>
    <w:rsid w:val="00B81138"/>
    <w:rsid w:val="00B918A0"/>
    <w:rsid w:val="00B9539F"/>
    <w:rsid w:val="00B9591C"/>
    <w:rsid w:val="00BA42A4"/>
    <w:rsid w:val="00BB4ACE"/>
    <w:rsid w:val="00BC0384"/>
    <w:rsid w:val="00BC1828"/>
    <w:rsid w:val="00BC3EE2"/>
    <w:rsid w:val="00BC7CCF"/>
    <w:rsid w:val="00BE0248"/>
    <w:rsid w:val="00BE4075"/>
    <w:rsid w:val="00BE470B"/>
    <w:rsid w:val="00C11948"/>
    <w:rsid w:val="00C17EAA"/>
    <w:rsid w:val="00C36D01"/>
    <w:rsid w:val="00C57A91"/>
    <w:rsid w:val="00CA7832"/>
    <w:rsid w:val="00CC01C2"/>
    <w:rsid w:val="00CE5369"/>
    <w:rsid w:val="00CF1011"/>
    <w:rsid w:val="00CF21F2"/>
    <w:rsid w:val="00CF32DB"/>
    <w:rsid w:val="00D02712"/>
    <w:rsid w:val="00D046A7"/>
    <w:rsid w:val="00D07867"/>
    <w:rsid w:val="00D145FD"/>
    <w:rsid w:val="00D214D0"/>
    <w:rsid w:val="00D25B25"/>
    <w:rsid w:val="00D27020"/>
    <w:rsid w:val="00D6546B"/>
    <w:rsid w:val="00D70F63"/>
    <w:rsid w:val="00D74638"/>
    <w:rsid w:val="00D83DCE"/>
    <w:rsid w:val="00D86F9C"/>
    <w:rsid w:val="00D95113"/>
    <w:rsid w:val="00D97E03"/>
    <w:rsid w:val="00DB178B"/>
    <w:rsid w:val="00DB6769"/>
    <w:rsid w:val="00DC17D3"/>
    <w:rsid w:val="00DD3346"/>
    <w:rsid w:val="00DD4BED"/>
    <w:rsid w:val="00DE39F0"/>
    <w:rsid w:val="00DE62A5"/>
    <w:rsid w:val="00DF0AF3"/>
    <w:rsid w:val="00DF7E9F"/>
    <w:rsid w:val="00E06D28"/>
    <w:rsid w:val="00E26A4D"/>
    <w:rsid w:val="00E27D7E"/>
    <w:rsid w:val="00E42E13"/>
    <w:rsid w:val="00E56D5C"/>
    <w:rsid w:val="00E6257C"/>
    <w:rsid w:val="00E63C59"/>
    <w:rsid w:val="00E83D13"/>
    <w:rsid w:val="00E85929"/>
    <w:rsid w:val="00EA3E77"/>
    <w:rsid w:val="00EB545A"/>
    <w:rsid w:val="00ED1900"/>
    <w:rsid w:val="00EE3BD3"/>
    <w:rsid w:val="00F05047"/>
    <w:rsid w:val="00F11511"/>
    <w:rsid w:val="00F15310"/>
    <w:rsid w:val="00F21FB0"/>
    <w:rsid w:val="00F25662"/>
    <w:rsid w:val="00F55210"/>
    <w:rsid w:val="00F67617"/>
    <w:rsid w:val="00FA124A"/>
    <w:rsid w:val="00FA62B0"/>
    <w:rsid w:val="00FC06AC"/>
    <w:rsid w:val="00FC08DD"/>
    <w:rsid w:val="00FC12AC"/>
    <w:rsid w:val="00FC2316"/>
    <w:rsid w:val="00FC2CFD"/>
    <w:rsid w:val="00FD685D"/>
    <w:rsid w:val="00FE3F7E"/>
    <w:rsid w:val="00FF32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F79F33C-5DE8-4EC2-802C-F646670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549"/>
    <w:rPr>
      <w:rFonts w:ascii="Times New Roman" w:hAnsi="Times New Roman"/>
      <w:b/>
      <w:sz w:val="28"/>
      <w:lang w:val="en-GB" w:eastAsia="en-US"/>
    </w:rPr>
  </w:style>
  <w:style w:type="character" w:customStyle="1" w:styleId="Heading2Char">
    <w:name w:val="Heading 2 Char"/>
    <w:basedOn w:val="DefaultParagraphFont"/>
    <w:link w:val="Heading2"/>
    <w:rsid w:val="00AE0549"/>
    <w:rPr>
      <w:rFonts w:ascii="Times New Roman" w:hAnsi="Times New Roman"/>
      <w:b/>
      <w:sz w:val="24"/>
      <w:lang w:val="en-GB" w:eastAsia="en-US"/>
    </w:rPr>
  </w:style>
  <w:style w:type="character" w:customStyle="1" w:styleId="Heading3Char">
    <w:name w:val="Heading 3 Char"/>
    <w:basedOn w:val="DefaultParagraphFont"/>
    <w:link w:val="Heading3"/>
    <w:rsid w:val="00AE0549"/>
    <w:rPr>
      <w:rFonts w:ascii="Times New Roman" w:hAnsi="Times New Roman"/>
      <w:b/>
      <w:sz w:val="24"/>
      <w:lang w:val="en-GB" w:eastAsia="en-US"/>
    </w:rPr>
  </w:style>
  <w:style w:type="character" w:customStyle="1" w:styleId="Heading4Char">
    <w:name w:val="Heading 4 Char"/>
    <w:basedOn w:val="DefaultParagraphFont"/>
    <w:link w:val="Heading4"/>
    <w:rsid w:val="00AE0549"/>
    <w:rPr>
      <w:rFonts w:ascii="Times New Roman" w:hAnsi="Times New Roman"/>
      <w:b/>
      <w:sz w:val="24"/>
      <w:lang w:val="en-GB" w:eastAsia="en-US"/>
    </w:rPr>
  </w:style>
  <w:style w:type="character" w:customStyle="1" w:styleId="Heading5Char">
    <w:name w:val="Heading 5 Char"/>
    <w:basedOn w:val="DefaultParagraphFont"/>
    <w:link w:val="Heading5"/>
    <w:rsid w:val="00AE0549"/>
    <w:rPr>
      <w:rFonts w:ascii="Times New Roman" w:hAnsi="Times New Roman"/>
      <w:b/>
      <w:sz w:val="24"/>
      <w:lang w:val="en-GB" w:eastAsia="en-US"/>
    </w:rPr>
  </w:style>
  <w:style w:type="character" w:customStyle="1" w:styleId="Heading6Char">
    <w:name w:val="Heading 6 Char"/>
    <w:basedOn w:val="DefaultParagraphFont"/>
    <w:link w:val="Heading6"/>
    <w:rsid w:val="00AE0549"/>
    <w:rPr>
      <w:rFonts w:ascii="Times New Roman" w:hAnsi="Times New Roman"/>
      <w:b/>
      <w:sz w:val="24"/>
      <w:lang w:val="en-GB" w:eastAsia="en-US"/>
    </w:rPr>
  </w:style>
  <w:style w:type="character" w:customStyle="1" w:styleId="Heading7Char">
    <w:name w:val="Heading 7 Char"/>
    <w:basedOn w:val="DefaultParagraphFont"/>
    <w:link w:val="Heading7"/>
    <w:rsid w:val="00AE0549"/>
    <w:rPr>
      <w:rFonts w:ascii="Times New Roman" w:hAnsi="Times New Roman"/>
      <w:b/>
      <w:sz w:val="24"/>
      <w:lang w:val="en-GB" w:eastAsia="en-US"/>
    </w:rPr>
  </w:style>
  <w:style w:type="character" w:customStyle="1" w:styleId="Heading8Char">
    <w:name w:val="Heading 8 Char"/>
    <w:basedOn w:val="DefaultParagraphFont"/>
    <w:link w:val="Heading8"/>
    <w:rsid w:val="00AE0549"/>
    <w:rPr>
      <w:rFonts w:ascii="Times New Roman" w:hAnsi="Times New Roman"/>
      <w:b/>
      <w:sz w:val="24"/>
      <w:lang w:val="en-GB" w:eastAsia="en-US"/>
    </w:rPr>
  </w:style>
  <w:style w:type="character" w:customStyle="1" w:styleId="Heading9Char">
    <w:name w:val="Heading 9 Char"/>
    <w:basedOn w:val="DefaultParagraphFont"/>
    <w:link w:val="Heading9"/>
    <w:rsid w:val="00AE0549"/>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AE0549"/>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basedOn w:val="DefaultParagraphFont"/>
    <w:link w:val="Arttitle"/>
    <w:locked/>
    <w:rsid w:val="00AE0549"/>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character" w:customStyle="1" w:styleId="enumlev10">
    <w:name w:val="enumlev1 Знак"/>
    <w:link w:val="enumlev1"/>
    <w:locked/>
    <w:rsid w:val="00AE0549"/>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character" w:customStyle="1" w:styleId="EquationeqChar">
    <w:name w:val="Equation.eq Char"/>
    <w:basedOn w:val="DefaultParagraphFont"/>
    <w:link w:val="Equation"/>
    <w:qFormat/>
    <w:locked/>
    <w:rsid w:val="00AE0549"/>
    <w:rPr>
      <w:rFonts w:ascii="Times New Roman" w:hAnsi="Times New Roman"/>
      <w:sz w:val="24"/>
      <w:lang w:val="en-GB" w:eastAsia="en-US"/>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AE0549"/>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AE0549"/>
    <w:rPr>
      <w:rFonts w:ascii="Times New Roman Bold" w:hAnsi="Times New Roman Bold" w:cs="Times New Roman Bold"/>
      <w:b/>
      <w:lang w:val="en-GB" w:eastAsia="en-US"/>
    </w:rPr>
  </w:style>
  <w:style w:type="paragraph" w:customStyle="1" w:styleId="Tablelegend">
    <w:name w:val="Table_legend"/>
    <w:basedOn w:val="Normal"/>
    <w:uiPriority w:val="99"/>
    <w:qFormat/>
    <w:rsid w:val="00B6548C"/>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AE0549"/>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AE0549"/>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AE0549"/>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97366D"/>
    <w:pPr>
      <w:keepNext/>
      <w:keepLines/>
      <w:spacing w:before="160"/>
    </w:pPr>
    <w:rPr>
      <w:i/>
      <w:lang w:eastAsia="zh-CN"/>
    </w:rPr>
  </w:style>
  <w:style w:type="paragraph" w:customStyle="1" w:styleId="Headingb">
    <w:name w:val="Heading_b"/>
    <w:basedOn w:val="Normal"/>
    <w:next w:val="Normal"/>
    <w:qFormat/>
    <w:rsid w:val="0022732D"/>
    <w:pPr>
      <w:keepNext/>
      <w:keepLines/>
      <w:spacing w:before="160"/>
    </w:pPr>
    <w:rPr>
      <w:rFonts w:ascii="Times New Roman Bold" w:hAnsi="Times New Roman Bold" w:cs="Times New Roman Bold"/>
      <w:b/>
      <w:lang w:val="fr-CH" w:eastAsia="zh-CN"/>
    </w:rPr>
  </w:style>
  <w:style w:type="paragraph" w:customStyle="1" w:styleId="Figure">
    <w:name w:val="Figure"/>
    <w:basedOn w:val="Normal"/>
    <w:next w:val="Normal"/>
    <w:qFormat/>
    <w:rsid w:val="002666F6"/>
    <w:pPr>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2666F6"/>
    <w:pPr>
      <w:keepNext/>
      <w:keepLines/>
      <w:spacing w:before="0" w:after="120"/>
      <w:jc w:val="center"/>
    </w:pPr>
    <w:rPr>
      <w:rFonts w:ascii="Times New Roman Bold" w:hAnsi="Times New Roman Bold"/>
      <w:b/>
      <w:noProof/>
      <w:sz w:val="20"/>
      <w:lang w:val="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H">
    <w:name w:val="TAH"/>
    <w:basedOn w:val="Normal"/>
    <w:link w:val="TAHCar"/>
    <w:qFormat/>
    <w:rsid w:val="00AE0549"/>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AE0549"/>
    <w:rPr>
      <w:rFonts w:ascii="Arial" w:eastAsia="MS Mincho" w:hAnsi="Arial"/>
      <w:b/>
      <w:sz w:val="18"/>
      <w:lang w:val="en-GB" w:eastAsia="en-US"/>
    </w:rPr>
  </w:style>
  <w:style w:type="paragraph" w:customStyle="1" w:styleId="TAL">
    <w:name w:val="TAL"/>
    <w:basedOn w:val="Normal"/>
    <w:link w:val="TALCar"/>
    <w:rsid w:val="00AE0549"/>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AE0549"/>
    <w:rPr>
      <w:rFonts w:ascii="Arial" w:eastAsia="MS Mincho" w:hAnsi="Arial"/>
      <w:sz w:val="18"/>
      <w:lang w:val="en-GB" w:eastAsia="en-US"/>
    </w:rPr>
  </w:style>
  <w:style w:type="paragraph" w:customStyle="1" w:styleId="TAR">
    <w:name w:val="TAR"/>
    <w:basedOn w:val="Normal"/>
    <w:rsid w:val="00AE0549"/>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AE0549"/>
    <w:pPr>
      <w:jc w:val="center"/>
    </w:pPr>
    <w:rPr>
      <w:rFonts w:eastAsia="Times New Roman"/>
    </w:rPr>
  </w:style>
  <w:style w:type="character" w:customStyle="1" w:styleId="TACChar">
    <w:name w:val="TAC Char"/>
    <w:link w:val="TAC"/>
    <w:qFormat/>
    <w:rsid w:val="00AE0549"/>
    <w:rPr>
      <w:rFonts w:ascii="Arial" w:hAnsi="Arial"/>
      <w:sz w:val="18"/>
      <w:lang w:val="en-GB" w:eastAsia="en-US"/>
    </w:rPr>
  </w:style>
  <w:style w:type="table" w:styleId="TableGrid">
    <w:name w:val="Table Grid"/>
    <w:basedOn w:val="TableNormal"/>
    <w:qFormat/>
    <w:rsid w:val="00AE05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AE0549"/>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AE0549"/>
    <w:rPr>
      <w:rFonts w:ascii="Times New Roman" w:hAnsi="Times New Roman"/>
      <w:sz w:val="24"/>
      <w:lang w:val="fr-FR" w:eastAsia="en-US"/>
    </w:rPr>
  </w:style>
  <w:style w:type="paragraph" w:styleId="BalloonText">
    <w:name w:val="Balloon Text"/>
    <w:basedOn w:val="Normal"/>
    <w:link w:val="BalloonTextChar"/>
    <w:semiHidden/>
    <w:rsid w:val="00AE0549"/>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AE0549"/>
    <w:rPr>
      <w:rFonts w:ascii="Tahoma" w:eastAsia="MS Mincho" w:hAnsi="Tahoma" w:cs="Tahoma"/>
      <w:sz w:val="16"/>
      <w:szCs w:val="16"/>
      <w:lang w:val="en-GB" w:eastAsia="en-US"/>
    </w:rPr>
  </w:style>
  <w:style w:type="paragraph" w:customStyle="1" w:styleId="AnnexNoTitle">
    <w:name w:val="Annex_NoTitle"/>
    <w:basedOn w:val="Normal"/>
    <w:next w:val="Normalaftertitle"/>
    <w:rsid w:val="00AE054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AE0549"/>
  </w:style>
  <w:style w:type="character" w:customStyle="1" w:styleId="href">
    <w:name w:val="href"/>
    <w:rsid w:val="00AE0549"/>
    <w:rPr>
      <w:rFonts w:cs="Times New Roman"/>
    </w:rPr>
  </w:style>
  <w:style w:type="paragraph" w:customStyle="1" w:styleId="Tablefin">
    <w:name w:val="Table_fin"/>
    <w:basedOn w:val="Normal"/>
    <w:next w:val="Normal"/>
    <w:uiPriority w:val="99"/>
    <w:qFormat/>
    <w:rsid w:val="00AE0549"/>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Line">
    <w:name w:val="Line"/>
    <w:basedOn w:val="Normal"/>
    <w:next w:val="Normal"/>
    <w:rsid w:val="00AE0549"/>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styleId="Hyperlink">
    <w:name w:val="Hyperlink"/>
    <w:uiPriority w:val="99"/>
    <w:rsid w:val="00AE0549"/>
    <w:rPr>
      <w:rFonts w:cs="Times New Roman"/>
      <w:color w:val="0000FF"/>
      <w:u w:val="single"/>
    </w:rPr>
  </w:style>
  <w:style w:type="character" w:customStyle="1" w:styleId="enumlev1Char">
    <w:name w:val="enumlev1 Char"/>
    <w:qFormat/>
    <w:rsid w:val="00AE0549"/>
    <w:rPr>
      <w:rFonts w:cs="Times New Roman"/>
      <w:sz w:val="24"/>
      <w:lang w:val="en-GB" w:eastAsia="en-US" w:bidi="ar-SA"/>
    </w:rPr>
  </w:style>
  <w:style w:type="paragraph" w:styleId="CommentText">
    <w:name w:val="annotation text"/>
    <w:basedOn w:val="Normal"/>
    <w:link w:val="CommentTextChar"/>
    <w:semiHidden/>
    <w:rsid w:val="00AE0549"/>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semiHidden/>
    <w:rsid w:val="00AE0549"/>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AE0549"/>
    <w:rPr>
      <w:b/>
      <w:bCs/>
    </w:rPr>
  </w:style>
  <w:style w:type="character" w:customStyle="1" w:styleId="CommentSubjectChar">
    <w:name w:val="Comment Subject Char"/>
    <w:basedOn w:val="CommentTextChar"/>
    <w:link w:val="CommentSubject"/>
    <w:semiHidden/>
    <w:rsid w:val="00AE0549"/>
    <w:rPr>
      <w:rFonts w:ascii="Times New Roman" w:eastAsia="MS Mincho" w:hAnsi="Times New Roman"/>
      <w:b/>
      <w:bCs/>
      <w:lang w:val="en-GB" w:eastAsia="en-US"/>
    </w:rPr>
  </w:style>
  <w:style w:type="paragraph" w:styleId="BodyText">
    <w:name w:val="Body Text"/>
    <w:basedOn w:val="Normal"/>
    <w:link w:val="BodyTextChar"/>
    <w:rsid w:val="00AE0549"/>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AE0549"/>
    <w:rPr>
      <w:rFonts w:ascii="Times New Roman" w:eastAsia="MS Mincho" w:hAnsi="Times New Roman"/>
      <w:sz w:val="24"/>
      <w:lang w:val="en-GB" w:eastAsia="en-US"/>
    </w:rPr>
  </w:style>
  <w:style w:type="paragraph" w:customStyle="1" w:styleId="Char1CharChar1Char">
    <w:name w:val="Char1 Char Char1 Char"/>
    <w:basedOn w:val="Normal"/>
    <w:rsid w:val="00AE054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qFormat/>
    <w:rsid w:val="00AE0549"/>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locked/>
    <w:rsid w:val="00AE0549"/>
    <w:rPr>
      <w:rFonts w:ascii="Times New Roman" w:eastAsia="MS Mincho" w:hAnsi="Times New Roman"/>
      <w:b/>
      <w:bCs/>
      <w:lang w:val="en-GB" w:eastAsia="en-US"/>
    </w:rPr>
  </w:style>
  <w:style w:type="paragraph" w:customStyle="1" w:styleId="TH">
    <w:name w:val="TH"/>
    <w:basedOn w:val="Normal"/>
    <w:link w:val="THChar"/>
    <w:qFormat/>
    <w:rsid w:val="00AE0549"/>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AE0549"/>
    <w:rPr>
      <w:rFonts w:ascii="Arial" w:eastAsia="SimSun" w:hAnsi="Arial"/>
      <w:b/>
      <w:lang w:val="en-GB" w:eastAsia="en-US"/>
    </w:rPr>
  </w:style>
  <w:style w:type="paragraph" w:customStyle="1" w:styleId="TF">
    <w:name w:val="TF"/>
    <w:aliases w:val="left"/>
    <w:basedOn w:val="Normal"/>
    <w:link w:val="TFChar"/>
    <w:rsid w:val="00AE0549"/>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AE0549"/>
    <w:rPr>
      <w:rFonts w:ascii="Arial" w:eastAsia="MS Mincho" w:hAnsi="Arial"/>
      <w:b/>
      <w:lang w:val="en-GB" w:eastAsia="en-US"/>
    </w:rPr>
  </w:style>
  <w:style w:type="character" w:customStyle="1" w:styleId="TALChar">
    <w:name w:val="TAL Char"/>
    <w:locked/>
    <w:rsid w:val="00AE0549"/>
    <w:rPr>
      <w:rFonts w:ascii="Arial" w:eastAsia="SimSun" w:hAnsi="Arial"/>
      <w:sz w:val="18"/>
      <w:lang w:val="en-GB" w:eastAsia="en-US" w:bidi="ar-SA"/>
    </w:rPr>
  </w:style>
  <w:style w:type="character" w:styleId="Emphasis">
    <w:name w:val="Emphasis"/>
    <w:qFormat/>
    <w:rsid w:val="00AE0549"/>
    <w:rPr>
      <w:rFonts w:cs="Times New Roman"/>
      <w:i/>
      <w:iCs/>
    </w:rPr>
  </w:style>
  <w:style w:type="character" w:styleId="FollowedHyperlink">
    <w:name w:val="FollowedHyperlink"/>
    <w:rsid w:val="00AE0549"/>
    <w:rPr>
      <w:color w:val="800080"/>
      <w:u w:val="single"/>
    </w:rPr>
  </w:style>
  <w:style w:type="character" w:customStyle="1" w:styleId="UnresolvedMention1">
    <w:name w:val="Unresolved Mention1"/>
    <w:basedOn w:val="DefaultParagraphFont"/>
    <w:uiPriority w:val="99"/>
    <w:semiHidden/>
    <w:unhideWhenUsed/>
    <w:rsid w:val="00AE0549"/>
    <w:rPr>
      <w:color w:val="808080"/>
      <w:shd w:val="clear" w:color="auto" w:fill="E6E6E6"/>
    </w:rPr>
  </w:style>
  <w:style w:type="character" w:styleId="CommentReference">
    <w:name w:val="annotation reference"/>
    <w:basedOn w:val="DefaultParagraphFont"/>
    <w:semiHidden/>
    <w:unhideWhenUsed/>
    <w:rsid w:val="00AE0549"/>
    <w:rPr>
      <w:sz w:val="16"/>
      <w:szCs w:val="16"/>
    </w:rPr>
  </w:style>
  <w:style w:type="paragraph" w:customStyle="1" w:styleId="C5G-Bodytext">
    <w:name w:val="C5G-Body text"/>
    <w:basedOn w:val="NormalWeb"/>
    <w:rsid w:val="00AE0549"/>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AE0549"/>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AE0549"/>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AE0549"/>
    <w:rPr>
      <w:color w:val="605E5C"/>
      <w:shd w:val="clear" w:color="auto" w:fill="E1DFDD"/>
    </w:rPr>
  </w:style>
  <w:style w:type="paragraph" w:customStyle="1" w:styleId="MTDisplayEquation">
    <w:name w:val="MTDisplayEquation"/>
    <w:basedOn w:val="Normal"/>
    <w:next w:val="Normal"/>
    <w:link w:val="MTDisplayEquationChar"/>
    <w:rsid w:val="00AE0549"/>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AE0549"/>
    <w:rPr>
      <w:rFonts w:asciiTheme="minorHAnsi" w:eastAsiaTheme="minorHAnsi" w:hAnsiTheme="minorHAnsi" w:cstheme="minorBidi"/>
      <w:sz w:val="22"/>
      <w:szCs w:val="22"/>
      <w:lang w:eastAsia="en-US"/>
    </w:rPr>
  </w:style>
  <w:style w:type="paragraph" w:customStyle="1" w:styleId="TAN">
    <w:name w:val="TAN"/>
    <w:basedOn w:val="Normal"/>
    <w:link w:val="TANChar"/>
    <w:rsid w:val="00AE0549"/>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x-none"/>
    </w:rPr>
  </w:style>
  <w:style w:type="character" w:customStyle="1" w:styleId="TANChar">
    <w:name w:val="TAN Char"/>
    <w:basedOn w:val="DefaultParagraphFont"/>
    <w:link w:val="TAN"/>
    <w:rsid w:val="00AE0549"/>
    <w:rPr>
      <w:rFonts w:ascii="Arial" w:hAnsi="Arial"/>
      <w:sz w:val="18"/>
      <w:lang w:val="x-none" w:eastAsia="en-US"/>
    </w:rPr>
  </w:style>
  <w:style w:type="paragraph" w:customStyle="1" w:styleId="EW">
    <w:name w:val="EW"/>
    <w:basedOn w:val="Normal"/>
    <w:rsid w:val="00AE0549"/>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paragraph" w:customStyle="1" w:styleId="B1">
    <w:name w:val="B1"/>
    <w:basedOn w:val="List"/>
    <w:link w:val="B1Zchn"/>
    <w:qFormat/>
    <w:rsid w:val="00AE0549"/>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sz w:val="20"/>
      <w:lang w:val="en-GB"/>
    </w:rPr>
  </w:style>
  <w:style w:type="paragraph" w:styleId="List">
    <w:name w:val="List"/>
    <w:basedOn w:val="Normal"/>
    <w:uiPriority w:val="99"/>
    <w:semiHidden/>
    <w:unhideWhenUsed/>
    <w:rsid w:val="00AE0549"/>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rsid w:val="00AE0549"/>
    <w:rPr>
      <w:rFonts w:ascii="Times New Roman" w:eastAsiaTheme="minorEastAsia" w:hAnsi="Times New Roman"/>
      <w:lang w:val="en-GB" w:eastAsia="en-US"/>
    </w:rPr>
  </w:style>
  <w:style w:type="paragraph" w:customStyle="1" w:styleId="Guidance">
    <w:name w:val="Guidance"/>
    <w:basedOn w:val="Normal"/>
    <w:rsid w:val="00AE0549"/>
    <w:pPr>
      <w:tabs>
        <w:tab w:val="clear" w:pos="1134"/>
        <w:tab w:val="clear" w:pos="1871"/>
        <w:tab w:val="clear" w:pos="2268"/>
      </w:tabs>
      <w:overflowPunct/>
      <w:autoSpaceDE/>
      <w:autoSpaceDN/>
      <w:adjustRightInd/>
      <w:spacing w:before="0" w:after="180"/>
      <w:textAlignment w:val="auto"/>
    </w:pPr>
    <w:rPr>
      <w:i/>
      <w:color w:val="0000FF"/>
      <w:sz w:val="20"/>
    </w:rPr>
  </w:style>
  <w:style w:type="paragraph" w:customStyle="1" w:styleId="00BodyText">
    <w:name w:val="00 BodyText"/>
    <w:basedOn w:val="Normal"/>
    <w:qFormat/>
    <w:rsid w:val="00AE0549"/>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
    <w:name w:val="Unresolved Mention"/>
    <w:basedOn w:val="DefaultParagraphFont"/>
    <w:uiPriority w:val="99"/>
    <w:semiHidden/>
    <w:unhideWhenUsed/>
    <w:rsid w:val="00AE0549"/>
    <w:rPr>
      <w:color w:val="605E5C"/>
      <w:shd w:val="clear" w:color="auto" w:fill="E1DFDD"/>
    </w:rPr>
  </w:style>
  <w:style w:type="character" w:customStyle="1" w:styleId="Heading1CharChar">
    <w:name w:val="Heading 1 Char Char"/>
    <w:basedOn w:val="DefaultParagraphFont"/>
    <w:rsid w:val="00AE0549"/>
    <w:rPr>
      <w:b/>
      <w:bCs w:val="0"/>
      <w:sz w:val="24"/>
      <w:lang w:val="en-GB" w:eastAsia="en-US" w:bidi="ar-SA"/>
    </w:rPr>
  </w:style>
  <w:style w:type="paragraph" w:customStyle="1" w:styleId="Eqn">
    <w:name w:val="Eqn"/>
    <w:basedOn w:val="Normal"/>
    <w:qFormat/>
    <w:rsid w:val="00AE0549"/>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AE054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AE0549"/>
    <w:pPr>
      <w:tabs>
        <w:tab w:val="clear" w:pos="1134"/>
        <w:tab w:val="clear" w:pos="1871"/>
        <w:tab w:val="clear" w:pos="2268"/>
      </w:tabs>
      <w:overflowPunct/>
      <w:autoSpaceDE/>
      <w:autoSpaceDN/>
      <w:adjustRightInd/>
      <w:spacing w:before="0" w:after="100" w:line="259" w:lineRule="auto"/>
      <w:ind w:left="1760"/>
      <w:textAlignment w:val="auto"/>
    </w:pPr>
    <w:rPr>
      <w:rFonts w:asciiTheme="minorHAnsi" w:hAnsiTheme="minorHAnsi" w:cstheme="minorBidi"/>
      <w:sz w:val="22"/>
      <w:szCs w:val="22"/>
      <w:lang w:val="de-DE" w:eastAsia="de-DE"/>
    </w:rPr>
  </w:style>
  <w:style w:type="character" w:customStyle="1" w:styleId="UnresolvedMention3">
    <w:name w:val="Unresolved Mention3"/>
    <w:basedOn w:val="DefaultParagraphFont"/>
    <w:uiPriority w:val="99"/>
    <w:semiHidden/>
    <w:unhideWhenUsed/>
    <w:rsid w:val="00AE0549"/>
    <w:rPr>
      <w:color w:val="605E5C"/>
      <w:shd w:val="clear" w:color="auto" w:fill="E1DFDD"/>
    </w:rPr>
  </w:style>
  <w:style w:type="paragraph" w:customStyle="1" w:styleId="Default">
    <w:name w:val="Default"/>
    <w:rsid w:val="00AE0549"/>
    <w:pPr>
      <w:autoSpaceDE w:val="0"/>
      <w:autoSpaceDN w:val="0"/>
      <w:adjustRightInd w:val="0"/>
    </w:pPr>
    <w:rPr>
      <w:rFonts w:ascii="Tahoma" w:eastAsiaTheme="minorHAnsi" w:hAnsi="Tahoma" w:cs="Tahom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5.png"/><Relationship Id="rId42" Type="http://schemas.openxmlformats.org/officeDocument/2006/relationships/image" Target="media/image33.wmf"/><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png"/><Relationship Id="rId41"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w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image" Target="media/image27.e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image" Target="media/image22.emf"/><Relationship Id="rId44"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wmf"/><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136</Pages>
  <Words>40239</Words>
  <Characters>229367</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De La Rosa Trivino, Maria Dolores</cp:lastModifiedBy>
  <cp:revision>6</cp:revision>
  <cp:lastPrinted>2008-02-21T14:04:00Z</cp:lastPrinted>
  <dcterms:created xsi:type="dcterms:W3CDTF">2020-02-11T17:44:00Z</dcterms:created>
  <dcterms:modified xsi:type="dcterms:W3CDTF">2020-02-12T14:18:00Z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