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D0C08" w:rsidRPr="00797537" w:rsidTr="00307645">
        <w:trPr>
          <w:cantSplit/>
        </w:trPr>
        <w:tc>
          <w:tcPr>
            <w:tcW w:w="6487" w:type="dxa"/>
            <w:vAlign w:val="center"/>
          </w:tcPr>
          <w:p w:rsidR="005D0C08" w:rsidRPr="00797537" w:rsidRDefault="005D0C08" w:rsidP="00307645">
            <w:pPr>
              <w:shd w:val="solid" w:color="FFFFFF" w:fill="FFFFFF"/>
              <w:spacing w:before="0"/>
              <w:rPr>
                <w:rFonts w:ascii="Verdana" w:hAnsi="Verdana" w:cs="Times New Roman Bold"/>
                <w:b/>
                <w:bCs/>
                <w:sz w:val="26"/>
                <w:szCs w:val="26"/>
              </w:rPr>
            </w:pPr>
            <w:bookmarkStart w:id="0" w:name="dnum" w:colFirst="1" w:colLast="1"/>
            <w:r w:rsidRPr="00797537">
              <w:rPr>
                <w:rFonts w:ascii="Verdana" w:hAnsi="Verdana" w:cs="Times New Roman Bold"/>
                <w:b/>
                <w:bCs/>
                <w:sz w:val="26"/>
                <w:szCs w:val="26"/>
              </w:rPr>
              <w:t>Radiocommunication Study Groups</w:t>
            </w:r>
          </w:p>
        </w:tc>
        <w:tc>
          <w:tcPr>
            <w:tcW w:w="3402" w:type="dxa"/>
          </w:tcPr>
          <w:p w:rsidR="005D0C08" w:rsidRPr="00797537" w:rsidRDefault="00B25037" w:rsidP="00307645">
            <w:pPr>
              <w:shd w:val="solid" w:color="FFFFFF" w:fill="FFFFFF"/>
              <w:spacing w:before="0" w:line="240" w:lineRule="atLeast"/>
            </w:pPr>
            <w:bookmarkStart w:id="1" w:name="ditulogo"/>
            <w:bookmarkEnd w:id="1"/>
            <w:r>
              <w:rPr>
                <w:noProof/>
                <w:lang w:eastAsia="en-GB"/>
              </w:rPr>
              <w:drawing>
                <wp:inline distT="0" distB="0" distL="0" distR="0" wp14:anchorId="7B8D03FE" wp14:editId="6BDF24B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5D0C08" w:rsidRPr="00797537" w:rsidTr="00307645">
        <w:trPr>
          <w:cantSplit/>
        </w:trPr>
        <w:tc>
          <w:tcPr>
            <w:tcW w:w="6487" w:type="dxa"/>
            <w:tcBorders>
              <w:bottom w:val="single" w:sz="12" w:space="0" w:color="auto"/>
            </w:tcBorders>
          </w:tcPr>
          <w:p w:rsidR="005D0C08" w:rsidRPr="00797537" w:rsidRDefault="005D0C08" w:rsidP="00307645">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D0C08" w:rsidRPr="00797537" w:rsidRDefault="005D0C08" w:rsidP="00307645">
            <w:pPr>
              <w:shd w:val="solid" w:color="FFFFFF" w:fill="FFFFFF"/>
              <w:spacing w:before="0" w:after="48" w:line="240" w:lineRule="atLeast"/>
              <w:rPr>
                <w:sz w:val="22"/>
                <w:szCs w:val="22"/>
              </w:rPr>
            </w:pPr>
          </w:p>
        </w:tc>
      </w:tr>
      <w:tr w:rsidR="005D0C08" w:rsidRPr="00797537" w:rsidTr="00307645">
        <w:trPr>
          <w:cantSplit/>
        </w:trPr>
        <w:tc>
          <w:tcPr>
            <w:tcW w:w="6487" w:type="dxa"/>
            <w:tcBorders>
              <w:top w:val="single" w:sz="12" w:space="0" w:color="auto"/>
            </w:tcBorders>
          </w:tcPr>
          <w:p w:rsidR="005D0C08" w:rsidRPr="00797537" w:rsidRDefault="005D0C08" w:rsidP="00307645">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D0C08" w:rsidRPr="00797537" w:rsidRDefault="005D0C08" w:rsidP="00307645">
            <w:pPr>
              <w:shd w:val="solid" w:color="FFFFFF" w:fill="FFFFFF"/>
              <w:spacing w:before="0" w:after="48" w:line="240" w:lineRule="atLeast"/>
            </w:pPr>
          </w:p>
        </w:tc>
      </w:tr>
      <w:tr w:rsidR="005D0C08" w:rsidRPr="00797537" w:rsidTr="00307645">
        <w:trPr>
          <w:cantSplit/>
        </w:trPr>
        <w:tc>
          <w:tcPr>
            <w:tcW w:w="6487" w:type="dxa"/>
            <w:vMerge w:val="restart"/>
          </w:tcPr>
          <w:p w:rsidR="005D0C08" w:rsidRPr="00797537" w:rsidRDefault="005D0C08" w:rsidP="00307645">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rsidR="005D0C08" w:rsidRPr="00797537" w:rsidRDefault="00647F07" w:rsidP="00CA3F9D">
            <w:pPr>
              <w:shd w:val="solid" w:color="FFFFFF" w:fill="FFFFFF"/>
              <w:spacing w:before="0" w:line="240" w:lineRule="atLeast"/>
              <w:rPr>
                <w:rFonts w:ascii="Verdana" w:hAnsi="Verdana"/>
                <w:sz w:val="20"/>
                <w:lang w:eastAsia="zh-CN"/>
              </w:rPr>
            </w:pPr>
            <w:r>
              <w:rPr>
                <w:rFonts w:ascii="Verdana" w:hAnsi="Verdana"/>
                <w:b/>
                <w:sz w:val="20"/>
                <w:lang w:eastAsia="zh-CN"/>
              </w:rPr>
              <w:t xml:space="preserve">Source: </w:t>
            </w:r>
            <w:r w:rsidR="005D0C08" w:rsidRPr="00797537">
              <w:rPr>
                <w:rFonts w:ascii="Verdana" w:hAnsi="Verdana"/>
                <w:b/>
                <w:sz w:val="20"/>
                <w:lang w:eastAsia="zh-CN"/>
              </w:rPr>
              <w:t>Document 5/1-E</w:t>
            </w:r>
          </w:p>
        </w:tc>
      </w:tr>
      <w:tr w:rsidR="005D0C08" w:rsidRPr="00797537" w:rsidTr="00307645">
        <w:trPr>
          <w:cantSplit/>
        </w:trPr>
        <w:tc>
          <w:tcPr>
            <w:tcW w:w="6487" w:type="dxa"/>
            <w:vMerge/>
          </w:tcPr>
          <w:p w:rsidR="005D0C08" w:rsidRPr="00797537" w:rsidRDefault="005D0C08" w:rsidP="00307645">
            <w:pPr>
              <w:spacing w:before="60"/>
              <w:jc w:val="center"/>
              <w:rPr>
                <w:b/>
                <w:smallCaps/>
                <w:sz w:val="32"/>
                <w:lang w:eastAsia="zh-CN"/>
              </w:rPr>
            </w:pPr>
          </w:p>
        </w:tc>
        <w:tc>
          <w:tcPr>
            <w:tcW w:w="3402" w:type="dxa"/>
          </w:tcPr>
          <w:p w:rsidR="005D0C08" w:rsidRPr="00797537" w:rsidRDefault="00AE5A9F" w:rsidP="000971F6">
            <w:pPr>
              <w:shd w:val="solid" w:color="FFFFFF" w:fill="FFFFFF"/>
              <w:spacing w:before="0" w:line="240" w:lineRule="atLeast"/>
              <w:rPr>
                <w:rFonts w:ascii="Verdana" w:hAnsi="Verdana"/>
                <w:sz w:val="20"/>
                <w:lang w:eastAsia="zh-CN"/>
              </w:rPr>
            </w:pPr>
            <w:r>
              <w:rPr>
                <w:rFonts w:ascii="Verdana" w:hAnsi="Verdana"/>
                <w:b/>
                <w:sz w:val="20"/>
                <w:lang w:eastAsia="zh-CN"/>
              </w:rPr>
              <w:t>2</w:t>
            </w:r>
            <w:r w:rsidR="000971F6">
              <w:rPr>
                <w:rFonts w:ascii="Verdana" w:hAnsi="Verdana"/>
                <w:b/>
                <w:sz w:val="20"/>
                <w:lang w:eastAsia="zh-CN"/>
              </w:rPr>
              <w:t>8</w:t>
            </w:r>
            <w:r w:rsidR="00A77474">
              <w:rPr>
                <w:rFonts w:ascii="Verdana" w:hAnsi="Verdana"/>
                <w:b/>
                <w:sz w:val="20"/>
                <w:lang w:eastAsia="zh-CN"/>
              </w:rPr>
              <w:t xml:space="preserve"> January</w:t>
            </w:r>
            <w:r w:rsidR="00321137" w:rsidRPr="00797537">
              <w:rPr>
                <w:rFonts w:ascii="Verdana" w:hAnsi="Verdana"/>
                <w:b/>
                <w:sz w:val="20"/>
                <w:lang w:eastAsia="zh-CN"/>
              </w:rPr>
              <w:t xml:space="preserve"> 20</w:t>
            </w:r>
            <w:r w:rsidR="00A77474">
              <w:rPr>
                <w:rFonts w:ascii="Verdana" w:hAnsi="Verdana"/>
                <w:b/>
                <w:sz w:val="20"/>
                <w:lang w:eastAsia="zh-CN"/>
              </w:rPr>
              <w:t>20</w:t>
            </w:r>
          </w:p>
        </w:tc>
      </w:tr>
      <w:tr w:rsidR="005D0C08" w:rsidRPr="00797537" w:rsidTr="00307645">
        <w:trPr>
          <w:cantSplit/>
        </w:trPr>
        <w:tc>
          <w:tcPr>
            <w:tcW w:w="6487" w:type="dxa"/>
            <w:vMerge/>
          </w:tcPr>
          <w:p w:rsidR="005D0C08" w:rsidRPr="00797537" w:rsidRDefault="005D0C08" w:rsidP="00307645">
            <w:pPr>
              <w:spacing w:before="60"/>
              <w:jc w:val="center"/>
              <w:rPr>
                <w:b/>
                <w:smallCaps/>
                <w:sz w:val="32"/>
                <w:lang w:eastAsia="zh-CN"/>
              </w:rPr>
            </w:pPr>
          </w:p>
        </w:tc>
        <w:tc>
          <w:tcPr>
            <w:tcW w:w="3402" w:type="dxa"/>
          </w:tcPr>
          <w:p w:rsidR="005D0C08" w:rsidRPr="00797537" w:rsidRDefault="005D0C08" w:rsidP="00307645">
            <w:pPr>
              <w:shd w:val="solid" w:color="FFFFFF" w:fill="FFFFFF"/>
              <w:spacing w:before="0" w:line="240" w:lineRule="atLeast"/>
              <w:rPr>
                <w:rFonts w:ascii="Verdana" w:eastAsia="SimSun" w:hAnsi="Verdana"/>
                <w:sz w:val="20"/>
                <w:lang w:eastAsia="zh-CN"/>
              </w:rPr>
            </w:pPr>
            <w:r w:rsidRPr="00797537">
              <w:rPr>
                <w:rFonts w:ascii="Verdana" w:eastAsia="SimSun" w:hAnsi="Verdana"/>
                <w:b/>
                <w:sz w:val="20"/>
                <w:lang w:eastAsia="zh-CN"/>
              </w:rPr>
              <w:t>English only</w:t>
            </w:r>
          </w:p>
        </w:tc>
      </w:tr>
      <w:tr w:rsidR="005D0C08" w:rsidRPr="00797537" w:rsidTr="00307645">
        <w:trPr>
          <w:cantSplit/>
        </w:trPr>
        <w:tc>
          <w:tcPr>
            <w:tcW w:w="9889" w:type="dxa"/>
            <w:gridSpan w:val="2"/>
          </w:tcPr>
          <w:p w:rsidR="005D0C08" w:rsidRPr="00797537" w:rsidRDefault="005D0C08" w:rsidP="00307645">
            <w:pPr>
              <w:pStyle w:val="Source"/>
              <w:rPr>
                <w:lang w:eastAsia="zh-CN"/>
              </w:rPr>
            </w:pPr>
          </w:p>
        </w:tc>
      </w:tr>
      <w:tr w:rsidR="005D0C08" w:rsidRPr="00797537" w:rsidTr="00307645">
        <w:trPr>
          <w:cantSplit/>
        </w:trPr>
        <w:tc>
          <w:tcPr>
            <w:tcW w:w="9889" w:type="dxa"/>
            <w:gridSpan w:val="2"/>
          </w:tcPr>
          <w:p w:rsidR="005D0C08" w:rsidRPr="00797537" w:rsidRDefault="00647F07" w:rsidP="00307645">
            <w:pPr>
              <w:pStyle w:val="Title1"/>
              <w:rPr>
                <w:lang w:eastAsia="zh-CN"/>
              </w:rPr>
            </w:pPr>
            <w:r>
              <w:rPr>
                <w:lang w:eastAsia="zh-CN"/>
              </w:rPr>
              <w:t>Extract</w:t>
            </w:r>
          </w:p>
        </w:tc>
      </w:tr>
      <w:tr w:rsidR="005D0C08" w:rsidRPr="00797537" w:rsidTr="00307645">
        <w:trPr>
          <w:cantSplit/>
        </w:trPr>
        <w:tc>
          <w:tcPr>
            <w:tcW w:w="9889" w:type="dxa"/>
            <w:gridSpan w:val="2"/>
          </w:tcPr>
          <w:p w:rsidR="005D0C08" w:rsidRPr="00797537" w:rsidRDefault="005D0C08" w:rsidP="00307645">
            <w:pPr>
              <w:pStyle w:val="Title1"/>
              <w:rPr>
                <w:lang w:eastAsia="zh-CN"/>
              </w:rPr>
            </w:pPr>
          </w:p>
        </w:tc>
      </w:tr>
    </w:tbl>
    <w:bookmarkStart w:id="2" w:name="dbreak"/>
    <w:bookmarkEnd w:id="0"/>
    <w:bookmarkEnd w:id="2"/>
    <w:p w:rsidR="004145F1" w:rsidRPr="00797537" w:rsidRDefault="00AC7498" w:rsidP="004145F1">
      <w:pPr>
        <w:rPr>
          <w:lang w:eastAsia="ja-JP"/>
        </w:rPr>
      </w:pPr>
      <w:r>
        <w:fldChar w:fldCharType="begin"/>
      </w:r>
      <w:r>
        <w:instrText xml:space="preserve"> HYPERLINK \l "Att8" </w:instrText>
      </w:r>
      <w:r>
        <w:fldChar w:fldCharType="separate"/>
      </w:r>
      <w:r w:rsidR="004145F1" w:rsidRPr="00761589">
        <w:rPr>
          <w:rStyle w:val="Hyperlink"/>
          <w:rFonts w:ascii="Times New Roman" w:hAnsi="Times New Roman"/>
          <w:b/>
          <w:bCs/>
          <w:lang w:eastAsia="ja-JP"/>
        </w:rPr>
        <w:t>Attachment 8</w:t>
      </w:r>
      <w:r>
        <w:rPr>
          <w:rStyle w:val="Hyperlink"/>
          <w:rFonts w:ascii="Times New Roman" w:hAnsi="Times New Roman"/>
          <w:b/>
          <w:bCs/>
          <w:lang w:eastAsia="ja-JP"/>
        </w:rPr>
        <w:fldChar w:fldCharType="end"/>
      </w:r>
      <w:r w:rsidR="004145F1" w:rsidRPr="00797537">
        <w:rPr>
          <w:b/>
          <w:bCs/>
          <w:lang w:eastAsia="ja-JP"/>
        </w:rPr>
        <w:t>:</w:t>
      </w:r>
      <w:r w:rsidR="004145F1" w:rsidRPr="00797537">
        <w:rPr>
          <w:b/>
          <w:bCs/>
          <w:lang w:eastAsia="ja-JP"/>
        </w:rPr>
        <w:tab/>
      </w:r>
      <w:r w:rsidR="004145F1" w:rsidRPr="00797537">
        <w:rPr>
          <w:b/>
          <w:bCs/>
          <w:lang w:eastAsia="ja-JP"/>
        </w:rPr>
        <w:tab/>
      </w:r>
      <w:r w:rsidR="004145F1" w:rsidRPr="00797537">
        <w:rPr>
          <w:lang w:eastAsia="ja-JP"/>
        </w:rPr>
        <w:t>WRC Resolutions related to the work of Study Group 5</w:t>
      </w:r>
    </w:p>
    <w:p w:rsidR="004145F1" w:rsidRDefault="00172560" w:rsidP="004145F1">
      <w:pPr>
        <w:rPr>
          <w:lang w:eastAsia="ja-JP"/>
        </w:rPr>
      </w:pPr>
      <w:hyperlink w:anchor="Att9" w:history="1">
        <w:r w:rsidR="004145F1" w:rsidRPr="00761589">
          <w:rPr>
            <w:rStyle w:val="Hyperlink"/>
            <w:rFonts w:ascii="Times New Roman" w:hAnsi="Times New Roman"/>
            <w:b/>
            <w:bCs/>
            <w:lang w:eastAsia="ja-JP"/>
          </w:rPr>
          <w:t>Attachment 9</w:t>
        </w:r>
      </w:hyperlink>
      <w:r w:rsidR="004145F1" w:rsidRPr="00797537">
        <w:rPr>
          <w:b/>
          <w:bCs/>
          <w:lang w:eastAsia="ja-JP"/>
        </w:rPr>
        <w:t>:</w:t>
      </w:r>
      <w:r w:rsidR="004145F1" w:rsidRPr="00797537">
        <w:rPr>
          <w:b/>
          <w:bCs/>
          <w:lang w:eastAsia="ja-JP"/>
        </w:rPr>
        <w:tab/>
      </w:r>
      <w:r w:rsidR="004145F1" w:rsidRPr="00797537">
        <w:rPr>
          <w:b/>
          <w:bCs/>
          <w:lang w:eastAsia="ja-JP"/>
        </w:rPr>
        <w:tab/>
      </w:r>
      <w:r w:rsidR="004145F1" w:rsidRPr="00797537">
        <w:rPr>
          <w:lang w:eastAsia="ja-JP"/>
        </w:rPr>
        <w:t>WRC Recommendations related to the work of Study Group 5</w:t>
      </w:r>
    </w:p>
    <w:p w:rsidR="00E97BA2" w:rsidRPr="00727443" w:rsidRDefault="00172560" w:rsidP="00E97BA2">
      <w:pPr>
        <w:ind w:left="2268" w:hanging="2268"/>
        <w:rPr>
          <w:lang w:val="en-US" w:eastAsia="ja-JP"/>
        </w:rPr>
      </w:pPr>
      <w:hyperlink w:anchor="Att10" w:history="1">
        <w:r w:rsidR="00E97BA2" w:rsidRPr="00761589">
          <w:rPr>
            <w:rStyle w:val="Hyperlink"/>
            <w:rFonts w:ascii="Times New Roman" w:hAnsi="Times New Roman"/>
            <w:b/>
            <w:bCs/>
            <w:lang w:eastAsia="ja-JP"/>
          </w:rPr>
          <w:t>Attachment 10</w:t>
        </w:r>
      </w:hyperlink>
      <w:r w:rsidR="00E97BA2" w:rsidRPr="00727443">
        <w:rPr>
          <w:b/>
          <w:bCs/>
          <w:lang w:eastAsia="ja-JP"/>
        </w:rPr>
        <w:t>:</w:t>
      </w:r>
      <w:r w:rsidR="00E97BA2">
        <w:rPr>
          <w:lang w:eastAsia="ja-JP"/>
        </w:rPr>
        <w:tab/>
      </w:r>
      <w:r w:rsidR="00E97BA2">
        <w:rPr>
          <w:lang w:eastAsia="ja-JP"/>
        </w:rPr>
        <w:tab/>
        <w:t>Other WRC Resolutions calling for studies by Study Group 5</w:t>
      </w:r>
    </w:p>
    <w:p w:rsidR="0014187C" w:rsidRPr="00797537" w:rsidRDefault="0014187C">
      <w:pPr>
        <w:tabs>
          <w:tab w:val="clear" w:pos="1134"/>
          <w:tab w:val="clear" w:pos="1871"/>
          <w:tab w:val="clear" w:pos="2268"/>
        </w:tabs>
        <w:overflowPunct/>
        <w:autoSpaceDE/>
        <w:autoSpaceDN/>
        <w:adjustRightInd/>
        <w:spacing w:before="0"/>
        <w:textAlignment w:val="auto"/>
        <w:rPr>
          <w:b/>
          <w:bCs/>
          <w:lang w:eastAsia="zh-CN"/>
        </w:rPr>
      </w:pPr>
    </w:p>
    <w:p w:rsidR="007B7EEF" w:rsidRPr="00797537" w:rsidRDefault="007B7EEF" w:rsidP="00DD4BED">
      <w:pPr>
        <w:rPr>
          <w:lang w:eastAsia="zh-CN"/>
        </w:rPr>
        <w:sectPr w:rsidR="007B7EEF" w:rsidRPr="00797537" w:rsidSect="00D02712">
          <w:headerReference w:type="default" r:id="rId7"/>
          <w:footerReference w:type="default" r:id="rId8"/>
          <w:footerReference w:type="first" r:id="rId9"/>
          <w:pgSz w:w="11907" w:h="16834"/>
          <w:pgMar w:top="1418" w:right="1134" w:bottom="1418" w:left="1134" w:header="720" w:footer="720" w:gutter="0"/>
          <w:paperSrc w:first="15" w:other="15"/>
          <w:cols w:space="720"/>
          <w:titlePg/>
        </w:sectPr>
      </w:pPr>
    </w:p>
    <w:p w:rsidR="00CA45A0" w:rsidRPr="00797537" w:rsidRDefault="00CA45A0" w:rsidP="00612F30">
      <w:pPr>
        <w:pStyle w:val="AnnexNo"/>
        <w:rPr>
          <w:lang w:eastAsia="ja-JP"/>
        </w:rPr>
      </w:pPr>
      <w:bookmarkStart w:id="3" w:name="Att8"/>
      <w:r w:rsidRPr="00797537">
        <w:rPr>
          <w:lang w:eastAsia="ja-JP"/>
        </w:rPr>
        <w:t>Attachment 8</w:t>
      </w:r>
    </w:p>
    <w:p w:rsidR="00CA45A0" w:rsidRDefault="00CA45A0" w:rsidP="00612F30">
      <w:pPr>
        <w:pStyle w:val="Annextitle"/>
        <w:rPr>
          <w:lang w:eastAsia="ja-JP"/>
        </w:rPr>
      </w:pPr>
      <w:r w:rsidRPr="00797537">
        <w:rPr>
          <w:lang w:eastAsia="ja-JP"/>
        </w:rPr>
        <w:t>WRC Resolutions related to the work of Study Group 5</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1562"/>
        <w:gridCol w:w="7653"/>
        <w:gridCol w:w="1560"/>
      </w:tblGrid>
      <w:tr w:rsidR="00D47F38" w:rsidRPr="00425A39" w:rsidTr="00373E4E">
        <w:trPr>
          <w:cantSplit/>
          <w:tblHeader/>
          <w:jc w:val="center"/>
        </w:trPr>
        <w:tc>
          <w:tcPr>
            <w:tcW w:w="14175" w:type="dxa"/>
            <w:gridSpan w:val="4"/>
            <w:tcBorders>
              <w:top w:val="nil"/>
              <w:left w:val="nil"/>
              <w:right w:val="nil"/>
            </w:tcBorders>
          </w:tcPr>
          <w:bookmarkEnd w:id="3"/>
          <w:p w:rsidR="00D47F38" w:rsidRPr="00425A39" w:rsidRDefault="00D47F38" w:rsidP="00ED7B8A">
            <w:pPr>
              <w:pStyle w:val="Tablehead"/>
            </w:pPr>
            <w:r w:rsidRPr="00425A39">
              <w:t>Allocation of ITU-R preparatory work for WRC-23</w:t>
            </w:r>
          </w:p>
        </w:tc>
      </w:tr>
      <w:tr w:rsidR="002333BC" w:rsidRPr="00425A39" w:rsidTr="005B6143">
        <w:trPr>
          <w:cantSplit/>
          <w:tblHeader/>
          <w:jc w:val="center"/>
        </w:trPr>
        <w:tc>
          <w:tcPr>
            <w:tcW w:w="3400" w:type="dxa"/>
            <w:vAlign w:val="center"/>
          </w:tcPr>
          <w:p w:rsidR="00D47F38" w:rsidRPr="00425A39" w:rsidRDefault="00D47F38" w:rsidP="00ED7B8A">
            <w:pPr>
              <w:pStyle w:val="Tablehead"/>
            </w:pPr>
            <w:r w:rsidRPr="00425A39">
              <w:t>Topic</w:t>
            </w:r>
          </w:p>
        </w:tc>
        <w:tc>
          <w:tcPr>
            <w:tcW w:w="1562" w:type="dxa"/>
            <w:vAlign w:val="center"/>
          </w:tcPr>
          <w:p w:rsidR="00D47F38" w:rsidRPr="00425A39" w:rsidRDefault="00D47F38" w:rsidP="00ED7B8A">
            <w:pPr>
              <w:pStyle w:val="Tablehead"/>
            </w:pPr>
            <w:r w:rsidRPr="00425A39">
              <w:t>Responsible group</w:t>
            </w:r>
          </w:p>
        </w:tc>
        <w:tc>
          <w:tcPr>
            <w:tcW w:w="7653" w:type="dxa"/>
            <w:vAlign w:val="center"/>
          </w:tcPr>
          <w:p w:rsidR="00D47F38" w:rsidRPr="00425A39" w:rsidRDefault="00D47F38" w:rsidP="00ED7B8A">
            <w:pPr>
              <w:pStyle w:val="Tablehead"/>
            </w:pPr>
            <w:r w:rsidRPr="00425A39">
              <w:t>Action to be taken by the group</w:t>
            </w:r>
          </w:p>
        </w:tc>
        <w:tc>
          <w:tcPr>
            <w:tcW w:w="1560" w:type="dxa"/>
            <w:vAlign w:val="center"/>
          </w:tcPr>
          <w:p w:rsidR="00D47F38" w:rsidRPr="00425A39" w:rsidRDefault="00D47F38" w:rsidP="00ED7B8A">
            <w:pPr>
              <w:pStyle w:val="Tablehead"/>
            </w:pPr>
            <w:r w:rsidRPr="00425A39">
              <w:t>Contributing group</w:t>
            </w:r>
          </w:p>
        </w:tc>
      </w:tr>
      <w:tr w:rsidR="00D47F38" w:rsidRPr="00425A39" w:rsidTr="00373E4E">
        <w:trPr>
          <w:cantSplit/>
          <w:jc w:val="center"/>
        </w:trPr>
        <w:tc>
          <w:tcPr>
            <w:tcW w:w="14175" w:type="dxa"/>
            <w:gridSpan w:val="4"/>
            <w:vAlign w:val="center"/>
          </w:tcPr>
          <w:p w:rsidR="00D47F38" w:rsidRPr="002333BC" w:rsidRDefault="00D47F38" w:rsidP="00ED7B8A">
            <w:pPr>
              <w:pStyle w:val="Tabletext"/>
              <w:jc w:val="both"/>
            </w:pPr>
            <w:r w:rsidRPr="002333BC">
              <w:t>1</w:t>
            </w:r>
            <w:r w:rsidRPr="002333BC">
              <w:tab/>
            </w:r>
            <w:r w:rsidR="00200ECB">
              <w:tab/>
            </w:r>
            <w:r w:rsidRPr="002333BC">
              <w:t>on the basis of proposals from administrations, taking account of the results of WRC 19 and the Report of the Conference Preparatory Meeting, and with due regard to the requirements of existing and future services in the frequency bands under consideration, to consider and take appropriate action in respect of the following items:</w:t>
            </w:r>
          </w:p>
        </w:tc>
      </w:tr>
      <w:tr w:rsidR="00D47F38" w:rsidRPr="00425A39" w:rsidTr="00373E4E">
        <w:trPr>
          <w:cantSplit/>
          <w:jc w:val="center"/>
        </w:trPr>
        <w:tc>
          <w:tcPr>
            <w:tcW w:w="14175" w:type="dxa"/>
            <w:gridSpan w:val="4"/>
          </w:tcPr>
          <w:p w:rsidR="00D47F38" w:rsidRPr="002333BC" w:rsidRDefault="00D47F38" w:rsidP="00ED7B8A">
            <w:pPr>
              <w:pStyle w:val="Tabletext"/>
              <w:jc w:val="both"/>
            </w:pPr>
            <w:r w:rsidRPr="002333BC">
              <w:t>1.1</w:t>
            </w:r>
            <w:r w:rsidR="00200ECB">
              <w:tab/>
            </w:r>
            <w:r w:rsidRPr="002333BC">
              <w:tab/>
              <w:t>to consider, based on the results of the ITU</w:t>
            </w:r>
            <w:r w:rsidRPr="002333BC">
              <w:noBreakHyphen/>
              <w:t>R studies, possible measures to address, in the frequency band 4 800-4 990 MHz, protection of stations of the aeronautical and maritime mobile services located in international airspace and waters from other stations located within national territories, and to review the pfd criteria in No. </w:t>
            </w:r>
            <w:r w:rsidRPr="002333BC">
              <w:rPr>
                <w:b/>
              </w:rPr>
              <w:t>5.441B</w:t>
            </w:r>
            <w:r w:rsidRPr="002333BC">
              <w:t xml:space="preserve"> in accordance with Resolution </w:t>
            </w:r>
            <w:r w:rsidRPr="002333BC">
              <w:rPr>
                <w:b/>
              </w:rPr>
              <w:t>223 (Rev.WRC</w:t>
            </w:r>
            <w:r w:rsidRPr="002333BC">
              <w:rPr>
                <w:b/>
              </w:rPr>
              <w:noBreakHyphen/>
              <w:t>19)</w:t>
            </w:r>
            <w:r w:rsidRPr="002333BC">
              <w:t>;</w:t>
            </w:r>
          </w:p>
        </w:tc>
      </w:tr>
      <w:tr w:rsidR="002333BC" w:rsidRPr="00425A39" w:rsidTr="005B6143">
        <w:trPr>
          <w:jc w:val="center"/>
        </w:trPr>
        <w:tc>
          <w:tcPr>
            <w:tcW w:w="3400" w:type="dxa"/>
          </w:tcPr>
          <w:p w:rsidR="00D47F38" w:rsidRPr="002333BC" w:rsidRDefault="00D47F38" w:rsidP="00ED7B8A">
            <w:pPr>
              <w:pStyle w:val="Tabletext"/>
            </w:pPr>
            <w:r w:rsidRPr="002333BC">
              <w:t>Resolution </w:t>
            </w:r>
            <w:r w:rsidRPr="002333BC">
              <w:rPr>
                <w:b/>
              </w:rPr>
              <w:t>223 (Rev.WRC</w:t>
            </w:r>
            <w:r w:rsidRPr="002333BC">
              <w:rPr>
                <w:b/>
              </w:rPr>
              <w:noBreakHyphen/>
              <w:t>19)</w:t>
            </w:r>
          </w:p>
          <w:p w:rsidR="00D47F38" w:rsidRPr="002333BC" w:rsidRDefault="00D47F38" w:rsidP="00ED7B8A">
            <w:pPr>
              <w:pStyle w:val="Tabletext"/>
            </w:pPr>
            <w:r w:rsidRPr="002333BC">
              <w:t>Additional frequency bands identified for International Mobile Telecommunications</w:t>
            </w:r>
          </w:p>
        </w:tc>
        <w:tc>
          <w:tcPr>
            <w:tcW w:w="1562" w:type="dxa"/>
          </w:tcPr>
          <w:p w:rsidR="00D47F38" w:rsidRPr="002333BC" w:rsidRDefault="00D47F38" w:rsidP="00ED7B8A">
            <w:pPr>
              <w:pStyle w:val="Tabletext"/>
              <w:jc w:val="center"/>
            </w:pPr>
            <w:r w:rsidRPr="002333BC">
              <w:rPr>
                <w:b/>
              </w:rPr>
              <w:t>WP 5B</w:t>
            </w:r>
            <w:r w:rsidRPr="002333BC">
              <w:t xml:space="preserve"> and </w:t>
            </w:r>
            <w:r w:rsidRPr="002333BC">
              <w:rPr>
                <w:b/>
              </w:rPr>
              <w:t>WP 5D</w:t>
            </w:r>
          </w:p>
          <w:p w:rsidR="00D47F38" w:rsidRPr="002333BC" w:rsidRDefault="00D47F38" w:rsidP="00ED7B8A">
            <w:pPr>
              <w:pStyle w:val="Tabletext"/>
              <w:jc w:val="center"/>
            </w:pPr>
            <w:r w:rsidRPr="002333BC">
              <w:rPr>
                <w:u w:val="single"/>
              </w:rPr>
              <w:t>Note</w:t>
            </w:r>
            <w:r w:rsidRPr="002333BC">
              <w:t>: WP 5B and WP 5D to work jointly as provided below.</w:t>
            </w:r>
            <w:r w:rsidRPr="002333BC">
              <w:rPr>
                <w:rStyle w:val="FootnoteReference"/>
              </w:rPr>
              <w:footnoteReference w:customMarkFollows="1" w:id="1"/>
              <w:t>1</w:t>
            </w:r>
          </w:p>
        </w:tc>
        <w:tc>
          <w:tcPr>
            <w:tcW w:w="7653" w:type="dxa"/>
          </w:tcPr>
          <w:p w:rsidR="00D47F38" w:rsidRPr="002333BC" w:rsidRDefault="00D47F38" w:rsidP="00ED7B8A">
            <w:pPr>
              <w:pStyle w:val="StyleCall10pt"/>
              <w:jc w:val="both"/>
              <w:rPr>
                <w:rFonts w:cs="Times New Roman"/>
              </w:rPr>
            </w:pPr>
            <w:r w:rsidRPr="002333BC">
              <w:rPr>
                <w:rFonts w:eastAsia="MS Mincho" w:cs="Times New Roman"/>
              </w:rPr>
              <w:t>resolves</w:t>
            </w:r>
          </w:p>
          <w:p w:rsidR="00D47F38" w:rsidRPr="002333BC" w:rsidRDefault="00D47F38" w:rsidP="00ED7B8A">
            <w:pPr>
              <w:pStyle w:val="Tabletext"/>
              <w:jc w:val="both"/>
              <w:rPr>
                <w:rFonts w:eastAsia="???"/>
              </w:rPr>
            </w:pPr>
            <w:r w:rsidRPr="002333BC">
              <w:rPr>
                <w:rFonts w:eastAsia="???"/>
              </w:rPr>
              <w:t>1</w:t>
            </w:r>
            <w:r w:rsidRPr="002333BC">
              <w:rPr>
                <w:rFonts w:eastAsia="???"/>
              </w:rPr>
              <w:tab/>
              <w:t>[not applicable]</w:t>
            </w:r>
          </w:p>
          <w:p w:rsidR="00D47F38" w:rsidRPr="002333BC" w:rsidRDefault="00D47F38" w:rsidP="00ED7B8A">
            <w:pPr>
              <w:pStyle w:val="Tabletext"/>
              <w:jc w:val="both"/>
              <w:rPr>
                <w:rFonts w:eastAsia="???"/>
              </w:rPr>
            </w:pPr>
            <w:r w:rsidRPr="002333BC">
              <w:rPr>
                <w:rFonts w:eastAsia="???"/>
              </w:rPr>
              <w:t>2</w:t>
            </w:r>
            <w:r w:rsidRPr="002333BC">
              <w:rPr>
                <w:rFonts w:eastAsia="???"/>
              </w:rPr>
              <w:tab/>
              <w:t>[not applicable]</w:t>
            </w:r>
          </w:p>
          <w:p w:rsidR="00D47F38" w:rsidRPr="002333BC" w:rsidRDefault="00D47F38" w:rsidP="00ED7B8A">
            <w:pPr>
              <w:pStyle w:val="Tabletext"/>
              <w:jc w:val="both"/>
              <w:rPr>
                <w:rFonts w:eastAsia="???"/>
              </w:rPr>
            </w:pPr>
            <w:r w:rsidRPr="002333BC">
              <w:rPr>
                <w:rFonts w:eastAsia="???"/>
              </w:rPr>
              <w:t>3</w:t>
            </w:r>
            <w:r w:rsidRPr="002333BC">
              <w:rPr>
                <w:rFonts w:eastAsia="???"/>
              </w:rPr>
              <w:tab/>
              <w:t xml:space="preserve">that in the frequency bands 4 800-4 825 MHz and 4 835-4 950 MHz, in order </w:t>
            </w:r>
            <w:r w:rsidRPr="002333BC">
              <w:t>to identify potentially affected administrations when applying the procedure for seeking agreement under No. </w:t>
            </w:r>
            <w:r w:rsidRPr="002333BC">
              <w:rPr>
                <w:rStyle w:val="Artref"/>
                <w:b/>
                <w:bCs/>
              </w:rPr>
              <w:t>9.21</w:t>
            </w:r>
            <w:r w:rsidRPr="002333BC">
              <w:t xml:space="preserve"> by IMT stations in relation to aircraft stations, a coordination distance from an IMT station to the border of another country equal to 300</w:t>
            </w:r>
            <w:r w:rsidR="00200ECB">
              <w:t> km (for land path)/450 km (for </w:t>
            </w:r>
            <w:r w:rsidRPr="002333BC">
              <w:t>sea path) applies</w:t>
            </w:r>
            <w:r w:rsidRPr="002333BC">
              <w:rPr>
                <w:rFonts w:eastAsia="???"/>
              </w:rPr>
              <w:t>;</w:t>
            </w:r>
          </w:p>
          <w:p w:rsidR="00D47F38" w:rsidRPr="002333BC" w:rsidRDefault="00D47F38" w:rsidP="00ED7B8A">
            <w:pPr>
              <w:pStyle w:val="Tabletext"/>
              <w:jc w:val="both"/>
              <w:rPr>
                <w:rFonts w:eastAsia="???"/>
              </w:rPr>
            </w:pPr>
            <w:r w:rsidRPr="002333BC">
              <w:rPr>
                <w:rFonts w:eastAsia="???"/>
              </w:rPr>
              <w:t>4</w:t>
            </w:r>
            <w:r w:rsidRPr="002333BC">
              <w:rPr>
                <w:rFonts w:eastAsia="???"/>
              </w:rPr>
              <w:tab/>
              <w:t xml:space="preserve">that in the frequency band 4 800-4 990 MHz, in order </w:t>
            </w:r>
            <w:r w:rsidRPr="002333BC">
              <w:t>to identify potentially affected administrations when applying the procedure for seeking agreement under No. </w:t>
            </w:r>
            <w:r w:rsidRPr="002333BC">
              <w:rPr>
                <w:rStyle w:val="Artref"/>
                <w:b/>
                <w:bCs/>
              </w:rPr>
              <w:t>9.21</w:t>
            </w:r>
            <w:r w:rsidRPr="002333BC">
              <w:t xml:space="preserve"> by IMT stations in relation to fixed-service stations or other ground-based stations of the mobile service, a coordination distance from an IMT station to the border of another country equal to 70 km applies</w:t>
            </w:r>
            <w:r w:rsidRPr="002333BC">
              <w:rPr>
                <w:rFonts w:eastAsia="???"/>
              </w:rPr>
              <w:t>;</w:t>
            </w:r>
          </w:p>
          <w:p w:rsidR="00D47F38" w:rsidRPr="002333BC" w:rsidRDefault="00D47F38" w:rsidP="00ED7B8A">
            <w:pPr>
              <w:pStyle w:val="Tabletext"/>
              <w:jc w:val="both"/>
              <w:rPr>
                <w:rFonts w:eastAsia="???"/>
              </w:rPr>
            </w:pPr>
            <w:r w:rsidRPr="002333BC">
              <w:rPr>
                <w:rFonts w:eastAsia="???"/>
              </w:rPr>
              <w:t>5</w:t>
            </w:r>
            <w:r w:rsidRPr="002333BC">
              <w:rPr>
                <w:rFonts w:eastAsia="???"/>
              </w:rPr>
              <w:tab/>
            </w:r>
            <w:r w:rsidRPr="009C68DC">
              <w:rPr>
                <w:rFonts w:eastAsia="???"/>
                <w:spacing w:val="-4"/>
              </w:rPr>
              <w:t xml:space="preserve">that the </w:t>
            </w:r>
            <w:r w:rsidRPr="009C68DC">
              <w:rPr>
                <w:spacing w:val="-4"/>
              </w:rPr>
              <w:t>power flux-density (pfd) limits in No. </w:t>
            </w:r>
            <w:r w:rsidRPr="009C68DC">
              <w:rPr>
                <w:b/>
                <w:bCs/>
                <w:spacing w:val="-4"/>
              </w:rPr>
              <w:t>5.441B</w:t>
            </w:r>
            <w:r w:rsidRPr="009C68DC">
              <w:rPr>
                <w:spacing w:val="-4"/>
              </w:rPr>
              <w:t>, which is subject to review at WRC-23,</w:t>
            </w:r>
            <w:r w:rsidRPr="002333BC">
              <w:t xml:space="preserve"> shall not apply to the following countries: Armenia, Brazil, Cambodia, China, Russian Federation, Kazakhstan, Lao P.D.R., Uzbekistan, South Africa, Viet Nam and Zimbabwe,</w:t>
            </w:r>
          </w:p>
          <w:p w:rsidR="00D47F38" w:rsidRPr="002333BC" w:rsidRDefault="00D47F38" w:rsidP="00ED7B8A">
            <w:pPr>
              <w:pStyle w:val="StyleCall10pt"/>
              <w:jc w:val="both"/>
              <w:rPr>
                <w:rFonts w:cs="Times New Roman"/>
              </w:rPr>
            </w:pPr>
            <w:r w:rsidRPr="002333BC">
              <w:rPr>
                <w:rFonts w:eastAsia="MS Mincho" w:cs="Times New Roman"/>
              </w:rPr>
              <w:t>invites</w:t>
            </w:r>
            <w:r w:rsidRPr="002333BC">
              <w:rPr>
                <w:rFonts w:cs="Times New Roman"/>
              </w:rPr>
              <w:t xml:space="preserve"> the ITU Radiocommunication Sector</w:t>
            </w:r>
          </w:p>
          <w:p w:rsidR="00D47F38" w:rsidRPr="002333BC" w:rsidRDefault="00D47F38" w:rsidP="00ED7B8A">
            <w:pPr>
              <w:pStyle w:val="Tabletext"/>
              <w:jc w:val="both"/>
            </w:pPr>
            <w:r w:rsidRPr="002333BC">
              <w:t>1</w:t>
            </w:r>
            <w:r w:rsidRPr="002333BC">
              <w:tab/>
              <w:t>[not applicable]</w:t>
            </w:r>
          </w:p>
          <w:p w:rsidR="00D47F38" w:rsidRPr="002333BC" w:rsidRDefault="00D47F38" w:rsidP="00ED7B8A">
            <w:pPr>
              <w:pStyle w:val="Tabletext"/>
              <w:jc w:val="both"/>
              <w:rPr>
                <w:lang w:eastAsia="zh-CN"/>
              </w:rPr>
            </w:pPr>
            <w:r w:rsidRPr="002333BC">
              <w:rPr>
                <w:lang w:eastAsia="zh-CN"/>
              </w:rPr>
              <w:t>2</w:t>
            </w:r>
            <w:r w:rsidRPr="002333BC">
              <w:rPr>
                <w:lang w:eastAsia="zh-CN"/>
              </w:rPr>
              <w:tab/>
              <w:t>to study the technical and regulatory conditions for the protection of</w:t>
            </w:r>
            <w:r w:rsidRPr="002333BC">
              <w:t xml:space="preserve"> stations of the aeronautical and maritime mobile services located in international airspace or waters (i.e. outside national territories) and operated </w:t>
            </w:r>
            <w:r w:rsidRPr="002333BC">
              <w:rPr>
                <w:lang w:eastAsia="zh-CN"/>
              </w:rPr>
              <w:t>in the frequency band 4 800-4 990 MHz;</w:t>
            </w:r>
          </w:p>
          <w:p w:rsidR="00D47F38" w:rsidRPr="002333BC" w:rsidRDefault="00D47F38" w:rsidP="00ED7B8A">
            <w:pPr>
              <w:pStyle w:val="Tabletext"/>
              <w:jc w:val="both"/>
            </w:pPr>
            <w:r w:rsidRPr="002333BC">
              <w:t>3</w:t>
            </w:r>
            <w:r w:rsidRPr="002333BC">
              <w:tab/>
              <w:t>[not applicable];</w:t>
            </w:r>
          </w:p>
          <w:p w:rsidR="00D47F38" w:rsidRPr="002333BC" w:rsidRDefault="00D47F38" w:rsidP="00ED7B8A">
            <w:pPr>
              <w:pStyle w:val="Tabletext"/>
              <w:jc w:val="both"/>
              <w:rPr>
                <w:rFonts w:eastAsia="???"/>
              </w:rPr>
            </w:pPr>
            <w:r w:rsidRPr="002333BC">
              <w:rPr>
                <w:rFonts w:eastAsia="???"/>
              </w:rPr>
              <w:t>4</w:t>
            </w:r>
            <w:r w:rsidRPr="002333BC">
              <w:rPr>
                <w:rFonts w:eastAsia="???"/>
              </w:rPr>
              <w:tab/>
              <w:t xml:space="preserve">to include the results of the studies mentioned in </w:t>
            </w:r>
            <w:r w:rsidRPr="002333BC">
              <w:rPr>
                <w:rFonts w:eastAsia="???"/>
                <w:i/>
              </w:rPr>
              <w:t>invites the ITU Radiocommunication Sector</w:t>
            </w:r>
            <w:r w:rsidRPr="002333BC">
              <w:rPr>
                <w:rFonts w:eastAsia="???"/>
              </w:rPr>
              <w:t xml:space="preserve"> above in one or more ITU</w:t>
            </w:r>
            <w:r w:rsidRPr="002333BC">
              <w:rPr>
                <w:rFonts w:eastAsia="???"/>
              </w:rPr>
              <w:noBreakHyphen/>
              <w:t>R Recommendations and Reports, as appropriate,</w:t>
            </w:r>
          </w:p>
          <w:p w:rsidR="00D47F38" w:rsidRPr="002333BC" w:rsidRDefault="00D47F38" w:rsidP="00ED7B8A">
            <w:pPr>
              <w:pStyle w:val="StyleCall10pt"/>
              <w:jc w:val="both"/>
              <w:rPr>
                <w:rFonts w:cs="Times New Roman"/>
                <w:lang w:eastAsia="zh-CN"/>
              </w:rPr>
            </w:pPr>
            <w:r w:rsidRPr="002333BC">
              <w:rPr>
                <w:rFonts w:cs="Times New Roman"/>
                <w:lang w:eastAsia="zh-CN"/>
              </w:rPr>
              <w:t>invites the 2023 World Radiocommunication Conference</w:t>
            </w:r>
          </w:p>
          <w:p w:rsidR="00D47F38" w:rsidRPr="002333BC" w:rsidRDefault="00D47F38" w:rsidP="00ED7B8A">
            <w:pPr>
              <w:pStyle w:val="Tabletext"/>
              <w:jc w:val="both"/>
            </w:pPr>
            <w:r w:rsidRPr="002333BC">
              <w:rPr>
                <w:lang w:eastAsia="zh-CN"/>
              </w:rPr>
              <w:t xml:space="preserve">to consider, based on the results of the studies referred to in </w:t>
            </w:r>
            <w:r w:rsidRPr="002333BC">
              <w:rPr>
                <w:i/>
                <w:iCs/>
                <w:lang w:eastAsia="zh-CN"/>
              </w:rPr>
              <w:t>invites the ITU Radiocommunication Sector</w:t>
            </w:r>
            <w:r w:rsidRPr="002333BC">
              <w:rPr>
                <w:lang w:eastAsia="zh-CN"/>
              </w:rPr>
              <w:t xml:space="preserve"> above, possible</w:t>
            </w:r>
            <w:r w:rsidRPr="002333BC">
              <w:t xml:space="preserve"> measures to address, in the frequency band 4 800-4 990 MHz, protection of stations of the aeronautical and maritime mobile services located in international airspace and waters from other stations located within national territories and to review the pfd criteria in No. </w:t>
            </w:r>
            <w:r w:rsidRPr="002333BC">
              <w:rPr>
                <w:b/>
                <w:bCs/>
              </w:rPr>
              <w:t>5.441B</w:t>
            </w:r>
            <w:r w:rsidRPr="002333BC">
              <w:t>.</w:t>
            </w:r>
          </w:p>
        </w:tc>
        <w:tc>
          <w:tcPr>
            <w:tcW w:w="1560" w:type="dxa"/>
          </w:tcPr>
          <w:p w:rsidR="00D47F38" w:rsidRPr="00425A39" w:rsidRDefault="00D47F38" w:rsidP="00ED7B8A">
            <w:pPr>
              <w:pStyle w:val="Tabletext"/>
              <w:jc w:val="center"/>
              <w:rPr>
                <w:b/>
              </w:rPr>
            </w:pPr>
            <w:r w:rsidRPr="00425A39">
              <w:rPr>
                <w:b/>
              </w:rPr>
              <w:t xml:space="preserve">WP 1B, WP 3K, </w:t>
            </w:r>
            <w:r w:rsidRPr="000971F6">
              <w:rPr>
                <w:b/>
              </w:rPr>
              <w:t xml:space="preserve">WP 3M, WP 5C, </w:t>
            </w:r>
            <w:r w:rsidRPr="000971F6">
              <w:rPr>
                <w:b/>
              </w:rPr>
              <w:br/>
              <w:t>WP 7D</w:t>
            </w:r>
          </w:p>
        </w:tc>
      </w:tr>
      <w:tr w:rsidR="00D47F38" w:rsidRPr="00425A39" w:rsidTr="00373E4E">
        <w:trPr>
          <w:cantSplit/>
          <w:jc w:val="center"/>
        </w:trPr>
        <w:tc>
          <w:tcPr>
            <w:tcW w:w="14175" w:type="dxa"/>
            <w:gridSpan w:val="4"/>
          </w:tcPr>
          <w:p w:rsidR="00D47F38" w:rsidRPr="002333BC" w:rsidRDefault="00D47F38" w:rsidP="00ED7B8A">
            <w:pPr>
              <w:pStyle w:val="Tabletext"/>
              <w:jc w:val="both"/>
            </w:pPr>
            <w:r w:rsidRPr="002333BC">
              <w:t>1.2</w:t>
            </w:r>
            <w:r w:rsidRPr="002333BC">
              <w:tab/>
            </w:r>
            <w:r w:rsidR="00200ECB">
              <w:tab/>
            </w:r>
            <w:r w:rsidRPr="002333BC">
              <w:rPr>
                <w:rFonts w:eastAsia="MS Mincho"/>
              </w:rPr>
              <w:t>to consider identification of the frequency bands 3 300-3 400 MHz, 3 600</w:t>
            </w:r>
            <w:r w:rsidRPr="002333BC">
              <w:rPr>
                <w:rFonts w:eastAsia="MS Mincho"/>
              </w:rPr>
              <w:noBreakHyphen/>
              <w:t xml:space="preserve">3 800 MHz, 6 425-7 025 MHz, 7 025-7 125 MHz and 10.0-10.5 GHz for International Mobile Telecommunications (IMT), including possible additional allocations to the mobile service on a primary basis, in accordance with Resolution </w:t>
            </w:r>
            <w:r w:rsidRPr="002333BC">
              <w:rPr>
                <w:rFonts w:eastAsia="MS Mincho"/>
                <w:b/>
                <w:bCs/>
              </w:rPr>
              <w:t>245</w:t>
            </w:r>
            <w:r w:rsidRPr="002333BC">
              <w:rPr>
                <w:rFonts w:eastAsia="MS Mincho"/>
              </w:rPr>
              <w:t xml:space="preserve"> </w:t>
            </w:r>
            <w:r w:rsidRPr="002333BC">
              <w:rPr>
                <w:rFonts w:eastAsia="MS Mincho"/>
                <w:b/>
              </w:rPr>
              <w:t>(WRC</w:t>
            </w:r>
            <w:r w:rsidRPr="002333BC">
              <w:rPr>
                <w:rFonts w:eastAsia="MS Mincho"/>
                <w:b/>
              </w:rPr>
              <w:noBreakHyphen/>
              <w:t>19)</w:t>
            </w:r>
            <w:r w:rsidRPr="002333BC">
              <w:rPr>
                <w:rFonts w:eastAsia="MS Mincho"/>
                <w:bCs/>
              </w:rPr>
              <w:t>;</w:t>
            </w:r>
          </w:p>
        </w:tc>
      </w:tr>
      <w:tr w:rsidR="002333BC" w:rsidRPr="00425A39" w:rsidTr="005B6143">
        <w:trPr>
          <w:jc w:val="center"/>
        </w:trPr>
        <w:tc>
          <w:tcPr>
            <w:tcW w:w="3400" w:type="dxa"/>
          </w:tcPr>
          <w:p w:rsidR="00D47F38" w:rsidRPr="002333BC" w:rsidRDefault="00D47F38" w:rsidP="00ED7B8A">
            <w:pPr>
              <w:pStyle w:val="Tabletext"/>
            </w:pPr>
            <w:r w:rsidRPr="002333BC">
              <w:t xml:space="preserve">Resolution </w:t>
            </w:r>
            <w:r w:rsidRPr="002333BC">
              <w:rPr>
                <w:b/>
              </w:rPr>
              <w:t>245 (WRC</w:t>
            </w:r>
            <w:r w:rsidRPr="002333BC">
              <w:rPr>
                <w:b/>
              </w:rPr>
              <w:noBreakHyphen/>
              <w:t>19)</w:t>
            </w:r>
          </w:p>
          <w:p w:rsidR="00D47F38" w:rsidRPr="002333BC" w:rsidRDefault="00D47F38" w:rsidP="00ED7B8A">
            <w:pPr>
              <w:pStyle w:val="Tabletext"/>
              <w:rPr>
                <w:bCs/>
              </w:rPr>
            </w:pPr>
            <w:r w:rsidRPr="002333BC">
              <w:t xml:space="preserve">Studies on frequency-related matters for the terrestrial component of International Mobile Telecommunications identification in the frequency bands </w:t>
            </w:r>
            <w:r w:rsidRPr="002333BC">
              <w:rPr>
                <w:bCs/>
                <w:spacing w:val="-2"/>
              </w:rPr>
              <w:t>3 300-3 400 MHz,</w:t>
            </w:r>
            <w:r w:rsidRPr="002333BC">
              <w:rPr>
                <w:bCs/>
              </w:rPr>
              <w:t xml:space="preserve"> 3 600-3 800 MHz, 6 425-7 025 MHz, 7 025-7 125 MHz, and 10.0-10.5 GHz</w:t>
            </w:r>
          </w:p>
          <w:p w:rsidR="00D47F38" w:rsidRPr="002333BC" w:rsidRDefault="00D47F38" w:rsidP="00ED7B8A">
            <w:pPr>
              <w:pStyle w:val="Tabletext"/>
            </w:pPr>
          </w:p>
          <w:p w:rsidR="00D47F38" w:rsidRPr="002333BC" w:rsidRDefault="00D47F38" w:rsidP="00ED7B8A">
            <w:pPr>
              <w:pStyle w:val="Tabletext"/>
            </w:pPr>
          </w:p>
          <w:p w:rsidR="00D47F38" w:rsidRPr="002333BC" w:rsidRDefault="00D47F38" w:rsidP="00ED7B8A">
            <w:pPr>
              <w:pStyle w:val="Tabletext"/>
            </w:pPr>
            <w:r w:rsidRPr="002333BC">
              <w:rPr>
                <w:bCs/>
                <w:u w:val="single"/>
              </w:rPr>
              <w:t>Note</w:t>
            </w:r>
            <w:r w:rsidRPr="002333BC">
              <w:rPr>
                <w:bCs/>
              </w:rPr>
              <w:t xml:space="preserve">: With respect to </w:t>
            </w:r>
            <w:r w:rsidRPr="002333BC">
              <w:rPr>
                <w:bCs/>
                <w:i/>
              </w:rPr>
              <w:t>resolves</w:t>
            </w:r>
            <w:r w:rsidRPr="002333BC">
              <w:rPr>
                <w:bCs/>
              </w:rPr>
              <w:t xml:space="preserve"> 1 of Resolution </w:t>
            </w:r>
            <w:r w:rsidRPr="002333BC">
              <w:rPr>
                <w:b/>
              </w:rPr>
              <w:t>245</w:t>
            </w:r>
            <w:r w:rsidRPr="002333BC">
              <w:rPr>
                <w:bCs/>
              </w:rPr>
              <w:t xml:space="preserve"> </w:t>
            </w:r>
            <w:r w:rsidRPr="002333BC">
              <w:rPr>
                <w:b/>
                <w:bCs/>
              </w:rPr>
              <w:t>(WRC-19)</w:t>
            </w:r>
            <w:r w:rsidRPr="002333BC">
              <w:rPr>
                <w:bCs/>
              </w:rPr>
              <w:t xml:space="preserve">, CPM23-1 defined that </w:t>
            </w:r>
            <w:r w:rsidRPr="002333BC">
              <w:t>the date by which technical and operational characteristics needed for sharing and compatibility studies are to be available is 15 June 2021</w:t>
            </w:r>
            <w:r w:rsidRPr="002333BC">
              <w:rPr>
                <w:bCs/>
              </w:rPr>
              <w:t>.</w:t>
            </w:r>
          </w:p>
        </w:tc>
        <w:tc>
          <w:tcPr>
            <w:tcW w:w="1562" w:type="dxa"/>
          </w:tcPr>
          <w:p w:rsidR="00D47F38" w:rsidRPr="002333BC" w:rsidRDefault="00D47F38" w:rsidP="00ED7B8A">
            <w:pPr>
              <w:pStyle w:val="Tabletext"/>
              <w:jc w:val="center"/>
              <w:rPr>
                <w:b/>
              </w:rPr>
            </w:pPr>
            <w:r w:rsidRPr="002333BC">
              <w:rPr>
                <w:b/>
              </w:rPr>
              <w:t>WP 5D</w:t>
            </w:r>
          </w:p>
        </w:tc>
        <w:tc>
          <w:tcPr>
            <w:tcW w:w="7653" w:type="dxa"/>
          </w:tcPr>
          <w:p w:rsidR="00D47F38" w:rsidRPr="002333BC" w:rsidRDefault="00D47F38" w:rsidP="00ED7B8A">
            <w:pPr>
              <w:pStyle w:val="StyleCall10pt"/>
              <w:jc w:val="both"/>
              <w:rPr>
                <w:rFonts w:cs="Times New Roman"/>
              </w:rPr>
            </w:pPr>
            <w:r w:rsidRPr="002333BC">
              <w:rPr>
                <w:rFonts w:cs="Times New Roman"/>
              </w:rPr>
              <w:t>resolves to invite ITU</w:t>
            </w:r>
            <w:r w:rsidRPr="002333BC">
              <w:rPr>
                <w:rFonts w:cs="Times New Roman"/>
              </w:rPr>
              <w:noBreakHyphen/>
              <w:t>R</w:t>
            </w:r>
          </w:p>
          <w:p w:rsidR="00D47F38" w:rsidRPr="002333BC" w:rsidRDefault="00D47F38" w:rsidP="00ED7B8A">
            <w:pPr>
              <w:pStyle w:val="Tabletext"/>
              <w:jc w:val="both"/>
            </w:pPr>
            <w:r w:rsidRPr="002333BC">
              <w:t>1</w:t>
            </w:r>
            <w:r w:rsidRPr="002333BC">
              <w:tab/>
              <w:t>to conduct and complete in time for WRC</w:t>
            </w:r>
            <w:r w:rsidRPr="002333BC">
              <w:noBreakHyphen/>
              <w:t>23 the appropriate studies of technical, operational and regulatory issues pertaining to the possible use of the terrestrial component of IMT in the frequency bands</w:t>
            </w:r>
            <w:r w:rsidRPr="002333BC" w:rsidDel="00BC4DC9">
              <w:t xml:space="preserve"> </w:t>
            </w:r>
            <w:r w:rsidRPr="002333BC">
              <w:t xml:space="preserve">in </w:t>
            </w:r>
            <w:r w:rsidRPr="002333BC">
              <w:rPr>
                <w:i/>
                <w:iCs/>
              </w:rPr>
              <w:t>resolves to invite ITU</w:t>
            </w:r>
            <w:r w:rsidRPr="002333BC">
              <w:rPr>
                <w:i/>
                <w:iCs/>
              </w:rPr>
              <w:noBreakHyphen/>
              <w:t>R </w:t>
            </w:r>
            <w:r w:rsidRPr="002333BC">
              <w:t>2, taking into account:</w:t>
            </w:r>
          </w:p>
          <w:p w:rsidR="00D47F38" w:rsidRPr="002333BC" w:rsidRDefault="00D47F38" w:rsidP="00ED7B8A">
            <w:pPr>
              <w:pStyle w:val="Tabletext"/>
              <w:jc w:val="both"/>
              <w:rPr>
                <w:rFonts w:eastAsia="SimSun"/>
              </w:rPr>
            </w:pPr>
            <w:r w:rsidRPr="002333BC">
              <w:rPr>
                <w:rFonts w:eastAsia="SimSun"/>
              </w:rPr>
              <w:t>–</w:t>
            </w:r>
            <w:r w:rsidRPr="002333BC">
              <w:rPr>
                <w:rFonts w:eastAsia="SimSun"/>
              </w:rPr>
              <w:tab/>
              <w:t>evolving needs to meet emerging demands for IMT;</w:t>
            </w:r>
          </w:p>
          <w:p w:rsidR="00D47F38" w:rsidRPr="002333BC" w:rsidRDefault="00D47F38" w:rsidP="00ED7B8A">
            <w:pPr>
              <w:pStyle w:val="Tabletext"/>
              <w:jc w:val="both"/>
            </w:pPr>
            <w:r w:rsidRPr="002333BC">
              <w:t>–</w:t>
            </w:r>
            <w:r w:rsidRPr="002333BC">
              <w:tab/>
              <w:t>technical and operational characteristics of terrestrial IMT systems that would operate in these specific frequency bands, including the evolution of IMT through advances in technology and spectrally efficient techniques;</w:t>
            </w:r>
          </w:p>
          <w:p w:rsidR="00D47F38" w:rsidRPr="002333BC" w:rsidRDefault="00D47F38" w:rsidP="00ED7B8A">
            <w:pPr>
              <w:pStyle w:val="Tabletext"/>
              <w:jc w:val="both"/>
            </w:pPr>
            <w:r w:rsidRPr="002333BC">
              <w:t>–</w:t>
            </w:r>
            <w:r w:rsidRPr="002333BC">
              <w:tab/>
              <w:t xml:space="preserve">the deployment scenarios envisaged for IMT systems and the related requirements of </w:t>
            </w:r>
            <w:r w:rsidRPr="002333BC">
              <w:rPr>
                <w:rFonts w:eastAsia="SimSun"/>
              </w:rPr>
              <w:t>balanced coverage and capacity;</w:t>
            </w:r>
          </w:p>
          <w:p w:rsidR="00D47F38" w:rsidRPr="002333BC" w:rsidRDefault="00D47F38" w:rsidP="00ED7B8A">
            <w:pPr>
              <w:pStyle w:val="Tabletext"/>
              <w:jc w:val="both"/>
            </w:pPr>
            <w:r w:rsidRPr="002333BC">
              <w:t>–</w:t>
            </w:r>
            <w:r w:rsidRPr="002333BC">
              <w:tab/>
              <w:t>the needs of developing countries;</w:t>
            </w:r>
          </w:p>
          <w:p w:rsidR="00D47F38" w:rsidRPr="002333BC" w:rsidRDefault="00D47F38" w:rsidP="00ED7B8A">
            <w:pPr>
              <w:pStyle w:val="Tabletext"/>
              <w:jc w:val="both"/>
            </w:pPr>
            <w:r w:rsidRPr="002333BC">
              <w:t>–</w:t>
            </w:r>
            <w:r w:rsidRPr="002333BC">
              <w:tab/>
              <w:t>the time-frame in which spectrum would be needed;</w:t>
            </w:r>
          </w:p>
          <w:p w:rsidR="00D47F38" w:rsidRPr="002333BC" w:rsidRDefault="00D47F38" w:rsidP="00ED7B8A">
            <w:pPr>
              <w:pStyle w:val="Tabletext"/>
              <w:jc w:val="both"/>
            </w:pPr>
            <w:bookmarkStart w:id="4" w:name="_Hlk24364466"/>
            <w:r w:rsidRPr="002333BC">
              <w:t>2</w:t>
            </w:r>
            <w:r w:rsidRPr="002333BC">
              <w:tab/>
              <w:t>to conduct and complete in time for WRC</w:t>
            </w:r>
            <w:r w:rsidRPr="002333BC">
              <w:noBreakHyphen/>
              <w:t>23 the sharing and compatibility studies</w:t>
            </w:r>
            <w:r w:rsidRPr="002333BC">
              <w:rPr>
                <w:rStyle w:val="FootnoteReference"/>
                <w:iCs/>
              </w:rPr>
              <w:footnoteReference w:customMarkFollows="1" w:id="2"/>
              <w:t>1</w:t>
            </w:r>
            <w:r w:rsidRPr="002333BC">
              <w:t>, with a view to ensuring the protection of services to which the frequency band is allocated on a primary basis</w:t>
            </w:r>
            <w:r w:rsidRPr="002333BC">
              <w:rPr>
                <w:rFonts w:eastAsia="SimSun"/>
              </w:rPr>
              <w:t>,</w:t>
            </w:r>
            <w:r w:rsidRPr="002333BC">
              <w:t xml:space="preserve"> without imposing additional regulatory or technical constraints on those services, and also, </w:t>
            </w:r>
            <w:r w:rsidRPr="002333BC">
              <w:rPr>
                <w:rFonts w:eastAsia="SimSun"/>
              </w:rPr>
              <w:t>as appropriate, on services in adjacent bands,</w:t>
            </w:r>
            <w:r w:rsidRPr="002333BC">
              <w:t xml:space="preserve"> for the frequency bands:</w:t>
            </w:r>
          </w:p>
          <w:bookmarkEnd w:id="4"/>
          <w:p w:rsidR="00D47F38" w:rsidRPr="002333BC" w:rsidRDefault="00D47F38" w:rsidP="00ED7B8A">
            <w:pPr>
              <w:pStyle w:val="Tabletext"/>
              <w:jc w:val="both"/>
              <w:rPr>
                <w:rFonts w:eastAsia="MS Mincho"/>
              </w:rPr>
            </w:pPr>
            <w:r w:rsidRPr="002333BC">
              <w:rPr>
                <w:rFonts w:eastAsia="MS Mincho"/>
              </w:rPr>
              <w:t>–</w:t>
            </w:r>
            <w:r w:rsidRPr="002333BC">
              <w:rPr>
                <w:rFonts w:eastAsia="MS Mincho"/>
              </w:rPr>
              <w:tab/>
              <w:t>3 600-3 800 MHz and 3 300-3 400 MHz (Region 2);</w:t>
            </w:r>
          </w:p>
          <w:p w:rsidR="00D47F38" w:rsidRPr="002333BC" w:rsidRDefault="00D47F38" w:rsidP="00ED7B8A">
            <w:pPr>
              <w:pStyle w:val="Tabletext"/>
              <w:jc w:val="both"/>
              <w:rPr>
                <w:rFonts w:eastAsia="MS Mincho"/>
              </w:rPr>
            </w:pPr>
            <w:r w:rsidRPr="002333BC">
              <w:rPr>
                <w:rFonts w:eastAsia="MS Mincho"/>
              </w:rPr>
              <w:t>–</w:t>
            </w:r>
            <w:r w:rsidRPr="002333BC">
              <w:rPr>
                <w:rFonts w:eastAsia="MS Mincho"/>
              </w:rPr>
              <w:tab/>
              <w:t>3 300-3 400 MHz (amend footnote in Region 1);</w:t>
            </w:r>
          </w:p>
          <w:p w:rsidR="00D47F38" w:rsidRPr="002333BC" w:rsidRDefault="00D47F38" w:rsidP="00ED7B8A">
            <w:pPr>
              <w:pStyle w:val="Tabletext"/>
              <w:jc w:val="both"/>
              <w:rPr>
                <w:rFonts w:eastAsia="MS Mincho"/>
              </w:rPr>
            </w:pPr>
            <w:r w:rsidRPr="002333BC">
              <w:rPr>
                <w:rFonts w:eastAsia="MS Mincho"/>
              </w:rPr>
              <w:t>–</w:t>
            </w:r>
            <w:r w:rsidRPr="002333BC">
              <w:rPr>
                <w:rFonts w:eastAsia="MS Mincho"/>
              </w:rPr>
              <w:tab/>
              <w:t>7 025-7 125 MHz (globally);</w:t>
            </w:r>
          </w:p>
          <w:p w:rsidR="00D47F38" w:rsidRPr="002333BC" w:rsidRDefault="00D47F38" w:rsidP="00ED7B8A">
            <w:pPr>
              <w:pStyle w:val="Tabletext"/>
              <w:jc w:val="both"/>
              <w:rPr>
                <w:rFonts w:eastAsia="MS Mincho"/>
              </w:rPr>
            </w:pPr>
            <w:r w:rsidRPr="002333BC">
              <w:rPr>
                <w:rFonts w:eastAsia="MS Mincho"/>
              </w:rPr>
              <w:t>–</w:t>
            </w:r>
            <w:r w:rsidRPr="002333BC">
              <w:rPr>
                <w:rFonts w:eastAsia="MS Mincho"/>
              </w:rPr>
              <w:tab/>
              <w:t>6 425-7 025 MHz (Region 1);</w:t>
            </w:r>
          </w:p>
          <w:p w:rsidR="00D47F38" w:rsidRPr="002333BC" w:rsidRDefault="00D47F38" w:rsidP="00ED7B8A">
            <w:pPr>
              <w:pStyle w:val="Tabletext"/>
              <w:jc w:val="both"/>
              <w:rPr>
                <w:rFonts w:eastAsia="MS Mincho"/>
              </w:rPr>
            </w:pPr>
            <w:r w:rsidRPr="002333BC">
              <w:rPr>
                <w:rFonts w:eastAsia="MS Mincho"/>
              </w:rPr>
              <w:t>–</w:t>
            </w:r>
            <w:r w:rsidRPr="002333BC">
              <w:rPr>
                <w:rFonts w:eastAsia="MS Mincho"/>
              </w:rPr>
              <w:tab/>
              <w:t>10 000-10 500 MHz (Region 2),</w:t>
            </w:r>
          </w:p>
          <w:p w:rsidR="00D47F38" w:rsidRPr="002333BC" w:rsidRDefault="00D47F38" w:rsidP="00ED7B8A">
            <w:pPr>
              <w:pStyle w:val="StyleCall10pt"/>
              <w:jc w:val="both"/>
              <w:rPr>
                <w:rFonts w:cs="Times New Roman"/>
                <w:lang w:eastAsia="nl-NL"/>
              </w:rPr>
            </w:pPr>
            <w:r w:rsidRPr="002333BC">
              <w:rPr>
                <w:rFonts w:cs="Times New Roman"/>
                <w:lang w:eastAsia="nl-NL"/>
              </w:rPr>
              <w:t>resolves</w:t>
            </w:r>
          </w:p>
          <w:p w:rsidR="00D47F38" w:rsidRPr="002333BC" w:rsidRDefault="00D47F38" w:rsidP="00ED7B8A">
            <w:pPr>
              <w:pStyle w:val="Tabletext"/>
              <w:jc w:val="both"/>
            </w:pPr>
            <w:r w:rsidRPr="002333BC">
              <w:t>1</w:t>
            </w:r>
            <w:r w:rsidRPr="002333BC">
              <w:tab/>
              <w:t>to invite CPM23</w:t>
            </w:r>
            <w:r w:rsidRPr="002333BC">
              <w:noBreakHyphen/>
              <w:t xml:space="preserve">1 to define the date by which technical and operational characteristics needed for sharing and compatibility studies are to be available, to ensure that studies referred to in </w:t>
            </w:r>
            <w:r w:rsidRPr="002333BC">
              <w:rPr>
                <w:i/>
              </w:rPr>
              <w:t>resolves to invite ITU</w:t>
            </w:r>
            <w:r w:rsidRPr="002333BC">
              <w:rPr>
                <w:i/>
              </w:rPr>
              <w:noBreakHyphen/>
              <w:t>R</w:t>
            </w:r>
            <w:r w:rsidRPr="002333BC">
              <w:t xml:space="preserve"> can be completed in time for consideration at WRC</w:t>
            </w:r>
            <w:r w:rsidRPr="002333BC">
              <w:noBreakHyphen/>
              <w:t>23;</w:t>
            </w:r>
          </w:p>
          <w:p w:rsidR="00D47F38" w:rsidRPr="002333BC" w:rsidRDefault="00D47F38" w:rsidP="00ED7B8A">
            <w:pPr>
              <w:pStyle w:val="Tabletext"/>
              <w:jc w:val="both"/>
            </w:pPr>
            <w:r w:rsidRPr="002333BC">
              <w:br w:type="page"/>
              <w:t>2</w:t>
            </w:r>
            <w:r w:rsidRPr="002333BC">
              <w:tab/>
              <w:t>to invite WRC</w:t>
            </w:r>
            <w:r w:rsidRPr="002333BC">
              <w:noBreakHyphen/>
              <w:t xml:space="preserve">23 to consider, based on the results of the above studies, additional spectrum allocations to the mobile service on a primary basis and to consider identification of frequency bands for the terrestrial component of IMT; the frequency bands to be considered being limited to part or all of the bands listed in </w:t>
            </w:r>
            <w:r w:rsidRPr="002333BC">
              <w:rPr>
                <w:i/>
                <w:iCs/>
              </w:rPr>
              <w:t>resolves to invite ITU</w:t>
            </w:r>
            <w:r w:rsidRPr="002333BC">
              <w:rPr>
                <w:i/>
                <w:iCs/>
              </w:rPr>
              <w:noBreakHyphen/>
              <w:t>R </w:t>
            </w:r>
            <w:r w:rsidRPr="002333BC">
              <w:t>2,</w:t>
            </w:r>
          </w:p>
          <w:p w:rsidR="00D47F38" w:rsidRPr="002333BC" w:rsidRDefault="00D47F38" w:rsidP="00ED7B8A">
            <w:pPr>
              <w:pStyle w:val="StyleCall10pt"/>
              <w:jc w:val="both"/>
              <w:rPr>
                <w:rFonts w:cs="Times New Roman"/>
                <w:lang w:eastAsia="nl-NL"/>
              </w:rPr>
            </w:pPr>
            <w:r w:rsidRPr="002333BC">
              <w:rPr>
                <w:rFonts w:cs="Times New Roman"/>
                <w:lang w:eastAsia="nl-NL"/>
              </w:rPr>
              <w:t>invites administrations</w:t>
            </w:r>
          </w:p>
          <w:p w:rsidR="00D47F38" w:rsidRPr="002333BC" w:rsidRDefault="00D47F38" w:rsidP="00ED7B8A">
            <w:pPr>
              <w:pStyle w:val="Tabletext"/>
              <w:jc w:val="both"/>
            </w:pPr>
            <w:r w:rsidRPr="002333BC">
              <w:t>to participate actively in these studies by submitting contributions to ITU</w:t>
            </w:r>
            <w:r w:rsidRPr="002333BC">
              <w:noBreakHyphen/>
              <w:t>R.</w:t>
            </w:r>
          </w:p>
        </w:tc>
        <w:tc>
          <w:tcPr>
            <w:tcW w:w="1560" w:type="dxa"/>
          </w:tcPr>
          <w:p w:rsidR="00D47F38" w:rsidRPr="00425A39" w:rsidRDefault="00D47F38" w:rsidP="00ED7B8A">
            <w:pPr>
              <w:pStyle w:val="Tabletext"/>
              <w:jc w:val="center"/>
              <w:rPr>
                <w:b/>
              </w:rPr>
            </w:pPr>
            <w:r w:rsidRPr="00425A39">
              <w:rPr>
                <w:b/>
              </w:rPr>
              <w:t xml:space="preserve">WP 3K, WP 3M, WP 4A, </w:t>
            </w:r>
            <w:r w:rsidRPr="000971F6">
              <w:rPr>
                <w:b/>
              </w:rPr>
              <w:t>WP 4B, WP 4C, WP 5A, WP 5B, WP 5C, WP 7B</w:t>
            </w:r>
            <w:r w:rsidRPr="00425A39">
              <w:rPr>
                <w:b/>
              </w:rPr>
              <w:t xml:space="preserve">, </w:t>
            </w:r>
            <w:r w:rsidRPr="00425A39">
              <w:rPr>
                <w:b/>
              </w:rPr>
              <w:br/>
              <w:t>WP 7C</w:t>
            </w:r>
          </w:p>
        </w:tc>
      </w:tr>
      <w:tr w:rsidR="00D47F38" w:rsidRPr="00425A39" w:rsidTr="00373E4E">
        <w:trPr>
          <w:cantSplit/>
          <w:jc w:val="center"/>
        </w:trPr>
        <w:tc>
          <w:tcPr>
            <w:tcW w:w="14175" w:type="dxa"/>
            <w:gridSpan w:val="4"/>
          </w:tcPr>
          <w:p w:rsidR="00D47F38" w:rsidRPr="002333BC" w:rsidRDefault="00D47F38" w:rsidP="00200ECB">
            <w:pPr>
              <w:pStyle w:val="Tabletext"/>
              <w:jc w:val="both"/>
            </w:pPr>
            <w:r w:rsidRPr="002333BC">
              <w:rPr>
                <w:rFonts w:eastAsia="MS Mincho"/>
              </w:rPr>
              <w:t>1.3</w:t>
            </w:r>
            <w:r w:rsidR="00200ECB">
              <w:rPr>
                <w:rFonts w:eastAsia="MS Mincho"/>
              </w:rPr>
              <w:tab/>
            </w:r>
            <w:r w:rsidR="00200ECB">
              <w:rPr>
                <w:rFonts w:eastAsia="MS Mincho"/>
              </w:rPr>
              <w:tab/>
            </w:r>
            <w:r w:rsidRPr="002333BC">
              <w:rPr>
                <w:rFonts w:eastAsia="MS Mincho"/>
              </w:rPr>
              <w:t>to consider primary allocation of the band 3 600</w:t>
            </w:r>
            <w:r w:rsidRPr="002333BC">
              <w:rPr>
                <w:rFonts w:eastAsia="MS Mincho"/>
              </w:rPr>
              <w:noBreakHyphen/>
              <w:t>3 800 MHz to mobile service within Region 1 and take appropriate regulatory actions, in accordance with Resolution</w:t>
            </w:r>
            <w:r w:rsidRPr="002333BC">
              <w:rPr>
                <w:rFonts w:eastAsia="MS Mincho"/>
                <w:b/>
              </w:rPr>
              <w:t> 246 (WRC</w:t>
            </w:r>
            <w:r w:rsidRPr="002333BC">
              <w:rPr>
                <w:rFonts w:eastAsia="MS Mincho"/>
                <w:b/>
              </w:rPr>
              <w:noBreakHyphen/>
              <w:t>19)</w:t>
            </w:r>
            <w:r w:rsidRPr="002333BC">
              <w:rPr>
                <w:rFonts w:eastAsia="MS Mincho"/>
              </w:rPr>
              <w:t>;</w:t>
            </w:r>
          </w:p>
        </w:tc>
      </w:tr>
      <w:tr w:rsidR="002333BC" w:rsidRPr="00425A39" w:rsidTr="005B6143">
        <w:trPr>
          <w:cantSplit/>
          <w:jc w:val="center"/>
        </w:trPr>
        <w:tc>
          <w:tcPr>
            <w:tcW w:w="3400" w:type="dxa"/>
          </w:tcPr>
          <w:p w:rsidR="00D47F38" w:rsidRPr="002333BC" w:rsidRDefault="00D47F38" w:rsidP="00ED7B8A">
            <w:pPr>
              <w:pStyle w:val="Tabletext"/>
            </w:pPr>
            <w:r w:rsidRPr="002333BC">
              <w:t>Resolution </w:t>
            </w:r>
            <w:r w:rsidRPr="002333BC">
              <w:rPr>
                <w:b/>
              </w:rPr>
              <w:t>246 (WRC</w:t>
            </w:r>
            <w:r w:rsidRPr="002333BC">
              <w:rPr>
                <w:b/>
              </w:rPr>
              <w:noBreakHyphen/>
              <w:t>19)</w:t>
            </w:r>
          </w:p>
          <w:p w:rsidR="00D47F38" w:rsidRPr="002333BC" w:rsidRDefault="00D47F38" w:rsidP="00ED7B8A">
            <w:pPr>
              <w:pStyle w:val="Tabletext"/>
            </w:pPr>
            <w:r w:rsidRPr="002333BC">
              <w:t>Studies to consider possible allocation of the frequency band 3 600</w:t>
            </w:r>
            <w:r w:rsidRPr="002333BC">
              <w:noBreakHyphen/>
              <w:t>3 800 MHz to the mobile, except aeronautical mobile, service on a primary basis within Region 1</w:t>
            </w:r>
          </w:p>
        </w:tc>
        <w:tc>
          <w:tcPr>
            <w:tcW w:w="1562" w:type="dxa"/>
          </w:tcPr>
          <w:p w:rsidR="00D47F38" w:rsidRPr="002333BC" w:rsidRDefault="00D47F38" w:rsidP="00ED7B8A">
            <w:pPr>
              <w:pStyle w:val="Tabletext"/>
              <w:jc w:val="center"/>
              <w:rPr>
                <w:b/>
              </w:rPr>
            </w:pPr>
            <w:r w:rsidRPr="002333BC">
              <w:rPr>
                <w:b/>
              </w:rPr>
              <w:t>WP 5A</w:t>
            </w:r>
          </w:p>
        </w:tc>
        <w:tc>
          <w:tcPr>
            <w:tcW w:w="7653" w:type="dxa"/>
          </w:tcPr>
          <w:p w:rsidR="00D47F38" w:rsidRPr="002333BC" w:rsidRDefault="00D47F38" w:rsidP="00ED7B8A">
            <w:pPr>
              <w:pStyle w:val="StyleCall10pt"/>
              <w:jc w:val="both"/>
              <w:rPr>
                <w:rFonts w:cs="Times New Roman"/>
              </w:rPr>
            </w:pPr>
            <w:r w:rsidRPr="002333BC">
              <w:rPr>
                <w:rFonts w:cs="Times New Roman"/>
              </w:rPr>
              <w:t>resolves to invite ITU-R</w:t>
            </w:r>
          </w:p>
          <w:p w:rsidR="00D47F38" w:rsidRPr="002333BC" w:rsidRDefault="00D47F38" w:rsidP="00ED7B8A">
            <w:pPr>
              <w:pStyle w:val="Tabletext"/>
              <w:jc w:val="both"/>
            </w:pPr>
            <w:r w:rsidRPr="002333BC">
              <w:t>to conduct sharing and compatibility studies in time for WRC</w:t>
            </w:r>
            <w:r w:rsidRPr="002333BC">
              <w:noBreakHyphen/>
              <w:t>23 between the mobile service and other services allocated on a primary basis within the frequency band 3 600-3 800 MHz and adjacent bands in Region 1, as appropriate, to ensure protection of those services to which the frequency band is allocated on a primary basis, and not impose undue constraints on the existing services and their future development,</w:t>
            </w:r>
          </w:p>
          <w:p w:rsidR="00D47F38" w:rsidRPr="002333BC" w:rsidRDefault="00D47F38" w:rsidP="00ED7B8A">
            <w:pPr>
              <w:pStyle w:val="StyleCall10pt"/>
              <w:jc w:val="both"/>
              <w:rPr>
                <w:rFonts w:cs="Times New Roman"/>
              </w:rPr>
            </w:pPr>
            <w:r w:rsidRPr="002333BC">
              <w:rPr>
                <w:rFonts w:cs="Times New Roman"/>
              </w:rPr>
              <w:br w:type="page"/>
              <w:t>resolves to invite WRC-23</w:t>
            </w:r>
          </w:p>
          <w:p w:rsidR="00D47F38" w:rsidRPr="002333BC" w:rsidRDefault="00D47F38" w:rsidP="00ED7B8A">
            <w:pPr>
              <w:pStyle w:val="Tabletext"/>
              <w:jc w:val="both"/>
            </w:pPr>
            <w:r w:rsidRPr="002333BC">
              <w:t xml:space="preserve">based on the results of studies in </w:t>
            </w:r>
            <w:r w:rsidRPr="002333BC">
              <w:rPr>
                <w:i/>
              </w:rPr>
              <w:t>resolves to invite ITU</w:t>
            </w:r>
            <w:r w:rsidRPr="002333BC">
              <w:rPr>
                <w:i/>
              </w:rPr>
              <w:noBreakHyphen/>
              <w:t>R</w:t>
            </w:r>
            <w:r w:rsidRPr="002333BC">
              <w:t>, to consider possible upgrade of the allocation of the frequency band 3 600-3 800 MHz to the mobile, except aeronautical mobile, service on a primary basis within Region 1, and to take appropriate regulatory actions,</w:t>
            </w:r>
          </w:p>
          <w:p w:rsidR="00D47F38" w:rsidRPr="002333BC" w:rsidRDefault="00D47F38" w:rsidP="00ED7B8A">
            <w:pPr>
              <w:pStyle w:val="StyleCall10pt"/>
              <w:jc w:val="both"/>
              <w:rPr>
                <w:rFonts w:cs="Times New Roman"/>
                <w:lang w:eastAsia="nl-NL"/>
              </w:rPr>
            </w:pPr>
            <w:r w:rsidRPr="002333BC">
              <w:rPr>
                <w:rFonts w:cs="Times New Roman"/>
                <w:lang w:eastAsia="nl-NL"/>
              </w:rPr>
              <w:t>invites administrations</w:t>
            </w:r>
          </w:p>
          <w:p w:rsidR="00D47F38" w:rsidRPr="002333BC" w:rsidRDefault="00D47F38" w:rsidP="00ED7B8A">
            <w:pPr>
              <w:pStyle w:val="Tabletext"/>
              <w:jc w:val="both"/>
            </w:pPr>
            <w:r w:rsidRPr="002333BC">
              <w:t>to participate in these studies in the process of preparation for WRC</w:t>
            </w:r>
            <w:r w:rsidRPr="002333BC">
              <w:noBreakHyphen/>
              <w:t>23.</w:t>
            </w:r>
          </w:p>
        </w:tc>
        <w:tc>
          <w:tcPr>
            <w:tcW w:w="1560" w:type="dxa"/>
          </w:tcPr>
          <w:p w:rsidR="00D47F38" w:rsidRPr="00425A39" w:rsidRDefault="00D47F38" w:rsidP="00ED7B8A">
            <w:pPr>
              <w:pStyle w:val="Tabletext"/>
              <w:jc w:val="center"/>
              <w:rPr>
                <w:b/>
              </w:rPr>
            </w:pPr>
            <w:r w:rsidRPr="00425A39">
              <w:rPr>
                <w:b/>
              </w:rPr>
              <w:t xml:space="preserve">WP 3K, WP 3M, </w:t>
            </w:r>
            <w:r w:rsidRPr="000971F6">
              <w:rPr>
                <w:b/>
              </w:rPr>
              <w:t xml:space="preserve">WP 4A, WP 5B, WP 5C, </w:t>
            </w:r>
            <w:r w:rsidRPr="000971F6">
              <w:rPr>
                <w:b/>
              </w:rPr>
              <w:br/>
              <w:t>WP 5D</w:t>
            </w:r>
          </w:p>
        </w:tc>
      </w:tr>
      <w:tr w:rsidR="00D47F38" w:rsidRPr="00425A39" w:rsidTr="00373E4E">
        <w:trPr>
          <w:jc w:val="center"/>
        </w:trPr>
        <w:tc>
          <w:tcPr>
            <w:tcW w:w="14175" w:type="dxa"/>
            <w:gridSpan w:val="4"/>
          </w:tcPr>
          <w:p w:rsidR="00D47F38" w:rsidRPr="002333BC" w:rsidRDefault="00D47F38" w:rsidP="00ED7B8A">
            <w:pPr>
              <w:pStyle w:val="Tabletext"/>
              <w:jc w:val="both"/>
              <w:rPr>
                <w:rFonts w:eastAsia="MS Mincho"/>
              </w:rPr>
            </w:pPr>
            <w:r w:rsidRPr="002333BC">
              <w:rPr>
                <w:bCs/>
              </w:rPr>
              <w:t>1.4</w:t>
            </w:r>
            <w:r w:rsidRPr="002333BC">
              <w:rPr>
                <w:b/>
              </w:rPr>
              <w:tab/>
            </w:r>
            <w:r w:rsidR="00200ECB">
              <w:rPr>
                <w:b/>
              </w:rPr>
              <w:tab/>
            </w:r>
            <w:r w:rsidRPr="002333BC">
              <w:t xml:space="preserve">to consider, in accordance with Resolution </w:t>
            </w:r>
            <w:r w:rsidRPr="002333BC">
              <w:rPr>
                <w:b/>
                <w:bCs/>
              </w:rPr>
              <w:t>247</w:t>
            </w:r>
            <w:r w:rsidRPr="002333BC">
              <w:t xml:space="preserve"> </w:t>
            </w:r>
            <w:r w:rsidRPr="002333BC">
              <w:rPr>
                <w:b/>
              </w:rPr>
              <w:t>(WRC</w:t>
            </w:r>
            <w:r w:rsidRPr="002333BC">
              <w:rPr>
                <w:b/>
              </w:rPr>
              <w:noBreakHyphen/>
              <w:t>19)</w:t>
            </w:r>
            <w:r w:rsidRPr="002333BC">
              <w:t>, the use of high-altitude platform stations as IMT base stations (HIBS) in the mobile service in certain frequency bands below 2.7 GHz already identified for IMT, on a global or regional level;</w:t>
            </w:r>
          </w:p>
        </w:tc>
      </w:tr>
      <w:tr w:rsidR="002333BC" w:rsidRPr="00425A39" w:rsidTr="005B6143">
        <w:trPr>
          <w:jc w:val="center"/>
        </w:trPr>
        <w:tc>
          <w:tcPr>
            <w:tcW w:w="3400" w:type="dxa"/>
          </w:tcPr>
          <w:p w:rsidR="00D47F38" w:rsidRPr="002333BC" w:rsidRDefault="00D47F38" w:rsidP="00ED7B8A">
            <w:pPr>
              <w:pStyle w:val="Tabletext"/>
            </w:pPr>
            <w:r w:rsidRPr="002333BC">
              <w:t>Resolution </w:t>
            </w:r>
            <w:r w:rsidRPr="002333BC">
              <w:rPr>
                <w:b/>
                <w:bCs/>
              </w:rPr>
              <w:t>247</w:t>
            </w:r>
            <w:r w:rsidRPr="002333BC">
              <w:rPr>
                <w:b/>
              </w:rPr>
              <w:t xml:space="preserve"> (WRC</w:t>
            </w:r>
            <w:r w:rsidRPr="002333BC">
              <w:rPr>
                <w:b/>
              </w:rPr>
              <w:noBreakHyphen/>
              <w:t>19)</w:t>
            </w:r>
          </w:p>
          <w:p w:rsidR="00D47F38" w:rsidRPr="002333BC" w:rsidRDefault="00D47F38" w:rsidP="00ED7B8A">
            <w:pPr>
              <w:pStyle w:val="Tabletext"/>
            </w:pPr>
            <w:r w:rsidRPr="002333BC">
              <w:rPr>
                <w:rFonts w:eastAsia="MS Mincho"/>
              </w:rPr>
              <w:t xml:space="preserve">Facilitating mobile connectivity in certain </w:t>
            </w:r>
            <w:r w:rsidRPr="002333BC">
              <w:t xml:space="preserve">frequency </w:t>
            </w:r>
            <w:r w:rsidRPr="002333BC">
              <w:rPr>
                <w:rFonts w:eastAsia="MS Mincho"/>
              </w:rPr>
              <w:t>bands below 2.7 GHz using high-altitude platform stations as International Mobile Telecommunications base stations</w:t>
            </w:r>
          </w:p>
        </w:tc>
        <w:tc>
          <w:tcPr>
            <w:tcW w:w="1562" w:type="dxa"/>
          </w:tcPr>
          <w:p w:rsidR="00D47F38" w:rsidRPr="002333BC" w:rsidRDefault="00D47F38" w:rsidP="00ED7B8A">
            <w:pPr>
              <w:pStyle w:val="Tabletext"/>
              <w:jc w:val="center"/>
              <w:rPr>
                <w:b/>
              </w:rPr>
            </w:pPr>
            <w:r w:rsidRPr="002333BC">
              <w:rPr>
                <w:b/>
              </w:rPr>
              <w:t>WP 5D</w:t>
            </w:r>
          </w:p>
        </w:tc>
        <w:tc>
          <w:tcPr>
            <w:tcW w:w="7653" w:type="dxa"/>
          </w:tcPr>
          <w:p w:rsidR="00D47F38" w:rsidRPr="002333BC" w:rsidRDefault="00D47F38" w:rsidP="00ED7B8A">
            <w:pPr>
              <w:pStyle w:val="StyleCall10pt"/>
              <w:rPr>
                <w:rFonts w:cs="Times New Roman"/>
              </w:rPr>
            </w:pPr>
            <w:r w:rsidRPr="002333BC">
              <w:rPr>
                <w:rFonts w:cs="Times New Roman"/>
              </w:rPr>
              <w:t>resolves to invite ITU-R</w:t>
            </w:r>
          </w:p>
          <w:p w:rsidR="00D47F38" w:rsidRPr="002333BC" w:rsidRDefault="00D47F38" w:rsidP="00ED7B8A">
            <w:pPr>
              <w:pStyle w:val="Tabletext"/>
              <w:jc w:val="both"/>
              <w:rPr>
                <w:rFonts w:eastAsia="Yu Mincho"/>
              </w:rPr>
            </w:pPr>
            <w:r w:rsidRPr="002333BC">
              <w:rPr>
                <w:rFonts w:eastAsia="Yu Mincho"/>
              </w:rPr>
              <w:t>1</w:t>
            </w:r>
            <w:r w:rsidRPr="002333BC">
              <w:rPr>
                <w:rFonts w:eastAsia="Yu Mincho"/>
              </w:rPr>
              <w:tab/>
              <w:t>to study spectrum needs, as appropriate, for high-altitude platform stations as IMT base stations to provide mobile connectivity in the mobile service taking into account:</w:t>
            </w:r>
          </w:p>
          <w:p w:rsidR="00D47F38" w:rsidRPr="002333BC" w:rsidRDefault="00D47F38" w:rsidP="00ED7B8A">
            <w:pPr>
              <w:pStyle w:val="Tabletext"/>
              <w:jc w:val="both"/>
              <w:rPr>
                <w:rFonts w:eastAsia="BatangChe"/>
              </w:rPr>
            </w:pPr>
            <w:r w:rsidRPr="002333BC">
              <w:rPr>
                <w:rFonts w:eastAsia="BatangChe"/>
              </w:rPr>
              <w:t>–</w:t>
            </w:r>
            <w:r w:rsidRPr="002333BC">
              <w:rPr>
                <w:rFonts w:eastAsia="BatangChe"/>
              </w:rPr>
              <w:tab/>
              <w:t xml:space="preserve">the existing identification in </w:t>
            </w:r>
            <w:r w:rsidRPr="002333BC">
              <w:rPr>
                <w:rFonts w:eastAsia="BatangChe"/>
                <w:i/>
                <w:iCs/>
              </w:rPr>
              <w:t>recognizing b)</w:t>
            </w:r>
            <w:r w:rsidRPr="002333BC">
              <w:rPr>
                <w:rFonts w:eastAsia="BatangChe"/>
              </w:rPr>
              <w:t>;</w:t>
            </w:r>
          </w:p>
          <w:p w:rsidR="00D47F38" w:rsidRPr="002333BC" w:rsidRDefault="00D47F38" w:rsidP="00373E4E">
            <w:pPr>
              <w:pStyle w:val="Tabletext"/>
              <w:ind w:left="284" w:hanging="284"/>
              <w:jc w:val="both"/>
              <w:rPr>
                <w:rFonts w:eastAsia="BatangChe"/>
              </w:rPr>
            </w:pPr>
            <w:r w:rsidRPr="002333BC">
              <w:rPr>
                <w:rFonts w:eastAsia="BatangChe"/>
              </w:rPr>
              <w:t>–</w:t>
            </w:r>
            <w:r w:rsidRPr="002333BC">
              <w:rPr>
                <w:rFonts w:eastAsia="BatangChe"/>
              </w:rPr>
              <w:tab/>
              <w:t xml:space="preserve">the usage and deployment scenario envisioned for high-altitude platform stations as IMT base stations as </w:t>
            </w:r>
            <w:r w:rsidRPr="002333BC">
              <w:rPr>
                <w:rFonts w:eastAsia="MS Mincho"/>
              </w:rPr>
              <w:t>complementary for terrestrial IMT networks</w:t>
            </w:r>
            <w:r w:rsidRPr="002333BC">
              <w:rPr>
                <w:rFonts w:eastAsia="BatangChe"/>
              </w:rPr>
              <w:t>;</w:t>
            </w:r>
          </w:p>
          <w:p w:rsidR="00D47F38" w:rsidRPr="002333BC" w:rsidRDefault="00D47F38" w:rsidP="00373E4E">
            <w:pPr>
              <w:pStyle w:val="Tabletext"/>
              <w:ind w:left="284" w:hanging="284"/>
              <w:jc w:val="both"/>
              <w:rPr>
                <w:rFonts w:eastAsia="MS Mincho"/>
              </w:rPr>
            </w:pPr>
            <w:r w:rsidRPr="002333BC">
              <w:rPr>
                <w:rFonts w:eastAsia="BatangChe"/>
              </w:rPr>
              <w:t>–</w:t>
            </w:r>
            <w:r w:rsidRPr="002333BC">
              <w:rPr>
                <w:rFonts w:eastAsia="BatangChe"/>
              </w:rPr>
              <w:tab/>
              <w:t>the technical and operational characteristics and requirements of high-altitude platform stations as IMT base stations;</w:t>
            </w:r>
          </w:p>
          <w:p w:rsidR="00D47F38" w:rsidRPr="002333BC" w:rsidRDefault="00D47F38" w:rsidP="00ED7B8A">
            <w:pPr>
              <w:pStyle w:val="Tabletext"/>
              <w:jc w:val="both"/>
              <w:rPr>
                <w:rFonts w:eastAsia="MS Mincho"/>
              </w:rPr>
            </w:pPr>
            <w:r w:rsidRPr="002333BC">
              <w:rPr>
                <w:rFonts w:eastAsia="BatangChe"/>
              </w:rPr>
              <w:t>2</w:t>
            </w:r>
            <w:r w:rsidRPr="002333BC">
              <w:rPr>
                <w:rFonts w:eastAsia="MS Mincho"/>
              </w:rPr>
              <w:tab/>
              <w:t>to conduct and complete in time for WRC</w:t>
            </w:r>
            <w:r w:rsidRPr="002333BC">
              <w:rPr>
                <w:rFonts w:eastAsia="MS Mincho"/>
              </w:rPr>
              <w:noBreakHyphen/>
              <w:t>23, taking into account the results of studies already performed and those in progress within ITU</w:t>
            </w:r>
            <w:r w:rsidRPr="002333BC">
              <w:rPr>
                <w:rFonts w:eastAsia="MS Mincho"/>
              </w:rPr>
              <w:noBreakHyphen/>
              <w:t>R, sharing and compatibility studies to ensure the protection of services, without imposing any additional technical or regulatory constraints in their deployment, to which the</w:t>
            </w:r>
            <w:r w:rsidRPr="002333BC">
              <w:t xml:space="preserve"> frequency</w:t>
            </w:r>
            <w:r w:rsidRPr="002333BC">
              <w:rPr>
                <w:rFonts w:eastAsia="MS Mincho"/>
              </w:rPr>
              <w:t xml:space="preserve"> band is allocated on a primary basis, including other IMT uses, </w:t>
            </w:r>
            <w:r w:rsidRPr="002333BC">
              <w:rPr>
                <w:rFonts w:eastAsia="BatangChe"/>
              </w:rPr>
              <w:t>existing systems and the planned development of primary allocated services,</w:t>
            </w:r>
            <w:r w:rsidRPr="002333BC" w:rsidDel="009309D7">
              <w:rPr>
                <w:rFonts w:eastAsia="BatangChe"/>
              </w:rPr>
              <w:t xml:space="preserve"> </w:t>
            </w:r>
            <w:r w:rsidRPr="002333BC">
              <w:rPr>
                <w:rFonts w:eastAsia="MS Mincho"/>
              </w:rPr>
              <w:t>and adjacent services, as appropriate, for certain frequency bands below 2.7 GHz, or portions thereof, globally or regionally harmonized for IMT, i.e.:</w:t>
            </w:r>
          </w:p>
          <w:p w:rsidR="00D47F38" w:rsidRPr="002333BC" w:rsidRDefault="00D47F38" w:rsidP="00ED7B8A">
            <w:pPr>
              <w:pStyle w:val="Tabletext"/>
              <w:jc w:val="both"/>
              <w:rPr>
                <w:rFonts w:eastAsia="MS Mincho"/>
              </w:rPr>
            </w:pPr>
            <w:r w:rsidRPr="002333BC">
              <w:rPr>
                <w:rFonts w:eastAsia="MS Mincho"/>
              </w:rPr>
              <w:t>–</w:t>
            </w:r>
            <w:r w:rsidRPr="002333BC">
              <w:rPr>
                <w:rFonts w:eastAsia="MS Mincho"/>
              </w:rPr>
              <w:tab/>
              <w:t>694-960 MHz;</w:t>
            </w:r>
          </w:p>
          <w:p w:rsidR="00D47F38" w:rsidRPr="002333BC" w:rsidRDefault="00D47F38" w:rsidP="00ED7B8A">
            <w:pPr>
              <w:pStyle w:val="Tabletext"/>
              <w:rPr>
                <w:rFonts w:eastAsia="BatangChe"/>
              </w:rPr>
            </w:pPr>
            <w:r w:rsidRPr="002333BC">
              <w:rPr>
                <w:rFonts w:eastAsia="MS Mincho"/>
              </w:rPr>
              <w:t>–</w:t>
            </w:r>
            <w:r w:rsidRPr="002333BC">
              <w:rPr>
                <w:rFonts w:eastAsia="MS Mincho"/>
              </w:rPr>
              <w:tab/>
              <w:t>1 710-1 885 MHz (1 710-1 815 MHz to be used for uplink only in Region 3);</w:t>
            </w:r>
          </w:p>
          <w:p w:rsidR="00D47F38" w:rsidRPr="002333BC" w:rsidRDefault="00D47F38" w:rsidP="006B6CF8">
            <w:pPr>
              <w:pStyle w:val="Tabletext"/>
              <w:ind w:left="284" w:hanging="284"/>
              <w:jc w:val="both"/>
              <w:rPr>
                <w:rFonts w:eastAsia="MS Mincho"/>
              </w:rPr>
            </w:pPr>
            <w:r w:rsidRPr="002333BC">
              <w:rPr>
                <w:rFonts w:eastAsia="MS Mincho"/>
              </w:rPr>
              <w:t>–</w:t>
            </w:r>
            <w:r w:rsidRPr="002333BC">
              <w:rPr>
                <w:rFonts w:eastAsia="MS Mincho"/>
              </w:rPr>
              <w:tab/>
              <w:t>2 500-2 690 MHz (2 500-2 535 MHz to be used for uplink only in Region 3, except 2 655</w:t>
            </w:r>
            <w:r w:rsidR="00373E4E">
              <w:rPr>
                <w:rFonts w:eastAsia="MS Mincho"/>
              </w:rPr>
              <w:noBreakHyphen/>
            </w:r>
            <w:r w:rsidRPr="002333BC">
              <w:rPr>
                <w:rFonts w:eastAsia="MS Mincho"/>
              </w:rPr>
              <w:t>2 690 MHz in Region 3);</w:t>
            </w:r>
          </w:p>
          <w:p w:rsidR="00D47F38" w:rsidRPr="002333BC" w:rsidRDefault="00D47F38" w:rsidP="00ED7B8A">
            <w:pPr>
              <w:pStyle w:val="Tabletext"/>
              <w:jc w:val="both"/>
              <w:rPr>
                <w:rFonts w:eastAsia="BatangChe"/>
              </w:rPr>
            </w:pPr>
            <w:r w:rsidRPr="002333BC">
              <w:rPr>
                <w:rFonts w:eastAsia="BatangChe"/>
              </w:rPr>
              <w:t>3</w:t>
            </w:r>
            <w:r w:rsidRPr="002333BC">
              <w:rPr>
                <w:rFonts w:eastAsia="BatangChe"/>
              </w:rPr>
              <w:tab/>
              <w:t xml:space="preserve">to study appropriate modifications to the existing footnote and associated resolution in the identification in </w:t>
            </w:r>
            <w:r w:rsidRPr="002333BC">
              <w:rPr>
                <w:rFonts w:eastAsia="BatangChe"/>
                <w:i/>
                <w:iCs/>
              </w:rPr>
              <w:t>recognizing b)</w:t>
            </w:r>
            <w:r w:rsidRPr="002333BC">
              <w:rPr>
                <w:rFonts w:eastAsia="BatangChe"/>
              </w:rPr>
              <w:t xml:space="preserve"> in order to facilitate the use of high-altitude platform stations as IMT base stations with the latest radio interface technologies of IMT;</w:t>
            </w:r>
          </w:p>
          <w:p w:rsidR="00D47F38" w:rsidRPr="002333BC" w:rsidRDefault="00D47F38" w:rsidP="00ED7B8A">
            <w:pPr>
              <w:pStyle w:val="Tabletext"/>
              <w:jc w:val="both"/>
              <w:rPr>
                <w:rFonts w:eastAsia="BatangChe"/>
              </w:rPr>
            </w:pPr>
            <w:r w:rsidRPr="002333BC">
              <w:rPr>
                <w:rFonts w:eastAsia="BatangChe"/>
              </w:rPr>
              <w:br w:type="page"/>
              <w:t>4</w:t>
            </w:r>
            <w:r w:rsidRPr="002333BC">
              <w:rPr>
                <w:rFonts w:eastAsia="BatangChe"/>
              </w:rPr>
              <w:tab/>
              <w:t>to study the definition of high-altitude platform stations as IMT base stations (HIBS) including possible modifications to the provisions of the Radio Regulations, as appropriate;</w:t>
            </w:r>
          </w:p>
          <w:p w:rsidR="00D47F38" w:rsidRPr="002333BC" w:rsidRDefault="00D47F38" w:rsidP="00ED7B8A">
            <w:pPr>
              <w:pStyle w:val="Tabletext"/>
              <w:jc w:val="both"/>
              <w:rPr>
                <w:rFonts w:eastAsia="BatangChe"/>
              </w:rPr>
            </w:pPr>
            <w:r w:rsidRPr="002333BC">
              <w:rPr>
                <w:rFonts w:eastAsia="BatangChe"/>
              </w:rPr>
              <w:t>5</w:t>
            </w:r>
            <w:r w:rsidRPr="002333BC">
              <w:rPr>
                <w:rFonts w:eastAsia="BatangChe"/>
              </w:rPr>
              <w:tab/>
              <w:t>to develop ITU</w:t>
            </w:r>
            <w:r w:rsidRPr="002333BC">
              <w:rPr>
                <w:rFonts w:eastAsia="BatangChe"/>
              </w:rPr>
              <w:noBreakHyphen/>
              <w:t xml:space="preserve">R Recommendations and Reports, as appropriate, taking into account </w:t>
            </w:r>
            <w:r w:rsidRPr="002333BC">
              <w:rPr>
                <w:rFonts w:eastAsia="BatangChe"/>
                <w:i/>
              </w:rPr>
              <w:t>resolves to invite ITU-R</w:t>
            </w:r>
            <w:r w:rsidRPr="002333BC">
              <w:rPr>
                <w:rFonts w:eastAsia="BatangChe"/>
              </w:rPr>
              <w:t> 1, 2, 3, and 4 above,</w:t>
            </w:r>
          </w:p>
          <w:p w:rsidR="00D47F38" w:rsidRPr="002333BC" w:rsidRDefault="00D47F38" w:rsidP="006B6CF8">
            <w:pPr>
              <w:pStyle w:val="StyleCall10pt"/>
              <w:jc w:val="both"/>
              <w:rPr>
                <w:rFonts w:cs="Times New Roman"/>
              </w:rPr>
            </w:pPr>
            <w:r w:rsidRPr="002333BC">
              <w:rPr>
                <w:rFonts w:cs="Times New Roman"/>
              </w:rPr>
              <w:t>further resolves to invite WRC-23</w:t>
            </w:r>
          </w:p>
          <w:p w:rsidR="00D47F38" w:rsidRPr="002333BC" w:rsidRDefault="00D47F38" w:rsidP="006B6CF8">
            <w:pPr>
              <w:pStyle w:val="Tabletext"/>
              <w:keepNext/>
              <w:keepLines/>
              <w:jc w:val="both"/>
              <w:rPr>
                <w:rFonts w:eastAsia="MS Mincho"/>
              </w:rPr>
            </w:pPr>
            <w:r w:rsidRPr="002333BC">
              <w:rPr>
                <w:rFonts w:eastAsia="MS Mincho"/>
              </w:rPr>
              <w:t>to consider, based on the results of the above studies, the use of high altitude platform stations as IMT base stations in certain</w:t>
            </w:r>
            <w:r w:rsidRPr="002333BC">
              <w:t xml:space="preserve"> frequency</w:t>
            </w:r>
            <w:r w:rsidRPr="002333BC">
              <w:rPr>
                <w:rFonts w:eastAsia="MS Mincho"/>
              </w:rPr>
              <w:t xml:space="preserve"> bands below 2.7 GHz already identified for IMT, on a global or regional level, and take necessary regulatory actions, as appropriate, taking into account that changes to the footnotes in the </w:t>
            </w:r>
            <w:r w:rsidRPr="002333BC">
              <w:rPr>
                <w:rFonts w:eastAsia="MS Mincho"/>
                <w:i/>
              </w:rPr>
              <w:t>recognizing d)</w:t>
            </w:r>
            <w:r w:rsidRPr="002333BC">
              <w:rPr>
                <w:rFonts w:eastAsia="MS Mincho"/>
              </w:rPr>
              <w:t xml:space="preserve"> are outside the scope and there should be no additional regulatory or technical constraints imposed on the deployment of ground-based IMT systems in the </w:t>
            </w:r>
            <w:r w:rsidRPr="002333BC">
              <w:t xml:space="preserve">frequency </w:t>
            </w:r>
            <w:r w:rsidRPr="002333BC">
              <w:rPr>
                <w:rFonts w:eastAsia="MS Mincho"/>
              </w:rPr>
              <w:t>bands referred to in those footnotes,</w:t>
            </w:r>
          </w:p>
          <w:p w:rsidR="00D47F38" w:rsidRPr="002333BC" w:rsidRDefault="00D47F38" w:rsidP="00ED7B8A">
            <w:pPr>
              <w:pStyle w:val="StyleCall10pt"/>
              <w:jc w:val="both"/>
              <w:rPr>
                <w:rFonts w:cs="Times New Roman"/>
              </w:rPr>
            </w:pPr>
            <w:r w:rsidRPr="002333BC">
              <w:rPr>
                <w:rFonts w:cs="Times New Roman"/>
              </w:rPr>
              <w:t>invites administrations</w:t>
            </w:r>
          </w:p>
          <w:p w:rsidR="00D47F38" w:rsidRPr="002333BC" w:rsidRDefault="00D47F38" w:rsidP="00ED7B8A">
            <w:pPr>
              <w:pStyle w:val="Tabletext"/>
              <w:jc w:val="both"/>
            </w:pPr>
            <w:r w:rsidRPr="002333BC">
              <w:rPr>
                <w:rFonts w:eastAsia="MS Mincho"/>
              </w:rPr>
              <w:t>to participate actively in these studies by submitting contributions to ITU</w:t>
            </w:r>
            <w:r w:rsidRPr="002333BC">
              <w:rPr>
                <w:rFonts w:eastAsia="MS Mincho"/>
              </w:rPr>
              <w:noBreakHyphen/>
              <w:t>R.</w:t>
            </w:r>
          </w:p>
        </w:tc>
        <w:tc>
          <w:tcPr>
            <w:tcW w:w="1560" w:type="dxa"/>
          </w:tcPr>
          <w:p w:rsidR="00D47F38" w:rsidRPr="00425A39" w:rsidRDefault="00D47F38" w:rsidP="00ED7B8A">
            <w:pPr>
              <w:pStyle w:val="Tabletext"/>
              <w:jc w:val="center"/>
              <w:rPr>
                <w:b/>
              </w:rPr>
            </w:pPr>
            <w:r w:rsidRPr="00425A39">
              <w:rPr>
                <w:b/>
              </w:rPr>
              <w:t xml:space="preserve">WP 3K, WP 3M, WP 4A, </w:t>
            </w:r>
            <w:r w:rsidRPr="000971F6">
              <w:rPr>
                <w:b/>
              </w:rPr>
              <w:t>WP 4C, WP 5A, WP 5B, WP 5C, WP 6A</w:t>
            </w:r>
            <w:r w:rsidRPr="00425A39">
              <w:rPr>
                <w:b/>
              </w:rPr>
              <w:t xml:space="preserve">, WP 7B, WP 7C, </w:t>
            </w:r>
            <w:r w:rsidRPr="00425A39">
              <w:rPr>
                <w:b/>
              </w:rPr>
              <w:br/>
              <w:t>WP 7D</w:t>
            </w:r>
          </w:p>
        </w:tc>
      </w:tr>
      <w:tr w:rsidR="00D47F38" w:rsidRPr="00425A39" w:rsidTr="00373E4E">
        <w:trPr>
          <w:cantSplit/>
          <w:jc w:val="center"/>
        </w:trPr>
        <w:tc>
          <w:tcPr>
            <w:tcW w:w="14175" w:type="dxa"/>
            <w:gridSpan w:val="4"/>
          </w:tcPr>
          <w:p w:rsidR="00D47F38" w:rsidRPr="002333BC" w:rsidRDefault="00D47F38" w:rsidP="00200ECB">
            <w:pPr>
              <w:pStyle w:val="Tabletext"/>
              <w:jc w:val="both"/>
            </w:pPr>
            <w:r w:rsidRPr="002333BC">
              <w:t>1.5</w:t>
            </w:r>
            <w:r w:rsidR="00200ECB">
              <w:tab/>
            </w:r>
            <w:r w:rsidRPr="002333BC">
              <w:tab/>
              <w:t>to review the spectrum use and spectrum needs of existing services in the frequency band 470-960 MHz in Region 1 and consider possible regulatory actions in the frequency band 470</w:t>
            </w:r>
            <w:r w:rsidRPr="002333BC">
              <w:noBreakHyphen/>
              <w:t xml:space="preserve">694 MHz in Region 1 on the basis of the review in accordance with Resolution </w:t>
            </w:r>
            <w:r w:rsidRPr="002333BC">
              <w:rPr>
                <w:b/>
                <w:bCs/>
              </w:rPr>
              <w:t>235 (WRC</w:t>
            </w:r>
            <w:r w:rsidRPr="002333BC">
              <w:rPr>
                <w:b/>
                <w:bCs/>
              </w:rPr>
              <w:noBreakHyphen/>
              <w:t>15)</w:t>
            </w:r>
            <w:r w:rsidRPr="002333BC">
              <w:t>;</w:t>
            </w:r>
          </w:p>
        </w:tc>
      </w:tr>
      <w:tr w:rsidR="002333BC" w:rsidRPr="00425A39" w:rsidTr="005B6143">
        <w:trPr>
          <w:jc w:val="center"/>
        </w:trPr>
        <w:tc>
          <w:tcPr>
            <w:tcW w:w="3400" w:type="dxa"/>
          </w:tcPr>
          <w:p w:rsidR="00D47F38" w:rsidRPr="002333BC" w:rsidRDefault="00D47F38" w:rsidP="00ED7B8A">
            <w:pPr>
              <w:pStyle w:val="Tabletext"/>
            </w:pPr>
            <w:r w:rsidRPr="002333BC">
              <w:t>Resolution </w:t>
            </w:r>
            <w:r w:rsidRPr="002333BC">
              <w:rPr>
                <w:b/>
              </w:rPr>
              <w:t>235 (WRC</w:t>
            </w:r>
            <w:r w:rsidRPr="002333BC">
              <w:rPr>
                <w:b/>
              </w:rPr>
              <w:noBreakHyphen/>
              <w:t>15)</w:t>
            </w:r>
          </w:p>
          <w:p w:rsidR="00D47F38" w:rsidRPr="002333BC" w:rsidRDefault="00D47F38" w:rsidP="00ED7B8A">
            <w:pPr>
              <w:pStyle w:val="Tabletext"/>
            </w:pPr>
            <w:r w:rsidRPr="002333BC">
              <w:t>Review of the spectrum use of the frequency band 470-960 MHz in Region 1</w:t>
            </w:r>
          </w:p>
        </w:tc>
        <w:tc>
          <w:tcPr>
            <w:tcW w:w="1562" w:type="dxa"/>
          </w:tcPr>
          <w:p w:rsidR="00D47F38" w:rsidRPr="002333BC" w:rsidRDefault="00D47F38" w:rsidP="00ED7B8A">
            <w:pPr>
              <w:pStyle w:val="Tabletext"/>
              <w:jc w:val="center"/>
              <w:rPr>
                <w:b/>
              </w:rPr>
            </w:pPr>
            <w:r w:rsidRPr="002333BC">
              <w:rPr>
                <w:b/>
              </w:rPr>
              <w:t>TG 6/1</w:t>
            </w:r>
          </w:p>
          <w:p w:rsidR="00D47F38" w:rsidRPr="002333BC" w:rsidRDefault="00D47F38" w:rsidP="00ED7B8A">
            <w:pPr>
              <w:pStyle w:val="Tabletext"/>
            </w:pPr>
            <w:r w:rsidRPr="002333BC">
              <w:rPr>
                <w:u w:val="single"/>
              </w:rPr>
              <w:t>Note</w:t>
            </w:r>
            <w:r w:rsidRPr="002333BC">
              <w:t>: See Annex 9 to this Administrative Circular</w:t>
            </w:r>
          </w:p>
        </w:tc>
        <w:tc>
          <w:tcPr>
            <w:tcW w:w="7653" w:type="dxa"/>
          </w:tcPr>
          <w:p w:rsidR="00D47F38" w:rsidRPr="002333BC" w:rsidRDefault="00D47F38" w:rsidP="00ED7B8A">
            <w:pPr>
              <w:pStyle w:val="StyleCall10pt"/>
              <w:jc w:val="both"/>
              <w:rPr>
                <w:rFonts w:cs="Times New Roman"/>
                <w:lang w:eastAsia="nl-NL"/>
              </w:rPr>
            </w:pPr>
            <w:r w:rsidRPr="002333BC">
              <w:rPr>
                <w:rFonts w:eastAsia="MS Mincho" w:cs="Times New Roman"/>
              </w:rPr>
              <w:t>resolves</w:t>
            </w:r>
            <w:r w:rsidRPr="002333BC">
              <w:rPr>
                <w:rFonts w:cs="Times New Roman"/>
                <w:lang w:eastAsia="nl-NL"/>
              </w:rPr>
              <w:t xml:space="preserve"> to invite ITU</w:t>
            </w:r>
            <w:r w:rsidRPr="002333BC">
              <w:rPr>
                <w:rFonts w:cs="Times New Roman"/>
                <w:lang w:eastAsia="nl-NL"/>
              </w:rPr>
              <w:noBreakHyphen/>
              <w:t xml:space="preserve">R, </w:t>
            </w:r>
            <w:r w:rsidRPr="002333BC">
              <w:rPr>
                <w:rFonts w:cs="Times New Roman"/>
              </w:rPr>
              <w:t>after the 2019 World Radiocommunication Conference and in time for the 2023 World Radiocommunication Conference</w:t>
            </w:r>
          </w:p>
          <w:p w:rsidR="00D47F38" w:rsidRPr="002333BC" w:rsidRDefault="00D47F38" w:rsidP="00ED7B8A">
            <w:pPr>
              <w:pStyle w:val="Tabletext"/>
              <w:jc w:val="both"/>
            </w:pPr>
            <w:r w:rsidRPr="002333BC">
              <w:t>1</w:t>
            </w:r>
            <w:r w:rsidRPr="002333BC">
              <w:tab/>
              <w:t>to review the spectrum use and study the spectrum needs of existing services within the frequency band 470-960 MHz in Region 1, in particular the spectrum requirements of the broadcasting and mobile, except aeronautical mobile, services, taking into account the relevant ITU Radiocommunication Sector (ITU</w:t>
            </w:r>
            <w:r w:rsidRPr="002333BC">
              <w:noBreakHyphen/>
              <w:t>R) studies, Recommendations and Reports;</w:t>
            </w:r>
          </w:p>
          <w:p w:rsidR="00D47F38" w:rsidRPr="002333BC" w:rsidRDefault="00D47F38" w:rsidP="00ED7B8A">
            <w:pPr>
              <w:pStyle w:val="Tabletext"/>
              <w:jc w:val="both"/>
            </w:pPr>
            <w:r w:rsidRPr="002333BC">
              <w:t>2</w:t>
            </w:r>
            <w:r w:rsidRPr="002333BC">
              <w:tab/>
              <w:t>to carry out sharing and compatibility studies, as appropriate, in the frequency band 470</w:t>
            </w:r>
            <w:r w:rsidRPr="002333BC">
              <w:noBreakHyphen/>
              <w:t>694 MHz in Region 1 between the broadcasting and mobile, except aeronautical mobile, services, taking into account relevant ITU</w:t>
            </w:r>
            <w:r w:rsidRPr="002333BC">
              <w:noBreakHyphen/>
              <w:t>R studies, Recommendations and Reports;</w:t>
            </w:r>
          </w:p>
          <w:p w:rsidR="00D47F38" w:rsidRPr="002333BC" w:rsidRDefault="00D47F38" w:rsidP="00ED7B8A">
            <w:pPr>
              <w:pStyle w:val="Tabletext"/>
              <w:jc w:val="both"/>
            </w:pPr>
            <w:r w:rsidRPr="002333BC">
              <w:t>3</w:t>
            </w:r>
            <w:r w:rsidRPr="002333BC">
              <w:tab/>
              <w:t>to conduct sharing and compatibility studies, as appropriate, in order to provide relevant protection of systems of other existing services,</w:t>
            </w:r>
          </w:p>
          <w:p w:rsidR="00D47F38" w:rsidRPr="002333BC" w:rsidRDefault="00D47F38" w:rsidP="00ED7B8A">
            <w:pPr>
              <w:pStyle w:val="StyleCall10pt"/>
              <w:jc w:val="both"/>
              <w:rPr>
                <w:rFonts w:cs="Times New Roman"/>
                <w:lang w:eastAsia="nl-NL"/>
              </w:rPr>
            </w:pPr>
            <w:r w:rsidRPr="002333BC">
              <w:rPr>
                <w:rFonts w:cs="Times New Roman"/>
                <w:lang w:eastAsia="nl-NL"/>
              </w:rPr>
              <w:t>invites administrations</w:t>
            </w:r>
          </w:p>
          <w:p w:rsidR="00D47F38" w:rsidRPr="002333BC" w:rsidRDefault="00D47F38" w:rsidP="00ED7B8A">
            <w:pPr>
              <w:pStyle w:val="Tabletext"/>
              <w:jc w:val="both"/>
            </w:pPr>
            <w:r w:rsidRPr="002333BC">
              <w:t>to participate actively in the studies by submitting contributions to ITU</w:t>
            </w:r>
            <w:r w:rsidRPr="002333BC">
              <w:noBreakHyphen/>
              <w:t>R,</w:t>
            </w:r>
          </w:p>
          <w:p w:rsidR="00D47F38" w:rsidRPr="002333BC" w:rsidRDefault="00D47F38" w:rsidP="00ED7B8A">
            <w:pPr>
              <w:pStyle w:val="StyleCall10pt"/>
              <w:jc w:val="both"/>
              <w:rPr>
                <w:rFonts w:cs="Times New Roman"/>
              </w:rPr>
            </w:pPr>
            <w:r w:rsidRPr="002333BC">
              <w:rPr>
                <w:rFonts w:cs="Times New Roman"/>
              </w:rPr>
              <w:t>resolves to invite the 2023 World Radiocommunication Conference</w:t>
            </w:r>
          </w:p>
          <w:p w:rsidR="00D47F38" w:rsidRPr="002333BC" w:rsidRDefault="00D47F38" w:rsidP="00ED7B8A">
            <w:pPr>
              <w:pStyle w:val="Tabletext"/>
              <w:jc w:val="both"/>
            </w:pPr>
            <w:r w:rsidRPr="002333BC">
              <w:t>to consider, based on the results of studies above, provided that these studies are completed and approved by ITU</w:t>
            </w:r>
            <w:r w:rsidRPr="002333BC">
              <w:noBreakHyphen/>
              <w:t>R, possible regulatory actions in the frequency band 470-694 MHz in Region 1, as appropriate,</w:t>
            </w:r>
          </w:p>
          <w:p w:rsidR="00D47F38" w:rsidRPr="002333BC" w:rsidRDefault="00D47F38" w:rsidP="00200ECB">
            <w:pPr>
              <w:pStyle w:val="StyleCall10pt"/>
              <w:jc w:val="both"/>
            </w:pPr>
            <w:r w:rsidRPr="00200ECB">
              <w:rPr>
                <w:rFonts w:eastAsia="MS Mincho" w:cs="Times New Roman"/>
              </w:rPr>
              <w:t>further</w:t>
            </w:r>
            <w:r w:rsidRPr="002333BC">
              <w:t xml:space="preserve"> invites ITU</w:t>
            </w:r>
            <w:r w:rsidRPr="002333BC">
              <w:noBreakHyphen/>
              <w:t>R</w:t>
            </w:r>
          </w:p>
          <w:p w:rsidR="00D47F38" w:rsidRPr="002333BC" w:rsidRDefault="00D47F38" w:rsidP="00ED7B8A">
            <w:pPr>
              <w:pStyle w:val="Tabletext"/>
              <w:jc w:val="both"/>
            </w:pPr>
            <w:r w:rsidRPr="002333BC">
              <w:t>to ensure intersectoral collaboration with the ITU Telecommunication Development Sector (ITU</w:t>
            </w:r>
            <w:r w:rsidRPr="002333BC">
              <w:noBreakHyphen/>
              <w:t>D) in the implementation of this Resolution.</w:t>
            </w:r>
          </w:p>
        </w:tc>
        <w:tc>
          <w:tcPr>
            <w:tcW w:w="1560" w:type="dxa"/>
          </w:tcPr>
          <w:p w:rsidR="00D47F38" w:rsidRPr="002333BC" w:rsidRDefault="00D47F38" w:rsidP="00ED7B8A">
            <w:pPr>
              <w:pStyle w:val="Tabletext"/>
              <w:jc w:val="center"/>
              <w:rPr>
                <w:b/>
              </w:rPr>
            </w:pPr>
            <w:r w:rsidRPr="002333BC">
              <w:rPr>
                <w:b/>
              </w:rPr>
              <w:t xml:space="preserve">WP 3K, </w:t>
            </w:r>
            <w:r w:rsidRPr="000971F6">
              <w:rPr>
                <w:b/>
              </w:rPr>
              <w:t>WP 3M, WP 5A, WP 5B, WP 5C, WP 5D,</w:t>
            </w:r>
            <w:r w:rsidR="006E6284">
              <w:rPr>
                <w:b/>
              </w:rPr>
              <w:br/>
            </w:r>
            <w:r w:rsidRPr="002333BC">
              <w:rPr>
                <w:b/>
              </w:rPr>
              <w:t>WP 6A</w:t>
            </w:r>
          </w:p>
        </w:tc>
      </w:tr>
      <w:tr w:rsidR="00D47F38" w:rsidRPr="002333BC" w:rsidTr="00373E4E">
        <w:trPr>
          <w:cantSplit/>
          <w:jc w:val="center"/>
        </w:trPr>
        <w:tc>
          <w:tcPr>
            <w:tcW w:w="14175" w:type="dxa"/>
            <w:gridSpan w:val="4"/>
          </w:tcPr>
          <w:p w:rsidR="00D47F38" w:rsidRPr="002333BC" w:rsidRDefault="00D47F38" w:rsidP="006B6CF8">
            <w:pPr>
              <w:pStyle w:val="Tabletext"/>
              <w:keepNext/>
              <w:keepLines/>
              <w:jc w:val="both"/>
            </w:pPr>
            <w:r w:rsidRPr="002333BC">
              <w:t>1.6</w:t>
            </w:r>
            <w:r w:rsidR="00200ECB">
              <w:tab/>
            </w:r>
            <w:r w:rsidRPr="002333BC">
              <w:tab/>
              <w:t>to consider, in accordance with Resolution</w:t>
            </w:r>
            <w:r w:rsidRPr="002333BC">
              <w:rPr>
                <w:b/>
                <w:bCs/>
              </w:rPr>
              <w:t xml:space="preserve"> 772 (WRC</w:t>
            </w:r>
            <w:r w:rsidRPr="002333BC">
              <w:rPr>
                <w:b/>
                <w:bCs/>
              </w:rPr>
              <w:noBreakHyphen/>
              <w:t>19)</w:t>
            </w:r>
            <w:r w:rsidRPr="002333BC">
              <w:t>, regulatory provisions to facilitate radiocommunications for sub-orbital vehicles;</w:t>
            </w:r>
          </w:p>
        </w:tc>
      </w:tr>
      <w:tr w:rsidR="00D47F38" w:rsidRPr="002333BC" w:rsidTr="005B6143">
        <w:trPr>
          <w:jc w:val="center"/>
        </w:trPr>
        <w:tc>
          <w:tcPr>
            <w:tcW w:w="3400" w:type="dxa"/>
          </w:tcPr>
          <w:p w:rsidR="00D47F38" w:rsidRPr="002333BC" w:rsidRDefault="00D47F38" w:rsidP="00ED7B8A">
            <w:pPr>
              <w:pStyle w:val="Tabletext"/>
              <w:rPr>
                <w:b/>
              </w:rPr>
            </w:pPr>
            <w:r w:rsidRPr="002333BC">
              <w:t>Resolution</w:t>
            </w:r>
            <w:r w:rsidRPr="002333BC">
              <w:rPr>
                <w:b/>
              </w:rPr>
              <w:t> 772 (WRC</w:t>
            </w:r>
            <w:r w:rsidRPr="002333BC">
              <w:rPr>
                <w:b/>
              </w:rPr>
              <w:noBreakHyphen/>
              <w:t>19)</w:t>
            </w:r>
          </w:p>
          <w:p w:rsidR="00D47F38" w:rsidRPr="002333BC" w:rsidRDefault="00D47F38" w:rsidP="00ED7B8A">
            <w:pPr>
              <w:pStyle w:val="Tabletext"/>
            </w:pPr>
            <w:r w:rsidRPr="002333BC">
              <w:t>Consideration of regulatory provisions to facilitate the introduction of sub-orbital vehicles</w:t>
            </w:r>
          </w:p>
        </w:tc>
        <w:tc>
          <w:tcPr>
            <w:tcW w:w="1562" w:type="dxa"/>
          </w:tcPr>
          <w:p w:rsidR="00D47F38" w:rsidRPr="002333BC" w:rsidRDefault="00D47F38" w:rsidP="00ED7B8A">
            <w:pPr>
              <w:pStyle w:val="Tabletext"/>
              <w:jc w:val="center"/>
              <w:rPr>
                <w:b/>
                <w:bCs/>
              </w:rPr>
            </w:pPr>
            <w:r w:rsidRPr="002333BC">
              <w:rPr>
                <w:b/>
                <w:bCs/>
              </w:rPr>
              <w:t>WP 5B</w:t>
            </w:r>
          </w:p>
          <w:p w:rsidR="00D47F38" w:rsidRPr="002333BC" w:rsidRDefault="00D47F38" w:rsidP="00ED7B8A">
            <w:pPr>
              <w:pStyle w:val="Tabletext"/>
              <w:jc w:val="center"/>
            </w:pPr>
            <w:r w:rsidRPr="002333BC">
              <w:rPr>
                <w:u w:val="single"/>
              </w:rPr>
              <w:t>Note</w:t>
            </w:r>
            <w:r w:rsidRPr="002333BC">
              <w:t xml:space="preserve">: See relevant text in CPM23-1 meeting report (Annex 4 to this Administrative Circular) on how to facilitate the work related to satellite. </w:t>
            </w:r>
          </w:p>
        </w:tc>
        <w:tc>
          <w:tcPr>
            <w:tcW w:w="7653" w:type="dxa"/>
          </w:tcPr>
          <w:p w:rsidR="00D47F38" w:rsidRPr="002333BC" w:rsidRDefault="00D47F38" w:rsidP="00200ECB">
            <w:pPr>
              <w:pStyle w:val="StyleCall10pt"/>
              <w:rPr>
                <w:rFonts w:eastAsia="MS Mincho"/>
              </w:rPr>
            </w:pPr>
            <w:r w:rsidRPr="002333BC">
              <w:rPr>
                <w:rFonts w:eastAsia="MS Mincho"/>
              </w:rPr>
              <w:t>resolves to invite ITU-R</w:t>
            </w:r>
          </w:p>
          <w:p w:rsidR="00D47F38" w:rsidRPr="002333BC" w:rsidRDefault="00D47F38" w:rsidP="00ED7B8A">
            <w:pPr>
              <w:pStyle w:val="Tabletext"/>
              <w:jc w:val="both"/>
              <w:rPr>
                <w:rFonts w:eastAsia="MS PMincho"/>
                <w:lang w:eastAsia="ja-JP"/>
              </w:rPr>
            </w:pPr>
            <w:r w:rsidRPr="002333BC">
              <w:rPr>
                <w:rFonts w:eastAsia="SimSun"/>
                <w:lang w:eastAsia="zh-CN"/>
              </w:rPr>
              <w:t>1</w:t>
            </w:r>
            <w:r w:rsidRPr="002333BC">
              <w:rPr>
                <w:rFonts w:eastAsia="SimSun"/>
                <w:lang w:eastAsia="zh-CN"/>
              </w:rPr>
              <w:tab/>
              <w:t xml:space="preserve">to study spectrum needs for communications between stations on board sub-orbital vehicles and terrestrial/space stations providing functions such as, </w:t>
            </w:r>
            <w:r w:rsidRPr="002333BC">
              <w:rPr>
                <w:rFonts w:eastAsia="SimSun"/>
                <w:i/>
                <w:iCs/>
                <w:lang w:eastAsia="zh-CN"/>
              </w:rPr>
              <w:t>inter alia</w:t>
            </w:r>
            <w:r w:rsidRPr="002333BC">
              <w:rPr>
                <w:rFonts w:eastAsia="SimSun"/>
                <w:lang w:eastAsia="zh-CN"/>
              </w:rPr>
              <w:t xml:space="preserve">, </w:t>
            </w:r>
            <w:r w:rsidRPr="002333BC">
              <w:rPr>
                <w:rFonts w:eastAsia="MS PMincho"/>
                <w:lang w:eastAsia="ja-JP"/>
              </w:rPr>
              <w:t>voice/data communications, navigation, surveillance and TT&amp;C;</w:t>
            </w:r>
          </w:p>
          <w:p w:rsidR="00D47F38" w:rsidRPr="002333BC" w:rsidRDefault="00D47F38" w:rsidP="00ED7B8A">
            <w:pPr>
              <w:pStyle w:val="Tabletext"/>
              <w:jc w:val="both"/>
              <w:rPr>
                <w:rFonts w:eastAsia="SimSun"/>
                <w:lang w:eastAsia="zh-CN"/>
              </w:rPr>
            </w:pPr>
            <w:r w:rsidRPr="002333BC">
              <w:rPr>
                <w:rFonts w:eastAsia="SimSun"/>
                <w:lang w:eastAsia="zh-CN"/>
              </w:rPr>
              <w:t>2</w:t>
            </w:r>
            <w:r w:rsidRPr="002333BC">
              <w:rPr>
                <w:rFonts w:eastAsia="SimSun"/>
                <w:lang w:eastAsia="zh-CN"/>
              </w:rPr>
              <w:tab/>
              <w:t>to study appropriate modification, if any, to the Radio Regulations, excluding any new allocations or changes to the existing allocations in Article </w:t>
            </w:r>
            <w:r w:rsidRPr="002333BC">
              <w:rPr>
                <w:rFonts w:eastAsia="SimSun"/>
                <w:b/>
                <w:bCs/>
                <w:lang w:eastAsia="zh-CN"/>
              </w:rPr>
              <w:t>5</w:t>
            </w:r>
            <w:r w:rsidRPr="002333BC">
              <w:rPr>
                <w:rFonts w:eastAsia="SimSun"/>
                <w:lang w:eastAsia="zh-CN"/>
              </w:rPr>
              <w:t>, to accommodate stations on board sub</w:t>
            </w:r>
            <w:r w:rsidRPr="002333BC">
              <w:rPr>
                <w:rFonts w:eastAsia="SimSun"/>
                <w:lang w:eastAsia="zh-CN"/>
              </w:rPr>
              <w:noBreakHyphen/>
              <w:t>orbital vehicles, whilst</w:t>
            </w:r>
            <w:r w:rsidRPr="002333BC">
              <w:rPr>
                <w:rFonts w:eastAsia="SimSun"/>
                <w:b/>
                <w:bCs/>
                <w:lang w:eastAsia="zh-CN"/>
              </w:rPr>
              <w:t xml:space="preserve"> </w:t>
            </w:r>
            <w:r w:rsidRPr="002333BC">
              <w:rPr>
                <w:rFonts w:eastAsia="SimSun"/>
                <w:lang w:eastAsia="zh-CN"/>
              </w:rPr>
              <w:t xml:space="preserve">avoiding any impact on conventional space launch systems with the following objectives: </w:t>
            </w:r>
          </w:p>
          <w:p w:rsidR="00D47F38" w:rsidRPr="002333BC" w:rsidRDefault="00D47F38" w:rsidP="00ED7B8A">
            <w:pPr>
              <w:pStyle w:val="Tabletext"/>
              <w:jc w:val="both"/>
            </w:pPr>
            <w:r w:rsidRPr="002333BC">
              <w:rPr>
                <w:rFonts w:eastAsiaTheme="minorEastAsia"/>
                <w:lang w:eastAsia="zh-CN"/>
              </w:rPr>
              <w:br w:type="page"/>
              <w:t>–</w:t>
            </w:r>
            <w:r w:rsidRPr="002333BC">
              <w:rPr>
                <w:rFonts w:eastAsiaTheme="minorEastAsia"/>
                <w:lang w:eastAsia="zh-CN"/>
              </w:rPr>
              <w:tab/>
              <w:t xml:space="preserve">to determine the status of stations on sub-orbital vehicles, and study </w:t>
            </w:r>
            <w:r w:rsidRPr="002333BC">
              <w:t xml:space="preserve">corresponding </w:t>
            </w:r>
            <w:r w:rsidRPr="002333BC">
              <w:rPr>
                <w:rFonts w:eastAsiaTheme="minorEastAsia"/>
                <w:lang w:eastAsia="zh-CN"/>
              </w:rPr>
              <w:t xml:space="preserve">regulatory </w:t>
            </w:r>
            <w:r w:rsidRPr="002333BC">
              <w:t>provisions</w:t>
            </w:r>
            <w:r w:rsidRPr="002333BC">
              <w:rPr>
                <w:rFonts w:eastAsiaTheme="minorEastAsia"/>
                <w:lang w:eastAsia="zh-CN"/>
              </w:rPr>
              <w:t xml:space="preserve"> to determine which existing radio</w:t>
            </w:r>
            <w:r w:rsidRPr="002333BC">
              <w:rPr>
                <w:rFonts w:eastAsia="MS PMincho"/>
                <w:lang w:eastAsia="ja-JP"/>
              </w:rPr>
              <w:t>communication</w:t>
            </w:r>
            <w:r w:rsidRPr="002333BC">
              <w:rPr>
                <w:rFonts w:eastAsiaTheme="minorEastAsia"/>
                <w:lang w:eastAsia="zh-CN"/>
              </w:rPr>
              <w:t xml:space="preserve"> services can be used by stations on sub</w:t>
            </w:r>
            <w:r w:rsidRPr="002333BC">
              <w:rPr>
                <w:rFonts w:eastAsiaTheme="minorEastAsia"/>
                <w:lang w:eastAsia="zh-CN"/>
              </w:rPr>
              <w:noBreakHyphen/>
              <w:t>orbital vehicles, if necessary;</w:t>
            </w:r>
          </w:p>
          <w:p w:rsidR="00D47F38" w:rsidRPr="002333BC" w:rsidRDefault="00D47F38" w:rsidP="00ED7B8A">
            <w:pPr>
              <w:pStyle w:val="Tabletext"/>
              <w:jc w:val="both"/>
            </w:pPr>
            <w:r w:rsidRPr="002333BC">
              <w:rPr>
                <w:rFonts w:eastAsiaTheme="minorEastAsia"/>
                <w:lang w:eastAsia="zh-CN"/>
              </w:rPr>
              <w:t>–</w:t>
            </w:r>
            <w:r w:rsidRPr="002333BC">
              <w:rPr>
                <w:rFonts w:eastAsiaTheme="minorEastAsia"/>
                <w:lang w:eastAsia="zh-CN"/>
              </w:rPr>
              <w:tab/>
            </w:r>
            <w:r w:rsidRPr="002333BC">
              <w:t>to determine the technical and regulatory conditions to allow some stations on board sub</w:t>
            </w:r>
            <w:r w:rsidRPr="002333BC">
              <w:noBreakHyphen/>
              <w:t>orbital vehicles to operate under the aeronautical regulation and to be considered as earth stations or terrestrial stations even if a part of the flight occurs in space;</w:t>
            </w:r>
          </w:p>
          <w:p w:rsidR="00D47F38" w:rsidRPr="002333BC" w:rsidRDefault="00D47F38" w:rsidP="00ED7B8A">
            <w:pPr>
              <w:pStyle w:val="Tabletext"/>
              <w:jc w:val="both"/>
            </w:pPr>
            <w:r w:rsidRPr="002333BC">
              <w:rPr>
                <w:rFonts w:eastAsiaTheme="minorEastAsia"/>
                <w:lang w:eastAsia="zh-CN"/>
              </w:rPr>
              <w:t>–</w:t>
            </w:r>
            <w:r w:rsidRPr="002333BC">
              <w:rPr>
                <w:rFonts w:eastAsiaTheme="minorEastAsia"/>
                <w:lang w:eastAsia="zh-CN"/>
              </w:rPr>
              <w:tab/>
            </w:r>
            <w:r w:rsidRPr="002333BC">
              <w:t>to facilitate radiocommunications that support aviation to safely integrate sub-orbital vehicles into the airspace and be interoperable with international civil aviation;</w:t>
            </w:r>
          </w:p>
          <w:p w:rsidR="00D47F38" w:rsidRPr="002333BC" w:rsidRDefault="00D47F38" w:rsidP="00ED7B8A">
            <w:pPr>
              <w:pStyle w:val="Tabletext"/>
              <w:jc w:val="both"/>
            </w:pPr>
            <w:r w:rsidRPr="002333BC">
              <w:rPr>
                <w:rFonts w:eastAsiaTheme="minorEastAsia"/>
                <w:lang w:eastAsia="zh-CN"/>
              </w:rPr>
              <w:t>–</w:t>
            </w:r>
            <w:r w:rsidRPr="002333BC">
              <w:rPr>
                <w:rFonts w:eastAsiaTheme="minorEastAsia"/>
                <w:lang w:eastAsia="zh-CN"/>
              </w:rPr>
              <w:tab/>
            </w:r>
            <w:r w:rsidRPr="002333BC">
              <w:t>to define the relevant technical characteristics and protection criteria relevant for the studies to be undertaken in accordance with the bullet point below;</w:t>
            </w:r>
          </w:p>
          <w:p w:rsidR="00D47F38" w:rsidRPr="002333BC" w:rsidRDefault="00D47F38" w:rsidP="00ED7B8A">
            <w:pPr>
              <w:pStyle w:val="Tabletext"/>
              <w:jc w:val="both"/>
              <w:rPr>
                <w:rFonts w:eastAsiaTheme="minorEastAsia"/>
                <w:lang w:eastAsia="zh-CN"/>
              </w:rPr>
            </w:pPr>
            <w:r w:rsidRPr="002333BC">
              <w:rPr>
                <w:rFonts w:eastAsiaTheme="minorEastAsia"/>
                <w:lang w:eastAsia="zh-CN"/>
              </w:rPr>
              <w:t>–</w:t>
            </w:r>
            <w:r w:rsidRPr="002333BC">
              <w:rPr>
                <w:rFonts w:eastAsiaTheme="minorEastAsia"/>
                <w:lang w:eastAsia="zh-CN"/>
              </w:rPr>
              <w:tab/>
              <w:t>to conduct sharing and compatibility studies with incumbent services that are allocated on a primary basis in the same and adjacent frequency bands in order</w:t>
            </w:r>
            <w:r w:rsidRPr="002333BC" w:rsidDel="005D477E">
              <w:rPr>
                <w:rFonts w:eastAsiaTheme="minorEastAsia"/>
                <w:lang w:eastAsia="zh-CN"/>
              </w:rPr>
              <w:t xml:space="preserve"> </w:t>
            </w:r>
            <w:r w:rsidRPr="002333BC">
              <w:rPr>
                <w:rFonts w:eastAsiaTheme="minorEastAsia"/>
                <w:lang w:eastAsia="zh-CN"/>
              </w:rPr>
              <w:t>to avoid harmful interference to other radiocommunication services and to existing applications of the same service in which stations on board sub-orbital vehicles operate, having regard to the sub-orbital flight application scenarios;</w:t>
            </w:r>
          </w:p>
          <w:p w:rsidR="00D47F38" w:rsidRPr="002333BC" w:rsidRDefault="00D47F38" w:rsidP="00ED7B8A">
            <w:pPr>
              <w:pStyle w:val="Tabletext"/>
              <w:jc w:val="both"/>
              <w:rPr>
                <w:rFonts w:eastAsia="BatangChe"/>
              </w:rPr>
            </w:pPr>
            <w:r w:rsidRPr="002333BC">
              <w:rPr>
                <w:rFonts w:eastAsia="BatangChe"/>
              </w:rPr>
              <w:t>3</w:t>
            </w:r>
            <w:r w:rsidRPr="002333BC">
              <w:rPr>
                <w:rFonts w:eastAsia="BatangChe"/>
              </w:rPr>
              <w:tab/>
              <w:t>to identify, as a result of the studies above, whether there is a need for access to additional spectrum that should be addressed after WRC</w:t>
            </w:r>
            <w:r w:rsidRPr="002333BC">
              <w:rPr>
                <w:rFonts w:eastAsia="BatangChe"/>
              </w:rPr>
              <w:noBreakHyphen/>
              <w:t>23 by a future competent conference,</w:t>
            </w:r>
          </w:p>
          <w:p w:rsidR="00D47F38" w:rsidRPr="002333BC" w:rsidRDefault="00D47F38" w:rsidP="00200ECB">
            <w:pPr>
              <w:pStyle w:val="StyleCall10pt"/>
            </w:pPr>
            <w:r w:rsidRPr="002333BC">
              <w:t>invites ICAO</w:t>
            </w:r>
          </w:p>
          <w:p w:rsidR="00D47F38" w:rsidRPr="002333BC" w:rsidRDefault="00D47F38" w:rsidP="00ED7B8A">
            <w:pPr>
              <w:pStyle w:val="Tabletext"/>
              <w:jc w:val="both"/>
            </w:pPr>
            <w:r w:rsidRPr="002333BC">
              <w:t xml:space="preserve">to participate in the studies and provide to ITU the relevant technical characteristics required for the studies called for in </w:t>
            </w:r>
            <w:r w:rsidRPr="002333BC">
              <w:rPr>
                <w:i/>
                <w:iCs/>
              </w:rPr>
              <w:t>resolves to invite ITU</w:t>
            </w:r>
            <w:r w:rsidRPr="002333BC">
              <w:rPr>
                <w:i/>
                <w:iCs/>
              </w:rPr>
              <w:noBreakHyphen/>
              <w:t>R</w:t>
            </w:r>
            <w:r w:rsidRPr="002333BC">
              <w:t>,</w:t>
            </w:r>
          </w:p>
          <w:p w:rsidR="00D47F38" w:rsidRPr="002333BC" w:rsidRDefault="00D47F38" w:rsidP="00200ECB">
            <w:pPr>
              <w:pStyle w:val="StyleCall10pt"/>
            </w:pPr>
            <w:r w:rsidRPr="002333BC">
              <w:t>invites the 2023 World Radiocommunication Conference</w:t>
            </w:r>
          </w:p>
          <w:p w:rsidR="00D47F38" w:rsidRPr="002333BC" w:rsidRDefault="00D47F38" w:rsidP="00ED7B8A">
            <w:pPr>
              <w:pStyle w:val="Tabletext"/>
              <w:jc w:val="both"/>
            </w:pPr>
            <w:r w:rsidRPr="002333BC">
              <w:t>to consider the results of the studies above and take the appropriate action,</w:t>
            </w:r>
          </w:p>
          <w:p w:rsidR="00D47F38" w:rsidRPr="002333BC" w:rsidRDefault="00D47F38" w:rsidP="00200ECB">
            <w:pPr>
              <w:pStyle w:val="StyleCall10pt"/>
            </w:pPr>
            <w:r w:rsidRPr="002333BC">
              <w:rPr>
                <w:rFonts w:eastAsia="MS Mincho"/>
              </w:rPr>
              <w:t>instructs</w:t>
            </w:r>
            <w:r w:rsidRPr="002333BC">
              <w:t xml:space="preserve"> the Director of the Radiocommunication Bureau </w:t>
            </w:r>
          </w:p>
          <w:p w:rsidR="00D47F38" w:rsidRPr="002333BC" w:rsidRDefault="00D47F38" w:rsidP="00ED7B8A">
            <w:pPr>
              <w:pStyle w:val="Tabletext"/>
              <w:jc w:val="both"/>
            </w:pPr>
            <w:r w:rsidRPr="002333BC">
              <w:t>to bring this Resolution to the attention of the relevant ITU</w:t>
            </w:r>
            <w:r w:rsidRPr="002333BC">
              <w:noBreakHyphen/>
              <w:t>R study groups,</w:t>
            </w:r>
          </w:p>
          <w:p w:rsidR="00D47F38" w:rsidRPr="002333BC" w:rsidRDefault="00D47F38" w:rsidP="00200ECB">
            <w:pPr>
              <w:pStyle w:val="StyleCall10pt"/>
              <w:rPr>
                <w:rFonts w:eastAsia="MS Mincho"/>
              </w:rPr>
            </w:pPr>
            <w:r w:rsidRPr="002333BC">
              <w:rPr>
                <w:rFonts w:eastAsia="MS Mincho"/>
              </w:rPr>
              <w:t>invites administrations</w:t>
            </w:r>
          </w:p>
          <w:p w:rsidR="00D47F38" w:rsidRPr="002333BC" w:rsidRDefault="00D47F38" w:rsidP="00ED7B8A">
            <w:pPr>
              <w:pStyle w:val="Tabletext"/>
              <w:jc w:val="both"/>
            </w:pPr>
            <w:r w:rsidRPr="002333BC">
              <w:t>to participate actively in the studies by submitting contributions to ITU</w:t>
            </w:r>
            <w:r w:rsidRPr="002333BC">
              <w:rPr>
                <w:rFonts w:eastAsia="SimSun"/>
                <w:lang w:eastAsia="zh-CN"/>
              </w:rPr>
              <w:noBreakHyphen/>
            </w:r>
            <w:r w:rsidRPr="002333BC">
              <w:t>R,</w:t>
            </w:r>
          </w:p>
          <w:p w:rsidR="00D47F38" w:rsidRPr="002333BC" w:rsidRDefault="00D47F38" w:rsidP="00200ECB">
            <w:pPr>
              <w:pStyle w:val="StyleCall10pt"/>
              <w:rPr>
                <w:rFonts w:eastAsia="MS Mincho"/>
              </w:rPr>
            </w:pPr>
            <w:r w:rsidRPr="002333BC">
              <w:rPr>
                <w:rFonts w:eastAsia="MS Mincho"/>
              </w:rPr>
              <w:t>instructs the Secretary-General</w:t>
            </w:r>
          </w:p>
          <w:p w:rsidR="00D47F38" w:rsidRPr="002333BC" w:rsidRDefault="00D47F38" w:rsidP="00ED7B8A">
            <w:pPr>
              <w:pStyle w:val="Tabletext"/>
              <w:jc w:val="both"/>
            </w:pPr>
            <w:r w:rsidRPr="002333BC">
              <w:t>to bring this Resolution to the attention of the United Nations Committee on the Peaceful Uses of Outer Space and ICAO and other international and regional organizations concerned.</w:t>
            </w:r>
          </w:p>
        </w:tc>
        <w:tc>
          <w:tcPr>
            <w:tcW w:w="1560" w:type="dxa"/>
          </w:tcPr>
          <w:p w:rsidR="00D47F38" w:rsidRPr="002333BC" w:rsidRDefault="00D47F38" w:rsidP="00ED7B8A">
            <w:pPr>
              <w:pStyle w:val="Tabletext"/>
              <w:jc w:val="center"/>
            </w:pPr>
            <w:r w:rsidRPr="002333BC">
              <w:rPr>
                <w:b/>
                <w:bCs/>
              </w:rPr>
              <w:t xml:space="preserve">WP 3M, WP 4A, WP 4C, </w:t>
            </w:r>
            <w:r w:rsidRPr="002333BC">
              <w:rPr>
                <w:b/>
                <w:bCs/>
              </w:rPr>
              <w:br/>
              <w:t>WP 7B</w:t>
            </w:r>
          </w:p>
        </w:tc>
      </w:tr>
      <w:tr w:rsidR="00D47F38" w:rsidRPr="002333BC" w:rsidTr="00373E4E">
        <w:trPr>
          <w:cantSplit/>
          <w:jc w:val="center"/>
        </w:trPr>
        <w:tc>
          <w:tcPr>
            <w:tcW w:w="14175" w:type="dxa"/>
            <w:gridSpan w:val="4"/>
          </w:tcPr>
          <w:p w:rsidR="00D47F38" w:rsidRPr="002333BC" w:rsidRDefault="00D47F38" w:rsidP="006B6CF8">
            <w:pPr>
              <w:pStyle w:val="Tabletext"/>
              <w:tabs>
                <w:tab w:val="clear" w:pos="284"/>
                <w:tab w:val="left" w:pos="459"/>
              </w:tabs>
              <w:jc w:val="both"/>
            </w:pPr>
            <w:r w:rsidRPr="002333BC">
              <w:t>1.7</w:t>
            </w:r>
            <w:r w:rsidRPr="002333BC">
              <w:tab/>
            </w:r>
            <w:r w:rsidRPr="002333BC">
              <w:rPr>
                <w:lang w:eastAsia="zh-CN"/>
              </w:rPr>
              <w:t>t</w:t>
            </w:r>
            <w:r w:rsidRPr="002333BC">
              <w:t xml:space="preserve">o consider a new aeronautical mobile-satellite (R) service (AMS(R)S) allocation in accordance with Resolution </w:t>
            </w:r>
            <w:r w:rsidRPr="002333BC">
              <w:rPr>
                <w:b/>
                <w:bCs/>
              </w:rPr>
              <w:t>428</w:t>
            </w:r>
            <w:r w:rsidRPr="002333BC">
              <w:t xml:space="preserve"> </w:t>
            </w:r>
            <w:r w:rsidRPr="002333BC">
              <w:rPr>
                <w:b/>
                <w:bCs/>
              </w:rPr>
              <w:t>(WRC</w:t>
            </w:r>
            <w:r w:rsidRPr="002333BC">
              <w:rPr>
                <w:b/>
                <w:bCs/>
              </w:rPr>
              <w:noBreakHyphen/>
              <w:t xml:space="preserve">19) </w:t>
            </w:r>
            <w:r w:rsidRPr="002333BC">
              <w:t>for both the Earth-to-space and space</w:t>
            </w:r>
            <w:r w:rsidR="006B6CF8">
              <w:noBreakHyphen/>
            </w:r>
            <w:r w:rsidRPr="002333BC">
              <w:t>to</w:t>
            </w:r>
            <w:r w:rsidR="006B6CF8">
              <w:noBreakHyphen/>
            </w:r>
            <w:r w:rsidRPr="002333BC">
              <w:t>Earth directions of aeronautical VHF communications in all or part of the frequency band 117.975-137 MHz, while preventing any undue constraints on existing VHF systems operating in the AM(R)S, the ARNS, and in adjacent frequency bands;</w:t>
            </w:r>
          </w:p>
        </w:tc>
      </w:tr>
      <w:tr w:rsidR="00D47F38" w:rsidRPr="002333BC" w:rsidTr="005B6143">
        <w:trPr>
          <w:jc w:val="center"/>
        </w:trPr>
        <w:tc>
          <w:tcPr>
            <w:tcW w:w="3400" w:type="dxa"/>
          </w:tcPr>
          <w:p w:rsidR="00D47F38" w:rsidRPr="002333BC" w:rsidRDefault="00D47F38" w:rsidP="00ED7B8A">
            <w:pPr>
              <w:pStyle w:val="Tabletext"/>
              <w:rPr>
                <w:b/>
              </w:rPr>
            </w:pPr>
            <w:r w:rsidRPr="002333BC">
              <w:t>Resolution</w:t>
            </w:r>
            <w:r w:rsidRPr="002333BC">
              <w:rPr>
                <w:b/>
              </w:rPr>
              <w:t> 428 (WRC</w:t>
            </w:r>
            <w:r w:rsidRPr="002333BC">
              <w:rPr>
                <w:b/>
              </w:rPr>
              <w:noBreakHyphen/>
              <w:t>19)</w:t>
            </w:r>
          </w:p>
          <w:p w:rsidR="00D47F38" w:rsidRPr="002333BC" w:rsidRDefault="00D47F38" w:rsidP="00ED7B8A">
            <w:pPr>
              <w:pStyle w:val="Tabletext"/>
            </w:pPr>
            <w:r w:rsidRPr="002333BC">
              <w:rPr>
                <w:rFonts w:eastAsiaTheme="minorEastAsia"/>
              </w:rPr>
              <w:t>Studies on a possible new allocation to the aeronautical mobile satellite (R) service within the frequency band 117.975</w:t>
            </w:r>
            <w:r w:rsidRPr="002333BC">
              <w:rPr>
                <w:rFonts w:eastAsiaTheme="minorEastAsia"/>
              </w:rPr>
              <w:noBreakHyphen/>
              <w:t>137 MHz in order to support aeronautical VHF communications in the Earth-to-space and space-to-Earth directions</w:t>
            </w:r>
          </w:p>
        </w:tc>
        <w:tc>
          <w:tcPr>
            <w:tcW w:w="1562" w:type="dxa"/>
          </w:tcPr>
          <w:p w:rsidR="00D47F38" w:rsidRPr="002333BC" w:rsidRDefault="00D47F38" w:rsidP="00ED7B8A">
            <w:pPr>
              <w:pStyle w:val="Tabletext"/>
              <w:jc w:val="center"/>
              <w:rPr>
                <w:b/>
                <w:bCs/>
              </w:rPr>
            </w:pPr>
            <w:r w:rsidRPr="002333BC">
              <w:rPr>
                <w:b/>
                <w:bCs/>
                <w:spacing w:val="-6"/>
              </w:rPr>
              <w:t>WP 5B</w:t>
            </w:r>
          </w:p>
          <w:p w:rsidR="00D47F38" w:rsidRPr="002333BC" w:rsidRDefault="00D47F38" w:rsidP="00ED7B8A">
            <w:pPr>
              <w:pStyle w:val="Tabletext"/>
              <w:jc w:val="center"/>
              <w:rPr>
                <w:spacing w:val="-6"/>
              </w:rPr>
            </w:pPr>
            <w:r w:rsidRPr="002333BC">
              <w:rPr>
                <w:u w:val="single"/>
              </w:rPr>
              <w:t>Note</w:t>
            </w:r>
            <w:r w:rsidRPr="002333BC">
              <w:t>: See relevant text in CPM23-1 meeting report (Annex 4 to this Administrative Circular) on how to facilitate the work related to satellite.</w:t>
            </w:r>
          </w:p>
        </w:tc>
        <w:tc>
          <w:tcPr>
            <w:tcW w:w="7653" w:type="dxa"/>
          </w:tcPr>
          <w:p w:rsidR="00D47F38" w:rsidRPr="002333BC" w:rsidRDefault="00D47F38" w:rsidP="00200ECB">
            <w:pPr>
              <w:pStyle w:val="StyleCall10pt"/>
            </w:pPr>
            <w:r w:rsidRPr="002333BC">
              <w:t>resolves to invite ITU</w:t>
            </w:r>
            <w:r w:rsidRPr="002333BC">
              <w:noBreakHyphen/>
              <w:t>R</w:t>
            </w:r>
          </w:p>
          <w:p w:rsidR="00D47F38" w:rsidRPr="002333BC" w:rsidRDefault="00D47F38" w:rsidP="00ED7B8A">
            <w:pPr>
              <w:pStyle w:val="Tabletext"/>
              <w:jc w:val="both"/>
              <w:rPr>
                <w:rFonts w:eastAsiaTheme="minorEastAsia"/>
                <w:lang w:eastAsia="zh-CN"/>
              </w:rPr>
            </w:pPr>
            <w:r w:rsidRPr="002333BC">
              <w:rPr>
                <w:rFonts w:eastAsiaTheme="minorEastAsia"/>
              </w:rPr>
              <w:t>1</w:t>
            </w:r>
            <w:r w:rsidRPr="002333BC">
              <w:rPr>
                <w:rFonts w:eastAsiaTheme="minorEastAsia"/>
              </w:rPr>
              <w:tab/>
              <w:t xml:space="preserve">to define the relevant technical characteristics and to study, taking into account </w:t>
            </w:r>
            <w:r w:rsidRPr="002333BC">
              <w:rPr>
                <w:rFonts w:eastAsiaTheme="minorEastAsia"/>
                <w:i/>
              </w:rPr>
              <w:t>considering</w:t>
            </w:r>
            <w:r w:rsidRPr="002333BC">
              <w:rPr>
                <w:rFonts w:eastAsiaTheme="minorEastAsia"/>
                <w:bCs/>
                <w:i/>
                <w:iCs/>
                <w:color w:val="26282A"/>
              </w:rPr>
              <w:t> c)</w:t>
            </w:r>
            <w:r w:rsidRPr="002333BC">
              <w:rPr>
                <w:rFonts w:eastAsiaTheme="minorEastAsia"/>
                <w:bCs/>
                <w:iCs/>
                <w:color w:val="26282A"/>
              </w:rPr>
              <w:t xml:space="preserve"> and taking into account No. </w:t>
            </w:r>
            <w:r w:rsidRPr="002333BC">
              <w:rPr>
                <w:rFonts w:eastAsiaTheme="minorEastAsia"/>
                <w:b/>
                <w:bCs/>
                <w:iCs/>
                <w:color w:val="26282A"/>
              </w:rPr>
              <w:t>5.200</w:t>
            </w:r>
            <w:r w:rsidRPr="002333BC">
              <w:rPr>
                <w:rFonts w:eastAsiaTheme="minorEastAsia"/>
                <w:bCs/>
                <w:i/>
                <w:iCs/>
                <w:color w:val="26282A"/>
              </w:rPr>
              <w:t xml:space="preserve">, </w:t>
            </w:r>
            <w:r w:rsidRPr="002333BC">
              <w:rPr>
                <w:rFonts w:eastAsiaTheme="minorEastAsia"/>
              </w:rPr>
              <w:t xml:space="preserve">compatibility between potential new AMS(R)S systems that operate within the frequency band 117.975-137 MHz in the </w:t>
            </w:r>
            <w:r w:rsidRPr="002333BC">
              <w:rPr>
                <w:rFonts w:eastAsiaTheme="minorEastAsia"/>
                <w:color w:val="000000"/>
              </w:rPr>
              <w:t xml:space="preserve">Earth-to-space and space-to-Earth directions </w:t>
            </w:r>
            <w:r w:rsidRPr="002333BC">
              <w:rPr>
                <w:rFonts w:eastAsiaTheme="minorEastAsia"/>
              </w:rPr>
              <w:t>and existing primary services in band and in adjacent frequency bands, while ensuring protection of systems using existing primary services in those</w:t>
            </w:r>
            <w:r w:rsidRPr="002333BC">
              <w:t xml:space="preserve"> frequency</w:t>
            </w:r>
            <w:r w:rsidRPr="002333BC">
              <w:rPr>
                <w:rFonts w:eastAsiaTheme="minorEastAsia"/>
              </w:rPr>
              <w:t xml:space="preserve"> bands </w:t>
            </w:r>
            <w:r w:rsidRPr="002333BC">
              <w:rPr>
                <w:rFonts w:eastAsiaTheme="minorEastAsia"/>
                <w:lang w:eastAsia="zh-CN"/>
              </w:rPr>
              <w:t>and not constraining planned usage of those systems;</w:t>
            </w:r>
          </w:p>
          <w:p w:rsidR="00D47F38" w:rsidRPr="002333BC" w:rsidRDefault="00D47F38" w:rsidP="00ED7B8A">
            <w:pPr>
              <w:pStyle w:val="Tabletext"/>
              <w:jc w:val="both"/>
              <w:rPr>
                <w:rFonts w:eastAsiaTheme="minorEastAsia"/>
              </w:rPr>
            </w:pPr>
            <w:r w:rsidRPr="002333BC">
              <w:rPr>
                <w:rFonts w:eastAsiaTheme="minorEastAsia"/>
              </w:rPr>
              <w:t>2</w:t>
            </w:r>
            <w:r w:rsidRPr="002333BC">
              <w:rPr>
                <w:rFonts w:eastAsiaTheme="minorEastAsia"/>
              </w:rPr>
              <w:tab/>
              <w:t>to take into account the results of the studies, to provide technical and regulatory recommendations relative to a possible new allocation to AMS(R)S within the frequency band 117.975</w:t>
            </w:r>
            <w:r w:rsidRPr="002333BC">
              <w:rPr>
                <w:rFonts w:eastAsiaTheme="minorEastAsia"/>
              </w:rPr>
              <w:noBreakHyphen/>
              <w:t xml:space="preserve">137 MHz, taking into consideration the responsibility of ICAO in </w:t>
            </w:r>
            <w:r w:rsidRPr="002333BC">
              <w:rPr>
                <w:rFonts w:eastAsiaTheme="minorEastAsia"/>
                <w:i/>
              </w:rPr>
              <w:t>noting b)</w:t>
            </w:r>
            <w:r w:rsidRPr="002333BC">
              <w:rPr>
                <w:rFonts w:eastAsiaTheme="minorEastAsia"/>
              </w:rPr>
              <w:t>,</w:t>
            </w:r>
          </w:p>
          <w:p w:rsidR="00D47F38" w:rsidRPr="002333BC" w:rsidRDefault="00D47F38" w:rsidP="00200ECB">
            <w:pPr>
              <w:pStyle w:val="StyleCall10pt"/>
              <w:rPr>
                <w:rFonts w:eastAsiaTheme="minorEastAsia"/>
              </w:rPr>
            </w:pPr>
            <w:r w:rsidRPr="002333BC">
              <w:rPr>
                <w:rFonts w:eastAsiaTheme="minorEastAsia"/>
              </w:rPr>
              <w:t>invites the 2023 World Radiocommunication Conference</w:t>
            </w:r>
          </w:p>
          <w:p w:rsidR="00D47F38" w:rsidRPr="002333BC" w:rsidRDefault="00D47F38" w:rsidP="00ED7B8A">
            <w:pPr>
              <w:pStyle w:val="Tabletext"/>
              <w:jc w:val="both"/>
              <w:rPr>
                <w:rFonts w:eastAsiaTheme="minorEastAsia"/>
              </w:rPr>
            </w:pPr>
            <w:r w:rsidRPr="002333BC">
              <w:rPr>
                <w:rFonts w:eastAsiaTheme="minorEastAsia"/>
              </w:rPr>
              <w:t>to consider the results of the studies and take appropriate actions, including possible primary allocation to AMS(R)S within the</w:t>
            </w:r>
            <w:r w:rsidRPr="002333BC">
              <w:t xml:space="preserve"> frequency</w:t>
            </w:r>
            <w:r w:rsidRPr="002333BC">
              <w:rPr>
                <w:rFonts w:eastAsiaTheme="minorEastAsia"/>
              </w:rPr>
              <w:t xml:space="preserve"> band 117.975-137 MHz,</w:t>
            </w:r>
          </w:p>
          <w:p w:rsidR="00D47F38" w:rsidRPr="002333BC" w:rsidRDefault="00D47F38" w:rsidP="006B6CF8">
            <w:pPr>
              <w:pStyle w:val="StyleCall10pt"/>
              <w:rPr>
                <w:rFonts w:eastAsiaTheme="minorEastAsia"/>
                <w:iCs w:val="0"/>
              </w:rPr>
            </w:pPr>
            <w:r w:rsidRPr="002333BC">
              <w:rPr>
                <w:rFonts w:eastAsiaTheme="minorEastAsia"/>
                <w:iCs w:val="0"/>
              </w:rPr>
              <w:br w:type="page"/>
            </w:r>
            <w:r w:rsidRPr="006B6CF8">
              <w:rPr>
                <w:rFonts w:eastAsiaTheme="minorEastAsia"/>
              </w:rPr>
              <w:t>invites</w:t>
            </w:r>
            <w:r w:rsidRPr="002333BC">
              <w:rPr>
                <w:rFonts w:eastAsiaTheme="minorEastAsia"/>
                <w:iCs w:val="0"/>
              </w:rPr>
              <w:t xml:space="preserve"> Member States and Sector Members</w:t>
            </w:r>
          </w:p>
          <w:p w:rsidR="00D47F38" w:rsidRPr="002333BC" w:rsidRDefault="00D47F38" w:rsidP="00ED7B8A">
            <w:pPr>
              <w:pStyle w:val="Tabletext"/>
              <w:jc w:val="both"/>
              <w:rPr>
                <w:rFonts w:eastAsiaTheme="minorEastAsia"/>
              </w:rPr>
            </w:pPr>
            <w:r w:rsidRPr="002333BC">
              <w:rPr>
                <w:rFonts w:eastAsiaTheme="minorEastAsia"/>
              </w:rPr>
              <w:t>to participate actively in the studies and to submit characteristics of any current and planned systems to be studied, as appropriate,</w:t>
            </w:r>
          </w:p>
          <w:p w:rsidR="00D47F38" w:rsidRPr="002333BC" w:rsidRDefault="00D47F38" w:rsidP="00200ECB">
            <w:pPr>
              <w:pStyle w:val="StyleCall10pt"/>
              <w:rPr>
                <w:rFonts w:eastAsiaTheme="minorEastAsia"/>
              </w:rPr>
            </w:pPr>
            <w:r w:rsidRPr="002333BC">
              <w:rPr>
                <w:rFonts w:eastAsiaTheme="minorEastAsia"/>
              </w:rPr>
              <w:t>invites the International Civil Aviation Organization</w:t>
            </w:r>
          </w:p>
          <w:p w:rsidR="00D47F38" w:rsidRPr="002333BC" w:rsidRDefault="00D47F38" w:rsidP="00ED7B8A">
            <w:pPr>
              <w:pStyle w:val="Tabletext"/>
              <w:jc w:val="both"/>
              <w:rPr>
                <w:rFonts w:eastAsiaTheme="minorEastAsia"/>
              </w:rPr>
            </w:pPr>
            <w:r w:rsidRPr="002333BC">
              <w:rPr>
                <w:rFonts w:eastAsiaTheme="minorEastAsia"/>
                <w:iCs/>
              </w:rPr>
              <w:t>to participate in the studies by providing aeronautical operational requirements and relevant available technical characteristics to be taken into account in ITU</w:t>
            </w:r>
            <w:r w:rsidRPr="002333BC">
              <w:rPr>
                <w:rFonts w:eastAsiaTheme="minorEastAsia"/>
                <w:iCs/>
              </w:rPr>
              <w:noBreakHyphen/>
              <w:t>R studies and to take into account the sharing and compatibility conclusions at ITU</w:t>
            </w:r>
            <w:r w:rsidRPr="002333BC">
              <w:rPr>
                <w:rFonts w:eastAsiaTheme="minorEastAsia"/>
                <w:iCs/>
              </w:rPr>
              <w:noBreakHyphen/>
              <w:t>R in the SARPs to be developed for AMS(R)S,</w:t>
            </w:r>
          </w:p>
          <w:p w:rsidR="00D47F38" w:rsidRPr="002333BC" w:rsidRDefault="00D47F38" w:rsidP="00200ECB">
            <w:pPr>
              <w:pStyle w:val="StyleCall10pt"/>
              <w:rPr>
                <w:rFonts w:eastAsiaTheme="minorEastAsia"/>
              </w:rPr>
            </w:pPr>
            <w:r w:rsidRPr="002333BC">
              <w:rPr>
                <w:rFonts w:eastAsiaTheme="minorEastAsia"/>
              </w:rPr>
              <w:t>instructs the Secretary-General</w:t>
            </w:r>
          </w:p>
          <w:p w:rsidR="00D47F38" w:rsidRPr="002333BC" w:rsidRDefault="00D47F38" w:rsidP="00ED7B8A">
            <w:pPr>
              <w:pStyle w:val="Tabletext"/>
            </w:pPr>
            <w:r w:rsidRPr="002333BC">
              <w:rPr>
                <w:rFonts w:eastAsiaTheme="minorEastAsia"/>
              </w:rPr>
              <w:t>to bring this Resolution to the attention of ICAO.</w:t>
            </w:r>
          </w:p>
        </w:tc>
        <w:tc>
          <w:tcPr>
            <w:tcW w:w="1560" w:type="dxa"/>
          </w:tcPr>
          <w:p w:rsidR="00D47F38" w:rsidRPr="002333BC" w:rsidRDefault="00D47F38" w:rsidP="00ED7B8A">
            <w:pPr>
              <w:pStyle w:val="Tabletext"/>
              <w:jc w:val="center"/>
            </w:pPr>
            <w:r w:rsidRPr="002333BC">
              <w:rPr>
                <w:b/>
                <w:bCs/>
              </w:rPr>
              <w:t xml:space="preserve">WP 3M, WP 4C, </w:t>
            </w:r>
            <w:r w:rsidRPr="002333BC">
              <w:rPr>
                <w:b/>
                <w:bCs/>
              </w:rPr>
              <w:br/>
              <w:t>WP 7B</w:t>
            </w:r>
          </w:p>
        </w:tc>
      </w:tr>
      <w:tr w:rsidR="00D47F38" w:rsidRPr="002333BC" w:rsidTr="00373E4E">
        <w:trPr>
          <w:cantSplit/>
          <w:jc w:val="center"/>
        </w:trPr>
        <w:tc>
          <w:tcPr>
            <w:tcW w:w="14175" w:type="dxa"/>
            <w:gridSpan w:val="4"/>
          </w:tcPr>
          <w:p w:rsidR="00D47F38" w:rsidRPr="002333BC" w:rsidRDefault="00D47F38" w:rsidP="00F071C2">
            <w:pPr>
              <w:pStyle w:val="Tabletext"/>
              <w:keepNext/>
              <w:keepLines/>
              <w:jc w:val="both"/>
            </w:pPr>
            <w:r w:rsidRPr="002333BC">
              <w:rPr>
                <w:bCs/>
              </w:rPr>
              <w:t>1.8</w:t>
            </w:r>
            <w:r w:rsidRPr="002333BC">
              <w:rPr>
                <w:bCs/>
              </w:rPr>
              <w:tab/>
            </w:r>
            <w:r w:rsidR="006B6CF8">
              <w:rPr>
                <w:bCs/>
              </w:rPr>
              <w:tab/>
            </w:r>
            <w:r w:rsidRPr="002333BC">
              <w:t>to consider, on the basis of ITU</w:t>
            </w:r>
            <w:r w:rsidRPr="002333BC">
              <w:noBreakHyphen/>
              <w:t xml:space="preserve">R studies in accordance with Resolution </w:t>
            </w:r>
            <w:r w:rsidRPr="002333BC">
              <w:rPr>
                <w:b/>
                <w:bCs/>
              </w:rPr>
              <w:t>171</w:t>
            </w:r>
            <w:r w:rsidRPr="002333BC">
              <w:t xml:space="preserve"> </w:t>
            </w:r>
            <w:r w:rsidRPr="002333BC">
              <w:rPr>
                <w:b/>
              </w:rPr>
              <w:t>(WRC</w:t>
            </w:r>
            <w:r w:rsidRPr="002333BC">
              <w:rPr>
                <w:b/>
              </w:rPr>
              <w:noBreakHyphen/>
              <w:t>19)</w:t>
            </w:r>
            <w:r w:rsidRPr="002333BC">
              <w:t xml:space="preserve">, appropriate regulatory actions, with a view to reviewing and, if necessary, revising Resolution </w:t>
            </w:r>
            <w:r w:rsidRPr="002333BC">
              <w:rPr>
                <w:b/>
              </w:rPr>
              <w:t>155 (</w:t>
            </w:r>
            <w:r w:rsidRPr="002333BC">
              <w:rPr>
                <w:b/>
                <w:bCs/>
              </w:rPr>
              <w:t>Rev.</w:t>
            </w:r>
            <w:r w:rsidRPr="002333BC">
              <w:rPr>
                <w:b/>
              </w:rPr>
              <w:t>WRC</w:t>
            </w:r>
            <w:r w:rsidRPr="002333BC">
              <w:rPr>
                <w:b/>
              </w:rPr>
              <w:noBreakHyphen/>
              <w:t>19)</w:t>
            </w:r>
            <w:r w:rsidRPr="002333BC">
              <w:t xml:space="preserve"> and No. </w:t>
            </w:r>
            <w:r w:rsidRPr="002333BC">
              <w:rPr>
                <w:b/>
              </w:rPr>
              <w:t>5.484B</w:t>
            </w:r>
            <w:r w:rsidRPr="002333BC">
              <w:t xml:space="preserve"> to accommodate the use of fixed-satellite service (FSS) networks by control and non-payload communications of unmanned aircraft systems;</w:t>
            </w:r>
          </w:p>
        </w:tc>
      </w:tr>
      <w:tr w:rsidR="00D47F38" w:rsidRPr="002333BC" w:rsidTr="005B6143">
        <w:trPr>
          <w:cantSplit/>
          <w:jc w:val="center"/>
        </w:trPr>
        <w:tc>
          <w:tcPr>
            <w:tcW w:w="3400" w:type="dxa"/>
          </w:tcPr>
          <w:p w:rsidR="00D47F38" w:rsidRPr="002333BC" w:rsidRDefault="00D47F38" w:rsidP="00ED7B8A">
            <w:pPr>
              <w:pStyle w:val="Tabletext"/>
              <w:rPr>
                <w:b/>
              </w:rPr>
            </w:pPr>
            <w:r w:rsidRPr="002333BC">
              <w:t>Resolution</w:t>
            </w:r>
            <w:r w:rsidRPr="002333BC">
              <w:rPr>
                <w:b/>
              </w:rPr>
              <w:t> 171 (WRC</w:t>
            </w:r>
            <w:r w:rsidRPr="002333BC">
              <w:rPr>
                <w:b/>
              </w:rPr>
              <w:noBreakHyphen/>
              <w:t>19)</w:t>
            </w:r>
          </w:p>
          <w:p w:rsidR="00D47F38" w:rsidRPr="002333BC" w:rsidRDefault="00D47F38" w:rsidP="00ED7B8A">
            <w:pPr>
              <w:pStyle w:val="Tabletext"/>
            </w:pPr>
            <w:r w:rsidRPr="002333BC">
              <w:t>Review and possible revision of Resolution 155 (Rev.WRC</w:t>
            </w:r>
            <w:r w:rsidRPr="002333BC">
              <w:noBreakHyphen/>
              <w:t>19) and No. 5.484B in the frequency bands to which they apply</w:t>
            </w:r>
          </w:p>
        </w:tc>
        <w:tc>
          <w:tcPr>
            <w:tcW w:w="1562" w:type="dxa"/>
          </w:tcPr>
          <w:p w:rsidR="00D47F38" w:rsidRPr="002333BC" w:rsidRDefault="00D47F38" w:rsidP="00ED7B8A">
            <w:pPr>
              <w:pStyle w:val="Tabletext"/>
              <w:jc w:val="center"/>
              <w:rPr>
                <w:b/>
                <w:bCs/>
              </w:rPr>
            </w:pPr>
            <w:r w:rsidRPr="002333BC">
              <w:rPr>
                <w:b/>
                <w:bCs/>
              </w:rPr>
              <w:t>WP 5B</w:t>
            </w:r>
          </w:p>
          <w:p w:rsidR="00D47F38" w:rsidRPr="002333BC" w:rsidRDefault="00D47F38" w:rsidP="00ED7B8A">
            <w:pPr>
              <w:pStyle w:val="Tabletext"/>
              <w:jc w:val="center"/>
            </w:pPr>
            <w:r w:rsidRPr="002333BC">
              <w:rPr>
                <w:u w:val="single"/>
              </w:rPr>
              <w:t>Note</w:t>
            </w:r>
            <w:r w:rsidRPr="002333BC">
              <w:t>: See relevant text in CPM23-1 meeting report (Annex 4 to this Administrative Circular) on how to facilitate the work related to satellite.</w:t>
            </w:r>
          </w:p>
        </w:tc>
        <w:tc>
          <w:tcPr>
            <w:tcW w:w="7653" w:type="dxa"/>
          </w:tcPr>
          <w:p w:rsidR="00D47F38" w:rsidRPr="002333BC" w:rsidRDefault="00D47F38" w:rsidP="00200ECB">
            <w:pPr>
              <w:pStyle w:val="StyleCall10pt"/>
            </w:pPr>
            <w:r w:rsidRPr="002333BC">
              <w:t>resolves to invite ITU-R</w:t>
            </w:r>
          </w:p>
          <w:p w:rsidR="00D47F38" w:rsidRPr="002333BC" w:rsidRDefault="00D47F38" w:rsidP="00ED7B8A">
            <w:pPr>
              <w:pStyle w:val="Tabletext"/>
              <w:jc w:val="both"/>
            </w:pPr>
            <w:r w:rsidRPr="002333BC">
              <w:t>1</w:t>
            </w:r>
            <w:r w:rsidRPr="002333BC">
              <w:tab/>
              <w:t>to continue and complete in time for WRC</w:t>
            </w:r>
            <w:r w:rsidRPr="002333BC">
              <w:noBreakHyphen/>
              <w:t xml:space="preserve">23 relevant studies of the technical, operational and regulatory aspects, based on the frequency bands mentioned in </w:t>
            </w:r>
            <w:r w:rsidRPr="002333BC">
              <w:rPr>
                <w:i/>
                <w:iCs/>
              </w:rPr>
              <w:t>resolves</w:t>
            </w:r>
            <w:r w:rsidRPr="002333BC">
              <w:t xml:space="preserve"> 1 of Resolution </w:t>
            </w:r>
            <w:r w:rsidRPr="002333BC">
              <w:rPr>
                <w:b/>
                <w:bCs/>
              </w:rPr>
              <w:t>155 (Rev.WRC</w:t>
            </w:r>
            <w:r w:rsidRPr="002333BC">
              <w:rPr>
                <w:b/>
                <w:bCs/>
              </w:rPr>
              <w:noBreakHyphen/>
              <w:t>19)</w:t>
            </w:r>
            <w:r w:rsidRPr="002333BC">
              <w:t xml:space="preserve">, in relation to the implementation of Resolution </w:t>
            </w:r>
            <w:r w:rsidRPr="002333BC">
              <w:rPr>
                <w:b/>
              </w:rPr>
              <w:t>155 (Rev.WRC</w:t>
            </w:r>
            <w:r w:rsidRPr="002333BC">
              <w:rPr>
                <w:b/>
              </w:rPr>
              <w:noBreakHyphen/>
              <w:t>19)</w:t>
            </w:r>
            <w:r w:rsidRPr="002333BC">
              <w:rPr>
                <w:bCs/>
              </w:rPr>
              <w:t>,</w:t>
            </w:r>
            <w:r w:rsidRPr="002333BC">
              <w:rPr>
                <w:b/>
              </w:rPr>
              <w:t xml:space="preserve"> </w:t>
            </w:r>
            <w:r w:rsidRPr="002333BC">
              <w:t>taking into account the progress obtained by ICAO in the completion of SARPs on the use of FSS for the UAS CNPC links;</w:t>
            </w:r>
          </w:p>
          <w:p w:rsidR="00D47F38" w:rsidRPr="002333BC" w:rsidRDefault="00D47F38" w:rsidP="00ED7B8A">
            <w:pPr>
              <w:pStyle w:val="Tabletext"/>
              <w:jc w:val="both"/>
            </w:pPr>
            <w:r w:rsidRPr="002333BC">
              <w:t>2</w:t>
            </w:r>
            <w:r w:rsidRPr="002333BC">
              <w:tab/>
              <w:t>to review No. </w:t>
            </w:r>
            <w:r w:rsidRPr="002333BC">
              <w:rPr>
                <w:b/>
              </w:rPr>
              <w:t>5.484B</w:t>
            </w:r>
            <w:r w:rsidRPr="002333BC">
              <w:t xml:space="preserve"> and Resolution </w:t>
            </w:r>
            <w:r w:rsidRPr="002333BC">
              <w:rPr>
                <w:b/>
              </w:rPr>
              <w:t>155 (Rev.WRC</w:t>
            </w:r>
            <w:r w:rsidRPr="002333BC">
              <w:rPr>
                <w:b/>
              </w:rPr>
              <w:noBreakHyphen/>
              <w:t>19)</w:t>
            </w:r>
            <w:r w:rsidRPr="002333BC">
              <w:t xml:space="preserve"> taking into account the results of the above studies,</w:t>
            </w:r>
          </w:p>
          <w:p w:rsidR="00D47F38" w:rsidRPr="002333BC" w:rsidRDefault="00D47F38" w:rsidP="00200ECB">
            <w:pPr>
              <w:pStyle w:val="StyleCall10pt"/>
            </w:pPr>
            <w:r w:rsidRPr="002333BC">
              <w:t>resolves to invite WRC</w:t>
            </w:r>
            <w:r w:rsidRPr="002333BC">
              <w:noBreakHyphen/>
              <w:t>23</w:t>
            </w:r>
          </w:p>
          <w:p w:rsidR="00D47F38" w:rsidRPr="002333BC" w:rsidRDefault="00D47F38" w:rsidP="00ED7B8A">
            <w:pPr>
              <w:pStyle w:val="Tabletext"/>
              <w:jc w:val="both"/>
            </w:pPr>
            <w:r w:rsidRPr="002333BC">
              <w:t>to revise, if necessary, No. </w:t>
            </w:r>
            <w:r w:rsidRPr="002333BC">
              <w:rPr>
                <w:b/>
              </w:rPr>
              <w:t>5.484B</w:t>
            </w:r>
            <w:r w:rsidRPr="002333BC">
              <w:t xml:space="preserve"> and Resolution </w:t>
            </w:r>
            <w:r w:rsidRPr="002333BC">
              <w:rPr>
                <w:b/>
              </w:rPr>
              <w:t>155 (Rev.WRC</w:t>
            </w:r>
            <w:r w:rsidRPr="002333BC">
              <w:rPr>
                <w:b/>
              </w:rPr>
              <w:noBreakHyphen/>
              <w:t>19)</w:t>
            </w:r>
            <w:r w:rsidRPr="002333BC">
              <w:t xml:space="preserve"> and take other necessary actions, as appropriate, on the basis of the studies conducted under Resolution </w:t>
            </w:r>
            <w:r w:rsidRPr="002333BC">
              <w:rPr>
                <w:b/>
              </w:rPr>
              <w:t>155 (Rev.WRC</w:t>
            </w:r>
            <w:r w:rsidRPr="002333BC">
              <w:rPr>
                <w:b/>
              </w:rPr>
              <w:noBreakHyphen/>
              <w:t>19)</w:t>
            </w:r>
            <w:r w:rsidRPr="002333BC">
              <w:t xml:space="preserve"> and </w:t>
            </w:r>
            <w:r w:rsidRPr="002333BC">
              <w:rPr>
                <w:i/>
              </w:rPr>
              <w:t>resolves to invite ITU</w:t>
            </w:r>
            <w:r w:rsidRPr="002333BC">
              <w:rPr>
                <w:i/>
              </w:rPr>
              <w:noBreakHyphen/>
              <w:t xml:space="preserve">R </w:t>
            </w:r>
            <w:r w:rsidRPr="002333BC">
              <w:t>above,</w:t>
            </w:r>
          </w:p>
          <w:p w:rsidR="00D47F38" w:rsidRPr="002333BC" w:rsidRDefault="00D47F38" w:rsidP="00200ECB">
            <w:pPr>
              <w:pStyle w:val="StyleCall10pt"/>
            </w:pPr>
            <w:r w:rsidRPr="002333BC">
              <w:t>instructs the Secretary-General</w:t>
            </w:r>
          </w:p>
          <w:p w:rsidR="00D47F38" w:rsidRPr="002333BC" w:rsidRDefault="00D47F38" w:rsidP="00ED7B8A">
            <w:pPr>
              <w:pStyle w:val="Tabletext"/>
              <w:jc w:val="both"/>
            </w:pPr>
            <w:r w:rsidRPr="002333BC">
              <w:rPr>
                <w:lang w:eastAsia="fr-FR"/>
              </w:rPr>
              <w:t>to bring this Resolution to the attention of the Secretary-General of ICAO.</w:t>
            </w:r>
          </w:p>
        </w:tc>
        <w:tc>
          <w:tcPr>
            <w:tcW w:w="1560" w:type="dxa"/>
          </w:tcPr>
          <w:p w:rsidR="00D47F38" w:rsidRPr="002333BC" w:rsidRDefault="00D47F38" w:rsidP="00ED7B8A">
            <w:pPr>
              <w:pStyle w:val="Tabletext"/>
              <w:jc w:val="center"/>
            </w:pPr>
            <w:r w:rsidRPr="002333BC">
              <w:rPr>
                <w:b/>
                <w:bCs/>
              </w:rPr>
              <w:t xml:space="preserve">WP 4A, </w:t>
            </w:r>
            <w:r w:rsidRPr="002333BC">
              <w:rPr>
                <w:b/>
                <w:bCs/>
              </w:rPr>
              <w:br/>
              <w:t>WP 4B</w:t>
            </w:r>
          </w:p>
        </w:tc>
      </w:tr>
      <w:tr w:rsidR="00D47F38" w:rsidRPr="002333BC" w:rsidTr="00373E4E">
        <w:trPr>
          <w:cantSplit/>
          <w:jc w:val="center"/>
        </w:trPr>
        <w:tc>
          <w:tcPr>
            <w:tcW w:w="14175" w:type="dxa"/>
            <w:gridSpan w:val="4"/>
          </w:tcPr>
          <w:p w:rsidR="00D47F38" w:rsidRPr="002333BC" w:rsidRDefault="00D47F38" w:rsidP="00ED7B8A">
            <w:pPr>
              <w:pStyle w:val="Tabletext"/>
              <w:jc w:val="both"/>
            </w:pPr>
            <w:r w:rsidRPr="002333BC">
              <w:t>1.9</w:t>
            </w:r>
            <w:r w:rsidRPr="002333BC">
              <w:tab/>
            </w:r>
            <w:r w:rsidR="006B6CF8">
              <w:tab/>
            </w:r>
            <w:r w:rsidRPr="002333BC">
              <w:t>to review Appendix </w:t>
            </w:r>
            <w:r w:rsidRPr="002333BC">
              <w:rPr>
                <w:b/>
              </w:rPr>
              <w:t>27</w:t>
            </w:r>
            <w:r w:rsidRPr="002333BC">
              <w:t xml:space="preserve"> of the Radio Regulations and consider appropriate regulatory actions and updates based on ITU</w:t>
            </w:r>
            <w:r w:rsidRPr="002333BC">
              <w:noBreakHyphen/>
              <w:t xml:space="preserve">R studies, in order to </w:t>
            </w:r>
            <w:r w:rsidRPr="002333BC">
              <w:rPr>
                <w:bCs/>
              </w:rPr>
              <w:t>accommodate</w:t>
            </w:r>
            <w:r w:rsidRPr="002333BC">
              <w:t xml:space="preserve"> </w:t>
            </w:r>
            <w:r w:rsidRPr="002333BC">
              <w:rPr>
                <w:bCs/>
              </w:rPr>
              <w:t>digital technologies</w:t>
            </w:r>
            <w:r w:rsidRPr="002333BC" w:rsidDel="00AA4CCE">
              <w:t xml:space="preserve"> </w:t>
            </w:r>
            <w:r w:rsidRPr="002333BC">
              <w:t>for commercial aviation safety-of-life applications in existing HF bands allocated to the aeronautical mobile (route) service and ensure coexistence of current HF systems alongside modernized HF systems</w:t>
            </w:r>
            <w:r w:rsidRPr="002333BC">
              <w:rPr>
                <w:lang w:eastAsia="zh-CN"/>
              </w:rPr>
              <w:t>,</w:t>
            </w:r>
            <w:r w:rsidRPr="002333BC">
              <w:t xml:space="preserve"> in accordance with Resolution </w:t>
            </w:r>
            <w:r w:rsidRPr="002333BC">
              <w:rPr>
                <w:b/>
                <w:bCs/>
              </w:rPr>
              <w:t>429</w:t>
            </w:r>
            <w:r w:rsidRPr="002333BC">
              <w:t xml:space="preserve"> </w:t>
            </w:r>
            <w:r w:rsidRPr="002333BC">
              <w:rPr>
                <w:b/>
                <w:lang w:eastAsia="zh-CN"/>
              </w:rPr>
              <w:t>(WRC</w:t>
            </w:r>
            <w:r w:rsidRPr="002333BC">
              <w:rPr>
                <w:b/>
                <w:lang w:eastAsia="zh-CN"/>
              </w:rPr>
              <w:noBreakHyphen/>
              <w:t>19)</w:t>
            </w:r>
            <w:r w:rsidRPr="002333BC">
              <w:rPr>
                <w:bCs/>
                <w:lang w:eastAsia="zh-CN"/>
              </w:rPr>
              <w:t>;</w:t>
            </w:r>
          </w:p>
        </w:tc>
      </w:tr>
      <w:tr w:rsidR="00D47F38" w:rsidRPr="002333BC" w:rsidTr="005B6143">
        <w:trPr>
          <w:jc w:val="center"/>
        </w:trPr>
        <w:tc>
          <w:tcPr>
            <w:tcW w:w="3400" w:type="dxa"/>
          </w:tcPr>
          <w:p w:rsidR="00D47F38" w:rsidRPr="002333BC" w:rsidRDefault="00D47F38" w:rsidP="00ED7B8A">
            <w:pPr>
              <w:pStyle w:val="Tabletext"/>
              <w:rPr>
                <w:b/>
              </w:rPr>
            </w:pPr>
            <w:r w:rsidRPr="002333BC">
              <w:t>Resolution</w:t>
            </w:r>
            <w:r w:rsidRPr="002333BC">
              <w:rPr>
                <w:b/>
              </w:rPr>
              <w:t> 429 (WRC</w:t>
            </w:r>
            <w:r w:rsidRPr="002333BC">
              <w:rPr>
                <w:b/>
              </w:rPr>
              <w:noBreakHyphen/>
              <w:t>19)</w:t>
            </w:r>
          </w:p>
          <w:p w:rsidR="00D47F38" w:rsidRPr="002333BC" w:rsidRDefault="00D47F38" w:rsidP="00ED7B8A">
            <w:pPr>
              <w:pStyle w:val="Tabletext"/>
            </w:pPr>
            <w:r w:rsidRPr="002333BC">
              <w:t>Consideration of regulatory provisions for updating Appendix 27 of the Radio Regulations in support of aeronautical HF modernization</w:t>
            </w:r>
          </w:p>
        </w:tc>
        <w:tc>
          <w:tcPr>
            <w:tcW w:w="1562" w:type="dxa"/>
          </w:tcPr>
          <w:p w:rsidR="00D47F38" w:rsidRPr="002333BC" w:rsidRDefault="00D47F38" w:rsidP="00ED7B8A">
            <w:pPr>
              <w:pStyle w:val="Tabletext"/>
              <w:jc w:val="center"/>
            </w:pPr>
            <w:r w:rsidRPr="002333BC">
              <w:rPr>
                <w:b/>
                <w:bCs/>
              </w:rPr>
              <w:t>WP 5B</w:t>
            </w:r>
          </w:p>
        </w:tc>
        <w:tc>
          <w:tcPr>
            <w:tcW w:w="7653" w:type="dxa"/>
          </w:tcPr>
          <w:p w:rsidR="00D47F38" w:rsidRPr="002333BC" w:rsidRDefault="00D47F38" w:rsidP="00200ECB">
            <w:pPr>
              <w:pStyle w:val="StyleCall10pt"/>
            </w:pPr>
            <w:r w:rsidRPr="002333BC">
              <w:t>resolves to invite ITU-R</w:t>
            </w:r>
          </w:p>
          <w:p w:rsidR="00D47F38" w:rsidRPr="002333BC" w:rsidRDefault="00D47F38" w:rsidP="00ED7B8A">
            <w:pPr>
              <w:pStyle w:val="Tabletext"/>
              <w:jc w:val="both"/>
            </w:pPr>
            <w:r w:rsidRPr="002333BC">
              <w:t>1</w:t>
            </w:r>
            <w:r w:rsidRPr="002333BC">
              <w:tab/>
              <w:t>to identify any necessary modifications to Appendix </w:t>
            </w:r>
            <w:r w:rsidRPr="002333BC">
              <w:rPr>
                <w:b/>
              </w:rPr>
              <w:t>27</w:t>
            </w:r>
            <w:r w:rsidRPr="002333BC">
              <w:t xml:space="preserve"> </w:t>
            </w:r>
            <w:r w:rsidRPr="002333BC">
              <w:rPr>
                <w:color w:val="323130"/>
                <w:shd w:val="clear" w:color="auto" w:fill="FFFFFF"/>
              </w:rPr>
              <w:t>for the aeronautical mobile (route) service</w:t>
            </w:r>
            <w:r w:rsidRPr="002333BC">
              <w:t xml:space="preserve"> between 2 850 and 22 000 kHz noting </w:t>
            </w:r>
            <w:r w:rsidRPr="002333BC">
              <w:rPr>
                <w:i/>
                <w:iCs/>
              </w:rPr>
              <w:t>recognizing</w:t>
            </w:r>
            <w:r w:rsidRPr="002333BC">
              <w:t> </w:t>
            </w:r>
            <w:r w:rsidRPr="002333BC">
              <w:rPr>
                <w:i/>
                <w:iCs/>
              </w:rPr>
              <w:t>c)</w:t>
            </w:r>
            <w:r w:rsidRPr="002333BC">
              <w:t>;</w:t>
            </w:r>
          </w:p>
          <w:p w:rsidR="00D47F38" w:rsidRPr="002333BC" w:rsidRDefault="00D47F38" w:rsidP="00ED7B8A">
            <w:pPr>
              <w:pStyle w:val="Tabletext"/>
              <w:jc w:val="both"/>
            </w:pPr>
            <w:r w:rsidRPr="002333BC">
              <w:t>2</w:t>
            </w:r>
            <w:r w:rsidRPr="002333BC">
              <w:tab/>
              <w:t>to identify any necessary transition arrangements for the introduction of new digital aeronautical wideband HF systems and any consequential changes to Appendix </w:t>
            </w:r>
            <w:r w:rsidRPr="002333BC">
              <w:rPr>
                <w:b/>
              </w:rPr>
              <w:t>27</w:t>
            </w:r>
            <w:r w:rsidRPr="002333BC">
              <w:t>;</w:t>
            </w:r>
          </w:p>
          <w:p w:rsidR="00D47F38" w:rsidRPr="002333BC" w:rsidRDefault="00D47F38" w:rsidP="00ED7B8A">
            <w:pPr>
              <w:pStyle w:val="Tabletext"/>
              <w:jc w:val="both"/>
            </w:pPr>
            <w:r w:rsidRPr="002333BC">
              <w:t>3</w:t>
            </w:r>
            <w:r w:rsidRPr="002333BC">
              <w:tab/>
              <w:t xml:space="preserve">to recommend how new digital aeronautical wideband HF systems can be introduced while ensuring compliance with safety requirements and </w:t>
            </w:r>
            <w:r w:rsidRPr="002333BC">
              <w:rPr>
                <w:i/>
              </w:rPr>
              <w:t>recognizing e)</w:t>
            </w:r>
            <w:r w:rsidRPr="002333BC">
              <w:t>;</w:t>
            </w:r>
          </w:p>
          <w:p w:rsidR="00D47F38" w:rsidRPr="002333BC" w:rsidRDefault="00D47F38" w:rsidP="00ED7B8A">
            <w:pPr>
              <w:pStyle w:val="Tabletext"/>
              <w:jc w:val="both"/>
              <w:rPr>
                <w:i/>
              </w:rPr>
            </w:pPr>
            <w:r w:rsidRPr="002333BC">
              <w:t>4</w:t>
            </w:r>
            <w:r w:rsidRPr="002333BC">
              <w:tab/>
              <w:t xml:space="preserve">to define the relevant technical characteristics and to conduct any necessary sharing and compatibility studies, taking account </w:t>
            </w:r>
            <w:r w:rsidRPr="002333BC">
              <w:rPr>
                <w:i/>
              </w:rPr>
              <w:t>noting e),</w:t>
            </w:r>
            <w:r w:rsidRPr="002333BC">
              <w:t xml:space="preserve"> with incumbent services that are allocated on a primary basis in the same or adjacent frequency bands to avoid harmful interference in accordance with </w:t>
            </w:r>
            <w:r w:rsidRPr="002333BC">
              <w:rPr>
                <w:i/>
              </w:rPr>
              <w:t>recognizing e)</w:t>
            </w:r>
            <w:r w:rsidRPr="002333BC">
              <w:t>;</w:t>
            </w:r>
          </w:p>
          <w:p w:rsidR="00D47F38" w:rsidRPr="002333BC" w:rsidRDefault="00D47F38" w:rsidP="00ED7B8A">
            <w:pPr>
              <w:pStyle w:val="Tabletext"/>
              <w:jc w:val="both"/>
            </w:pPr>
            <w:r w:rsidRPr="002333BC">
              <w:br w:type="page"/>
              <w:t>5</w:t>
            </w:r>
            <w:r w:rsidRPr="002333BC">
              <w:tab/>
              <w:t>to complete studies in time for WRC</w:t>
            </w:r>
            <w:r w:rsidRPr="002333BC">
              <w:noBreakHyphen/>
              <w:t>23,</w:t>
            </w:r>
          </w:p>
          <w:p w:rsidR="00D47F38" w:rsidRPr="002333BC" w:rsidRDefault="00D47F38" w:rsidP="00200ECB">
            <w:pPr>
              <w:pStyle w:val="StyleCall10pt"/>
            </w:pPr>
            <w:r w:rsidRPr="002333BC">
              <w:t>resolves to invite WRC-23</w:t>
            </w:r>
            <w:bookmarkStart w:id="5" w:name="_Hlk11749303"/>
          </w:p>
          <w:p w:rsidR="00D47F38" w:rsidRPr="002333BC" w:rsidRDefault="00D47F38" w:rsidP="00ED7B8A">
            <w:pPr>
              <w:pStyle w:val="Tabletext"/>
              <w:jc w:val="both"/>
            </w:pPr>
            <w:r w:rsidRPr="002333BC">
              <w:t>to consider necessary changes to Appendix </w:t>
            </w:r>
            <w:r w:rsidRPr="002333BC">
              <w:rPr>
                <w:b/>
              </w:rPr>
              <w:t>27</w:t>
            </w:r>
            <w:r w:rsidRPr="002333BC">
              <w:t xml:space="preserve">, on the basis of the studies conducted under </w:t>
            </w:r>
            <w:r w:rsidRPr="002333BC">
              <w:rPr>
                <w:i/>
              </w:rPr>
              <w:t>resolves to invite ITU</w:t>
            </w:r>
            <w:r w:rsidRPr="002333BC">
              <w:rPr>
                <w:i/>
              </w:rPr>
              <w:noBreakHyphen/>
              <w:t>R</w:t>
            </w:r>
            <w:r w:rsidRPr="002333BC">
              <w:t xml:space="preserve"> above</w:t>
            </w:r>
            <w:bookmarkEnd w:id="5"/>
            <w:r w:rsidRPr="002333BC">
              <w:t>,</w:t>
            </w:r>
          </w:p>
          <w:p w:rsidR="00D47F38" w:rsidRPr="002333BC" w:rsidRDefault="00D47F38" w:rsidP="00200ECB">
            <w:pPr>
              <w:pStyle w:val="StyleCall10pt"/>
            </w:pPr>
            <w:r w:rsidRPr="002333BC">
              <w:t>instructs the Secretary-General</w:t>
            </w:r>
          </w:p>
          <w:p w:rsidR="00D47F38" w:rsidRPr="002333BC" w:rsidRDefault="00D47F38" w:rsidP="00ED7B8A">
            <w:pPr>
              <w:pStyle w:val="Tabletext"/>
              <w:jc w:val="both"/>
            </w:pPr>
            <w:r w:rsidRPr="002333BC">
              <w:t>to bring this Resolution to the attention of the International Civil Aviation Organization,</w:t>
            </w:r>
          </w:p>
          <w:p w:rsidR="00D47F38" w:rsidRPr="002333BC" w:rsidRDefault="00D47F38" w:rsidP="00200ECB">
            <w:pPr>
              <w:pStyle w:val="StyleCall10pt"/>
            </w:pPr>
            <w:r w:rsidRPr="002333BC">
              <w:t xml:space="preserve">invites the International Civil Aviation Organization </w:t>
            </w:r>
          </w:p>
          <w:p w:rsidR="00D47F38" w:rsidRPr="002333BC" w:rsidRDefault="00D47F38" w:rsidP="00ED7B8A">
            <w:pPr>
              <w:pStyle w:val="Tabletext"/>
              <w:jc w:val="both"/>
            </w:pPr>
            <w:r w:rsidRPr="002333BC">
              <w:t xml:space="preserve">to participate actively by providing aeronautical operational requirements and relevant </w:t>
            </w:r>
            <w:r w:rsidRPr="002333BC">
              <w:rPr>
                <w:iCs/>
              </w:rPr>
              <w:t>available technical characteristics</w:t>
            </w:r>
            <w:r w:rsidRPr="002333BC">
              <w:t xml:space="preserve"> to be taken into account in ITU</w:t>
            </w:r>
            <w:r w:rsidRPr="002333BC">
              <w:noBreakHyphen/>
              <w:t>R studies.</w:t>
            </w:r>
          </w:p>
        </w:tc>
        <w:tc>
          <w:tcPr>
            <w:tcW w:w="1560" w:type="dxa"/>
          </w:tcPr>
          <w:p w:rsidR="00D47F38" w:rsidRPr="002333BC" w:rsidRDefault="00D47F38" w:rsidP="00ED7B8A">
            <w:pPr>
              <w:pStyle w:val="Tabletext"/>
              <w:jc w:val="center"/>
            </w:pPr>
            <w:r w:rsidRPr="002333BC">
              <w:rPr>
                <w:b/>
                <w:bCs/>
              </w:rPr>
              <w:t>WP 3L, WP 3M, WP 6A</w:t>
            </w:r>
          </w:p>
        </w:tc>
      </w:tr>
      <w:tr w:rsidR="00D47F38" w:rsidRPr="002333BC" w:rsidTr="00373E4E">
        <w:trPr>
          <w:cantSplit/>
          <w:jc w:val="center"/>
        </w:trPr>
        <w:tc>
          <w:tcPr>
            <w:tcW w:w="14175" w:type="dxa"/>
            <w:gridSpan w:val="4"/>
          </w:tcPr>
          <w:p w:rsidR="00D47F38" w:rsidRPr="002333BC" w:rsidRDefault="00D47F38" w:rsidP="00ED7B8A">
            <w:pPr>
              <w:pStyle w:val="Tabletext"/>
              <w:jc w:val="both"/>
            </w:pPr>
            <w:r w:rsidRPr="002333BC">
              <w:t>1.10</w:t>
            </w:r>
            <w:r w:rsidRPr="002333BC">
              <w:tab/>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2333BC">
              <w:rPr>
                <w:b/>
                <w:bCs/>
              </w:rPr>
              <w:t>430</w:t>
            </w:r>
            <w:r w:rsidRPr="002333BC">
              <w:t xml:space="preserve"> </w:t>
            </w:r>
            <w:r w:rsidRPr="002333BC">
              <w:rPr>
                <w:b/>
              </w:rPr>
              <w:t>(WRC</w:t>
            </w:r>
            <w:r w:rsidRPr="002333BC">
              <w:rPr>
                <w:b/>
              </w:rPr>
              <w:noBreakHyphen/>
              <w:t>19)</w:t>
            </w:r>
            <w:r w:rsidRPr="002333BC">
              <w:rPr>
                <w:bCs/>
              </w:rPr>
              <w:t>;</w:t>
            </w:r>
          </w:p>
        </w:tc>
      </w:tr>
      <w:tr w:rsidR="00D47F38" w:rsidRPr="002333BC" w:rsidTr="005B6143">
        <w:trPr>
          <w:cantSplit/>
          <w:jc w:val="center"/>
        </w:trPr>
        <w:tc>
          <w:tcPr>
            <w:tcW w:w="3400" w:type="dxa"/>
          </w:tcPr>
          <w:p w:rsidR="00D47F38" w:rsidRPr="002333BC" w:rsidRDefault="00D47F38" w:rsidP="00ED7B8A">
            <w:pPr>
              <w:pStyle w:val="Tabletext"/>
              <w:rPr>
                <w:b/>
              </w:rPr>
            </w:pPr>
            <w:r w:rsidRPr="002333BC">
              <w:t>Resolution</w:t>
            </w:r>
            <w:r w:rsidRPr="002333BC">
              <w:rPr>
                <w:b/>
              </w:rPr>
              <w:t> 430 (WRC</w:t>
            </w:r>
            <w:r w:rsidRPr="002333BC">
              <w:rPr>
                <w:b/>
              </w:rPr>
              <w:noBreakHyphen/>
              <w:t>19)</w:t>
            </w:r>
          </w:p>
          <w:p w:rsidR="00D47F38" w:rsidRPr="002333BC" w:rsidRDefault="00D47F38" w:rsidP="00ED7B8A">
            <w:pPr>
              <w:pStyle w:val="Tabletext"/>
            </w:pPr>
            <w:r w:rsidRPr="002333BC">
              <w:t>Studies on frequency-related matters, including possible additional allocations, for the possible introduction of new non-safety aeronautical mobile applications</w:t>
            </w:r>
          </w:p>
        </w:tc>
        <w:tc>
          <w:tcPr>
            <w:tcW w:w="1562" w:type="dxa"/>
          </w:tcPr>
          <w:p w:rsidR="00D47F38" w:rsidRPr="002333BC" w:rsidRDefault="00D47F38" w:rsidP="00ED7B8A">
            <w:pPr>
              <w:pStyle w:val="Tabletext"/>
              <w:jc w:val="center"/>
            </w:pPr>
            <w:r w:rsidRPr="002333BC">
              <w:rPr>
                <w:b/>
                <w:bCs/>
              </w:rPr>
              <w:t>WP 5B</w:t>
            </w:r>
          </w:p>
        </w:tc>
        <w:tc>
          <w:tcPr>
            <w:tcW w:w="7653" w:type="dxa"/>
          </w:tcPr>
          <w:p w:rsidR="00D47F38" w:rsidRPr="002333BC" w:rsidRDefault="00D47F38" w:rsidP="00200ECB">
            <w:pPr>
              <w:pStyle w:val="StyleCall10pt"/>
            </w:pPr>
            <w:r w:rsidRPr="002333BC">
              <w:t>resolves to invite ITU</w:t>
            </w:r>
            <w:r w:rsidRPr="002333BC">
              <w:noBreakHyphen/>
              <w:t>R</w:t>
            </w:r>
          </w:p>
          <w:p w:rsidR="00D47F38" w:rsidRPr="002333BC" w:rsidRDefault="00D47F38" w:rsidP="00ED7B8A">
            <w:pPr>
              <w:pStyle w:val="Tabletext"/>
              <w:jc w:val="both"/>
            </w:pPr>
            <w:r w:rsidRPr="002333BC">
              <w:t>to conduct, and complete in time for WRC-23:</w:t>
            </w:r>
          </w:p>
          <w:p w:rsidR="00D47F38" w:rsidRPr="002333BC" w:rsidRDefault="00D47F38" w:rsidP="006B6CF8">
            <w:pPr>
              <w:pStyle w:val="Tabletext"/>
              <w:jc w:val="both"/>
            </w:pPr>
            <w:r w:rsidRPr="002333BC">
              <w:t>1</w:t>
            </w:r>
            <w:r w:rsidRPr="002333BC">
              <w:tab/>
              <w:t>studies on spectrum needs for new non-safety aeronautical mobile applications for air</w:t>
            </w:r>
            <w:r w:rsidR="006B6CF8">
              <w:noBreakHyphen/>
            </w:r>
            <w:r w:rsidRPr="002333BC">
              <w:t>to</w:t>
            </w:r>
            <w:r w:rsidR="006B6CF8">
              <w:noBreakHyphen/>
            </w:r>
            <w:r w:rsidRPr="002333BC">
              <w:t>air, ground-to-air and air-to-ground communications of aircraft systems;</w:t>
            </w:r>
          </w:p>
          <w:p w:rsidR="00D47F38" w:rsidRPr="002333BC" w:rsidRDefault="00D47F38" w:rsidP="00ED7B8A">
            <w:pPr>
              <w:pStyle w:val="Tabletext"/>
              <w:jc w:val="both"/>
            </w:pPr>
            <w:r w:rsidRPr="002333BC">
              <w:t>2</w:t>
            </w:r>
            <w:r w:rsidRPr="002333BC">
              <w:tab/>
              <w:t>sharing and compatibility studies in the frequency band 22-22.21 GHz, already allocated on a primary basis to the mobile, except aeronautical mobile, service, in order to evaluate the possible revision or deletion of the “except aeronautical mobile” restriction while ensuring the protection of primary services in the considered frequency bands and, as appropriate, in adjacent frequency bands;</w:t>
            </w:r>
          </w:p>
          <w:p w:rsidR="00D47F38" w:rsidRPr="002333BC" w:rsidRDefault="00D47F38" w:rsidP="00ED7B8A">
            <w:pPr>
              <w:pStyle w:val="Tabletext"/>
              <w:jc w:val="both"/>
            </w:pPr>
            <w:r w:rsidRPr="002333BC">
              <w:t>3</w:t>
            </w:r>
            <w:r w:rsidRPr="002333BC">
              <w:tab/>
              <w:t>sharing and compatibility studies on possible new primary allocations to the aeronautical mobile service for non-safety aeronautical applications in the frequency band 15.4-15.7 GHz, while ensuring the protection of primary services in the considered frequency bands and, as appropriate, adjacent frequency bands;</w:t>
            </w:r>
          </w:p>
          <w:p w:rsidR="00D47F38" w:rsidRPr="002333BC" w:rsidRDefault="00D47F38" w:rsidP="00ED7B8A">
            <w:pPr>
              <w:pStyle w:val="Tabletext"/>
              <w:jc w:val="both"/>
            </w:pPr>
            <w:r w:rsidRPr="002333BC">
              <w:t>4</w:t>
            </w:r>
            <w:r w:rsidRPr="002333BC">
              <w:tab/>
              <w:t>definition of appropriate protection for passive services and radio astronomy allocated in adjacent bands from unwanted emission of AMS,</w:t>
            </w:r>
          </w:p>
          <w:p w:rsidR="00D47F38" w:rsidRPr="002333BC" w:rsidRDefault="00D47F38" w:rsidP="00200ECB">
            <w:pPr>
              <w:pStyle w:val="StyleCall10pt"/>
            </w:pPr>
            <w:r w:rsidRPr="002333BC">
              <w:t>invites the 2023 World Radiocommunication Conference</w:t>
            </w:r>
          </w:p>
          <w:p w:rsidR="00D47F38" w:rsidRPr="002333BC" w:rsidRDefault="00D47F38" w:rsidP="00ED7B8A">
            <w:pPr>
              <w:pStyle w:val="Tabletext"/>
              <w:jc w:val="both"/>
            </w:pPr>
            <w:r w:rsidRPr="002333BC">
              <w:t>to review the results of the ITU</w:t>
            </w:r>
            <w:r w:rsidRPr="002333BC">
              <w:noBreakHyphen/>
              <w:t>R studies and take appropriate actions,</w:t>
            </w:r>
          </w:p>
          <w:p w:rsidR="00D47F38" w:rsidRPr="002333BC" w:rsidRDefault="00D47F38" w:rsidP="00200ECB">
            <w:pPr>
              <w:pStyle w:val="StyleCall10pt"/>
            </w:pPr>
            <w:r w:rsidRPr="002333BC">
              <w:t>invites administrations</w:t>
            </w:r>
          </w:p>
          <w:p w:rsidR="00D47F38" w:rsidRPr="002333BC" w:rsidRDefault="00D47F38" w:rsidP="00ED7B8A">
            <w:pPr>
              <w:pStyle w:val="Tabletext"/>
              <w:jc w:val="both"/>
            </w:pPr>
            <w:r w:rsidRPr="002333BC">
              <w:t>to participate actively in the studies by submitting contributions to ITU</w:t>
            </w:r>
            <w:r w:rsidRPr="002333BC">
              <w:noBreakHyphen/>
              <w:t>R.</w:t>
            </w:r>
          </w:p>
        </w:tc>
        <w:tc>
          <w:tcPr>
            <w:tcW w:w="1560" w:type="dxa"/>
          </w:tcPr>
          <w:p w:rsidR="00D47F38" w:rsidRPr="002333BC" w:rsidRDefault="00D47F38" w:rsidP="00ED7B8A">
            <w:pPr>
              <w:pStyle w:val="Tabletext"/>
              <w:jc w:val="center"/>
            </w:pPr>
            <w:r w:rsidRPr="002333BC">
              <w:rPr>
                <w:b/>
                <w:bCs/>
              </w:rPr>
              <w:t xml:space="preserve">WP 3K, WP 3M, </w:t>
            </w:r>
            <w:r w:rsidRPr="000971F6">
              <w:rPr>
                <w:b/>
                <w:bCs/>
              </w:rPr>
              <w:t>WP 4A, WP 5A, WP 5C, WP 7C</w:t>
            </w:r>
            <w:r w:rsidRPr="002333BC">
              <w:rPr>
                <w:b/>
                <w:bCs/>
              </w:rPr>
              <w:t xml:space="preserve">, </w:t>
            </w:r>
            <w:r w:rsidRPr="002333BC">
              <w:rPr>
                <w:b/>
                <w:bCs/>
              </w:rPr>
              <w:br/>
              <w:t>WP 7D</w:t>
            </w:r>
          </w:p>
        </w:tc>
      </w:tr>
      <w:tr w:rsidR="00D47F38" w:rsidRPr="002333BC" w:rsidTr="00373E4E">
        <w:trPr>
          <w:cantSplit/>
          <w:jc w:val="center"/>
        </w:trPr>
        <w:tc>
          <w:tcPr>
            <w:tcW w:w="14175" w:type="dxa"/>
            <w:gridSpan w:val="4"/>
          </w:tcPr>
          <w:p w:rsidR="00D47F38" w:rsidRPr="002333BC" w:rsidRDefault="00D47F38" w:rsidP="002333BC">
            <w:pPr>
              <w:pStyle w:val="Tabletext"/>
              <w:keepNext/>
              <w:jc w:val="both"/>
            </w:pPr>
            <w:r w:rsidRPr="002333BC">
              <w:rPr>
                <w:bCs/>
              </w:rPr>
              <w:t>1.11</w:t>
            </w:r>
            <w:r w:rsidRPr="002333BC">
              <w:rPr>
                <w:b/>
              </w:rPr>
              <w:tab/>
            </w:r>
            <w:r w:rsidRPr="002333BC">
              <w:t xml:space="preserve">to </w:t>
            </w:r>
            <w:r w:rsidRPr="002333BC">
              <w:rPr>
                <w:lang w:eastAsia="zh-CN"/>
              </w:rPr>
              <w:t>consider</w:t>
            </w:r>
            <w:r w:rsidRPr="002333BC">
              <w:t xml:space="preserve"> possible regulatory actions to support the modernization of the Global Maritime Distress and Safety System and the implementation of e</w:t>
            </w:r>
            <w:r w:rsidRPr="002333BC">
              <w:noBreakHyphen/>
              <w:t xml:space="preserve">navigation, in accordance with Resolution </w:t>
            </w:r>
            <w:r w:rsidRPr="002333BC">
              <w:rPr>
                <w:b/>
              </w:rPr>
              <w:t>361 (Rev.WRC</w:t>
            </w:r>
            <w:r w:rsidRPr="002333BC">
              <w:rPr>
                <w:b/>
              </w:rPr>
              <w:noBreakHyphen/>
              <w:t>19)</w:t>
            </w:r>
            <w:r w:rsidRPr="002333BC">
              <w:t>;</w:t>
            </w:r>
          </w:p>
        </w:tc>
      </w:tr>
      <w:tr w:rsidR="00D47F38" w:rsidRPr="002333BC" w:rsidTr="005B6143">
        <w:trPr>
          <w:cantSplit/>
          <w:jc w:val="center"/>
        </w:trPr>
        <w:tc>
          <w:tcPr>
            <w:tcW w:w="3400" w:type="dxa"/>
          </w:tcPr>
          <w:p w:rsidR="00D47F38" w:rsidRPr="002333BC" w:rsidRDefault="00D47F38" w:rsidP="00ED7B8A">
            <w:pPr>
              <w:pStyle w:val="Tabletext"/>
              <w:rPr>
                <w:b/>
              </w:rPr>
            </w:pPr>
            <w:r w:rsidRPr="002333BC">
              <w:t>Resolution</w:t>
            </w:r>
            <w:r w:rsidRPr="002333BC">
              <w:rPr>
                <w:b/>
              </w:rPr>
              <w:t> 361 (Rev.WRC</w:t>
            </w:r>
            <w:r w:rsidRPr="002333BC">
              <w:rPr>
                <w:b/>
              </w:rPr>
              <w:noBreakHyphen/>
              <w:t>19)</w:t>
            </w:r>
          </w:p>
          <w:p w:rsidR="00D47F38" w:rsidRPr="002333BC" w:rsidRDefault="00D47F38" w:rsidP="00ED7B8A">
            <w:pPr>
              <w:pStyle w:val="Tabletext"/>
            </w:pPr>
            <w:bookmarkStart w:id="6" w:name="_Toc450048717"/>
            <w:r w:rsidRPr="002333BC">
              <w:t>Consideration of possible regulatory actions to support the modernization of the Global Maritime Distress and Safety System and the implementation of e</w:t>
            </w:r>
            <w:r w:rsidRPr="002333BC">
              <w:noBreakHyphen/>
              <w:t>navigation</w:t>
            </w:r>
            <w:bookmarkEnd w:id="6"/>
          </w:p>
        </w:tc>
        <w:tc>
          <w:tcPr>
            <w:tcW w:w="1562" w:type="dxa"/>
          </w:tcPr>
          <w:p w:rsidR="00D47F38" w:rsidRPr="002333BC" w:rsidRDefault="00D47F38" w:rsidP="00ED7B8A">
            <w:pPr>
              <w:pStyle w:val="Tabletext"/>
              <w:jc w:val="center"/>
              <w:rPr>
                <w:b/>
                <w:bCs/>
              </w:rPr>
            </w:pPr>
            <w:r w:rsidRPr="002333BC">
              <w:rPr>
                <w:b/>
                <w:bCs/>
              </w:rPr>
              <w:t>WP 5B</w:t>
            </w:r>
          </w:p>
          <w:p w:rsidR="00D47F38" w:rsidRPr="002333BC" w:rsidRDefault="00D47F38" w:rsidP="00ED7B8A">
            <w:pPr>
              <w:pStyle w:val="Tabletext"/>
              <w:jc w:val="center"/>
            </w:pPr>
            <w:r w:rsidRPr="002333BC">
              <w:rPr>
                <w:u w:val="single"/>
              </w:rPr>
              <w:t>Note</w:t>
            </w:r>
            <w:r w:rsidRPr="002333BC">
              <w:t>: See relevant text in CPM23-1 meeting report (Annex 4 to this Administrative Circular)</w:t>
            </w:r>
          </w:p>
        </w:tc>
        <w:tc>
          <w:tcPr>
            <w:tcW w:w="7653" w:type="dxa"/>
          </w:tcPr>
          <w:p w:rsidR="00D47F38" w:rsidRPr="002333BC" w:rsidRDefault="00D47F38" w:rsidP="00200ECB">
            <w:pPr>
              <w:pStyle w:val="StyleCall10pt"/>
            </w:pPr>
            <w:r w:rsidRPr="002333BC">
              <w:t>resolves to invite the 2023 World Radiocommunication Conference</w:t>
            </w:r>
          </w:p>
          <w:p w:rsidR="00D47F38" w:rsidRPr="002333BC" w:rsidRDefault="00D47F38" w:rsidP="00ED7B8A">
            <w:pPr>
              <w:pStyle w:val="Tabletext"/>
              <w:jc w:val="both"/>
            </w:pPr>
            <w:r w:rsidRPr="002333BC">
              <w:t>1</w:t>
            </w:r>
            <w:r w:rsidRPr="002333BC">
              <w:tab/>
              <w:t>to consider possible regulatory actions, based on the ITU Radiocommunication Sector (ITU</w:t>
            </w:r>
            <w:r w:rsidRPr="002333BC">
              <w:rPr>
                <w:rFonts w:eastAsia="MS Mincho"/>
                <w:lang w:eastAsia="ja-JP"/>
              </w:rPr>
              <w:noBreakHyphen/>
            </w:r>
            <w:r w:rsidRPr="002333BC">
              <w:t>R) studies, taking into consideration the activities of IMO, as well as information and requirements provided by IMO, to support GMDSS modernization;</w:t>
            </w:r>
          </w:p>
          <w:p w:rsidR="00D47F38" w:rsidRPr="002333BC" w:rsidRDefault="00D47F38" w:rsidP="00ED7B8A">
            <w:pPr>
              <w:pStyle w:val="Tabletext"/>
              <w:jc w:val="both"/>
            </w:pPr>
            <w:r w:rsidRPr="002333BC">
              <w:t>2</w:t>
            </w:r>
            <w:r w:rsidRPr="002333BC">
              <w:tab/>
              <w:t>to consider possible regulatory actions, including spectrum allocations based on the ITU Radiocommunication Sector (ITU</w:t>
            </w:r>
            <w:r w:rsidRPr="002333BC">
              <w:noBreakHyphen/>
              <w:t xml:space="preserve">R) studies, </w:t>
            </w:r>
            <w:r w:rsidRPr="002333BC">
              <w:rPr>
                <w:rFonts w:eastAsia="MS Mincho"/>
              </w:rPr>
              <w:t>for the maritime mobile service</w:t>
            </w:r>
            <w:r w:rsidRPr="002333BC">
              <w:t>, supporting e</w:t>
            </w:r>
            <w:r w:rsidRPr="002333BC">
              <w:noBreakHyphen/>
              <w:t>navigation;</w:t>
            </w:r>
          </w:p>
          <w:p w:rsidR="00D47F38" w:rsidRPr="002333BC" w:rsidRDefault="00D47F38" w:rsidP="00ED7B8A">
            <w:pPr>
              <w:pStyle w:val="Tabletext"/>
              <w:jc w:val="both"/>
            </w:pPr>
            <w:r w:rsidRPr="002333BC">
              <w:rPr>
                <w:rFonts w:eastAsia="BatangChe"/>
              </w:rPr>
              <w:t>3</w:t>
            </w:r>
            <w:r w:rsidRPr="002333BC">
              <w:rPr>
                <w:rFonts w:eastAsia="BatangChe"/>
              </w:rPr>
              <w:tab/>
            </w:r>
            <w:r w:rsidRPr="002333BC">
              <w:rPr>
                <w:rFonts w:eastAsia="BatangChe"/>
                <w:lang w:eastAsia="en-GB"/>
              </w:rPr>
              <w:t xml:space="preserve">to consider regulatory provisions, if </w:t>
            </w:r>
            <w:r w:rsidRPr="002333BC">
              <w:rPr>
                <w:lang w:eastAsia="zh-CN"/>
              </w:rPr>
              <w:t>any, based on the results of ITU</w:t>
            </w:r>
            <w:r w:rsidRPr="002333BC">
              <w:rPr>
                <w:rFonts w:eastAsia="MS Mincho"/>
                <w:lang w:eastAsia="ja-JP"/>
              </w:rPr>
              <w:noBreakHyphen/>
            </w:r>
            <w:r w:rsidRPr="002333BC">
              <w:rPr>
                <w:lang w:eastAsia="zh-CN"/>
              </w:rPr>
              <w:t xml:space="preserve">R studies, referred to in </w:t>
            </w:r>
            <w:r w:rsidRPr="002333BC">
              <w:rPr>
                <w:i/>
                <w:lang w:eastAsia="zh-CN"/>
              </w:rPr>
              <w:t>invites ITU</w:t>
            </w:r>
            <w:r w:rsidRPr="002333BC">
              <w:rPr>
                <w:rFonts w:eastAsia="MS Mincho"/>
                <w:lang w:eastAsia="ja-JP"/>
              </w:rPr>
              <w:noBreakHyphen/>
            </w:r>
            <w:r w:rsidRPr="002333BC">
              <w:rPr>
                <w:i/>
                <w:lang w:eastAsia="zh-CN"/>
              </w:rPr>
              <w:t>R</w:t>
            </w:r>
            <w:r w:rsidRPr="002333BC">
              <w:rPr>
                <w:lang w:eastAsia="zh-CN"/>
              </w:rPr>
              <w:t xml:space="preserve"> below,</w:t>
            </w:r>
            <w:r w:rsidRPr="002333BC" w:rsidDel="00087D4A">
              <w:rPr>
                <w:rFonts w:eastAsia="BatangChe"/>
                <w:lang w:eastAsia="en-GB"/>
              </w:rPr>
              <w:t xml:space="preserve"> </w:t>
            </w:r>
            <w:r w:rsidRPr="002333BC">
              <w:rPr>
                <w:rFonts w:eastAsia="BatangChe"/>
                <w:lang w:eastAsia="en-GB"/>
              </w:rPr>
              <w:t>to support the introduction of additional satellite systems into the GMDSS</w:t>
            </w:r>
            <w:r w:rsidRPr="002333BC">
              <w:t>,</w:t>
            </w:r>
          </w:p>
          <w:p w:rsidR="00D47F38" w:rsidRPr="002333BC" w:rsidRDefault="00D47F38" w:rsidP="00200ECB">
            <w:pPr>
              <w:pStyle w:val="StyleCall10pt"/>
            </w:pPr>
            <w:r w:rsidRPr="002333BC">
              <w:t>invites ITU-R</w:t>
            </w:r>
          </w:p>
          <w:p w:rsidR="00D47F38" w:rsidRPr="002333BC" w:rsidRDefault="00D47F38" w:rsidP="00ED7B8A">
            <w:pPr>
              <w:pStyle w:val="Tabletext"/>
              <w:jc w:val="both"/>
            </w:pPr>
            <w:r w:rsidRPr="002333BC">
              <w:t>to conduct studies taking into consideration the activities of IMO and other relevant international organizations, in order to determine spectrum needs and regulatory actions to support GMDSS modernization and the implementation of e</w:t>
            </w:r>
            <w:r w:rsidRPr="002333BC">
              <w:noBreakHyphen/>
              <w:t>navigation, including the introduction of additional satellite systems into the GMDSS,</w:t>
            </w:r>
          </w:p>
          <w:p w:rsidR="00D47F38" w:rsidRPr="002333BC" w:rsidRDefault="00D47F38" w:rsidP="00200ECB">
            <w:pPr>
              <w:pStyle w:val="StyleCall10pt"/>
            </w:pPr>
            <w:r w:rsidRPr="002333BC">
              <w:t>instructs the Secretary-General</w:t>
            </w:r>
          </w:p>
          <w:p w:rsidR="00D47F38" w:rsidRPr="002333BC" w:rsidRDefault="00D47F38" w:rsidP="00ED7B8A">
            <w:pPr>
              <w:pStyle w:val="Tabletext"/>
              <w:jc w:val="both"/>
            </w:pPr>
            <w:r w:rsidRPr="002333BC">
              <w:t>to bring this Resolution to the attention of IMO and other international and regional organizations concerned.</w:t>
            </w:r>
          </w:p>
        </w:tc>
        <w:tc>
          <w:tcPr>
            <w:tcW w:w="1560" w:type="dxa"/>
          </w:tcPr>
          <w:p w:rsidR="00D47F38" w:rsidRPr="002333BC" w:rsidRDefault="00D47F38" w:rsidP="00ED7B8A">
            <w:pPr>
              <w:pStyle w:val="Tabletext"/>
              <w:jc w:val="center"/>
            </w:pPr>
            <w:r w:rsidRPr="002333BC">
              <w:rPr>
                <w:b/>
                <w:bCs/>
              </w:rPr>
              <w:t>WP 4C</w:t>
            </w:r>
            <w:r w:rsidRPr="002333BC">
              <w:rPr>
                <w:b/>
                <w:bCs/>
              </w:rPr>
              <w:br/>
            </w:r>
            <w:r w:rsidRPr="002333BC">
              <w:t xml:space="preserve">(responsible for developing studies and draft CPM text on </w:t>
            </w:r>
            <w:r w:rsidRPr="002333BC">
              <w:rPr>
                <w:i/>
              </w:rPr>
              <w:t>resolves to invite the 2023 World Radiocommu</w:t>
            </w:r>
            <w:r w:rsidR="006B6CF8">
              <w:rPr>
                <w:i/>
              </w:rPr>
              <w:t>-</w:t>
            </w:r>
            <w:r w:rsidRPr="002333BC">
              <w:rPr>
                <w:i/>
              </w:rPr>
              <w:t>nication Conference</w:t>
            </w:r>
            <w:r w:rsidRPr="002333BC" w:rsidDel="00EB64A0">
              <w:t xml:space="preserve"> </w:t>
            </w:r>
            <w:r w:rsidRPr="002333BC">
              <w:t>3 and sending this to WP 5B)</w:t>
            </w:r>
          </w:p>
        </w:tc>
      </w:tr>
      <w:tr w:rsidR="00D47F38" w:rsidRPr="002333BC" w:rsidTr="00373E4E">
        <w:trPr>
          <w:cantSplit/>
          <w:jc w:val="center"/>
        </w:trPr>
        <w:tc>
          <w:tcPr>
            <w:tcW w:w="14175" w:type="dxa"/>
            <w:gridSpan w:val="4"/>
          </w:tcPr>
          <w:p w:rsidR="00D47F38" w:rsidRPr="002333BC" w:rsidRDefault="00D47F38" w:rsidP="002333BC">
            <w:pPr>
              <w:pStyle w:val="Tabletext"/>
              <w:keepNext/>
              <w:jc w:val="both"/>
            </w:pPr>
            <w:r w:rsidRPr="002333BC">
              <w:t>1.12</w:t>
            </w:r>
            <w:r w:rsidRPr="002333BC">
              <w:tab/>
            </w:r>
            <w:r w:rsidRPr="002333BC">
              <w:rPr>
                <w:rFonts w:eastAsia="Calibri"/>
              </w:rPr>
              <w:t>to conduct, and complete in time for WRC</w:t>
            </w:r>
            <w:r w:rsidRPr="002333BC">
              <w:rPr>
                <w:rFonts w:eastAsia="Calibri"/>
              </w:rPr>
              <w:noBreakHyphen/>
              <w:t>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2333BC">
              <w:rPr>
                <w:rFonts w:eastAsia="Calibri"/>
                <w:b/>
              </w:rPr>
              <w:t>656 (Rev.WRC</w:t>
            </w:r>
            <w:r w:rsidRPr="002333BC">
              <w:rPr>
                <w:rFonts w:eastAsia="Calibri"/>
                <w:b/>
              </w:rPr>
              <w:noBreakHyphen/>
              <w:t>19)</w:t>
            </w:r>
            <w:r w:rsidRPr="002333BC">
              <w:rPr>
                <w:rFonts w:eastAsia="Calibri"/>
              </w:rPr>
              <w:t>;</w:t>
            </w:r>
          </w:p>
        </w:tc>
      </w:tr>
      <w:tr w:rsidR="00D47F38" w:rsidRPr="002333BC" w:rsidTr="005B6143">
        <w:trPr>
          <w:cantSplit/>
          <w:jc w:val="center"/>
        </w:trPr>
        <w:tc>
          <w:tcPr>
            <w:tcW w:w="3400" w:type="dxa"/>
          </w:tcPr>
          <w:p w:rsidR="00D47F38" w:rsidRPr="002333BC" w:rsidRDefault="00D47F38" w:rsidP="00ED7B8A">
            <w:pPr>
              <w:pStyle w:val="Tabletext"/>
              <w:rPr>
                <w:b/>
              </w:rPr>
            </w:pPr>
            <w:r w:rsidRPr="002333BC">
              <w:t>Resolution</w:t>
            </w:r>
            <w:r w:rsidRPr="002333BC">
              <w:rPr>
                <w:b/>
              </w:rPr>
              <w:t> 656 (Rev.WRC</w:t>
            </w:r>
            <w:r w:rsidRPr="002333BC">
              <w:rPr>
                <w:b/>
              </w:rPr>
              <w:noBreakHyphen/>
              <w:t>19)</w:t>
            </w:r>
          </w:p>
          <w:p w:rsidR="00D47F38" w:rsidRPr="002333BC" w:rsidRDefault="00D47F38" w:rsidP="00ED7B8A">
            <w:pPr>
              <w:pStyle w:val="Tabletext"/>
            </w:pPr>
            <w:bookmarkStart w:id="7" w:name="_Toc450048793"/>
            <w:r w:rsidRPr="002333BC">
              <w:t>Possible secondary allocation to the Earth exploration-satellite service (active) for spaceborne radar sounders in the range of frequencies around 45 MHz</w:t>
            </w:r>
            <w:bookmarkEnd w:id="7"/>
          </w:p>
        </w:tc>
        <w:tc>
          <w:tcPr>
            <w:tcW w:w="1562" w:type="dxa"/>
          </w:tcPr>
          <w:p w:rsidR="00D47F38" w:rsidRPr="002333BC" w:rsidRDefault="00D47F38" w:rsidP="00ED7B8A">
            <w:pPr>
              <w:pStyle w:val="Tabletext"/>
              <w:jc w:val="center"/>
            </w:pPr>
            <w:r w:rsidRPr="002333BC">
              <w:rPr>
                <w:b/>
                <w:bCs/>
              </w:rPr>
              <w:t>WP 7C</w:t>
            </w:r>
          </w:p>
        </w:tc>
        <w:tc>
          <w:tcPr>
            <w:tcW w:w="7653" w:type="dxa"/>
          </w:tcPr>
          <w:p w:rsidR="00D47F38" w:rsidRPr="002333BC" w:rsidRDefault="00D47F38" w:rsidP="00373E4E">
            <w:pPr>
              <w:pStyle w:val="StyleCall10pt"/>
            </w:pPr>
            <w:r w:rsidRPr="002333BC">
              <w:t>resolves to invite the 2023 World Radiocommunication Conference</w:t>
            </w:r>
          </w:p>
          <w:p w:rsidR="00D47F38" w:rsidRPr="002333BC" w:rsidRDefault="00D47F38" w:rsidP="00ED7B8A">
            <w:pPr>
              <w:pStyle w:val="Tabletext"/>
              <w:jc w:val="both"/>
            </w:pPr>
            <w:r w:rsidRPr="002333BC">
              <w:t>to consider the results of studies on spectrum needs for a possible new secondary allocation to the Earth exploration-satellite (active) service for spaceborne radar sounders within the range of frequencies around 45 MHz, taking into account the protection of incumbent services, and take appropriate action,</w:t>
            </w:r>
          </w:p>
          <w:p w:rsidR="00D47F38" w:rsidRPr="002333BC" w:rsidRDefault="00D47F38" w:rsidP="00373E4E">
            <w:pPr>
              <w:pStyle w:val="StyleCall10pt"/>
            </w:pPr>
            <w:r w:rsidRPr="002333BC">
              <w:t>invites ITU-R</w:t>
            </w:r>
          </w:p>
          <w:p w:rsidR="00D47F38" w:rsidRPr="002333BC" w:rsidRDefault="00D47F38" w:rsidP="00ED7B8A">
            <w:pPr>
              <w:pStyle w:val="Tabletext"/>
              <w:jc w:val="both"/>
            </w:pPr>
            <w:r w:rsidRPr="002333BC">
              <w:t xml:space="preserve">to conduct studies on spectrum needs and sharing studies between the Earth exploration-satellite (active) service and the radiolocation, </w:t>
            </w:r>
            <w:r w:rsidRPr="002333BC">
              <w:rPr>
                <w:lang w:eastAsia="zh-CN"/>
              </w:rPr>
              <w:t xml:space="preserve">fixed, mobile, broadcasting, amateur and </w:t>
            </w:r>
            <w:r w:rsidRPr="002333BC">
              <w:t>space research</w:t>
            </w:r>
            <w:r w:rsidRPr="002333BC">
              <w:rPr>
                <w:lang w:eastAsia="zh-CN"/>
              </w:rPr>
              <w:t xml:space="preserve"> services </w:t>
            </w:r>
            <w:r w:rsidRPr="002333BC">
              <w:t>in the 40-50 MHz frequency range and in adjacent bands,</w:t>
            </w:r>
          </w:p>
          <w:p w:rsidR="00D47F38" w:rsidRPr="002333BC" w:rsidRDefault="00D47F38" w:rsidP="00373E4E">
            <w:pPr>
              <w:pStyle w:val="StyleCall10pt"/>
            </w:pPr>
            <w:r w:rsidRPr="002333BC">
              <w:t>invites administrations</w:t>
            </w:r>
          </w:p>
          <w:p w:rsidR="00D47F38" w:rsidRPr="002333BC" w:rsidRDefault="00D47F38" w:rsidP="00ED7B8A">
            <w:pPr>
              <w:pStyle w:val="Tabletext"/>
              <w:jc w:val="both"/>
            </w:pPr>
            <w:r w:rsidRPr="002333BC">
              <w:t>to participate actively in the studies by submitting contributions to the ITU Radiocommunication Sector,</w:t>
            </w:r>
          </w:p>
          <w:p w:rsidR="00D47F38" w:rsidRPr="002333BC" w:rsidRDefault="00D47F38" w:rsidP="00373E4E">
            <w:pPr>
              <w:pStyle w:val="StyleCall10pt"/>
            </w:pPr>
            <w:r w:rsidRPr="002333BC">
              <w:t>instructs the Secretary-General</w:t>
            </w:r>
          </w:p>
          <w:p w:rsidR="00D47F38" w:rsidRPr="002333BC" w:rsidRDefault="00D47F38" w:rsidP="00ED7B8A">
            <w:pPr>
              <w:pStyle w:val="Tabletext"/>
              <w:jc w:val="both"/>
            </w:pPr>
            <w:r w:rsidRPr="002333BC">
              <w:t>to bring this Resolution to the attention of international and regional organizations concerned.</w:t>
            </w:r>
          </w:p>
        </w:tc>
        <w:tc>
          <w:tcPr>
            <w:tcW w:w="1560" w:type="dxa"/>
          </w:tcPr>
          <w:p w:rsidR="00D47F38" w:rsidRPr="002333BC" w:rsidRDefault="00D47F38" w:rsidP="00ED7B8A">
            <w:pPr>
              <w:pStyle w:val="Tabletext"/>
              <w:jc w:val="center"/>
            </w:pPr>
            <w:r w:rsidRPr="002333BC">
              <w:rPr>
                <w:b/>
                <w:bCs/>
              </w:rPr>
              <w:t xml:space="preserve">WP 3K, WP 3L, </w:t>
            </w:r>
            <w:r w:rsidRPr="000971F6">
              <w:rPr>
                <w:b/>
                <w:bCs/>
              </w:rPr>
              <w:t>WP 3M, WP 5A, WP 5B,</w:t>
            </w:r>
            <w:r w:rsidRPr="002333BC">
              <w:rPr>
                <w:b/>
                <w:bCs/>
              </w:rPr>
              <w:t xml:space="preserve"> </w:t>
            </w:r>
            <w:r w:rsidRPr="002333BC">
              <w:rPr>
                <w:b/>
                <w:bCs/>
              </w:rPr>
              <w:br/>
              <w:t>WP 6A</w:t>
            </w:r>
          </w:p>
        </w:tc>
      </w:tr>
      <w:tr w:rsidR="00D47F38" w:rsidRPr="002333BC" w:rsidTr="00373E4E">
        <w:trPr>
          <w:cantSplit/>
          <w:jc w:val="center"/>
        </w:trPr>
        <w:tc>
          <w:tcPr>
            <w:tcW w:w="14175" w:type="dxa"/>
            <w:gridSpan w:val="4"/>
          </w:tcPr>
          <w:p w:rsidR="00D47F38" w:rsidRPr="002333BC" w:rsidRDefault="00D47F38" w:rsidP="00ED7B8A">
            <w:pPr>
              <w:pStyle w:val="Tabletext"/>
              <w:jc w:val="both"/>
            </w:pPr>
            <w:r w:rsidRPr="002333BC">
              <w:t>1.13</w:t>
            </w:r>
            <w:r w:rsidRPr="002333BC">
              <w:tab/>
              <w:t xml:space="preserve">to consider a possible upgrade of the allocation of the frequency band 14.8-15.35 GHz to the space research service, in accordance with Resolution </w:t>
            </w:r>
            <w:r w:rsidRPr="002333BC">
              <w:rPr>
                <w:b/>
                <w:bCs/>
              </w:rPr>
              <w:t>661</w:t>
            </w:r>
            <w:r w:rsidRPr="002333BC">
              <w:t> </w:t>
            </w:r>
            <w:r w:rsidRPr="002333BC">
              <w:rPr>
                <w:b/>
                <w:bCs/>
              </w:rPr>
              <w:t>(WRC</w:t>
            </w:r>
            <w:r w:rsidRPr="002333BC">
              <w:rPr>
                <w:b/>
                <w:bCs/>
              </w:rPr>
              <w:noBreakHyphen/>
              <w:t>19)</w:t>
            </w:r>
            <w:r w:rsidRPr="002333BC">
              <w:t>;</w:t>
            </w:r>
          </w:p>
        </w:tc>
      </w:tr>
      <w:tr w:rsidR="00D47F38" w:rsidRPr="002333BC" w:rsidTr="005B6143">
        <w:trPr>
          <w:jc w:val="center"/>
        </w:trPr>
        <w:tc>
          <w:tcPr>
            <w:tcW w:w="3400" w:type="dxa"/>
          </w:tcPr>
          <w:p w:rsidR="00D47F38" w:rsidRPr="002333BC" w:rsidRDefault="00D47F38" w:rsidP="00ED7B8A">
            <w:pPr>
              <w:pStyle w:val="Tabletext"/>
              <w:rPr>
                <w:b/>
              </w:rPr>
            </w:pPr>
            <w:r w:rsidRPr="002333BC">
              <w:t>Resolution</w:t>
            </w:r>
            <w:r w:rsidRPr="002333BC">
              <w:rPr>
                <w:b/>
              </w:rPr>
              <w:t> 661 (WRC</w:t>
            </w:r>
            <w:r w:rsidRPr="002333BC">
              <w:rPr>
                <w:b/>
              </w:rPr>
              <w:noBreakHyphen/>
              <w:t>19)</w:t>
            </w:r>
          </w:p>
          <w:p w:rsidR="00D47F38" w:rsidRPr="002333BC" w:rsidRDefault="00D47F38" w:rsidP="00ED7B8A">
            <w:pPr>
              <w:pStyle w:val="Tabletext"/>
            </w:pPr>
            <w:r w:rsidRPr="002333BC">
              <w:t>Examination of a possible upgrade to primary status of the secondary allocation to the space research service in the frequency band 14.8</w:t>
            </w:r>
            <w:r w:rsidRPr="002333BC">
              <w:noBreakHyphen/>
              <w:t>15.35 GHz</w:t>
            </w:r>
          </w:p>
        </w:tc>
        <w:tc>
          <w:tcPr>
            <w:tcW w:w="1562" w:type="dxa"/>
          </w:tcPr>
          <w:p w:rsidR="00D47F38" w:rsidRPr="002333BC" w:rsidRDefault="00D47F38" w:rsidP="00ED7B8A">
            <w:pPr>
              <w:pStyle w:val="Tabletext"/>
              <w:jc w:val="center"/>
            </w:pPr>
            <w:r w:rsidRPr="002333BC">
              <w:rPr>
                <w:b/>
                <w:bCs/>
              </w:rPr>
              <w:t>WP 7B</w:t>
            </w:r>
          </w:p>
        </w:tc>
        <w:tc>
          <w:tcPr>
            <w:tcW w:w="7653" w:type="dxa"/>
          </w:tcPr>
          <w:p w:rsidR="00D47F38" w:rsidRPr="002333BC" w:rsidRDefault="00D47F38" w:rsidP="00373E4E">
            <w:pPr>
              <w:pStyle w:val="StyleCall10pt"/>
            </w:pPr>
            <w:r w:rsidRPr="002333BC">
              <w:t>resolves to invite ITU-R</w:t>
            </w:r>
          </w:p>
          <w:p w:rsidR="00D47F38" w:rsidRPr="002333BC" w:rsidRDefault="00D47F38" w:rsidP="00ED7B8A">
            <w:pPr>
              <w:pStyle w:val="Tabletext"/>
              <w:jc w:val="both"/>
            </w:pPr>
            <w:r w:rsidRPr="002333BC">
              <w:t>1</w:t>
            </w:r>
            <w:r w:rsidRPr="002333BC">
              <w:tab/>
              <w:t xml:space="preserve">to investigate and identify all relevant scenarios mentioned in </w:t>
            </w:r>
            <w:r w:rsidRPr="002333BC">
              <w:rPr>
                <w:i/>
              </w:rPr>
              <w:t>recognizing</w:t>
            </w:r>
            <w:r w:rsidRPr="002333BC">
              <w:t> </w:t>
            </w:r>
            <w:r w:rsidRPr="002333BC">
              <w:rPr>
                <w:i/>
              </w:rPr>
              <w:t>a)</w:t>
            </w:r>
            <w:r w:rsidRPr="002333BC">
              <w:t xml:space="preserve"> to </w:t>
            </w:r>
            <w:r w:rsidRPr="002333BC">
              <w:rPr>
                <w:i/>
              </w:rPr>
              <w:t>c)</w:t>
            </w:r>
            <w:r w:rsidRPr="002333BC">
              <w:t xml:space="preserve"> that need to be considered in compatibility and sharing studies, taking into account the latest relevant ITU</w:t>
            </w:r>
            <w:r w:rsidRPr="002333BC">
              <w:noBreakHyphen/>
              <w:t>R Recommendations;</w:t>
            </w:r>
          </w:p>
          <w:p w:rsidR="00D47F38" w:rsidRPr="002333BC" w:rsidRDefault="00D47F38" w:rsidP="00ED7B8A">
            <w:pPr>
              <w:pStyle w:val="Tabletext"/>
              <w:jc w:val="both"/>
              <w:rPr>
                <w:i/>
              </w:rPr>
            </w:pPr>
            <w:r w:rsidRPr="002333BC">
              <w:br w:type="page"/>
              <w:t>2</w:t>
            </w:r>
            <w:r w:rsidRPr="002333BC">
              <w:tab/>
              <w:t>to conduct and complete in time for WRC</w:t>
            </w:r>
            <w:r w:rsidRPr="002333BC">
              <w:noBreakHyphen/>
              <w:t>23 sharing and compatibility studies in order to determine the feasibility of upgrading the SRS allocation to primary status in the frequency band 14.8</w:t>
            </w:r>
            <w:r w:rsidRPr="002333BC">
              <w:noBreakHyphen/>
              <w:t xml:space="preserve">15.35 GHz, with a view to ensuring protection of the primary service in </w:t>
            </w:r>
            <w:r w:rsidRPr="002333BC">
              <w:rPr>
                <w:i/>
              </w:rPr>
              <w:t xml:space="preserve">considering a) </w:t>
            </w:r>
            <w:r w:rsidRPr="002333BC">
              <w:t>and</w:t>
            </w:r>
            <w:r w:rsidRPr="002333BC">
              <w:rPr>
                <w:i/>
              </w:rPr>
              <w:t xml:space="preserve"> d) </w:t>
            </w:r>
            <w:r w:rsidRPr="002333BC">
              <w:t xml:space="preserve">and taking into account </w:t>
            </w:r>
            <w:r w:rsidRPr="002333BC">
              <w:rPr>
                <w:i/>
              </w:rPr>
              <w:t>recognizing</w:t>
            </w:r>
            <w:r w:rsidRPr="002333BC">
              <w:t> </w:t>
            </w:r>
            <w:r w:rsidRPr="002333BC">
              <w:rPr>
                <w:i/>
              </w:rPr>
              <w:t>e)</w:t>
            </w:r>
            <w:r w:rsidRPr="002333BC">
              <w:t>;</w:t>
            </w:r>
          </w:p>
          <w:p w:rsidR="00D47F38" w:rsidRPr="002333BC" w:rsidRDefault="00D47F38" w:rsidP="00ED7B8A">
            <w:pPr>
              <w:pStyle w:val="Tabletext"/>
              <w:jc w:val="both"/>
            </w:pPr>
            <w:r w:rsidRPr="002333BC">
              <w:t>3</w:t>
            </w:r>
            <w:r w:rsidRPr="002333BC">
              <w:tab/>
              <w:t xml:space="preserve">to determine the technical and regulatory conditions according to the results of studies mentioned in </w:t>
            </w:r>
            <w:r w:rsidRPr="002333BC">
              <w:rPr>
                <w:i/>
              </w:rPr>
              <w:t>resolves to invite ITU</w:t>
            </w:r>
            <w:r w:rsidRPr="002333BC">
              <w:rPr>
                <w:i/>
              </w:rPr>
              <w:noBreakHyphen/>
              <w:t>R </w:t>
            </w:r>
            <w:r w:rsidRPr="002333BC">
              <w:t>2,</w:t>
            </w:r>
          </w:p>
          <w:p w:rsidR="00D47F38" w:rsidRPr="002333BC" w:rsidRDefault="00D47F38" w:rsidP="00373E4E">
            <w:pPr>
              <w:pStyle w:val="StyleCall10pt"/>
            </w:pPr>
            <w:r w:rsidRPr="002333BC">
              <w:t>resolves to invite administrations</w:t>
            </w:r>
          </w:p>
          <w:p w:rsidR="00D47F38" w:rsidRPr="002333BC" w:rsidRDefault="00D47F38" w:rsidP="00ED7B8A">
            <w:pPr>
              <w:pStyle w:val="Tabletext"/>
              <w:jc w:val="both"/>
              <w:rPr>
                <w:i/>
                <w:iCs/>
              </w:rPr>
            </w:pPr>
            <w:r w:rsidRPr="002333BC">
              <w:t>to participate actively in the studies and provide the technical and operational characteristics of the systems involved by submitting contributions to ITU</w:t>
            </w:r>
            <w:r w:rsidRPr="002333BC">
              <w:noBreakHyphen/>
              <w:t>R,</w:t>
            </w:r>
          </w:p>
          <w:p w:rsidR="00D47F38" w:rsidRPr="003963CC" w:rsidRDefault="00D47F38" w:rsidP="003963CC">
            <w:pPr>
              <w:pStyle w:val="StyleCall10pt"/>
              <w:rPr>
                <w:iCs w:val="0"/>
              </w:rPr>
            </w:pPr>
            <w:r w:rsidRPr="003963CC">
              <w:rPr>
                <w:iCs w:val="0"/>
              </w:rPr>
              <w:t>invites the 2023 World Radiocommunication Conference</w:t>
            </w:r>
          </w:p>
          <w:p w:rsidR="00D47F38" w:rsidRPr="002333BC" w:rsidRDefault="00D47F38" w:rsidP="00ED7B8A">
            <w:pPr>
              <w:pStyle w:val="Tabletext"/>
              <w:jc w:val="both"/>
            </w:pPr>
            <w:r w:rsidRPr="002333BC">
              <w:t xml:space="preserve">to examine, on the basis of the results of studies by the ITU Radiocommunication Sector, the possibility of upgrading the secondary status of the allocation to the SRS to primary status in the frequency band 14.8-15.35 GHz, taking into account studies in </w:t>
            </w:r>
            <w:r w:rsidRPr="002333BC">
              <w:rPr>
                <w:i/>
              </w:rPr>
              <w:t>resolves to invite ITU</w:t>
            </w:r>
            <w:r w:rsidRPr="002333BC">
              <w:rPr>
                <w:i/>
              </w:rPr>
              <w:noBreakHyphen/>
              <w:t>R</w:t>
            </w:r>
            <w:r w:rsidRPr="002333BC">
              <w:t xml:space="preserve"> 2 and the considerations in </w:t>
            </w:r>
            <w:r w:rsidRPr="002333BC">
              <w:rPr>
                <w:i/>
              </w:rPr>
              <w:t>resolves to invite ITU</w:t>
            </w:r>
            <w:r w:rsidRPr="002333BC">
              <w:rPr>
                <w:i/>
              </w:rPr>
              <w:noBreakHyphen/>
              <w:t>R </w:t>
            </w:r>
            <w:r w:rsidRPr="002333BC">
              <w:t>3.</w:t>
            </w:r>
          </w:p>
        </w:tc>
        <w:tc>
          <w:tcPr>
            <w:tcW w:w="1560" w:type="dxa"/>
          </w:tcPr>
          <w:p w:rsidR="00D47F38" w:rsidRPr="002333BC" w:rsidRDefault="00D47F38" w:rsidP="00ED7B8A">
            <w:pPr>
              <w:pStyle w:val="Tabletext"/>
              <w:jc w:val="center"/>
            </w:pPr>
            <w:r w:rsidRPr="000971F6">
              <w:rPr>
                <w:b/>
                <w:bCs/>
              </w:rPr>
              <w:t>WP 3M, WP 5A, WP 5C, WP 7C</w:t>
            </w:r>
            <w:r w:rsidRPr="002333BC">
              <w:rPr>
                <w:b/>
                <w:bCs/>
              </w:rPr>
              <w:t xml:space="preserve">, </w:t>
            </w:r>
            <w:r w:rsidRPr="002333BC">
              <w:rPr>
                <w:b/>
                <w:bCs/>
              </w:rPr>
              <w:br/>
              <w:t>WP 7D</w:t>
            </w:r>
          </w:p>
        </w:tc>
      </w:tr>
      <w:tr w:rsidR="00D47F38" w:rsidRPr="002333BC" w:rsidTr="00373E4E">
        <w:trPr>
          <w:cantSplit/>
          <w:jc w:val="center"/>
        </w:trPr>
        <w:tc>
          <w:tcPr>
            <w:tcW w:w="14175" w:type="dxa"/>
            <w:gridSpan w:val="4"/>
          </w:tcPr>
          <w:p w:rsidR="00D47F38" w:rsidRPr="002333BC" w:rsidRDefault="00D47F38" w:rsidP="00ED7B8A">
            <w:pPr>
              <w:pStyle w:val="Tabletext"/>
              <w:jc w:val="both"/>
            </w:pPr>
            <w:r w:rsidRPr="002333BC">
              <w:t>1.14</w:t>
            </w:r>
            <w:r w:rsidRPr="002333BC">
              <w:tab/>
              <w:t>to review and consider possible adjustments of the existing or possible new primary frequency allocations to EESS (passive) in the frequency range 231.5</w:t>
            </w:r>
            <w:r w:rsidRPr="002333BC">
              <w:noBreakHyphen/>
              <w:t xml:space="preserve">252 GHz, to ensure alignment with more up-to-date remote-sensing observation requirements, in accordance with Resolution </w:t>
            </w:r>
            <w:r w:rsidRPr="002333BC">
              <w:rPr>
                <w:b/>
              </w:rPr>
              <w:t>662</w:t>
            </w:r>
            <w:r w:rsidRPr="002333BC">
              <w:t> </w:t>
            </w:r>
            <w:r w:rsidRPr="002333BC">
              <w:rPr>
                <w:b/>
              </w:rPr>
              <w:t>(WRC</w:t>
            </w:r>
            <w:r w:rsidRPr="002333BC">
              <w:rPr>
                <w:b/>
              </w:rPr>
              <w:noBreakHyphen/>
              <w:t>19)</w:t>
            </w:r>
            <w:r w:rsidRPr="002333BC">
              <w:t>;</w:t>
            </w:r>
          </w:p>
        </w:tc>
      </w:tr>
      <w:tr w:rsidR="00D47F38" w:rsidRPr="002333BC" w:rsidTr="005B6143">
        <w:trPr>
          <w:jc w:val="center"/>
        </w:trPr>
        <w:tc>
          <w:tcPr>
            <w:tcW w:w="3400" w:type="dxa"/>
          </w:tcPr>
          <w:p w:rsidR="00D47F38" w:rsidRPr="002333BC" w:rsidRDefault="00D47F38" w:rsidP="00ED7B8A">
            <w:pPr>
              <w:pStyle w:val="Tabletext"/>
              <w:rPr>
                <w:b/>
              </w:rPr>
            </w:pPr>
            <w:r w:rsidRPr="002333BC">
              <w:t>Resolution</w:t>
            </w:r>
            <w:r w:rsidRPr="002333BC">
              <w:rPr>
                <w:b/>
              </w:rPr>
              <w:t> 662 (WRC</w:t>
            </w:r>
            <w:r w:rsidRPr="002333BC">
              <w:rPr>
                <w:b/>
              </w:rPr>
              <w:noBreakHyphen/>
              <w:t>19)</w:t>
            </w:r>
          </w:p>
          <w:p w:rsidR="00D47F38" w:rsidRPr="002333BC" w:rsidRDefault="00D47F38" w:rsidP="00ED7B8A">
            <w:pPr>
              <w:pStyle w:val="Tabletext"/>
            </w:pPr>
            <w:r w:rsidRPr="002333BC">
              <w:t>Review of frequency allocations for EESS (passive) in the frequency range 231.5-252 GHz and consider possible adjustment according to observation requirements of passive microwave sensors</w:t>
            </w:r>
          </w:p>
        </w:tc>
        <w:tc>
          <w:tcPr>
            <w:tcW w:w="1562" w:type="dxa"/>
          </w:tcPr>
          <w:p w:rsidR="00D47F38" w:rsidRPr="002333BC" w:rsidRDefault="00D47F38" w:rsidP="00ED7B8A">
            <w:pPr>
              <w:pStyle w:val="Tabletext"/>
              <w:jc w:val="center"/>
            </w:pPr>
            <w:r w:rsidRPr="002333BC">
              <w:rPr>
                <w:b/>
                <w:bCs/>
              </w:rPr>
              <w:t>WP 7C</w:t>
            </w:r>
          </w:p>
        </w:tc>
        <w:tc>
          <w:tcPr>
            <w:tcW w:w="7653" w:type="dxa"/>
          </w:tcPr>
          <w:p w:rsidR="00D47F38" w:rsidRPr="002333BC" w:rsidRDefault="00D47F38" w:rsidP="00373E4E">
            <w:pPr>
              <w:pStyle w:val="StyleCall10pt"/>
            </w:pPr>
            <w:r w:rsidRPr="002333BC">
              <w:t>resolves to invite ITU</w:t>
            </w:r>
            <w:r w:rsidRPr="002333BC">
              <w:noBreakHyphen/>
              <w:t>R</w:t>
            </w:r>
          </w:p>
          <w:p w:rsidR="00D47F38" w:rsidRPr="002333BC" w:rsidRDefault="00D47F38" w:rsidP="00ED7B8A">
            <w:pPr>
              <w:pStyle w:val="Tabletext"/>
              <w:jc w:val="both"/>
            </w:pPr>
            <w:r w:rsidRPr="002333BC">
              <w:t>1</w:t>
            </w:r>
            <w:r w:rsidRPr="002333BC">
              <w:tab/>
              <w:t>to review the existing primary allocations to the EESS (passive) in the frequency range 231.5</w:t>
            </w:r>
            <w:r w:rsidRPr="002333BC">
              <w:noBreakHyphen/>
              <w:t>252 GHz in order to analyse if these allocations are aligned with observation requirements of passive microwave sensors;</w:t>
            </w:r>
          </w:p>
          <w:p w:rsidR="00D47F38" w:rsidRPr="002333BC" w:rsidRDefault="00D47F38" w:rsidP="00ED7B8A">
            <w:pPr>
              <w:pStyle w:val="Tabletext"/>
              <w:jc w:val="both"/>
            </w:pPr>
            <w:r w:rsidRPr="002333BC">
              <w:t>2</w:t>
            </w:r>
            <w:r w:rsidRPr="002333BC">
              <w:tab/>
              <w:t>to study the impact that any change to the EESS (passive) allocations in the frequency range 231.5-252 GHz might have on the other primary services in these frequency bands;</w:t>
            </w:r>
          </w:p>
          <w:p w:rsidR="00D47F38" w:rsidRPr="00C3113D" w:rsidRDefault="00D47F38" w:rsidP="00ED7B8A">
            <w:pPr>
              <w:pStyle w:val="Tabletext"/>
              <w:jc w:val="both"/>
              <w:rPr>
                <w:spacing w:val="-4"/>
              </w:rPr>
            </w:pPr>
            <w:r w:rsidRPr="002333BC">
              <w:t>3</w:t>
            </w:r>
            <w:r w:rsidRPr="002333BC">
              <w:tab/>
            </w:r>
            <w:r w:rsidRPr="00C3113D">
              <w:rPr>
                <w:spacing w:val="-4"/>
              </w:rPr>
              <w:t xml:space="preserve">to study, as appropriate, possible adjustments to the EESS (passive) allocations in the frequency range 231.5-252 GHz, taking into account the results under </w:t>
            </w:r>
            <w:r w:rsidRPr="00C3113D">
              <w:rPr>
                <w:i/>
                <w:spacing w:val="-4"/>
              </w:rPr>
              <w:t>resolves to invite ITU</w:t>
            </w:r>
            <w:r w:rsidRPr="00C3113D">
              <w:rPr>
                <w:i/>
                <w:spacing w:val="-4"/>
              </w:rPr>
              <w:noBreakHyphen/>
              <w:t>R</w:t>
            </w:r>
            <w:r w:rsidRPr="00C3113D">
              <w:rPr>
                <w:spacing w:val="-4"/>
              </w:rPr>
              <w:t> 1 above,</w:t>
            </w:r>
          </w:p>
          <w:p w:rsidR="00D47F38" w:rsidRPr="002333BC" w:rsidRDefault="00D47F38" w:rsidP="00373E4E">
            <w:pPr>
              <w:pStyle w:val="StyleCall10pt"/>
            </w:pPr>
            <w:r w:rsidRPr="002333BC">
              <w:br w:type="page"/>
              <w:t>invites the 2023 World Radiocommunication Conference</w:t>
            </w:r>
          </w:p>
          <w:p w:rsidR="00D47F38" w:rsidRPr="00C3113D" w:rsidRDefault="00D47F38" w:rsidP="00ED7B8A">
            <w:pPr>
              <w:pStyle w:val="Tabletext"/>
              <w:jc w:val="both"/>
              <w:rPr>
                <w:spacing w:val="-4"/>
              </w:rPr>
            </w:pPr>
            <w:r w:rsidRPr="00C3113D">
              <w:rPr>
                <w:spacing w:val="-4"/>
              </w:rPr>
              <w:t>to review the results of these studies with a view to adjusting existing allocations or adding possible new allocations, as appropriate, to EESS (passive) in the frequency range 231.5</w:t>
            </w:r>
            <w:r w:rsidRPr="00C3113D">
              <w:rPr>
                <w:spacing w:val="-4"/>
              </w:rPr>
              <w:noBreakHyphen/>
              <w:t>252 GHz without unduly constraining the other primary services currently allocated in this frequency range,</w:t>
            </w:r>
          </w:p>
          <w:p w:rsidR="00D47F38" w:rsidRPr="002333BC" w:rsidRDefault="00D47F38" w:rsidP="00373E4E">
            <w:pPr>
              <w:pStyle w:val="StyleCall10pt"/>
            </w:pPr>
            <w:r w:rsidRPr="002333BC">
              <w:t>invites administrations</w:t>
            </w:r>
          </w:p>
          <w:p w:rsidR="00D47F38" w:rsidRPr="002333BC" w:rsidRDefault="00D47F38" w:rsidP="00ED7B8A">
            <w:pPr>
              <w:pStyle w:val="Tabletext"/>
              <w:jc w:val="both"/>
            </w:pPr>
            <w:r w:rsidRPr="002333BC">
              <w:t>to participate actively in the studies by submitting contributions to ITU</w:t>
            </w:r>
            <w:r w:rsidRPr="002333BC">
              <w:noBreakHyphen/>
              <w:t>R,</w:t>
            </w:r>
          </w:p>
          <w:p w:rsidR="00D47F38" w:rsidRPr="002333BC" w:rsidRDefault="00D47F38" w:rsidP="00373E4E">
            <w:pPr>
              <w:pStyle w:val="StyleCall10pt"/>
            </w:pPr>
            <w:r w:rsidRPr="002333BC">
              <w:t>instructs the Secretary-General</w:t>
            </w:r>
          </w:p>
          <w:p w:rsidR="00D47F38" w:rsidRPr="003963CC" w:rsidRDefault="00D47F38" w:rsidP="00ED7B8A">
            <w:pPr>
              <w:pStyle w:val="Tabletext"/>
              <w:jc w:val="both"/>
              <w:rPr>
                <w:spacing w:val="2"/>
              </w:rPr>
            </w:pPr>
            <w:r w:rsidRPr="003963CC">
              <w:rPr>
                <w:spacing w:val="2"/>
              </w:rPr>
              <w:t>to bring this Resolution to the attention of the international and regional organizations concerned.</w:t>
            </w:r>
          </w:p>
        </w:tc>
        <w:tc>
          <w:tcPr>
            <w:tcW w:w="1560" w:type="dxa"/>
          </w:tcPr>
          <w:p w:rsidR="00D47F38" w:rsidRPr="002333BC" w:rsidRDefault="00D47F38" w:rsidP="00ED7B8A">
            <w:pPr>
              <w:pStyle w:val="Tabletext"/>
              <w:jc w:val="center"/>
            </w:pPr>
            <w:r w:rsidRPr="002333BC">
              <w:rPr>
                <w:b/>
                <w:bCs/>
              </w:rPr>
              <w:t xml:space="preserve">WP 3J, WP 3M, WP 4A, </w:t>
            </w:r>
            <w:r w:rsidRPr="000971F6">
              <w:rPr>
                <w:b/>
                <w:bCs/>
              </w:rPr>
              <w:t xml:space="preserve">WP 4C, WP 5A, WP 5B, </w:t>
            </w:r>
            <w:r w:rsidRPr="000971F6">
              <w:rPr>
                <w:b/>
                <w:bCs/>
              </w:rPr>
              <w:br/>
              <w:t>WP 5C</w:t>
            </w:r>
          </w:p>
        </w:tc>
      </w:tr>
      <w:tr w:rsidR="00D47F38" w:rsidRPr="002333BC" w:rsidTr="00373E4E">
        <w:trPr>
          <w:cantSplit/>
          <w:jc w:val="center"/>
        </w:trPr>
        <w:tc>
          <w:tcPr>
            <w:tcW w:w="14175" w:type="dxa"/>
            <w:gridSpan w:val="4"/>
          </w:tcPr>
          <w:p w:rsidR="00D47F38" w:rsidRPr="002333BC" w:rsidRDefault="00D47F38" w:rsidP="003963CC">
            <w:pPr>
              <w:pStyle w:val="Tabletext"/>
              <w:keepNext/>
              <w:jc w:val="both"/>
            </w:pPr>
            <w:r w:rsidRPr="002333BC">
              <w:t>1.15</w:t>
            </w:r>
            <w:r w:rsidRPr="002333BC">
              <w:tab/>
              <w:t xml:space="preserve">to harmonize the use of the frequency band 12.75-13.25 GHz (Earth-to-space) by earth stations on aircraft and vessels communicating with geostationary space stations in the fixed-satellite service globally, in accordance with Resolution </w:t>
            </w:r>
            <w:r w:rsidRPr="002333BC">
              <w:rPr>
                <w:b/>
                <w:bCs/>
              </w:rPr>
              <w:t>172</w:t>
            </w:r>
            <w:r w:rsidRPr="002333BC">
              <w:t> </w:t>
            </w:r>
            <w:r w:rsidRPr="002333BC">
              <w:rPr>
                <w:b/>
              </w:rPr>
              <w:t>(WRC</w:t>
            </w:r>
            <w:r w:rsidRPr="002333BC">
              <w:rPr>
                <w:b/>
              </w:rPr>
              <w:noBreakHyphen/>
              <w:t>19)</w:t>
            </w:r>
            <w:r w:rsidRPr="002333BC">
              <w:t>;</w:t>
            </w:r>
          </w:p>
        </w:tc>
      </w:tr>
      <w:tr w:rsidR="00D47F38" w:rsidRPr="002333BC" w:rsidTr="005B6143">
        <w:trPr>
          <w:jc w:val="center"/>
        </w:trPr>
        <w:tc>
          <w:tcPr>
            <w:tcW w:w="3400" w:type="dxa"/>
          </w:tcPr>
          <w:p w:rsidR="00D47F38" w:rsidRPr="002333BC" w:rsidRDefault="00D47F38" w:rsidP="003963CC">
            <w:pPr>
              <w:pStyle w:val="Tabletext"/>
              <w:rPr>
                <w:b/>
              </w:rPr>
            </w:pPr>
            <w:r w:rsidRPr="002333BC">
              <w:t>Resolution</w:t>
            </w:r>
            <w:r w:rsidRPr="002333BC">
              <w:rPr>
                <w:b/>
              </w:rPr>
              <w:t> 172 (WRC</w:t>
            </w:r>
            <w:r w:rsidRPr="002333BC">
              <w:rPr>
                <w:b/>
              </w:rPr>
              <w:noBreakHyphen/>
              <w:t>19)</w:t>
            </w:r>
          </w:p>
          <w:p w:rsidR="00D47F38" w:rsidRPr="00FC761E" w:rsidRDefault="00D47F38" w:rsidP="00C3113D">
            <w:pPr>
              <w:pStyle w:val="Tabletext"/>
              <w:keepNext/>
              <w:rPr>
                <w:spacing w:val="-6"/>
              </w:rPr>
            </w:pPr>
            <w:bookmarkStart w:id="8" w:name="_Toc444507534"/>
            <w:bookmarkStart w:id="9" w:name="_Toc460331693"/>
            <w:r w:rsidRPr="00FC761E">
              <w:rPr>
                <w:spacing w:val="-6"/>
              </w:rPr>
              <w:t>Operation of earth stations on aircraft and vessels communicating with geostationary space stations in the fixed-satellite service</w:t>
            </w:r>
            <w:bookmarkEnd w:id="8"/>
            <w:bookmarkEnd w:id="9"/>
            <w:r w:rsidRPr="00FC761E">
              <w:rPr>
                <w:spacing w:val="-6"/>
              </w:rPr>
              <w:t xml:space="preserve"> in the frequency band 12.75-13.25 GHz (Earth-to-space)</w:t>
            </w:r>
          </w:p>
        </w:tc>
        <w:tc>
          <w:tcPr>
            <w:tcW w:w="1562" w:type="dxa"/>
          </w:tcPr>
          <w:p w:rsidR="00D47F38" w:rsidRPr="002333BC" w:rsidRDefault="00D47F38" w:rsidP="00ED7B8A">
            <w:pPr>
              <w:pStyle w:val="Tabletext"/>
              <w:jc w:val="center"/>
            </w:pPr>
            <w:r w:rsidRPr="002333BC">
              <w:rPr>
                <w:b/>
                <w:bCs/>
              </w:rPr>
              <w:t>WP 4A</w:t>
            </w:r>
          </w:p>
        </w:tc>
        <w:tc>
          <w:tcPr>
            <w:tcW w:w="7653" w:type="dxa"/>
          </w:tcPr>
          <w:p w:rsidR="00D47F38" w:rsidRPr="002333BC" w:rsidRDefault="00D47F38" w:rsidP="00373E4E">
            <w:pPr>
              <w:pStyle w:val="StyleCall10pt"/>
            </w:pPr>
            <w:r w:rsidRPr="002333BC">
              <w:t>resolves to invite ITU</w:t>
            </w:r>
            <w:r w:rsidRPr="002333BC">
              <w:noBreakHyphen/>
              <w:t>R</w:t>
            </w:r>
          </w:p>
          <w:p w:rsidR="00D47F38" w:rsidRPr="002333BC" w:rsidRDefault="00D47F38" w:rsidP="00ED7B8A">
            <w:pPr>
              <w:pStyle w:val="Tabletext"/>
              <w:jc w:val="both"/>
            </w:pPr>
            <w:r w:rsidRPr="002333BC">
              <w:t>1</w:t>
            </w:r>
            <w:r w:rsidRPr="002333BC">
              <w:tab/>
            </w:r>
            <w:bookmarkStart w:id="10" w:name="_Hlk23323097"/>
            <w:r w:rsidRPr="002333BC">
              <w:t xml:space="preserve">to study the technical and operational characteristics and user requirements of earth </w:t>
            </w:r>
            <w:bookmarkEnd w:id="10"/>
            <w:r w:rsidRPr="002333BC">
              <w:t>stations on aircraft and vessels that communicate or plan to communicate with GSO space stations in the FSS in the frequency band 12.75-13.25 GHz (Earth-to-space) under the envelope of Appendix </w:t>
            </w:r>
            <w:r w:rsidRPr="002333BC">
              <w:rPr>
                <w:b/>
              </w:rPr>
              <w:t xml:space="preserve">30B </w:t>
            </w:r>
            <w:r w:rsidRPr="002333BC">
              <w:t xml:space="preserve">Article 6 recorded in the List or MIFR with favourable finding only and examination of related existing regulatory provisions, subject to </w:t>
            </w:r>
            <w:r w:rsidRPr="002333BC">
              <w:rPr>
                <w:i/>
              </w:rPr>
              <w:t>recognizing a)</w:t>
            </w:r>
            <w:r w:rsidRPr="002333BC">
              <w:t>;</w:t>
            </w:r>
          </w:p>
          <w:p w:rsidR="00D47F38" w:rsidRPr="002333BC" w:rsidRDefault="00D47F38" w:rsidP="00ED7B8A">
            <w:pPr>
              <w:pStyle w:val="Tabletext"/>
              <w:jc w:val="both"/>
            </w:pPr>
            <w:r w:rsidRPr="002333BC">
              <w:t>2</w:t>
            </w:r>
            <w:r w:rsidRPr="002333BC">
              <w:tab/>
              <w:t xml:space="preserve">to study the sharing and compatibility issues between </w:t>
            </w:r>
            <w:bookmarkStart w:id="11" w:name="_Hlk24794679"/>
            <w:r w:rsidRPr="002333BC">
              <w:t>earth stations on aircraft</w:t>
            </w:r>
            <w:r w:rsidRPr="002333BC" w:rsidDel="00465848">
              <w:t xml:space="preserve"> </w:t>
            </w:r>
            <w:r w:rsidRPr="002333BC">
              <w:t xml:space="preserve">and vessels </w:t>
            </w:r>
            <w:bookmarkEnd w:id="11"/>
            <w:r w:rsidRPr="002333BC">
              <w:t xml:space="preserve">communicating with GSO space stations in the FSS and current and planned stations of existing services in </w:t>
            </w:r>
            <w:r w:rsidRPr="002333BC">
              <w:rPr>
                <w:i/>
              </w:rPr>
              <w:t>considering</w:t>
            </w:r>
            <w:r w:rsidRPr="002333BC">
              <w:t> </w:t>
            </w:r>
            <w:r w:rsidRPr="002333BC">
              <w:rPr>
                <w:i/>
              </w:rPr>
              <w:t xml:space="preserve">a) </w:t>
            </w:r>
            <w:r w:rsidRPr="002333BC">
              <w:t>as well as services in bands adjacent to those, to ensure protection of, and not impose undue constraints on, those services and their future development, taking into account the provisions of Appendix </w:t>
            </w:r>
            <w:r w:rsidRPr="002333BC">
              <w:rPr>
                <w:b/>
              </w:rPr>
              <w:t>30B</w:t>
            </w:r>
            <w:r w:rsidRPr="002333BC">
              <w:t>;</w:t>
            </w:r>
          </w:p>
          <w:p w:rsidR="00D47F38" w:rsidRPr="002333BC" w:rsidRDefault="00D47F38" w:rsidP="00ED7B8A">
            <w:pPr>
              <w:pStyle w:val="Tabletext"/>
              <w:jc w:val="both"/>
            </w:pPr>
            <w:r w:rsidRPr="002333BC">
              <w:t>3</w:t>
            </w:r>
            <w:r w:rsidRPr="002333BC">
              <w:tab/>
              <w:t>to study the responsibility of the entities involved in the operation of the earth stations on aircraft</w:t>
            </w:r>
            <w:r w:rsidRPr="002333BC" w:rsidDel="00465848">
              <w:t xml:space="preserve"> </w:t>
            </w:r>
            <w:r w:rsidRPr="002333BC">
              <w:t>and vessels in this Resolution;</w:t>
            </w:r>
          </w:p>
          <w:p w:rsidR="00D47F38" w:rsidRPr="002333BC" w:rsidRDefault="00D47F38" w:rsidP="00ED7B8A">
            <w:pPr>
              <w:pStyle w:val="Tabletext"/>
              <w:jc w:val="both"/>
            </w:pPr>
            <w:r w:rsidRPr="002333BC">
              <w:t>3</w:t>
            </w:r>
            <w:r w:rsidRPr="002333BC">
              <w:rPr>
                <w:i/>
                <w:iCs/>
              </w:rPr>
              <w:t>bis</w:t>
            </w:r>
            <w:r w:rsidRPr="002333BC">
              <w:tab/>
              <w:t>to develop the criteria to ensure that earth stations on aircraft and vessels as a new application of FSS in this frequency band shall not claim more protection or cause more interference than filed earth stations in Appendix </w:t>
            </w:r>
            <w:r w:rsidRPr="002333BC">
              <w:rPr>
                <w:b/>
              </w:rPr>
              <w:t>30B</w:t>
            </w:r>
            <w:r w:rsidRPr="002333BC">
              <w:t>;</w:t>
            </w:r>
          </w:p>
          <w:p w:rsidR="00D47F38" w:rsidRPr="002333BC" w:rsidRDefault="00D47F38" w:rsidP="00ED7B8A">
            <w:pPr>
              <w:pStyle w:val="Tabletext"/>
              <w:jc w:val="both"/>
            </w:pPr>
            <w:r w:rsidRPr="002333BC">
              <w:t>4</w:t>
            </w:r>
            <w:r w:rsidRPr="002333BC">
              <w:tab/>
              <w:t xml:space="preserve">to develop the technical conditions and regulatory provisions for the harmonized operation of earth stations on aircraft and vessels communicating with GSO space stations in the FSS operating in the frequency band 12.75-13.25 GHz (Earth-to-space), considering the results of the studies outlined in </w:t>
            </w:r>
            <w:r w:rsidRPr="002333BC">
              <w:rPr>
                <w:i/>
                <w:iCs/>
              </w:rPr>
              <w:t>resolves to invite ITU</w:t>
            </w:r>
            <w:r w:rsidRPr="002333BC">
              <w:rPr>
                <w:i/>
                <w:iCs/>
              </w:rPr>
              <w:noBreakHyphen/>
              <w:t>R</w:t>
            </w:r>
            <w:r w:rsidRPr="002333BC">
              <w:rPr>
                <w:i/>
              </w:rPr>
              <w:t> </w:t>
            </w:r>
            <w:r w:rsidRPr="002333BC">
              <w:t>1 and 2, and in particular without affecting the Appendix </w:t>
            </w:r>
            <w:r w:rsidRPr="002333BC">
              <w:rPr>
                <w:b/>
              </w:rPr>
              <w:t xml:space="preserve">30B </w:t>
            </w:r>
            <w:r w:rsidRPr="002333BC">
              <w:t>Plan;</w:t>
            </w:r>
          </w:p>
          <w:p w:rsidR="00D47F38" w:rsidRPr="002333BC" w:rsidRDefault="00D47F38" w:rsidP="00ED7B8A">
            <w:pPr>
              <w:pStyle w:val="Tabletext"/>
              <w:jc w:val="both"/>
            </w:pPr>
            <w:r w:rsidRPr="002333BC">
              <w:t>5</w:t>
            </w:r>
            <w:r w:rsidRPr="002333BC">
              <w:tab/>
              <w:t>to ensure that the operation of earth stations on aircraft and vessels in the frequency band 12.75-13.25 GHz under Appendix </w:t>
            </w:r>
            <w:r w:rsidRPr="002333BC">
              <w:rPr>
                <w:b/>
              </w:rPr>
              <w:t>30B</w:t>
            </w:r>
            <w:r w:rsidRPr="002333BC">
              <w:t xml:space="preserve"> shall not adversely affect the criteria in </w:t>
            </w:r>
            <w:r w:rsidRPr="002333BC">
              <w:rPr>
                <w:i/>
              </w:rPr>
              <w:t>recognizing j)</w:t>
            </w:r>
            <w:r w:rsidRPr="002333BC">
              <w:t>, including the cumulative effect of multiple earth stations on aircraft and vessels;</w:t>
            </w:r>
          </w:p>
          <w:p w:rsidR="00D47F38" w:rsidRPr="002333BC" w:rsidRDefault="00D47F38" w:rsidP="00ED7B8A">
            <w:pPr>
              <w:pStyle w:val="Tabletext"/>
              <w:jc w:val="both"/>
            </w:pPr>
            <w:r w:rsidRPr="002333BC">
              <w:t>6</w:t>
            </w:r>
            <w:r w:rsidRPr="002333BC">
              <w:tab/>
              <w:t>to ensure that the use of the frequency band 12.75-13.25 GHz (Earth-to-space) by earth stations on aircraft and vessels shall not limit the access of other administrations to their national resources in Appendix </w:t>
            </w:r>
            <w:r w:rsidRPr="002333BC">
              <w:rPr>
                <w:b/>
              </w:rPr>
              <w:t>30B</w:t>
            </w:r>
            <w:r w:rsidRPr="002333BC">
              <w:t xml:space="preserve"> as well as implementation of Resolution </w:t>
            </w:r>
            <w:r w:rsidRPr="002333BC">
              <w:rPr>
                <w:b/>
                <w:bCs/>
              </w:rPr>
              <w:t>170</w:t>
            </w:r>
            <w:r w:rsidRPr="002333BC">
              <w:t xml:space="preserve"> </w:t>
            </w:r>
            <w:r w:rsidRPr="002333BC">
              <w:rPr>
                <w:b/>
              </w:rPr>
              <w:t>(WRC</w:t>
            </w:r>
            <w:r w:rsidRPr="002333BC">
              <w:rPr>
                <w:b/>
              </w:rPr>
              <w:noBreakHyphen/>
              <w:t>19)</w:t>
            </w:r>
            <w:r w:rsidRPr="002333BC">
              <w:rPr>
                <w:bCs/>
              </w:rPr>
              <w:t>;</w:t>
            </w:r>
          </w:p>
          <w:p w:rsidR="00D47F38" w:rsidRPr="002333BC" w:rsidRDefault="00D47F38" w:rsidP="00ED7B8A">
            <w:pPr>
              <w:pStyle w:val="Tabletext"/>
              <w:jc w:val="both"/>
            </w:pPr>
            <w:r w:rsidRPr="002333BC">
              <w:t>7</w:t>
            </w:r>
            <w:r w:rsidRPr="002333BC">
              <w:tab/>
              <w:t>to ensure that the use of earth stations on aircraft and vessels in this Resolution would not result in any additional status than the GSO network with which these stations communicate;</w:t>
            </w:r>
          </w:p>
          <w:p w:rsidR="00D47F38" w:rsidRPr="002333BC" w:rsidRDefault="00D47F38" w:rsidP="00ED7B8A">
            <w:pPr>
              <w:pStyle w:val="Tabletext"/>
              <w:jc w:val="both"/>
            </w:pPr>
            <w:r w:rsidRPr="002333BC">
              <w:t>8</w:t>
            </w:r>
            <w:r w:rsidRPr="002333BC">
              <w:tab/>
              <w:t>to ensure that the results of ITU</w:t>
            </w:r>
            <w:r w:rsidRPr="002333BC">
              <w:noBreakHyphen/>
              <w:t xml:space="preserve">R studies are agreed by Member States </w:t>
            </w:r>
            <w:r w:rsidR="00F071C2">
              <w:t xml:space="preserve">taking into account the required </w:t>
            </w:r>
            <w:r w:rsidRPr="002333BC">
              <w:t>consensus</w:t>
            </w:r>
            <w:r w:rsidR="00F071C2">
              <w:t xml:space="preserve"> on this matter</w:t>
            </w:r>
            <w:r w:rsidRPr="002333BC">
              <w:t>;</w:t>
            </w:r>
          </w:p>
          <w:p w:rsidR="00D47F38" w:rsidRPr="002333BC" w:rsidRDefault="00D47F38" w:rsidP="00ED7B8A">
            <w:pPr>
              <w:pStyle w:val="Tabletext"/>
              <w:jc w:val="both"/>
            </w:pPr>
            <w:r w:rsidRPr="002333BC">
              <w:t>9</w:t>
            </w:r>
            <w:r w:rsidRPr="002333BC">
              <w:tab/>
              <w:t>to complete studies in time for WRC</w:t>
            </w:r>
            <w:r w:rsidRPr="002333BC">
              <w:noBreakHyphen/>
              <w:t>23,</w:t>
            </w:r>
          </w:p>
          <w:p w:rsidR="00D47F38" w:rsidRPr="002333BC" w:rsidRDefault="00D47F38" w:rsidP="003963CC">
            <w:pPr>
              <w:pStyle w:val="StyleCall10pt"/>
            </w:pPr>
            <w:r w:rsidRPr="002333BC">
              <w:t>further resolves</w:t>
            </w:r>
          </w:p>
          <w:p w:rsidR="00D47F38" w:rsidRPr="002333BC" w:rsidRDefault="00D47F38" w:rsidP="003963CC">
            <w:pPr>
              <w:pStyle w:val="Tabletext"/>
              <w:keepNext/>
              <w:keepLines/>
              <w:jc w:val="both"/>
            </w:pPr>
            <w:r w:rsidRPr="002333BC">
              <w:t>that earth stations on aircraft and vessels addressed by this Resolution:</w:t>
            </w:r>
          </w:p>
          <w:p w:rsidR="00D47F38" w:rsidRPr="002333BC" w:rsidRDefault="00D47F38" w:rsidP="003963CC">
            <w:pPr>
              <w:pStyle w:val="Tabletext"/>
              <w:keepNext/>
              <w:keepLines/>
              <w:jc w:val="both"/>
            </w:pPr>
            <w:r w:rsidRPr="002333BC">
              <w:rPr>
                <w:i/>
              </w:rPr>
              <w:br w:type="page"/>
              <w:t>a)</w:t>
            </w:r>
            <w:r w:rsidRPr="002333BC">
              <w:tab/>
              <w:t>shall not be used or relied upon for safety-of-life applications;</w:t>
            </w:r>
          </w:p>
          <w:p w:rsidR="00D47F38" w:rsidRPr="002333BC" w:rsidRDefault="00D47F38" w:rsidP="003963CC">
            <w:pPr>
              <w:pStyle w:val="Tabletext"/>
              <w:keepNext/>
              <w:keepLines/>
              <w:jc w:val="both"/>
            </w:pPr>
            <w:r w:rsidRPr="002333BC">
              <w:rPr>
                <w:i/>
              </w:rPr>
              <w:t>b)</w:t>
            </w:r>
            <w:r w:rsidRPr="002333BC">
              <w:tab/>
              <w:t>shall not result in changes or restrictions to the existing Plan allotments and List assignments made under the Appendix </w:t>
            </w:r>
            <w:r w:rsidRPr="002333BC">
              <w:rPr>
                <w:b/>
              </w:rPr>
              <w:t>30B</w:t>
            </w:r>
            <w:r w:rsidRPr="002333BC">
              <w:t>, and their future development,</w:t>
            </w:r>
          </w:p>
          <w:p w:rsidR="00D47F38" w:rsidRPr="00520C62" w:rsidRDefault="00D47F38" w:rsidP="00520C62">
            <w:pPr>
              <w:pStyle w:val="StyleCall10pt"/>
              <w:rPr>
                <w:i w:val="0"/>
              </w:rPr>
            </w:pPr>
            <w:r w:rsidRPr="00520C62">
              <w:t>resolves to invite WRC</w:t>
            </w:r>
            <w:r w:rsidRPr="00520C62">
              <w:noBreakHyphen/>
              <w:t>23</w:t>
            </w:r>
          </w:p>
          <w:p w:rsidR="00D47F38" w:rsidRPr="002333BC" w:rsidRDefault="00D47F38" w:rsidP="00ED7B8A">
            <w:pPr>
              <w:pStyle w:val="Tabletext"/>
              <w:jc w:val="both"/>
            </w:pPr>
            <w:r w:rsidRPr="002333BC">
              <w:t xml:space="preserve">to consider the results of the above studies in </w:t>
            </w:r>
            <w:r w:rsidRPr="002333BC">
              <w:rPr>
                <w:i/>
                <w:iCs/>
              </w:rPr>
              <w:t>resolves to invite ITU</w:t>
            </w:r>
            <w:r w:rsidRPr="002333BC">
              <w:rPr>
                <w:i/>
                <w:iCs/>
              </w:rPr>
              <w:noBreakHyphen/>
              <w:t>R</w:t>
            </w:r>
            <w:r w:rsidRPr="002333BC">
              <w:t xml:space="preserve"> and take necessary actions, as appropriate,</w:t>
            </w:r>
          </w:p>
          <w:p w:rsidR="00D47F38" w:rsidRPr="002333BC" w:rsidRDefault="00D47F38" w:rsidP="00373E4E">
            <w:pPr>
              <w:pStyle w:val="StyleCall10pt"/>
            </w:pPr>
            <w:r w:rsidRPr="002333BC">
              <w:t>invites administrations</w:t>
            </w:r>
          </w:p>
          <w:p w:rsidR="00D47F38" w:rsidRPr="002333BC" w:rsidRDefault="00D47F38" w:rsidP="00ED7B8A">
            <w:pPr>
              <w:pStyle w:val="Tabletext"/>
              <w:jc w:val="both"/>
            </w:pPr>
            <w:r w:rsidRPr="002333BC">
              <w:t>to participate actively in the studies by submitting contributions to ITU</w:t>
            </w:r>
            <w:r w:rsidRPr="002333BC">
              <w:noBreakHyphen/>
              <w:t>R.</w:t>
            </w:r>
          </w:p>
        </w:tc>
        <w:tc>
          <w:tcPr>
            <w:tcW w:w="1560" w:type="dxa"/>
            <w:shd w:val="clear" w:color="auto" w:fill="auto"/>
          </w:tcPr>
          <w:p w:rsidR="00D47F38" w:rsidRPr="002333BC" w:rsidRDefault="00D47F38" w:rsidP="00ED7B8A">
            <w:pPr>
              <w:pStyle w:val="Tabletext"/>
              <w:jc w:val="center"/>
            </w:pPr>
            <w:r w:rsidRPr="000971F6">
              <w:rPr>
                <w:b/>
                <w:bCs/>
              </w:rPr>
              <w:t xml:space="preserve">WP 3M, WP 5A, WP 5B, </w:t>
            </w:r>
            <w:r w:rsidRPr="000971F6">
              <w:rPr>
                <w:b/>
                <w:bCs/>
              </w:rPr>
              <w:br/>
              <w:t>WP 5C</w:t>
            </w:r>
          </w:p>
        </w:tc>
      </w:tr>
      <w:tr w:rsidR="00D47F38" w:rsidRPr="002333BC" w:rsidTr="00373E4E">
        <w:trPr>
          <w:cantSplit/>
          <w:jc w:val="center"/>
        </w:trPr>
        <w:tc>
          <w:tcPr>
            <w:tcW w:w="14175" w:type="dxa"/>
            <w:gridSpan w:val="4"/>
          </w:tcPr>
          <w:p w:rsidR="00D47F38" w:rsidRPr="002333BC" w:rsidRDefault="00D47F38" w:rsidP="00ED7B8A">
            <w:pPr>
              <w:pStyle w:val="Tabletext"/>
              <w:jc w:val="both"/>
            </w:pPr>
            <w:r w:rsidRPr="002333BC">
              <w:rPr>
                <w:rFonts w:eastAsia="MS Mincho"/>
                <w:kern w:val="2"/>
                <w:lang w:eastAsia="ja-JP"/>
              </w:rPr>
              <w:t>1.16</w:t>
            </w:r>
            <w:r w:rsidRPr="002333BC">
              <w:rPr>
                <w:rFonts w:eastAsia="SimSun"/>
              </w:rPr>
              <w:tab/>
              <w:t>to study and develop technical, operational and regulatory measures, as appropriate, to facilitate the use of the frequency bands 17.7-18.6 GHz and 18.8</w:t>
            </w:r>
            <w:r w:rsidRPr="002333BC">
              <w:rPr>
                <w:rFonts w:eastAsia="SimSun"/>
              </w:rPr>
              <w:noBreakHyphen/>
              <w:t xml:space="preserve">19.3 GHz and 19.7-20.2 GHz (space-to-Earth) and 27.5-29.1 GHz and 29.5-30 GHz (Earth-to-space) by non-GSO FSS earth stations in motion, while ensuring due protection of existing services in those frequency bands, in accordance with Resolution </w:t>
            </w:r>
            <w:r w:rsidRPr="002333BC">
              <w:rPr>
                <w:rFonts w:eastAsia="SimSun"/>
                <w:b/>
                <w:bCs/>
              </w:rPr>
              <w:t>173</w:t>
            </w:r>
            <w:r w:rsidRPr="002333BC">
              <w:rPr>
                <w:rFonts w:eastAsia="SimSun"/>
              </w:rPr>
              <w:t> </w:t>
            </w:r>
            <w:r w:rsidRPr="002333BC">
              <w:rPr>
                <w:rFonts w:eastAsia="SimSun"/>
                <w:b/>
                <w:bCs/>
              </w:rPr>
              <w:t>(WRC</w:t>
            </w:r>
            <w:r w:rsidRPr="002333BC">
              <w:rPr>
                <w:rFonts w:eastAsia="SimSun"/>
                <w:b/>
                <w:bCs/>
              </w:rPr>
              <w:noBreakHyphen/>
              <w:t>19)</w:t>
            </w:r>
            <w:r w:rsidRPr="002333BC">
              <w:rPr>
                <w:rFonts w:eastAsia="SimSun"/>
              </w:rPr>
              <w:t>;</w:t>
            </w:r>
          </w:p>
        </w:tc>
      </w:tr>
      <w:tr w:rsidR="00D47F38" w:rsidRPr="002333BC" w:rsidTr="005B6143">
        <w:trPr>
          <w:cantSplit/>
          <w:jc w:val="center"/>
        </w:trPr>
        <w:tc>
          <w:tcPr>
            <w:tcW w:w="3400" w:type="dxa"/>
          </w:tcPr>
          <w:p w:rsidR="00D47F38" w:rsidRPr="002333BC" w:rsidRDefault="00D47F38" w:rsidP="00ED7B8A">
            <w:pPr>
              <w:pStyle w:val="Tabletext"/>
              <w:rPr>
                <w:b/>
              </w:rPr>
            </w:pPr>
            <w:r w:rsidRPr="002333BC">
              <w:t>Resolution</w:t>
            </w:r>
            <w:r w:rsidRPr="002333BC">
              <w:rPr>
                <w:b/>
              </w:rPr>
              <w:t> 173 (WRC</w:t>
            </w:r>
            <w:r w:rsidRPr="002333BC">
              <w:rPr>
                <w:b/>
              </w:rPr>
              <w:noBreakHyphen/>
              <w:t>19)</w:t>
            </w:r>
          </w:p>
          <w:p w:rsidR="00D47F38" w:rsidRPr="002333BC" w:rsidRDefault="00D47F38" w:rsidP="00ED7B8A">
            <w:pPr>
              <w:pStyle w:val="Tabletext"/>
            </w:pPr>
            <w:r w:rsidRPr="002333BC">
              <w:t>Use of the frequency bands 17.7</w:t>
            </w:r>
            <w:r w:rsidRPr="002333BC">
              <w:noBreakHyphen/>
              <w:t>18.6 GHz and 18.8-19.3 GHz and 19.7-20.2 GHz (space-to-Earth) and 27.5-29.1 GHz and 29.5-30 GHz (Earth-to-space) by earth stations in motion communicating with non-geostationary space stations in the fixed-satellite service</w:t>
            </w:r>
          </w:p>
        </w:tc>
        <w:tc>
          <w:tcPr>
            <w:tcW w:w="1562" w:type="dxa"/>
          </w:tcPr>
          <w:p w:rsidR="00D47F38" w:rsidRPr="002333BC" w:rsidRDefault="00D47F38" w:rsidP="00ED7B8A">
            <w:pPr>
              <w:pStyle w:val="Tabletext"/>
              <w:jc w:val="center"/>
            </w:pPr>
            <w:r w:rsidRPr="002333BC">
              <w:rPr>
                <w:b/>
                <w:bCs/>
              </w:rPr>
              <w:t>WP 4A</w:t>
            </w:r>
          </w:p>
        </w:tc>
        <w:tc>
          <w:tcPr>
            <w:tcW w:w="7653" w:type="dxa"/>
          </w:tcPr>
          <w:p w:rsidR="00D47F38" w:rsidRPr="002333BC" w:rsidRDefault="00D47F38" w:rsidP="00373E4E">
            <w:pPr>
              <w:pStyle w:val="StyleCall10pt"/>
            </w:pPr>
            <w:r w:rsidRPr="002333BC">
              <w:t>resolves to invite ITU-R</w:t>
            </w:r>
          </w:p>
          <w:p w:rsidR="00D47F38" w:rsidRPr="002333BC" w:rsidRDefault="00D47F38" w:rsidP="00ED7B8A">
            <w:pPr>
              <w:pStyle w:val="Tabletext"/>
              <w:jc w:val="both"/>
            </w:pPr>
            <w:r w:rsidRPr="002333BC">
              <w:t>1</w:t>
            </w:r>
            <w:r w:rsidRPr="002333BC">
              <w:rPr>
                <w:iCs/>
              </w:rPr>
              <w:tab/>
            </w:r>
            <w:r w:rsidRPr="002333BC">
              <w:t>to study the technical and operational characteristics and user requirements of the different types of earth stations in motion that plan to operate within non-GSO FSS systems in the frequency bands 17.7-18.6 GHz and 18.8-19.3 GHz and 19.7-20.2 GHz (space-to-Earth) and 27.5</w:t>
            </w:r>
            <w:r w:rsidRPr="002333BC">
              <w:noBreakHyphen/>
              <w:t>29.1 GHz and 29.5-30 GHz (Earth-to-space), or parts thereof;</w:t>
            </w:r>
          </w:p>
          <w:p w:rsidR="00D47F38" w:rsidRPr="002333BC" w:rsidRDefault="00D47F38" w:rsidP="00ED7B8A">
            <w:pPr>
              <w:pStyle w:val="Tabletext"/>
              <w:jc w:val="both"/>
            </w:pPr>
            <w:r w:rsidRPr="002333BC">
              <w:br w:type="page"/>
              <w:t>2</w:t>
            </w:r>
            <w:r w:rsidRPr="002333BC">
              <w:tab/>
              <w:t>to study sharing and compatibility between earth stations in motion operating with non-GSO FSS systems and current and planned stations of primary services allocated in the frequency bands 17.7-18.6 GHz and 18.8-19.3 GHz and 19.7-20.2 GHz (space-to-Earth) and 27.5-29.1 GHz and 29.5</w:t>
            </w:r>
            <w:r w:rsidRPr="002333BC">
              <w:noBreakHyphen/>
              <w:t>30 GHz (Earth-to-space), or parts thereof, to ensure protection of, and not impose additional constraints on, GSO systems and other services, including terrestrial services, in those frequency bands and in adjacent bands, including passive services;</w:t>
            </w:r>
          </w:p>
          <w:p w:rsidR="00D47F38" w:rsidRPr="002333BC" w:rsidRDefault="00D47F38" w:rsidP="00ED7B8A">
            <w:pPr>
              <w:pStyle w:val="Tabletext"/>
              <w:jc w:val="both"/>
            </w:pPr>
            <w:r w:rsidRPr="002333BC">
              <w:t>3</w:t>
            </w:r>
            <w:r w:rsidRPr="002333BC">
              <w:rPr>
                <w:iCs/>
              </w:rPr>
              <w:tab/>
            </w:r>
            <w:r w:rsidRPr="002333BC">
              <w:t xml:space="preserve">to develop the technical and regulatory provisions for the operation of aeronautical and maritime earth stations in motion with non-GSO FSS systems, taking into account the results of studies under </w:t>
            </w:r>
            <w:r w:rsidRPr="002333BC">
              <w:rPr>
                <w:i/>
                <w:iCs/>
              </w:rPr>
              <w:t>resolves to invite ITU-R</w:t>
            </w:r>
            <w:r w:rsidRPr="002333BC">
              <w:t> 1 and 2;</w:t>
            </w:r>
          </w:p>
          <w:p w:rsidR="00D47F38" w:rsidRPr="002333BC" w:rsidRDefault="00D47F38" w:rsidP="00ED7B8A">
            <w:pPr>
              <w:pStyle w:val="Tabletext"/>
              <w:jc w:val="both"/>
            </w:pPr>
            <w:r w:rsidRPr="002333BC">
              <w:t>4</w:t>
            </w:r>
            <w:r w:rsidRPr="002333BC">
              <w:rPr>
                <w:iCs/>
              </w:rPr>
              <w:tab/>
            </w:r>
            <w:r w:rsidRPr="002333BC">
              <w:t>to ensure that the technical and operational measures and the possible regulatory changes established in accordance with this Resolution shall not affect the relevant provisions related to the protection of GSO networks from non-GSO FSS systems;</w:t>
            </w:r>
          </w:p>
          <w:p w:rsidR="00D47F38" w:rsidRPr="002333BC" w:rsidRDefault="00D47F38" w:rsidP="00ED7B8A">
            <w:pPr>
              <w:pStyle w:val="Tabletext"/>
              <w:jc w:val="both"/>
            </w:pPr>
            <w:r w:rsidRPr="002333BC">
              <w:t>5</w:t>
            </w:r>
            <w:r w:rsidRPr="002333BC">
              <w:tab/>
              <w:t>to ensure that the results of ITU</w:t>
            </w:r>
            <w:r w:rsidRPr="002333BC">
              <w:noBreakHyphen/>
              <w:t xml:space="preserve">R studies are agreed by Member States </w:t>
            </w:r>
            <w:r w:rsidR="00F071C2">
              <w:t>by</w:t>
            </w:r>
            <w:r w:rsidRPr="002333BC">
              <w:t xml:space="preserve"> consensus;</w:t>
            </w:r>
          </w:p>
          <w:p w:rsidR="00D47F38" w:rsidRPr="002333BC" w:rsidRDefault="00D47F38" w:rsidP="00ED7B8A">
            <w:pPr>
              <w:pStyle w:val="Tabletext"/>
              <w:jc w:val="both"/>
            </w:pPr>
            <w:r w:rsidRPr="002333BC">
              <w:t>6</w:t>
            </w:r>
            <w:r w:rsidRPr="002333BC">
              <w:tab/>
              <w:t>to complete studies in time for WRC</w:t>
            </w:r>
            <w:r w:rsidRPr="002333BC">
              <w:noBreakHyphen/>
              <w:t>23,</w:t>
            </w:r>
          </w:p>
          <w:p w:rsidR="00D47F38" w:rsidRPr="002333BC" w:rsidRDefault="00D47F38" w:rsidP="00373E4E">
            <w:pPr>
              <w:pStyle w:val="StyleCall10pt"/>
            </w:pPr>
            <w:r w:rsidRPr="002333BC">
              <w:t>resolves to invite WRC</w:t>
            </w:r>
            <w:r w:rsidRPr="002333BC">
              <w:noBreakHyphen/>
              <w:t>23</w:t>
            </w:r>
          </w:p>
          <w:p w:rsidR="00D47F38" w:rsidRPr="002333BC" w:rsidRDefault="00D47F38" w:rsidP="00ED7B8A">
            <w:pPr>
              <w:pStyle w:val="Tabletext"/>
            </w:pPr>
            <w:r w:rsidRPr="002333BC">
              <w:t>to review the results of these studies and take appropriate action.</w:t>
            </w:r>
          </w:p>
        </w:tc>
        <w:tc>
          <w:tcPr>
            <w:tcW w:w="1560" w:type="dxa"/>
          </w:tcPr>
          <w:p w:rsidR="00D47F38" w:rsidRPr="002333BC" w:rsidRDefault="00D47F38" w:rsidP="00ED7B8A">
            <w:pPr>
              <w:pStyle w:val="Tabletext"/>
              <w:jc w:val="center"/>
            </w:pPr>
            <w:r w:rsidRPr="002333BC">
              <w:rPr>
                <w:b/>
                <w:bCs/>
              </w:rPr>
              <w:t xml:space="preserve">WP 3M, </w:t>
            </w:r>
            <w:r w:rsidRPr="000971F6">
              <w:rPr>
                <w:b/>
                <w:bCs/>
              </w:rPr>
              <w:t xml:space="preserve">WP 4C, WP 5A, WP 5B, WP 5C, </w:t>
            </w:r>
            <w:r w:rsidRPr="000971F6">
              <w:rPr>
                <w:b/>
                <w:bCs/>
              </w:rPr>
              <w:br/>
              <w:t>WP 7B</w:t>
            </w:r>
          </w:p>
        </w:tc>
      </w:tr>
      <w:tr w:rsidR="00D47F38" w:rsidRPr="002333BC" w:rsidTr="00373E4E">
        <w:trPr>
          <w:cantSplit/>
          <w:jc w:val="center"/>
        </w:trPr>
        <w:tc>
          <w:tcPr>
            <w:tcW w:w="14175" w:type="dxa"/>
            <w:gridSpan w:val="4"/>
          </w:tcPr>
          <w:p w:rsidR="00D47F38" w:rsidRPr="002333BC" w:rsidRDefault="00D47F38" w:rsidP="003963CC">
            <w:pPr>
              <w:pStyle w:val="Tabletext"/>
              <w:jc w:val="both"/>
              <w:rPr>
                <w:rFonts w:eastAsia="MS Mincho"/>
                <w:kern w:val="2"/>
                <w:lang w:eastAsia="ja-JP"/>
              </w:rPr>
            </w:pPr>
            <w:r w:rsidRPr="002333BC">
              <w:t>1.17</w:t>
            </w:r>
            <w:r w:rsidRPr="002333BC">
              <w:tab/>
              <w:t>to determine and carry out, on the basis of the ITU</w:t>
            </w:r>
            <w:r w:rsidRPr="002333BC">
              <w:noBreakHyphen/>
              <w:t>R studies in</w:t>
            </w:r>
            <w:r w:rsidRPr="002333BC">
              <w:rPr>
                <w:spacing w:val="-8"/>
              </w:rPr>
              <w:t xml:space="preserve"> </w:t>
            </w:r>
            <w:r w:rsidRPr="002333BC">
              <w:t>accordance</w:t>
            </w:r>
            <w:r w:rsidRPr="002333BC">
              <w:rPr>
                <w:spacing w:val="-2"/>
              </w:rPr>
              <w:t xml:space="preserve"> </w:t>
            </w:r>
            <w:r w:rsidRPr="002333BC">
              <w:t xml:space="preserve">with Resolution </w:t>
            </w:r>
            <w:r w:rsidRPr="002333BC">
              <w:rPr>
                <w:b/>
                <w:bCs/>
              </w:rPr>
              <w:t>773</w:t>
            </w:r>
            <w:r w:rsidRPr="002333BC">
              <w:t> </w:t>
            </w:r>
            <w:r w:rsidRPr="002333BC">
              <w:rPr>
                <w:b/>
              </w:rPr>
              <w:t>(WRC</w:t>
            </w:r>
            <w:r w:rsidRPr="002333BC">
              <w:rPr>
                <w:b/>
              </w:rPr>
              <w:noBreakHyphen/>
              <w:t>19)</w:t>
            </w:r>
            <w:r w:rsidRPr="002333BC">
              <w:t>, the appropriate regulatory act</w:t>
            </w:r>
            <w:r w:rsidR="00E20685">
              <w:t>ions for the provision of inter</w:t>
            </w:r>
            <w:r w:rsidR="00E20685">
              <w:noBreakHyphen/>
            </w:r>
            <w:r w:rsidRPr="002333BC">
              <w:t>satellite links in specific frequency bands, or portions thereof, by adding an inter-satellite service allocation where appropriate;</w:t>
            </w:r>
          </w:p>
        </w:tc>
      </w:tr>
      <w:tr w:rsidR="00D47F38" w:rsidRPr="002333BC" w:rsidTr="005B6143">
        <w:trPr>
          <w:jc w:val="center"/>
        </w:trPr>
        <w:tc>
          <w:tcPr>
            <w:tcW w:w="3400" w:type="dxa"/>
          </w:tcPr>
          <w:p w:rsidR="00D47F38" w:rsidRPr="002333BC" w:rsidRDefault="00D47F38" w:rsidP="003963CC">
            <w:pPr>
              <w:pStyle w:val="Tabletext"/>
              <w:rPr>
                <w:b/>
              </w:rPr>
            </w:pPr>
            <w:r w:rsidRPr="002333BC">
              <w:t>Resolution</w:t>
            </w:r>
            <w:r w:rsidRPr="002333BC">
              <w:rPr>
                <w:b/>
              </w:rPr>
              <w:t> 773 (WRC</w:t>
            </w:r>
            <w:r w:rsidRPr="002333BC">
              <w:rPr>
                <w:b/>
              </w:rPr>
              <w:noBreakHyphen/>
              <w:t>19)</w:t>
            </w:r>
          </w:p>
          <w:p w:rsidR="00D47F38" w:rsidRPr="00473474" w:rsidRDefault="00D47F38" w:rsidP="003963CC">
            <w:pPr>
              <w:pStyle w:val="Tabletext"/>
              <w:rPr>
                <w:spacing w:val="2"/>
              </w:rPr>
            </w:pPr>
            <w:r w:rsidRPr="00473474">
              <w:rPr>
                <w:spacing w:val="2"/>
              </w:rPr>
              <w:t>Study of technical and operational issues, and regulatory provisions for satellite-to-satellite links in the frequency bands 11.7-12.7 GHz, 18.1</w:t>
            </w:r>
            <w:r w:rsidRPr="00473474">
              <w:rPr>
                <w:spacing w:val="2"/>
              </w:rPr>
              <w:noBreakHyphen/>
              <w:t>18.6 GHz, 18.8</w:t>
            </w:r>
            <w:r w:rsidRPr="00473474">
              <w:rPr>
                <w:spacing w:val="2"/>
              </w:rPr>
              <w:noBreakHyphen/>
              <w:t>20.2 GHz and 27.5-30 GHz</w:t>
            </w:r>
          </w:p>
        </w:tc>
        <w:tc>
          <w:tcPr>
            <w:tcW w:w="1562" w:type="dxa"/>
          </w:tcPr>
          <w:p w:rsidR="00D47F38" w:rsidRPr="002333BC" w:rsidRDefault="00D47F38" w:rsidP="00ED7B8A">
            <w:pPr>
              <w:pStyle w:val="Tabletext"/>
              <w:jc w:val="center"/>
            </w:pPr>
            <w:r w:rsidRPr="002333BC">
              <w:rPr>
                <w:b/>
                <w:bCs/>
              </w:rPr>
              <w:t>WP 4A</w:t>
            </w:r>
          </w:p>
        </w:tc>
        <w:tc>
          <w:tcPr>
            <w:tcW w:w="7653" w:type="dxa"/>
          </w:tcPr>
          <w:p w:rsidR="00D47F38" w:rsidRPr="002333BC" w:rsidRDefault="00D47F38" w:rsidP="00373E4E">
            <w:pPr>
              <w:pStyle w:val="StyleCall10pt"/>
            </w:pPr>
            <w:r w:rsidRPr="002333BC">
              <w:t>resolves to invite ITU</w:t>
            </w:r>
            <w:r w:rsidRPr="002333BC">
              <w:noBreakHyphen/>
              <w:t>R</w:t>
            </w:r>
          </w:p>
          <w:p w:rsidR="00D47F38" w:rsidRPr="002333BC" w:rsidRDefault="00D47F38" w:rsidP="00C3113D">
            <w:pPr>
              <w:pStyle w:val="Tabletext"/>
              <w:jc w:val="both"/>
              <w:rPr>
                <w:rFonts w:eastAsiaTheme="minorHAnsi"/>
              </w:rPr>
            </w:pPr>
            <w:r w:rsidRPr="002333BC">
              <w:t>1</w:t>
            </w:r>
            <w:r w:rsidRPr="002333BC">
              <w:tab/>
              <w:t xml:space="preserve">to </w:t>
            </w:r>
            <w:r w:rsidRPr="002333BC">
              <w:rPr>
                <w:rFonts w:eastAsiaTheme="minorHAnsi"/>
              </w:rPr>
              <w:t xml:space="preserve">develop the technical and operational characteristics of different types of space stations that plan </w:t>
            </w:r>
            <w:r w:rsidRPr="002333BC">
              <w:t xml:space="preserve">satellite-to-satellite </w:t>
            </w:r>
            <w:r w:rsidRPr="002333BC">
              <w:rPr>
                <w:rFonts w:eastAsiaTheme="minorHAnsi"/>
              </w:rPr>
              <w:t xml:space="preserve">transmissions in the frequency bands </w:t>
            </w:r>
            <w:r w:rsidRPr="002333BC">
              <w:t>11.7</w:t>
            </w:r>
            <w:r w:rsidRPr="002333BC">
              <w:noBreakHyphen/>
              <w:t>12.7 GHz, 18.1</w:t>
            </w:r>
            <w:r w:rsidR="00C3113D">
              <w:noBreakHyphen/>
            </w:r>
            <w:r w:rsidRPr="002333BC">
              <w:t>18.6 GHz,</w:t>
            </w:r>
            <w:r w:rsidRPr="002333BC">
              <w:rPr>
                <w:rFonts w:eastAsiaTheme="minorHAnsi"/>
              </w:rPr>
              <w:t xml:space="preserve"> </w:t>
            </w:r>
            <w:r w:rsidRPr="002333BC">
              <w:t>18.8</w:t>
            </w:r>
            <w:r w:rsidRPr="002333BC">
              <w:noBreakHyphen/>
              <w:t xml:space="preserve">20.2 GHz and </w:t>
            </w:r>
            <w:r w:rsidRPr="002333BC">
              <w:rPr>
                <w:rFonts w:eastAsiaTheme="minorHAnsi"/>
              </w:rPr>
              <w:t>27.5-30 GHz,</w:t>
            </w:r>
            <w:r w:rsidRPr="002333BC">
              <w:t xml:space="preserve"> taking into account </w:t>
            </w:r>
            <w:r w:rsidRPr="002333BC">
              <w:rPr>
                <w:i/>
                <w:iCs/>
              </w:rPr>
              <w:t>considering e)</w:t>
            </w:r>
            <w:r w:rsidRPr="002333BC">
              <w:t xml:space="preserve"> above</w:t>
            </w:r>
            <w:r w:rsidRPr="002333BC">
              <w:rPr>
                <w:rFonts w:eastAsiaTheme="minorHAnsi"/>
              </w:rPr>
              <w:t>;</w:t>
            </w:r>
          </w:p>
          <w:p w:rsidR="00D47F38" w:rsidRPr="002333BC" w:rsidRDefault="00D47F38" w:rsidP="00C3113D">
            <w:pPr>
              <w:pStyle w:val="Tabletext"/>
              <w:keepLines/>
              <w:jc w:val="both"/>
            </w:pPr>
            <w:r w:rsidRPr="002333BC">
              <w:t>2</w:t>
            </w:r>
            <w:r w:rsidRPr="002333BC">
              <w:tab/>
              <w:t>to study the technical and operational characteristics, including spectrum requirements, off</w:t>
            </w:r>
            <w:r w:rsidRPr="002333BC">
              <w:noBreakHyphen/>
              <w:t xml:space="preserve">axis e.i.r.p. values and out-of-band emission limits, for transmissions between space stations in the </w:t>
            </w:r>
            <w:r w:rsidRPr="002333BC">
              <w:rPr>
                <w:color w:val="000000"/>
              </w:rPr>
              <w:t xml:space="preserve">frequency bands </w:t>
            </w:r>
            <w:r w:rsidRPr="002333BC">
              <w:t>11.7-12.7 GHz, 18.1-18.6 GHz,</w:t>
            </w:r>
            <w:r w:rsidRPr="002333BC">
              <w:rPr>
                <w:rFonts w:eastAsiaTheme="minorHAnsi"/>
              </w:rPr>
              <w:t xml:space="preserve"> </w:t>
            </w:r>
            <w:r w:rsidRPr="002333BC">
              <w:t xml:space="preserve">18.8-20.2 GHz and </w:t>
            </w:r>
            <w:r w:rsidRPr="002333BC">
              <w:rPr>
                <w:rFonts w:eastAsiaTheme="minorHAnsi"/>
              </w:rPr>
              <w:t>27.5</w:t>
            </w:r>
            <w:r w:rsidR="00C26A30">
              <w:rPr>
                <w:rFonts w:eastAsiaTheme="minorHAnsi"/>
              </w:rPr>
              <w:noBreakHyphen/>
            </w:r>
            <w:r w:rsidRPr="002333BC">
              <w:rPr>
                <w:rFonts w:eastAsiaTheme="minorHAnsi"/>
              </w:rPr>
              <w:t>30 GHz</w:t>
            </w:r>
            <w:r w:rsidRPr="002333BC">
              <w:t>;</w:t>
            </w:r>
          </w:p>
          <w:p w:rsidR="00D47F38" w:rsidRPr="002333BC" w:rsidRDefault="00D47F38" w:rsidP="00ED7B8A">
            <w:pPr>
              <w:pStyle w:val="Tabletext"/>
              <w:jc w:val="both"/>
            </w:pPr>
            <w:r w:rsidRPr="002333BC">
              <w:rPr>
                <w:bCs/>
              </w:rPr>
              <w:t>3</w:t>
            </w:r>
            <w:r w:rsidRPr="002333BC">
              <w:rPr>
                <w:bCs/>
              </w:rPr>
              <w:tab/>
            </w:r>
            <w:r w:rsidRPr="002333BC">
              <w:t xml:space="preserve">to </w:t>
            </w:r>
            <w:r w:rsidRPr="002333BC">
              <w:rPr>
                <w:rFonts w:eastAsiaTheme="minorHAnsi"/>
              </w:rPr>
              <w:t xml:space="preserve">study sharing and compatibility between </w:t>
            </w:r>
            <w:r w:rsidRPr="002333BC">
              <w:t xml:space="preserve">satellite-to-satellite </w:t>
            </w:r>
            <w:r w:rsidRPr="002333BC">
              <w:rPr>
                <w:rFonts w:eastAsiaTheme="minorHAnsi"/>
              </w:rPr>
              <w:t>links, intending to operate between space stations</w:t>
            </w:r>
            <w:r w:rsidRPr="002333BC" w:rsidDel="004434BB">
              <w:rPr>
                <w:rFonts w:eastAsiaTheme="minorHAnsi"/>
              </w:rPr>
              <w:t xml:space="preserve"> </w:t>
            </w:r>
            <w:r w:rsidRPr="002333BC">
              <w:t>in the frequency bands 11.7-12.7 GHz, 18.1-18.6 GHz,</w:t>
            </w:r>
            <w:r w:rsidRPr="002333BC">
              <w:rPr>
                <w:rFonts w:eastAsiaTheme="minorHAnsi"/>
              </w:rPr>
              <w:t xml:space="preserve"> </w:t>
            </w:r>
            <w:r w:rsidRPr="002333BC">
              <w:t>18.8</w:t>
            </w:r>
            <w:r w:rsidRPr="002333BC">
              <w:noBreakHyphen/>
              <w:t xml:space="preserve">20.2 GHz and </w:t>
            </w:r>
            <w:r w:rsidRPr="002333BC">
              <w:rPr>
                <w:rFonts w:eastAsiaTheme="minorHAnsi"/>
              </w:rPr>
              <w:t>27.5</w:t>
            </w:r>
            <w:r w:rsidRPr="002333BC">
              <w:rPr>
                <w:rFonts w:eastAsiaTheme="minorHAnsi"/>
              </w:rPr>
              <w:noBreakHyphen/>
              <w:t>30 GHz</w:t>
            </w:r>
            <w:r w:rsidRPr="002333BC">
              <w:t xml:space="preserve">, </w:t>
            </w:r>
            <w:r w:rsidRPr="002333BC">
              <w:rPr>
                <w:rFonts w:eastAsiaTheme="minorHAnsi"/>
              </w:rPr>
              <w:t xml:space="preserve">and current and planned stations of the FSS and other existing services allocated in same frequency bands and adjacent bands, including passive services, with a view to ensuring protection of the primary services in </w:t>
            </w:r>
            <w:r w:rsidRPr="002333BC">
              <w:rPr>
                <w:rFonts w:eastAsiaTheme="minorHAnsi"/>
                <w:i/>
              </w:rPr>
              <w:t>recognizing further i)</w:t>
            </w:r>
            <w:r w:rsidRPr="002333BC">
              <w:t>;</w:t>
            </w:r>
          </w:p>
          <w:p w:rsidR="00D47F38" w:rsidRPr="002333BC" w:rsidRDefault="00D47F38" w:rsidP="00C26A30">
            <w:pPr>
              <w:pStyle w:val="Tabletext"/>
              <w:jc w:val="both"/>
              <w:rPr>
                <w:rFonts w:eastAsiaTheme="minorHAnsi"/>
              </w:rPr>
            </w:pPr>
            <w:r w:rsidRPr="002333BC">
              <w:t>4</w:t>
            </w:r>
            <w:r w:rsidRPr="002333BC">
              <w:tab/>
              <w:t xml:space="preserve">to </w:t>
            </w:r>
            <w:r w:rsidRPr="002333BC">
              <w:rPr>
                <w:rFonts w:eastAsiaTheme="minorHAnsi"/>
              </w:rPr>
              <w:t xml:space="preserve">develop, for different types of space stations, the technical conditions and regulatory provisions for </w:t>
            </w:r>
            <w:r w:rsidRPr="002333BC">
              <w:t xml:space="preserve">satellite-to-satellite </w:t>
            </w:r>
            <w:r w:rsidRPr="002333BC">
              <w:rPr>
                <w:rFonts w:eastAsiaTheme="minorHAnsi"/>
              </w:rPr>
              <w:t>operations in the frequency bands</w:t>
            </w:r>
            <w:r w:rsidRPr="002333BC">
              <w:t xml:space="preserve"> 11.7</w:t>
            </w:r>
            <w:r w:rsidRPr="002333BC">
              <w:noBreakHyphen/>
              <w:t>12.7 GHz, 18.1</w:t>
            </w:r>
            <w:r w:rsidR="00C26A30">
              <w:noBreakHyphen/>
            </w:r>
            <w:r w:rsidRPr="002333BC">
              <w:t>18.6 GHz,</w:t>
            </w:r>
            <w:r w:rsidRPr="002333BC">
              <w:rPr>
                <w:rFonts w:eastAsiaTheme="minorHAnsi"/>
              </w:rPr>
              <w:t xml:space="preserve"> </w:t>
            </w:r>
            <w:r w:rsidRPr="002333BC">
              <w:t xml:space="preserve">18.8-20.2 GHz and </w:t>
            </w:r>
            <w:r w:rsidRPr="002333BC">
              <w:rPr>
                <w:rFonts w:eastAsiaTheme="minorHAnsi"/>
              </w:rPr>
              <w:t>27.5-30 GHz, or portions thereof, including new ISS allocations, as appropriate, taking into account the results of the studies above,</w:t>
            </w:r>
          </w:p>
          <w:p w:rsidR="00D47F38" w:rsidRPr="002333BC" w:rsidRDefault="00D47F38" w:rsidP="00373E4E">
            <w:pPr>
              <w:pStyle w:val="StyleCall10pt"/>
            </w:pPr>
            <w:r w:rsidRPr="002333BC">
              <w:t>invites administrations</w:t>
            </w:r>
          </w:p>
          <w:p w:rsidR="00D47F38" w:rsidRPr="002333BC" w:rsidRDefault="00D47F38" w:rsidP="00ED7B8A">
            <w:pPr>
              <w:pStyle w:val="Tabletext"/>
              <w:jc w:val="both"/>
              <w:rPr>
                <w:rFonts w:eastAsia="Calibri"/>
              </w:rPr>
            </w:pPr>
            <w:r w:rsidRPr="002333BC">
              <w:rPr>
                <w:rFonts w:eastAsia="Calibri"/>
              </w:rPr>
              <w:t>to participate in the studies and to provide input contributions,</w:t>
            </w:r>
          </w:p>
          <w:p w:rsidR="00D47F38" w:rsidRPr="002333BC" w:rsidRDefault="00D47F38" w:rsidP="00373E4E">
            <w:pPr>
              <w:pStyle w:val="StyleCall10pt"/>
            </w:pPr>
            <w:r w:rsidRPr="002333BC">
              <w:t>resolves to invite the 2023 World Radiocommunication Conference</w:t>
            </w:r>
          </w:p>
          <w:p w:rsidR="00D47F38" w:rsidRPr="002333BC" w:rsidRDefault="00D47F38" w:rsidP="00ED7B8A">
            <w:pPr>
              <w:pStyle w:val="Tabletext"/>
              <w:jc w:val="both"/>
            </w:pPr>
            <w:r w:rsidRPr="002333BC">
              <w:t>to consider the results of the above studies and take necessary regulatory actions, as appropriate.</w:t>
            </w:r>
          </w:p>
        </w:tc>
        <w:tc>
          <w:tcPr>
            <w:tcW w:w="1560" w:type="dxa"/>
          </w:tcPr>
          <w:p w:rsidR="00D47F38" w:rsidRPr="002333BC" w:rsidRDefault="00D47F38" w:rsidP="00ED7B8A">
            <w:pPr>
              <w:pStyle w:val="Tabletext"/>
              <w:jc w:val="center"/>
            </w:pPr>
            <w:r w:rsidRPr="002333BC">
              <w:rPr>
                <w:b/>
                <w:bCs/>
              </w:rPr>
              <w:t xml:space="preserve">WP 3M, WP 4B, </w:t>
            </w:r>
            <w:r w:rsidRPr="000971F6">
              <w:rPr>
                <w:b/>
                <w:bCs/>
              </w:rPr>
              <w:t>WP 4C, WP 5A, WP 5B,</w:t>
            </w:r>
            <w:r w:rsidRPr="002333BC">
              <w:rPr>
                <w:b/>
                <w:bCs/>
                <w:shd w:val="clear" w:color="auto" w:fill="FFFF00"/>
              </w:rPr>
              <w:t xml:space="preserve"> </w:t>
            </w:r>
            <w:r w:rsidRPr="000971F6">
              <w:rPr>
                <w:b/>
                <w:bCs/>
              </w:rPr>
              <w:t xml:space="preserve">WP 5C, </w:t>
            </w:r>
            <w:r w:rsidRPr="000971F6">
              <w:rPr>
                <w:b/>
                <w:bCs/>
              </w:rPr>
              <w:br/>
            </w:r>
            <w:r w:rsidRPr="002333BC">
              <w:rPr>
                <w:b/>
                <w:bCs/>
              </w:rPr>
              <w:t>WP 7B</w:t>
            </w:r>
          </w:p>
        </w:tc>
      </w:tr>
      <w:tr w:rsidR="00D47F38" w:rsidRPr="002333BC" w:rsidTr="00373E4E">
        <w:trPr>
          <w:cantSplit/>
          <w:jc w:val="center"/>
        </w:trPr>
        <w:tc>
          <w:tcPr>
            <w:tcW w:w="14175" w:type="dxa"/>
            <w:gridSpan w:val="4"/>
          </w:tcPr>
          <w:p w:rsidR="00D47F38" w:rsidRPr="002333BC" w:rsidRDefault="00D47F38" w:rsidP="00ED7B8A">
            <w:pPr>
              <w:pStyle w:val="Tabletext"/>
              <w:jc w:val="both"/>
            </w:pPr>
            <w:r w:rsidRPr="002333BC">
              <w:t>1.18</w:t>
            </w:r>
            <w:r w:rsidRPr="002333BC">
              <w:tab/>
              <w:t xml:space="preserve">to consider studies relating to spectrum needs and potential new allocations to the mobile-satellite service for future development of narrowband mobile-satellite systems, in accordance with Resolution </w:t>
            </w:r>
            <w:r w:rsidRPr="002333BC">
              <w:rPr>
                <w:b/>
                <w:bCs/>
              </w:rPr>
              <w:t>248</w:t>
            </w:r>
            <w:r w:rsidRPr="002333BC">
              <w:t> </w:t>
            </w:r>
            <w:r w:rsidRPr="002333BC">
              <w:rPr>
                <w:b/>
                <w:bCs/>
              </w:rPr>
              <w:t>(WRC</w:t>
            </w:r>
            <w:r w:rsidRPr="002333BC">
              <w:rPr>
                <w:b/>
                <w:bCs/>
              </w:rPr>
              <w:noBreakHyphen/>
              <w:t>19)</w:t>
            </w:r>
            <w:r w:rsidRPr="002333BC">
              <w:t>;</w:t>
            </w:r>
          </w:p>
        </w:tc>
      </w:tr>
      <w:tr w:rsidR="00D47F38" w:rsidRPr="002333BC" w:rsidTr="005B6143">
        <w:trPr>
          <w:jc w:val="center"/>
        </w:trPr>
        <w:tc>
          <w:tcPr>
            <w:tcW w:w="3400" w:type="dxa"/>
          </w:tcPr>
          <w:p w:rsidR="00D47F38" w:rsidRPr="002333BC" w:rsidRDefault="00D47F38" w:rsidP="00ED7B8A">
            <w:pPr>
              <w:pStyle w:val="Tabletext"/>
              <w:rPr>
                <w:b/>
              </w:rPr>
            </w:pPr>
            <w:r w:rsidRPr="002333BC">
              <w:t>Resolution</w:t>
            </w:r>
            <w:r w:rsidRPr="002333BC">
              <w:rPr>
                <w:b/>
              </w:rPr>
              <w:t> 248 (WRC</w:t>
            </w:r>
            <w:r w:rsidRPr="002333BC">
              <w:rPr>
                <w:b/>
              </w:rPr>
              <w:noBreakHyphen/>
              <w:t>19)</w:t>
            </w:r>
          </w:p>
          <w:p w:rsidR="00D47F38" w:rsidRPr="002333BC" w:rsidRDefault="00D47F38" w:rsidP="00ED7B8A">
            <w:pPr>
              <w:pStyle w:val="Tabletext"/>
            </w:pPr>
            <w:r w:rsidRPr="002333BC">
              <w:t>Studies relating to spectrum needs and potentia</w:t>
            </w:r>
            <w:r w:rsidR="00E20685">
              <w:t>l new allocations to the mobile</w:t>
            </w:r>
            <w:r w:rsidR="00E20685">
              <w:noBreakHyphen/>
            </w:r>
            <w:r w:rsidRPr="002333BC">
              <w:t xml:space="preserve">satellite service in the </w:t>
            </w:r>
            <w:r w:rsidRPr="002333BC">
              <w:rPr>
                <w:rFonts w:eastAsia="SimSun"/>
              </w:rPr>
              <w:t>frequency</w:t>
            </w:r>
            <w:r w:rsidRPr="002333BC">
              <w:t xml:space="preserve"> bands 1 695-1 710 MHz,</w:t>
            </w:r>
            <w:r w:rsidRPr="002333BC" w:rsidDel="006E468E">
              <w:t xml:space="preserve"> </w:t>
            </w:r>
            <w:r w:rsidRPr="002333BC">
              <w:t>2 010-2 025 MHz, 3 300</w:t>
            </w:r>
            <w:r w:rsidRPr="002333BC">
              <w:noBreakHyphen/>
              <w:t>3 315 MHz and 3 385-3 400 MHz for future d</w:t>
            </w:r>
            <w:r w:rsidR="00E20685">
              <w:t>evelopment of narrowband mobile</w:t>
            </w:r>
            <w:r w:rsidR="00E20685">
              <w:noBreakHyphen/>
            </w:r>
            <w:r w:rsidRPr="002333BC">
              <w:t>satellite systems</w:t>
            </w:r>
          </w:p>
        </w:tc>
        <w:tc>
          <w:tcPr>
            <w:tcW w:w="1562" w:type="dxa"/>
          </w:tcPr>
          <w:p w:rsidR="00D47F38" w:rsidRPr="002333BC" w:rsidRDefault="00D47F38" w:rsidP="00ED7B8A">
            <w:pPr>
              <w:pStyle w:val="Tabletext"/>
              <w:jc w:val="center"/>
            </w:pPr>
            <w:r w:rsidRPr="002333BC">
              <w:rPr>
                <w:b/>
                <w:bCs/>
              </w:rPr>
              <w:t>WP 4C</w:t>
            </w:r>
          </w:p>
        </w:tc>
        <w:tc>
          <w:tcPr>
            <w:tcW w:w="7653" w:type="dxa"/>
          </w:tcPr>
          <w:p w:rsidR="00D47F38" w:rsidRPr="002333BC" w:rsidRDefault="00D47F38" w:rsidP="00373E4E">
            <w:pPr>
              <w:pStyle w:val="StyleCall10pt"/>
            </w:pPr>
            <w:r w:rsidRPr="002333BC">
              <w:t>resolves to invite ITU</w:t>
            </w:r>
            <w:r w:rsidRPr="002333BC">
              <w:noBreakHyphen/>
              <w:t>R</w:t>
            </w:r>
          </w:p>
          <w:p w:rsidR="00D47F38" w:rsidRPr="002333BC" w:rsidRDefault="00D47F38" w:rsidP="00ED7B8A">
            <w:pPr>
              <w:pStyle w:val="Tabletext"/>
              <w:jc w:val="both"/>
            </w:pPr>
            <w:r w:rsidRPr="002333BC">
              <w:t>1</w:t>
            </w:r>
            <w:r w:rsidRPr="002333BC">
              <w:tab/>
              <w:t xml:space="preserve">to conduct studies on spectrum and operational requirements as well as system characteristics of low-data rate systems for the collection of data from, and management of, terrestrial devices in the MSS as described in </w:t>
            </w:r>
            <w:r w:rsidRPr="002333BC">
              <w:rPr>
                <w:i/>
              </w:rPr>
              <w:t>considering a)</w:t>
            </w:r>
            <w:r w:rsidRPr="002333BC">
              <w:t xml:space="preserve"> and limited to the basic characteristics in </w:t>
            </w:r>
            <w:r w:rsidRPr="002333BC">
              <w:rPr>
                <w:i/>
              </w:rPr>
              <w:t>recognizing c)</w:t>
            </w:r>
            <w:r w:rsidRPr="002333BC">
              <w:t>;</w:t>
            </w:r>
          </w:p>
          <w:p w:rsidR="00D47F38" w:rsidRPr="002333BC" w:rsidRDefault="00D47F38" w:rsidP="00ED7B8A">
            <w:pPr>
              <w:pStyle w:val="Tabletext"/>
              <w:jc w:val="both"/>
            </w:pPr>
            <w:bookmarkStart w:id="12" w:name="_Hlk23501848"/>
            <w:r w:rsidRPr="002333BC">
              <w:t>2</w:t>
            </w:r>
            <w:r w:rsidRPr="002333BC">
              <w:tab/>
              <w:t>to conduct sharing and compatibility studies with existing primary services to determine the suitability of new allocations to the MSS, with a view to protecting the primary services, in the following frequency bands and adjacent frequency bands:</w:t>
            </w:r>
          </w:p>
          <w:p w:rsidR="00D47F38" w:rsidRPr="002333BC" w:rsidRDefault="00D47F38" w:rsidP="00ED7B8A">
            <w:pPr>
              <w:pStyle w:val="Tabletext"/>
              <w:jc w:val="both"/>
            </w:pPr>
            <w:r w:rsidRPr="002333BC">
              <w:tab/>
              <w:t>1 695-1 710 MHz in Region 2,</w:t>
            </w:r>
          </w:p>
          <w:p w:rsidR="00D47F38" w:rsidRPr="002333BC" w:rsidRDefault="00D47F38" w:rsidP="00ED7B8A">
            <w:pPr>
              <w:pStyle w:val="Tabletext"/>
              <w:jc w:val="both"/>
            </w:pPr>
            <w:r w:rsidRPr="002333BC">
              <w:tab/>
              <w:t>2 010-2 025 MHz in Region 1,</w:t>
            </w:r>
          </w:p>
          <w:p w:rsidR="00D47F38" w:rsidRPr="002333BC" w:rsidRDefault="00D47F38" w:rsidP="00ED7B8A">
            <w:pPr>
              <w:pStyle w:val="Tabletext"/>
              <w:jc w:val="both"/>
            </w:pPr>
            <w:r w:rsidRPr="002333BC">
              <w:tab/>
              <w:t>3 300-3 315 MHz, 3 385-3 400 MHz in Region 2;</w:t>
            </w:r>
          </w:p>
          <w:bookmarkEnd w:id="12"/>
          <w:p w:rsidR="00D47F38" w:rsidRPr="002333BC" w:rsidRDefault="00D47F38" w:rsidP="00C3113D">
            <w:pPr>
              <w:pStyle w:val="Tabletext"/>
              <w:keepLines/>
              <w:jc w:val="both"/>
            </w:pPr>
            <w:r w:rsidRPr="002333BC">
              <w:br w:type="page"/>
              <w:t>3</w:t>
            </w:r>
            <w:r w:rsidRPr="002333BC">
              <w:tab/>
              <w:t xml:space="preserve">to consider possible new primary or secondary allocations, with the necessary technical limitations, taking into account the characteristics described in </w:t>
            </w:r>
            <w:r w:rsidRPr="002333BC">
              <w:rPr>
                <w:i/>
              </w:rPr>
              <w:t>recognizing c),</w:t>
            </w:r>
            <w:r w:rsidRPr="002333BC">
              <w:t xml:space="preserve"> to the MSS for non-GSO satellites operating low-data rate systems for the collection of data from, and management of, terrestrial devices based on the result of sharing and compatibility studies, while ensuring the protection of existing primary services in those frequency bands, and adjacent bands, without causing undue constraints on their further development,</w:t>
            </w:r>
          </w:p>
          <w:p w:rsidR="00D47F38" w:rsidRPr="002333BC" w:rsidRDefault="00D47F38" w:rsidP="00373E4E">
            <w:pPr>
              <w:pStyle w:val="StyleCall10pt"/>
            </w:pPr>
            <w:r w:rsidRPr="002333BC">
              <w:t>resolves to invite WRC</w:t>
            </w:r>
            <w:r w:rsidRPr="002333BC">
              <w:noBreakHyphen/>
              <w:t>23</w:t>
            </w:r>
          </w:p>
          <w:p w:rsidR="00D47F38" w:rsidRPr="002333BC" w:rsidRDefault="00D47F38" w:rsidP="00ED7B8A">
            <w:pPr>
              <w:pStyle w:val="Tabletext"/>
              <w:jc w:val="both"/>
            </w:pPr>
            <w:r w:rsidRPr="002333BC">
              <w:t xml:space="preserve">to determine, on the basis of the studies conducted under the </w:t>
            </w:r>
            <w:r w:rsidRPr="002333BC">
              <w:rPr>
                <w:i/>
                <w:iCs/>
              </w:rPr>
              <w:t>resolves to invite ITU</w:t>
            </w:r>
            <w:r w:rsidRPr="002333BC">
              <w:rPr>
                <w:i/>
                <w:iCs/>
              </w:rPr>
              <w:noBreakHyphen/>
              <w:t xml:space="preserve">R </w:t>
            </w:r>
            <w:r w:rsidRPr="002333BC">
              <w:t>above, appropriate regulatory actions,</w:t>
            </w:r>
          </w:p>
          <w:p w:rsidR="00D47F38" w:rsidRPr="002333BC" w:rsidRDefault="00D47F38" w:rsidP="00373E4E">
            <w:pPr>
              <w:pStyle w:val="StyleCall10pt"/>
            </w:pPr>
            <w:r w:rsidRPr="002333BC">
              <w:t>invites administrations</w:t>
            </w:r>
          </w:p>
          <w:p w:rsidR="00D47F38" w:rsidRPr="002333BC" w:rsidRDefault="00D47F38" w:rsidP="00ED7B8A">
            <w:pPr>
              <w:pStyle w:val="Tabletext"/>
            </w:pPr>
            <w:r w:rsidRPr="002333BC">
              <w:t>to participate in the studies by submitting contributions to ITU</w:t>
            </w:r>
            <w:r w:rsidRPr="002333BC">
              <w:noBreakHyphen/>
              <w:t>R.</w:t>
            </w:r>
          </w:p>
        </w:tc>
        <w:tc>
          <w:tcPr>
            <w:tcW w:w="1560" w:type="dxa"/>
          </w:tcPr>
          <w:p w:rsidR="00D47F38" w:rsidRPr="002333BC" w:rsidRDefault="00D47F38" w:rsidP="00ED7B8A">
            <w:pPr>
              <w:pStyle w:val="Tabletext"/>
              <w:jc w:val="center"/>
              <w:rPr>
                <w:b/>
              </w:rPr>
            </w:pPr>
            <w:r w:rsidRPr="002333BC">
              <w:rPr>
                <w:b/>
              </w:rPr>
              <w:t xml:space="preserve">WP 3M, WP 4A, </w:t>
            </w:r>
            <w:r w:rsidRPr="000971F6">
              <w:rPr>
                <w:b/>
              </w:rPr>
              <w:t>WP 4B, WP 5A, WP 5B, WP 5C, WP 5D,</w:t>
            </w:r>
            <w:r w:rsidR="006E6284">
              <w:rPr>
                <w:b/>
              </w:rPr>
              <w:br/>
            </w:r>
            <w:r w:rsidRPr="000971F6">
              <w:rPr>
                <w:b/>
              </w:rPr>
              <w:t>WP</w:t>
            </w:r>
            <w:r w:rsidRPr="002333BC">
              <w:rPr>
                <w:b/>
              </w:rPr>
              <w:t> 7B</w:t>
            </w:r>
          </w:p>
        </w:tc>
      </w:tr>
      <w:tr w:rsidR="00D47F38" w:rsidRPr="002333BC" w:rsidTr="00373E4E">
        <w:trPr>
          <w:cantSplit/>
          <w:jc w:val="center"/>
        </w:trPr>
        <w:tc>
          <w:tcPr>
            <w:tcW w:w="14175" w:type="dxa"/>
            <w:gridSpan w:val="4"/>
          </w:tcPr>
          <w:p w:rsidR="00D47F38" w:rsidRPr="002333BC" w:rsidRDefault="00D47F38" w:rsidP="00ED7B8A">
            <w:pPr>
              <w:pStyle w:val="Tabletext"/>
              <w:jc w:val="both"/>
            </w:pPr>
            <w:r w:rsidRPr="002333BC">
              <w:t>1.19</w:t>
            </w:r>
            <w:r w:rsidRPr="002333BC">
              <w:rPr>
                <w:b/>
              </w:rPr>
              <w:tab/>
            </w:r>
            <w:r w:rsidRPr="002333BC">
              <w:t xml:space="preserve">to consider a new primary allocation to the fixed-satellite service in the space-to-Earth direction in the frequency band 17.3-17.7 GHz in Region 2, while protecting existing primary services in the band, in accordance with Resolution </w:t>
            </w:r>
            <w:r w:rsidRPr="002333BC">
              <w:rPr>
                <w:b/>
                <w:bCs/>
              </w:rPr>
              <w:t>174</w:t>
            </w:r>
            <w:r w:rsidRPr="002333BC">
              <w:t> </w:t>
            </w:r>
            <w:r w:rsidRPr="002333BC">
              <w:rPr>
                <w:b/>
              </w:rPr>
              <w:t>(WRC</w:t>
            </w:r>
            <w:r w:rsidRPr="002333BC">
              <w:rPr>
                <w:b/>
              </w:rPr>
              <w:noBreakHyphen/>
              <w:t>19)</w:t>
            </w:r>
            <w:r w:rsidRPr="002333BC">
              <w:t>;</w:t>
            </w:r>
          </w:p>
        </w:tc>
      </w:tr>
      <w:tr w:rsidR="00D47F38" w:rsidRPr="002333BC" w:rsidTr="005B6143">
        <w:trPr>
          <w:cantSplit/>
          <w:jc w:val="center"/>
        </w:trPr>
        <w:tc>
          <w:tcPr>
            <w:tcW w:w="3400" w:type="dxa"/>
          </w:tcPr>
          <w:p w:rsidR="00D47F38" w:rsidRPr="002333BC" w:rsidRDefault="00D47F38" w:rsidP="00ED7B8A">
            <w:pPr>
              <w:pStyle w:val="Tabletext"/>
              <w:rPr>
                <w:b/>
              </w:rPr>
            </w:pPr>
            <w:r w:rsidRPr="002333BC">
              <w:t>Resolution</w:t>
            </w:r>
            <w:r w:rsidRPr="002333BC">
              <w:rPr>
                <w:b/>
              </w:rPr>
              <w:t> 174 (WRC</w:t>
            </w:r>
            <w:r w:rsidRPr="002333BC">
              <w:rPr>
                <w:b/>
              </w:rPr>
              <w:noBreakHyphen/>
              <w:t>19)</w:t>
            </w:r>
          </w:p>
          <w:p w:rsidR="00D47F38" w:rsidRPr="002333BC" w:rsidRDefault="00D47F38" w:rsidP="00ED7B8A">
            <w:pPr>
              <w:pStyle w:val="Tabletext"/>
            </w:pPr>
            <w:r w:rsidRPr="002333BC">
              <w:t>Primary allocation to the fixed-satellite service in the space-to-Earth direction in the frequency band 17.3</w:t>
            </w:r>
            <w:r w:rsidRPr="002333BC">
              <w:noBreakHyphen/>
              <w:t>17.7 GHz in Region 2</w:t>
            </w:r>
          </w:p>
        </w:tc>
        <w:tc>
          <w:tcPr>
            <w:tcW w:w="1562" w:type="dxa"/>
          </w:tcPr>
          <w:p w:rsidR="00D47F38" w:rsidRPr="002333BC" w:rsidRDefault="00D47F38" w:rsidP="00ED7B8A">
            <w:pPr>
              <w:pStyle w:val="Tabletext"/>
              <w:jc w:val="center"/>
            </w:pPr>
            <w:r w:rsidRPr="002333BC">
              <w:rPr>
                <w:b/>
                <w:bCs/>
              </w:rPr>
              <w:t>WP 4A</w:t>
            </w:r>
          </w:p>
        </w:tc>
        <w:tc>
          <w:tcPr>
            <w:tcW w:w="7653" w:type="dxa"/>
          </w:tcPr>
          <w:p w:rsidR="00D47F38" w:rsidRPr="002333BC" w:rsidRDefault="00D47F38" w:rsidP="00373E4E">
            <w:pPr>
              <w:pStyle w:val="StyleCall10pt"/>
            </w:pPr>
            <w:r w:rsidRPr="002333BC">
              <w:t>resolves</w:t>
            </w:r>
          </w:p>
          <w:p w:rsidR="00D47F38" w:rsidRPr="002333BC" w:rsidRDefault="00D47F38" w:rsidP="00922049">
            <w:pPr>
              <w:pStyle w:val="Tabletext"/>
              <w:jc w:val="both"/>
            </w:pPr>
            <w:r w:rsidRPr="002333BC">
              <w:t xml:space="preserve">that the studies referred in </w:t>
            </w:r>
            <w:r w:rsidRPr="002333BC">
              <w:rPr>
                <w:i/>
                <w:iCs/>
              </w:rPr>
              <w:t xml:space="preserve">invites ITU-R </w:t>
            </w:r>
            <w:r w:rsidRPr="002333BC">
              <w:rPr>
                <w:iCs/>
              </w:rPr>
              <w:t>below shall protect radiocommunication services to which the band is allocated on primary basis, in particular assignments contained in Appendix</w:t>
            </w:r>
            <w:r w:rsidR="00922049">
              <w:rPr>
                <w:iCs/>
              </w:rPr>
              <w:t> </w:t>
            </w:r>
            <w:r w:rsidRPr="002333BC">
              <w:rPr>
                <w:b/>
                <w:bCs/>
                <w:iCs/>
              </w:rPr>
              <w:t>30A</w:t>
            </w:r>
            <w:r w:rsidRPr="002333BC">
              <w:rPr>
                <w:iCs/>
              </w:rPr>
              <w:t xml:space="preserve"> of the Radio Regulations,</w:t>
            </w:r>
          </w:p>
          <w:p w:rsidR="00D47F38" w:rsidRPr="002333BC" w:rsidRDefault="00D47F38" w:rsidP="00373E4E">
            <w:pPr>
              <w:pStyle w:val="StyleCall10pt"/>
            </w:pPr>
            <w:r w:rsidRPr="002333BC">
              <w:t>invites ITU-R</w:t>
            </w:r>
          </w:p>
          <w:p w:rsidR="00D47F38" w:rsidRPr="002333BC" w:rsidRDefault="00D47F38" w:rsidP="00922049">
            <w:pPr>
              <w:pStyle w:val="Tabletext"/>
              <w:jc w:val="both"/>
            </w:pPr>
            <w:r w:rsidRPr="002333BC">
              <w:t>to conduct, and complete in time for WRC</w:t>
            </w:r>
            <w:r w:rsidRPr="002333BC">
              <w:noBreakHyphen/>
              <w:t>23, sharing and compatibility studies between the fixed-satellite service (space-to-Earth) and the broadcasting-satellite service (space-to-Earth) and between the fixed-satellite service (space-to-Earth) and the fixed-satellite service (Earth</w:t>
            </w:r>
            <w:r w:rsidR="00922049">
              <w:noBreakHyphen/>
            </w:r>
            <w:r w:rsidRPr="002333BC">
              <w:t xml:space="preserve">to-space), in order to consider possible new primary allocation to the fixed-satellite service (space-to-Earth) in the frequency band 17.3-17.7 GHz for Region 2, while ensuring the protection of existing primary allocations in the same and adjacent bands, as appropriate, and without imposing any additional constraints on existing </w:t>
            </w:r>
            <w:r w:rsidR="00922049">
              <w:t>allocations to the broadcasting</w:t>
            </w:r>
            <w:r w:rsidR="00922049">
              <w:noBreakHyphen/>
            </w:r>
            <w:r w:rsidRPr="002333BC">
              <w:t>satellite service (space-to-Earth) and the fixed-satellite service (Earth-to-space),</w:t>
            </w:r>
          </w:p>
          <w:p w:rsidR="00D47F38" w:rsidRPr="002333BC" w:rsidRDefault="00D47F38" w:rsidP="00373E4E">
            <w:pPr>
              <w:pStyle w:val="StyleCall10pt"/>
            </w:pPr>
            <w:r w:rsidRPr="002333BC">
              <w:t>invites WRC-23</w:t>
            </w:r>
          </w:p>
          <w:p w:rsidR="00D47F38" w:rsidRPr="002333BC" w:rsidRDefault="00D47F38" w:rsidP="00ED7B8A">
            <w:pPr>
              <w:pStyle w:val="Tabletext"/>
              <w:jc w:val="both"/>
            </w:pPr>
            <w:r w:rsidRPr="002333BC">
              <w:t>to consider the results of the above studies and take necessary actions, as appropriate,</w:t>
            </w:r>
          </w:p>
          <w:p w:rsidR="00D47F38" w:rsidRPr="002333BC" w:rsidRDefault="00D47F38" w:rsidP="00373E4E">
            <w:pPr>
              <w:pStyle w:val="StyleCall10pt"/>
            </w:pPr>
            <w:r w:rsidRPr="002333BC">
              <w:t>invites administrations</w:t>
            </w:r>
          </w:p>
          <w:p w:rsidR="00D47F38" w:rsidRPr="002333BC" w:rsidRDefault="00D47F38" w:rsidP="00ED7B8A">
            <w:pPr>
              <w:pStyle w:val="Tabletext"/>
              <w:jc w:val="both"/>
            </w:pPr>
            <w:r w:rsidRPr="002333BC">
              <w:t>to participate actively in the studies and provide the technical and operational characteristics of the systems involved by submitting contributions to ITU</w:t>
            </w:r>
            <w:r w:rsidRPr="002333BC">
              <w:noBreakHyphen/>
              <w:t>R.</w:t>
            </w:r>
          </w:p>
        </w:tc>
        <w:tc>
          <w:tcPr>
            <w:tcW w:w="1560" w:type="dxa"/>
            <w:shd w:val="clear" w:color="auto" w:fill="auto"/>
          </w:tcPr>
          <w:p w:rsidR="00D47F38" w:rsidRPr="002333BC" w:rsidRDefault="00D47F38" w:rsidP="00ED7B8A">
            <w:pPr>
              <w:pStyle w:val="Tabletext"/>
              <w:jc w:val="center"/>
            </w:pPr>
            <w:r w:rsidRPr="000971F6">
              <w:rPr>
                <w:b/>
                <w:bCs/>
              </w:rPr>
              <w:t xml:space="preserve">WP 3M, WP 5A, WP 5B, WP 5C, </w:t>
            </w:r>
            <w:r w:rsidRPr="000971F6">
              <w:rPr>
                <w:b/>
                <w:bCs/>
              </w:rPr>
              <w:br/>
              <w:t>WP 7B</w:t>
            </w:r>
          </w:p>
        </w:tc>
      </w:tr>
      <w:tr w:rsidR="00D47F38" w:rsidRPr="002333BC" w:rsidTr="00C3113D">
        <w:trPr>
          <w:cantSplit/>
          <w:jc w:val="center"/>
        </w:trPr>
        <w:tc>
          <w:tcPr>
            <w:tcW w:w="14175" w:type="dxa"/>
            <w:gridSpan w:val="4"/>
          </w:tcPr>
          <w:p w:rsidR="00D47F38" w:rsidRPr="002333BC" w:rsidRDefault="00D47F38" w:rsidP="00ED7B8A">
            <w:pPr>
              <w:pStyle w:val="Tabletext"/>
              <w:jc w:val="both"/>
            </w:pPr>
            <w:r w:rsidRPr="002333BC">
              <w:t>9</w:t>
            </w:r>
            <w:r w:rsidRPr="002333BC">
              <w:tab/>
              <w:t>to consider and approve the Report of the Director of the Radiocommunication Bureau, in accordance with Article 7 of the Convention</w:t>
            </w:r>
            <w:r w:rsidRPr="002333BC">
              <w:rPr>
                <w:bCs/>
              </w:rPr>
              <w:t>;</w:t>
            </w:r>
          </w:p>
          <w:p w:rsidR="00D47F38" w:rsidRPr="002333BC" w:rsidRDefault="00D47F38" w:rsidP="00ED7B8A">
            <w:pPr>
              <w:pStyle w:val="Tabletext"/>
              <w:jc w:val="both"/>
            </w:pPr>
            <w:r w:rsidRPr="002333BC">
              <w:t>9.1</w:t>
            </w:r>
            <w:r w:rsidRPr="002333BC">
              <w:tab/>
              <w:t>on the activities of the Radiocommunication Sector since WRC</w:t>
            </w:r>
            <w:r w:rsidRPr="002333BC">
              <w:noBreakHyphen/>
              <w:t>19:</w:t>
            </w:r>
          </w:p>
        </w:tc>
      </w:tr>
      <w:tr w:rsidR="00D47F38" w:rsidRPr="002333BC" w:rsidTr="00C3113D">
        <w:trPr>
          <w:cantSplit/>
          <w:jc w:val="center"/>
        </w:trPr>
        <w:tc>
          <w:tcPr>
            <w:tcW w:w="14175" w:type="dxa"/>
            <w:gridSpan w:val="4"/>
          </w:tcPr>
          <w:p w:rsidR="00D47F38" w:rsidRPr="002333BC" w:rsidRDefault="00D47F38" w:rsidP="00ED7B8A">
            <w:pPr>
              <w:pStyle w:val="Tabletext"/>
              <w:jc w:val="both"/>
            </w:pPr>
            <w:r w:rsidRPr="002333BC">
              <w:t>a)</w:t>
            </w:r>
            <w:r w:rsidRPr="002333BC">
              <w:tab/>
              <w:t xml:space="preserve">In accordance with Resolution </w:t>
            </w:r>
            <w:r w:rsidRPr="002333BC">
              <w:rPr>
                <w:b/>
              </w:rPr>
              <w:t>657 (Rev.WRC</w:t>
            </w:r>
            <w:r w:rsidRPr="002333BC">
              <w:rPr>
                <w:b/>
              </w:rPr>
              <w:noBreakHyphen/>
              <w:t>19)</w:t>
            </w:r>
            <w:r w:rsidRPr="002333BC">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tc>
      </w:tr>
      <w:tr w:rsidR="00D47F38" w:rsidRPr="002333BC" w:rsidTr="005B6143">
        <w:trPr>
          <w:jc w:val="center"/>
        </w:trPr>
        <w:tc>
          <w:tcPr>
            <w:tcW w:w="3400" w:type="dxa"/>
          </w:tcPr>
          <w:p w:rsidR="00D47F38" w:rsidRPr="002333BC" w:rsidRDefault="00D47F38" w:rsidP="00ED7B8A">
            <w:pPr>
              <w:pStyle w:val="Tabletext"/>
              <w:rPr>
                <w:b/>
              </w:rPr>
            </w:pPr>
            <w:r w:rsidRPr="002333BC">
              <w:t>Resolution</w:t>
            </w:r>
            <w:r w:rsidRPr="002333BC">
              <w:rPr>
                <w:b/>
              </w:rPr>
              <w:t> 657 (Rev.WRC</w:t>
            </w:r>
            <w:r w:rsidRPr="002333BC">
              <w:rPr>
                <w:b/>
              </w:rPr>
              <w:noBreakHyphen/>
              <w:t>19)</w:t>
            </w:r>
          </w:p>
          <w:p w:rsidR="00D47F38" w:rsidRPr="002333BC" w:rsidRDefault="00D47F38" w:rsidP="00ED7B8A">
            <w:pPr>
              <w:pStyle w:val="Tabletext"/>
            </w:pPr>
            <w:bookmarkStart w:id="13" w:name="_Toc450048795"/>
            <w:r w:rsidRPr="002333BC">
              <w:t>Protection of radio spectrum-reliant space weather sensors</w:t>
            </w:r>
            <w:bookmarkEnd w:id="13"/>
            <w:r w:rsidRPr="002333BC">
              <w:t xml:space="preserve"> used for global prediction and warnings</w:t>
            </w:r>
          </w:p>
        </w:tc>
        <w:tc>
          <w:tcPr>
            <w:tcW w:w="1562" w:type="dxa"/>
          </w:tcPr>
          <w:p w:rsidR="00D47F38" w:rsidRPr="002333BC" w:rsidRDefault="00D47F38" w:rsidP="00ED7B8A">
            <w:pPr>
              <w:pStyle w:val="Tabletext"/>
              <w:jc w:val="center"/>
            </w:pPr>
            <w:r w:rsidRPr="002333BC">
              <w:rPr>
                <w:b/>
                <w:bCs/>
              </w:rPr>
              <w:t>WP 7C</w:t>
            </w:r>
          </w:p>
        </w:tc>
        <w:tc>
          <w:tcPr>
            <w:tcW w:w="7653" w:type="dxa"/>
          </w:tcPr>
          <w:p w:rsidR="00D47F38" w:rsidRPr="002333BC" w:rsidRDefault="00D47F38" w:rsidP="00373E4E">
            <w:pPr>
              <w:pStyle w:val="StyleCall10pt"/>
            </w:pPr>
            <w:r w:rsidRPr="002333BC">
              <w:t>resolves to invite ITU-R</w:t>
            </w:r>
          </w:p>
          <w:p w:rsidR="00D47F38" w:rsidRPr="002333BC" w:rsidRDefault="00D47F38" w:rsidP="00ED7B8A">
            <w:pPr>
              <w:pStyle w:val="Tabletext"/>
              <w:jc w:val="both"/>
            </w:pPr>
            <w:r w:rsidRPr="002333BC">
              <w:t>1</w:t>
            </w:r>
            <w:r w:rsidRPr="002333BC">
              <w:tab/>
              <w:t>to identify, in time for WRC</w:t>
            </w:r>
            <w:r w:rsidRPr="002333BC">
              <w:noBreakHyphen/>
              <w:t>23, and based on existing and possible further ITU</w:t>
            </w:r>
            <w:r w:rsidRPr="002333BC">
              <w:noBreakHyphen/>
              <w:t>R studies on the technical and operational characteristics, specific space weather sensors which need to be protected by appropriate regulation, including:</w:t>
            </w:r>
          </w:p>
          <w:p w:rsidR="00D47F38" w:rsidRPr="002333BC" w:rsidRDefault="00D47F38" w:rsidP="00ED7B8A">
            <w:pPr>
              <w:pStyle w:val="Tabletext"/>
              <w:jc w:val="both"/>
            </w:pPr>
            <w:r w:rsidRPr="002333BC">
              <w:br w:type="page"/>
              <w:t>–</w:t>
            </w:r>
            <w:r w:rsidRPr="002333BC">
              <w:tab/>
              <w:t>to determine if receive-only space weather sensors shall be designated as applications of the Metaids service;</w:t>
            </w:r>
          </w:p>
          <w:p w:rsidR="00D47F38" w:rsidRPr="002333BC" w:rsidRDefault="00D47F38" w:rsidP="00ED7B8A">
            <w:pPr>
              <w:pStyle w:val="Tabletext"/>
              <w:jc w:val="both"/>
            </w:pPr>
            <w:r w:rsidRPr="002333BC">
              <w:t>–</w:t>
            </w:r>
            <w:r w:rsidRPr="002333BC">
              <w:tab/>
              <w:t>to determine the appropriate radiocommunication service, if any, for cases where it is determined that receive-only space weather sensors do not fall under the Metaids service;</w:t>
            </w:r>
          </w:p>
          <w:p w:rsidR="00D47F38" w:rsidRPr="002333BC" w:rsidRDefault="00D47F38" w:rsidP="00ED7B8A">
            <w:pPr>
              <w:pStyle w:val="Tabletext"/>
              <w:jc w:val="both"/>
            </w:pPr>
            <w:r w:rsidRPr="002333BC">
              <w:t>2</w:t>
            </w:r>
            <w:r w:rsidRPr="002333BC">
              <w:tab/>
              <w:t>to conduct, in time for WRC</w:t>
            </w:r>
            <w:r w:rsidRPr="002333BC">
              <w:noBreakHyphen/>
              <w:t>23, any necessary sharing studies with incumbent systems operating in frequency bands used by space weather sensors with the objective of determining potential regulatory provisions that can be provided to receive-only operational space weather sensors for their appropriate recognition in the Radio Regulations, while not placing additional constraints on incumbent services;</w:t>
            </w:r>
          </w:p>
          <w:p w:rsidR="00D47F38" w:rsidRPr="002333BC" w:rsidRDefault="00D47F38" w:rsidP="00ED7B8A">
            <w:pPr>
              <w:pStyle w:val="Tabletext"/>
              <w:jc w:val="both"/>
            </w:pPr>
            <w:r w:rsidRPr="002333BC">
              <w:t>3</w:t>
            </w:r>
            <w:r w:rsidRPr="002333BC">
              <w:tab/>
              <w:t xml:space="preserve">to develop potential solutions to describe in the Radio Regulations in Articles </w:t>
            </w:r>
            <w:r w:rsidRPr="002333BC">
              <w:rPr>
                <w:b/>
              </w:rPr>
              <w:t>1</w:t>
            </w:r>
            <w:r w:rsidRPr="002333BC">
              <w:t xml:space="preserve"> and </w:t>
            </w:r>
            <w:r w:rsidRPr="002333BC">
              <w:rPr>
                <w:b/>
              </w:rPr>
              <w:t>4</w:t>
            </w:r>
            <w:r w:rsidRPr="002333BC">
              <w:t>, and/or as a WRC resolution, if deemed appropriate, for consideration by WRC-23, space weather sensor systems and their corresponding usage, as well as protection requirements for receive-only space weather sensors;</w:t>
            </w:r>
          </w:p>
          <w:p w:rsidR="00D47F38" w:rsidRPr="002333BC" w:rsidRDefault="00D47F38" w:rsidP="00ED7B8A">
            <w:pPr>
              <w:pStyle w:val="Tabletext"/>
              <w:jc w:val="both"/>
            </w:pPr>
            <w:r w:rsidRPr="002333BC">
              <w:t>4</w:t>
            </w:r>
            <w:r w:rsidRPr="002333BC">
              <w:tab/>
              <w:t>to conduct studies, in time for WRC</w:t>
            </w:r>
            <w:r w:rsidRPr="002333BC">
              <w:noBreakHyphen/>
              <w:t>23, on the technical and operational characteristics of active space weather sensors and conduct necessary sharing studies with incumbent systems operating in frequency bands used by active space weather sensors, with the objective of determining the appropriate radiocommunication service for those sensors,</w:t>
            </w:r>
          </w:p>
          <w:p w:rsidR="00D47F38" w:rsidRPr="002333BC" w:rsidRDefault="00D47F38" w:rsidP="00373E4E">
            <w:pPr>
              <w:pStyle w:val="StyleCall10pt"/>
            </w:pPr>
            <w:r w:rsidRPr="002333BC">
              <w:t>instructs the Director of the Radiocommunication Bureau</w:t>
            </w:r>
          </w:p>
          <w:p w:rsidR="00D47F38" w:rsidRPr="002333BC" w:rsidRDefault="00D47F38" w:rsidP="00ED7B8A">
            <w:pPr>
              <w:pStyle w:val="Tabletext"/>
              <w:jc w:val="both"/>
            </w:pPr>
            <w:r w:rsidRPr="002333BC">
              <w:t>to report on the results of the ITU-R studies to WRC-23,</w:t>
            </w:r>
          </w:p>
          <w:p w:rsidR="00D47F38" w:rsidRPr="002333BC" w:rsidRDefault="00D47F38" w:rsidP="00373E4E">
            <w:pPr>
              <w:pStyle w:val="StyleCall10pt"/>
            </w:pPr>
            <w:r w:rsidRPr="002333BC">
              <w:t>invites administrations</w:t>
            </w:r>
          </w:p>
          <w:p w:rsidR="00D47F38" w:rsidRPr="002333BC" w:rsidRDefault="00D47F38" w:rsidP="00ED7B8A">
            <w:pPr>
              <w:pStyle w:val="Tabletext"/>
              <w:jc w:val="both"/>
            </w:pPr>
            <w:r w:rsidRPr="002333BC">
              <w:t>to participate actively in the studies and provide the technical and operational characteristics of the systems involved by submitting contributions to ITU</w:t>
            </w:r>
            <w:r w:rsidRPr="002333BC">
              <w:noBreakHyphen/>
              <w:t>R,</w:t>
            </w:r>
          </w:p>
          <w:p w:rsidR="00D47F38" w:rsidRPr="002333BC" w:rsidRDefault="00D47F38" w:rsidP="00373E4E">
            <w:pPr>
              <w:pStyle w:val="StyleCall10pt"/>
            </w:pPr>
            <w:r w:rsidRPr="002333BC">
              <w:t>instructs the Secretary-General</w:t>
            </w:r>
          </w:p>
          <w:p w:rsidR="00D47F38" w:rsidRPr="002333BC" w:rsidRDefault="00D47F38" w:rsidP="00ED7B8A">
            <w:pPr>
              <w:pStyle w:val="Tabletext"/>
              <w:jc w:val="both"/>
            </w:pPr>
            <w:r w:rsidRPr="002333BC">
              <w:t>to bring this Resolution to the attention of the World Meteorological Organization (WMO) and other international and regional organizations concerned.</w:t>
            </w:r>
          </w:p>
        </w:tc>
        <w:tc>
          <w:tcPr>
            <w:tcW w:w="1560" w:type="dxa"/>
          </w:tcPr>
          <w:p w:rsidR="00D47F38" w:rsidRPr="002333BC" w:rsidRDefault="00D47F38" w:rsidP="00ED7B8A">
            <w:pPr>
              <w:pStyle w:val="Tabletext"/>
              <w:jc w:val="center"/>
            </w:pPr>
            <w:r w:rsidRPr="002333BC">
              <w:rPr>
                <w:b/>
                <w:bCs/>
              </w:rPr>
              <w:t xml:space="preserve">WP 1B, </w:t>
            </w:r>
            <w:r w:rsidRPr="002333BC">
              <w:rPr>
                <w:b/>
                <w:bCs/>
              </w:rPr>
              <w:br/>
              <w:t xml:space="preserve">WP 3J, </w:t>
            </w:r>
            <w:r w:rsidRPr="002333BC">
              <w:rPr>
                <w:b/>
                <w:bCs/>
              </w:rPr>
              <w:br/>
              <w:t xml:space="preserve">WP 3K, </w:t>
            </w:r>
            <w:r w:rsidRPr="002333BC">
              <w:rPr>
                <w:b/>
                <w:bCs/>
              </w:rPr>
              <w:br/>
              <w:t xml:space="preserve">WP 3L, WP 3M, </w:t>
            </w:r>
            <w:r w:rsidRPr="000971F6">
              <w:rPr>
                <w:b/>
                <w:bCs/>
              </w:rPr>
              <w:t>WP 5A, WP 5B, WP 5C,</w:t>
            </w:r>
            <w:r w:rsidRPr="002333BC">
              <w:rPr>
                <w:b/>
                <w:bCs/>
              </w:rPr>
              <w:t xml:space="preserve"> WP 6A,</w:t>
            </w:r>
            <w:r w:rsidR="006E6284">
              <w:rPr>
                <w:b/>
                <w:bCs/>
              </w:rPr>
              <w:br/>
            </w:r>
            <w:r w:rsidRPr="002333BC">
              <w:rPr>
                <w:b/>
                <w:bCs/>
              </w:rPr>
              <w:t>WP 7D</w:t>
            </w:r>
          </w:p>
        </w:tc>
      </w:tr>
      <w:tr w:rsidR="00D47F38" w:rsidRPr="002333BC" w:rsidTr="00C3113D">
        <w:trPr>
          <w:cantSplit/>
          <w:jc w:val="center"/>
        </w:trPr>
        <w:tc>
          <w:tcPr>
            <w:tcW w:w="14175" w:type="dxa"/>
            <w:gridSpan w:val="4"/>
          </w:tcPr>
          <w:p w:rsidR="00D47F38" w:rsidRPr="002333BC" w:rsidRDefault="00D47F38" w:rsidP="00ED7B8A">
            <w:pPr>
              <w:pStyle w:val="Tabletext"/>
              <w:jc w:val="both"/>
            </w:pPr>
            <w:r w:rsidRPr="002333BC">
              <w:t>b)</w:t>
            </w:r>
            <w:r w:rsidRPr="002333BC">
              <w:tab/>
              <w:t>Review of the amateur service and the amateur-satellite service allocations in the frequency band 1 240</w:t>
            </w:r>
            <w:r w:rsidRPr="002333BC">
              <w:noBreakHyphen/>
              <w:t xml:space="preserve">1 300 MHz to determine if additional measures are required to ensure protection of the radionavigation-satellite (space-to-Earth) service operating in the same band in accordance with Resolution </w:t>
            </w:r>
            <w:r w:rsidRPr="002333BC">
              <w:rPr>
                <w:b/>
                <w:bCs/>
              </w:rPr>
              <w:t>774</w:t>
            </w:r>
            <w:r w:rsidRPr="002333BC">
              <w:t> </w:t>
            </w:r>
            <w:r w:rsidRPr="002333BC">
              <w:rPr>
                <w:b/>
              </w:rPr>
              <w:t>(WRC</w:t>
            </w:r>
            <w:r w:rsidRPr="002333BC">
              <w:rPr>
                <w:b/>
              </w:rPr>
              <w:noBreakHyphen/>
              <w:t>19)</w:t>
            </w:r>
            <w:r w:rsidRPr="002333BC">
              <w:rPr>
                <w:bCs/>
              </w:rPr>
              <w:t>;</w:t>
            </w:r>
          </w:p>
        </w:tc>
      </w:tr>
      <w:tr w:rsidR="00D47F38" w:rsidRPr="002333BC" w:rsidTr="005B6143">
        <w:trPr>
          <w:cantSplit/>
          <w:jc w:val="center"/>
        </w:trPr>
        <w:tc>
          <w:tcPr>
            <w:tcW w:w="3400" w:type="dxa"/>
            <w:shd w:val="clear" w:color="auto" w:fill="auto"/>
          </w:tcPr>
          <w:p w:rsidR="00D47F38" w:rsidRPr="002333BC" w:rsidRDefault="00D47F38" w:rsidP="00ED7B8A">
            <w:pPr>
              <w:pStyle w:val="Tabletext"/>
              <w:rPr>
                <w:b/>
              </w:rPr>
            </w:pPr>
            <w:r w:rsidRPr="002333BC">
              <w:t>Resolution</w:t>
            </w:r>
            <w:r w:rsidRPr="002333BC">
              <w:rPr>
                <w:b/>
              </w:rPr>
              <w:t> 774 (WRC</w:t>
            </w:r>
            <w:r w:rsidRPr="002333BC">
              <w:rPr>
                <w:b/>
              </w:rPr>
              <w:noBreakHyphen/>
              <w:t>19)</w:t>
            </w:r>
          </w:p>
          <w:p w:rsidR="00D47F38" w:rsidRPr="002333BC" w:rsidRDefault="00D47F38" w:rsidP="00ED7B8A">
            <w:pPr>
              <w:pStyle w:val="Tabletext"/>
            </w:pPr>
            <w:r w:rsidRPr="002333BC">
              <w:t>Studies on technical and operational measures to be applied in the frequency band 1 240-1 300 MHz to ensure the protection of the radionavigation-satellite service (space-to-Earth)</w:t>
            </w:r>
          </w:p>
        </w:tc>
        <w:tc>
          <w:tcPr>
            <w:tcW w:w="1562" w:type="dxa"/>
          </w:tcPr>
          <w:p w:rsidR="00D47F38" w:rsidRPr="002333BC" w:rsidRDefault="00D47F38" w:rsidP="00ED7B8A">
            <w:pPr>
              <w:pStyle w:val="Tabletext"/>
              <w:jc w:val="center"/>
            </w:pPr>
            <w:r w:rsidRPr="002333BC">
              <w:rPr>
                <w:b/>
                <w:bCs/>
              </w:rPr>
              <w:t>WP 5A</w:t>
            </w:r>
          </w:p>
        </w:tc>
        <w:tc>
          <w:tcPr>
            <w:tcW w:w="7653" w:type="dxa"/>
          </w:tcPr>
          <w:p w:rsidR="00D47F38" w:rsidRPr="002333BC" w:rsidRDefault="00D47F38" w:rsidP="00373E4E">
            <w:pPr>
              <w:pStyle w:val="StyleCall10pt"/>
            </w:pPr>
            <w:r w:rsidRPr="002333BC">
              <w:t>resolves to invite ITU</w:t>
            </w:r>
            <w:r w:rsidRPr="002333BC">
              <w:noBreakHyphen/>
              <w:t>R</w:t>
            </w:r>
          </w:p>
          <w:p w:rsidR="00D47F38" w:rsidRPr="002333BC" w:rsidRDefault="00D47F38" w:rsidP="00ED7B8A">
            <w:pPr>
              <w:pStyle w:val="Tabletext"/>
              <w:jc w:val="both"/>
            </w:pPr>
            <w:r w:rsidRPr="002333BC">
              <w:t>1</w:t>
            </w:r>
            <w:r w:rsidRPr="002333BC">
              <w:tab/>
              <w:t>to perform the detailed review of the different systems and applications used in the amateur service and amateur-satellite service allocations within the frequency band 1 240</w:t>
            </w:r>
            <w:r w:rsidRPr="002333BC">
              <w:noBreakHyphen/>
              <w:t>1 300 MHz;</w:t>
            </w:r>
          </w:p>
          <w:p w:rsidR="00D47F38" w:rsidRPr="002333BC" w:rsidRDefault="00D47F38" w:rsidP="00ED7B8A">
            <w:pPr>
              <w:pStyle w:val="Tabletext"/>
              <w:jc w:val="both"/>
            </w:pPr>
            <w:r w:rsidRPr="002333BC">
              <w:t>2</w:t>
            </w:r>
            <w:r w:rsidRPr="002333BC">
              <w:tab/>
              <w:t>taking into account the results of the above review, to study possible technical and operational measures to ensure the protection of RNSS (space-to-Earth) receivers from the amateur and amateur-satellite services within the frequency band 1 240-1 300 MHz, without considering the removal of these amateur and amateur-satellite services allocations,</w:t>
            </w:r>
          </w:p>
          <w:p w:rsidR="00D47F38" w:rsidRPr="002333BC" w:rsidRDefault="00D47F38" w:rsidP="00373E4E">
            <w:pPr>
              <w:pStyle w:val="StyleCall10pt"/>
            </w:pPr>
            <w:r w:rsidRPr="002333BC">
              <w:t>instructs the Director of the Radiocommunication Bureau</w:t>
            </w:r>
          </w:p>
          <w:p w:rsidR="00D47F38" w:rsidRPr="002333BC" w:rsidRDefault="00D47F38" w:rsidP="00ED7B8A">
            <w:pPr>
              <w:pStyle w:val="Tabletext"/>
              <w:jc w:val="both"/>
            </w:pPr>
            <w:r w:rsidRPr="002333BC">
              <w:t>to include the results of these studies in his Report to WRC</w:t>
            </w:r>
            <w:r w:rsidRPr="002333BC">
              <w:noBreakHyphen/>
              <w:t xml:space="preserve">23 for the purpose of considering appropriate actions in response to </w:t>
            </w:r>
            <w:r w:rsidRPr="002333BC">
              <w:rPr>
                <w:i/>
              </w:rPr>
              <w:t>resolves to invite ITU</w:t>
            </w:r>
            <w:r w:rsidRPr="002333BC">
              <w:rPr>
                <w:i/>
              </w:rPr>
              <w:noBreakHyphen/>
              <w:t xml:space="preserve">R </w:t>
            </w:r>
            <w:r w:rsidRPr="002333BC">
              <w:t>above.</w:t>
            </w:r>
          </w:p>
        </w:tc>
        <w:tc>
          <w:tcPr>
            <w:tcW w:w="1560" w:type="dxa"/>
          </w:tcPr>
          <w:p w:rsidR="00D47F38" w:rsidRPr="002333BC" w:rsidRDefault="00D47F38" w:rsidP="00ED7B8A">
            <w:pPr>
              <w:pStyle w:val="Tabletext"/>
              <w:jc w:val="center"/>
            </w:pPr>
            <w:r w:rsidRPr="002333BC">
              <w:rPr>
                <w:b/>
                <w:bCs/>
              </w:rPr>
              <w:t xml:space="preserve">WP 3M, WP 4C </w:t>
            </w:r>
            <w:r w:rsidRPr="002333BC">
              <w:t xml:space="preserve">(responsible for developing studies on </w:t>
            </w:r>
            <w:r w:rsidRPr="002333BC">
              <w:rPr>
                <w:i/>
                <w:iCs/>
              </w:rPr>
              <w:t>resolves to invite ITU R 2</w:t>
            </w:r>
            <w:r w:rsidRPr="002333BC">
              <w:t xml:space="preserve"> and sending this to WP 5A)</w:t>
            </w:r>
          </w:p>
        </w:tc>
      </w:tr>
      <w:tr w:rsidR="00D47F38" w:rsidRPr="002333BC" w:rsidTr="00C3113D">
        <w:trPr>
          <w:cantSplit/>
          <w:jc w:val="center"/>
        </w:trPr>
        <w:tc>
          <w:tcPr>
            <w:tcW w:w="14175" w:type="dxa"/>
            <w:gridSpan w:val="4"/>
          </w:tcPr>
          <w:p w:rsidR="00D47F38" w:rsidRPr="002333BC" w:rsidRDefault="00D47F38" w:rsidP="00ED7B8A">
            <w:pPr>
              <w:pStyle w:val="Tabletext"/>
              <w:jc w:val="both"/>
            </w:pPr>
            <w:r w:rsidRPr="002333BC">
              <w:rPr>
                <w:bCs/>
              </w:rPr>
              <w:t>c)</w:t>
            </w:r>
            <w:r w:rsidRPr="002333BC">
              <w:rPr>
                <w:bCs/>
              </w:rPr>
              <w:tab/>
              <w:t>S</w:t>
            </w:r>
            <w:r w:rsidRPr="002333BC">
              <w:t xml:space="preserve">tudy the use of International Mobile Telecommunication system for fixed wireless broadband in the frequency bands allocated to the fixed services on primary basis, in accordance with Resolution </w:t>
            </w:r>
            <w:r w:rsidRPr="002333BC">
              <w:rPr>
                <w:b/>
                <w:bCs/>
              </w:rPr>
              <w:t>175</w:t>
            </w:r>
            <w:r w:rsidRPr="002333BC">
              <w:t xml:space="preserve"> </w:t>
            </w:r>
            <w:r w:rsidRPr="002333BC">
              <w:rPr>
                <w:b/>
                <w:bCs/>
              </w:rPr>
              <w:t>(WRC</w:t>
            </w:r>
            <w:r w:rsidRPr="002333BC">
              <w:rPr>
                <w:b/>
                <w:bCs/>
              </w:rPr>
              <w:noBreakHyphen/>
              <w:t>19)</w:t>
            </w:r>
            <w:r w:rsidRPr="002333BC">
              <w:t>;</w:t>
            </w:r>
          </w:p>
        </w:tc>
      </w:tr>
      <w:tr w:rsidR="00D47F38" w:rsidRPr="002333BC" w:rsidTr="005B6143">
        <w:trPr>
          <w:cantSplit/>
          <w:jc w:val="center"/>
        </w:trPr>
        <w:tc>
          <w:tcPr>
            <w:tcW w:w="3400" w:type="dxa"/>
          </w:tcPr>
          <w:p w:rsidR="00D47F38" w:rsidRPr="002333BC" w:rsidRDefault="00D47F38" w:rsidP="00ED7B8A">
            <w:pPr>
              <w:pStyle w:val="Tabletext"/>
              <w:rPr>
                <w:b/>
              </w:rPr>
            </w:pPr>
            <w:r w:rsidRPr="002333BC">
              <w:t>Resolution</w:t>
            </w:r>
            <w:r w:rsidRPr="002333BC">
              <w:rPr>
                <w:b/>
              </w:rPr>
              <w:t> 175 (WRC</w:t>
            </w:r>
            <w:r w:rsidRPr="002333BC">
              <w:rPr>
                <w:b/>
              </w:rPr>
              <w:noBreakHyphen/>
              <w:t>19)</w:t>
            </w:r>
          </w:p>
          <w:p w:rsidR="00D47F38" w:rsidRPr="002333BC" w:rsidRDefault="00D47F38" w:rsidP="00ED7B8A">
            <w:pPr>
              <w:pStyle w:val="Tabletext"/>
            </w:pPr>
            <w:r w:rsidRPr="002333BC">
              <w:t>Use of International Mobile Telecommunication systems for fixed wireless broadband in the frequency bands allocated to the fixed service on primary basis</w:t>
            </w:r>
          </w:p>
        </w:tc>
        <w:tc>
          <w:tcPr>
            <w:tcW w:w="1562" w:type="dxa"/>
          </w:tcPr>
          <w:p w:rsidR="00D47F38" w:rsidRPr="002333BC" w:rsidRDefault="00D47F38" w:rsidP="00ED7B8A">
            <w:pPr>
              <w:pStyle w:val="Tabletext"/>
              <w:jc w:val="center"/>
              <w:rPr>
                <w:b/>
                <w:bCs/>
              </w:rPr>
            </w:pPr>
            <w:r w:rsidRPr="002333BC">
              <w:rPr>
                <w:b/>
                <w:bCs/>
              </w:rPr>
              <w:t>WP 5A and WP 5C</w:t>
            </w:r>
          </w:p>
          <w:p w:rsidR="00D47F38" w:rsidRPr="002333BC" w:rsidRDefault="00D47F38" w:rsidP="00ED7B8A">
            <w:pPr>
              <w:pStyle w:val="Tabletext"/>
              <w:jc w:val="center"/>
            </w:pPr>
            <w:r w:rsidRPr="002333BC">
              <w:rPr>
                <w:u w:val="single"/>
              </w:rPr>
              <w:t>Note</w:t>
            </w:r>
            <w:r w:rsidRPr="002333BC">
              <w:t>: This is a joint activity and a joint plenary may be held if required. WP 5A will provide the draft text on the results of studies to the CPM Chapter c</w:t>
            </w:r>
            <w:r w:rsidR="00922049">
              <w:t>o</w:t>
            </w:r>
            <w:r w:rsidR="00922049">
              <w:noBreakHyphen/>
            </w:r>
            <w:r w:rsidRPr="002333BC">
              <w:t>Rapporteurs.</w:t>
            </w:r>
          </w:p>
        </w:tc>
        <w:tc>
          <w:tcPr>
            <w:tcW w:w="7653" w:type="dxa"/>
          </w:tcPr>
          <w:p w:rsidR="00D47F38" w:rsidRPr="002333BC" w:rsidRDefault="00D47F38" w:rsidP="00373E4E">
            <w:pPr>
              <w:pStyle w:val="StyleCall10pt"/>
            </w:pPr>
            <w:r w:rsidRPr="002333BC">
              <w:t>resolves to invite ITU</w:t>
            </w:r>
            <w:r w:rsidRPr="002333BC">
              <w:noBreakHyphen/>
              <w:t>R</w:t>
            </w:r>
          </w:p>
          <w:p w:rsidR="00D47F38" w:rsidRPr="002333BC" w:rsidRDefault="00D47F38" w:rsidP="00ED7B8A">
            <w:pPr>
              <w:pStyle w:val="Tabletext"/>
              <w:jc w:val="both"/>
            </w:pPr>
            <w:r w:rsidRPr="002333BC">
              <w:t>to conduct any necessary studies on the use of International Mobile Telecommunication systems for fixed wireless broadband in the frequency bands allocated to the fixed service on primary basis, taking into account the relevant ITU</w:t>
            </w:r>
            <w:r w:rsidRPr="002333BC">
              <w:noBreakHyphen/>
              <w:t>R studies, Handbooks, Recommendations and Reports,</w:t>
            </w:r>
          </w:p>
          <w:p w:rsidR="00D47F38" w:rsidRPr="002333BC" w:rsidRDefault="00D47F38" w:rsidP="00373E4E">
            <w:pPr>
              <w:pStyle w:val="StyleCall10pt"/>
            </w:pPr>
            <w:r w:rsidRPr="002333BC">
              <w:t>instructs the Director of the Radiocommunication Bureau</w:t>
            </w:r>
          </w:p>
          <w:p w:rsidR="00D47F38" w:rsidRPr="002333BC" w:rsidRDefault="00D47F38" w:rsidP="00ED7B8A">
            <w:pPr>
              <w:pStyle w:val="Tabletext"/>
              <w:jc w:val="both"/>
            </w:pPr>
            <w:r w:rsidRPr="002333BC">
              <w:t>to report to WRC</w:t>
            </w:r>
            <w:r w:rsidRPr="002333BC">
              <w:noBreakHyphen/>
              <w:t>23 on the results of these studies,</w:t>
            </w:r>
          </w:p>
          <w:p w:rsidR="00D47F38" w:rsidRPr="002333BC" w:rsidRDefault="00D47F38" w:rsidP="00373E4E">
            <w:pPr>
              <w:pStyle w:val="StyleCall10pt"/>
            </w:pPr>
            <w:r w:rsidRPr="002333BC">
              <w:t>invites administrations</w:t>
            </w:r>
          </w:p>
          <w:p w:rsidR="00D47F38" w:rsidRPr="002333BC" w:rsidRDefault="00D47F38" w:rsidP="00ED7B8A">
            <w:pPr>
              <w:pStyle w:val="Tabletext"/>
              <w:jc w:val="both"/>
            </w:pPr>
            <w:r w:rsidRPr="002333BC">
              <w:t>to participate in these studies in the process of preparation for WRC</w:t>
            </w:r>
            <w:r w:rsidRPr="002333BC">
              <w:noBreakHyphen/>
              <w:t>23.</w:t>
            </w:r>
          </w:p>
        </w:tc>
        <w:tc>
          <w:tcPr>
            <w:tcW w:w="1560" w:type="dxa"/>
          </w:tcPr>
          <w:p w:rsidR="00D47F38" w:rsidRPr="002333BC" w:rsidRDefault="00D47F38" w:rsidP="00ED7B8A">
            <w:pPr>
              <w:pStyle w:val="Tabletext"/>
              <w:jc w:val="center"/>
              <w:rPr>
                <w:b/>
                <w:bCs/>
              </w:rPr>
            </w:pPr>
            <w:r w:rsidRPr="002333BC">
              <w:rPr>
                <w:b/>
                <w:bCs/>
              </w:rPr>
              <w:t xml:space="preserve">WP 1B, WP 4A, WP 4C, </w:t>
            </w:r>
            <w:r w:rsidRPr="000971F6">
              <w:rPr>
                <w:b/>
                <w:bCs/>
              </w:rPr>
              <w:t>WP 5D,</w:t>
            </w:r>
            <w:r w:rsidRPr="002333BC">
              <w:rPr>
                <w:b/>
                <w:bCs/>
              </w:rPr>
              <w:t xml:space="preserve"> WP 6A, WP 7B, WP 7C, </w:t>
            </w:r>
          </w:p>
          <w:p w:rsidR="00D47F38" w:rsidRPr="002333BC" w:rsidRDefault="00D47F38" w:rsidP="00ED7B8A">
            <w:pPr>
              <w:pStyle w:val="Tabletext"/>
              <w:jc w:val="center"/>
            </w:pPr>
            <w:r w:rsidRPr="002333BC">
              <w:rPr>
                <w:b/>
                <w:bCs/>
              </w:rPr>
              <w:t>WP 7D</w:t>
            </w:r>
          </w:p>
        </w:tc>
      </w:tr>
      <w:tr w:rsidR="00D47F38" w:rsidRPr="002333BC" w:rsidTr="00C3113D">
        <w:trPr>
          <w:cantSplit/>
          <w:jc w:val="center"/>
        </w:trPr>
        <w:tc>
          <w:tcPr>
            <w:tcW w:w="14175" w:type="dxa"/>
            <w:gridSpan w:val="4"/>
          </w:tcPr>
          <w:p w:rsidR="00D47F38" w:rsidRPr="002333BC" w:rsidRDefault="00D47F38" w:rsidP="002333BC">
            <w:pPr>
              <w:pStyle w:val="Tabletext"/>
              <w:keepNext/>
              <w:keepLines/>
            </w:pPr>
            <w:r w:rsidRPr="002333BC">
              <w:rPr>
                <w:bCs/>
              </w:rPr>
              <w:t>d)</w:t>
            </w:r>
            <w:r w:rsidRPr="002333BC">
              <w:rPr>
                <w:bCs/>
              </w:rPr>
              <w:tab/>
            </w:r>
            <w:r w:rsidRPr="002333BC">
              <w:t>Protection of EESS (passive) in the frequency band 36-37 GHz from non-GSO FSS space stations;</w:t>
            </w:r>
          </w:p>
        </w:tc>
      </w:tr>
      <w:tr w:rsidR="005B6143" w:rsidRPr="002333BC" w:rsidTr="005B6143">
        <w:trPr>
          <w:cantSplit/>
          <w:jc w:val="center"/>
        </w:trPr>
        <w:tc>
          <w:tcPr>
            <w:tcW w:w="3400" w:type="dxa"/>
          </w:tcPr>
          <w:p w:rsidR="005B6143" w:rsidRPr="002333BC" w:rsidRDefault="005B6143" w:rsidP="002333BC">
            <w:pPr>
              <w:pStyle w:val="Tabletext"/>
              <w:keepNext/>
              <w:keepLines/>
              <w:rPr>
                <w:bCs/>
              </w:rPr>
            </w:pPr>
            <w:r w:rsidRPr="0053428D">
              <w:t xml:space="preserve">See </w:t>
            </w:r>
            <w:hyperlink r:id="rId10" w:history="1">
              <w:r w:rsidRPr="0053428D">
                <w:rPr>
                  <w:rStyle w:val="Hyperlink"/>
                  <w:rFonts w:ascii="Times New Roman" w:hAnsi="Times New Roman"/>
                </w:rPr>
                <w:t>WRC-19 Document 535</w:t>
              </w:r>
            </w:hyperlink>
            <w:r w:rsidRPr="0053428D">
              <w:t>, 2</w:t>
            </w:r>
            <w:r w:rsidRPr="0053428D">
              <w:rPr>
                <w:vertAlign w:val="superscript"/>
              </w:rPr>
              <w:t xml:space="preserve">nd </w:t>
            </w:r>
            <w:r w:rsidRPr="0053428D">
              <w:t>section of the Annex</w:t>
            </w:r>
          </w:p>
        </w:tc>
        <w:tc>
          <w:tcPr>
            <w:tcW w:w="1562" w:type="dxa"/>
          </w:tcPr>
          <w:p w:rsidR="005B6143" w:rsidRPr="002333BC" w:rsidRDefault="005B6143" w:rsidP="005B6143">
            <w:pPr>
              <w:pStyle w:val="Tabletext"/>
              <w:keepNext/>
              <w:keepLines/>
              <w:jc w:val="center"/>
              <w:rPr>
                <w:bCs/>
              </w:rPr>
            </w:pPr>
            <w:r w:rsidRPr="0053428D">
              <w:rPr>
                <w:b/>
                <w:bCs/>
              </w:rPr>
              <w:t>WP 7C</w:t>
            </w:r>
          </w:p>
        </w:tc>
        <w:tc>
          <w:tcPr>
            <w:tcW w:w="7653" w:type="dxa"/>
          </w:tcPr>
          <w:p w:rsidR="005B6143" w:rsidRPr="0053428D" w:rsidRDefault="005B6143" w:rsidP="005B6143">
            <w:pPr>
              <w:pStyle w:val="Tabletext"/>
              <w:rPr>
                <w:b/>
                <w:bCs/>
              </w:rPr>
            </w:pPr>
            <w:r w:rsidRPr="0053428D">
              <w:rPr>
                <w:b/>
                <w:bCs/>
              </w:rPr>
              <w:t>Protection of EESS (passive) in the frequency band 36-37 GHz</w:t>
            </w:r>
          </w:p>
          <w:p w:rsidR="005B6143" w:rsidRPr="0053428D" w:rsidRDefault="005B6143" w:rsidP="005B6143">
            <w:pPr>
              <w:pStyle w:val="Tabletext"/>
              <w:jc w:val="both"/>
            </w:pPr>
            <w:r w:rsidRPr="0053428D">
              <w:t>Under studies considered for WRC-19 agenda item 1.6, a preliminary study on the protection of EESS (passive) sensors operating in the 36-37 GHz was submitted to the ITU</w:t>
            </w:r>
            <w:r w:rsidRPr="0053428D">
              <w:noBreakHyphen/>
              <w:t>R. This preliminary study indicated that it may be necessary to not exceed an out-of-band e.i.r.p. of −34 dBW/100 MHz, for all angles greater than 71.4 degrees from nadir, for FSS non-GSO space stations operating in the frequency band 37.5-38 GHz. In addition, interference into the cold calibration channel of the EESS (passive) sensor operating in the frequency band 36</w:t>
            </w:r>
            <w:r w:rsidRPr="0053428D">
              <w:noBreakHyphen/>
              <w:t>37 GHz has not been studied.</w:t>
            </w:r>
          </w:p>
          <w:p w:rsidR="005B6143" w:rsidRPr="0053428D" w:rsidRDefault="005B6143" w:rsidP="005B6143">
            <w:pPr>
              <w:pStyle w:val="Tabletext"/>
              <w:jc w:val="both"/>
            </w:pPr>
            <w:r w:rsidRPr="0053428D">
              <w:t>WRC-19 invites ITU-R to conduct further study of this topic and develop Recommendations and/or Reports, as appropriate, and report back to WRC-23 to take action, if necessary.</w:t>
            </w:r>
          </w:p>
          <w:p w:rsidR="005B6143" w:rsidRPr="002333BC" w:rsidRDefault="005B6143" w:rsidP="005B6143">
            <w:pPr>
              <w:pStyle w:val="Tabletext"/>
              <w:keepNext/>
              <w:keepLines/>
              <w:rPr>
                <w:bCs/>
              </w:rPr>
            </w:pPr>
            <w:r w:rsidRPr="0053428D">
              <w:t xml:space="preserve">Furthermore, WRC-19 agreed that modifications to Resolution </w:t>
            </w:r>
            <w:r w:rsidRPr="0053428D">
              <w:rPr>
                <w:b/>
              </w:rPr>
              <w:t>750 (Rev. WRC-19)</w:t>
            </w:r>
            <w:r w:rsidRPr="0053428D">
              <w:t xml:space="preserve"> should not be considered under these studies since the frequency band 36-37 GHz is not referenced in No. </w:t>
            </w:r>
            <w:r w:rsidRPr="0053428D">
              <w:rPr>
                <w:b/>
                <w:bCs/>
              </w:rPr>
              <w:t>5.340</w:t>
            </w:r>
            <w:r w:rsidRPr="0053428D">
              <w:t>.</w:t>
            </w:r>
          </w:p>
        </w:tc>
        <w:tc>
          <w:tcPr>
            <w:tcW w:w="1560" w:type="dxa"/>
          </w:tcPr>
          <w:p w:rsidR="005B6143" w:rsidRDefault="005B6143" w:rsidP="005B6143">
            <w:pPr>
              <w:pStyle w:val="Tabletext"/>
              <w:keepNext/>
              <w:keepLines/>
              <w:jc w:val="center"/>
              <w:rPr>
                <w:b/>
                <w:bCs/>
              </w:rPr>
            </w:pPr>
            <w:r>
              <w:rPr>
                <w:b/>
                <w:bCs/>
              </w:rPr>
              <w:t>WP 4A,</w:t>
            </w:r>
          </w:p>
          <w:p w:rsidR="005B6143" w:rsidRDefault="005B6143" w:rsidP="005B6143">
            <w:pPr>
              <w:pStyle w:val="Tabletext"/>
              <w:keepNext/>
              <w:keepLines/>
              <w:jc w:val="center"/>
              <w:rPr>
                <w:b/>
                <w:bCs/>
              </w:rPr>
            </w:pPr>
            <w:r>
              <w:rPr>
                <w:b/>
                <w:bCs/>
              </w:rPr>
              <w:t>WP 5A,</w:t>
            </w:r>
          </w:p>
          <w:p w:rsidR="005B6143" w:rsidRDefault="005B6143" w:rsidP="005B6143">
            <w:pPr>
              <w:pStyle w:val="Tabletext"/>
              <w:keepNext/>
              <w:keepLines/>
              <w:jc w:val="center"/>
              <w:rPr>
                <w:b/>
                <w:bCs/>
              </w:rPr>
            </w:pPr>
            <w:r>
              <w:rPr>
                <w:b/>
                <w:bCs/>
              </w:rPr>
              <w:t>WP 5C,</w:t>
            </w:r>
          </w:p>
          <w:p w:rsidR="005B6143" w:rsidRPr="005B6143" w:rsidRDefault="005B6143" w:rsidP="005B6143">
            <w:pPr>
              <w:pStyle w:val="Tabletext"/>
              <w:keepNext/>
              <w:keepLines/>
              <w:jc w:val="center"/>
              <w:rPr>
                <w:b/>
                <w:bCs/>
              </w:rPr>
            </w:pPr>
            <w:r>
              <w:rPr>
                <w:b/>
                <w:bCs/>
              </w:rPr>
              <w:t>WP 5D</w:t>
            </w:r>
          </w:p>
        </w:tc>
      </w:tr>
    </w:tbl>
    <w:p w:rsidR="00D47F38" w:rsidRPr="00D47F38" w:rsidRDefault="00D47F38" w:rsidP="00D47F38">
      <w:pPr>
        <w:rPr>
          <w:lang w:eastAsia="ja-JP"/>
        </w:rPr>
      </w:pPr>
    </w:p>
    <w:p w:rsidR="00AA1918" w:rsidRPr="00797537" w:rsidRDefault="00AA1918" w:rsidP="00612F30">
      <w:pPr>
        <w:pStyle w:val="AnnexNo"/>
        <w:rPr>
          <w:lang w:eastAsia="ja-JP"/>
        </w:rPr>
      </w:pPr>
      <w:r w:rsidRPr="00797537">
        <w:rPr>
          <w:lang w:eastAsia="ja-JP"/>
        </w:rPr>
        <w:br w:type="page"/>
      </w:r>
    </w:p>
    <w:p w:rsidR="00CA45A0" w:rsidRPr="00797537" w:rsidRDefault="00CA45A0" w:rsidP="00612F30">
      <w:pPr>
        <w:pStyle w:val="AnnexNo"/>
        <w:rPr>
          <w:lang w:eastAsia="ja-JP"/>
        </w:rPr>
      </w:pPr>
      <w:bookmarkStart w:id="14" w:name="Att9"/>
      <w:r w:rsidRPr="00797537">
        <w:rPr>
          <w:lang w:eastAsia="ja-JP"/>
        </w:rPr>
        <w:t>Attachment 9</w:t>
      </w:r>
    </w:p>
    <w:p w:rsidR="00CA45A0" w:rsidRDefault="00CA45A0" w:rsidP="00612F30">
      <w:pPr>
        <w:pStyle w:val="Annextitle"/>
        <w:rPr>
          <w:lang w:eastAsia="ja-JP"/>
        </w:rPr>
      </w:pPr>
      <w:r w:rsidRPr="00797537">
        <w:rPr>
          <w:lang w:eastAsia="ja-JP"/>
        </w:rPr>
        <w:t>WRC Recommendations related to the work of Study Group 5</w:t>
      </w:r>
    </w:p>
    <w:tbl>
      <w:tblPr>
        <w:tblStyle w:val="TableGrid2"/>
        <w:tblW w:w="5000" w:type="pct"/>
        <w:tblLook w:val="04A0" w:firstRow="1" w:lastRow="0" w:firstColumn="1" w:lastColumn="0" w:noHBand="0" w:noVBand="1"/>
      </w:tblPr>
      <w:tblGrid>
        <w:gridCol w:w="1838"/>
        <w:gridCol w:w="2977"/>
        <w:gridCol w:w="7654"/>
        <w:gridCol w:w="1519"/>
      </w:tblGrid>
      <w:tr w:rsidR="00861057" w:rsidRPr="00861057" w:rsidTr="00727443">
        <w:trPr>
          <w:tblHeader/>
        </w:trPr>
        <w:tc>
          <w:tcPr>
            <w:tcW w:w="657" w:type="pct"/>
            <w:vAlign w:val="center"/>
          </w:tcPr>
          <w:bookmarkEnd w:id="14"/>
          <w:p w:rsidR="00861057" w:rsidRPr="00861057" w:rsidRDefault="00861057" w:rsidP="00611525">
            <w:pPr>
              <w:keepNext/>
              <w:spacing w:before="80" w:after="80"/>
              <w:jc w:val="center"/>
              <w:rPr>
                <w:rFonts w:ascii="Times New Roman Bold" w:hAnsi="Times New Roman Bold" w:cs="Times New Roman Bold"/>
                <w:b/>
                <w:sz w:val="20"/>
              </w:rPr>
            </w:pPr>
            <w:r w:rsidRPr="00861057">
              <w:rPr>
                <w:rFonts w:ascii="Times New Roman Bold" w:hAnsi="Times New Roman Bold" w:cs="Times New Roman Bold"/>
                <w:b/>
                <w:sz w:val="20"/>
              </w:rPr>
              <w:t>Topic</w:t>
            </w:r>
          </w:p>
        </w:tc>
        <w:tc>
          <w:tcPr>
            <w:tcW w:w="1064" w:type="pct"/>
            <w:vAlign w:val="center"/>
          </w:tcPr>
          <w:p w:rsidR="00861057" w:rsidRPr="00861057" w:rsidRDefault="00861057" w:rsidP="00611525">
            <w:pPr>
              <w:keepNext/>
              <w:spacing w:before="80" w:after="80"/>
              <w:jc w:val="center"/>
              <w:rPr>
                <w:rFonts w:ascii="Times New Roman Bold" w:hAnsi="Times New Roman Bold" w:cs="Times New Roman Bold"/>
                <w:b/>
                <w:sz w:val="20"/>
              </w:rPr>
            </w:pPr>
            <w:r>
              <w:rPr>
                <w:rFonts w:ascii="Times New Roman Bold" w:hAnsi="Times New Roman Bold" w:cs="Times New Roman Bold"/>
                <w:b/>
                <w:sz w:val="20"/>
              </w:rPr>
              <w:t>Title</w:t>
            </w:r>
          </w:p>
        </w:tc>
        <w:tc>
          <w:tcPr>
            <w:tcW w:w="2736" w:type="pct"/>
          </w:tcPr>
          <w:p w:rsidR="00861057" w:rsidRPr="00861057" w:rsidRDefault="00861057" w:rsidP="00861057">
            <w:pPr>
              <w:keepNext/>
              <w:spacing w:before="80" w:after="80"/>
              <w:jc w:val="center"/>
              <w:rPr>
                <w:rFonts w:ascii="Times New Roman Bold" w:hAnsi="Times New Roman Bold" w:cs="Times New Roman Bold"/>
                <w:b/>
                <w:sz w:val="20"/>
              </w:rPr>
            </w:pPr>
            <w:r w:rsidRPr="00861057">
              <w:rPr>
                <w:rFonts w:ascii="Times New Roman Bold" w:hAnsi="Times New Roman Bold" w:cs="Times New Roman Bold"/>
                <w:b/>
                <w:sz w:val="20"/>
              </w:rPr>
              <w:t>Action to be taken by the group</w:t>
            </w:r>
          </w:p>
        </w:tc>
        <w:tc>
          <w:tcPr>
            <w:tcW w:w="543" w:type="pct"/>
            <w:vAlign w:val="center"/>
          </w:tcPr>
          <w:p w:rsidR="00861057" w:rsidRPr="00861057" w:rsidRDefault="00861057" w:rsidP="00473474">
            <w:pPr>
              <w:keepNext/>
              <w:spacing w:before="80" w:after="80"/>
              <w:jc w:val="center"/>
              <w:rPr>
                <w:rFonts w:ascii="Times New Roman Bold" w:hAnsi="Times New Roman Bold" w:cs="Times New Roman Bold"/>
                <w:b/>
                <w:sz w:val="20"/>
              </w:rPr>
            </w:pPr>
            <w:r>
              <w:rPr>
                <w:rFonts w:ascii="Times New Roman Bold" w:hAnsi="Times New Roman Bold" w:cs="Times New Roman Bold"/>
                <w:b/>
                <w:sz w:val="20"/>
              </w:rPr>
              <w:t>WP</w:t>
            </w:r>
          </w:p>
        </w:tc>
      </w:tr>
      <w:tr w:rsidR="00861057" w:rsidRPr="00A77474" w:rsidTr="00727443">
        <w:tc>
          <w:tcPr>
            <w:tcW w:w="657" w:type="pct"/>
            <w:vAlign w:val="center"/>
          </w:tcPr>
          <w:p w:rsidR="00861057" w:rsidRPr="00A77474" w:rsidRDefault="00861057" w:rsidP="00611525">
            <w:pPr>
              <w:tabs>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eastAsia="zh-CN"/>
              </w:rPr>
            </w:pPr>
            <w:r w:rsidRPr="00A77474">
              <w:rPr>
                <w:sz w:val="20"/>
                <w:lang w:val="fr-FR" w:eastAsia="zh-CN"/>
              </w:rPr>
              <w:t xml:space="preserve">Recommendation </w:t>
            </w:r>
            <w:r w:rsidRPr="00A77474">
              <w:rPr>
                <w:b/>
                <w:sz w:val="20"/>
                <w:lang w:val="fr-FR" w:eastAsia="zh-CN"/>
              </w:rPr>
              <w:t>16 (Rev.WRC-19)</w:t>
            </w:r>
          </w:p>
        </w:tc>
        <w:tc>
          <w:tcPr>
            <w:tcW w:w="1064" w:type="pct"/>
            <w:vAlign w:val="center"/>
          </w:tcPr>
          <w:p w:rsidR="00861057" w:rsidRPr="00A77474" w:rsidRDefault="00861057" w:rsidP="004122E2">
            <w:pPr>
              <w:tabs>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eastAsia="zh-CN"/>
              </w:rPr>
            </w:pPr>
            <w:r w:rsidRPr="00A77474">
              <w:rPr>
                <w:sz w:val="20"/>
                <w:lang w:eastAsia="zh-CN"/>
              </w:rPr>
              <w:t>Interference management for stations that may operate under more than one terrestrial radiocommunication service</w:t>
            </w:r>
          </w:p>
        </w:tc>
        <w:tc>
          <w:tcPr>
            <w:tcW w:w="2736" w:type="pct"/>
            <w:shd w:val="clear" w:color="auto" w:fill="auto"/>
          </w:tcPr>
          <w:p w:rsidR="00861057" w:rsidRPr="00A77474" w:rsidRDefault="00861057" w:rsidP="00611525">
            <w:pPr>
              <w:pStyle w:val="StyleCall10pt"/>
              <w:rPr>
                <w:lang w:eastAsia="zh-CN"/>
              </w:rPr>
            </w:pPr>
            <w:r w:rsidRPr="00611525">
              <w:t>recommends</w:t>
            </w:r>
          </w:p>
          <w:p w:rsidR="00861057" w:rsidRPr="00A77474" w:rsidRDefault="00861057" w:rsidP="00373E4E">
            <w:pPr>
              <w:tabs>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eastAsia="zh-CN"/>
              </w:rPr>
            </w:pPr>
            <w:r w:rsidRPr="00A77474">
              <w:rPr>
                <w:sz w:val="20"/>
                <w:lang w:eastAsia="zh-CN"/>
              </w:rPr>
              <w:t>that ITU-R study all aspects of interference management resulting from the impact of technical convergence on the radio regulatory environment, involving stations that may operate under more than one terrestrial radiocommunication service, particularly cross-border interference cases, to ensure harmful interference is not caused to stations of other Member States,</w:t>
            </w:r>
          </w:p>
        </w:tc>
        <w:tc>
          <w:tcPr>
            <w:tcW w:w="543" w:type="pct"/>
            <w:vAlign w:val="center"/>
          </w:tcPr>
          <w:p w:rsidR="00861057" w:rsidRPr="00A77474" w:rsidRDefault="00A77474" w:rsidP="00473474">
            <w:pPr>
              <w:tabs>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eastAsia="zh-CN"/>
              </w:rPr>
            </w:pPr>
            <w:r w:rsidRPr="00A77474">
              <w:rPr>
                <w:b/>
                <w:sz w:val="20"/>
                <w:lang w:val="fr-FR" w:eastAsia="zh-CN"/>
              </w:rPr>
              <w:t>5A,</w:t>
            </w:r>
            <w:r w:rsidRPr="00A77474">
              <w:rPr>
                <w:b/>
                <w:sz w:val="20"/>
                <w:lang w:val="fr-FR" w:eastAsia="zh-CN"/>
              </w:rPr>
              <w:br/>
              <w:t>5B,</w:t>
            </w:r>
            <w:r w:rsidRPr="00A77474">
              <w:rPr>
                <w:b/>
                <w:sz w:val="20"/>
                <w:lang w:val="fr-FR" w:eastAsia="zh-CN"/>
              </w:rPr>
              <w:br/>
              <w:t>5C,</w:t>
            </w:r>
            <w:r w:rsidRPr="00A77474">
              <w:rPr>
                <w:b/>
                <w:sz w:val="20"/>
                <w:lang w:val="fr-FR" w:eastAsia="zh-CN"/>
              </w:rPr>
              <w:br/>
              <w:t>5D</w:t>
            </w:r>
          </w:p>
        </w:tc>
      </w:tr>
      <w:tr w:rsidR="00A77474" w:rsidRPr="00A77474" w:rsidTr="00727443">
        <w:tc>
          <w:tcPr>
            <w:tcW w:w="657" w:type="pct"/>
            <w:vAlign w:val="center"/>
          </w:tcPr>
          <w:p w:rsidR="00A77474" w:rsidRPr="00A77474" w:rsidRDefault="00A77474" w:rsidP="00611525">
            <w:pPr>
              <w:tabs>
                <w:tab w:val="clear" w:pos="1134"/>
                <w:tab w:val="clear" w:pos="1871"/>
                <w:tab w:val="clear" w:pos="2268"/>
                <w:tab w:val="left" w:pos="284"/>
                <w:tab w:val="left" w:pos="567"/>
                <w:tab w:val="left" w:pos="851"/>
              </w:tabs>
              <w:spacing w:before="40" w:after="40"/>
              <w:rPr>
                <w:sz w:val="20"/>
              </w:rPr>
            </w:pPr>
            <w:r w:rsidRPr="00A77474">
              <w:rPr>
                <w:sz w:val="20"/>
              </w:rPr>
              <w:t xml:space="preserve">Recommendation </w:t>
            </w:r>
            <w:r w:rsidRPr="00A77474">
              <w:rPr>
                <w:b/>
                <w:sz w:val="20"/>
              </w:rPr>
              <w:t>34 (WRC-12)</w:t>
            </w:r>
          </w:p>
        </w:tc>
        <w:tc>
          <w:tcPr>
            <w:tcW w:w="1064" w:type="pct"/>
            <w:vAlign w:val="center"/>
          </w:tcPr>
          <w:p w:rsidR="00A77474" w:rsidRPr="00A77474" w:rsidRDefault="00A77474" w:rsidP="004122E2">
            <w:pPr>
              <w:tabs>
                <w:tab w:val="clear" w:pos="1134"/>
                <w:tab w:val="clear" w:pos="1871"/>
                <w:tab w:val="clear" w:pos="2268"/>
                <w:tab w:val="left" w:pos="284"/>
                <w:tab w:val="left" w:pos="567"/>
                <w:tab w:val="left" w:pos="851"/>
              </w:tabs>
              <w:spacing w:before="40" w:after="40"/>
              <w:rPr>
                <w:sz w:val="20"/>
              </w:rPr>
            </w:pPr>
            <w:r w:rsidRPr="00A77474">
              <w:rPr>
                <w:sz w:val="20"/>
              </w:rPr>
              <w:t>P</w:t>
            </w:r>
            <w:r w:rsidR="00E62A19">
              <w:rPr>
                <w:sz w:val="20"/>
              </w:rPr>
              <w:t>rinciples for the allocation of </w:t>
            </w:r>
            <w:r w:rsidRPr="00A77474">
              <w:rPr>
                <w:sz w:val="20"/>
              </w:rPr>
              <w:t>frequency bands</w:t>
            </w:r>
          </w:p>
        </w:tc>
        <w:tc>
          <w:tcPr>
            <w:tcW w:w="2736" w:type="pct"/>
          </w:tcPr>
          <w:p w:rsidR="00A77474" w:rsidRPr="00611525" w:rsidRDefault="00A77474" w:rsidP="00611525">
            <w:pPr>
              <w:pStyle w:val="StyleCall10pt"/>
              <w:tabs>
                <w:tab w:val="clear" w:pos="794"/>
                <w:tab w:val="clear" w:pos="1191"/>
              </w:tabs>
              <w:rPr>
                <w:spacing w:val="-4"/>
              </w:rPr>
            </w:pPr>
            <w:r w:rsidRPr="00611525">
              <w:rPr>
                <w:spacing w:val="-4"/>
                <w:lang w:eastAsia="zh-CN"/>
              </w:rPr>
              <w:t>instructs</w:t>
            </w:r>
            <w:r w:rsidRPr="00611525">
              <w:rPr>
                <w:spacing w:val="-4"/>
              </w:rPr>
              <w:t xml:space="preserve"> the Director of the Radiocommunication Bureau and requests the ITU</w:t>
            </w:r>
            <w:r w:rsidRPr="00611525">
              <w:rPr>
                <w:spacing w:val="-4"/>
              </w:rPr>
              <w:noBreakHyphen/>
              <w:t>R study groups</w:t>
            </w:r>
          </w:p>
          <w:p w:rsidR="00A77474" w:rsidRPr="00A77474" w:rsidRDefault="00A77474" w:rsidP="00373E4E">
            <w:pPr>
              <w:tabs>
                <w:tab w:val="clear" w:pos="1134"/>
                <w:tab w:val="clear" w:pos="1871"/>
                <w:tab w:val="clear" w:pos="2268"/>
                <w:tab w:val="left" w:pos="284"/>
                <w:tab w:val="left" w:pos="567"/>
                <w:tab w:val="left" w:pos="851"/>
              </w:tabs>
              <w:spacing w:before="40" w:after="40"/>
              <w:jc w:val="both"/>
              <w:rPr>
                <w:sz w:val="20"/>
              </w:rPr>
            </w:pPr>
            <w:r w:rsidRPr="00A77474">
              <w:rPr>
                <w:sz w:val="20"/>
              </w:rPr>
              <w:t>1</w:t>
            </w:r>
            <w:r w:rsidRPr="00A77474">
              <w:rPr>
                <w:sz w:val="20"/>
              </w:rPr>
              <w:tab/>
              <w:t xml:space="preserve">when carrying out technical studies relating to a frequency band, to examine the compatibility of broadly defined services with the existing utilizations and the possibility of aligning allocations on a worldwide basis, having regard to </w:t>
            </w:r>
            <w:r w:rsidRPr="00A77474">
              <w:rPr>
                <w:i/>
                <w:iCs/>
                <w:sz w:val="20"/>
              </w:rPr>
              <w:t>considerings a)</w:t>
            </w:r>
            <w:r w:rsidRPr="00A77474">
              <w:rPr>
                <w:sz w:val="20"/>
              </w:rPr>
              <w:t xml:space="preserve"> to </w:t>
            </w:r>
            <w:r w:rsidRPr="00A77474">
              <w:rPr>
                <w:i/>
                <w:iCs/>
                <w:sz w:val="20"/>
              </w:rPr>
              <w:t>g)</w:t>
            </w:r>
            <w:r w:rsidRPr="00A77474">
              <w:rPr>
                <w:sz w:val="20"/>
              </w:rPr>
              <w:t xml:space="preserve"> and </w:t>
            </w:r>
            <w:r w:rsidRPr="00A77474">
              <w:rPr>
                <w:i/>
                <w:iCs/>
                <w:sz w:val="20"/>
              </w:rPr>
              <w:t>recommends</w:t>
            </w:r>
            <w:r w:rsidRPr="00A77474">
              <w:rPr>
                <w:sz w:val="20"/>
              </w:rPr>
              <w:t> 1 to 4 above;</w:t>
            </w:r>
          </w:p>
          <w:p w:rsidR="00A77474" w:rsidRPr="00A77474" w:rsidRDefault="00A77474" w:rsidP="00373E4E">
            <w:pPr>
              <w:tabs>
                <w:tab w:val="clear" w:pos="1134"/>
                <w:tab w:val="clear" w:pos="1871"/>
                <w:tab w:val="clear" w:pos="2268"/>
                <w:tab w:val="left" w:pos="284"/>
                <w:tab w:val="left" w:pos="567"/>
                <w:tab w:val="left" w:pos="851"/>
              </w:tabs>
              <w:spacing w:before="40" w:after="40"/>
              <w:jc w:val="both"/>
              <w:rPr>
                <w:sz w:val="20"/>
              </w:rPr>
            </w:pPr>
            <w:r w:rsidRPr="00A77474">
              <w:rPr>
                <w:sz w:val="20"/>
              </w:rPr>
              <w:t>2</w:t>
            </w:r>
            <w:r w:rsidRPr="00A77474">
              <w:rPr>
                <w:sz w:val="20"/>
              </w:rPr>
              <w:tab/>
              <w:t>to conduct these studies, with the participation of the International Civil Aviation Organization (ICAO), the International Maritime Organization (IMO), the World Meteorological Organization (WMO) and other international organizations concerned, where appropriate;</w:t>
            </w:r>
          </w:p>
          <w:p w:rsidR="00A77474" w:rsidRPr="00A77474" w:rsidRDefault="00A77474" w:rsidP="00373E4E">
            <w:pPr>
              <w:tabs>
                <w:tab w:val="clear" w:pos="1134"/>
                <w:tab w:val="clear" w:pos="1871"/>
                <w:tab w:val="clear" w:pos="2268"/>
                <w:tab w:val="left" w:pos="284"/>
                <w:tab w:val="left" w:pos="567"/>
                <w:tab w:val="left" w:pos="851"/>
              </w:tabs>
              <w:spacing w:before="40" w:after="40"/>
              <w:jc w:val="both"/>
              <w:rPr>
                <w:sz w:val="20"/>
              </w:rPr>
            </w:pPr>
            <w:r w:rsidRPr="00A77474">
              <w:rPr>
                <w:sz w:val="20"/>
              </w:rPr>
              <w:t>3</w:t>
            </w:r>
            <w:r w:rsidRPr="00A77474">
              <w:rPr>
                <w:sz w:val="20"/>
              </w:rPr>
              <w:tab/>
              <w:t>to submit a report to future world radiocommunication conferences containing the results of these studies,</w:t>
            </w:r>
          </w:p>
          <w:p w:rsidR="00A77474" w:rsidRPr="00A77474" w:rsidRDefault="00A77474" w:rsidP="00611525">
            <w:pPr>
              <w:pStyle w:val="StyleCall10pt"/>
              <w:tabs>
                <w:tab w:val="clear" w:pos="794"/>
                <w:tab w:val="clear" w:pos="1191"/>
              </w:tabs>
            </w:pPr>
            <w:r w:rsidRPr="00A77474">
              <w:rPr>
                <w:lang w:eastAsia="zh-CN"/>
              </w:rPr>
              <w:t>invites</w:t>
            </w:r>
            <w:r w:rsidRPr="00A77474">
              <w:t xml:space="preserve"> ITU</w:t>
            </w:r>
            <w:r w:rsidRPr="00A77474">
              <w:noBreakHyphen/>
              <w:t>R</w:t>
            </w:r>
          </w:p>
          <w:p w:rsidR="00A77474" w:rsidRPr="00A77474" w:rsidRDefault="00A77474" w:rsidP="00373E4E">
            <w:pPr>
              <w:tabs>
                <w:tab w:val="clear" w:pos="1134"/>
                <w:tab w:val="clear" w:pos="1871"/>
                <w:tab w:val="clear" w:pos="2268"/>
                <w:tab w:val="left" w:pos="284"/>
                <w:tab w:val="left" w:pos="567"/>
                <w:tab w:val="left" w:pos="851"/>
              </w:tabs>
              <w:spacing w:before="40" w:after="40"/>
              <w:jc w:val="both"/>
              <w:rPr>
                <w:i/>
                <w:iCs/>
                <w:sz w:val="20"/>
              </w:rPr>
            </w:pPr>
            <w:r w:rsidRPr="00A77474">
              <w:rPr>
                <w:sz w:val="20"/>
              </w:rPr>
              <w:t>to identify areas for study and to undertake the studies necessary to determine the impact on existing services of those agenda items of future world radiocommunication conferences which involve broadening the scope of existing service allocations,</w:t>
            </w:r>
          </w:p>
        </w:tc>
        <w:tc>
          <w:tcPr>
            <w:tcW w:w="543" w:type="pct"/>
            <w:vAlign w:val="center"/>
          </w:tcPr>
          <w:p w:rsidR="00A77474" w:rsidRPr="00A77474" w:rsidRDefault="00A77474" w:rsidP="00473474">
            <w:pPr>
              <w:tabs>
                <w:tab w:val="clear" w:pos="1134"/>
                <w:tab w:val="clear" w:pos="1871"/>
                <w:tab w:val="clear" w:pos="2268"/>
                <w:tab w:val="left" w:pos="284"/>
                <w:tab w:val="left" w:pos="567"/>
                <w:tab w:val="left" w:pos="851"/>
              </w:tabs>
              <w:spacing w:before="40" w:after="40"/>
              <w:jc w:val="center"/>
              <w:rPr>
                <w:b/>
                <w:sz w:val="20"/>
              </w:rPr>
            </w:pPr>
            <w:r w:rsidRPr="00A77474">
              <w:rPr>
                <w:b/>
                <w:sz w:val="20"/>
              </w:rPr>
              <w:t>5A,</w:t>
            </w:r>
            <w:r w:rsidRPr="00A77474">
              <w:rPr>
                <w:b/>
                <w:sz w:val="20"/>
              </w:rPr>
              <w:br/>
              <w:t>5B,</w:t>
            </w:r>
            <w:r w:rsidRPr="00A77474">
              <w:rPr>
                <w:b/>
                <w:sz w:val="20"/>
              </w:rPr>
              <w:br/>
              <w:t xml:space="preserve">5C, </w:t>
            </w:r>
            <w:r w:rsidRPr="00A77474">
              <w:rPr>
                <w:b/>
                <w:sz w:val="20"/>
              </w:rPr>
              <w:br/>
              <w:t>5D</w:t>
            </w:r>
          </w:p>
        </w:tc>
      </w:tr>
      <w:tr w:rsidR="00A77474" w:rsidRPr="00A77474" w:rsidTr="00727443">
        <w:tc>
          <w:tcPr>
            <w:tcW w:w="657" w:type="pct"/>
            <w:vAlign w:val="center"/>
          </w:tcPr>
          <w:p w:rsidR="00A77474" w:rsidRPr="00A77474" w:rsidRDefault="00A77474" w:rsidP="00611525">
            <w:pPr>
              <w:tabs>
                <w:tab w:val="clear" w:pos="1134"/>
                <w:tab w:val="clear" w:pos="1871"/>
                <w:tab w:val="clear" w:pos="2268"/>
                <w:tab w:val="left" w:pos="284"/>
                <w:tab w:val="left" w:pos="567"/>
                <w:tab w:val="left" w:pos="851"/>
              </w:tabs>
              <w:spacing w:before="40" w:after="40"/>
              <w:rPr>
                <w:sz w:val="20"/>
              </w:rPr>
            </w:pPr>
            <w:r w:rsidRPr="00A77474">
              <w:rPr>
                <w:sz w:val="20"/>
              </w:rPr>
              <w:t xml:space="preserve">Recommendation </w:t>
            </w:r>
            <w:r w:rsidRPr="00A77474">
              <w:rPr>
                <w:b/>
                <w:sz w:val="20"/>
              </w:rPr>
              <w:t>75 (Rev.WRC-15)</w:t>
            </w:r>
          </w:p>
        </w:tc>
        <w:tc>
          <w:tcPr>
            <w:tcW w:w="1064" w:type="pct"/>
            <w:vAlign w:val="center"/>
          </w:tcPr>
          <w:p w:rsidR="00A77474" w:rsidRPr="00A77474" w:rsidRDefault="00A77474" w:rsidP="004122E2">
            <w:pPr>
              <w:tabs>
                <w:tab w:val="clear" w:pos="1134"/>
                <w:tab w:val="clear" w:pos="1871"/>
                <w:tab w:val="clear" w:pos="2268"/>
                <w:tab w:val="left" w:pos="284"/>
                <w:tab w:val="left" w:pos="567"/>
                <w:tab w:val="left" w:pos="851"/>
              </w:tabs>
              <w:spacing w:before="40" w:after="40"/>
              <w:rPr>
                <w:sz w:val="20"/>
              </w:rPr>
            </w:pPr>
            <w:r w:rsidRPr="00A77474">
              <w:rPr>
                <w:sz w:val="20"/>
              </w:rPr>
              <w:t>Study of the boundary between the out-of-band and spurious domains of</w:t>
            </w:r>
          </w:p>
          <w:p w:rsidR="00A77474" w:rsidRPr="00A77474" w:rsidRDefault="00A77474" w:rsidP="004122E2">
            <w:pPr>
              <w:tabs>
                <w:tab w:val="clear" w:pos="1134"/>
                <w:tab w:val="clear" w:pos="1871"/>
                <w:tab w:val="clear" w:pos="2268"/>
                <w:tab w:val="left" w:pos="284"/>
                <w:tab w:val="left" w:pos="567"/>
                <w:tab w:val="left" w:pos="851"/>
              </w:tabs>
              <w:spacing w:before="40" w:after="40"/>
              <w:rPr>
                <w:sz w:val="20"/>
              </w:rPr>
            </w:pPr>
            <w:r w:rsidRPr="00A77474">
              <w:rPr>
                <w:sz w:val="20"/>
              </w:rPr>
              <w:t>primary radars using magnetrons</w:t>
            </w:r>
          </w:p>
        </w:tc>
        <w:tc>
          <w:tcPr>
            <w:tcW w:w="2736" w:type="pct"/>
          </w:tcPr>
          <w:p w:rsidR="00A77474" w:rsidRPr="00A77474" w:rsidRDefault="00A77474" w:rsidP="00611525">
            <w:pPr>
              <w:pStyle w:val="StyleCall10pt"/>
              <w:tabs>
                <w:tab w:val="clear" w:pos="794"/>
                <w:tab w:val="clear" w:pos="1191"/>
              </w:tabs>
            </w:pPr>
            <w:r w:rsidRPr="00A77474">
              <w:t xml:space="preserve">recommends </w:t>
            </w:r>
          </w:p>
          <w:p w:rsidR="00A77474" w:rsidRPr="00A77474" w:rsidRDefault="00A77474" w:rsidP="00373E4E">
            <w:pPr>
              <w:tabs>
                <w:tab w:val="clear" w:pos="1134"/>
                <w:tab w:val="clear" w:pos="1871"/>
                <w:tab w:val="clear" w:pos="2268"/>
                <w:tab w:val="left" w:pos="284"/>
                <w:tab w:val="left" w:pos="567"/>
                <w:tab w:val="left" w:pos="851"/>
              </w:tabs>
              <w:spacing w:before="40" w:after="40"/>
              <w:jc w:val="both"/>
              <w:rPr>
                <w:i/>
                <w:iCs/>
                <w:sz w:val="20"/>
              </w:rPr>
            </w:pPr>
            <w:r w:rsidRPr="00A77474">
              <w:rPr>
                <w:sz w:val="20"/>
              </w:rPr>
              <w:t>that ITU-R study calculation methods for the −40 dB bandwidth necessary for the determination of the boundary between the spurious and out-of-band domains of primary radars using magnetrons,</w:t>
            </w:r>
          </w:p>
        </w:tc>
        <w:tc>
          <w:tcPr>
            <w:tcW w:w="543" w:type="pct"/>
            <w:vAlign w:val="center"/>
          </w:tcPr>
          <w:p w:rsidR="00A77474" w:rsidRPr="00A77474" w:rsidRDefault="00A77474" w:rsidP="00473474">
            <w:pPr>
              <w:tabs>
                <w:tab w:val="clear" w:pos="1134"/>
                <w:tab w:val="clear" w:pos="1871"/>
                <w:tab w:val="clear" w:pos="2268"/>
                <w:tab w:val="left" w:pos="284"/>
                <w:tab w:val="left" w:pos="567"/>
                <w:tab w:val="left" w:pos="851"/>
              </w:tabs>
              <w:spacing w:before="40" w:after="40"/>
              <w:jc w:val="center"/>
              <w:rPr>
                <w:b/>
                <w:sz w:val="20"/>
              </w:rPr>
            </w:pPr>
            <w:r w:rsidRPr="00A77474">
              <w:rPr>
                <w:b/>
                <w:sz w:val="20"/>
              </w:rPr>
              <w:t>5B</w:t>
            </w:r>
          </w:p>
        </w:tc>
      </w:tr>
      <w:tr w:rsidR="00A77474" w:rsidRPr="00A77474" w:rsidTr="00727443">
        <w:tc>
          <w:tcPr>
            <w:tcW w:w="657" w:type="pct"/>
            <w:vAlign w:val="center"/>
          </w:tcPr>
          <w:p w:rsidR="00A77474" w:rsidRPr="00A77474" w:rsidRDefault="00A77474" w:rsidP="00611525">
            <w:pPr>
              <w:tabs>
                <w:tab w:val="clear" w:pos="1134"/>
                <w:tab w:val="clear" w:pos="1871"/>
                <w:tab w:val="clear" w:pos="2268"/>
                <w:tab w:val="left" w:pos="284"/>
                <w:tab w:val="left" w:pos="567"/>
                <w:tab w:val="left" w:pos="851"/>
              </w:tabs>
              <w:spacing w:before="40" w:after="40"/>
              <w:rPr>
                <w:sz w:val="20"/>
              </w:rPr>
            </w:pPr>
            <w:r w:rsidRPr="00A77474">
              <w:rPr>
                <w:sz w:val="20"/>
              </w:rPr>
              <w:t xml:space="preserve">Recommendation </w:t>
            </w:r>
            <w:r w:rsidRPr="00A77474">
              <w:rPr>
                <w:b/>
                <w:sz w:val="20"/>
              </w:rPr>
              <w:t>76 (WRC-12)</w:t>
            </w:r>
          </w:p>
        </w:tc>
        <w:tc>
          <w:tcPr>
            <w:tcW w:w="1064" w:type="pct"/>
            <w:vAlign w:val="center"/>
          </w:tcPr>
          <w:p w:rsidR="00A77474" w:rsidRPr="00A77474" w:rsidRDefault="00A77474" w:rsidP="004122E2">
            <w:pPr>
              <w:tabs>
                <w:tab w:val="clear" w:pos="1134"/>
                <w:tab w:val="clear" w:pos="1871"/>
                <w:tab w:val="clear" w:pos="2268"/>
                <w:tab w:val="left" w:pos="284"/>
                <w:tab w:val="left" w:pos="567"/>
                <w:tab w:val="left" w:pos="851"/>
              </w:tabs>
              <w:spacing w:before="40" w:after="40"/>
              <w:rPr>
                <w:sz w:val="20"/>
              </w:rPr>
            </w:pPr>
            <w:r w:rsidRPr="00A77474">
              <w:rPr>
                <w:sz w:val="20"/>
              </w:rPr>
              <w:t>Deployment and use of cognitive radio systems</w:t>
            </w:r>
          </w:p>
        </w:tc>
        <w:tc>
          <w:tcPr>
            <w:tcW w:w="2736" w:type="pct"/>
          </w:tcPr>
          <w:p w:rsidR="00A77474" w:rsidRPr="00A77474" w:rsidRDefault="00A77474" w:rsidP="00611525">
            <w:pPr>
              <w:pStyle w:val="StyleCall10pt"/>
              <w:tabs>
                <w:tab w:val="clear" w:pos="794"/>
                <w:tab w:val="clear" w:pos="1191"/>
              </w:tabs>
            </w:pPr>
            <w:r w:rsidRPr="00A77474">
              <w:t xml:space="preserve">recommends </w:t>
            </w:r>
          </w:p>
          <w:p w:rsidR="00A77474" w:rsidRPr="00A77474" w:rsidRDefault="00A77474" w:rsidP="00F510EF">
            <w:pPr>
              <w:tabs>
                <w:tab w:val="clear" w:pos="1134"/>
                <w:tab w:val="clear" w:pos="1871"/>
                <w:tab w:val="clear" w:pos="2268"/>
                <w:tab w:val="left" w:pos="284"/>
                <w:tab w:val="left" w:pos="567"/>
                <w:tab w:val="left" w:pos="851"/>
              </w:tabs>
              <w:spacing w:before="40" w:after="40"/>
              <w:jc w:val="both"/>
              <w:rPr>
                <w:sz w:val="20"/>
              </w:rPr>
            </w:pPr>
            <w:r w:rsidRPr="00A77474">
              <w:rPr>
                <w:sz w:val="20"/>
              </w:rPr>
              <w:t>that administrations participate actively in the ITU</w:t>
            </w:r>
            <w:r w:rsidRPr="00A77474">
              <w:rPr>
                <w:sz w:val="20"/>
              </w:rPr>
              <w:noBreakHyphen/>
              <w:t>R studies conducted under Resolution</w:t>
            </w:r>
            <w:r w:rsidR="00F510EF">
              <w:rPr>
                <w:sz w:val="20"/>
              </w:rPr>
              <w:t> </w:t>
            </w:r>
            <w:r w:rsidRPr="00A77474">
              <w:rPr>
                <w:sz w:val="20"/>
              </w:rPr>
              <w:t>ITU</w:t>
            </w:r>
            <w:r w:rsidRPr="00A77474">
              <w:rPr>
                <w:sz w:val="20"/>
              </w:rPr>
              <w:noBreakHyphen/>
              <w:t xml:space="preserve">R 58, taking into account </w:t>
            </w:r>
            <w:r w:rsidRPr="00A77474">
              <w:rPr>
                <w:i/>
                <w:iCs/>
                <w:sz w:val="20"/>
              </w:rPr>
              <w:t>recognizing</w:t>
            </w:r>
            <w:r w:rsidRPr="00A77474">
              <w:rPr>
                <w:sz w:val="20"/>
              </w:rPr>
              <w:t> </w:t>
            </w:r>
            <w:r w:rsidRPr="00A77474">
              <w:rPr>
                <w:i/>
                <w:iCs/>
                <w:sz w:val="20"/>
              </w:rPr>
              <w:t>a)</w:t>
            </w:r>
            <w:r w:rsidRPr="00A77474">
              <w:rPr>
                <w:sz w:val="20"/>
              </w:rPr>
              <w:t xml:space="preserve"> and </w:t>
            </w:r>
            <w:r w:rsidRPr="00A77474">
              <w:rPr>
                <w:i/>
                <w:iCs/>
                <w:sz w:val="20"/>
              </w:rPr>
              <w:t>b)</w:t>
            </w:r>
            <w:r w:rsidRPr="00A77474">
              <w:rPr>
                <w:sz w:val="20"/>
              </w:rPr>
              <w:t>.</w:t>
            </w:r>
          </w:p>
        </w:tc>
        <w:tc>
          <w:tcPr>
            <w:tcW w:w="543" w:type="pct"/>
            <w:vAlign w:val="center"/>
          </w:tcPr>
          <w:p w:rsidR="00A77474" w:rsidRPr="00A77474" w:rsidRDefault="00A77474" w:rsidP="00473474">
            <w:pPr>
              <w:tabs>
                <w:tab w:val="clear" w:pos="1134"/>
                <w:tab w:val="clear" w:pos="1871"/>
                <w:tab w:val="clear" w:pos="2268"/>
                <w:tab w:val="left" w:pos="284"/>
                <w:tab w:val="left" w:pos="567"/>
                <w:tab w:val="left" w:pos="851"/>
              </w:tabs>
              <w:spacing w:before="40" w:after="40"/>
              <w:jc w:val="center"/>
              <w:rPr>
                <w:b/>
                <w:sz w:val="20"/>
              </w:rPr>
            </w:pPr>
            <w:r w:rsidRPr="00A77474">
              <w:rPr>
                <w:b/>
                <w:sz w:val="20"/>
              </w:rPr>
              <w:t>5A, 5D</w:t>
            </w:r>
          </w:p>
        </w:tc>
      </w:tr>
      <w:tr w:rsidR="00F12B63" w:rsidRPr="00861057" w:rsidTr="00727443">
        <w:tc>
          <w:tcPr>
            <w:tcW w:w="657" w:type="pct"/>
            <w:vAlign w:val="center"/>
          </w:tcPr>
          <w:p w:rsidR="00F12B63" w:rsidRPr="00861057" w:rsidRDefault="00F12B63" w:rsidP="00611525">
            <w:pPr>
              <w:keepNext/>
              <w:keepLines/>
              <w:tabs>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eastAsia="zh-CN"/>
              </w:rPr>
            </w:pPr>
            <w:r>
              <w:rPr>
                <w:sz w:val="20"/>
                <w:lang w:val="fr-FR" w:eastAsia="zh-CN"/>
              </w:rPr>
              <w:t xml:space="preserve">Recommendation </w:t>
            </w:r>
            <w:r w:rsidRPr="002333BC">
              <w:rPr>
                <w:b/>
                <w:sz w:val="20"/>
                <w:lang w:val="fr-FR" w:eastAsia="zh-CN"/>
              </w:rPr>
              <w:t>206 (Rev.WRC-19)</w:t>
            </w:r>
          </w:p>
        </w:tc>
        <w:tc>
          <w:tcPr>
            <w:tcW w:w="1064" w:type="pct"/>
            <w:vAlign w:val="center"/>
          </w:tcPr>
          <w:p w:rsidR="00F12B63" w:rsidRPr="00F12B63" w:rsidRDefault="00F12B63" w:rsidP="004122E2">
            <w:pPr>
              <w:tabs>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F12B63">
              <w:rPr>
                <w:sz w:val="20"/>
                <w:lang w:eastAsia="zh-CN"/>
              </w:rPr>
              <w:t>Studies on the possible use of integrated mobile-satellite service and ground</w:t>
            </w:r>
            <w:r w:rsidR="00473474">
              <w:rPr>
                <w:sz w:val="20"/>
                <w:lang w:eastAsia="zh-CN"/>
              </w:rPr>
              <w:t xml:space="preserve"> </w:t>
            </w:r>
            <w:r w:rsidRPr="00F12B63">
              <w:rPr>
                <w:sz w:val="20"/>
                <w:lang w:eastAsia="zh-CN"/>
              </w:rPr>
              <w:t>component systems in t</w:t>
            </w:r>
            <w:r w:rsidR="00473474">
              <w:rPr>
                <w:sz w:val="20"/>
                <w:lang w:eastAsia="zh-CN"/>
              </w:rPr>
              <w:t>he bands 1 525</w:t>
            </w:r>
            <w:r w:rsidR="00473474">
              <w:rPr>
                <w:sz w:val="20"/>
                <w:lang w:eastAsia="zh-CN"/>
              </w:rPr>
              <w:noBreakHyphen/>
              <w:t>1 544 MHz, 1 545</w:t>
            </w:r>
            <w:r w:rsidR="00473474">
              <w:rPr>
                <w:sz w:val="20"/>
                <w:lang w:eastAsia="zh-CN"/>
              </w:rPr>
              <w:noBreakHyphen/>
            </w:r>
            <w:r w:rsidRPr="00F12B63">
              <w:rPr>
                <w:sz w:val="20"/>
                <w:lang w:eastAsia="zh-CN"/>
              </w:rPr>
              <w:t>1</w:t>
            </w:r>
            <w:r w:rsidR="00473474">
              <w:rPr>
                <w:sz w:val="20"/>
                <w:lang w:eastAsia="zh-CN"/>
              </w:rPr>
              <w:t> </w:t>
            </w:r>
            <w:r w:rsidRPr="00F12B63">
              <w:rPr>
                <w:sz w:val="20"/>
                <w:lang w:eastAsia="zh-CN"/>
              </w:rPr>
              <w:t>559 MHz,</w:t>
            </w:r>
          </w:p>
          <w:p w:rsidR="00F12B63" w:rsidRPr="00861057" w:rsidRDefault="00F12B63" w:rsidP="004122E2">
            <w:pPr>
              <w:tabs>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eastAsia="zh-CN"/>
              </w:rPr>
            </w:pPr>
            <w:r w:rsidRPr="002333BC">
              <w:rPr>
                <w:sz w:val="20"/>
                <w:lang w:val="fr-FR" w:eastAsia="zh-CN"/>
              </w:rPr>
              <w:t>1</w:t>
            </w:r>
            <w:r>
              <w:rPr>
                <w:sz w:val="20"/>
                <w:lang w:val="fr-FR" w:eastAsia="zh-CN"/>
              </w:rPr>
              <w:t> </w:t>
            </w:r>
            <w:r w:rsidRPr="002333BC">
              <w:rPr>
                <w:sz w:val="20"/>
                <w:lang w:val="fr-FR" w:eastAsia="zh-CN"/>
              </w:rPr>
              <w:t>626.5</w:t>
            </w:r>
            <w:r>
              <w:rPr>
                <w:sz w:val="20"/>
                <w:lang w:val="fr-FR" w:eastAsia="zh-CN"/>
              </w:rPr>
              <w:noBreakHyphen/>
            </w:r>
            <w:r w:rsidRPr="002333BC">
              <w:rPr>
                <w:sz w:val="20"/>
                <w:lang w:val="fr-FR" w:eastAsia="zh-CN"/>
              </w:rPr>
              <w:t>1</w:t>
            </w:r>
            <w:r>
              <w:rPr>
                <w:sz w:val="20"/>
                <w:lang w:val="fr-FR" w:eastAsia="zh-CN"/>
              </w:rPr>
              <w:t> </w:t>
            </w:r>
            <w:r w:rsidRPr="002333BC">
              <w:rPr>
                <w:sz w:val="20"/>
                <w:lang w:val="fr-FR" w:eastAsia="zh-CN"/>
              </w:rPr>
              <w:t>645.5</w:t>
            </w:r>
            <w:r>
              <w:rPr>
                <w:sz w:val="20"/>
                <w:lang w:val="fr-FR" w:eastAsia="zh-CN"/>
              </w:rPr>
              <w:t> </w:t>
            </w:r>
            <w:r w:rsidRPr="002333BC">
              <w:rPr>
                <w:sz w:val="20"/>
                <w:lang w:val="fr-FR" w:eastAsia="zh-CN"/>
              </w:rPr>
              <w:t>MHz and 1</w:t>
            </w:r>
            <w:r>
              <w:rPr>
                <w:sz w:val="20"/>
                <w:lang w:val="fr-FR" w:eastAsia="zh-CN"/>
              </w:rPr>
              <w:t> </w:t>
            </w:r>
            <w:r w:rsidRPr="002333BC">
              <w:rPr>
                <w:sz w:val="20"/>
                <w:lang w:val="fr-FR" w:eastAsia="zh-CN"/>
              </w:rPr>
              <w:t>646.5</w:t>
            </w:r>
            <w:r>
              <w:rPr>
                <w:sz w:val="20"/>
                <w:lang w:val="fr-FR" w:eastAsia="zh-CN"/>
              </w:rPr>
              <w:noBreakHyphen/>
            </w:r>
            <w:r w:rsidRPr="002333BC">
              <w:rPr>
                <w:sz w:val="20"/>
                <w:lang w:val="fr-FR" w:eastAsia="zh-CN"/>
              </w:rPr>
              <w:t>1</w:t>
            </w:r>
            <w:r>
              <w:rPr>
                <w:sz w:val="20"/>
                <w:lang w:val="fr-FR" w:eastAsia="zh-CN"/>
              </w:rPr>
              <w:t> </w:t>
            </w:r>
            <w:r w:rsidRPr="002333BC">
              <w:rPr>
                <w:sz w:val="20"/>
                <w:lang w:val="fr-FR" w:eastAsia="zh-CN"/>
              </w:rPr>
              <w:t>660.5</w:t>
            </w:r>
            <w:r>
              <w:rPr>
                <w:sz w:val="20"/>
                <w:lang w:val="fr-FR" w:eastAsia="zh-CN"/>
              </w:rPr>
              <w:t> </w:t>
            </w:r>
            <w:r w:rsidRPr="002333BC">
              <w:rPr>
                <w:sz w:val="20"/>
                <w:lang w:val="fr-FR" w:eastAsia="zh-CN"/>
              </w:rPr>
              <w:t>MHz</w:t>
            </w:r>
          </w:p>
        </w:tc>
        <w:tc>
          <w:tcPr>
            <w:tcW w:w="2736" w:type="pct"/>
          </w:tcPr>
          <w:p w:rsidR="00F12B63" w:rsidRPr="00F12B63" w:rsidRDefault="00F12B63" w:rsidP="00373E4E">
            <w:pPr>
              <w:pStyle w:val="StyleCall10pt"/>
              <w:rPr>
                <w:lang w:eastAsia="zh-CN"/>
              </w:rPr>
            </w:pPr>
            <w:r w:rsidRPr="00F12B63">
              <w:rPr>
                <w:lang w:eastAsia="zh-CN"/>
              </w:rPr>
              <w:t>recommends</w:t>
            </w:r>
          </w:p>
          <w:p w:rsidR="00F12B63" w:rsidRPr="00F12B63" w:rsidRDefault="00F12B63" w:rsidP="00473474">
            <w:pPr>
              <w:pStyle w:val="Tabletext"/>
              <w:jc w:val="both"/>
              <w:rPr>
                <w:lang w:eastAsia="zh-CN"/>
              </w:rPr>
            </w:pPr>
            <w:r w:rsidRPr="00F12B63">
              <w:rPr>
                <w:lang w:eastAsia="zh-CN"/>
              </w:rPr>
              <w:t>to invite ITU-R to conduct studies on the possible use of integrated MSS systems in the bands 1</w:t>
            </w:r>
            <w:r w:rsidR="00473474">
              <w:rPr>
                <w:lang w:eastAsia="zh-CN"/>
              </w:rPr>
              <w:t> </w:t>
            </w:r>
            <w:r w:rsidRPr="00F12B63">
              <w:rPr>
                <w:lang w:eastAsia="zh-CN"/>
              </w:rPr>
              <w:t>525-1 544 MHz, 1 545-1 559 MHz, 1 626.5-1 645.5 MHz and 1 646.5-1 660.5 MHz, as</w:t>
            </w:r>
            <w:r w:rsidR="00473474">
              <w:rPr>
                <w:lang w:eastAsia="zh-CN"/>
              </w:rPr>
              <w:t> </w:t>
            </w:r>
            <w:r w:rsidRPr="00F12B63">
              <w:rPr>
                <w:lang w:eastAsia="zh-CN"/>
              </w:rPr>
              <w:t xml:space="preserve">appropriate, taking into account the need to protect existing and planned systems, as well as the above considering, recognizing and noting, and in particular </w:t>
            </w:r>
            <w:r w:rsidRPr="00F12B63">
              <w:rPr>
                <w:i/>
                <w:lang w:eastAsia="zh-CN"/>
              </w:rPr>
              <w:t>recognizing a)</w:t>
            </w:r>
            <w:r w:rsidRPr="00F12B63">
              <w:rPr>
                <w:lang w:eastAsia="zh-CN"/>
              </w:rPr>
              <w:t xml:space="preserve">, </w:t>
            </w:r>
            <w:r w:rsidRPr="00F12B63">
              <w:rPr>
                <w:i/>
                <w:lang w:eastAsia="zh-CN"/>
              </w:rPr>
              <w:t>b)</w:t>
            </w:r>
            <w:r w:rsidRPr="00F12B63">
              <w:rPr>
                <w:lang w:eastAsia="zh-CN"/>
              </w:rPr>
              <w:t xml:space="preserve"> and </w:t>
            </w:r>
            <w:r w:rsidRPr="00F12B63">
              <w:rPr>
                <w:i/>
                <w:lang w:eastAsia="zh-CN"/>
              </w:rPr>
              <w:t>c)</w:t>
            </w:r>
            <w:r w:rsidRPr="00F12B63">
              <w:rPr>
                <w:lang w:eastAsia="zh-CN"/>
              </w:rPr>
              <w:t>,</w:t>
            </w:r>
          </w:p>
        </w:tc>
        <w:tc>
          <w:tcPr>
            <w:tcW w:w="543" w:type="pct"/>
            <w:vAlign w:val="center"/>
          </w:tcPr>
          <w:p w:rsidR="00F12B63" w:rsidRPr="007F2B7F" w:rsidRDefault="00F12B63" w:rsidP="00473474">
            <w:pPr>
              <w:tabs>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eastAsia="zh-CN"/>
              </w:rPr>
            </w:pPr>
            <w:r w:rsidRPr="007F2B7F">
              <w:rPr>
                <w:b/>
                <w:sz w:val="20"/>
                <w:lang w:val="fr-FR" w:eastAsia="zh-CN"/>
              </w:rPr>
              <w:t>5D</w:t>
            </w:r>
          </w:p>
        </w:tc>
      </w:tr>
      <w:tr w:rsidR="00F12B63" w:rsidRPr="00861057" w:rsidTr="00727443">
        <w:tc>
          <w:tcPr>
            <w:tcW w:w="657" w:type="pct"/>
            <w:vAlign w:val="center"/>
          </w:tcPr>
          <w:p w:rsidR="00F12B63" w:rsidRPr="00861057" w:rsidRDefault="00F12B63" w:rsidP="00611525">
            <w:pPr>
              <w:tabs>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eastAsia="zh-CN"/>
              </w:rPr>
            </w:pPr>
            <w:r w:rsidRPr="00861057">
              <w:rPr>
                <w:sz w:val="20"/>
                <w:lang w:val="fr-FR" w:eastAsia="zh-CN"/>
              </w:rPr>
              <w:t xml:space="preserve">Recommendation </w:t>
            </w:r>
            <w:r w:rsidRPr="00861057">
              <w:rPr>
                <w:b/>
                <w:sz w:val="20"/>
                <w:lang w:val="fr-FR" w:eastAsia="zh-CN"/>
              </w:rPr>
              <w:t>207 (Rev.WRC-19)</w:t>
            </w:r>
          </w:p>
        </w:tc>
        <w:tc>
          <w:tcPr>
            <w:tcW w:w="1064" w:type="pct"/>
            <w:vAlign w:val="center"/>
          </w:tcPr>
          <w:p w:rsidR="00F12B63" w:rsidRPr="00861057" w:rsidRDefault="00F12B63" w:rsidP="004122E2">
            <w:pPr>
              <w:tabs>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val="fr-FR" w:eastAsia="zh-CN"/>
              </w:rPr>
            </w:pPr>
            <w:r w:rsidRPr="00861057">
              <w:rPr>
                <w:sz w:val="20"/>
                <w:lang w:val="fr-FR" w:eastAsia="zh-CN"/>
              </w:rPr>
              <w:t>Future IMT systems</w:t>
            </w:r>
          </w:p>
        </w:tc>
        <w:tc>
          <w:tcPr>
            <w:tcW w:w="2736" w:type="pct"/>
          </w:tcPr>
          <w:p w:rsidR="00F12B63" w:rsidRPr="00F12B63" w:rsidRDefault="00F12B63" w:rsidP="00373E4E">
            <w:pPr>
              <w:pStyle w:val="StyleCall10pt"/>
              <w:rPr>
                <w:lang w:eastAsia="zh-CN"/>
              </w:rPr>
            </w:pPr>
            <w:r w:rsidRPr="00F12B63">
              <w:rPr>
                <w:lang w:eastAsia="zh-CN"/>
              </w:rPr>
              <w:t>recommends</w:t>
            </w:r>
          </w:p>
          <w:p w:rsidR="00F12B63" w:rsidRPr="00F12B63" w:rsidRDefault="00F12B63" w:rsidP="00373E4E">
            <w:pPr>
              <w:tabs>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highlight w:val="yellow"/>
                <w:lang w:eastAsia="zh-CN"/>
              </w:rPr>
            </w:pPr>
            <w:r w:rsidRPr="00F12B63">
              <w:rPr>
                <w:sz w:val="20"/>
                <w:lang w:eastAsia="zh-CN"/>
              </w:rPr>
              <w:t>to invite ITU-R to study as necessary technical, operational and spectrum related issues to meet the objectives of future development of IMT systems.</w:t>
            </w:r>
          </w:p>
        </w:tc>
        <w:tc>
          <w:tcPr>
            <w:tcW w:w="543" w:type="pct"/>
            <w:vAlign w:val="center"/>
          </w:tcPr>
          <w:p w:rsidR="00F12B63" w:rsidRPr="007F2B7F" w:rsidRDefault="00F12B63" w:rsidP="00473474">
            <w:pPr>
              <w:tabs>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eastAsia="zh-CN"/>
              </w:rPr>
            </w:pPr>
            <w:r w:rsidRPr="007F2B7F">
              <w:rPr>
                <w:b/>
                <w:sz w:val="20"/>
                <w:lang w:val="fr-FR" w:eastAsia="zh-CN"/>
              </w:rPr>
              <w:t>5D</w:t>
            </w:r>
            <w:r w:rsidRPr="007F2B7F">
              <w:rPr>
                <w:b/>
                <w:sz w:val="20"/>
                <w:lang w:val="fr-FR" w:eastAsia="zh-CN"/>
              </w:rPr>
              <w:br/>
              <w:t>1A</w:t>
            </w:r>
          </w:p>
        </w:tc>
      </w:tr>
      <w:tr w:rsidR="00F12B63" w:rsidRPr="00861057" w:rsidTr="00727443">
        <w:tc>
          <w:tcPr>
            <w:tcW w:w="657" w:type="pct"/>
            <w:vAlign w:val="center"/>
          </w:tcPr>
          <w:p w:rsidR="00F12B63" w:rsidRPr="00861057" w:rsidRDefault="00F12B63" w:rsidP="00611525">
            <w:pPr>
              <w:tabs>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eastAsia="zh-CN"/>
              </w:rPr>
            </w:pPr>
            <w:r w:rsidRPr="00861057">
              <w:rPr>
                <w:sz w:val="20"/>
                <w:lang w:val="fr-FR" w:eastAsia="zh-CN"/>
              </w:rPr>
              <w:t xml:space="preserve">Recommendation </w:t>
            </w:r>
            <w:r>
              <w:rPr>
                <w:b/>
                <w:sz w:val="20"/>
                <w:lang w:val="fr-FR" w:eastAsia="zh-CN"/>
              </w:rPr>
              <w:t>208</w:t>
            </w:r>
            <w:r w:rsidRPr="00861057">
              <w:rPr>
                <w:b/>
                <w:sz w:val="20"/>
                <w:lang w:val="fr-FR" w:eastAsia="zh-CN"/>
              </w:rPr>
              <w:t xml:space="preserve"> (WRC-19)</w:t>
            </w:r>
          </w:p>
        </w:tc>
        <w:tc>
          <w:tcPr>
            <w:tcW w:w="1064" w:type="pct"/>
            <w:vAlign w:val="center"/>
          </w:tcPr>
          <w:p w:rsidR="00F12B63" w:rsidRPr="00F12B63" w:rsidRDefault="00F12B63" w:rsidP="004122E2">
            <w:pPr>
              <w:tabs>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eastAsia="zh-CN"/>
              </w:rPr>
            </w:pPr>
            <w:r w:rsidRPr="00F12B63">
              <w:rPr>
                <w:sz w:val="20"/>
                <w:lang w:eastAsia="zh-CN"/>
              </w:rPr>
              <w:t>Harmonization of frequency bands for evolving Intelligent Transport Systems applications under mobile</w:t>
            </w:r>
            <w:r w:rsidR="00611525">
              <w:rPr>
                <w:sz w:val="20"/>
                <w:lang w:eastAsia="zh-CN"/>
              </w:rPr>
              <w:noBreakHyphen/>
            </w:r>
            <w:r w:rsidRPr="00F12B63">
              <w:rPr>
                <w:sz w:val="20"/>
                <w:lang w:eastAsia="zh-CN"/>
              </w:rPr>
              <w:t>service allocations</w:t>
            </w:r>
          </w:p>
        </w:tc>
        <w:tc>
          <w:tcPr>
            <w:tcW w:w="2736" w:type="pct"/>
          </w:tcPr>
          <w:p w:rsidR="00F12B63" w:rsidRPr="00F12B63" w:rsidRDefault="00F12B63" w:rsidP="00373E4E">
            <w:pPr>
              <w:pStyle w:val="StyleCall10pt"/>
              <w:rPr>
                <w:lang w:eastAsia="zh-CN"/>
              </w:rPr>
            </w:pPr>
            <w:r w:rsidRPr="00F12B63">
              <w:rPr>
                <w:lang w:eastAsia="zh-CN"/>
              </w:rPr>
              <w:t>recommends</w:t>
            </w:r>
          </w:p>
          <w:p w:rsidR="00F12B63" w:rsidRPr="00F12B63" w:rsidRDefault="00F12B63" w:rsidP="00373E4E">
            <w:pPr>
              <w:tabs>
                <w:tab w:val="clear" w:pos="1134"/>
                <w:tab w:val="clear" w:pos="1871"/>
                <w:tab w:val="clear" w:pos="2268"/>
                <w:tab w:val="left" w:pos="284"/>
                <w:tab w:val="left" w:pos="567"/>
                <w:tab w:val="left" w:pos="851"/>
              </w:tabs>
              <w:spacing w:before="40" w:after="40"/>
              <w:jc w:val="both"/>
              <w:rPr>
                <w:sz w:val="20"/>
                <w:lang w:eastAsia="zh-CN"/>
              </w:rPr>
            </w:pPr>
            <w:r w:rsidRPr="00F12B63">
              <w:rPr>
                <w:sz w:val="20"/>
                <w:lang w:eastAsia="zh-CN"/>
              </w:rPr>
              <w:t>1</w:t>
            </w:r>
            <w:r w:rsidRPr="00F12B63">
              <w:rPr>
                <w:sz w:val="20"/>
                <w:lang w:eastAsia="zh-CN"/>
              </w:rPr>
              <w:tab/>
              <w:t xml:space="preserve">that administrations consider using globally or regionally harmonized frequency bands, or parts thereof, as described in the most recent versions of Recommendations (e.g. ITU-R M.2121), when planning and deploying evolving ITS applications, taking into account </w:t>
            </w:r>
            <w:r w:rsidRPr="00F12B63">
              <w:rPr>
                <w:i/>
                <w:sz w:val="20"/>
                <w:lang w:eastAsia="zh-CN"/>
              </w:rPr>
              <w:t>recognizing b</w:t>
            </w:r>
            <w:r w:rsidRPr="00F12B63">
              <w:rPr>
                <w:sz w:val="20"/>
                <w:lang w:eastAsia="zh-CN"/>
              </w:rPr>
              <w:t>) above;</w:t>
            </w:r>
          </w:p>
          <w:p w:rsidR="00F12B63" w:rsidRPr="00F12B63" w:rsidRDefault="00F12B63" w:rsidP="00373E4E">
            <w:pPr>
              <w:tabs>
                <w:tab w:val="clear" w:pos="1134"/>
                <w:tab w:val="clear" w:pos="1871"/>
                <w:tab w:val="clear" w:pos="2268"/>
                <w:tab w:val="left" w:pos="284"/>
                <w:tab w:val="left" w:pos="567"/>
                <w:tab w:val="left" w:pos="851"/>
              </w:tabs>
              <w:spacing w:before="40" w:after="40"/>
              <w:jc w:val="both"/>
              <w:rPr>
                <w:sz w:val="20"/>
                <w:lang w:eastAsia="zh-CN"/>
              </w:rPr>
            </w:pPr>
            <w:r w:rsidRPr="00F12B63">
              <w:rPr>
                <w:sz w:val="20"/>
                <w:lang w:eastAsia="zh-CN"/>
              </w:rPr>
              <w:t>2</w:t>
            </w:r>
            <w:r w:rsidRPr="00F12B63">
              <w:rPr>
                <w:sz w:val="20"/>
                <w:lang w:eastAsia="zh-CN"/>
              </w:rPr>
              <w:tab/>
              <w:t xml:space="preserve">that administrations take into account, if necessary, coexistence issues between ITS stations and stations of existing services (e.g. FSS earth stations), taking into account </w:t>
            </w:r>
            <w:r w:rsidRPr="00F12B63">
              <w:rPr>
                <w:i/>
                <w:sz w:val="20"/>
                <w:lang w:eastAsia="zh-CN"/>
              </w:rPr>
              <w:t>considering f)</w:t>
            </w:r>
            <w:r w:rsidRPr="00F12B63">
              <w:rPr>
                <w:sz w:val="20"/>
                <w:lang w:eastAsia="zh-CN"/>
              </w:rPr>
              <w:t>,</w:t>
            </w:r>
          </w:p>
        </w:tc>
        <w:tc>
          <w:tcPr>
            <w:tcW w:w="543" w:type="pct"/>
            <w:vAlign w:val="center"/>
          </w:tcPr>
          <w:p w:rsidR="00F12B63" w:rsidRPr="007F2B7F" w:rsidRDefault="00F12B63" w:rsidP="00473474">
            <w:pPr>
              <w:tabs>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eastAsia="zh-CN"/>
              </w:rPr>
            </w:pPr>
            <w:r w:rsidRPr="007F2B7F">
              <w:rPr>
                <w:b/>
                <w:sz w:val="20"/>
                <w:lang w:val="fr-FR" w:eastAsia="zh-CN"/>
              </w:rPr>
              <w:t>5A</w:t>
            </w:r>
          </w:p>
        </w:tc>
      </w:tr>
      <w:tr w:rsidR="00F12B63" w:rsidRPr="00861057" w:rsidTr="00727443">
        <w:tc>
          <w:tcPr>
            <w:tcW w:w="657" w:type="pct"/>
            <w:vAlign w:val="center"/>
          </w:tcPr>
          <w:p w:rsidR="00F12B63" w:rsidRPr="00861057" w:rsidRDefault="00F12B63" w:rsidP="00611525">
            <w:pPr>
              <w:tabs>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eastAsia="zh-CN"/>
              </w:rPr>
            </w:pPr>
            <w:r w:rsidRPr="00861057">
              <w:rPr>
                <w:sz w:val="20"/>
                <w:lang w:val="fr-FR" w:eastAsia="zh-CN"/>
              </w:rPr>
              <w:t xml:space="preserve">Recommendation </w:t>
            </w:r>
            <w:r w:rsidRPr="00861057">
              <w:rPr>
                <w:b/>
                <w:sz w:val="20"/>
                <w:lang w:val="fr-FR" w:eastAsia="zh-CN"/>
              </w:rPr>
              <w:t>316 (Rev.WRC-19)</w:t>
            </w:r>
          </w:p>
        </w:tc>
        <w:tc>
          <w:tcPr>
            <w:tcW w:w="1064" w:type="pct"/>
            <w:vAlign w:val="center"/>
          </w:tcPr>
          <w:p w:rsidR="00F12B63" w:rsidRPr="00F12B63" w:rsidRDefault="00F12B63" w:rsidP="004122E2">
            <w:pPr>
              <w:tabs>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eastAsia="zh-CN"/>
              </w:rPr>
            </w:pPr>
            <w:r w:rsidRPr="00F12B63">
              <w:rPr>
                <w:sz w:val="20"/>
                <w:lang w:eastAsia="zh-CN"/>
              </w:rPr>
              <w:t>Use of ship earth stations within harbours and other waters under national jurisdiction</w:t>
            </w:r>
          </w:p>
        </w:tc>
        <w:tc>
          <w:tcPr>
            <w:tcW w:w="2736" w:type="pct"/>
          </w:tcPr>
          <w:p w:rsidR="00F12B63" w:rsidRPr="00F12B63" w:rsidRDefault="00F12B63" w:rsidP="00373E4E">
            <w:pPr>
              <w:pStyle w:val="StyleCall10pt"/>
              <w:rPr>
                <w:lang w:eastAsia="zh-CN"/>
              </w:rPr>
            </w:pPr>
            <w:r w:rsidRPr="00F12B63">
              <w:rPr>
                <w:lang w:eastAsia="zh-CN"/>
              </w:rPr>
              <w:t>recommends</w:t>
            </w:r>
          </w:p>
          <w:p w:rsidR="00F12B63" w:rsidRPr="00F12B63" w:rsidRDefault="00F12B63" w:rsidP="00373E4E">
            <w:pPr>
              <w:tabs>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highlight w:val="yellow"/>
                <w:lang w:eastAsia="zh-CN"/>
              </w:rPr>
            </w:pPr>
            <w:r w:rsidRPr="00F12B63">
              <w:rPr>
                <w:sz w:val="20"/>
                <w:lang w:eastAsia="zh-CN"/>
              </w:rPr>
              <w:t>that all administrations should permit, to the extent possible, ship earth stations to operate within harbours and other waters under national jurisdiction, in the frequency bands used for the GMDSS</w:t>
            </w:r>
          </w:p>
        </w:tc>
        <w:tc>
          <w:tcPr>
            <w:tcW w:w="543" w:type="pct"/>
            <w:vAlign w:val="center"/>
          </w:tcPr>
          <w:p w:rsidR="00F12B63" w:rsidRPr="007F2B7F" w:rsidRDefault="00F12B63" w:rsidP="00473474">
            <w:pPr>
              <w:tabs>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eastAsia="zh-CN"/>
              </w:rPr>
            </w:pPr>
            <w:r w:rsidRPr="007F2B7F">
              <w:rPr>
                <w:b/>
                <w:sz w:val="20"/>
                <w:lang w:val="fr-FR" w:eastAsia="zh-CN"/>
              </w:rPr>
              <w:t>5B</w:t>
            </w:r>
          </w:p>
        </w:tc>
      </w:tr>
    </w:tbl>
    <w:p w:rsidR="00727443" w:rsidRDefault="00727443" w:rsidP="00143C22">
      <w:pPr>
        <w:pStyle w:val="Tablefin"/>
      </w:pPr>
    </w:p>
    <w:p w:rsidR="00727443" w:rsidRDefault="00727443">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rsidR="00727443" w:rsidRPr="00797537" w:rsidRDefault="00727443" w:rsidP="00727443">
      <w:pPr>
        <w:pStyle w:val="AnnexNo"/>
        <w:rPr>
          <w:lang w:eastAsia="ja-JP"/>
        </w:rPr>
      </w:pPr>
      <w:bookmarkStart w:id="15" w:name="Att10"/>
      <w:r w:rsidRPr="00797537">
        <w:rPr>
          <w:lang w:eastAsia="ja-JP"/>
        </w:rPr>
        <w:t xml:space="preserve">Attachment </w:t>
      </w:r>
      <w:r>
        <w:rPr>
          <w:lang w:eastAsia="ja-JP"/>
        </w:rPr>
        <w:t>10</w:t>
      </w:r>
    </w:p>
    <w:p w:rsidR="00727443" w:rsidRPr="0003590A" w:rsidRDefault="00727443" w:rsidP="00727443">
      <w:pPr>
        <w:pStyle w:val="Annextitle"/>
      </w:pPr>
      <w:r w:rsidRPr="0003590A">
        <w:t>Other WRC Resolutions calling for</w:t>
      </w:r>
      <w:r>
        <w:t xml:space="preserve"> </w:t>
      </w:r>
      <w:r w:rsidRPr="0003590A">
        <w:t xml:space="preserve">studies by Study Group </w:t>
      </w:r>
      <w:r>
        <w:t>5</w:t>
      </w:r>
    </w:p>
    <w:tbl>
      <w:tblPr>
        <w:tblStyle w:val="TableGrid2"/>
        <w:tblW w:w="0" w:type="auto"/>
        <w:tblLook w:val="0000" w:firstRow="0" w:lastRow="0" w:firstColumn="0" w:lastColumn="0" w:noHBand="0" w:noVBand="0"/>
      </w:tblPr>
      <w:tblGrid>
        <w:gridCol w:w="1820"/>
        <w:gridCol w:w="2977"/>
        <w:gridCol w:w="7654"/>
        <w:gridCol w:w="1516"/>
      </w:tblGrid>
      <w:tr w:rsidR="00727443" w:rsidRPr="009F0A77" w:rsidTr="00F15AAB">
        <w:tc>
          <w:tcPr>
            <w:tcW w:w="1820" w:type="dxa"/>
          </w:tcPr>
          <w:bookmarkEnd w:id="15"/>
          <w:p w:rsidR="00727443" w:rsidRPr="0094613E" w:rsidRDefault="00727443" w:rsidP="00727443">
            <w:pPr>
              <w:pStyle w:val="Tablehead"/>
              <w:rPr>
                <w:rFonts w:eastAsia="SimSun"/>
                <w:lang w:val="en-US" w:eastAsia="zh-CN"/>
              </w:rPr>
            </w:pPr>
            <w:r w:rsidRPr="0094613E">
              <w:rPr>
                <w:rFonts w:eastAsia="SimSun"/>
                <w:lang w:val="en-US" w:eastAsia="zh-CN"/>
              </w:rPr>
              <w:t>WRC Res/Rec</w:t>
            </w:r>
          </w:p>
        </w:tc>
        <w:tc>
          <w:tcPr>
            <w:tcW w:w="2977" w:type="dxa"/>
          </w:tcPr>
          <w:p w:rsidR="00727443" w:rsidRPr="0094613E" w:rsidRDefault="00727443" w:rsidP="00727443">
            <w:pPr>
              <w:pStyle w:val="Tablehead"/>
              <w:rPr>
                <w:rFonts w:eastAsia="SimSun"/>
                <w:lang w:val="en-US" w:eastAsia="zh-CN"/>
              </w:rPr>
            </w:pPr>
            <w:r w:rsidRPr="0094613E">
              <w:rPr>
                <w:rFonts w:eastAsia="SimSun"/>
                <w:lang w:val="en-US" w:eastAsia="zh-CN"/>
              </w:rPr>
              <w:t>Title</w:t>
            </w:r>
          </w:p>
        </w:tc>
        <w:tc>
          <w:tcPr>
            <w:tcW w:w="7654" w:type="dxa"/>
          </w:tcPr>
          <w:p w:rsidR="00727443" w:rsidRPr="004122E2" w:rsidRDefault="004122E2" w:rsidP="00727443">
            <w:pPr>
              <w:pStyle w:val="Tablehead"/>
              <w:rPr>
                <w:rFonts w:eastAsia="SimSun"/>
                <w:i/>
                <w:iCs/>
                <w:lang w:val="en-US" w:eastAsia="zh-CN"/>
              </w:rPr>
            </w:pPr>
            <w:r>
              <w:rPr>
                <w:rFonts w:eastAsia="SimSun"/>
                <w:i/>
                <w:iCs/>
                <w:lang w:val="en-US" w:eastAsia="zh-CN"/>
              </w:rPr>
              <w:t>r</w:t>
            </w:r>
            <w:r w:rsidR="00727443" w:rsidRPr="004122E2">
              <w:rPr>
                <w:rFonts w:eastAsia="SimSun"/>
                <w:i/>
                <w:iCs/>
                <w:lang w:val="en-US" w:eastAsia="zh-CN"/>
              </w:rPr>
              <w:t>esolves/invites</w:t>
            </w:r>
          </w:p>
        </w:tc>
        <w:tc>
          <w:tcPr>
            <w:tcW w:w="1516" w:type="dxa"/>
          </w:tcPr>
          <w:p w:rsidR="00727443" w:rsidRPr="0094613E" w:rsidRDefault="00727443" w:rsidP="00727443">
            <w:pPr>
              <w:pStyle w:val="Tablehead"/>
              <w:rPr>
                <w:rFonts w:eastAsia="SimSun"/>
                <w:lang w:val="en-US" w:eastAsia="zh-CN"/>
              </w:rPr>
            </w:pPr>
            <w:r w:rsidRPr="0094613E">
              <w:rPr>
                <w:rFonts w:eastAsia="SimSun"/>
                <w:lang w:val="en-US" w:eastAsia="zh-CN"/>
              </w:rPr>
              <w:t>WP</w:t>
            </w:r>
          </w:p>
        </w:tc>
      </w:tr>
      <w:tr w:rsidR="00F15AAB" w:rsidRPr="009F0A77" w:rsidTr="00F15AAB">
        <w:tc>
          <w:tcPr>
            <w:tcW w:w="1820" w:type="dxa"/>
          </w:tcPr>
          <w:p w:rsidR="00727443" w:rsidRPr="00143C22" w:rsidRDefault="00727443" w:rsidP="00143C22">
            <w:pPr>
              <w:pStyle w:val="Tabletext"/>
              <w:rPr>
                <w:rFonts w:eastAsia="SimSun"/>
                <w:b/>
                <w:bCs/>
                <w:lang w:val="en-US" w:eastAsia="zh-CN"/>
              </w:rPr>
            </w:pPr>
            <w:r w:rsidRPr="0094613E">
              <w:rPr>
                <w:rFonts w:eastAsia="SimSun"/>
                <w:lang w:val="en-US" w:eastAsia="zh-CN"/>
              </w:rPr>
              <w:t xml:space="preserve">Resolution </w:t>
            </w:r>
            <w:r w:rsidRPr="00143C22">
              <w:rPr>
                <w:rFonts w:eastAsia="SimSun"/>
                <w:b/>
                <w:bCs/>
                <w:lang w:val="en-US" w:eastAsia="zh-CN"/>
              </w:rPr>
              <w:t xml:space="preserve">145 </w:t>
            </w:r>
          </w:p>
          <w:p w:rsidR="00727443" w:rsidRPr="0094613E" w:rsidRDefault="00727443" w:rsidP="00143C22">
            <w:pPr>
              <w:pStyle w:val="Tabletext"/>
              <w:rPr>
                <w:rFonts w:eastAsia="SimSun"/>
                <w:lang w:val="en-US" w:eastAsia="zh-CN"/>
              </w:rPr>
            </w:pPr>
            <w:r w:rsidRPr="00143C22">
              <w:rPr>
                <w:rFonts w:eastAsia="SimSun"/>
                <w:b/>
                <w:bCs/>
                <w:lang w:val="en-US" w:eastAsia="zh-CN"/>
              </w:rPr>
              <w:t>(Rev.WRC-</w:t>
            </w:r>
            <w:r w:rsidR="00657DB1">
              <w:rPr>
                <w:rFonts w:eastAsia="SimSun"/>
                <w:b/>
                <w:bCs/>
                <w:lang w:val="en-US" w:eastAsia="zh-CN"/>
              </w:rPr>
              <w:t>1</w:t>
            </w:r>
            <w:r w:rsidRPr="00143C22">
              <w:rPr>
                <w:rFonts w:eastAsia="SimSun"/>
                <w:b/>
                <w:bCs/>
                <w:lang w:val="en-US" w:eastAsia="zh-CN"/>
              </w:rPr>
              <w:t>9)</w:t>
            </w:r>
          </w:p>
        </w:tc>
        <w:tc>
          <w:tcPr>
            <w:tcW w:w="2977" w:type="dxa"/>
          </w:tcPr>
          <w:p w:rsidR="00727443" w:rsidRPr="0094613E" w:rsidRDefault="00727443" w:rsidP="00143C22">
            <w:pPr>
              <w:pStyle w:val="Tabletext"/>
              <w:rPr>
                <w:rFonts w:eastAsia="SimSun"/>
                <w:lang w:val="en-US" w:eastAsia="zh-CN"/>
              </w:rPr>
            </w:pPr>
            <w:r w:rsidRPr="0094613E">
              <w:rPr>
                <w:rFonts w:eastAsia="SimSun"/>
                <w:lang w:val="en-US" w:eastAsia="zh-CN"/>
              </w:rPr>
              <w:t>Use of the band 27.9-28.2 by high altitude platform stations in the fixed service</w:t>
            </w:r>
          </w:p>
        </w:tc>
        <w:tc>
          <w:tcPr>
            <w:tcW w:w="7654" w:type="dxa"/>
          </w:tcPr>
          <w:p w:rsidR="00727443" w:rsidRPr="0094613E" w:rsidRDefault="00727443" w:rsidP="00143C22">
            <w:pPr>
              <w:pStyle w:val="Tabletext"/>
              <w:jc w:val="both"/>
              <w:rPr>
                <w:rFonts w:eastAsia="SimSun"/>
                <w:lang w:val="en-US" w:eastAsia="zh-CN"/>
              </w:rPr>
            </w:pPr>
            <w:r w:rsidRPr="00F12B63">
              <w:rPr>
                <w:lang w:eastAsia="zh-CN"/>
              </w:rPr>
              <w:tab/>
            </w:r>
            <w:r w:rsidRPr="0094613E">
              <w:rPr>
                <w:rFonts w:eastAsia="SimSun"/>
                <w:i/>
                <w:lang w:val="en-US" w:eastAsia="zh-CN"/>
              </w:rPr>
              <w:t>invites ITU-R</w:t>
            </w:r>
            <w:r w:rsidRPr="0094613E">
              <w:rPr>
                <w:rFonts w:eastAsia="SimSun"/>
                <w:lang w:val="en-US" w:eastAsia="zh-CN"/>
              </w:rPr>
              <w:t xml:space="preserve"> </w:t>
            </w:r>
          </w:p>
          <w:p w:rsidR="00727443" w:rsidRPr="0094613E" w:rsidRDefault="00727443" w:rsidP="00143C22">
            <w:pPr>
              <w:pStyle w:val="Tabletext"/>
              <w:jc w:val="both"/>
              <w:rPr>
                <w:rFonts w:eastAsia="SimSun"/>
                <w:lang w:val="en-US" w:eastAsia="zh-CN"/>
              </w:rPr>
            </w:pPr>
            <w:r w:rsidRPr="0094613E">
              <w:rPr>
                <w:rFonts w:eastAsia="SimSun"/>
                <w:lang w:val="en-US" w:eastAsia="zh-CN"/>
              </w:rPr>
              <w:t>1</w:t>
            </w:r>
            <w:r w:rsidRPr="00F12B63">
              <w:rPr>
                <w:lang w:eastAsia="zh-CN"/>
              </w:rPr>
              <w:tab/>
            </w:r>
            <w:r w:rsidRPr="0094613E">
              <w:rPr>
                <w:rFonts w:eastAsia="SimSun"/>
                <w:lang w:val="en-US" w:eastAsia="zh-CN"/>
              </w:rPr>
              <w:t xml:space="preserve">to continue to carry out studies on the appropriate interference mitigation techniques for the situations referred to in </w:t>
            </w:r>
            <w:r w:rsidRPr="00143C22">
              <w:rPr>
                <w:rFonts w:eastAsia="SimSun"/>
                <w:i/>
                <w:iCs/>
                <w:lang w:val="en-US" w:eastAsia="zh-CN"/>
              </w:rPr>
              <w:t>considering i)</w:t>
            </w:r>
            <w:r w:rsidRPr="0094613E">
              <w:rPr>
                <w:rFonts w:eastAsia="SimSun"/>
                <w:lang w:val="en-US" w:eastAsia="zh-CN"/>
              </w:rPr>
              <w:t xml:space="preserve">; </w:t>
            </w:r>
          </w:p>
          <w:p w:rsidR="00727443" w:rsidRPr="0094613E" w:rsidRDefault="00727443" w:rsidP="00143C22">
            <w:pPr>
              <w:pStyle w:val="Tabletext"/>
              <w:jc w:val="both"/>
              <w:rPr>
                <w:rFonts w:eastAsia="SimSun"/>
                <w:lang w:val="en-US" w:eastAsia="zh-CN"/>
              </w:rPr>
            </w:pPr>
            <w:r w:rsidRPr="0094613E">
              <w:rPr>
                <w:rFonts w:eastAsia="SimSun"/>
                <w:lang w:val="en-US" w:eastAsia="zh-CN"/>
              </w:rPr>
              <w:t>2</w:t>
            </w:r>
            <w:r w:rsidRPr="00F12B63">
              <w:rPr>
                <w:lang w:eastAsia="zh-CN"/>
              </w:rPr>
              <w:tab/>
            </w:r>
            <w:r w:rsidRPr="0094613E">
              <w:rPr>
                <w:rFonts w:eastAsia="SimSun"/>
                <w:lang w:val="en-US" w:eastAsia="zh-CN"/>
              </w:rPr>
              <w:t>to develop protection criteria for the mobile service having primary allocations in the frequency band 27.9-28.2 GHz from HAPS in the fixed service</w:t>
            </w:r>
            <w:r>
              <w:rPr>
                <w:rFonts w:eastAsia="SimSun"/>
                <w:lang w:val="en-US" w:eastAsia="zh-CN"/>
              </w:rPr>
              <w:t xml:space="preserve"> </w:t>
            </w:r>
            <w:r w:rsidRPr="00727443">
              <w:rPr>
                <w:rFonts w:eastAsia="SimSun"/>
                <w:lang w:val="en-US" w:eastAsia="zh-CN"/>
              </w:rPr>
              <w:t>and include the results of these studies</w:t>
            </w:r>
            <w:r>
              <w:rPr>
                <w:rFonts w:eastAsia="SimSun"/>
                <w:lang w:val="en-US" w:eastAsia="zh-CN"/>
              </w:rPr>
              <w:t xml:space="preserve"> </w:t>
            </w:r>
            <w:r w:rsidRPr="00727443">
              <w:rPr>
                <w:rFonts w:eastAsia="SimSun"/>
                <w:lang w:val="en-US" w:eastAsia="zh-CN"/>
              </w:rPr>
              <w:t>in existing or new ITU-R Reports/Recommendations, as appropriate.</w:t>
            </w:r>
          </w:p>
        </w:tc>
        <w:tc>
          <w:tcPr>
            <w:tcW w:w="1516" w:type="dxa"/>
          </w:tcPr>
          <w:p w:rsidR="00727443" w:rsidRPr="00137E95" w:rsidRDefault="00727443" w:rsidP="00143C22">
            <w:pPr>
              <w:pStyle w:val="Tabletext"/>
              <w:jc w:val="center"/>
              <w:rPr>
                <w:rFonts w:eastAsia="SimSun"/>
                <w:b/>
                <w:bCs/>
                <w:lang w:val="en-US" w:eastAsia="zh-CN"/>
              </w:rPr>
            </w:pPr>
            <w:r w:rsidRPr="00137E95">
              <w:rPr>
                <w:rFonts w:eastAsia="SimSun"/>
                <w:b/>
                <w:bCs/>
                <w:lang w:val="en-US" w:eastAsia="zh-CN"/>
              </w:rPr>
              <w:t>5C</w:t>
            </w:r>
          </w:p>
        </w:tc>
      </w:tr>
      <w:tr w:rsidR="00727443" w:rsidRPr="009F0A77" w:rsidTr="00F15AAB">
        <w:tc>
          <w:tcPr>
            <w:tcW w:w="1820" w:type="dxa"/>
          </w:tcPr>
          <w:p w:rsidR="00727443" w:rsidRPr="00143C22" w:rsidRDefault="00727443" w:rsidP="00143C22">
            <w:pPr>
              <w:pStyle w:val="Tabletext"/>
              <w:rPr>
                <w:rFonts w:eastAsia="SimSun"/>
                <w:b/>
                <w:bCs/>
                <w:lang w:val="en-US" w:eastAsia="zh-CN"/>
              </w:rPr>
            </w:pPr>
            <w:r w:rsidRPr="0094613E">
              <w:rPr>
                <w:rFonts w:eastAsia="SimSun"/>
                <w:lang w:val="en-US" w:eastAsia="zh-CN"/>
              </w:rPr>
              <w:t xml:space="preserve">Resolution </w:t>
            </w:r>
            <w:r w:rsidRPr="00143C22">
              <w:rPr>
                <w:rFonts w:eastAsia="SimSun"/>
                <w:b/>
                <w:bCs/>
                <w:lang w:val="en-US" w:eastAsia="zh-CN"/>
              </w:rPr>
              <w:t xml:space="preserve">212 </w:t>
            </w:r>
          </w:p>
          <w:p w:rsidR="00727443" w:rsidRPr="0094613E" w:rsidRDefault="00727443" w:rsidP="00143C22">
            <w:pPr>
              <w:pStyle w:val="Tabletext"/>
              <w:rPr>
                <w:rFonts w:eastAsia="SimSun"/>
                <w:lang w:val="en-US" w:eastAsia="zh-CN"/>
              </w:rPr>
            </w:pPr>
            <w:r w:rsidRPr="00143C22">
              <w:rPr>
                <w:rFonts w:eastAsia="SimSun"/>
                <w:b/>
                <w:bCs/>
                <w:lang w:val="en-US" w:eastAsia="zh-CN"/>
              </w:rPr>
              <w:t>(Rev.WRC-</w:t>
            </w:r>
            <w:r w:rsidR="00137E95" w:rsidRPr="00143C22">
              <w:rPr>
                <w:rFonts w:eastAsia="SimSun"/>
                <w:b/>
                <w:bCs/>
                <w:lang w:val="en-US" w:eastAsia="zh-CN"/>
              </w:rPr>
              <w:t>19</w:t>
            </w:r>
            <w:r w:rsidRPr="00143C22">
              <w:rPr>
                <w:rFonts w:eastAsia="SimSun"/>
                <w:b/>
                <w:bCs/>
                <w:lang w:val="en-US" w:eastAsia="zh-CN"/>
              </w:rPr>
              <w:t>)</w:t>
            </w:r>
          </w:p>
        </w:tc>
        <w:tc>
          <w:tcPr>
            <w:tcW w:w="2977" w:type="dxa"/>
          </w:tcPr>
          <w:p w:rsidR="00727443" w:rsidRPr="0094613E" w:rsidRDefault="00727443" w:rsidP="00143C22">
            <w:pPr>
              <w:pStyle w:val="Tabletext"/>
              <w:rPr>
                <w:rFonts w:eastAsia="SimSun"/>
                <w:lang w:val="en-US" w:eastAsia="zh-CN"/>
              </w:rPr>
            </w:pPr>
            <w:r w:rsidRPr="0094613E">
              <w:rPr>
                <w:rFonts w:eastAsia="SimSun"/>
                <w:lang w:val="en-US" w:eastAsia="zh-CN"/>
              </w:rPr>
              <w:t>Implementation of International Mobile Telecommunications in the bands 1 885-2 025 MHz and 2</w:t>
            </w:r>
            <w:r w:rsidR="00EA5EA2">
              <w:rPr>
                <w:rFonts w:eastAsia="SimSun"/>
                <w:lang w:val="en-US" w:eastAsia="zh-CN"/>
              </w:rPr>
              <w:t> </w:t>
            </w:r>
            <w:r w:rsidRPr="0094613E">
              <w:rPr>
                <w:rFonts w:eastAsia="SimSun"/>
                <w:lang w:val="en-US" w:eastAsia="zh-CN"/>
              </w:rPr>
              <w:t>110</w:t>
            </w:r>
            <w:r w:rsidR="00EA5EA2">
              <w:rPr>
                <w:rFonts w:eastAsia="SimSun"/>
                <w:lang w:val="en-US" w:eastAsia="zh-CN"/>
              </w:rPr>
              <w:noBreakHyphen/>
            </w:r>
            <w:r w:rsidRPr="0094613E">
              <w:rPr>
                <w:rFonts w:eastAsia="SimSun"/>
                <w:lang w:val="en-US" w:eastAsia="zh-CN"/>
              </w:rPr>
              <w:t>2 200 MHz</w:t>
            </w:r>
          </w:p>
        </w:tc>
        <w:tc>
          <w:tcPr>
            <w:tcW w:w="7654" w:type="dxa"/>
          </w:tcPr>
          <w:p w:rsidR="00727443" w:rsidRPr="0094613E" w:rsidRDefault="00774B6A" w:rsidP="00143C22">
            <w:pPr>
              <w:pStyle w:val="Tabletext"/>
              <w:jc w:val="both"/>
              <w:rPr>
                <w:rFonts w:eastAsia="SimSun"/>
                <w:lang w:val="en-US" w:eastAsia="zh-CN"/>
              </w:rPr>
            </w:pPr>
            <w:r w:rsidRPr="00F12B63">
              <w:rPr>
                <w:lang w:eastAsia="zh-CN"/>
              </w:rPr>
              <w:tab/>
            </w:r>
            <w:r w:rsidR="00727443" w:rsidRPr="0094613E">
              <w:rPr>
                <w:rFonts w:eastAsia="SimSun"/>
                <w:i/>
                <w:lang w:val="en-US" w:eastAsia="zh-CN"/>
              </w:rPr>
              <w:t xml:space="preserve">invites </w:t>
            </w:r>
            <w:r w:rsidR="00137E95">
              <w:rPr>
                <w:rFonts w:eastAsia="SimSun"/>
                <w:i/>
                <w:lang w:val="en-US" w:eastAsia="zh-CN"/>
              </w:rPr>
              <w:t xml:space="preserve">the </w:t>
            </w:r>
            <w:r w:rsidR="00727443" w:rsidRPr="0094613E">
              <w:rPr>
                <w:rFonts w:eastAsia="SimSun"/>
                <w:i/>
                <w:lang w:val="en-US" w:eastAsia="zh-CN"/>
              </w:rPr>
              <w:t>ITU</w:t>
            </w:r>
            <w:r w:rsidR="00137E95">
              <w:rPr>
                <w:rFonts w:eastAsia="SimSun"/>
                <w:i/>
                <w:lang w:val="en-US" w:eastAsia="zh-CN"/>
              </w:rPr>
              <w:t xml:space="preserve"> </w:t>
            </w:r>
            <w:r w:rsidR="00727443" w:rsidRPr="0094613E">
              <w:rPr>
                <w:rFonts w:eastAsia="SimSun"/>
                <w:i/>
                <w:lang w:val="en-US" w:eastAsia="zh-CN"/>
              </w:rPr>
              <w:t>R</w:t>
            </w:r>
            <w:r w:rsidR="00137E95">
              <w:rPr>
                <w:rFonts w:eastAsia="SimSun"/>
                <w:i/>
                <w:lang w:val="en-US" w:eastAsia="zh-CN"/>
              </w:rPr>
              <w:t>adiocommunication Sector</w:t>
            </w:r>
          </w:p>
          <w:p w:rsidR="00727443" w:rsidRPr="0094613E" w:rsidRDefault="00137E95" w:rsidP="00143C22">
            <w:pPr>
              <w:pStyle w:val="Tabletext"/>
              <w:jc w:val="both"/>
              <w:rPr>
                <w:rFonts w:eastAsia="SimSun"/>
                <w:lang w:val="en-US" w:eastAsia="zh-CN"/>
              </w:rPr>
            </w:pPr>
            <w:r w:rsidRPr="00137E95">
              <w:rPr>
                <w:rFonts w:eastAsia="SimSun"/>
                <w:lang w:val="en-US" w:eastAsia="zh-CN"/>
              </w:rPr>
              <w:t>to study possible technical and operational measures to improve co-existence and compatibility</w:t>
            </w:r>
            <w:r>
              <w:rPr>
                <w:rFonts w:eastAsia="SimSun"/>
                <w:lang w:val="en-US" w:eastAsia="zh-CN"/>
              </w:rPr>
              <w:t xml:space="preserve"> </w:t>
            </w:r>
            <w:r w:rsidRPr="00137E95">
              <w:rPr>
                <w:rFonts w:eastAsia="SimSun"/>
                <w:lang w:val="en-US" w:eastAsia="zh-CN"/>
              </w:rPr>
              <w:t>between the terrestrial and satellite components of IMT in the frequency bands 1</w:t>
            </w:r>
            <w:r>
              <w:rPr>
                <w:rFonts w:eastAsia="SimSun"/>
                <w:lang w:val="en-US" w:eastAsia="zh-CN"/>
              </w:rPr>
              <w:t> </w:t>
            </w:r>
            <w:r w:rsidRPr="00137E95">
              <w:rPr>
                <w:rFonts w:eastAsia="SimSun"/>
                <w:lang w:val="en-US" w:eastAsia="zh-CN"/>
              </w:rPr>
              <w:t>980</w:t>
            </w:r>
            <w:r>
              <w:rPr>
                <w:rFonts w:eastAsia="SimSun"/>
                <w:lang w:val="en-US" w:eastAsia="zh-CN"/>
              </w:rPr>
              <w:noBreakHyphen/>
            </w:r>
            <w:r w:rsidRPr="00137E95">
              <w:rPr>
                <w:rFonts w:eastAsia="SimSun"/>
                <w:lang w:val="en-US" w:eastAsia="zh-CN"/>
              </w:rPr>
              <w:t>2</w:t>
            </w:r>
            <w:r>
              <w:rPr>
                <w:rFonts w:eastAsia="SimSun"/>
                <w:lang w:val="en-US" w:eastAsia="zh-CN"/>
              </w:rPr>
              <w:t> </w:t>
            </w:r>
            <w:r w:rsidRPr="00137E95">
              <w:rPr>
                <w:rFonts w:eastAsia="SimSun"/>
                <w:lang w:val="en-US" w:eastAsia="zh-CN"/>
              </w:rPr>
              <w:t>010</w:t>
            </w:r>
            <w:r>
              <w:rPr>
                <w:rFonts w:eastAsia="SimSun"/>
                <w:lang w:val="en-US" w:eastAsia="zh-CN"/>
              </w:rPr>
              <w:t> </w:t>
            </w:r>
            <w:r w:rsidRPr="00137E95">
              <w:rPr>
                <w:rFonts w:eastAsia="SimSun"/>
                <w:lang w:val="en-US" w:eastAsia="zh-CN"/>
              </w:rPr>
              <w:t>MHz and</w:t>
            </w:r>
            <w:r>
              <w:rPr>
                <w:rFonts w:eastAsia="SimSun"/>
                <w:lang w:val="en-US" w:eastAsia="zh-CN"/>
              </w:rPr>
              <w:t xml:space="preserve"> </w:t>
            </w:r>
            <w:r w:rsidRPr="00137E95">
              <w:rPr>
                <w:rFonts w:eastAsia="SimSun"/>
                <w:lang w:val="en-US" w:eastAsia="zh-CN"/>
              </w:rPr>
              <w:t>2 170-2 200 MHz where those frequency bands are shared by the mobile service and the mobile</w:t>
            </w:r>
            <w:r>
              <w:rPr>
                <w:rFonts w:eastAsia="SimSun"/>
                <w:lang w:val="en-US" w:eastAsia="zh-CN"/>
              </w:rPr>
              <w:t>-</w:t>
            </w:r>
            <w:r w:rsidRPr="00137E95">
              <w:rPr>
                <w:rFonts w:eastAsia="SimSun"/>
                <w:lang w:val="en-US" w:eastAsia="zh-CN"/>
              </w:rPr>
              <w:t>satellite</w:t>
            </w:r>
            <w:r>
              <w:rPr>
                <w:rFonts w:eastAsia="SimSun"/>
                <w:lang w:val="en-US" w:eastAsia="zh-CN"/>
              </w:rPr>
              <w:t xml:space="preserve"> </w:t>
            </w:r>
            <w:r w:rsidRPr="00137E95">
              <w:rPr>
                <w:rFonts w:eastAsia="SimSun"/>
                <w:lang w:val="en-US" w:eastAsia="zh-CN"/>
              </w:rPr>
              <w:t>service in different countries, in particular for the deployment of independent satellite and</w:t>
            </w:r>
            <w:r>
              <w:rPr>
                <w:rFonts w:eastAsia="SimSun"/>
                <w:lang w:val="en-US" w:eastAsia="zh-CN"/>
              </w:rPr>
              <w:t xml:space="preserve"> </w:t>
            </w:r>
            <w:r w:rsidRPr="00137E95">
              <w:rPr>
                <w:rFonts w:eastAsia="SimSun"/>
                <w:lang w:val="en-US" w:eastAsia="zh-CN"/>
              </w:rPr>
              <w:t>terrestrial components of IMT and to facilitate development of both the satellite and terrestrial</w:t>
            </w:r>
            <w:r>
              <w:rPr>
                <w:rFonts w:eastAsia="SimSun"/>
                <w:lang w:val="en-US" w:eastAsia="zh-CN"/>
              </w:rPr>
              <w:t xml:space="preserve"> </w:t>
            </w:r>
            <w:r w:rsidRPr="00137E95">
              <w:rPr>
                <w:rFonts w:eastAsia="SimSun"/>
                <w:lang w:val="en-US" w:eastAsia="zh-CN"/>
              </w:rPr>
              <w:t>components of IMT,</w:t>
            </w:r>
          </w:p>
        </w:tc>
        <w:tc>
          <w:tcPr>
            <w:tcW w:w="1516" w:type="dxa"/>
          </w:tcPr>
          <w:p w:rsidR="00727443" w:rsidRPr="00137E95" w:rsidRDefault="00727443" w:rsidP="00143C22">
            <w:pPr>
              <w:pStyle w:val="Tabletext"/>
              <w:jc w:val="center"/>
              <w:rPr>
                <w:rFonts w:eastAsia="SimSun"/>
                <w:b/>
                <w:bCs/>
                <w:lang w:val="en-US" w:eastAsia="zh-CN"/>
              </w:rPr>
            </w:pPr>
            <w:r w:rsidRPr="00137E95">
              <w:rPr>
                <w:rFonts w:eastAsia="SimSun"/>
                <w:b/>
                <w:bCs/>
                <w:lang w:val="en-US" w:eastAsia="zh-CN"/>
              </w:rPr>
              <w:t>5D</w:t>
            </w:r>
          </w:p>
        </w:tc>
      </w:tr>
      <w:tr w:rsidR="00727443" w:rsidRPr="009F0A77" w:rsidTr="00F15AAB">
        <w:tc>
          <w:tcPr>
            <w:tcW w:w="1820" w:type="dxa"/>
          </w:tcPr>
          <w:p w:rsidR="00727443" w:rsidRPr="00E62610" w:rsidRDefault="00727443" w:rsidP="00143C22">
            <w:pPr>
              <w:pStyle w:val="Tabletext"/>
              <w:rPr>
                <w:rFonts w:eastAsia="SimSun"/>
                <w:b/>
                <w:bCs/>
                <w:lang w:val="en-US" w:eastAsia="zh-CN"/>
              </w:rPr>
            </w:pPr>
            <w:r w:rsidRPr="0094613E">
              <w:rPr>
                <w:rFonts w:eastAsia="SimSun"/>
                <w:lang w:val="en-US" w:eastAsia="zh-CN"/>
              </w:rPr>
              <w:t xml:space="preserve">Resolution </w:t>
            </w:r>
            <w:r w:rsidRPr="00E62610">
              <w:rPr>
                <w:rFonts w:eastAsia="SimSun"/>
                <w:b/>
                <w:bCs/>
                <w:lang w:val="en-US" w:eastAsia="zh-CN"/>
              </w:rPr>
              <w:t xml:space="preserve">221 </w:t>
            </w:r>
          </w:p>
          <w:p w:rsidR="00727443" w:rsidRPr="0094613E" w:rsidRDefault="00727443" w:rsidP="00143C22">
            <w:pPr>
              <w:pStyle w:val="Tabletext"/>
              <w:rPr>
                <w:rFonts w:eastAsia="SimSun"/>
                <w:lang w:val="en-US" w:eastAsia="zh-CN"/>
              </w:rPr>
            </w:pPr>
            <w:r w:rsidRPr="00E62610">
              <w:rPr>
                <w:rFonts w:eastAsia="SimSun"/>
                <w:b/>
                <w:bCs/>
                <w:lang w:val="en-US" w:eastAsia="zh-CN"/>
              </w:rPr>
              <w:t>(Rev.WRC-07)</w:t>
            </w:r>
          </w:p>
        </w:tc>
        <w:tc>
          <w:tcPr>
            <w:tcW w:w="2977" w:type="dxa"/>
          </w:tcPr>
          <w:p w:rsidR="00727443" w:rsidRPr="0094613E" w:rsidRDefault="00727443" w:rsidP="00AF35A2">
            <w:pPr>
              <w:pStyle w:val="Tabletext"/>
              <w:rPr>
                <w:rFonts w:eastAsia="SimSun"/>
                <w:lang w:val="en-US" w:eastAsia="zh-CN"/>
              </w:rPr>
            </w:pPr>
            <w:r w:rsidRPr="0094613E">
              <w:rPr>
                <w:rFonts w:eastAsia="SimSun"/>
                <w:lang w:val="en-US" w:eastAsia="zh-CN"/>
              </w:rPr>
              <w:t>Use of high altitude platform stations providing IMT in the bands 1 885-1 980 MHz, 2 010</w:t>
            </w:r>
            <w:r w:rsidR="00AF35A2">
              <w:rPr>
                <w:rFonts w:eastAsia="SimSun"/>
                <w:lang w:val="en-US" w:eastAsia="zh-CN"/>
              </w:rPr>
              <w:noBreakHyphen/>
            </w:r>
            <w:r w:rsidRPr="0094613E">
              <w:rPr>
                <w:rFonts w:eastAsia="SimSun"/>
                <w:lang w:val="en-US" w:eastAsia="zh-CN"/>
              </w:rPr>
              <w:t>2 025 MHz and 2 110</w:t>
            </w:r>
            <w:r w:rsidR="00AF35A2">
              <w:rPr>
                <w:rFonts w:eastAsia="SimSun"/>
                <w:lang w:val="en-US" w:eastAsia="zh-CN"/>
              </w:rPr>
              <w:noBreakHyphen/>
            </w:r>
            <w:r w:rsidRPr="0094613E">
              <w:rPr>
                <w:rFonts w:eastAsia="SimSun"/>
                <w:lang w:val="en-US" w:eastAsia="zh-CN"/>
              </w:rPr>
              <w:t>2 170 MHz in Regions 1 and 3 and 1 885-1 980 MHz and 2 110-2 160 MHz in Region 2</w:t>
            </w:r>
          </w:p>
        </w:tc>
        <w:tc>
          <w:tcPr>
            <w:tcW w:w="7654" w:type="dxa"/>
          </w:tcPr>
          <w:p w:rsidR="00727443" w:rsidRPr="0094613E" w:rsidRDefault="00640DE4" w:rsidP="00143C22">
            <w:pPr>
              <w:pStyle w:val="Tabletext"/>
              <w:jc w:val="both"/>
              <w:rPr>
                <w:rFonts w:eastAsia="SimSun"/>
                <w:lang w:val="en-US" w:eastAsia="zh-CN"/>
              </w:rPr>
            </w:pPr>
            <w:r w:rsidRPr="00F12B63">
              <w:rPr>
                <w:lang w:eastAsia="zh-CN"/>
              </w:rPr>
              <w:tab/>
            </w:r>
            <w:r w:rsidR="00727443" w:rsidRPr="0094613E">
              <w:rPr>
                <w:rFonts w:eastAsia="SimSun"/>
                <w:i/>
                <w:lang w:val="en-US" w:eastAsia="zh-CN"/>
              </w:rPr>
              <w:t>invites ITU-R</w:t>
            </w:r>
          </w:p>
          <w:p w:rsidR="00727443" w:rsidRPr="0094613E" w:rsidRDefault="00727443" w:rsidP="00143C22">
            <w:pPr>
              <w:pStyle w:val="Tabletext"/>
              <w:jc w:val="both"/>
              <w:rPr>
                <w:rFonts w:eastAsia="SimSun"/>
                <w:lang w:val="en-US" w:eastAsia="zh-CN"/>
              </w:rPr>
            </w:pPr>
            <w:r w:rsidRPr="0094613E">
              <w:rPr>
                <w:rFonts w:eastAsia="SimSun"/>
                <w:lang w:val="en-US" w:eastAsia="zh-CN"/>
              </w:rPr>
              <w:t>to develop, as a matter of urgency, an ITU-R Recommendation providing technical guidance to facilitate consultations with neighbouring administrations</w:t>
            </w:r>
          </w:p>
        </w:tc>
        <w:tc>
          <w:tcPr>
            <w:tcW w:w="1516" w:type="dxa"/>
          </w:tcPr>
          <w:p w:rsidR="00727443" w:rsidRPr="00137E95" w:rsidRDefault="00727443" w:rsidP="00143C22">
            <w:pPr>
              <w:pStyle w:val="Tabletext"/>
              <w:jc w:val="center"/>
              <w:rPr>
                <w:rFonts w:eastAsia="SimSun"/>
                <w:b/>
                <w:bCs/>
                <w:lang w:val="en-US" w:eastAsia="zh-CN"/>
              </w:rPr>
            </w:pPr>
            <w:r w:rsidRPr="00137E95">
              <w:rPr>
                <w:rFonts w:eastAsia="SimSun"/>
                <w:b/>
                <w:bCs/>
                <w:lang w:val="en-US" w:eastAsia="zh-CN"/>
              </w:rPr>
              <w:t>5D</w:t>
            </w:r>
          </w:p>
        </w:tc>
      </w:tr>
      <w:tr w:rsidR="00727443" w:rsidRPr="009F0A77" w:rsidTr="00F15AAB">
        <w:tc>
          <w:tcPr>
            <w:tcW w:w="1820" w:type="dxa"/>
          </w:tcPr>
          <w:p w:rsidR="00727443" w:rsidRPr="0094613E" w:rsidRDefault="00727443" w:rsidP="00143C22">
            <w:pPr>
              <w:pStyle w:val="Tabletext"/>
              <w:rPr>
                <w:rFonts w:eastAsia="SimSun"/>
                <w:lang w:val="en-US" w:eastAsia="zh-CN"/>
              </w:rPr>
            </w:pPr>
            <w:r w:rsidRPr="0094613E">
              <w:rPr>
                <w:rFonts w:eastAsia="SimSun"/>
                <w:lang w:val="en-US" w:eastAsia="zh-CN"/>
              </w:rPr>
              <w:t xml:space="preserve">Resolution </w:t>
            </w:r>
            <w:r w:rsidRPr="00143C22">
              <w:rPr>
                <w:rFonts w:eastAsia="SimSun"/>
                <w:b/>
                <w:bCs/>
                <w:lang w:val="en-US" w:eastAsia="zh-CN"/>
              </w:rPr>
              <w:t>331 (Rev.WRC-12)</w:t>
            </w:r>
          </w:p>
        </w:tc>
        <w:tc>
          <w:tcPr>
            <w:tcW w:w="2977" w:type="dxa"/>
          </w:tcPr>
          <w:p w:rsidR="00727443" w:rsidRPr="0094613E" w:rsidRDefault="00727443" w:rsidP="00143C22">
            <w:pPr>
              <w:pStyle w:val="Tabletext"/>
              <w:rPr>
                <w:rFonts w:eastAsia="SimSun"/>
                <w:lang w:val="en-US" w:eastAsia="zh-CN"/>
              </w:rPr>
            </w:pPr>
            <w:r w:rsidRPr="0094613E">
              <w:rPr>
                <w:rFonts w:eastAsia="SimSun"/>
                <w:lang w:val="en-US" w:eastAsia="zh-CN"/>
              </w:rPr>
              <w:t>Transition to the Global Maritime Distress and Safety System (GMDSS)</w:t>
            </w:r>
          </w:p>
        </w:tc>
        <w:tc>
          <w:tcPr>
            <w:tcW w:w="7654" w:type="dxa"/>
          </w:tcPr>
          <w:p w:rsidR="00727443" w:rsidRPr="00143C22" w:rsidRDefault="00FF070C" w:rsidP="00143C22">
            <w:pPr>
              <w:pStyle w:val="Tabletext"/>
              <w:jc w:val="both"/>
              <w:rPr>
                <w:iCs/>
              </w:rPr>
            </w:pPr>
            <w:r w:rsidRPr="00F12B63">
              <w:rPr>
                <w:lang w:eastAsia="zh-CN"/>
              </w:rPr>
              <w:tab/>
            </w:r>
            <w:r w:rsidR="00727443" w:rsidRPr="00143C22">
              <w:rPr>
                <w:i/>
                <w:iCs/>
              </w:rPr>
              <w:t>invites ITU</w:t>
            </w:r>
            <w:r w:rsidR="00727443" w:rsidRPr="00143C22">
              <w:rPr>
                <w:i/>
                <w:iCs/>
              </w:rPr>
              <w:noBreakHyphen/>
              <w:t>R</w:t>
            </w:r>
          </w:p>
          <w:p w:rsidR="00727443" w:rsidRPr="0094613E" w:rsidRDefault="00727443" w:rsidP="00143C22">
            <w:pPr>
              <w:pStyle w:val="Tabletext"/>
              <w:jc w:val="both"/>
            </w:pPr>
            <w:r w:rsidRPr="0094613E">
              <w:t>to monitor the development of and changes to the GMDSS, and to continue to develop techniques and systems relevant for the GMDSS,</w:t>
            </w:r>
          </w:p>
        </w:tc>
        <w:tc>
          <w:tcPr>
            <w:tcW w:w="1516" w:type="dxa"/>
          </w:tcPr>
          <w:p w:rsidR="00727443" w:rsidRPr="00143C22" w:rsidRDefault="00727443" w:rsidP="00143C22">
            <w:pPr>
              <w:pStyle w:val="Tabletext"/>
              <w:jc w:val="center"/>
              <w:rPr>
                <w:rFonts w:eastAsia="SimSun"/>
                <w:b/>
                <w:bCs/>
                <w:lang w:val="en-US" w:eastAsia="zh-CN"/>
              </w:rPr>
            </w:pPr>
            <w:r w:rsidRPr="00143C22">
              <w:rPr>
                <w:rFonts w:eastAsia="SimSun"/>
                <w:b/>
                <w:bCs/>
                <w:lang w:val="en-US" w:eastAsia="zh-CN"/>
              </w:rPr>
              <w:t>5B</w:t>
            </w:r>
          </w:p>
        </w:tc>
      </w:tr>
      <w:tr w:rsidR="00727443" w:rsidRPr="009F0A77" w:rsidTr="00F15AAB">
        <w:tc>
          <w:tcPr>
            <w:tcW w:w="1820" w:type="dxa"/>
          </w:tcPr>
          <w:p w:rsidR="00727443" w:rsidRPr="0094613E" w:rsidRDefault="00727443" w:rsidP="00143C22">
            <w:pPr>
              <w:pStyle w:val="Tabletext"/>
              <w:rPr>
                <w:rFonts w:eastAsia="SimSun"/>
                <w:lang w:val="en-US" w:eastAsia="zh-CN"/>
              </w:rPr>
            </w:pPr>
            <w:r w:rsidRPr="0094613E">
              <w:rPr>
                <w:rFonts w:eastAsia="SimSun"/>
                <w:lang w:val="en-US" w:eastAsia="zh-CN"/>
              </w:rPr>
              <w:t xml:space="preserve">Resolution </w:t>
            </w:r>
            <w:r w:rsidRPr="00143C22">
              <w:rPr>
                <w:rFonts w:eastAsia="SimSun"/>
                <w:b/>
                <w:bCs/>
                <w:lang w:val="en-US" w:eastAsia="zh-CN"/>
              </w:rPr>
              <w:t>356 (</w:t>
            </w:r>
            <w:r w:rsidR="00A16691" w:rsidRPr="00143C22">
              <w:rPr>
                <w:rFonts w:eastAsia="SimSun"/>
                <w:b/>
                <w:bCs/>
                <w:lang w:val="en-US" w:eastAsia="zh-CN"/>
              </w:rPr>
              <w:t>Rev.</w:t>
            </w:r>
            <w:r w:rsidRPr="00143C22">
              <w:rPr>
                <w:rFonts w:eastAsia="SimSun"/>
                <w:b/>
                <w:bCs/>
                <w:lang w:val="en-US" w:eastAsia="zh-CN"/>
              </w:rPr>
              <w:t>WRC-</w:t>
            </w:r>
            <w:r w:rsidR="00A16691" w:rsidRPr="00143C22">
              <w:rPr>
                <w:rFonts w:eastAsia="SimSun"/>
                <w:b/>
                <w:bCs/>
                <w:lang w:val="en-US" w:eastAsia="zh-CN"/>
              </w:rPr>
              <w:t>19</w:t>
            </w:r>
            <w:r w:rsidRPr="00143C22">
              <w:rPr>
                <w:rFonts w:eastAsia="SimSun"/>
                <w:b/>
                <w:bCs/>
                <w:lang w:val="en-US" w:eastAsia="zh-CN"/>
              </w:rPr>
              <w:t>)</w:t>
            </w:r>
          </w:p>
        </w:tc>
        <w:tc>
          <w:tcPr>
            <w:tcW w:w="2977" w:type="dxa"/>
          </w:tcPr>
          <w:p w:rsidR="00727443" w:rsidRPr="0094613E" w:rsidRDefault="00727443" w:rsidP="00143C22">
            <w:pPr>
              <w:pStyle w:val="Tabletext"/>
              <w:rPr>
                <w:rFonts w:eastAsia="SimSun"/>
                <w:lang w:val="fr-FR" w:eastAsia="zh-CN"/>
              </w:rPr>
            </w:pPr>
            <w:r w:rsidRPr="0094613E">
              <w:rPr>
                <w:rFonts w:eastAsia="SimSun"/>
                <w:lang w:val="fr-FR" w:eastAsia="zh-CN"/>
              </w:rPr>
              <w:t>ITU maritime service information registration</w:t>
            </w:r>
          </w:p>
        </w:tc>
        <w:tc>
          <w:tcPr>
            <w:tcW w:w="7654" w:type="dxa"/>
          </w:tcPr>
          <w:p w:rsidR="00727443" w:rsidRPr="0094613E" w:rsidRDefault="00C80BBC" w:rsidP="00143C22">
            <w:pPr>
              <w:pStyle w:val="Tabletext"/>
              <w:jc w:val="both"/>
              <w:rPr>
                <w:rFonts w:eastAsia="SimSun"/>
                <w:lang w:val="en-US" w:eastAsia="zh-CN"/>
              </w:rPr>
            </w:pPr>
            <w:r w:rsidRPr="00F12B63">
              <w:rPr>
                <w:lang w:eastAsia="zh-CN"/>
              </w:rPr>
              <w:tab/>
            </w:r>
            <w:r w:rsidR="00727443" w:rsidRPr="0094613E">
              <w:rPr>
                <w:rFonts w:eastAsia="SimSun"/>
                <w:i/>
                <w:lang w:val="en-US" w:eastAsia="zh-CN"/>
              </w:rPr>
              <w:t xml:space="preserve">invites </w:t>
            </w:r>
            <w:r w:rsidR="00A16691">
              <w:rPr>
                <w:rFonts w:eastAsia="SimSun"/>
                <w:i/>
                <w:lang w:val="en-US" w:eastAsia="zh-CN"/>
              </w:rPr>
              <w:t xml:space="preserve">the </w:t>
            </w:r>
            <w:r w:rsidR="00727443" w:rsidRPr="0094613E">
              <w:rPr>
                <w:rFonts w:eastAsia="SimSun"/>
                <w:i/>
                <w:lang w:val="en-US" w:eastAsia="zh-CN"/>
              </w:rPr>
              <w:t>ITU</w:t>
            </w:r>
            <w:r w:rsidR="00A16691">
              <w:rPr>
                <w:rFonts w:eastAsia="SimSun"/>
                <w:i/>
                <w:lang w:val="en-US" w:eastAsia="zh-CN"/>
              </w:rPr>
              <w:t xml:space="preserve"> </w:t>
            </w:r>
            <w:r w:rsidR="00727443" w:rsidRPr="0094613E">
              <w:rPr>
                <w:rFonts w:eastAsia="SimSun"/>
                <w:i/>
                <w:lang w:val="en-US" w:eastAsia="zh-CN"/>
              </w:rPr>
              <w:t>R</w:t>
            </w:r>
            <w:r w:rsidR="00727443" w:rsidRPr="0094613E">
              <w:rPr>
                <w:rFonts w:eastAsia="SimSun"/>
                <w:lang w:val="en-US" w:eastAsia="zh-CN"/>
              </w:rPr>
              <w:t xml:space="preserve"> </w:t>
            </w:r>
            <w:r w:rsidR="00A16691" w:rsidRPr="00143C22">
              <w:rPr>
                <w:rFonts w:eastAsia="SimSun"/>
                <w:i/>
                <w:iCs/>
                <w:lang w:val="en-US" w:eastAsia="zh-CN"/>
              </w:rPr>
              <w:t>Radiocommunication Sector</w:t>
            </w:r>
          </w:p>
          <w:p w:rsidR="00727443" w:rsidRPr="0094613E" w:rsidRDefault="00727443" w:rsidP="00143C22">
            <w:pPr>
              <w:pStyle w:val="Tabletext"/>
              <w:jc w:val="both"/>
              <w:rPr>
                <w:rFonts w:eastAsia="SimSun"/>
                <w:lang w:val="en-US" w:eastAsia="zh-CN"/>
              </w:rPr>
            </w:pPr>
            <w:r w:rsidRPr="0094613E">
              <w:rPr>
                <w:rFonts w:eastAsia="SimSun"/>
                <w:lang w:val="en-US" w:eastAsia="zh-CN"/>
              </w:rPr>
              <w:t>to consult with administrations, IMO, the International Civil Aviation Organization (ICAO), the International Association of Marine Aids to Navigation and Lighthouse Authorities (IALA), and the International Hydrographic Organization (IHO) to identify elements for incorporation in ITU online information systems</w:t>
            </w:r>
            <w:r w:rsidR="00A16691">
              <w:rPr>
                <w:rFonts w:eastAsia="SimSun"/>
                <w:lang w:val="en-US" w:eastAsia="zh-CN"/>
              </w:rPr>
              <w:t>,</w:t>
            </w:r>
          </w:p>
        </w:tc>
        <w:tc>
          <w:tcPr>
            <w:tcW w:w="1516" w:type="dxa"/>
          </w:tcPr>
          <w:p w:rsidR="00727443" w:rsidRPr="00143C22" w:rsidRDefault="00727443" w:rsidP="00143C22">
            <w:pPr>
              <w:pStyle w:val="Tabletext"/>
              <w:jc w:val="center"/>
              <w:rPr>
                <w:rFonts w:eastAsia="SimSun"/>
                <w:b/>
                <w:bCs/>
                <w:lang w:val="en-US" w:eastAsia="zh-CN"/>
              </w:rPr>
            </w:pPr>
            <w:r w:rsidRPr="00143C22">
              <w:rPr>
                <w:rFonts w:eastAsia="SimSun"/>
                <w:b/>
                <w:bCs/>
                <w:lang w:val="en-US" w:eastAsia="zh-CN"/>
              </w:rPr>
              <w:t>5B</w:t>
            </w:r>
          </w:p>
        </w:tc>
      </w:tr>
      <w:tr w:rsidR="00F15AAB" w:rsidRPr="009F0A77" w:rsidTr="00F15AAB">
        <w:tc>
          <w:tcPr>
            <w:tcW w:w="1820" w:type="dxa"/>
          </w:tcPr>
          <w:p w:rsidR="00727443" w:rsidRPr="0094613E" w:rsidRDefault="00727443" w:rsidP="00143C22">
            <w:pPr>
              <w:pStyle w:val="Tabletext"/>
              <w:rPr>
                <w:lang w:eastAsia="ja-JP"/>
              </w:rPr>
            </w:pPr>
            <w:r w:rsidRPr="0094613E">
              <w:rPr>
                <w:rFonts w:eastAsia="SimSun"/>
                <w:lang w:eastAsia="zh-CN"/>
              </w:rPr>
              <w:t xml:space="preserve">Resolution </w:t>
            </w:r>
            <w:r w:rsidRPr="00143C22">
              <w:rPr>
                <w:rFonts w:eastAsia="SimSun"/>
                <w:b/>
                <w:bCs/>
                <w:lang w:eastAsia="zh-CN"/>
              </w:rPr>
              <w:t>64</w:t>
            </w:r>
            <w:r w:rsidRPr="00143C22">
              <w:rPr>
                <w:b/>
                <w:bCs/>
                <w:lang w:eastAsia="ja-JP"/>
              </w:rPr>
              <w:t>6</w:t>
            </w:r>
            <w:r w:rsidRPr="00143C22">
              <w:rPr>
                <w:rFonts w:eastAsia="SimSun"/>
                <w:b/>
                <w:bCs/>
                <w:lang w:eastAsia="zh-CN"/>
              </w:rPr>
              <w:t xml:space="preserve"> (Rev.WRC-</w:t>
            </w:r>
            <w:r w:rsidR="00657DB1">
              <w:rPr>
                <w:rFonts w:eastAsia="SimSun"/>
                <w:b/>
                <w:bCs/>
                <w:lang w:eastAsia="zh-CN"/>
              </w:rPr>
              <w:t>19</w:t>
            </w:r>
            <w:r w:rsidRPr="00143C22">
              <w:rPr>
                <w:rFonts w:eastAsia="SimSun"/>
                <w:b/>
                <w:bCs/>
                <w:lang w:eastAsia="zh-CN"/>
              </w:rPr>
              <w:t>)</w:t>
            </w:r>
            <w:r w:rsidRPr="0094613E">
              <w:rPr>
                <w:rFonts w:asciiTheme="minorEastAsia" w:hAnsiTheme="minorEastAsia" w:hint="eastAsia"/>
                <w:lang w:eastAsia="ja-JP"/>
              </w:rPr>
              <w:t xml:space="preserve"> </w:t>
            </w:r>
          </w:p>
        </w:tc>
        <w:tc>
          <w:tcPr>
            <w:tcW w:w="2977" w:type="dxa"/>
          </w:tcPr>
          <w:p w:rsidR="00727443" w:rsidRPr="0094613E" w:rsidRDefault="00727443" w:rsidP="00143C22">
            <w:pPr>
              <w:pStyle w:val="Tabletext"/>
              <w:rPr>
                <w:rFonts w:eastAsia="SimSun"/>
                <w:lang w:eastAsia="zh-CN"/>
              </w:rPr>
            </w:pPr>
            <w:r w:rsidRPr="00143C22">
              <w:t>Public protection and disaster relief</w:t>
            </w:r>
          </w:p>
        </w:tc>
        <w:tc>
          <w:tcPr>
            <w:tcW w:w="7654" w:type="dxa"/>
          </w:tcPr>
          <w:p w:rsidR="00727443" w:rsidRPr="00143C22" w:rsidRDefault="00DE4498" w:rsidP="00143C22">
            <w:pPr>
              <w:pStyle w:val="Tabletext"/>
              <w:jc w:val="both"/>
              <w:rPr>
                <w:iCs/>
              </w:rPr>
            </w:pPr>
            <w:r w:rsidRPr="0094613E">
              <w:tab/>
            </w:r>
            <w:r w:rsidR="00727443" w:rsidRPr="00143C22">
              <w:rPr>
                <w:i/>
                <w:iCs/>
              </w:rPr>
              <w:t xml:space="preserve">invites </w:t>
            </w:r>
            <w:r w:rsidR="00D408F4" w:rsidRPr="00143C22">
              <w:rPr>
                <w:i/>
                <w:iCs/>
              </w:rPr>
              <w:t xml:space="preserve">the </w:t>
            </w:r>
            <w:r w:rsidR="00727443" w:rsidRPr="00143C22">
              <w:rPr>
                <w:i/>
                <w:iCs/>
              </w:rPr>
              <w:t>ITU</w:t>
            </w:r>
            <w:r w:rsidR="00D408F4" w:rsidRPr="00143C22">
              <w:rPr>
                <w:i/>
                <w:iCs/>
              </w:rPr>
              <w:t xml:space="preserve"> </w:t>
            </w:r>
            <w:r w:rsidR="00727443" w:rsidRPr="00143C22">
              <w:rPr>
                <w:i/>
                <w:iCs/>
              </w:rPr>
              <w:t>R</w:t>
            </w:r>
            <w:r w:rsidR="00D408F4" w:rsidRPr="00143C22">
              <w:rPr>
                <w:i/>
                <w:iCs/>
              </w:rPr>
              <w:t>adiocommunication Sector</w:t>
            </w:r>
          </w:p>
          <w:p w:rsidR="00727443" w:rsidRPr="0094613E" w:rsidRDefault="00727443" w:rsidP="00143C22">
            <w:pPr>
              <w:pStyle w:val="Tabletext"/>
              <w:tabs>
                <w:tab w:val="clear" w:pos="284"/>
                <w:tab w:val="left" w:pos="393"/>
              </w:tabs>
              <w:jc w:val="both"/>
            </w:pPr>
            <w:r w:rsidRPr="0094613E">
              <w:t>1</w:t>
            </w:r>
            <w:r w:rsidRPr="0094613E">
              <w:tab/>
              <w:t xml:space="preserve">to continue its technical studies and to make recommendations concerning technical and operational implementation, as necessary, to meet the needs of </w:t>
            </w:r>
            <w:r w:rsidR="00D408F4">
              <w:t>PPDR</w:t>
            </w:r>
            <w:r w:rsidRPr="0094613E">
              <w:t xml:space="preserve"> radiocommunication applications, taking into account the capabilities, evolution and any resulting transition requirements of the existing systems, particularly those of many developing countries, for national and international operations;</w:t>
            </w:r>
          </w:p>
          <w:p w:rsidR="00727443" w:rsidRPr="0094613E" w:rsidRDefault="00727443" w:rsidP="00143C22">
            <w:pPr>
              <w:pStyle w:val="Tabletext"/>
              <w:tabs>
                <w:tab w:val="clear" w:pos="284"/>
                <w:tab w:val="left" w:pos="393"/>
              </w:tabs>
              <w:jc w:val="both"/>
            </w:pPr>
            <w:r w:rsidRPr="0094613E">
              <w:t>2</w:t>
            </w:r>
            <w:r w:rsidRPr="0094613E">
              <w:tab/>
            </w:r>
            <w:r w:rsidR="00D408F4">
              <w:t>to review and revise Recommendation ITU-R M.2015 and other relevant ITU-R Recommendations and Reports, as appropriate</w:t>
            </w:r>
            <w:r w:rsidRPr="0094613E">
              <w:t>.</w:t>
            </w:r>
          </w:p>
        </w:tc>
        <w:tc>
          <w:tcPr>
            <w:tcW w:w="1516" w:type="dxa"/>
          </w:tcPr>
          <w:p w:rsidR="00727443" w:rsidRPr="00143C22" w:rsidRDefault="00727443" w:rsidP="00143C22">
            <w:pPr>
              <w:pStyle w:val="Tabletext"/>
              <w:jc w:val="center"/>
              <w:rPr>
                <w:b/>
                <w:bCs/>
                <w:lang w:eastAsia="ja-JP"/>
              </w:rPr>
            </w:pPr>
            <w:r w:rsidRPr="00143C22">
              <w:rPr>
                <w:b/>
                <w:bCs/>
                <w:lang w:eastAsia="ja-JP"/>
              </w:rPr>
              <w:t xml:space="preserve">5A, </w:t>
            </w:r>
            <w:r w:rsidRPr="00143C22">
              <w:rPr>
                <w:rFonts w:eastAsia="SimSun"/>
                <w:b/>
                <w:bCs/>
                <w:lang w:eastAsia="zh-CN"/>
              </w:rPr>
              <w:t>5B, 5C, 5D</w:t>
            </w:r>
          </w:p>
        </w:tc>
      </w:tr>
      <w:tr w:rsidR="00DE4498" w:rsidRPr="009F0A77" w:rsidTr="00F15AAB">
        <w:tc>
          <w:tcPr>
            <w:tcW w:w="1820" w:type="dxa"/>
          </w:tcPr>
          <w:p w:rsidR="00DE4498" w:rsidRPr="0094613E" w:rsidRDefault="00654075" w:rsidP="00D408F4">
            <w:pPr>
              <w:pStyle w:val="Tabletext"/>
              <w:rPr>
                <w:rFonts w:eastAsia="SimSun"/>
                <w:lang w:eastAsia="zh-CN"/>
              </w:rPr>
            </w:pPr>
            <w:r>
              <w:rPr>
                <w:rFonts w:eastAsia="SimSun"/>
                <w:lang w:eastAsia="zh-CN"/>
              </w:rPr>
              <w:t xml:space="preserve">Resolution </w:t>
            </w:r>
            <w:r w:rsidRPr="00143C22">
              <w:rPr>
                <w:rFonts w:eastAsia="SimSun"/>
                <w:b/>
                <w:bCs/>
                <w:lang w:eastAsia="zh-CN"/>
              </w:rPr>
              <w:t>660 (WRC-19)</w:t>
            </w:r>
          </w:p>
        </w:tc>
        <w:tc>
          <w:tcPr>
            <w:tcW w:w="2977" w:type="dxa"/>
          </w:tcPr>
          <w:p w:rsidR="00DE4498" w:rsidRPr="00D408F4" w:rsidRDefault="00654075">
            <w:pPr>
              <w:pStyle w:val="Tabletext"/>
            </w:pPr>
            <w:r>
              <w:t>Use of the frequency band 137</w:t>
            </w:r>
            <w:r w:rsidR="00AF35A2">
              <w:noBreakHyphen/>
            </w:r>
            <w:r>
              <w:t>138 MHz by non</w:t>
            </w:r>
            <w:r w:rsidR="00AF35A2">
              <w:noBreakHyphen/>
            </w:r>
            <w:r>
              <w:t>geostationary satellites with short-duration missions in the space operation service</w:t>
            </w:r>
          </w:p>
        </w:tc>
        <w:tc>
          <w:tcPr>
            <w:tcW w:w="7654" w:type="dxa"/>
          </w:tcPr>
          <w:p w:rsidR="00654075" w:rsidRPr="00143C22" w:rsidRDefault="00654075" w:rsidP="007A2611">
            <w:pPr>
              <w:pStyle w:val="Tabletext"/>
              <w:jc w:val="both"/>
              <w:rPr>
                <w:i/>
                <w:iCs/>
              </w:rPr>
            </w:pPr>
            <w:r w:rsidRPr="0094613E">
              <w:tab/>
            </w:r>
            <w:r w:rsidRPr="00143C22">
              <w:rPr>
                <w:i/>
                <w:iCs/>
              </w:rPr>
              <w:t>invites the ITU Radiocommunication Sector</w:t>
            </w:r>
          </w:p>
          <w:p w:rsidR="00DE4498" w:rsidRPr="0094613E" w:rsidRDefault="00654075" w:rsidP="007A2611">
            <w:pPr>
              <w:pStyle w:val="Tabletext"/>
              <w:jc w:val="both"/>
            </w:pPr>
            <w:r>
              <w:t>to conduct, as a matter of urgency, relevant studies of technical, operational and regulatory aspects in relation to the implementation of this Resolution,</w:t>
            </w:r>
          </w:p>
        </w:tc>
        <w:tc>
          <w:tcPr>
            <w:tcW w:w="1516" w:type="dxa"/>
          </w:tcPr>
          <w:p w:rsidR="00DE4498" w:rsidRPr="00FF070C" w:rsidRDefault="002E393E" w:rsidP="00143C22">
            <w:pPr>
              <w:pStyle w:val="Tabletext"/>
              <w:jc w:val="center"/>
              <w:rPr>
                <w:b/>
                <w:bCs/>
                <w:lang w:eastAsia="ja-JP"/>
              </w:rPr>
            </w:pPr>
            <w:r w:rsidRPr="003E600B">
              <w:rPr>
                <w:b/>
                <w:bCs/>
                <w:lang w:eastAsia="ja-JP"/>
              </w:rPr>
              <w:t>5B</w:t>
            </w:r>
            <w:r w:rsidR="003E600B">
              <w:rPr>
                <w:b/>
                <w:bCs/>
                <w:lang w:eastAsia="ja-JP"/>
              </w:rPr>
              <w:br/>
              <w:t>[7B]</w:t>
            </w:r>
          </w:p>
        </w:tc>
      </w:tr>
      <w:tr w:rsidR="00727443" w:rsidRPr="009F0A77" w:rsidTr="00F15AAB">
        <w:tc>
          <w:tcPr>
            <w:tcW w:w="1820" w:type="dxa"/>
          </w:tcPr>
          <w:p w:rsidR="00727443" w:rsidRPr="0094613E" w:rsidRDefault="00727443" w:rsidP="00143C22">
            <w:pPr>
              <w:pStyle w:val="Tabletext"/>
              <w:rPr>
                <w:rFonts w:eastAsia="SimSun"/>
                <w:lang w:val="en-US" w:eastAsia="zh-CN"/>
              </w:rPr>
            </w:pPr>
            <w:r w:rsidRPr="0094613E">
              <w:rPr>
                <w:rFonts w:eastAsia="SimSun"/>
                <w:lang w:val="en-US" w:eastAsia="zh-CN"/>
              </w:rPr>
              <w:t xml:space="preserve">Resolution </w:t>
            </w:r>
            <w:r w:rsidRPr="00143C22">
              <w:rPr>
                <w:rFonts w:eastAsia="SimSun"/>
                <w:b/>
                <w:bCs/>
                <w:lang w:val="en-US" w:eastAsia="zh-CN"/>
              </w:rPr>
              <w:t>703 (WRC-07)</w:t>
            </w:r>
          </w:p>
        </w:tc>
        <w:tc>
          <w:tcPr>
            <w:tcW w:w="2977" w:type="dxa"/>
          </w:tcPr>
          <w:p w:rsidR="00727443" w:rsidRPr="0094613E" w:rsidRDefault="00727443" w:rsidP="00143C22">
            <w:pPr>
              <w:pStyle w:val="Tabletext"/>
              <w:rPr>
                <w:rFonts w:eastAsia="SimSun"/>
                <w:lang w:val="en-US" w:eastAsia="zh-CN"/>
              </w:rPr>
            </w:pPr>
            <w:r w:rsidRPr="0094613E">
              <w:rPr>
                <w:rFonts w:eastAsia="SimSun"/>
                <w:lang w:val="en-US" w:eastAsia="zh-CN"/>
              </w:rPr>
              <w:t>Calculation methods and interference criteria recommended by ITU R for sharing frequency bands between space radiocommunication and terrestrial radiocommunication services or between space radiocommunication services</w:t>
            </w:r>
          </w:p>
        </w:tc>
        <w:tc>
          <w:tcPr>
            <w:tcW w:w="7654" w:type="dxa"/>
          </w:tcPr>
          <w:p w:rsidR="00727443" w:rsidRPr="0094613E" w:rsidRDefault="00DE4498" w:rsidP="00143C22">
            <w:pPr>
              <w:pStyle w:val="Tabletext"/>
              <w:jc w:val="both"/>
              <w:rPr>
                <w:rFonts w:eastAsia="SimSun"/>
                <w:lang w:val="en-US" w:eastAsia="zh-CN"/>
              </w:rPr>
            </w:pPr>
            <w:r w:rsidRPr="0094613E">
              <w:tab/>
            </w:r>
            <w:r w:rsidR="00727443" w:rsidRPr="0094613E">
              <w:rPr>
                <w:rFonts w:eastAsia="SimSun"/>
                <w:i/>
                <w:iCs/>
                <w:lang w:val="en-US" w:eastAsia="zh-CN"/>
              </w:rPr>
              <w:t>resolves</w:t>
            </w:r>
          </w:p>
          <w:p w:rsidR="00727443" w:rsidRDefault="00727443" w:rsidP="007A2611">
            <w:pPr>
              <w:pStyle w:val="Tabletext"/>
              <w:jc w:val="both"/>
              <w:rPr>
                <w:rFonts w:eastAsia="SimSun"/>
                <w:lang w:val="en-US" w:eastAsia="zh-CN"/>
              </w:rPr>
            </w:pPr>
            <w:r w:rsidRPr="0094613E">
              <w:rPr>
                <w:rFonts w:eastAsia="SimSun"/>
                <w:lang w:val="en-US" w:eastAsia="zh-CN"/>
              </w:rPr>
              <w:t>1</w:t>
            </w:r>
            <w:r w:rsidR="00DE4498" w:rsidRPr="0094613E">
              <w:tab/>
            </w:r>
            <w:r w:rsidRPr="0094613E">
              <w:rPr>
                <w:rFonts w:eastAsia="SimSun"/>
                <w:lang w:val="en-US" w:eastAsia="zh-CN"/>
              </w:rPr>
              <w:t>that the Director of the Radiocommunication Bureau, in consultation with Study Group Chairmen, shall annually prepare a list identifying the relevant newly approved ITU</w:t>
            </w:r>
            <w:r w:rsidR="005318A7">
              <w:rPr>
                <w:rFonts w:eastAsia="SimSun"/>
                <w:lang w:val="en-US" w:eastAsia="zh-CN"/>
              </w:rPr>
              <w:t>-</w:t>
            </w:r>
            <w:r w:rsidRPr="0094613E">
              <w:rPr>
                <w:rFonts w:eastAsia="SimSun"/>
                <w:lang w:val="en-US" w:eastAsia="zh-CN"/>
              </w:rPr>
              <w:t>R Recommendations relating to sharing between space radiocommunication and terrestrial radiocommunication services, or between space radiocommunication services;</w:t>
            </w:r>
          </w:p>
          <w:p w:rsidR="00DE4498" w:rsidRPr="00DE4498" w:rsidRDefault="00DE4498" w:rsidP="007A2611">
            <w:pPr>
              <w:pStyle w:val="Tabletext"/>
              <w:jc w:val="both"/>
              <w:rPr>
                <w:rFonts w:eastAsia="SimSun"/>
                <w:lang w:eastAsia="zh-CN"/>
              </w:rPr>
            </w:pPr>
            <w:r w:rsidRPr="00DE4498">
              <w:rPr>
                <w:rFonts w:eastAsia="SimSun"/>
                <w:lang w:eastAsia="zh-CN"/>
              </w:rPr>
              <w:t>2</w:t>
            </w:r>
            <w:r w:rsidRPr="00DE4498">
              <w:rPr>
                <w:rFonts w:eastAsia="SimSun"/>
                <w:lang w:eastAsia="zh-CN"/>
              </w:rPr>
              <w:tab/>
              <w:t>that the Director of the Radiocommunication Bureau shall, once a year, publish this list electronically for the information of all administrations.</w:t>
            </w:r>
          </w:p>
        </w:tc>
        <w:tc>
          <w:tcPr>
            <w:tcW w:w="1516" w:type="dxa"/>
          </w:tcPr>
          <w:p w:rsidR="00727443" w:rsidRPr="00DE4498" w:rsidRDefault="00727443" w:rsidP="00143C22">
            <w:pPr>
              <w:pStyle w:val="Tabletext"/>
              <w:jc w:val="center"/>
              <w:rPr>
                <w:rFonts w:eastAsia="SimSun"/>
                <w:b/>
                <w:bCs/>
                <w:lang w:val="en-US" w:eastAsia="zh-CN"/>
              </w:rPr>
            </w:pPr>
            <w:r w:rsidRPr="00DE4498">
              <w:rPr>
                <w:rFonts w:eastAsia="SimSun"/>
                <w:b/>
                <w:bCs/>
                <w:lang w:val="en-US" w:eastAsia="zh-CN"/>
              </w:rPr>
              <w:t>5A, 5B, 5C, 5D</w:t>
            </w:r>
          </w:p>
        </w:tc>
      </w:tr>
      <w:tr w:rsidR="00727443" w:rsidRPr="009F0A77" w:rsidTr="00F15AAB">
        <w:tc>
          <w:tcPr>
            <w:tcW w:w="1820" w:type="dxa"/>
          </w:tcPr>
          <w:p w:rsidR="00727443" w:rsidRPr="00DE4498" w:rsidRDefault="00727443" w:rsidP="00143C22">
            <w:pPr>
              <w:pStyle w:val="Tabletext"/>
              <w:rPr>
                <w:rFonts w:eastAsia="SimSun"/>
                <w:b/>
                <w:bCs/>
                <w:lang w:val="en-US" w:eastAsia="zh-CN"/>
              </w:rPr>
            </w:pPr>
            <w:r w:rsidRPr="0094613E">
              <w:rPr>
                <w:rFonts w:eastAsia="SimSun"/>
                <w:lang w:val="en-US" w:eastAsia="zh-CN"/>
              </w:rPr>
              <w:t xml:space="preserve">Resolution </w:t>
            </w:r>
            <w:r w:rsidRPr="00DE4498">
              <w:rPr>
                <w:rFonts w:eastAsia="SimSun"/>
                <w:b/>
                <w:bCs/>
                <w:lang w:val="en-US" w:eastAsia="zh-CN"/>
              </w:rPr>
              <w:t xml:space="preserve">748 </w:t>
            </w:r>
          </w:p>
          <w:p w:rsidR="00727443" w:rsidRPr="0094613E" w:rsidRDefault="00727443" w:rsidP="00143C22">
            <w:pPr>
              <w:pStyle w:val="Tabletext"/>
              <w:rPr>
                <w:rFonts w:eastAsia="SimSun"/>
                <w:lang w:val="en-US" w:eastAsia="zh-CN"/>
              </w:rPr>
            </w:pPr>
            <w:r w:rsidRPr="00DE4498">
              <w:rPr>
                <w:rFonts w:eastAsia="SimSun"/>
                <w:b/>
                <w:bCs/>
                <w:lang w:val="en-US" w:eastAsia="zh-CN"/>
              </w:rPr>
              <w:t>(Rev.WRC-</w:t>
            </w:r>
            <w:r w:rsidR="00657DB1" w:rsidRPr="00DE4498">
              <w:rPr>
                <w:rFonts w:eastAsia="SimSun"/>
                <w:b/>
                <w:bCs/>
                <w:lang w:val="en-US" w:eastAsia="zh-CN"/>
              </w:rPr>
              <w:t>1</w:t>
            </w:r>
            <w:r w:rsidR="00657DB1">
              <w:rPr>
                <w:rFonts w:eastAsia="SimSun"/>
                <w:b/>
                <w:bCs/>
                <w:lang w:val="en-US" w:eastAsia="zh-CN"/>
              </w:rPr>
              <w:t>9</w:t>
            </w:r>
            <w:r w:rsidRPr="00DE4498">
              <w:rPr>
                <w:rFonts w:eastAsia="SimSun"/>
                <w:b/>
                <w:bCs/>
                <w:lang w:val="en-US" w:eastAsia="zh-CN"/>
              </w:rPr>
              <w:t>)</w:t>
            </w:r>
          </w:p>
        </w:tc>
        <w:tc>
          <w:tcPr>
            <w:tcW w:w="2977" w:type="dxa"/>
          </w:tcPr>
          <w:p w:rsidR="00727443" w:rsidRPr="0094613E" w:rsidRDefault="00727443" w:rsidP="00143C22">
            <w:pPr>
              <w:pStyle w:val="Tabletext"/>
              <w:rPr>
                <w:rFonts w:eastAsia="SimSun"/>
                <w:lang w:val="en-US" w:eastAsia="zh-CN"/>
              </w:rPr>
            </w:pPr>
            <w:r w:rsidRPr="0094613E">
              <w:rPr>
                <w:rFonts w:eastAsia="SimSun"/>
                <w:lang w:val="en-US" w:eastAsia="zh-CN"/>
              </w:rPr>
              <w:t>Compatibility between the aeronautical mobile (R) service and the fixed-satellite service (Earth-to-space) in the</w:t>
            </w:r>
            <w:r w:rsidR="00DE4498">
              <w:rPr>
                <w:rFonts w:eastAsia="SimSun"/>
                <w:lang w:val="en-US" w:eastAsia="zh-CN"/>
              </w:rPr>
              <w:t xml:space="preserve"> frequency</w:t>
            </w:r>
            <w:r w:rsidRPr="0094613E">
              <w:rPr>
                <w:rFonts w:eastAsia="SimSun"/>
                <w:lang w:val="en-US" w:eastAsia="zh-CN"/>
              </w:rPr>
              <w:t xml:space="preserve"> band 5 091-5 150 MHz</w:t>
            </w:r>
          </w:p>
        </w:tc>
        <w:tc>
          <w:tcPr>
            <w:tcW w:w="7654" w:type="dxa"/>
          </w:tcPr>
          <w:p w:rsidR="00727443" w:rsidRPr="0094613E" w:rsidRDefault="00DE4498" w:rsidP="00143C22">
            <w:pPr>
              <w:pStyle w:val="Tabletext"/>
              <w:jc w:val="both"/>
              <w:rPr>
                <w:rFonts w:eastAsia="SimSun"/>
                <w:lang w:val="en-US" w:eastAsia="zh-CN"/>
              </w:rPr>
            </w:pPr>
            <w:r w:rsidRPr="0094613E">
              <w:tab/>
            </w:r>
            <w:r w:rsidR="00727443" w:rsidRPr="0094613E">
              <w:rPr>
                <w:rFonts w:eastAsia="SimSun"/>
                <w:i/>
                <w:iCs/>
                <w:lang w:val="en-US" w:eastAsia="zh-CN"/>
              </w:rPr>
              <w:t>invites</w:t>
            </w:r>
          </w:p>
          <w:p w:rsidR="00727443" w:rsidRDefault="00727443" w:rsidP="007A2611">
            <w:pPr>
              <w:pStyle w:val="Tabletext"/>
              <w:jc w:val="both"/>
              <w:rPr>
                <w:rFonts w:eastAsia="SimSun"/>
                <w:lang w:val="en-US" w:eastAsia="zh-CN"/>
              </w:rPr>
            </w:pPr>
            <w:r w:rsidRPr="0094613E">
              <w:rPr>
                <w:rFonts w:eastAsia="SimSun"/>
                <w:lang w:val="en-US" w:eastAsia="zh-CN"/>
              </w:rPr>
              <w:t>1</w:t>
            </w:r>
            <w:r w:rsidR="00DE4498" w:rsidRPr="0094613E">
              <w:tab/>
            </w:r>
            <w:r w:rsidRPr="0094613E">
              <w:rPr>
                <w:rFonts w:eastAsia="SimSun"/>
                <w:lang w:val="en-US" w:eastAsia="zh-CN"/>
              </w:rPr>
              <w:t>administrations to supply technical and operational criteria necessary for sharing studies for the AM(R)S, and to participate actively in such studies</w:t>
            </w:r>
            <w:r w:rsidR="00DE4498">
              <w:rPr>
                <w:rFonts w:eastAsia="SimSun"/>
                <w:lang w:val="en-US" w:eastAsia="zh-CN"/>
              </w:rPr>
              <w:t>;</w:t>
            </w:r>
          </w:p>
          <w:p w:rsidR="00DE4498" w:rsidRPr="0094613E" w:rsidRDefault="00DE4498" w:rsidP="00143C22">
            <w:pPr>
              <w:pStyle w:val="Tabletext"/>
              <w:jc w:val="both"/>
              <w:rPr>
                <w:rFonts w:eastAsia="SimSun"/>
                <w:lang w:val="en-US" w:eastAsia="zh-CN"/>
              </w:rPr>
            </w:pPr>
            <w:r w:rsidRPr="00DE4498">
              <w:rPr>
                <w:rFonts w:eastAsia="SimSun"/>
                <w:lang w:val="en-US" w:eastAsia="zh-CN"/>
              </w:rPr>
              <w:t>2</w:t>
            </w:r>
            <w:r w:rsidRPr="0094613E">
              <w:tab/>
            </w:r>
            <w:r w:rsidRPr="00DE4498">
              <w:rPr>
                <w:rFonts w:eastAsia="SimSun"/>
                <w:lang w:val="en-US" w:eastAsia="zh-CN"/>
              </w:rPr>
              <w:t>ICAO and other organizations to participate actively in such studies,</w:t>
            </w:r>
          </w:p>
        </w:tc>
        <w:tc>
          <w:tcPr>
            <w:tcW w:w="1516" w:type="dxa"/>
          </w:tcPr>
          <w:p w:rsidR="00727443" w:rsidRPr="00DE4498" w:rsidRDefault="00727443" w:rsidP="00143C22">
            <w:pPr>
              <w:pStyle w:val="Tabletext"/>
              <w:jc w:val="center"/>
              <w:rPr>
                <w:rFonts w:eastAsia="SimSun"/>
                <w:b/>
                <w:bCs/>
                <w:lang w:val="en-US" w:eastAsia="zh-CN"/>
              </w:rPr>
            </w:pPr>
            <w:r w:rsidRPr="00DE4498">
              <w:rPr>
                <w:rFonts w:eastAsia="SimSun"/>
                <w:b/>
                <w:bCs/>
                <w:lang w:val="en-US" w:eastAsia="zh-CN"/>
              </w:rPr>
              <w:t>5B</w:t>
            </w:r>
          </w:p>
        </w:tc>
      </w:tr>
    </w:tbl>
    <w:p w:rsidR="00727443" w:rsidRDefault="00727443" w:rsidP="004122E2">
      <w:pPr>
        <w:pStyle w:val="Tablefin"/>
      </w:pPr>
    </w:p>
    <w:p w:rsidR="004122E2" w:rsidRDefault="004122E2" w:rsidP="004122E2">
      <w:pPr>
        <w:pStyle w:val="Reasons"/>
        <w:spacing w:before="0"/>
        <w:rPr>
          <w:lang w:eastAsia="ja-JP"/>
        </w:rPr>
      </w:pPr>
    </w:p>
    <w:p w:rsidR="00861057" w:rsidRDefault="00861057" w:rsidP="004122E2">
      <w:pPr>
        <w:spacing w:before="0"/>
        <w:rPr>
          <w:lang w:eastAsia="ja-JP"/>
        </w:rPr>
      </w:pPr>
    </w:p>
    <w:p w:rsidR="004706DA" w:rsidRPr="00797537" w:rsidRDefault="003A73ED" w:rsidP="004122E2">
      <w:pPr>
        <w:spacing w:before="0"/>
        <w:jc w:val="center"/>
      </w:pPr>
      <w:r w:rsidRPr="00797537">
        <w:rPr>
          <w:lang w:eastAsia="ja-JP"/>
        </w:rPr>
        <w:t>_________________</w:t>
      </w:r>
    </w:p>
    <w:sectPr w:rsidR="004706DA" w:rsidRPr="00797537" w:rsidSect="00243722">
      <w:headerReference w:type="default" r:id="rId11"/>
      <w:footerReference w:type="default" r:id="rId12"/>
      <w:headerReference w:type="first" r:id="rId13"/>
      <w:pgSz w:w="16834" w:h="11907" w:orient="landscape" w:code="9"/>
      <w:pgMar w:top="1134" w:right="1418" w:bottom="1134" w:left="1418" w:header="567"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72560" w:rsidRDefault="00172560">
      <w:r>
        <w:separator/>
      </w:r>
    </w:p>
  </w:endnote>
  <w:endnote w:type="continuationSeparator" w:id="0">
    <w:p w:rsidR="00172560" w:rsidRDefault="0017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0C62" w:rsidRDefault="00172560">
    <w:pPr>
      <w:pStyle w:val="Footer"/>
    </w:pPr>
    <w:r>
      <w:fldChar w:fldCharType="begin"/>
    </w:r>
    <w:r>
      <w:instrText xml:space="preserve"> FILENAME \p  \* MERGEFORMAT </w:instrText>
    </w:r>
    <w:r>
      <w:fldChar w:fldCharType="separate"/>
    </w:r>
    <w:r w:rsidR="00520C62">
      <w:t>https://www.itu.int/dms_ties/itu-r/md/19/sg05/c/R19-SG05-C-0001!!MSW-E.docx</w:t>
    </w:r>
    <w:r>
      <w:fldChar w:fldCharType="end"/>
    </w:r>
    <w:r w:rsidR="00520C62">
      <w:tab/>
    </w:r>
    <w:r w:rsidR="00520C62">
      <w:fldChar w:fldCharType="begin"/>
    </w:r>
    <w:r w:rsidR="00520C62">
      <w:instrText xml:space="preserve"> SAVEDATE \@ DD.MM.YY </w:instrText>
    </w:r>
    <w:r w:rsidR="00520C62">
      <w:fldChar w:fldCharType="separate"/>
    </w:r>
    <w:r w:rsidR="00E25A42">
      <w:t>08.08.20</w:t>
    </w:r>
    <w:r w:rsidR="00520C62">
      <w:fldChar w:fldCharType="end"/>
    </w:r>
    <w:r w:rsidR="00520C62">
      <w:tab/>
    </w:r>
    <w:r w:rsidR="00520C62">
      <w:fldChar w:fldCharType="begin"/>
    </w:r>
    <w:r w:rsidR="00520C62">
      <w:instrText xml:space="preserve"> PRINTDATE \@ DD.MM.YY </w:instrText>
    </w:r>
    <w:r w:rsidR="00520C62">
      <w:fldChar w:fldCharType="separate"/>
    </w:r>
    <w:r w:rsidR="00520C62">
      <w:t>10.03.20</w:t>
    </w:r>
    <w:r w:rsidR="00520C6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0C62" w:rsidRPr="007F2B7F" w:rsidRDefault="00172560" w:rsidP="007F2B7F">
    <w:pPr>
      <w:pStyle w:val="Footer"/>
    </w:pPr>
    <w:r>
      <w:fldChar w:fldCharType="begin"/>
    </w:r>
    <w:r>
      <w:instrText xml:space="preserve"> FILENAME \p \* MERGEFORMAT </w:instrText>
    </w:r>
    <w:r>
      <w:fldChar w:fldCharType="separate"/>
    </w:r>
    <w:r w:rsidR="00E41344">
      <w:t>M:\BRSGD\TEXT2019\SG05\000\001e.docx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0C62" w:rsidRPr="007F2B7F" w:rsidRDefault="00172560" w:rsidP="007F2B7F">
    <w:pPr>
      <w:pStyle w:val="Footer"/>
    </w:pPr>
    <w:r>
      <w:fldChar w:fldCharType="begin"/>
    </w:r>
    <w:r>
      <w:instrText xml:space="preserve"> FILENAME \p \* MERGEFORMAT </w:instrText>
    </w:r>
    <w:r>
      <w:fldChar w:fldCharType="separate"/>
    </w:r>
    <w:r w:rsidR="00E41344">
      <w:t>M:\BRSGD\TEXT2019\SG05\000\001e.docx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72560" w:rsidRDefault="00172560">
      <w:r>
        <w:t>____________________</w:t>
      </w:r>
    </w:p>
  </w:footnote>
  <w:footnote w:type="continuationSeparator" w:id="0">
    <w:p w:rsidR="00172560" w:rsidRDefault="00172560">
      <w:r>
        <w:continuationSeparator/>
      </w:r>
    </w:p>
  </w:footnote>
  <w:footnote w:id="1">
    <w:p w:rsidR="00520C62" w:rsidRDefault="00520C62" w:rsidP="00200ECB">
      <w:pPr>
        <w:pStyle w:val="FootnoteText"/>
        <w:ind w:left="255" w:hanging="255"/>
        <w:jc w:val="both"/>
      </w:pPr>
      <w:r>
        <w:rPr>
          <w:rStyle w:val="FootnoteReference"/>
        </w:rPr>
        <w:t>1</w:t>
      </w:r>
      <w:r>
        <w:t xml:space="preserve"> </w:t>
      </w:r>
      <w:r>
        <w:tab/>
      </w:r>
      <w:r w:rsidRPr="0052035B">
        <w:rPr>
          <w:lang w:val="en-CA"/>
        </w:rPr>
        <w:t>WP 5B to provide characteristics and protection criteria for the aeronautical and maritime mobile services.  WP 5D initiates studies with characteristics of IMT. Studies must take into account comments from both Working Parties (</w:t>
      </w:r>
      <w:r w:rsidRPr="0052035B">
        <w:rPr>
          <w:i/>
          <w:iCs/>
          <w:lang w:val="en-CA"/>
        </w:rPr>
        <w:t>invites the ITU-R</w:t>
      </w:r>
      <w:r w:rsidRPr="0052035B">
        <w:rPr>
          <w:lang w:val="en-CA"/>
        </w:rPr>
        <w:t xml:space="preserve"> 2). WP 5D in consultation with WP 5B develops reports/recommendations, as appropriate, which are approved by SG 5 in accordance with Resolution ITU-R 1-8 (</w:t>
      </w:r>
      <w:r w:rsidRPr="00BD595F">
        <w:rPr>
          <w:i/>
          <w:lang w:val="en-CA"/>
        </w:rPr>
        <w:t>invites the ITU-R</w:t>
      </w:r>
      <w:r w:rsidRPr="0052035B">
        <w:rPr>
          <w:lang w:val="en-CA"/>
        </w:rPr>
        <w:t xml:space="preserve"> 4). WP 5B and WP 5D develop relevant parts, as appropriate, of the draft CPM text. WP 5D finalizes draft CPM text taking into consideration comments by WP 5B (for </w:t>
      </w:r>
      <w:r w:rsidRPr="00BD595F">
        <w:rPr>
          <w:i/>
          <w:lang w:val="en-CA"/>
        </w:rPr>
        <w:t>invites WRC-23</w:t>
      </w:r>
      <w:r w:rsidRPr="0052035B">
        <w:rPr>
          <w:lang w:val="en-CA"/>
        </w:rPr>
        <w:t>).</w:t>
      </w:r>
    </w:p>
  </w:footnote>
  <w:footnote w:id="2">
    <w:p w:rsidR="00520C62" w:rsidRPr="0052035B" w:rsidRDefault="00520C62" w:rsidP="00D47F38">
      <w:pPr>
        <w:pStyle w:val="FootnoteText"/>
      </w:pPr>
      <w:r w:rsidRPr="0052035B">
        <w:rPr>
          <w:rStyle w:val="FootnoteReference"/>
        </w:rPr>
        <w:t>1</w:t>
      </w:r>
      <w:r w:rsidRPr="0052035B">
        <w:tab/>
      </w:r>
      <w:r w:rsidRPr="0052035B">
        <w:rPr>
          <w:rFonts w:eastAsia="SimSun"/>
        </w:rPr>
        <w:t>Including studies with respect to services in adjacent bands,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0C62" w:rsidRDefault="00520C6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520C62" w:rsidRDefault="00520C62">
    <w:pPr>
      <w:pStyle w:val="Header"/>
      <w:rPr>
        <w:lang w:val="en-US"/>
      </w:rPr>
    </w:pPr>
    <w:r>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4880417"/>
      <w:docPartObj>
        <w:docPartGallery w:val="Page Numbers (Top of Page)"/>
        <w:docPartUnique/>
      </w:docPartObj>
    </w:sdtPr>
    <w:sdtEndPr>
      <w:rPr>
        <w:noProof/>
      </w:rPr>
    </w:sdtEndPr>
    <w:sdtContent>
      <w:p w:rsidR="00520C62" w:rsidRDefault="00520C62" w:rsidP="00243722">
        <w:pPr>
          <w:pStyle w:val="Header"/>
        </w:pPr>
        <w:r>
          <w:t xml:space="preserve">- </w:t>
        </w:r>
        <w:r>
          <w:fldChar w:fldCharType="begin"/>
        </w:r>
        <w:r>
          <w:instrText xml:space="preserve"> PAGE   \* MERGEFORMAT </w:instrText>
        </w:r>
        <w:r>
          <w:fldChar w:fldCharType="separate"/>
        </w:r>
        <w:r>
          <w:rPr>
            <w:noProof/>
          </w:rPr>
          <w:t>41</w:t>
        </w:r>
        <w:r>
          <w:rPr>
            <w:noProof/>
          </w:rPr>
          <w:fldChar w:fldCharType="end"/>
        </w:r>
        <w:r>
          <w:rPr>
            <w:noProof/>
          </w:rPr>
          <w:t xml:space="preserve"> -</w:t>
        </w:r>
      </w:p>
    </w:sdtContent>
  </w:sdt>
  <w:p w:rsidR="00520C62" w:rsidRPr="00243722" w:rsidRDefault="00520C62" w:rsidP="00E961B0">
    <w:pPr>
      <w:pStyle w:val="Header"/>
    </w:pPr>
    <w:r>
      <w:t>5/1-E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2967183"/>
      <w:docPartObj>
        <w:docPartGallery w:val="Page Numbers (Top of Page)"/>
        <w:docPartUnique/>
      </w:docPartObj>
    </w:sdtPr>
    <w:sdtEndPr>
      <w:rPr>
        <w:noProof/>
      </w:rPr>
    </w:sdtEndPr>
    <w:sdtContent>
      <w:p w:rsidR="00520C62" w:rsidRDefault="00520C62">
        <w:pPr>
          <w:pStyle w:val="Head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rsidR="00520C62" w:rsidRDefault="00520C62" w:rsidP="00243722">
    <w:pPr>
      <w:pStyle w:val="Header"/>
    </w:pPr>
    <w:r>
      <w:t>5/1 (Rev.2)-E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CA" w:vendorID="64" w:dllVersion="6" w:nlCheck="1" w:checkStyle="1"/>
  <w:activeWritingStyle w:appName="MSWord" w:lang="fr-CH"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EEF"/>
    <w:rsid w:val="00004751"/>
    <w:rsid w:val="0000680D"/>
    <w:rsid w:val="000069D4"/>
    <w:rsid w:val="00007EA8"/>
    <w:rsid w:val="00011394"/>
    <w:rsid w:val="000118E1"/>
    <w:rsid w:val="00011D04"/>
    <w:rsid w:val="00012CB3"/>
    <w:rsid w:val="000135FA"/>
    <w:rsid w:val="0001531F"/>
    <w:rsid w:val="00016099"/>
    <w:rsid w:val="000174AD"/>
    <w:rsid w:val="000223B3"/>
    <w:rsid w:val="000249D0"/>
    <w:rsid w:val="00026F2A"/>
    <w:rsid w:val="00027BED"/>
    <w:rsid w:val="000326C5"/>
    <w:rsid w:val="00043A9F"/>
    <w:rsid w:val="000449AC"/>
    <w:rsid w:val="00046E04"/>
    <w:rsid w:val="000510C5"/>
    <w:rsid w:val="000544AB"/>
    <w:rsid w:val="00071F2C"/>
    <w:rsid w:val="00073225"/>
    <w:rsid w:val="00077BEF"/>
    <w:rsid w:val="000847D4"/>
    <w:rsid w:val="0008595F"/>
    <w:rsid w:val="000869A7"/>
    <w:rsid w:val="00095098"/>
    <w:rsid w:val="00095F30"/>
    <w:rsid w:val="000971F6"/>
    <w:rsid w:val="000A6094"/>
    <w:rsid w:val="000A68C8"/>
    <w:rsid w:val="000A7D55"/>
    <w:rsid w:val="000B040E"/>
    <w:rsid w:val="000C0844"/>
    <w:rsid w:val="000C2E8E"/>
    <w:rsid w:val="000E0348"/>
    <w:rsid w:val="000E0E7C"/>
    <w:rsid w:val="000E19C3"/>
    <w:rsid w:val="000E3192"/>
    <w:rsid w:val="000E47D5"/>
    <w:rsid w:val="000E7100"/>
    <w:rsid w:val="000F1B4B"/>
    <w:rsid w:val="000F5DA3"/>
    <w:rsid w:val="000F7975"/>
    <w:rsid w:val="0011709D"/>
    <w:rsid w:val="0012003F"/>
    <w:rsid w:val="0012097C"/>
    <w:rsid w:val="001244FC"/>
    <w:rsid w:val="0012453C"/>
    <w:rsid w:val="00125585"/>
    <w:rsid w:val="0012744F"/>
    <w:rsid w:val="00137E0F"/>
    <w:rsid w:val="00137E95"/>
    <w:rsid w:val="0014187C"/>
    <w:rsid w:val="00141C45"/>
    <w:rsid w:val="00143C22"/>
    <w:rsid w:val="001520E8"/>
    <w:rsid w:val="00152269"/>
    <w:rsid w:val="00152921"/>
    <w:rsid w:val="00154E00"/>
    <w:rsid w:val="001567C3"/>
    <w:rsid w:val="00156F66"/>
    <w:rsid w:val="00163271"/>
    <w:rsid w:val="001632D6"/>
    <w:rsid w:val="00163A3A"/>
    <w:rsid w:val="00164D21"/>
    <w:rsid w:val="00172560"/>
    <w:rsid w:val="00176799"/>
    <w:rsid w:val="00182528"/>
    <w:rsid w:val="0018500B"/>
    <w:rsid w:val="00185511"/>
    <w:rsid w:val="00192AA1"/>
    <w:rsid w:val="001944B7"/>
    <w:rsid w:val="00196A19"/>
    <w:rsid w:val="001A4566"/>
    <w:rsid w:val="001A719E"/>
    <w:rsid w:val="001B7573"/>
    <w:rsid w:val="001C0B20"/>
    <w:rsid w:val="001C2E98"/>
    <w:rsid w:val="001C695B"/>
    <w:rsid w:val="001C7865"/>
    <w:rsid w:val="001D5C33"/>
    <w:rsid w:val="001D641B"/>
    <w:rsid w:val="001E2B2A"/>
    <w:rsid w:val="001E33D7"/>
    <w:rsid w:val="001E3B6F"/>
    <w:rsid w:val="001E3C2F"/>
    <w:rsid w:val="001E6713"/>
    <w:rsid w:val="001F1992"/>
    <w:rsid w:val="001F2CBD"/>
    <w:rsid w:val="001F5653"/>
    <w:rsid w:val="00200ECB"/>
    <w:rsid w:val="002019F3"/>
    <w:rsid w:val="002026E9"/>
    <w:rsid w:val="00202DC1"/>
    <w:rsid w:val="0020624E"/>
    <w:rsid w:val="002073C1"/>
    <w:rsid w:val="002116EE"/>
    <w:rsid w:val="002171AF"/>
    <w:rsid w:val="002213DD"/>
    <w:rsid w:val="0022537D"/>
    <w:rsid w:val="002309D8"/>
    <w:rsid w:val="002333BC"/>
    <w:rsid w:val="00243722"/>
    <w:rsid w:val="002459B8"/>
    <w:rsid w:val="00245D1B"/>
    <w:rsid w:val="00265387"/>
    <w:rsid w:val="00273329"/>
    <w:rsid w:val="0028273C"/>
    <w:rsid w:val="00293AA1"/>
    <w:rsid w:val="002A7092"/>
    <w:rsid w:val="002A7FE2"/>
    <w:rsid w:val="002B0C76"/>
    <w:rsid w:val="002B3C33"/>
    <w:rsid w:val="002C36FE"/>
    <w:rsid w:val="002C527A"/>
    <w:rsid w:val="002D7C9A"/>
    <w:rsid w:val="002E1B4F"/>
    <w:rsid w:val="002E393E"/>
    <w:rsid w:val="002F2326"/>
    <w:rsid w:val="002F2E67"/>
    <w:rsid w:val="002F55A1"/>
    <w:rsid w:val="002F7CB3"/>
    <w:rsid w:val="00300D7C"/>
    <w:rsid w:val="00301D36"/>
    <w:rsid w:val="003045F9"/>
    <w:rsid w:val="00307645"/>
    <w:rsid w:val="00307D5C"/>
    <w:rsid w:val="0031126A"/>
    <w:rsid w:val="00315546"/>
    <w:rsid w:val="00320537"/>
    <w:rsid w:val="00321137"/>
    <w:rsid w:val="00326E39"/>
    <w:rsid w:val="00327C7A"/>
    <w:rsid w:val="00330567"/>
    <w:rsid w:val="003373D1"/>
    <w:rsid w:val="00340777"/>
    <w:rsid w:val="0034238D"/>
    <w:rsid w:val="0034352B"/>
    <w:rsid w:val="00347D9A"/>
    <w:rsid w:val="00351A7B"/>
    <w:rsid w:val="0035244F"/>
    <w:rsid w:val="0035485C"/>
    <w:rsid w:val="00354910"/>
    <w:rsid w:val="00355147"/>
    <w:rsid w:val="00356E25"/>
    <w:rsid w:val="00356F1B"/>
    <w:rsid w:val="00362800"/>
    <w:rsid w:val="00363009"/>
    <w:rsid w:val="003639C0"/>
    <w:rsid w:val="00365F7B"/>
    <w:rsid w:val="00367532"/>
    <w:rsid w:val="00373E4E"/>
    <w:rsid w:val="00380226"/>
    <w:rsid w:val="00384C57"/>
    <w:rsid w:val="00386A9D"/>
    <w:rsid w:val="00391081"/>
    <w:rsid w:val="003963CC"/>
    <w:rsid w:val="003A3C32"/>
    <w:rsid w:val="003A58D1"/>
    <w:rsid w:val="003A73ED"/>
    <w:rsid w:val="003A7C86"/>
    <w:rsid w:val="003B2789"/>
    <w:rsid w:val="003B4240"/>
    <w:rsid w:val="003B69E6"/>
    <w:rsid w:val="003C13CE"/>
    <w:rsid w:val="003D00DE"/>
    <w:rsid w:val="003D05BA"/>
    <w:rsid w:val="003D3C3B"/>
    <w:rsid w:val="003D7B6C"/>
    <w:rsid w:val="003E2518"/>
    <w:rsid w:val="003E2DBB"/>
    <w:rsid w:val="003E34B0"/>
    <w:rsid w:val="003E554C"/>
    <w:rsid w:val="003E600B"/>
    <w:rsid w:val="003E69FC"/>
    <w:rsid w:val="003E7CEF"/>
    <w:rsid w:val="003F0663"/>
    <w:rsid w:val="004122E2"/>
    <w:rsid w:val="004145F1"/>
    <w:rsid w:val="00422A94"/>
    <w:rsid w:val="004234F5"/>
    <w:rsid w:val="00424F1F"/>
    <w:rsid w:val="00425103"/>
    <w:rsid w:val="0042723D"/>
    <w:rsid w:val="00435F88"/>
    <w:rsid w:val="00441226"/>
    <w:rsid w:val="00444D95"/>
    <w:rsid w:val="00450EAF"/>
    <w:rsid w:val="0045159B"/>
    <w:rsid w:val="00452F77"/>
    <w:rsid w:val="004632D5"/>
    <w:rsid w:val="004640B4"/>
    <w:rsid w:val="00464C29"/>
    <w:rsid w:val="004706DA"/>
    <w:rsid w:val="00473474"/>
    <w:rsid w:val="004759F4"/>
    <w:rsid w:val="00476C7D"/>
    <w:rsid w:val="00493374"/>
    <w:rsid w:val="00496124"/>
    <w:rsid w:val="004B0EAA"/>
    <w:rsid w:val="004B1650"/>
    <w:rsid w:val="004B1EF7"/>
    <w:rsid w:val="004B321E"/>
    <w:rsid w:val="004B3FAD"/>
    <w:rsid w:val="004B4203"/>
    <w:rsid w:val="004B6068"/>
    <w:rsid w:val="004E2D6C"/>
    <w:rsid w:val="00501DCA"/>
    <w:rsid w:val="005029F1"/>
    <w:rsid w:val="00504F93"/>
    <w:rsid w:val="00506E4B"/>
    <w:rsid w:val="00513A47"/>
    <w:rsid w:val="0051630E"/>
    <w:rsid w:val="00520C62"/>
    <w:rsid w:val="005271AE"/>
    <w:rsid w:val="005318A7"/>
    <w:rsid w:val="0053428D"/>
    <w:rsid w:val="0053581B"/>
    <w:rsid w:val="0053771F"/>
    <w:rsid w:val="005408DF"/>
    <w:rsid w:val="00560B9C"/>
    <w:rsid w:val="005644C6"/>
    <w:rsid w:val="00566676"/>
    <w:rsid w:val="0056782C"/>
    <w:rsid w:val="005715C3"/>
    <w:rsid w:val="00573344"/>
    <w:rsid w:val="00573AB5"/>
    <w:rsid w:val="00583F9B"/>
    <w:rsid w:val="00592115"/>
    <w:rsid w:val="00593DD9"/>
    <w:rsid w:val="00596B61"/>
    <w:rsid w:val="005A58E9"/>
    <w:rsid w:val="005A7100"/>
    <w:rsid w:val="005A7699"/>
    <w:rsid w:val="005B6143"/>
    <w:rsid w:val="005C63B4"/>
    <w:rsid w:val="005C69A7"/>
    <w:rsid w:val="005D0B2D"/>
    <w:rsid w:val="005D0C08"/>
    <w:rsid w:val="005D1F4A"/>
    <w:rsid w:val="005E5C10"/>
    <w:rsid w:val="005F2C78"/>
    <w:rsid w:val="005F51F0"/>
    <w:rsid w:val="00602D24"/>
    <w:rsid w:val="006102B0"/>
    <w:rsid w:val="00610F30"/>
    <w:rsid w:val="00611525"/>
    <w:rsid w:val="00612F30"/>
    <w:rsid w:val="006144E4"/>
    <w:rsid w:val="00620B1E"/>
    <w:rsid w:val="00624242"/>
    <w:rsid w:val="00630F0A"/>
    <w:rsid w:val="00632AB5"/>
    <w:rsid w:val="0063605D"/>
    <w:rsid w:val="00640DE4"/>
    <w:rsid w:val="0064304E"/>
    <w:rsid w:val="0064435E"/>
    <w:rsid w:val="006479EC"/>
    <w:rsid w:val="00647F07"/>
    <w:rsid w:val="00650299"/>
    <w:rsid w:val="00652A71"/>
    <w:rsid w:val="00654075"/>
    <w:rsid w:val="006558DB"/>
    <w:rsid w:val="00655FC5"/>
    <w:rsid w:val="00657DB1"/>
    <w:rsid w:val="00667F27"/>
    <w:rsid w:val="00671894"/>
    <w:rsid w:val="00677565"/>
    <w:rsid w:val="00687012"/>
    <w:rsid w:val="00692CE1"/>
    <w:rsid w:val="006A1821"/>
    <w:rsid w:val="006B01C0"/>
    <w:rsid w:val="006B0A05"/>
    <w:rsid w:val="006B548C"/>
    <w:rsid w:val="006B6CF8"/>
    <w:rsid w:val="006B792B"/>
    <w:rsid w:val="006C2937"/>
    <w:rsid w:val="006C363B"/>
    <w:rsid w:val="006D6A84"/>
    <w:rsid w:val="006E6284"/>
    <w:rsid w:val="006E697F"/>
    <w:rsid w:val="007022ED"/>
    <w:rsid w:val="00703878"/>
    <w:rsid w:val="0071329B"/>
    <w:rsid w:val="00720957"/>
    <w:rsid w:val="00725EA8"/>
    <w:rsid w:val="007273E9"/>
    <w:rsid w:val="00727443"/>
    <w:rsid w:val="00730380"/>
    <w:rsid w:val="007351D3"/>
    <w:rsid w:val="00761589"/>
    <w:rsid w:val="0076289C"/>
    <w:rsid w:val="0077208A"/>
    <w:rsid w:val="00772F6F"/>
    <w:rsid w:val="00774B6A"/>
    <w:rsid w:val="00777249"/>
    <w:rsid w:val="007868D8"/>
    <w:rsid w:val="00793739"/>
    <w:rsid w:val="00797537"/>
    <w:rsid w:val="007A2611"/>
    <w:rsid w:val="007A3678"/>
    <w:rsid w:val="007A5115"/>
    <w:rsid w:val="007B373D"/>
    <w:rsid w:val="007B674A"/>
    <w:rsid w:val="007B69C0"/>
    <w:rsid w:val="007B7EEF"/>
    <w:rsid w:val="007C4EBE"/>
    <w:rsid w:val="007C51E9"/>
    <w:rsid w:val="007C70F8"/>
    <w:rsid w:val="007D692C"/>
    <w:rsid w:val="007D7528"/>
    <w:rsid w:val="007E43E1"/>
    <w:rsid w:val="007E513F"/>
    <w:rsid w:val="007F2B7F"/>
    <w:rsid w:val="007F42BB"/>
    <w:rsid w:val="008068EB"/>
    <w:rsid w:val="00807B3D"/>
    <w:rsid w:val="008106E2"/>
    <w:rsid w:val="0081235E"/>
    <w:rsid w:val="008123B0"/>
    <w:rsid w:val="008127AB"/>
    <w:rsid w:val="00814E0A"/>
    <w:rsid w:val="00814E83"/>
    <w:rsid w:val="008153E9"/>
    <w:rsid w:val="00816878"/>
    <w:rsid w:val="00820AC8"/>
    <w:rsid w:val="00822581"/>
    <w:rsid w:val="008309DD"/>
    <w:rsid w:val="00830AE7"/>
    <w:rsid w:val="00830FFF"/>
    <w:rsid w:val="0083227A"/>
    <w:rsid w:val="008361C5"/>
    <w:rsid w:val="00841204"/>
    <w:rsid w:val="00841707"/>
    <w:rsid w:val="00842390"/>
    <w:rsid w:val="00847E5F"/>
    <w:rsid w:val="0085573D"/>
    <w:rsid w:val="00861057"/>
    <w:rsid w:val="008619AA"/>
    <w:rsid w:val="00866900"/>
    <w:rsid w:val="008670A2"/>
    <w:rsid w:val="008670F0"/>
    <w:rsid w:val="008726D2"/>
    <w:rsid w:val="00873E92"/>
    <w:rsid w:val="00881BA1"/>
    <w:rsid w:val="00886FCC"/>
    <w:rsid w:val="008978E7"/>
    <w:rsid w:val="008A62A2"/>
    <w:rsid w:val="008B059E"/>
    <w:rsid w:val="008B34D6"/>
    <w:rsid w:val="008B4186"/>
    <w:rsid w:val="008B6966"/>
    <w:rsid w:val="008C24D0"/>
    <w:rsid w:val="008C26AA"/>
    <w:rsid w:val="008C26B8"/>
    <w:rsid w:val="008C6038"/>
    <w:rsid w:val="008D2E6E"/>
    <w:rsid w:val="008E0F45"/>
    <w:rsid w:val="008F208F"/>
    <w:rsid w:val="009011E2"/>
    <w:rsid w:val="00902FC6"/>
    <w:rsid w:val="0090734A"/>
    <w:rsid w:val="00907942"/>
    <w:rsid w:val="00907FC2"/>
    <w:rsid w:val="0091076F"/>
    <w:rsid w:val="00910AAB"/>
    <w:rsid w:val="00920816"/>
    <w:rsid w:val="00922049"/>
    <w:rsid w:val="00922FD3"/>
    <w:rsid w:val="009247EB"/>
    <w:rsid w:val="009306EF"/>
    <w:rsid w:val="009325CA"/>
    <w:rsid w:val="009420FF"/>
    <w:rsid w:val="009425E1"/>
    <w:rsid w:val="00944DEA"/>
    <w:rsid w:val="009450CC"/>
    <w:rsid w:val="00945195"/>
    <w:rsid w:val="009479EB"/>
    <w:rsid w:val="00951349"/>
    <w:rsid w:val="00951DA5"/>
    <w:rsid w:val="00952096"/>
    <w:rsid w:val="00953EA2"/>
    <w:rsid w:val="00956DB3"/>
    <w:rsid w:val="00961CA7"/>
    <w:rsid w:val="00971EA7"/>
    <w:rsid w:val="00976224"/>
    <w:rsid w:val="0097648F"/>
    <w:rsid w:val="0097780B"/>
    <w:rsid w:val="0098200B"/>
    <w:rsid w:val="00982084"/>
    <w:rsid w:val="00992B25"/>
    <w:rsid w:val="00995963"/>
    <w:rsid w:val="009B244D"/>
    <w:rsid w:val="009B61EB"/>
    <w:rsid w:val="009B67FE"/>
    <w:rsid w:val="009C00AE"/>
    <w:rsid w:val="009C2064"/>
    <w:rsid w:val="009C243D"/>
    <w:rsid w:val="009C3D70"/>
    <w:rsid w:val="009C68DC"/>
    <w:rsid w:val="009D1697"/>
    <w:rsid w:val="009D1CEF"/>
    <w:rsid w:val="009D69F1"/>
    <w:rsid w:val="009D6DB6"/>
    <w:rsid w:val="009E0F49"/>
    <w:rsid w:val="009F02FB"/>
    <w:rsid w:val="009F42C0"/>
    <w:rsid w:val="009F585F"/>
    <w:rsid w:val="009F7199"/>
    <w:rsid w:val="009F7D3B"/>
    <w:rsid w:val="00A014F8"/>
    <w:rsid w:val="00A05272"/>
    <w:rsid w:val="00A07E08"/>
    <w:rsid w:val="00A10C64"/>
    <w:rsid w:val="00A1440D"/>
    <w:rsid w:val="00A16691"/>
    <w:rsid w:val="00A2477E"/>
    <w:rsid w:val="00A25672"/>
    <w:rsid w:val="00A26633"/>
    <w:rsid w:val="00A30455"/>
    <w:rsid w:val="00A36F33"/>
    <w:rsid w:val="00A43F5C"/>
    <w:rsid w:val="00A442D5"/>
    <w:rsid w:val="00A444FD"/>
    <w:rsid w:val="00A4617C"/>
    <w:rsid w:val="00A5173C"/>
    <w:rsid w:val="00A55F19"/>
    <w:rsid w:val="00A61AEF"/>
    <w:rsid w:val="00A63911"/>
    <w:rsid w:val="00A640C5"/>
    <w:rsid w:val="00A64AD8"/>
    <w:rsid w:val="00A700AB"/>
    <w:rsid w:val="00A75529"/>
    <w:rsid w:val="00A77474"/>
    <w:rsid w:val="00A838F9"/>
    <w:rsid w:val="00A9346E"/>
    <w:rsid w:val="00A95F72"/>
    <w:rsid w:val="00A9645A"/>
    <w:rsid w:val="00AA1918"/>
    <w:rsid w:val="00AA30FD"/>
    <w:rsid w:val="00AB1DBB"/>
    <w:rsid w:val="00AB34CF"/>
    <w:rsid w:val="00AC0473"/>
    <w:rsid w:val="00AC284D"/>
    <w:rsid w:val="00AC35D0"/>
    <w:rsid w:val="00AC4089"/>
    <w:rsid w:val="00AC7498"/>
    <w:rsid w:val="00AD2345"/>
    <w:rsid w:val="00AD3462"/>
    <w:rsid w:val="00AD5436"/>
    <w:rsid w:val="00AE3554"/>
    <w:rsid w:val="00AE492B"/>
    <w:rsid w:val="00AE5A9F"/>
    <w:rsid w:val="00AE77CF"/>
    <w:rsid w:val="00AF173A"/>
    <w:rsid w:val="00AF3248"/>
    <w:rsid w:val="00AF35A2"/>
    <w:rsid w:val="00B064D8"/>
    <w:rsid w:val="00B066A4"/>
    <w:rsid w:val="00B07A13"/>
    <w:rsid w:val="00B11539"/>
    <w:rsid w:val="00B174D5"/>
    <w:rsid w:val="00B226D8"/>
    <w:rsid w:val="00B24C0F"/>
    <w:rsid w:val="00B25037"/>
    <w:rsid w:val="00B32717"/>
    <w:rsid w:val="00B33C18"/>
    <w:rsid w:val="00B344FE"/>
    <w:rsid w:val="00B3744E"/>
    <w:rsid w:val="00B41FE2"/>
    <w:rsid w:val="00B4279B"/>
    <w:rsid w:val="00B432D2"/>
    <w:rsid w:val="00B45FC9"/>
    <w:rsid w:val="00B50560"/>
    <w:rsid w:val="00B52A68"/>
    <w:rsid w:val="00B53347"/>
    <w:rsid w:val="00B545B9"/>
    <w:rsid w:val="00B6536A"/>
    <w:rsid w:val="00B66649"/>
    <w:rsid w:val="00B7021F"/>
    <w:rsid w:val="00B74027"/>
    <w:rsid w:val="00B7418A"/>
    <w:rsid w:val="00B81138"/>
    <w:rsid w:val="00B81C6D"/>
    <w:rsid w:val="00B81E4E"/>
    <w:rsid w:val="00B8524B"/>
    <w:rsid w:val="00B85E9A"/>
    <w:rsid w:val="00B86EB7"/>
    <w:rsid w:val="00B951CB"/>
    <w:rsid w:val="00B96A87"/>
    <w:rsid w:val="00BA01C3"/>
    <w:rsid w:val="00BA1A6D"/>
    <w:rsid w:val="00BB29DD"/>
    <w:rsid w:val="00BB5877"/>
    <w:rsid w:val="00BB67BF"/>
    <w:rsid w:val="00BC0410"/>
    <w:rsid w:val="00BC7CCF"/>
    <w:rsid w:val="00BD1231"/>
    <w:rsid w:val="00BD2AFD"/>
    <w:rsid w:val="00BD5D4C"/>
    <w:rsid w:val="00BE470B"/>
    <w:rsid w:val="00BF30F2"/>
    <w:rsid w:val="00C05230"/>
    <w:rsid w:val="00C1002E"/>
    <w:rsid w:val="00C12023"/>
    <w:rsid w:val="00C149C5"/>
    <w:rsid w:val="00C15962"/>
    <w:rsid w:val="00C21B59"/>
    <w:rsid w:val="00C26A30"/>
    <w:rsid w:val="00C279F1"/>
    <w:rsid w:val="00C30201"/>
    <w:rsid w:val="00C3113D"/>
    <w:rsid w:val="00C33AB7"/>
    <w:rsid w:val="00C36D46"/>
    <w:rsid w:val="00C51416"/>
    <w:rsid w:val="00C52905"/>
    <w:rsid w:val="00C5397D"/>
    <w:rsid w:val="00C57A91"/>
    <w:rsid w:val="00C64406"/>
    <w:rsid w:val="00C66BCC"/>
    <w:rsid w:val="00C73FA7"/>
    <w:rsid w:val="00C80BBC"/>
    <w:rsid w:val="00C80F8F"/>
    <w:rsid w:val="00C92B77"/>
    <w:rsid w:val="00C948C7"/>
    <w:rsid w:val="00CA34E8"/>
    <w:rsid w:val="00CA3F56"/>
    <w:rsid w:val="00CA3F9D"/>
    <w:rsid w:val="00CA4506"/>
    <w:rsid w:val="00CA45A0"/>
    <w:rsid w:val="00CA6515"/>
    <w:rsid w:val="00CA7556"/>
    <w:rsid w:val="00CC01C2"/>
    <w:rsid w:val="00CC33E7"/>
    <w:rsid w:val="00CC4A29"/>
    <w:rsid w:val="00CC7960"/>
    <w:rsid w:val="00CD605A"/>
    <w:rsid w:val="00CE3F78"/>
    <w:rsid w:val="00CE4DF1"/>
    <w:rsid w:val="00CF1F31"/>
    <w:rsid w:val="00CF21F2"/>
    <w:rsid w:val="00CF3048"/>
    <w:rsid w:val="00CF590B"/>
    <w:rsid w:val="00CF7816"/>
    <w:rsid w:val="00D00402"/>
    <w:rsid w:val="00D0127B"/>
    <w:rsid w:val="00D02712"/>
    <w:rsid w:val="00D1684B"/>
    <w:rsid w:val="00D20C0E"/>
    <w:rsid w:val="00D214D0"/>
    <w:rsid w:val="00D25C1D"/>
    <w:rsid w:val="00D31B87"/>
    <w:rsid w:val="00D33AD6"/>
    <w:rsid w:val="00D363DA"/>
    <w:rsid w:val="00D40311"/>
    <w:rsid w:val="00D408F4"/>
    <w:rsid w:val="00D4723F"/>
    <w:rsid w:val="00D47F38"/>
    <w:rsid w:val="00D54DEB"/>
    <w:rsid w:val="00D62403"/>
    <w:rsid w:val="00D6546B"/>
    <w:rsid w:val="00D65F44"/>
    <w:rsid w:val="00D66FFF"/>
    <w:rsid w:val="00D73511"/>
    <w:rsid w:val="00D7383D"/>
    <w:rsid w:val="00D77296"/>
    <w:rsid w:val="00D84B65"/>
    <w:rsid w:val="00D874D2"/>
    <w:rsid w:val="00D92561"/>
    <w:rsid w:val="00D93368"/>
    <w:rsid w:val="00DD4BED"/>
    <w:rsid w:val="00DE3709"/>
    <w:rsid w:val="00DE39F0"/>
    <w:rsid w:val="00DE4498"/>
    <w:rsid w:val="00DE624B"/>
    <w:rsid w:val="00DE73B6"/>
    <w:rsid w:val="00DF0A00"/>
    <w:rsid w:val="00DF0AF3"/>
    <w:rsid w:val="00DF1033"/>
    <w:rsid w:val="00DF7E9F"/>
    <w:rsid w:val="00E0059B"/>
    <w:rsid w:val="00E02D16"/>
    <w:rsid w:val="00E05469"/>
    <w:rsid w:val="00E10575"/>
    <w:rsid w:val="00E13050"/>
    <w:rsid w:val="00E14283"/>
    <w:rsid w:val="00E20685"/>
    <w:rsid w:val="00E25A42"/>
    <w:rsid w:val="00E25BD6"/>
    <w:rsid w:val="00E27B02"/>
    <w:rsid w:val="00E27D7E"/>
    <w:rsid w:val="00E35ACA"/>
    <w:rsid w:val="00E41344"/>
    <w:rsid w:val="00E423CA"/>
    <w:rsid w:val="00E42C0F"/>
    <w:rsid w:val="00E42E13"/>
    <w:rsid w:val="00E45F18"/>
    <w:rsid w:val="00E56D5C"/>
    <w:rsid w:val="00E57496"/>
    <w:rsid w:val="00E6257C"/>
    <w:rsid w:val="00E62610"/>
    <w:rsid w:val="00E62A19"/>
    <w:rsid w:val="00E63C59"/>
    <w:rsid w:val="00E6428D"/>
    <w:rsid w:val="00E669AD"/>
    <w:rsid w:val="00E71051"/>
    <w:rsid w:val="00E719A8"/>
    <w:rsid w:val="00E72FCA"/>
    <w:rsid w:val="00E7694D"/>
    <w:rsid w:val="00E8251C"/>
    <w:rsid w:val="00E8506A"/>
    <w:rsid w:val="00E91209"/>
    <w:rsid w:val="00E92FAB"/>
    <w:rsid w:val="00E961B0"/>
    <w:rsid w:val="00E97BA2"/>
    <w:rsid w:val="00EA0525"/>
    <w:rsid w:val="00EA5EA2"/>
    <w:rsid w:val="00EB2C34"/>
    <w:rsid w:val="00EB5377"/>
    <w:rsid w:val="00EC485B"/>
    <w:rsid w:val="00EC6107"/>
    <w:rsid w:val="00EC69BC"/>
    <w:rsid w:val="00EC73E9"/>
    <w:rsid w:val="00ED400C"/>
    <w:rsid w:val="00ED4889"/>
    <w:rsid w:val="00ED7B8A"/>
    <w:rsid w:val="00EE0635"/>
    <w:rsid w:val="00EE266F"/>
    <w:rsid w:val="00EF070C"/>
    <w:rsid w:val="00EF1599"/>
    <w:rsid w:val="00EF304B"/>
    <w:rsid w:val="00F0572F"/>
    <w:rsid w:val="00F05E7B"/>
    <w:rsid w:val="00F071C2"/>
    <w:rsid w:val="00F1252F"/>
    <w:rsid w:val="00F126E3"/>
    <w:rsid w:val="00F12B63"/>
    <w:rsid w:val="00F155F1"/>
    <w:rsid w:val="00F15AAB"/>
    <w:rsid w:val="00F2307B"/>
    <w:rsid w:val="00F27C98"/>
    <w:rsid w:val="00F32F95"/>
    <w:rsid w:val="00F364C0"/>
    <w:rsid w:val="00F44781"/>
    <w:rsid w:val="00F510EF"/>
    <w:rsid w:val="00F57617"/>
    <w:rsid w:val="00F62208"/>
    <w:rsid w:val="00F75C2D"/>
    <w:rsid w:val="00F96D01"/>
    <w:rsid w:val="00F9709A"/>
    <w:rsid w:val="00FA124A"/>
    <w:rsid w:val="00FA208F"/>
    <w:rsid w:val="00FA29D8"/>
    <w:rsid w:val="00FA62EE"/>
    <w:rsid w:val="00FB4CD6"/>
    <w:rsid w:val="00FC08DD"/>
    <w:rsid w:val="00FC1E18"/>
    <w:rsid w:val="00FC2316"/>
    <w:rsid w:val="00FC2A7C"/>
    <w:rsid w:val="00FC2CFD"/>
    <w:rsid w:val="00FC6A81"/>
    <w:rsid w:val="00FC6C78"/>
    <w:rsid w:val="00FC703D"/>
    <w:rsid w:val="00FC761E"/>
    <w:rsid w:val="00FC764D"/>
    <w:rsid w:val="00FD3115"/>
    <w:rsid w:val="00FE0ABD"/>
    <w:rsid w:val="00FE3E0F"/>
    <w:rsid w:val="00FF07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55281"/>
  <w15:docId w15:val="{A7A8F810-DB9B-4FBE-8107-81F9EC1E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Section of paper"/>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pie de página"/>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
    <w:basedOn w:val="Normal"/>
    <w:link w:val="HeaderChar"/>
    <w:rsid w:val="008F208F"/>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E961B0"/>
    <w:pPr>
      <w:keepNext/>
      <w:keepLines/>
      <w:spacing w:before="160" w:after="12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uiPriority w:val="99"/>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pie de página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table" w:styleId="TableGrid">
    <w:name w:val="Table Grid"/>
    <w:basedOn w:val="TableNormal"/>
    <w:uiPriority w:val="59"/>
    <w:rsid w:val="007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Title"/>
    <w:basedOn w:val="Normal"/>
    <w:next w:val="Normalaftertitle"/>
    <w:rsid w:val="003A73E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styleId="Hyperlink">
    <w:name w:val="Hyperlink"/>
    <w:aliases w:val="CEO_Hyperlink"/>
    <w:uiPriority w:val="99"/>
    <w:rsid w:val="003A73ED"/>
    <w:rPr>
      <w:rFonts w:ascii="Trebuchet MS" w:hAnsi="Trebuchet MS" w:hint="default"/>
      <w:strike w:val="0"/>
      <w:dstrike w:val="0"/>
      <w:color w:val="000066"/>
      <w:u w:val="single"/>
      <w:effect w:val="none"/>
    </w:rPr>
  </w:style>
  <w:style w:type="paragraph" w:customStyle="1" w:styleId="Char1CharChar1Char">
    <w:name w:val="Char1 Char Char1 Char"/>
    <w:basedOn w:val="Normal"/>
    <w:rsid w:val="003A73E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ppendixNoTitle">
    <w:name w:val="Appendix_NoTitle"/>
    <w:basedOn w:val="AnnexNoTitle"/>
    <w:next w:val="Normalaftertitle"/>
    <w:rsid w:val="003A73ED"/>
  </w:style>
  <w:style w:type="paragraph" w:styleId="NormalWeb">
    <w:name w:val="Normal (Web)"/>
    <w:basedOn w:val="Normal"/>
    <w:uiPriority w:val="99"/>
    <w:rsid w:val="003A73ED"/>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styleId="Revision">
    <w:name w:val="Revision"/>
    <w:hidden/>
    <w:uiPriority w:val="99"/>
    <w:semiHidden/>
    <w:rsid w:val="003A73ED"/>
    <w:rPr>
      <w:rFonts w:ascii="Times New Roman" w:hAnsi="Times New Roman"/>
      <w:sz w:val="24"/>
      <w:lang w:val="en-GB" w:eastAsia="en-US"/>
    </w:rPr>
  </w:style>
  <w:style w:type="paragraph" w:styleId="BalloonText">
    <w:name w:val="Balloon Text"/>
    <w:basedOn w:val="Normal"/>
    <w:link w:val="BalloonTextChar"/>
    <w:rsid w:val="003A73ED"/>
    <w:pPr>
      <w:tabs>
        <w:tab w:val="clear" w:pos="1134"/>
        <w:tab w:val="clear" w:pos="1871"/>
        <w:tab w:val="clear" w:pos="2268"/>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rsid w:val="003A73ED"/>
    <w:rPr>
      <w:rFonts w:ascii="Tahoma" w:hAnsi="Tahoma" w:cs="Tahoma"/>
      <w:sz w:val="16"/>
      <w:szCs w:val="16"/>
      <w:lang w:val="en-GB" w:eastAsia="en-US"/>
    </w:rPr>
  </w:style>
  <w:style w:type="paragraph" w:styleId="ListParagraph">
    <w:name w:val="List Paragraph"/>
    <w:basedOn w:val="Normal"/>
    <w:uiPriority w:val="34"/>
    <w:qFormat/>
    <w:rsid w:val="003A73ED"/>
    <w:pPr>
      <w:tabs>
        <w:tab w:val="clear" w:pos="1134"/>
        <w:tab w:val="clear" w:pos="1871"/>
        <w:tab w:val="clear" w:pos="2268"/>
        <w:tab w:val="left" w:pos="794"/>
        <w:tab w:val="left" w:pos="1191"/>
        <w:tab w:val="left" w:pos="1588"/>
        <w:tab w:val="left" w:pos="1985"/>
      </w:tabs>
      <w:ind w:left="720"/>
      <w:contextualSpacing/>
    </w:pPr>
  </w:style>
  <w:style w:type="character" w:styleId="FollowedHyperlink">
    <w:name w:val="FollowedHyperlink"/>
    <w:basedOn w:val="DefaultParagraphFont"/>
    <w:uiPriority w:val="99"/>
    <w:unhideWhenUsed/>
    <w:rsid w:val="003A73ED"/>
    <w:rPr>
      <w:color w:val="800080" w:themeColor="followedHyperlink"/>
      <w:u w:val="single"/>
    </w:rPr>
  </w:style>
  <w:style w:type="character" w:customStyle="1" w:styleId="apple-style-span">
    <w:name w:val="apple-style-span"/>
    <w:basedOn w:val="DefaultParagraphFont"/>
    <w:rsid w:val="008619AA"/>
  </w:style>
  <w:style w:type="paragraph" w:customStyle="1" w:styleId="toctemp">
    <w:name w:val="toctemp"/>
    <w:basedOn w:val="Normal"/>
    <w:next w:val="FootnoteText"/>
    <w:rsid w:val="00011D04"/>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paragraph" w:customStyle="1" w:styleId="Car">
    <w:name w:val="Car"/>
    <w:basedOn w:val="Normal"/>
    <w:rsid w:val="00011D0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RectitleChar">
    <w:name w:val="Rec_title Char"/>
    <w:basedOn w:val="DefaultParagraphFont"/>
    <w:link w:val="Rectitle"/>
    <w:rsid w:val="00011D04"/>
    <w:rPr>
      <w:rFonts w:ascii="Times New Roman Bold" w:hAnsi="Times New Roman Bold"/>
      <w:b/>
      <w:sz w:val="28"/>
      <w:lang w:val="en-GB" w:eastAsia="en-US"/>
    </w:rPr>
  </w:style>
  <w:style w:type="paragraph" w:customStyle="1" w:styleId="TabletitleBR">
    <w:name w:val="Table_title_BR"/>
    <w:basedOn w:val="Normal"/>
    <w:next w:val="Tablehead"/>
    <w:uiPriority w:val="99"/>
    <w:rsid w:val="00011D04"/>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AnnexNotitle0">
    <w:name w:val="Annex_No &amp; title"/>
    <w:basedOn w:val="Normal"/>
    <w:next w:val="Normal"/>
    <w:uiPriority w:val="99"/>
    <w:rsid w:val="00011D04"/>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0">
    <w:name w:val="Appendix_No &amp; title"/>
    <w:basedOn w:val="AnnexNotitle0"/>
    <w:next w:val="Normal"/>
    <w:uiPriority w:val="99"/>
    <w:rsid w:val="00011D04"/>
  </w:style>
  <w:style w:type="paragraph" w:customStyle="1" w:styleId="FigureNoBR">
    <w:name w:val="Figure_No_BR"/>
    <w:basedOn w:val="Normal"/>
    <w:next w:val="Normal"/>
    <w:uiPriority w:val="99"/>
    <w:rsid w:val="00011D04"/>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FiguretitleBR">
    <w:name w:val="Figure_title_BR"/>
    <w:basedOn w:val="TabletitleBR"/>
    <w:next w:val="Figurewithouttitle"/>
    <w:uiPriority w:val="99"/>
    <w:rsid w:val="00011D04"/>
    <w:pPr>
      <w:keepNext w:val="0"/>
      <w:spacing w:after="480"/>
    </w:pPr>
  </w:style>
  <w:style w:type="paragraph" w:customStyle="1" w:styleId="NoteannexappBR">
    <w:name w:val="Note_annex_app_BR"/>
    <w:basedOn w:val="Note"/>
    <w:uiPriority w:val="99"/>
    <w:rsid w:val="00011D04"/>
    <w:pPr>
      <w:tabs>
        <w:tab w:val="clear" w:pos="284"/>
        <w:tab w:val="clear" w:pos="1134"/>
        <w:tab w:val="clear" w:pos="1871"/>
        <w:tab w:val="clear" w:pos="2268"/>
        <w:tab w:val="left" w:pos="794"/>
        <w:tab w:val="left" w:pos="1191"/>
        <w:tab w:val="left" w:pos="1588"/>
        <w:tab w:val="left" w:pos="1985"/>
      </w:tabs>
    </w:pPr>
    <w:rPr>
      <w:sz w:val="22"/>
    </w:rPr>
  </w:style>
  <w:style w:type="paragraph" w:customStyle="1" w:styleId="RecNoBR">
    <w:name w:val="Rec_No_BR"/>
    <w:basedOn w:val="Normal"/>
    <w:next w:val="Rectitle"/>
    <w:uiPriority w:val="99"/>
    <w:rsid w:val="00011D04"/>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Questiontitle"/>
    <w:uiPriority w:val="99"/>
    <w:rsid w:val="00011D04"/>
  </w:style>
  <w:style w:type="paragraph" w:customStyle="1" w:styleId="RepNoBR">
    <w:name w:val="Rep_No_BR"/>
    <w:basedOn w:val="RecNoBR"/>
    <w:next w:val="Reptitle"/>
    <w:uiPriority w:val="99"/>
    <w:rsid w:val="00011D04"/>
  </w:style>
  <w:style w:type="paragraph" w:customStyle="1" w:styleId="ResNoBR">
    <w:name w:val="Res_No_BR"/>
    <w:basedOn w:val="RecNoBR"/>
    <w:next w:val="Restitle"/>
    <w:rsid w:val="00011D04"/>
  </w:style>
  <w:style w:type="paragraph" w:customStyle="1" w:styleId="TableNoBR">
    <w:name w:val="Table_No_BR"/>
    <w:basedOn w:val="Normal"/>
    <w:next w:val="TabletitleBR"/>
    <w:uiPriority w:val="99"/>
    <w:rsid w:val="00011D04"/>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heading13">
    <w:name w:val="heading 13"/>
    <w:basedOn w:val="Heading3"/>
    <w:rsid w:val="00011D04"/>
    <w:pPr>
      <w:tabs>
        <w:tab w:val="clear" w:pos="1871"/>
        <w:tab w:val="clear" w:pos="2268"/>
        <w:tab w:val="left" w:pos="1077"/>
        <w:tab w:val="right" w:pos="9696"/>
      </w:tabs>
      <w:spacing w:before="240"/>
      <w:ind w:left="1077" w:hanging="1077"/>
      <w:jc w:val="both"/>
      <w:outlineLvl w:val="9"/>
    </w:pPr>
    <w:rPr>
      <w:b w:val="0"/>
      <w:i/>
      <w:sz w:val="20"/>
    </w:rPr>
  </w:style>
  <w:style w:type="paragraph" w:customStyle="1" w:styleId="tocpart">
    <w:name w:val="tocpart"/>
    <w:basedOn w:val="Normal"/>
    <w:rsid w:val="00011D04"/>
    <w:pPr>
      <w:tabs>
        <w:tab w:val="clear" w:pos="1134"/>
        <w:tab w:val="clear" w:pos="1871"/>
        <w:tab w:val="clear" w:pos="2268"/>
        <w:tab w:val="left" w:pos="2127"/>
        <w:tab w:val="left" w:pos="8789"/>
        <w:tab w:val="right" w:pos="9639"/>
      </w:tabs>
      <w:spacing w:before="136"/>
      <w:ind w:left="2127" w:hanging="2127"/>
      <w:jc w:val="both"/>
    </w:pPr>
    <w:rPr>
      <w:sz w:val="20"/>
    </w:rPr>
  </w:style>
  <w:style w:type="paragraph" w:customStyle="1" w:styleId="HeadingSum">
    <w:name w:val="Heading_Sum"/>
    <w:basedOn w:val="Heading1"/>
    <w:next w:val="Summary"/>
    <w:rsid w:val="00011D04"/>
    <w:pPr>
      <w:tabs>
        <w:tab w:val="clear" w:pos="1134"/>
        <w:tab w:val="clear" w:pos="1871"/>
        <w:tab w:val="clear" w:pos="2268"/>
        <w:tab w:val="left" w:pos="794"/>
        <w:tab w:val="left" w:pos="1191"/>
        <w:tab w:val="left" w:pos="1588"/>
        <w:tab w:val="left" w:pos="1985"/>
      </w:tabs>
      <w:spacing w:before="360"/>
      <w:ind w:left="794" w:hanging="794"/>
    </w:pPr>
    <w:rPr>
      <w:sz w:val="22"/>
    </w:rPr>
  </w:style>
  <w:style w:type="paragraph" w:customStyle="1" w:styleId="Summary">
    <w:name w:val="Summary"/>
    <w:basedOn w:val="Normal"/>
    <w:next w:val="Normal"/>
    <w:rsid w:val="00011D04"/>
    <w:pPr>
      <w:tabs>
        <w:tab w:val="clear" w:pos="1134"/>
        <w:tab w:val="clear" w:pos="1871"/>
        <w:tab w:val="clear" w:pos="2268"/>
        <w:tab w:val="left" w:pos="794"/>
        <w:tab w:val="left" w:pos="1191"/>
        <w:tab w:val="left" w:pos="1588"/>
        <w:tab w:val="left" w:pos="1985"/>
      </w:tabs>
    </w:pPr>
    <w:rPr>
      <w:sz w:val="22"/>
    </w:rPr>
  </w:style>
  <w:style w:type="character" w:customStyle="1" w:styleId="href">
    <w:name w:val="href"/>
    <w:rsid w:val="00011D04"/>
  </w:style>
  <w:style w:type="character" w:styleId="Strong">
    <w:name w:val="Strong"/>
    <w:aliases w:val="ECC HL bold"/>
    <w:basedOn w:val="DefaultParagraphFont"/>
    <w:uiPriority w:val="22"/>
    <w:qFormat/>
    <w:rsid w:val="00011D04"/>
    <w:rPr>
      <w:b/>
      <w:bCs/>
    </w:rPr>
  </w:style>
  <w:style w:type="numbering" w:customStyle="1" w:styleId="NoList1">
    <w:name w:val="No List1"/>
    <w:next w:val="NoList"/>
    <w:uiPriority w:val="99"/>
    <w:semiHidden/>
    <w:unhideWhenUsed/>
    <w:rsid w:val="00CA45A0"/>
  </w:style>
  <w:style w:type="character" w:customStyle="1" w:styleId="Heading1Char">
    <w:name w:val="Heading 1 Char"/>
    <w:aliases w:val="h1 Char,Section of paper Char"/>
    <w:basedOn w:val="DefaultParagraphFont"/>
    <w:link w:val="Heading1"/>
    <w:rsid w:val="00CA45A0"/>
    <w:rPr>
      <w:rFonts w:ascii="Times New Roman" w:hAnsi="Times New Roman"/>
      <w:b/>
      <w:sz w:val="28"/>
      <w:lang w:val="en-GB" w:eastAsia="en-US"/>
    </w:rPr>
  </w:style>
  <w:style w:type="character" w:customStyle="1" w:styleId="Heading2Char">
    <w:name w:val="Heading 2 Char"/>
    <w:basedOn w:val="DefaultParagraphFont"/>
    <w:link w:val="Heading2"/>
    <w:rsid w:val="00CA45A0"/>
    <w:rPr>
      <w:rFonts w:ascii="Times New Roman" w:hAnsi="Times New Roman"/>
      <w:b/>
      <w:sz w:val="24"/>
      <w:lang w:val="en-GB" w:eastAsia="en-US"/>
    </w:rPr>
  </w:style>
  <w:style w:type="character" w:customStyle="1" w:styleId="Heading3Char">
    <w:name w:val="Heading 3 Char"/>
    <w:basedOn w:val="DefaultParagraphFont"/>
    <w:link w:val="Heading3"/>
    <w:rsid w:val="00CA45A0"/>
    <w:rPr>
      <w:rFonts w:ascii="Times New Roman" w:hAnsi="Times New Roman"/>
      <w:b/>
      <w:sz w:val="24"/>
      <w:lang w:val="en-GB" w:eastAsia="en-US"/>
    </w:rPr>
  </w:style>
  <w:style w:type="character" w:customStyle="1" w:styleId="Heading4Char">
    <w:name w:val="Heading 4 Char"/>
    <w:basedOn w:val="DefaultParagraphFont"/>
    <w:link w:val="Heading4"/>
    <w:rsid w:val="00CA45A0"/>
    <w:rPr>
      <w:rFonts w:ascii="Times New Roman" w:hAnsi="Times New Roman"/>
      <w:b/>
      <w:sz w:val="24"/>
      <w:lang w:val="en-GB" w:eastAsia="en-US"/>
    </w:rPr>
  </w:style>
  <w:style w:type="character" w:customStyle="1" w:styleId="Heading5Char">
    <w:name w:val="Heading 5 Char"/>
    <w:basedOn w:val="DefaultParagraphFont"/>
    <w:link w:val="Heading5"/>
    <w:rsid w:val="00CA45A0"/>
    <w:rPr>
      <w:rFonts w:ascii="Times New Roman" w:hAnsi="Times New Roman"/>
      <w:b/>
      <w:sz w:val="24"/>
      <w:lang w:val="en-GB" w:eastAsia="en-US"/>
    </w:rPr>
  </w:style>
  <w:style w:type="character" w:customStyle="1" w:styleId="Heading6Char">
    <w:name w:val="Heading 6 Char"/>
    <w:basedOn w:val="DefaultParagraphFont"/>
    <w:link w:val="Heading6"/>
    <w:rsid w:val="00CA45A0"/>
    <w:rPr>
      <w:rFonts w:ascii="Times New Roman" w:hAnsi="Times New Roman"/>
      <w:b/>
      <w:sz w:val="24"/>
      <w:lang w:val="en-GB" w:eastAsia="en-US"/>
    </w:rPr>
  </w:style>
  <w:style w:type="character" w:customStyle="1" w:styleId="Heading7Char">
    <w:name w:val="Heading 7 Char"/>
    <w:basedOn w:val="DefaultParagraphFont"/>
    <w:link w:val="Heading7"/>
    <w:rsid w:val="00CA45A0"/>
    <w:rPr>
      <w:rFonts w:ascii="Times New Roman" w:hAnsi="Times New Roman"/>
      <w:b/>
      <w:sz w:val="24"/>
      <w:lang w:val="en-GB" w:eastAsia="en-US"/>
    </w:rPr>
  </w:style>
  <w:style w:type="character" w:customStyle="1" w:styleId="Heading8Char">
    <w:name w:val="Heading 8 Char"/>
    <w:basedOn w:val="DefaultParagraphFont"/>
    <w:link w:val="Heading8"/>
    <w:rsid w:val="00CA45A0"/>
    <w:rPr>
      <w:rFonts w:ascii="Times New Roman" w:hAnsi="Times New Roman"/>
      <w:b/>
      <w:sz w:val="24"/>
      <w:lang w:val="en-GB" w:eastAsia="en-US"/>
    </w:rPr>
  </w:style>
  <w:style w:type="character" w:customStyle="1" w:styleId="Heading9Char">
    <w:name w:val="Heading 9 Char"/>
    <w:basedOn w:val="DefaultParagraphFont"/>
    <w:link w:val="Heading9"/>
    <w:rsid w:val="00CA45A0"/>
    <w:rPr>
      <w:rFonts w:ascii="Times New Roman" w:hAnsi="Times New Roman"/>
      <w:b/>
      <w:sz w:val="24"/>
      <w:lang w:val="en-GB" w:eastAsia="en-US"/>
    </w:rPr>
  </w:style>
  <w:style w:type="character" w:customStyle="1" w:styleId="enumlev1Char">
    <w:name w:val="enumlev1 Char"/>
    <w:basedOn w:val="DefaultParagraphFont"/>
    <w:link w:val="enumlev1"/>
    <w:rsid w:val="00CA45A0"/>
    <w:rPr>
      <w:rFonts w:ascii="Times New Roman" w:hAnsi="Times New Roman"/>
      <w:sz w:val="24"/>
      <w:lang w:val="en-GB" w:eastAsia="en-US"/>
    </w:rPr>
  </w:style>
  <w:style w:type="paragraph" w:styleId="TOC9">
    <w:name w:val="toc 9"/>
    <w:basedOn w:val="TOC3"/>
    <w:semiHidden/>
    <w:rsid w:val="00CA45A0"/>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character" w:customStyle="1" w:styleId="CallChar">
    <w:name w:val="Call Char"/>
    <w:basedOn w:val="DefaultParagraphFont"/>
    <w:link w:val="Call"/>
    <w:locked/>
    <w:rsid w:val="00CA45A0"/>
    <w:rPr>
      <w:rFonts w:ascii="Times New Roman" w:hAnsi="Times New Roman"/>
      <w:i/>
      <w:sz w:val="24"/>
      <w:lang w:val="en-GB" w:eastAsia="en-US"/>
    </w:rPr>
  </w:style>
  <w:style w:type="paragraph" w:customStyle="1" w:styleId="FigureNoTitle">
    <w:name w:val="Figure_NoTitle"/>
    <w:basedOn w:val="Normal"/>
    <w:next w:val="Normalaftertitle"/>
    <w:rsid w:val="00CA45A0"/>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CA45A0"/>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character" w:customStyle="1" w:styleId="RestitleChar">
    <w:name w:val="Res_title Char"/>
    <w:link w:val="Restitle"/>
    <w:locked/>
    <w:rsid w:val="00CA45A0"/>
    <w:rPr>
      <w:rFonts w:ascii="Times New Roman Bold" w:hAnsi="Times New Roman Bold"/>
      <w:b/>
      <w:sz w:val="28"/>
      <w:lang w:val="en-GB" w:eastAsia="en-US"/>
    </w:rPr>
  </w:style>
  <w:style w:type="character" w:customStyle="1" w:styleId="TabletextChar">
    <w:name w:val="Table_text Char"/>
    <w:basedOn w:val="DefaultParagraphFont"/>
    <w:link w:val="Tabletext"/>
    <w:locked/>
    <w:rsid w:val="00CA45A0"/>
    <w:rPr>
      <w:rFonts w:ascii="Times New Roman" w:hAnsi="Times New Roman"/>
      <w:lang w:val="en-GB" w:eastAsia="en-US"/>
    </w:rPr>
  </w:style>
  <w:style w:type="paragraph" w:customStyle="1" w:styleId="TableNoTitle">
    <w:name w:val="Table_NoTitle"/>
    <w:basedOn w:val="Normal"/>
    <w:next w:val="Tablehead"/>
    <w:rsid w:val="00CA45A0"/>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CA45A0"/>
    <w:rPr>
      <w:sz w:val="16"/>
      <w:szCs w:val="16"/>
    </w:rPr>
  </w:style>
  <w:style w:type="paragraph" w:styleId="CommentText">
    <w:name w:val="annotation text"/>
    <w:basedOn w:val="Normal"/>
    <w:link w:val="CommentTextChar"/>
    <w:semiHidden/>
    <w:rsid w:val="00CA45A0"/>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CA45A0"/>
    <w:rPr>
      <w:rFonts w:ascii="Calibri" w:hAnsi="Calibri" w:cs="Calibri"/>
      <w:szCs w:val="22"/>
      <w:lang w:eastAsia="en-US"/>
    </w:rPr>
  </w:style>
  <w:style w:type="paragraph" w:customStyle="1" w:styleId="NormalIndent0">
    <w:name w:val="Normal_Indent"/>
    <w:basedOn w:val="Normal"/>
    <w:rsid w:val="00CA45A0"/>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CA45A0"/>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rPr>
  </w:style>
  <w:style w:type="paragraph" w:styleId="PlainText">
    <w:name w:val="Plain Text"/>
    <w:basedOn w:val="Normal"/>
    <w:link w:val="PlainTextChar"/>
    <w:uiPriority w:val="99"/>
    <w:unhideWhenUsed/>
    <w:rsid w:val="00CA45A0"/>
    <w:pPr>
      <w:tabs>
        <w:tab w:val="clear" w:pos="1134"/>
        <w:tab w:val="clear" w:pos="1871"/>
        <w:tab w:val="clear" w:pos="2268"/>
      </w:tabs>
      <w:overflowPunct/>
      <w:autoSpaceDE/>
      <w:autoSpaceDN/>
      <w:adjustRightInd/>
      <w:spacing w:before="0"/>
      <w:textAlignment w:val="auto"/>
    </w:pPr>
    <w:rPr>
      <w:rFonts w:ascii="Calibri" w:eastAsia="SimSun" w:hAnsi="Calibri" w:cs="Calibri"/>
      <w:szCs w:val="22"/>
      <w:lang w:val="en-US" w:eastAsia="zh-CN"/>
    </w:rPr>
  </w:style>
  <w:style w:type="character" w:customStyle="1" w:styleId="PlainTextChar">
    <w:name w:val="Plain Text Char"/>
    <w:basedOn w:val="DefaultParagraphFont"/>
    <w:link w:val="PlainText"/>
    <w:uiPriority w:val="99"/>
    <w:rsid w:val="00CA45A0"/>
    <w:rPr>
      <w:rFonts w:ascii="Calibri" w:eastAsia="SimSun" w:hAnsi="Calibri" w:cs="Calibri"/>
      <w:sz w:val="24"/>
      <w:szCs w:val="22"/>
    </w:rPr>
  </w:style>
  <w:style w:type="paragraph" w:customStyle="1" w:styleId="FromRef">
    <w:name w:val="FromRef"/>
    <w:basedOn w:val="Normal"/>
    <w:uiPriority w:val="99"/>
    <w:rsid w:val="00CA45A0"/>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CA45A0"/>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table" w:customStyle="1" w:styleId="TableGrid1">
    <w:name w:val="Table Grid1"/>
    <w:basedOn w:val="TableNormal"/>
    <w:next w:val="TableGrid"/>
    <w:uiPriority w:val="59"/>
    <w:rsid w:val="00CA45A0"/>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NoChar">
    <w:name w:val="Figure_No Char"/>
    <w:link w:val="FigureNo"/>
    <w:locked/>
    <w:rsid w:val="00CA45A0"/>
    <w:rPr>
      <w:rFonts w:ascii="Times New Roman" w:hAnsi="Times New Roman"/>
      <w:caps/>
      <w:lang w:val="en-GB" w:eastAsia="en-US"/>
    </w:rPr>
  </w:style>
  <w:style w:type="character" w:customStyle="1" w:styleId="FiguretitleChar">
    <w:name w:val="Figure_title Char"/>
    <w:link w:val="Figuretitle"/>
    <w:locked/>
    <w:rsid w:val="00CA45A0"/>
    <w:rPr>
      <w:rFonts w:ascii="Times New Roman Bold" w:hAnsi="Times New Roman Bold"/>
      <w:b/>
      <w:lang w:val="en-GB" w:eastAsia="en-US"/>
    </w:rPr>
  </w:style>
  <w:style w:type="character" w:customStyle="1" w:styleId="hps">
    <w:name w:val="hps"/>
    <w:basedOn w:val="DefaultParagraphFont"/>
    <w:rsid w:val="00CA45A0"/>
  </w:style>
  <w:style w:type="character" w:customStyle="1" w:styleId="NormalaftertitleChar0">
    <w:name w:val="Normal after title Char"/>
    <w:basedOn w:val="DefaultParagraphFont"/>
    <w:link w:val="Normalaftertitle0"/>
    <w:locked/>
    <w:rsid w:val="00CA45A0"/>
    <w:rPr>
      <w:rFonts w:ascii="Times New Roman" w:hAnsi="Times New Roman"/>
      <w:sz w:val="24"/>
      <w:lang w:val="en-GB" w:eastAsia="en-US"/>
    </w:rPr>
  </w:style>
  <w:style w:type="paragraph" w:customStyle="1" w:styleId="FigureNotitle0">
    <w:name w:val="Figure_No &amp; title"/>
    <w:basedOn w:val="Normal"/>
    <w:next w:val="Normal"/>
    <w:rsid w:val="00CA45A0"/>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TableNotitle0">
    <w:name w:val="Table_No &amp; title"/>
    <w:basedOn w:val="Normal"/>
    <w:next w:val="Tablehead"/>
    <w:rsid w:val="00CA45A0"/>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character" w:customStyle="1" w:styleId="TableNoChar">
    <w:name w:val="Table_No Char"/>
    <w:link w:val="TableNo"/>
    <w:locked/>
    <w:rsid w:val="00CA45A0"/>
    <w:rPr>
      <w:rFonts w:ascii="Times New Roman" w:hAnsi="Times New Roman"/>
      <w:caps/>
      <w:lang w:val="en-GB" w:eastAsia="en-US"/>
    </w:rPr>
  </w:style>
  <w:style w:type="character" w:customStyle="1" w:styleId="TabletitleChar">
    <w:name w:val="Table_title Char"/>
    <w:basedOn w:val="DefaultParagraphFont"/>
    <w:link w:val="Tabletitle"/>
    <w:uiPriority w:val="99"/>
    <w:locked/>
    <w:rsid w:val="00CA45A0"/>
    <w:rPr>
      <w:rFonts w:ascii="Times New Roman Bold" w:hAnsi="Times New Roman Bold"/>
      <w:b/>
      <w:lang w:val="en-GB" w:eastAsia="en-US"/>
    </w:rPr>
  </w:style>
  <w:style w:type="paragraph" w:customStyle="1" w:styleId="2">
    <w:name w:val="2"/>
    <w:basedOn w:val="Heading1"/>
    <w:rsid w:val="00CA45A0"/>
    <w:pPr>
      <w:tabs>
        <w:tab w:val="clear" w:pos="1134"/>
        <w:tab w:val="clear" w:pos="1871"/>
        <w:tab w:val="clear" w:pos="2268"/>
        <w:tab w:val="left" w:pos="794"/>
        <w:tab w:val="left" w:pos="1191"/>
        <w:tab w:val="left" w:pos="1588"/>
        <w:tab w:val="left" w:pos="1985"/>
      </w:tabs>
      <w:spacing w:before="360"/>
      <w:ind w:left="794" w:hanging="794"/>
    </w:pPr>
    <w:rPr>
      <w:sz w:val="24"/>
    </w:rPr>
  </w:style>
  <w:style w:type="paragraph" w:styleId="ListBullet">
    <w:name w:val="List Bullet"/>
    <w:basedOn w:val="Normal"/>
    <w:rsid w:val="00CA45A0"/>
    <w:pPr>
      <w:tabs>
        <w:tab w:val="clear" w:pos="1134"/>
        <w:tab w:val="clear" w:pos="1871"/>
        <w:tab w:val="clear" w:pos="2268"/>
        <w:tab w:val="num" w:pos="360"/>
        <w:tab w:val="left" w:pos="794"/>
        <w:tab w:val="left" w:pos="1191"/>
        <w:tab w:val="left" w:pos="1588"/>
        <w:tab w:val="left" w:pos="1985"/>
      </w:tabs>
      <w:ind w:left="360" w:hanging="360"/>
      <w:contextualSpacing/>
    </w:pPr>
  </w:style>
  <w:style w:type="character" w:customStyle="1" w:styleId="EndnoteTextChar">
    <w:name w:val="Endnote Text Char"/>
    <w:basedOn w:val="DefaultParagraphFont"/>
    <w:link w:val="EndnoteText"/>
    <w:semiHidden/>
    <w:rsid w:val="00CA45A0"/>
    <w:rPr>
      <w:rFonts w:ascii="Times New Roman" w:hAnsi="Times New Roman"/>
      <w:lang w:val="en-GB" w:eastAsia="en-US"/>
    </w:rPr>
  </w:style>
  <w:style w:type="paragraph" w:styleId="EndnoteText">
    <w:name w:val="endnote text"/>
    <w:basedOn w:val="Normal"/>
    <w:link w:val="EndnoteTextChar"/>
    <w:semiHidden/>
    <w:unhideWhenUsed/>
    <w:rsid w:val="00CA45A0"/>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CA45A0"/>
    <w:rPr>
      <w:rFonts w:ascii="Times New Roman" w:hAnsi="Times New Roman"/>
      <w:lang w:val="en-GB" w:eastAsia="en-US"/>
    </w:rPr>
  </w:style>
  <w:style w:type="paragraph" w:styleId="BlockText">
    <w:name w:val="Block Text"/>
    <w:basedOn w:val="Normal"/>
    <w:rsid w:val="00CA45A0"/>
    <w:pPr>
      <w:tabs>
        <w:tab w:val="clear" w:pos="1134"/>
        <w:tab w:val="clear" w:pos="1871"/>
        <w:tab w:val="clear" w:pos="2268"/>
        <w:tab w:val="left" w:pos="794"/>
        <w:tab w:val="left" w:pos="1191"/>
        <w:tab w:val="left" w:pos="1588"/>
        <w:tab w:val="left" w:pos="1985"/>
      </w:tabs>
      <w:spacing w:before="0" w:after="60"/>
      <w:ind w:left="567" w:right="567"/>
    </w:pPr>
    <w:rPr>
      <w:bCs/>
      <w:i/>
      <w:iCs/>
    </w:rPr>
  </w:style>
  <w:style w:type="paragraph" w:styleId="BodyText">
    <w:name w:val="Body Text"/>
    <w:basedOn w:val="Normal"/>
    <w:link w:val="BodyTextChar"/>
    <w:rsid w:val="00CA45A0"/>
    <w:pPr>
      <w:tabs>
        <w:tab w:val="clear" w:pos="1134"/>
        <w:tab w:val="clear" w:pos="1871"/>
        <w:tab w:val="clear" w:pos="2268"/>
        <w:tab w:val="left" w:pos="794"/>
        <w:tab w:val="left" w:pos="1191"/>
        <w:tab w:val="left" w:pos="1588"/>
        <w:tab w:val="left" w:pos="1985"/>
      </w:tabs>
      <w:jc w:val="both"/>
    </w:pPr>
  </w:style>
  <w:style w:type="character" w:customStyle="1" w:styleId="BodyTextChar">
    <w:name w:val="Body Text Char"/>
    <w:basedOn w:val="DefaultParagraphFont"/>
    <w:link w:val="BodyText"/>
    <w:rsid w:val="00CA45A0"/>
    <w:rPr>
      <w:rFonts w:ascii="Times New Roman" w:hAnsi="Times New Roman"/>
      <w:sz w:val="24"/>
      <w:lang w:val="en-GB" w:eastAsia="en-US"/>
    </w:rPr>
  </w:style>
  <w:style w:type="paragraph" w:customStyle="1" w:styleId="Line">
    <w:name w:val="Line"/>
    <w:basedOn w:val="Normal"/>
    <w:next w:val="Normal"/>
    <w:rsid w:val="00CA45A0"/>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CA45A0"/>
    <w:pPr>
      <w:tabs>
        <w:tab w:val="clear" w:pos="1134"/>
        <w:tab w:val="clear" w:pos="1871"/>
        <w:tab w:val="clear" w:pos="2268"/>
        <w:tab w:val="left" w:pos="794"/>
        <w:tab w:val="left" w:pos="1191"/>
        <w:tab w:val="left" w:pos="1588"/>
        <w:tab w:val="left" w:pos="1985"/>
      </w:tabs>
      <w:ind w:left="360"/>
    </w:pPr>
  </w:style>
  <w:style w:type="character" w:customStyle="1" w:styleId="BodyTextIndentChar">
    <w:name w:val="Body Text Indent Char"/>
    <w:basedOn w:val="DefaultParagraphFont"/>
    <w:link w:val="BodyTextIndent"/>
    <w:rsid w:val="00CA45A0"/>
    <w:rPr>
      <w:rFonts w:ascii="Times New Roman" w:hAnsi="Times New Roman"/>
      <w:sz w:val="24"/>
      <w:lang w:val="en-GB" w:eastAsia="en-US"/>
    </w:rPr>
  </w:style>
  <w:style w:type="paragraph" w:styleId="BodyTextIndent2">
    <w:name w:val="Body Text Indent 2"/>
    <w:basedOn w:val="Normal"/>
    <w:link w:val="BodyTextIndent2Char"/>
    <w:uiPriority w:val="99"/>
    <w:rsid w:val="00CA45A0"/>
    <w:pPr>
      <w:tabs>
        <w:tab w:val="clear" w:pos="1134"/>
        <w:tab w:val="clear" w:pos="1871"/>
        <w:tab w:val="clear" w:pos="2268"/>
        <w:tab w:val="left" w:pos="794"/>
        <w:tab w:val="left" w:pos="1191"/>
        <w:tab w:val="left" w:pos="1588"/>
        <w:tab w:val="left" w:pos="1985"/>
      </w:tabs>
      <w:ind w:left="357"/>
    </w:pPr>
  </w:style>
  <w:style w:type="character" w:customStyle="1" w:styleId="BodyTextIndent2Char">
    <w:name w:val="Body Text Indent 2 Char"/>
    <w:basedOn w:val="DefaultParagraphFont"/>
    <w:link w:val="BodyTextIndent2"/>
    <w:uiPriority w:val="99"/>
    <w:rsid w:val="00CA45A0"/>
    <w:rPr>
      <w:rFonts w:ascii="Times New Roman" w:hAnsi="Times New Roman"/>
      <w:sz w:val="24"/>
      <w:lang w:val="en-GB" w:eastAsia="en-US"/>
    </w:rPr>
  </w:style>
  <w:style w:type="paragraph" w:customStyle="1" w:styleId="call0">
    <w:name w:val="call"/>
    <w:basedOn w:val="Normal"/>
    <w:next w:val="Normal"/>
    <w:rsid w:val="00CA45A0"/>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0"/>
    <w:rsid w:val="00CA45A0"/>
    <w:pPr>
      <w:tabs>
        <w:tab w:val="clear" w:pos="1134"/>
        <w:tab w:val="clear" w:pos="1871"/>
        <w:tab w:val="clear" w:pos="2268"/>
      </w:tabs>
      <w:spacing w:before="0"/>
      <w:jc w:val="both"/>
    </w:pPr>
    <w:rPr>
      <w:color w:val="FFFFFF"/>
      <w:sz w:val="8"/>
      <w:lang w:val="es-ES_tradnl"/>
    </w:rPr>
  </w:style>
  <w:style w:type="paragraph" w:customStyle="1" w:styleId="TableText0">
    <w:name w:val="Table_Text"/>
    <w:basedOn w:val="Normal"/>
    <w:rsid w:val="00CA45A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CA45A0"/>
    <w:pPr>
      <w:spacing w:before="113" w:after="113"/>
      <w:jc w:val="center"/>
    </w:pPr>
    <w:rPr>
      <w:b/>
    </w:rPr>
  </w:style>
  <w:style w:type="character" w:customStyle="1" w:styleId="CharChar">
    <w:name w:val="Char Char"/>
    <w:basedOn w:val="DefaultParagraphFont"/>
    <w:rsid w:val="00CA45A0"/>
    <w:rPr>
      <w:sz w:val="22"/>
      <w:lang w:val="en-GB" w:eastAsia="en-US" w:bidi="ar-SA"/>
    </w:rPr>
  </w:style>
  <w:style w:type="table" w:customStyle="1" w:styleId="GridTable1Light-Accent512">
    <w:name w:val="Grid Table 1 Light - Accent 512"/>
    <w:basedOn w:val="TableNormal"/>
    <w:uiPriority w:val="46"/>
    <w:rsid w:val="00CA45A0"/>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CA45A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CA45A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CA45A0"/>
    <w:pPr>
      <w:tabs>
        <w:tab w:val="clear" w:pos="1134"/>
        <w:tab w:val="clear" w:pos="1871"/>
        <w:tab w:val="clear" w:pos="2268"/>
        <w:tab w:val="left" w:pos="993"/>
      </w:tabs>
      <w:spacing w:before="240"/>
      <w:ind w:left="993" w:hanging="993"/>
      <w:textAlignment w:val="auto"/>
    </w:pPr>
    <w:rPr>
      <w:rFonts w:ascii="Arial" w:hAnsi="Arial"/>
      <w:sz w:val="22"/>
      <w:szCs w:val="22"/>
    </w:rPr>
  </w:style>
  <w:style w:type="character" w:customStyle="1" w:styleId="apple-converted-space">
    <w:name w:val="apple-converted-space"/>
    <w:basedOn w:val="DefaultParagraphFont"/>
    <w:rsid w:val="00CA45A0"/>
  </w:style>
  <w:style w:type="paragraph" w:customStyle="1" w:styleId="headingb0">
    <w:name w:val="heading_b"/>
    <w:basedOn w:val="Heading3"/>
    <w:next w:val="Normal"/>
    <w:uiPriority w:val="99"/>
    <w:rsid w:val="00CA45A0"/>
    <w:pPr>
      <w:tabs>
        <w:tab w:val="clear" w:pos="1871"/>
        <w:tab w:val="clear" w:pos="2268"/>
        <w:tab w:val="left" w:pos="794"/>
        <w:tab w:val="left" w:pos="2127"/>
        <w:tab w:val="left" w:pos="2410"/>
        <w:tab w:val="left" w:pos="2921"/>
        <w:tab w:val="left" w:pos="3261"/>
      </w:tabs>
      <w:spacing w:before="160"/>
      <w:ind w:left="0" w:firstLine="0"/>
      <w:outlineLvl w:val="9"/>
    </w:pPr>
  </w:style>
  <w:style w:type="character" w:customStyle="1" w:styleId="BRNormal">
    <w:name w:val="BR_Normal"/>
    <w:basedOn w:val="DefaultParagraphFont"/>
    <w:uiPriority w:val="1"/>
    <w:qFormat/>
    <w:rsid w:val="00CA45A0"/>
  </w:style>
  <w:style w:type="character" w:customStyle="1" w:styleId="NormalaftertitleChar">
    <w:name w:val="Normal_after_title Char"/>
    <w:basedOn w:val="DefaultParagraphFont"/>
    <w:link w:val="Normalaftertitle"/>
    <w:locked/>
    <w:rsid w:val="00CA45A0"/>
    <w:rPr>
      <w:rFonts w:ascii="Times New Roman" w:hAnsi="Times New Roman"/>
      <w:sz w:val="24"/>
      <w:lang w:val="en-GB" w:eastAsia="en-US"/>
    </w:rPr>
  </w:style>
  <w:style w:type="character" w:customStyle="1" w:styleId="HeadingbChar">
    <w:name w:val="Heading_b Char"/>
    <w:link w:val="Headingb"/>
    <w:locked/>
    <w:rsid w:val="00CA45A0"/>
    <w:rPr>
      <w:rFonts w:ascii="Times New Roman Bold" w:hAnsi="Times New Roman Bold" w:cs="Times New Roman Bold"/>
      <w:b/>
      <w:sz w:val="24"/>
      <w:lang w:val="fr-CH" w:eastAsia="en-US"/>
    </w:rPr>
  </w:style>
  <w:style w:type="character" w:customStyle="1" w:styleId="ArtrefBold">
    <w:name w:val="Art_ref + Bold"/>
    <w:basedOn w:val="Artref"/>
    <w:rsid w:val="00CA45A0"/>
    <w:rPr>
      <w:b/>
      <w:bCs/>
      <w:color w:val="auto"/>
    </w:rPr>
  </w:style>
  <w:style w:type="character" w:customStyle="1" w:styleId="ApprefBold">
    <w:name w:val="App_ref + Bold"/>
    <w:basedOn w:val="Appref"/>
    <w:qFormat/>
    <w:rsid w:val="00CA45A0"/>
    <w:rPr>
      <w:b/>
      <w:bCs/>
      <w:color w:val="000000"/>
    </w:rPr>
  </w:style>
  <w:style w:type="character" w:customStyle="1" w:styleId="ECCHLsuperscript">
    <w:name w:val="ECC HL super script"/>
    <w:basedOn w:val="DefaultParagraphFont"/>
    <w:uiPriority w:val="1"/>
    <w:qFormat/>
    <w:rsid w:val="00CA45A0"/>
    <w:rPr>
      <w:vertAlign w:val="superscript"/>
    </w:rPr>
  </w:style>
  <w:style w:type="character" w:customStyle="1" w:styleId="ECCHLunderlined">
    <w:name w:val="ECC HL underlined"/>
    <w:uiPriority w:val="1"/>
    <w:qFormat/>
    <w:rsid w:val="00CA45A0"/>
    <w:rPr>
      <w:u w:val="single"/>
    </w:rPr>
  </w:style>
  <w:style w:type="paragraph" w:customStyle="1" w:styleId="TabletextHanging0">
    <w:name w:val="Table_text + Hanging:  0"/>
    <w:aliases w:val="5 cm"/>
    <w:basedOn w:val="Tabletext"/>
    <w:rsid w:val="00CA45A0"/>
    <w:pPr>
      <w:ind w:left="284" w:hanging="284"/>
    </w:pPr>
    <w:rPr>
      <w:lang w:val="en-US"/>
    </w:rPr>
  </w:style>
  <w:style w:type="paragraph" w:customStyle="1" w:styleId="Tablefin">
    <w:name w:val="Table_fin"/>
    <w:basedOn w:val="Normal"/>
    <w:rsid w:val="00CA45A0"/>
    <w:pPr>
      <w:spacing w:before="0"/>
    </w:pPr>
    <w:rPr>
      <w:sz w:val="20"/>
      <w:lang w:eastAsia="zh-CN"/>
    </w:rPr>
  </w:style>
  <w:style w:type="character" w:customStyle="1" w:styleId="TableitalicZchn">
    <w:name w:val="Table_italic Zchn"/>
    <w:basedOn w:val="DefaultParagraphFont"/>
    <w:rsid w:val="00CA45A0"/>
    <w:rPr>
      <w:rFonts w:ascii="Times New Roman" w:hAnsi="Times New Roman"/>
      <w:b/>
      <w:i/>
      <w:sz w:val="24"/>
      <w:lang w:val="en-GB" w:eastAsia="en-US"/>
    </w:rPr>
  </w:style>
  <w:style w:type="character" w:styleId="Emphasis">
    <w:name w:val="Emphasis"/>
    <w:basedOn w:val="DefaultParagraphFont"/>
    <w:uiPriority w:val="20"/>
    <w:qFormat/>
    <w:rsid w:val="00CA45A0"/>
    <w:rPr>
      <w:i/>
      <w:iC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
    <w:basedOn w:val="DefaultParagraphFont"/>
    <w:uiPriority w:val="99"/>
    <w:locked/>
    <w:rsid w:val="00CA45A0"/>
    <w:rPr>
      <w:rFonts w:cs="Times New Roman"/>
      <w:sz w:val="24"/>
      <w:lang w:val="en-GB" w:eastAsia="en-US" w:bidi="ar-SA"/>
    </w:rPr>
  </w:style>
  <w:style w:type="paragraph" w:styleId="CommentSubject">
    <w:name w:val="annotation subject"/>
    <w:basedOn w:val="CommentText"/>
    <w:next w:val="CommentText"/>
    <w:link w:val="CommentSubjectChar"/>
    <w:semiHidden/>
    <w:unhideWhenUsed/>
    <w:rsid w:val="00D47F38"/>
    <w:pPr>
      <w:spacing w:line="240" w:lineRule="auto"/>
    </w:pPr>
    <w:rPr>
      <w:b/>
      <w:bCs/>
      <w:szCs w:val="20"/>
    </w:rPr>
  </w:style>
  <w:style w:type="character" w:customStyle="1" w:styleId="CommentSubjectChar">
    <w:name w:val="Comment Subject Char"/>
    <w:basedOn w:val="CommentTextChar"/>
    <w:link w:val="CommentSubject"/>
    <w:semiHidden/>
    <w:rsid w:val="00D47F38"/>
    <w:rPr>
      <w:rFonts w:ascii="Calibri" w:hAnsi="Calibri" w:cs="Calibri"/>
      <w:b/>
      <w:bCs/>
      <w:szCs w:val="22"/>
      <w:lang w:eastAsia="en-US"/>
    </w:rPr>
  </w:style>
  <w:style w:type="paragraph" w:customStyle="1" w:styleId="Headingsplit">
    <w:name w:val="Heading_split"/>
    <w:basedOn w:val="Headingi"/>
    <w:qFormat/>
    <w:rsid w:val="00D47F38"/>
    <w:pPr>
      <w:keepNext w:val="0"/>
      <w:keepLines w:val="0"/>
      <w:spacing w:after="0"/>
    </w:pPr>
    <w:rPr>
      <w:lang w:val="en-US"/>
    </w:rPr>
  </w:style>
  <w:style w:type="paragraph" w:customStyle="1" w:styleId="Normalsplit">
    <w:name w:val="Normal_split"/>
    <w:basedOn w:val="Normal"/>
    <w:qFormat/>
    <w:rsid w:val="00D47F38"/>
  </w:style>
  <w:style w:type="character" w:customStyle="1" w:styleId="Provsplit">
    <w:name w:val="Prov_split"/>
    <w:basedOn w:val="DefaultParagraphFont"/>
    <w:qFormat/>
    <w:rsid w:val="00D47F38"/>
    <w:rPr>
      <w:rFonts w:ascii="Times New Roman" w:hAnsi="Times New Roman"/>
      <w:b w:val="0"/>
    </w:rPr>
  </w:style>
  <w:style w:type="paragraph" w:customStyle="1" w:styleId="Tablesplit">
    <w:name w:val="Table_split"/>
    <w:basedOn w:val="Tabletext"/>
    <w:qFormat/>
    <w:rsid w:val="00D47F38"/>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lang w:eastAsia="nl-NL"/>
    </w:rPr>
  </w:style>
  <w:style w:type="paragraph" w:customStyle="1" w:styleId="Methodheading1">
    <w:name w:val="Method_heading1"/>
    <w:basedOn w:val="Heading1"/>
    <w:next w:val="Normal"/>
    <w:qFormat/>
    <w:rsid w:val="00D47F38"/>
  </w:style>
  <w:style w:type="paragraph" w:customStyle="1" w:styleId="Methodheading2">
    <w:name w:val="Method_heading2"/>
    <w:basedOn w:val="Heading2"/>
    <w:next w:val="Normal"/>
    <w:qFormat/>
    <w:rsid w:val="00D47F38"/>
  </w:style>
  <w:style w:type="paragraph" w:customStyle="1" w:styleId="Methodheading3">
    <w:name w:val="Method_heading3"/>
    <w:basedOn w:val="Heading3"/>
    <w:next w:val="Normal"/>
    <w:qFormat/>
    <w:rsid w:val="00D47F38"/>
  </w:style>
  <w:style w:type="paragraph" w:customStyle="1" w:styleId="Methodheading4">
    <w:name w:val="Method_heading4"/>
    <w:basedOn w:val="Heading4"/>
    <w:next w:val="Normal"/>
    <w:qFormat/>
    <w:rsid w:val="00D47F38"/>
  </w:style>
  <w:style w:type="paragraph" w:customStyle="1" w:styleId="MethodHeadingb">
    <w:name w:val="Method_Headingb"/>
    <w:basedOn w:val="Headingb"/>
    <w:qFormat/>
    <w:rsid w:val="00D47F38"/>
    <w:pPr>
      <w:keepNext/>
      <w:keepLines/>
      <w:tabs>
        <w:tab w:val="clear" w:pos="1134"/>
        <w:tab w:val="clear" w:pos="1871"/>
        <w:tab w:val="clear" w:pos="2268"/>
      </w:tabs>
      <w:overflowPunct/>
      <w:autoSpaceDE/>
      <w:autoSpaceDN/>
      <w:adjustRightInd/>
      <w:textAlignment w:val="auto"/>
    </w:pPr>
  </w:style>
  <w:style w:type="paragraph" w:styleId="BodyText2">
    <w:name w:val="Body Text 2"/>
    <w:basedOn w:val="Normal"/>
    <w:link w:val="BodyText2Char"/>
    <w:uiPriority w:val="99"/>
    <w:rsid w:val="00D47F38"/>
    <w:pPr>
      <w:tabs>
        <w:tab w:val="clear" w:pos="1134"/>
        <w:tab w:val="clear" w:pos="1871"/>
        <w:tab w:val="clear" w:pos="2268"/>
        <w:tab w:val="left" w:pos="794"/>
        <w:tab w:val="left" w:pos="1191"/>
        <w:tab w:val="left" w:pos="1588"/>
        <w:tab w:val="left" w:pos="1985"/>
      </w:tabs>
    </w:pPr>
    <w:rPr>
      <w:color w:val="0000FF"/>
    </w:rPr>
  </w:style>
  <w:style w:type="character" w:customStyle="1" w:styleId="BodyText2Char">
    <w:name w:val="Body Text 2 Char"/>
    <w:basedOn w:val="DefaultParagraphFont"/>
    <w:link w:val="BodyText2"/>
    <w:uiPriority w:val="99"/>
    <w:rsid w:val="00D47F38"/>
    <w:rPr>
      <w:rFonts w:ascii="Times New Roman" w:hAnsi="Times New Roman"/>
      <w:color w:val="0000FF"/>
      <w:sz w:val="24"/>
      <w:lang w:val="en-GB" w:eastAsia="en-US"/>
    </w:rPr>
  </w:style>
  <w:style w:type="paragraph" w:customStyle="1" w:styleId="RecTitle0">
    <w:name w:val="Rec Title"/>
    <w:basedOn w:val="Normal"/>
    <w:next w:val="Heading1"/>
    <w:uiPriority w:val="99"/>
    <w:rsid w:val="00D47F38"/>
    <w:pPr>
      <w:tabs>
        <w:tab w:val="clear" w:pos="1134"/>
        <w:tab w:val="clear" w:pos="1871"/>
        <w:tab w:val="clear" w:pos="2268"/>
        <w:tab w:val="left" w:pos="794"/>
        <w:tab w:val="left" w:pos="1191"/>
        <w:tab w:val="left" w:pos="1588"/>
        <w:tab w:val="left" w:pos="1985"/>
      </w:tabs>
      <w:spacing w:before="240"/>
      <w:jc w:val="center"/>
    </w:pPr>
    <w:rPr>
      <w:b/>
      <w:sz w:val="22"/>
    </w:rPr>
  </w:style>
  <w:style w:type="paragraph" w:customStyle="1" w:styleId="Annex">
    <w:name w:val="Annex_#"/>
    <w:basedOn w:val="Normal"/>
    <w:next w:val="AnnexRef0"/>
    <w:uiPriority w:val="99"/>
    <w:rsid w:val="00D47F38"/>
    <w:pPr>
      <w:keepNext/>
      <w:keepLines/>
      <w:tabs>
        <w:tab w:val="clear" w:pos="1134"/>
        <w:tab w:val="clear" w:pos="1871"/>
        <w:tab w:val="clear" w:pos="2268"/>
        <w:tab w:val="left" w:pos="794"/>
        <w:tab w:val="left" w:pos="1191"/>
        <w:tab w:val="left" w:pos="1588"/>
        <w:tab w:val="left" w:pos="1985"/>
      </w:tabs>
      <w:spacing w:before="480" w:after="80"/>
      <w:jc w:val="center"/>
    </w:pPr>
    <w:rPr>
      <w:caps/>
      <w:sz w:val="28"/>
    </w:rPr>
  </w:style>
  <w:style w:type="paragraph" w:customStyle="1" w:styleId="AnnexRef0">
    <w:name w:val="Annex_Ref"/>
    <w:basedOn w:val="Normal"/>
    <w:next w:val="Normal"/>
    <w:uiPriority w:val="99"/>
    <w:rsid w:val="00D47F38"/>
    <w:pPr>
      <w:keepNext/>
      <w:keepLines/>
      <w:tabs>
        <w:tab w:val="clear" w:pos="1134"/>
        <w:tab w:val="clear" w:pos="1871"/>
        <w:tab w:val="clear" w:pos="2268"/>
        <w:tab w:val="left" w:pos="794"/>
        <w:tab w:val="left" w:pos="1191"/>
        <w:tab w:val="left" w:pos="1588"/>
        <w:tab w:val="left" w:pos="1985"/>
      </w:tabs>
      <w:jc w:val="center"/>
    </w:pPr>
  </w:style>
  <w:style w:type="paragraph" w:customStyle="1" w:styleId="dpstylecall">
    <w:name w:val="dpstylecall"/>
    <w:basedOn w:val="Normal"/>
    <w:rsid w:val="00D47F38"/>
    <w:pPr>
      <w:tabs>
        <w:tab w:val="clear" w:pos="1134"/>
        <w:tab w:val="clear" w:pos="1871"/>
        <w:tab w:val="clear" w:pos="2268"/>
      </w:tabs>
      <w:overflowPunct/>
      <w:autoSpaceDE/>
      <w:autoSpaceDN/>
      <w:adjustRightInd/>
      <w:spacing w:before="100" w:beforeAutospacing="1" w:after="100" w:afterAutospacing="1"/>
      <w:textAlignment w:val="auto"/>
    </w:pPr>
    <w:rPr>
      <w:szCs w:val="24"/>
      <w:lang w:eastAsia="zh-CN"/>
    </w:rPr>
  </w:style>
  <w:style w:type="paragraph" w:customStyle="1" w:styleId="StyleCall10pt">
    <w:name w:val="Style Call + 10 pt"/>
    <w:basedOn w:val="Call"/>
    <w:rsid w:val="00200ECB"/>
    <w:pPr>
      <w:tabs>
        <w:tab w:val="clear" w:pos="1134"/>
        <w:tab w:val="clear" w:pos="1871"/>
        <w:tab w:val="clear" w:pos="2268"/>
        <w:tab w:val="left" w:pos="794"/>
        <w:tab w:val="left" w:pos="1191"/>
        <w:tab w:val="left" w:pos="1588"/>
        <w:tab w:val="left" w:pos="1985"/>
      </w:tabs>
      <w:spacing w:before="40" w:after="40" w:line="280" w:lineRule="exact"/>
      <w:ind w:left="284"/>
    </w:pPr>
    <w:rPr>
      <w:rFonts w:cs="Calibri"/>
      <w:iCs/>
      <w:sz w:val="20"/>
      <w:szCs w:val="22"/>
      <w:lang w:val="en-US"/>
    </w:rPr>
  </w:style>
  <w:style w:type="table" w:customStyle="1" w:styleId="TableGrid2">
    <w:name w:val="Table Grid2"/>
    <w:basedOn w:val="TableNormal"/>
    <w:next w:val="TableGrid"/>
    <w:uiPriority w:val="59"/>
    <w:rsid w:val="00861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0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83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itu.int/md/R16-WRC19-C-0535/en"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8632</Words>
  <Characters>49206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Fernandez Jimenez, Virginia</cp:lastModifiedBy>
  <cp:revision>1</cp:revision>
  <cp:lastPrinted>2020-03-10T10:09:00Z</cp:lastPrinted>
  <dcterms:created xsi:type="dcterms:W3CDTF">2020-08-14T08:42:00Z</dcterms:created>
  <dcterms:modified xsi:type="dcterms:W3CDTF">2020-08-14T08:42:00Z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