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3E6436" w14:paraId="2D5CACB0" w14:textId="77777777" w:rsidTr="00876A8A">
        <w:trPr>
          <w:cantSplit/>
        </w:trPr>
        <w:tc>
          <w:tcPr>
            <w:tcW w:w="6487" w:type="dxa"/>
            <w:vAlign w:val="center"/>
          </w:tcPr>
          <w:p w14:paraId="6CF67B44" w14:textId="77777777" w:rsidR="009F6520" w:rsidRPr="003E6436" w:rsidRDefault="009F6520" w:rsidP="009F6520">
            <w:pPr>
              <w:shd w:val="solid" w:color="FFFFFF" w:fill="FFFFFF"/>
              <w:spacing w:before="0"/>
              <w:rPr>
                <w:rFonts w:ascii="Verdana" w:hAnsi="Verdana" w:cs="Times New Roman Bold"/>
                <w:b/>
                <w:bCs/>
                <w:sz w:val="26"/>
                <w:szCs w:val="26"/>
              </w:rPr>
            </w:pPr>
            <w:r w:rsidRPr="003E6436">
              <w:rPr>
                <w:rFonts w:ascii="Verdana" w:hAnsi="Verdana" w:cs="Times New Roman Bold"/>
                <w:b/>
                <w:bCs/>
                <w:sz w:val="26"/>
                <w:szCs w:val="26"/>
              </w:rPr>
              <w:t>Radiocommunication Study Groups</w:t>
            </w:r>
          </w:p>
        </w:tc>
        <w:tc>
          <w:tcPr>
            <w:tcW w:w="3402" w:type="dxa"/>
          </w:tcPr>
          <w:p w14:paraId="46E3D484" w14:textId="77777777" w:rsidR="009F6520" w:rsidRPr="003E6436" w:rsidRDefault="0040225E" w:rsidP="0040225E">
            <w:pPr>
              <w:shd w:val="solid" w:color="FFFFFF" w:fill="FFFFFF"/>
              <w:spacing w:before="0" w:line="240" w:lineRule="atLeast"/>
            </w:pPr>
            <w:bookmarkStart w:id="0" w:name="ditulogo"/>
            <w:bookmarkEnd w:id="0"/>
            <w:r w:rsidRPr="003E6436">
              <w:rPr>
                <w:lang w:eastAsia="en-GB"/>
              </w:rPr>
              <w:drawing>
                <wp:inline distT="0" distB="0" distL="0" distR="0" wp14:anchorId="6900742C" wp14:editId="5175B7E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3E6436" w14:paraId="7440E337" w14:textId="77777777" w:rsidTr="00876A8A">
        <w:trPr>
          <w:cantSplit/>
        </w:trPr>
        <w:tc>
          <w:tcPr>
            <w:tcW w:w="6487" w:type="dxa"/>
            <w:tcBorders>
              <w:bottom w:val="single" w:sz="12" w:space="0" w:color="auto"/>
            </w:tcBorders>
          </w:tcPr>
          <w:p w14:paraId="5759A285" w14:textId="77777777" w:rsidR="000069D4" w:rsidRPr="003E6436"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4BCA634" w14:textId="77777777" w:rsidR="000069D4" w:rsidRPr="003E6436" w:rsidRDefault="000069D4" w:rsidP="00A5173C">
            <w:pPr>
              <w:shd w:val="solid" w:color="FFFFFF" w:fill="FFFFFF"/>
              <w:spacing w:before="0" w:after="48" w:line="240" w:lineRule="atLeast"/>
              <w:rPr>
                <w:sz w:val="22"/>
                <w:szCs w:val="22"/>
              </w:rPr>
            </w:pPr>
          </w:p>
        </w:tc>
      </w:tr>
      <w:tr w:rsidR="000069D4" w:rsidRPr="003E6436" w14:paraId="0283173B" w14:textId="77777777" w:rsidTr="00876A8A">
        <w:trPr>
          <w:cantSplit/>
        </w:trPr>
        <w:tc>
          <w:tcPr>
            <w:tcW w:w="6487" w:type="dxa"/>
            <w:tcBorders>
              <w:top w:val="single" w:sz="12" w:space="0" w:color="auto"/>
            </w:tcBorders>
          </w:tcPr>
          <w:p w14:paraId="7859BC5F" w14:textId="77777777" w:rsidR="000069D4" w:rsidRPr="003E6436"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59C9168" w14:textId="77777777" w:rsidR="000069D4" w:rsidRPr="003E6436" w:rsidRDefault="000069D4" w:rsidP="00A5173C">
            <w:pPr>
              <w:shd w:val="solid" w:color="FFFFFF" w:fill="FFFFFF"/>
              <w:spacing w:before="0" w:after="48" w:line="240" w:lineRule="atLeast"/>
            </w:pPr>
          </w:p>
        </w:tc>
      </w:tr>
      <w:tr w:rsidR="00CE35AD" w:rsidRPr="003E6436" w14:paraId="5F788B3C" w14:textId="77777777" w:rsidTr="00876A8A">
        <w:trPr>
          <w:cantSplit/>
        </w:trPr>
        <w:tc>
          <w:tcPr>
            <w:tcW w:w="6487" w:type="dxa"/>
            <w:vMerge w:val="restart"/>
          </w:tcPr>
          <w:p w14:paraId="0CBAA097" w14:textId="6717C405" w:rsidR="00CE35AD" w:rsidRPr="003E6436" w:rsidRDefault="00CE35AD" w:rsidP="00CE35AD">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3E6436">
              <w:rPr>
                <w:rFonts w:ascii="Verdana" w:hAnsi="Verdana"/>
                <w:sz w:val="20"/>
              </w:rPr>
              <w:t>Source:</w:t>
            </w:r>
            <w:r w:rsidRPr="003E6436">
              <w:rPr>
                <w:rFonts w:ascii="Verdana" w:hAnsi="Verdana"/>
                <w:sz w:val="20"/>
              </w:rPr>
              <w:tab/>
            </w:r>
            <w:r w:rsidRPr="003E6436">
              <w:t xml:space="preserve"> </w:t>
            </w:r>
            <w:r w:rsidRPr="003E6436">
              <w:rPr>
                <w:rFonts w:ascii="Verdana" w:hAnsi="Verdana"/>
                <w:sz w:val="20"/>
              </w:rPr>
              <w:t xml:space="preserve">Document </w:t>
            </w:r>
            <w:proofErr w:type="spellStart"/>
            <w:r w:rsidRPr="003E6436">
              <w:rPr>
                <w:rFonts w:ascii="Verdana" w:hAnsi="Verdana"/>
                <w:sz w:val="20"/>
              </w:rPr>
              <w:t>5A</w:t>
            </w:r>
            <w:proofErr w:type="spellEnd"/>
            <w:r w:rsidRPr="003E6436">
              <w:rPr>
                <w:rFonts w:ascii="Verdana" w:hAnsi="Verdana"/>
                <w:sz w:val="20"/>
              </w:rPr>
              <w:t>/TEMP/230</w:t>
            </w:r>
          </w:p>
        </w:tc>
        <w:tc>
          <w:tcPr>
            <w:tcW w:w="3402" w:type="dxa"/>
          </w:tcPr>
          <w:p w14:paraId="6EAF8B1B" w14:textId="4EFEACCF" w:rsidR="00CE35AD" w:rsidRPr="003E6436" w:rsidRDefault="00CE35AD" w:rsidP="00CE35AD">
            <w:pPr>
              <w:shd w:val="solid" w:color="FFFFFF" w:fill="FFFFFF"/>
              <w:spacing w:before="0" w:line="240" w:lineRule="atLeast"/>
              <w:rPr>
                <w:rFonts w:ascii="Verdana" w:hAnsi="Verdana"/>
                <w:sz w:val="20"/>
                <w:lang w:eastAsia="zh-CN"/>
              </w:rPr>
            </w:pPr>
            <w:r w:rsidRPr="003E6436">
              <w:rPr>
                <w:rFonts w:ascii="Verdana" w:hAnsi="Verdana"/>
                <w:b/>
                <w:sz w:val="20"/>
                <w:lang w:eastAsia="zh-CN"/>
              </w:rPr>
              <w:t>Annex 8 to</w:t>
            </w:r>
            <w:r w:rsidRPr="003E6436">
              <w:rPr>
                <w:rFonts w:ascii="Verdana" w:hAnsi="Verdana"/>
                <w:b/>
                <w:sz w:val="20"/>
                <w:lang w:eastAsia="zh-CN"/>
              </w:rPr>
              <w:br/>
              <w:t xml:space="preserve">Document </w:t>
            </w:r>
            <w:proofErr w:type="spellStart"/>
            <w:r w:rsidRPr="003E6436">
              <w:rPr>
                <w:rFonts w:ascii="Verdana" w:hAnsi="Verdana"/>
                <w:b/>
                <w:sz w:val="20"/>
                <w:lang w:eastAsia="zh-CN"/>
              </w:rPr>
              <w:t>5A</w:t>
            </w:r>
            <w:proofErr w:type="spellEnd"/>
            <w:r w:rsidRPr="003E6436">
              <w:rPr>
                <w:rFonts w:ascii="Verdana" w:hAnsi="Verdana"/>
                <w:b/>
                <w:sz w:val="20"/>
                <w:lang w:eastAsia="zh-CN"/>
              </w:rPr>
              <w:t>/597-E</w:t>
            </w:r>
          </w:p>
        </w:tc>
      </w:tr>
      <w:tr w:rsidR="00CE35AD" w:rsidRPr="003E6436" w14:paraId="7E0D0F0B" w14:textId="77777777" w:rsidTr="00876A8A">
        <w:trPr>
          <w:cantSplit/>
        </w:trPr>
        <w:tc>
          <w:tcPr>
            <w:tcW w:w="6487" w:type="dxa"/>
            <w:vMerge/>
          </w:tcPr>
          <w:p w14:paraId="2E826386" w14:textId="77777777" w:rsidR="00CE35AD" w:rsidRPr="003E6436" w:rsidRDefault="00CE35AD" w:rsidP="00CE35AD">
            <w:pPr>
              <w:spacing w:before="60"/>
              <w:jc w:val="center"/>
              <w:rPr>
                <w:b/>
                <w:smallCaps/>
                <w:sz w:val="32"/>
                <w:lang w:eastAsia="zh-CN"/>
              </w:rPr>
            </w:pPr>
            <w:bookmarkStart w:id="3" w:name="ddate" w:colFirst="1" w:colLast="1"/>
            <w:bookmarkEnd w:id="2"/>
          </w:p>
        </w:tc>
        <w:tc>
          <w:tcPr>
            <w:tcW w:w="3402" w:type="dxa"/>
          </w:tcPr>
          <w:p w14:paraId="5B30E6A4" w14:textId="37DE33D7" w:rsidR="00CE35AD" w:rsidRPr="003E6436" w:rsidRDefault="00CE35AD" w:rsidP="00CE35AD">
            <w:pPr>
              <w:shd w:val="solid" w:color="FFFFFF" w:fill="FFFFFF"/>
              <w:spacing w:before="0" w:line="240" w:lineRule="atLeast"/>
              <w:rPr>
                <w:rFonts w:ascii="Verdana" w:hAnsi="Verdana"/>
                <w:sz w:val="20"/>
                <w:lang w:eastAsia="zh-CN"/>
              </w:rPr>
            </w:pPr>
            <w:r w:rsidRPr="003E6436">
              <w:rPr>
                <w:rFonts w:ascii="Verdana" w:hAnsi="Verdana"/>
                <w:b/>
                <w:sz w:val="20"/>
                <w:lang w:eastAsia="zh-CN"/>
              </w:rPr>
              <w:t>3 June 2022</w:t>
            </w:r>
          </w:p>
        </w:tc>
      </w:tr>
      <w:tr w:rsidR="000069D4" w:rsidRPr="003E6436" w14:paraId="0E24D1D1" w14:textId="77777777" w:rsidTr="00876A8A">
        <w:trPr>
          <w:cantSplit/>
        </w:trPr>
        <w:tc>
          <w:tcPr>
            <w:tcW w:w="6487" w:type="dxa"/>
            <w:vMerge/>
          </w:tcPr>
          <w:p w14:paraId="560727A9" w14:textId="77777777" w:rsidR="000069D4" w:rsidRPr="003E6436" w:rsidRDefault="000069D4" w:rsidP="00A5173C">
            <w:pPr>
              <w:spacing w:before="60"/>
              <w:jc w:val="center"/>
              <w:rPr>
                <w:b/>
                <w:smallCaps/>
                <w:sz w:val="32"/>
                <w:lang w:eastAsia="zh-CN"/>
              </w:rPr>
            </w:pPr>
            <w:bookmarkStart w:id="4" w:name="dorlang" w:colFirst="1" w:colLast="1"/>
            <w:bookmarkEnd w:id="3"/>
          </w:p>
        </w:tc>
        <w:tc>
          <w:tcPr>
            <w:tcW w:w="3402" w:type="dxa"/>
          </w:tcPr>
          <w:p w14:paraId="6B89523D" w14:textId="77777777" w:rsidR="000069D4" w:rsidRPr="003E6436" w:rsidRDefault="0040225E" w:rsidP="00A5173C">
            <w:pPr>
              <w:shd w:val="solid" w:color="FFFFFF" w:fill="FFFFFF"/>
              <w:spacing w:before="0" w:line="240" w:lineRule="atLeast"/>
              <w:rPr>
                <w:rFonts w:ascii="Verdana" w:eastAsia="SimSun" w:hAnsi="Verdana"/>
                <w:sz w:val="20"/>
                <w:lang w:eastAsia="zh-CN"/>
              </w:rPr>
            </w:pPr>
            <w:r w:rsidRPr="003E6436">
              <w:rPr>
                <w:rFonts w:ascii="Verdana" w:eastAsia="SimSun" w:hAnsi="Verdana"/>
                <w:b/>
                <w:sz w:val="20"/>
                <w:lang w:eastAsia="zh-CN"/>
              </w:rPr>
              <w:t>English only</w:t>
            </w:r>
          </w:p>
        </w:tc>
      </w:tr>
      <w:tr w:rsidR="000069D4" w:rsidRPr="003E6436" w14:paraId="3E6B844B" w14:textId="77777777" w:rsidTr="00D046A7">
        <w:trPr>
          <w:cantSplit/>
        </w:trPr>
        <w:tc>
          <w:tcPr>
            <w:tcW w:w="9889" w:type="dxa"/>
            <w:gridSpan w:val="2"/>
          </w:tcPr>
          <w:p w14:paraId="359208E2" w14:textId="6169B2D8" w:rsidR="000069D4" w:rsidRPr="003E6436" w:rsidRDefault="006A3301" w:rsidP="0040225E">
            <w:pPr>
              <w:pStyle w:val="Source"/>
              <w:rPr>
                <w:lang w:eastAsia="zh-CN"/>
              </w:rPr>
            </w:pPr>
            <w:bookmarkStart w:id="5" w:name="dsource" w:colFirst="0" w:colLast="0"/>
            <w:bookmarkEnd w:id="4"/>
            <w:r w:rsidRPr="003E6436">
              <w:rPr>
                <w:lang w:eastAsia="ja-JP"/>
              </w:rPr>
              <w:t xml:space="preserve">Annex 8 to Working Party </w:t>
            </w:r>
            <w:proofErr w:type="spellStart"/>
            <w:r w:rsidRPr="003E6436">
              <w:rPr>
                <w:lang w:eastAsia="ja-JP"/>
              </w:rPr>
              <w:t>5A</w:t>
            </w:r>
            <w:proofErr w:type="spellEnd"/>
            <w:r w:rsidRPr="003E6436">
              <w:rPr>
                <w:lang w:eastAsia="ja-JP"/>
              </w:rPr>
              <w:t xml:space="preserve"> Chairman’s Report</w:t>
            </w:r>
          </w:p>
        </w:tc>
      </w:tr>
      <w:tr w:rsidR="000069D4" w:rsidRPr="003E6436" w14:paraId="63BA6C71" w14:textId="77777777" w:rsidTr="00D046A7">
        <w:trPr>
          <w:cantSplit/>
        </w:trPr>
        <w:tc>
          <w:tcPr>
            <w:tcW w:w="9889" w:type="dxa"/>
            <w:gridSpan w:val="2"/>
          </w:tcPr>
          <w:p w14:paraId="3DBF01F2" w14:textId="1B386A2D" w:rsidR="000069D4" w:rsidRPr="003E6436" w:rsidRDefault="006A3301" w:rsidP="006A3301">
            <w:pPr>
              <w:pStyle w:val="Title1"/>
            </w:pPr>
            <w:bookmarkStart w:id="6" w:name="drec" w:colFirst="0" w:colLast="0"/>
            <w:bookmarkEnd w:id="5"/>
            <w:r w:rsidRPr="003E6436">
              <w:t>draft CPM text for WRC-23 agenda item 9.1, topic c)</w:t>
            </w:r>
          </w:p>
        </w:tc>
      </w:tr>
      <w:tr w:rsidR="000069D4" w:rsidRPr="003E6436" w14:paraId="64556A4A" w14:textId="77777777" w:rsidTr="00D046A7">
        <w:trPr>
          <w:cantSplit/>
        </w:trPr>
        <w:tc>
          <w:tcPr>
            <w:tcW w:w="9889" w:type="dxa"/>
            <w:gridSpan w:val="2"/>
          </w:tcPr>
          <w:p w14:paraId="01DF087E" w14:textId="77777777" w:rsidR="000069D4" w:rsidRPr="003E6436" w:rsidRDefault="000069D4" w:rsidP="00A5173C">
            <w:pPr>
              <w:pStyle w:val="Title1"/>
              <w:rPr>
                <w:lang w:eastAsia="zh-CN"/>
              </w:rPr>
            </w:pPr>
            <w:bookmarkStart w:id="7" w:name="dtitle1" w:colFirst="0" w:colLast="0"/>
            <w:bookmarkEnd w:id="6"/>
          </w:p>
        </w:tc>
      </w:tr>
    </w:tbl>
    <w:p w14:paraId="75D86C8E" w14:textId="1C4562EA" w:rsidR="0040225E" w:rsidRPr="003E6436" w:rsidRDefault="0040225E" w:rsidP="006A3301">
      <w:pPr>
        <w:pStyle w:val="ChapNo"/>
      </w:pPr>
      <w:bookmarkStart w:id="8" w:name="dbreak"/>
      <w:bookmarkStart w:id="9" w:name="OLE_LINK1"/>
      <w:bookmarkEnd w:id="7"/>
      <w:bookmarkEnd w:id="8"/>
      <w:r w:rsidRPr="003E6436">
        <w:t>CHAPTER 5</w:t>
      </w:r>
    </w:p>
    <w:p w14:paraId="0AC98D88" w14:textId="77777777" w:rsidR="0040225E" w:rsidRPr="003E6436" w:rsidRDefault="0040225E" w:rsidP="001F5A5E">
      <w:pPr>
        <w:pStyle w:val="Chaptitle"/>
      </w:pPr>
      <w:r w:rsidRPr="003E6436">
        <w:t>General issues</w:t>
      </w:r>
    </w:p>
    <w:p w14:paraId="71475D51" w14:textId="77777777" w:rsidR="0040225E" w:rsidRPr="003E6436" w:rsidRDefault="0040225E" w:rsidP="001634F9">
      <w:pPr>
        <w:jc w:val="center"/>
      </w:pPr>
      <w:r w:rsidRPr="003E6436">
        <w:t>(Agenda items 2, 4 and 9.1 topics a), b), c) and d))</w:t>
      </w:r>
    </w:p>
    <w:p w14:paraId="59D3CE22" w14:textId="77777777" w:rsidR="0040225E" w:rsidRPr="003E6436" w:rsidRDefault="0040225E" w:rsidP="001634F9">
      <w:pPr>
        <w:pStyle w:val="Agendaitem"/>
      </w:pPr>
      <w:r w:rsidRPr="003E6436">
        <w:t>Agenda item 9.1(9.1-c)</w:t>
      </w:r>
    </w:p>
    <w:p w14:paraId="2D97C2CC" w14:textId="77777777" w:rsidR="0040225E" w:rsidRPr="003E6436" w:rsidRDefault="0040225E" w:rsidP="009E6734">
      <w:pPr>
        <w:pStyle w:val="Heading1"/>
        <w:spacing w:before="480"/>
        <w:rPr>
          <w:rFonts w:ascii="Times New Roman Bold" w:hAnsi="Times New Roman Bold"/>
          <w:color w:val="000000"/>
          <w:spacing w:val="-2"/>
          <w:szCs w:val="28"/>
        </w:rPr>
      </w:pPr>
      <w:r w:rsidRPr="003E6436">
        <w:t>5/9.1-c</w:t>
      </w:r>
      <w:r w:rsidRPr="003E6436">
        <w:tab/>
      </w:r>
      <w:r w:rsidRPr="003E6436">
        <w:rPr>
          <w:rFonts w:ascii="Times New Roman Bold" w:hAnsi="Times New Roman Bold"/>
          <w:i/>
          <w:iCs/>
          <w:spacing w:val="-2"/>
        </w:rPr>
        <w:t>Study the use of International Mobile Telecommunication system for fixed wireless broadband in the frequency bands allocated to the fixed services on primary basis, in accordance with Resolution 175 (WRC-19)</w:t>
      </w:r>
    </w:p>
    <w:p w14:paraId="3218DAC9" w14:textId="2F0EFC81" w:rsidR="0040225E" w:rsidRPr="003E6436" w:rsidRDefault="0040225E" w:rsidP="009E6734">
      <w:pPr>
        <w:rPr>
          <w:i/>
          <w:iCs/>
        </w:rPr>
      </w:pPr>
      <w:r w:rsidRPr="003E6436">
        <w:t xml:space="preserve">Resolution </w:t>
      </w:r>
      <w:r w:rsidRPr="003E6436">
        <w:rPr>
          <w:b/>
          <w:bCs/>
        </w:rPr>
        <w:t>175 (WRC-19)</w:t>
      </w:r>
      <w:r w:rsidRPr="003E6436">
        <w:t xml:space="preserve"> – </w:t>
      </w:r>
      <w:r w:rsidRPr="003E6436">
        <w:rPr>
          <w:i/>
          <w:iCs/>
        </w:rPr>
        <w:t>Use of International Mobile Telecommunication systems for fixed wireless broadband in the frequency bands allocated to the fixed service on primary basis</w:t>
      </w:r>
    </w:p>
    <w:p w14:paraId="0AC4314E" w14:textId="2E261AFA" w:rsidR="006A3301" w:rsidRPr="003E6436" w:rsidRDefault="006A3301" w:rsidP="006A3301">
      <w:pPr>
        <w:spacing w:before="240"/>
        <w:jc w:val="center"/>
      </w:pPr>
      <w:r w:rsidRPr="003E6436">
        <w:t>(</w:t>
      </w:r>
      <w:r w:rsidRPr="003E6436">
        <w:rPr>
          <w:b/>
          <w:bCs/>
        </w:rPr>
        <w:t xml:space="preserve">WP </w:t>
      </w:r>
      <w:proofErr w:type="spellStart"/>
      <w:r w:rsidRPr="003E6436">
        <w:rPr>
          <w:b/>
          <w:bCs/>
        </w:rPr>
        <w:t>5A</w:t>
      </w:r>
      <w:proofErr w:type="spellEnd"/>
      <w:r w:rsidRPr="003E6436">
        <w:rPr>
          <w:b/>
          <w:bCs/>
        </w:rPr>
        <w:t xml:space="preserve"> and WP </w:t>
      </w:r>
      <w:proofErr w:type="spellStart"/>
      <w:r w:rsidRPr="003E6436">
        <w:rPr>
          <w:b/>
          <w:bCs/>
        </w:rPr>
        <w:t>5C</w:t>
      </w:r>
      <w:proofErr w:type="spellEnd"/>
      <w:r w:rsidRPr="003E6436">
        <w:rPr>
          <w:rStyle w:val="FootnoteReference"/>
          <w:b/>
          <w:bCs/>
        </w:rPr>
        <w:footnoteReference w:customMarkFollows="1" w:id="1"/>
        <w:t>*</w:t>
      </w:r>
      <w:r w:rsidRPr="003E6436">
        <w:t xml:space="preserve"> / </w:t>
      </w:r>
      <w:r w:rsidRPr="003E6436">
        <w:rPr>
          <w:b/>
          <w:bCs/>
        </w:rPr>
        <w:t xml:space="preserve">WP </w:t>
      </w:r>
      <w:proofErr w:type="spellStart"/>
      <w:r w:rsidRPr="003E6436">
        <w:rPr>
          <w:b/>
          <w:bCs/>
        </w:rPr>
        <w:t>1B</w:t>
      </w:r>
      <w:proofErr w:type="spellEnd"/>
      <w:r w:rsidRPr="003E6436">
        <w:rPr>
          <w:b/>
          <w:bCs/>
        </w:rPr>
        <w:t xml:space="preserve">, WP </w:t>
      </w:r>
      <w:proofErr w:type="spellStart"/>
      <w:r w:rsidRPr="003E6436">
        <w:rPr>
          <w:b/>
          <w:bCs/>
        </w:rPr>
        <w:t>4A</w:t>
      </w:r>
      <w:proofErr w:type="spellEnd"/>
      <w:r w:rsidRPr="003E6436">
        <w:rPr>
          <w:b/>
          <w:bCs/>
        </w:rPr>
        <w:t xml:space="preserve">, WP </w:t>
      </w:r>
      <w:proofErr w:type="spellStart"/>
      <w:r w:rsidRPr="003E6436">
        <w:rPr>
          <w:b/>
          <w:bCs/>
        </w:rPr>
        <w:t>4C</w:t>
      </w:r>
      <w:proofErr w:type="spellEnd"/>
      <w:r w:rsidRPr="003E6436">
        <w:rPr>
          <w:b/>
          <w:bCs/>
        </w:rPr>
        <w:t xml:space="preserve">, WP </w:t>
      </w:r>
      <w:proofErr w:type="spellStart"/>
      <w:r w:rsidRPr="003E6436">
        <w:rPr>
          <w:b/>
          <w:bCs/>
        </w:rPr>
        <w:t>5D</w:t>
      </w:r>
      <w:proofErr w:type="spellEnd"/>
      <w:r w:rsidRPr="003E6436">
        <w:rPr>
          <w:b/>
          <w:bCs/>
        </w:rPr>
        <w:t xml:space="preserve">, WP </w:t>
      </w:r>
      <w:proofErr w:type="spellStart"/>
      <w:r w:rsidRPr="003E6436">
        <w:rPr>
          <w:b/>
          <w:bCs/>
        </w:rPr>
        <w:t>6A</w:t>
      </w:r>
      <w:proofErr w:type="spellEnd"/>
      <w:r w:rsidRPr="003E6436">
        <w:rPr>
          <w:b/>
          <w:bCs/>
        </w:rPr>
        <w:t xml:space="preserve">, WP </w:t>
      </w:r>
      <w:proofErr w:type="spellStart"/>
      <w:r w:rsidRPr="003E6436">
        <w:rPr>
          <w:b/>
          <w:bCs/>
        </w:rPr>
        <w:t>7B</w:t>
      </w:r>
      <w:proofErr w:type="spellEnd"/>
      <w:r w:rsidRPr="003E6436">
        <w:rPr>
          <w:b/>
          <w:bCs/>
        </w:rPr>
        <w:t xml:space="preserve">, WP </w:t>
      </w:r>
      <w:proofErr w:type="spellStart"/>
      <w:r w:rsidRPr="003E6436">
        <w:rPr>
          <w:b/>
          <w:bCs/>
        </w:rPr>
        <w:t>7C</w:t>
      </w:r>
      <w:proofErr w:type="spellEnd"/>
      <w:r w:rsidRPr="003E6436">
        <w:rPr>
          <w:b/>
          <w:bCs/>
        </w:rPr>
        <w:t xml:space="preserve">, WP </w:t>
      </w:r>
      <w:proofErr w:type="spellStart"/>
      <w:r w:rsidRPr="003E6436">
        <w:rPr>
          <w:b/>
          <w:bCs/>
        </w:rPr>
        <w:t>7D</w:t>
      </w:r>
      <w:proofErr w:type="spellEnd"/>
      <w:r w:rsidRPr="003E6436">
        <w:t>)</w:t>
      </w:r>
    </w:p>
    <w:p w14:paraId="7E8E2037" w14:textId="77777777" w:rsidR="0040225E" w:rsidRPr="003E6436" w:rsidRDefault="0040225E" w:rsidP="006A3301">
      <w:pPr>
        <w:pStyle w:val="Heading1"/>
      </w:pPr>
      <w:r w:rsidRPr="003E6436">
        <w:t xml:space="preserve">Summary of the results of ITU-R studies </w:t>
      </w:r>
    </w:p>
    <w:p w14:paraId="2D76DDF6" w14:textId="6B06D2B7" w:rsidR="0040225E" w:rsidRPr="003E6436" w:rsidRDefault="0040225E">
      <w:pPr>
        <w:jc w:val="both"/>
      </w:pPr>
      <w:r w:rsidRPr="003E6436">
        <w:t xml:space="preserve">The </w:t>
      </w:r>
      <w:r w:rsidR="003004EA" w:rsidRPr="003E6436">
        <w:t xml:space="preserve">Chairmen </w:t>
      </w:r>
      <w:r w:rsidRPr="003E6436">
        <w:t xml:space="preserve">of WPs </w:t>
      </w:r>
      <w:proofErr w:type="spellStart"/>
      <w:r w:rsidRPr="003E6436">
        <w:t>5A</w:t>
      </w:r>
      <w:proofErr w:type="spellEnd"/>
      <w:r w:rsidRPr="003E6436">
        <w:t xml:space="preserve"> and </w:t>
      </w:r>
      <w:proofErr w:type="spellStart"/>
      <w:r w:rsidRPr="003E6436">
        <w:t>5C</w:t>
      </w:r>
      <w:proofErr w:type="spellEnd"/>
      <w:r w:rsidRPr="003E6436">
        <w:t xml:space="preserve"> provided examples for some relevant published ITU-R Recommendations, Reports, and Handbook of </w:t>
      </w:r>
      <w:r w:rsidR="003004EA" w:rsidRPr="003E6436">
        <w:t xml:space="preserve">fixed wireless access </w:t>
      </w:r>
      <w:r w:rsidRPr="003E6436">
        <w:rPr>
          <w:color w:val="000000"/>
        </w:rPr>
        <w:t>(see Doc</w:t>
      </w:r>
      <w:r w:rsidR="003004EA" w:rsidRPr="003E6436">
        <w:rPr>
          <w:color w:val="000000"/>
        </w:rPr>
        <w:t>.</w:t>
      </w:r>
      <w:r w:rsidRPr="003E6436">
        <w:rPr>
          <w:color w:val="000000"/>
        </w:rPr>
        <w:t xml:space="preserve"> </w:t>
      </w:r>
      <w:hyperlink r:id="rId8" w:history="1">
        <w:proofErr w:type="spellStart"/>
        <w:r w:rsidRPr="003E6436">
          <w:rPr>
            <w:rStyle w:val="Hyperlink"/>
            <w:u w:val="none"/>
          </w:rPr>
          <w:t>5A</w:t>
        </w:r>
        <w:proofErr w:type="spellEnd"/>
        <w:r w:rsidRPr="003E6436">
          <w:rPr>
            <w:rStyle w:val="Hyperlink"/>
            <w:u w:val="none"/>
          </w:rPr>
          <w:t>/19</w:t>
        </w:r>
      </w:hyperlink>
      <w:r w:rsidRPr="003E6436">
        <w:rPr>
          <w:color w:val="000000"/>
        </w:rPr>
        <w:t xml:space="preserve"> – </w:t>
      </w:r>
      <w:hyperlink r:id="rId9" w:history="1">
        <w:proofErr w:type="spellStart"/>
        <w:r w:rsidRPr="003E6436">
          <w:rPr>
            <w:rStyle w:val="Hyperlink"/>
            <w:u w:val="none"/>
          </w:rPr>
          <w:t>5C</w:t>
        </w:r>
        <w:proofErr w:type="spellEnd"/>
        <w:r w:rsidRPr="003E6436">
          <w:rPr>
            <w:rStyle w:val="Hyperlink"/>
            <w:u w:val="none"/>
          </w:rPr>
          <w:t>/13</w:t>
        </w:r>
      </w:hyperlink>
      <w:r w:rsidRPr="003E6436">
        <w:rPr>
          <w:color w:val="000000"/>
        </w:rPr>
        <w:t>)</w:t>
      </w:r>
      <w:r w:rsidRPr="003E6436">
        <w:t xml:space="preserve">. When these initial publications were developed, the expectations for </w:t>
      </w:r>
      <w:r w:rsidR="003004EA" w:rsidRPr="003E6436">
        <w:t xml:space="preserve">fixed wireless </w:t>
      </w:r>
      <w:r w:rsidRPr="003E6436">
        <w:t xml:space="preserve">applications were very different than those of today, including </w:t>
      </w:r>
      <w:r w:rsidR="003004EA" w:rsidRPr="003E6436">
        <w:t>fixed wireless access</w:t>
      </w:r>
      <w:r w:rsidRPr="003E6436">
        <w:t xml:space="preserve">, backhaul, core, transport and others. Therefore, WPs </w:t>
      </w:r>
      <w:proofErr w:type="spellStart"/>
      <w:r w:rsidRPr="003E6436">
        <w:t>5A</w:t>
      </w:r>
      <w:proofErr w:type="spellEnd"/>
      <w:r w:rsidRPr="003E6436">
        <w:t xml:space="preserve"> and </w:t>
      </w:r>
      <w:proofErr w:type="spellStart"/>
      <w:r w:rsidRPr="003E6436">
        <w:t>5C</w:t>
      </w:r>
      <w:proofErr w:type="spellEnd"/>
      <w:r w:rsidRPr="003E6436">
        <w:t xml:space="preserve"> found it timely to progress this work by revising the existing relevant publications and to develop any new ones as required to reflect the new technological capabilities and approaches of </w:t>
      </w:r>
      <w:r w:rsidR="009544F1" w:rsidRPr="003E6436">
        <w:t xml:space="preserve">fixed wireless </w:t>
      </w:r>
      <w:r w:rsidRPr="003E6436">
        <w:t>applications, according to input contributions received.</w:t>
      </w:r>
    </w:p>
    <w:p w14:paraId="442DE322" w14:textId="7E645930" w:rsidR="0040225E" w:rsidRPr="003E6436" w:rsidRDefault="0040225E" w:rsidP="003E5E47">
      <w:pPr>
        <w:jc w:val="both"/>
      </w:pPr>
      <w:r w:rsidRPr="003E6436">
        <w:lastRenderedPageBreak/>
        <w:t xml:space="preserve">Input contributions were received proposing updates to some of these existing ITU-R Recommendations/Reports. Other input contributions proposed new ITU-R Reports and Recommendations to address required studies by </w:t>
      </w:r>
      <w:r w:rsidR="003004EA" w:rsidRPr="003E6436">
        <w:t xml:space="preserve">WRC-23 agenda item </w:t>
      </w:r>
      <w:r w:rsidRPr="003E6436">
        <w:t>9.1</w:t>
      </w:r>
      <w:r w:rsidR="003004EA" w:rsidRPr="003E6436">
        <w:t>,</w:t>
      </w:r>
      <w:r w:rsidRPr="003E6436">
        <w:t xml:space="preserve"> topic c). All input contributions were introduced in the joint activity of WPs </w:t>
      </w:r>
      <w:proofErr w:type="spellStart"/>
      <w:r w:rsidRPr="003E6436">
        <w:t>5A</w:t>
      </w:r>
      <w:proofErr w:type="spellEnd"/>
      <w:r w:rsidRPr="003E6436">
        <w:t xml:space="preserve"> and </w:t>
      </w:r>
      <w:proofErr w:type="spellStart"/>
      <w:r w:rsidRPr="003E6436">
        <w:t>5C</w:t>
      </w:r>
      <w:proofErr w:type="spellEnd"/>
      <w:r w:rsidRPr="003E6436">
        <w:t xml:space="preserve"> but were not fully discussed and no agreement was found on a single way forward. In the view of the above, the following two approaches are proposed:</w:t>
      </w:r>
    </w:p>
    <w:p w14:paraId="61EC59E8" w14:textId="77777777" w:rsidR="0040225E" w:rsidRPr="003E6436" w:rsidRDefault="0040225E" w:rsidP="003004EA">
      <w:pPr>
        <w:pStyle w:val="Headingi"/>
      </w:pPr>
      <w:bookmarkStart w:id="10" w:name="_Hlk104474102"/>
      <w:r w:rsidRPr="003E6436">
        <w:t>Approach 1</w:t>
      </w:r>
    </w:p>
    <w:p w14:paraId="434215F6" w14:textId="4F268B32" w:rsidR="0040225E" w:rsidRPr="003E6436" w:rsidRDefault="0040225E" w:rsidP="003004EA">
      <w:pPr>
        <w:jc w:val="both"/>
        <w:rPr>
          <w:szCs w:val="24"/>
        </w:rPr>
      </w:pPr>
      <w:r w:rsidRPr="003E6436">
        <w:rPr>
          <w:szCs w:val="24"/>
        </w:rPr>
        <w:t>Proceed with development of new ITU-R Recommendation(s), Report(s) and Handbook through submission of contribution to the subsequent relevant ITU-R meetings in that regard. Such a contribution should include arguments that current ITU-R Recommendation(s), Report(s) and Handbook either do not address or do not adequately address the objectives of WRC-23 agenda item</w:t>
      </w:r>
      <w:r w:rsidR="003E6436">
        <w:t> </w:t>
      </w:r>
      <w:r w:rsidRPr="003E6436">
        <w:rPr>
          <w:szCs w:val="24"/>
        </w:rPr>
        <w:t>9.1</w:t>
      </w:r>
      <w:r w:rsidR="003004EA" w:rsidRPr="003E6436">
        <w:rPr>
          <w:szCs w:val="24"/>
        </w:rPr>
        <w:t>,</w:t>
      </w:r>
      <w:r w:rsidRPr="003E6436">
        <w:rPr>
          <w:szCs w:val="24"/>
        </w:rPr>
        <w:t xml:space="preserve"> topic c)</w:t>
      </w:r>
      <w:r w:rsidR="003004EA" w:rsidRPr="003E6436">
        <w:rPr>
          <w:szCs w:val="24"/>
        </w:rPr>
        <w:t>,</w:t>
      </w:r>
      <w:r w:rsidRPr="003E6436">
        <w:rPr>
          <w:szCs w:val="24"/>
        </w:rPr>
        <w:t xml:space="preserve"> as referred to in the above-mentioned Resolution.</w:t>
      </w:r>
    </w:p>
    <w:p w14:paraId="2221AA60" w14:textId="77777777" w:rsidR="0040225E" w:rsidRPr="003E6436" w:rsidRDefault="0040225E" w:rsidP="003004EA">
      <w:pPr>
        <w:pStyle w:val="Headingi"/>
      </w:pPr>
      <w:r w:rsidRPr="003E6436">
        <w:t xml:space="preserve">Approach 2 </w:t>
      </w:r>
    </w:p>
    <w:p w14:paraId="0091E17F" w14:textId="5CBA322A" w:rsidR="0040225E" w:rsidRPr="003E6436" w:rsidRDefault="0040225E" w:rsidP="003004EA">
      <w:pPr>
        <w:jc w:val="both"/>
        <w:rPr>
          <w:szCs w:val="24"/>
        </w:rPr>
      </w:pPr>
      <w:r w:rsidRPr="003E6436">
        <w:rPr>
          <w:szCs w:val="24"/>
        </w:rPr>
        <w:t xml:space="preserve">Proceed with the revision of Recommendation(s), Report(s) and Handbook through submission of contribution to relevant ITU-R subsequent meetings. Such a contribution should include arguments that current Recommendation(s), Report(s) and Handbook cover partially or adequately the objectives of </w:t>
      </w:r>
      <w:r w:rsidR="003004EA" w:rsidRPr="003E6436">
        <w:rPr>
          <w:szCs w:val="24"/>
        </w:rPr>
        <w:t xml:space="preserve">WRC-23 agenda item </w:t>
      </w:r>
      <w:r w:rsidRPr="003E6436">
        <w:rPr>
          <w:szCs w:val="24"/>
        </w:rPr>
        <w:t>9.1</w:t>
      </w:r>
      <w:r w:rsidR="003004EA" w:rsidRPr="003E6436">
        <w:rPr>
          <w:szCs w:val="24"/>
        </w:rPr>
        <w:t xml:space="preserve">, topic </w:t>
      </w:r>
      <w:r w:rsidRPr="003E6436">
        <w:rPr>
          <w:szCs w:val="24"/>
        </w:rPr>
        <w:t xml:space="preserve">c) as referred to in Resolution </w:t>
      </w:r>
      <w:r w:rsidRPr="003E6436">
        <w:rPr>
          <w:b/>
          <w:bCs/>
          <w:szCs w:val="24"/>
        </w:rPr>
        <w:t>175 (WRC-19)</w:t>
      </w:r>
      <w:r w:rsidRPr="003E6436">
        <w:rPr>
          <w:szCs w:val="24"/>
        </w:rPr>
        <w:t xml:space="preserve">. Upon receipt of the above-mentioned contributions WPs </w:t>
      </w:r>
      <w:proofErr w:type="spellStart"/>
      <w:r w:rsidRPr="003E6436">
        <w:rPr>
          <w:szCs w:val="24"/>
        </w:rPr>
        <w:t>5A</w:t>
      </w:r>
      <w:proofErr w:type="spellEnd"/>
      <w:r w:rsidRPr="003E6436">
        <w:rPr>
          <w:szCs w:val="24"/>
        </w:rPr>
        <w:t xml:space="preserve"> and </w:t>
      </w:r>
      <w:proofErr w:type="spellStart"/>
      <w:r w:rsidRPr="003E6436">
        <w:rPr>
          <w:szCs w:val="24"/>
        </w:rPr>
        <w:t>5C</w:t>
      </w:r>
      <w:proofErr w:type="spellEnd"/>
      <w:r w:rsidRPr="003E6436">
        <w:rPr>
          <w:szCs w:val="24"/>
        </w:rPr>
        <w:t xml:space="preserve"> would proceed accordingly.</w:t>
      </w:r>
    </w:p>
    <w:bookmarkEnd w:id="10"/>
    <w:p w14:paraId="77847696" w14:textId="3E775F17" w:rsidR="0040225E" w:rsidRPr="003E6436" w:rsidRDefault="0040225E" w:rsidP="002440C6">
      <w:pPr>
        <w:jc w:val="both"/>
      </w:pPr>
      <w:r w:rsidRPr="003E6436">
        <w:t xml:space="preserve">The discussions during this study cycle focused on the meaning of </w:t>
      </w:r>
      <w:r w:rsidR="00AA1AAF" w:rsidRPr="003E6436">
        <w:t xml:space="preserve">fixed wireless broadband </w:t>
      </w:r>
      <w:r w:rsidRPr="003E6436">
        <w:t>(</w:t>
      </w:r>
      <w:proofErr w:type="spellStart"/>
      <w:r w:rsidRPr="003E6436">
        <w:t>FWB</w:t>
      </w:r>
      <w:proofErr w:type="spellEnd"/>
      <w:r w:rsidRPr="003E6436">
        <w:t xml:space="preserve">) despite the clarifications provided by the Chairmen of WPs </w:t>
      </w:r>
      <w:proofErr w:type="spellStart"/>
      <w:r w:rsidRPr="003E6436">
        <w:t>5A</w:t>
      </w:r>
      <w:proofErr w:type="spellEnd"/>
      <w:r w:rsidRPr="003E6436">
        <w:t xml:space="preserve"> and </w:t>
      </w:r>
      <w:proofErr w:type="spellStart"/>
      <w:r w:rsidRPr="003E6436">
        <w:t>5C</w:t>
      </w:r>
      <w:proofErr w:type="spellEnd"/>
      <w:r w:rsidRPr="003E6436">
        <w:t xml:space="preserve"> (Doc</w:t>
      </w:r>
      <w:r w:rsidRPr="003E6436">
        <w:rPr>
          <w:color w:val="000000"/>
        </w:rPr>
        <w:t>ument</w:t>
      </w:r>
      <w:r w:rsidRPr="003E6436">
        <w:t xml:space="preserve"> </w:t>
      </w:r>
      <w:hyperlink r:id="rId10" w:history="1">
        <w:proofErr w:type="spellStart"/>
        <w:r w:rsidRPr="003E6436">
          <w:rPr>
            <w:rStyle w:val="Hyperlink"/>
            <w:u w:val="none"/>
          </w:rPr>
          <w:t>5A</w:t>
        </w:r>
        <w:proofErr w:type="spellEnd"/>
        <w:r w:rsidRPr="003E6436">
          <w:rPr>
            <w:rStyle w:val="Hyperlink"/>
            <w:u w:val="none"/>
          </w:rPr>
          <w:t>/19</w:t>
        </w:r>
      </w:hyperlink>
      <w:r w:rsidRPr="003E6436">
        <w:t xml:space="preserve"> </w:t>
      </w:r>
      <w:r w:rsidRPr="003E6436">
        <w:rPr>
          <w:color w:val="000000"/>
        </w:rPr>
        <w:t xml:space="preserve">– </w:t>
      </w:r>
      <w:hyperlink r:id="rId11" w:history="1">
        <w:proofErr w:type="spellStart"/>
        <w:r w:rsidRPr="003E6436">
          <w:rPr>
            <w:rStyle w:val="Hyperlink"/>
            <w:u w:val="none"/>
          </w:rPr>
          <w:t>5C</w:t>
        </w:r>
        <w:proofErr w:type="spellEnd"/>
        <w:r w:rsidRPr="003E6436">
          <w:rPr>
            <w:rStyle w:val="Hyperlink"/>
            <w:u w:val="none"/>
          </w:rPr>
          <w:t>/13</w:t>
        </w:r>
      </w:hyperlink>
      <w:r w:rsidRPr="003E6436">
        <w:t xml:space="preserve">). </w:t>
      </w:r>
    </w:p>
    <w:p w14:paraId="2A42725B" w14:textId="6379EF4F" w:rsidR="0040225E" w:rsidRPr="003E6436" w:rsidRDefault="0040225E" w:rsidP="00267912">
      <w:pPr>
        <w:pStyle w:val="enumlev1"/>
        <w:tabs>
          <w:tab w:val="clear" w:pos="1134"/>
        </w:tabs>
        <w:ind w:left="0" w:firstLine="0"/>
        <w:jc w:val="both"/>
      </w:pPr>
      <w:r w:rsidRPr="003E6436">
        <w:t xml:space="preserve">There are a number of ITU-R publications, covering a variety of technologies and interfaces that could be also of relevance for the use of IMT-technologies for </w:t>
      </w:r>
      <w:r w:rsidR="00267912" w:rsidRPr="003E6436">
        <w:t xml:space="preserve">fixed wireless applications </w:t>
      </w:r>
      <w:r w:rsidRPr="003E6436">
        <w:t>including backhaul, core, transport and others which need further consideration.</w:t>
      </w:r>
    </w:p>
    <w:p w14:paraId="5229D4EA" w14:textId="14C6FB71" w:rsidR="0040225E" w:rsidRPr="003E6436" w:rsidRDefault="0040225E" w:rsidP="00267912">
      <w:pPr>
        <w:pStyle w:val="enumlev1"/>
        <w:tabs>
          <w:tab w:val="clear" w:pos="1134"/>
        </w:tabs>
        <w:ind w:left="0" w:firstLine="0"/>
        <w:jc w:val="both"/>
        <w:rPr>
          <w:lang w:eastAsia="zh-CN"/>
        </w:rPr>
      </w:pPr>
      <w:r w:rsidRPr="003E6436">
        <w:t xml:space="preserve">The published ITU-R Recommendations and Reports on various types of </w:t>
      </w:r>
      <w:r w:rsidR="00267912" w:rsidRPr="003E6436">
        <w:t xml:space="preserve">fixed wireless </w:t>
      </w:r>
      <w:r w:rsidRPr="003E6436">
        <w:t xml:space="preserve">and Handbook on “Fixed </w:t>
      </w:r>
      <w:r w:rsidR="00267912" w:rsidRPr="003E6436">
        <w:t>wireless acces</w:t>
      </w:r>
      <w:r w:rsidRPr="003E6436">
        <w:t>s” are summarized in the “</w:t>
      </w:r>
      <w:hyperlink r:id="rId12" w:history="1">
        <w:r w:rsidRPr="003E6436">
          <w:rPr>
            <w:rStyle w:val="Hyperlink"/>
            <w:szCs w:val="24"/>
            <w:u w:val="none"/>
          </w:rPr>
          <w:t>Guide to the use of ITU-R texts relating to the land mobile service, including wireless access in the fixed service</w:t>
        </w:r>
      </w:hyperlink>
      <w:r w:rsidRPr="003E6436">
        <w:t xml:space="preserve">”, available on the </w:t>
      </w:r>
      <w:hyperlink r:id="rId13" w:history="1">
        <w:r w:rsidRPr="003E6436">
          <w:rPr>
            <w:rStyle w:val="Hyperlink"/>
            <w:u w:val="none"/>
          </w:rPr>
          <w:t xml:space="preserve">WP </w:t>
        </w:r>
        <w:proofErr w:type="spellStart"/>
        <w:r w:rsidRPr="003E6436">
          <w:rPr>
            <w:rStyle w:val="Hyperlink"/>
            <w:u w:val="none"/>
          </w:rPr>
          <w:t>5A</w:t>
        </w:r>
        <w:proofErr w:type="spellEnd"/>
      </w:hyperlink>
      <w:r w:rsidRPr="003E6436">
        <w:t xml:space="preserve"> and </w:t>
      </w:r>
      <w:hyperlink r:id="rId14" w:history="1">
        <w:r w:rsidRPr="003E6436">
          <w:rPr>
            <w:rStyle w:val="Hyperlink"/>
            <w:szCs w:val="24"/>
            <w:u w:val="none"/>
          </w:rPr>
          <w:t xml:space="preserve">WP </w:t>
        </w:r>
        <w:proofErr w:type="spellStart"/>
        <w:r w:rsidRPr="003E6436">
          <w:rPr>
            <w:rStyle w:val="Hyperlink"/>
            <w:szCs w:val="24"/>
            <w:u w:val="none"/>
          </w:rPr>
          <w:t>5C</w:t>
        </w:r>
        <w:proofErr w:type="spellEnd"/>
      </w:hyperlink>
      <w:r w:rsidRPr="003E6436">
        <w:t xml:space="preserve"> web page</w:t>
      </w:r>
      <w:r w:rsidRPr="003E6436">
        <w:rPr>
          <w:szCs w:val="24"/>
        </w:rPr>
        <w:t>s</w:t>
      </w:r>
      <w:r w:rsidRPr="003E6436">
        <w:t>, which can be considered relevant to WRC-23 agenda item 9.1</w:t>
      </w:r>
      <w:r w:rsidR="00267912" w:rsidRPr="003E6436">
        <w:t>,</w:t>
      </w:r>
      <w:r w:rsidRPr="003E6436">
        <w:t xml:space="preserve"> topic</w:t>
      </w:r>
      <w:r w:rsidR="00267912" w:rsidRPr="003E6436">
        <w:t> </w:t>
      </w:r>
      <w:r w:rsidRPr="003E6436">
        <w:t xml:space="preserve">c). This list is non-exhaustive as this roster of publications addresses some, but not all types of </w:t>
      </w:r>
      <w:r w:rsidR="00267912" w:rsidRPr="003E6436">
        <w:t xml:space="preserve">fixed wireless </w:t>
      </w:r>
      <w:r w:rsidRPr="003E6436">
        <w:t>applications (backhaul, core, transport and others).</w:t>
      </w:r>
    </w:p>
    <w:p w14:paraId="29C95FB4" w14:textId="4478541B" w:rsidR="0040225E" w:rsidRPr="003E6436" w:rsidRDefault="0040225E" w:rsidP="00267912">
      <w:pPr>
        <w:jc w:val="both"/>
        <w:rPr>
          <w:lang w:eastAsia="zh-CN"/>
        </w:rPr>
      </w:pPr>
      <w:r w:rsidRPr="003E6436">
        <w:rPr>
          <w:lang w:eastAsia="zh-CN"/>
        </w:rPr>
        <w:t xml:space="preserve">As a starting point, proposals were received to revise and update Recommendations ITU-R </w:t>
      </w:r>
      <w:proofErr w:type="spellStart"/>
      <w:r w:rsidRPr="003E6436">
        <w:rPr>
          <w:lang w:eastAsia="zh-CN"/>
        </w:rPr>
        <w:t>F.1401</w:t>
      </w:r>
      <w:proofErr w:type="spellEnd"/>
      <w:r w:rsidRPr="003E6436">
        <w:rPr>
          <w:lang w:eastAsia="zh-CN"/>
        </w:rPr>
        <w:noBreakHyphen/>
        <w:t>1 and</w:t>
      </w:r>
      <w:r w:rsidR="00267912" w:rsidRPr="003E6436">
        <w:rPr>
          <w:lang w:eastAsia="zh-CN"/>
        </w:rPr>
        <w:t xml:space="preserve"> ITU-R</w:t>
      </w:r>
      <w:r w:rsidRPr="003E6436">
        <w:rPr>
          <w:lang w:eastAsia="zh-CN"/>
        </w:rPr>
        <w:t xml:space="preserve"> </w:t>
      </w:r>
      <w:proofErr w:type="spellStart"/>
      <w:r w:rsidRPr="003E6436">
        <w:rPr>
          <w:lang w:eastAsia="zh-CN"/>
        </w:rPr>
        <w:t>F.1763</w:t>
      </w:r>
      <w:proofErr w:type="spellEnd"/>
      <w:r w:rsidRPr="003E6436">
        <w:rPr>
          <w:lang w:eastAsia="zh-CN"/>
        </w:rPr>
        <w:t xml:space="preserve">-1, so that they are more reflective of the current state of </w:t>
      </w:r>
      <w:r w:rsidRPr="003E6436">
        <w:rPr>
          <w:lang w:eastAsia="zh-CN"/>
        </w:rPr>
        <w:lastRenderedPageBreak/>
        <w:t>technology including IMT technology for broadband fixed wireless access. Proposals were also received to revise other relevant F</w:t>
      </w:r>
      <w:r w:rsidR="00267912" w:rsidRPr="003E6436">
        <w:rPr>
          <w:lang w:eastAsia="zh-CN"/>
        </w:rPr>
        <w:t>-</w:t>
      </w:r>
      <w:r w:rsidRPr="003E6436">
        <w:rPr>
          <w:lang w:eastAsia="zh-CN"/>
        </w:rPr>
        <w:t xml:space="preserve">Series Recommendations/Reports fixed wireless applications (access and backhaul). Other proposals of new ITU-R Reports and Recommendations (see also Annex 18 to Doc. </w:t>
      </w:r>
      <w:hyperlink r:id="rId15" w:history="1">
        <w:proofErr w:type="spellStart"/>
        <w:r w:rsidRPr="003E6436">
          <w:rPr>
            <w:rStyle w:val="Hyperlink"/>
            <w:u w:val="none"/>
            <w:lang w:eastAsia="zh-CN"/>
          </w:rPr>
          <w:t>5A</w:t>
        </w:r>
        <w:proofErr w:type="spellEnd"/>
        <w:r w:rsidRPr="003E6436">
          <w:rPr>
            <w:rStyle w:val="Hyperlink"/>
            <w:u w:val="none"/>
            <w:lang w:eastAsia="zh-CN"/>
          </w:rPr>
          <w:t>/221</w:t>
        </w:r>
      </w:hyperlink>
      <w:r w:rsidRPr="003E6436">
        <w:rPr>
          <w:lang w:eastAsia="zh-CN"/>
        </w:rPr>
        <w:t xml:space="preserve">) with regards to the new capabilities of IMT systems and technologies to support various applications of fixed wireless broadband within the fixed service, including access and backhauling capabilities have been received. All proposals will need further consideration. </w:t>
      </w:r>
    </w:p>
    <w:p w14:paraId="2D693D6E" w14:textId="77777777" w:rsidR="0040225E" w:rsidRPr="003E6436" w:rsidRDefault="0040225E" w:rsidP="00267912">
      <w:pPr>
        <w:spacing w:before="100"/>
        <w:jc w:val="both"/>
        <w:rPr>
          <w:szCs w:val="24"/>
        </w:rPr>
      </w:pPr>
      <w:r w:rsidRPr="003E6436">
        <w:rPr>
          <w:szCs w:val="24"/>
        </w:rPr>
        <w:t xml:space="preserve">Accordingly, a new </w:t>
      </w:r>
      <w:r w:rsidRPr="003E6436">
        <w:rPr>
          <w:lang w:eastAsia="zh-CN"/>
        </w:rPr>
        <w:t xml:space="preserve">ITU-R </w:t>
      </w:r>
      <w:r w:rsidRPr="003E6436">
        <w:rPr>
          <w:szCs w:val="24"/>
        </w:rPr>
        <w:t xml:space="preserve">Question may be developed, if necessary, to progress the work on existing or new </w:t>
      </w:r>
      <w:r w:rsidRPr="003E6436">
        <w:rPr>
          <w:lang w:eastAsia="zh-CN"/>
        </w:rPr>
        <w:t xml:space="preserve">ITU-R </w:t>
      </w:r>
      <w:r w:rsidRPr="003E6436">
        <w:rPr>
          <w:szCs w:val="24"/>
        </w:rPr>
        <w:t>Reports, Recommendations and Handbook. There was also proposal to consider the extension of the study completion date of Question ITU-R 215-4/5, as it is currently 2019.</w:t>
      </w:r>
    </w:p>
    <w:p w14:paraId="396671EA" w14:textId="77777777" w:rsidR="0040225E" w:rsidRPr="003E6436" w:rsidRDefault="0040225E" w:rsidP="00267912">
      <w:pPr>
        <w:jc w:val="both"/>
      </w:pPr>
      <w:r w:rsidRPr="003E6436">
        <w:t>There was discussion regarding the use of the terms “IMT Technology” and “IMT System”. It was clarified that this topic concerned the fixed wireless applications that use of IMT-technologies in the frequency bands allocated to the fixed service on a primary basis.</w:t>
      </w:r>
    </w:p>
    <w:p w14:paraId="2A2CE664" w14:textId="380812FA" w:rsidR="0040225E" w:rsidRPr="003E6436" w:rsidRDefault="0040225E" w:rsidP="00267912">
      <w:pPr>
        <w:pStyle w:val="Headingb"/>
        <w:rPr>
          <w:highlight w:val="yellow"/>
        </w:rPr>
      </w:pPr>
      <w:r w:rsidRPr="003E6436">
        <w:t xml:space="preserve">Concluding </w:t>
      </w:r>
      <w:r w:rsidR="00267912" w:rsidRPr="003E6436">
        <w:t>remarks</w:t>
      </w:r>
    </w:p>
    <w:p w14:paraId="178F4FA4" w14:textId="44E15D15" w:rsidR="0040225E" w:rsidRPr="003E6436" w:rsidRDefault="0040225E" w:rsidP="002D19D4">
      <w:pPr>
        <w:keepNext/>
        <w:rPr>
          <w:lang w:eastAsia="ja-JP"/>
        </w:rPr>
      </w:pPr>
      <w:r w:rsidRPr="003E6436">
        <w:rPr>
          <w:lang w:eastAsia="ja-JP"/>
        </w:rPr>
        <w:t>On the issue of a response to the objectives of Res</w:t>
      </w:r>
      <w:r w:rsidR="00267912" w:rsidRPr="003E6436">
        <w:rPr>
          <w:lang w:eastAsia="ja-JP"/>
        </w:rPr>
        <w:t>olution</w:t>
      </w:r>
      <w:r w:rsidRPr="003E6436">
        <w:rPr>
          <w:lang w:eastAsia="ja-JP"/>
        </w:rPr>
        <w:t xml:space="preserve"> </w:t>
      </w:r>
      <w:r w:rsidRPr="003E6436">
        <w:rPr>
          <w:b/>
          <w:bCs/>
          <w:lang w:eastAsia="ja-JP"/>
        </w:rPr>
        <w:t>175 (WRC-19)</w:t>
      </w:r>
      <w:r w:rsidRPr="003E6436">
        <w:rPr>
          <w:lang w:eastAsia="ja-JP"/>
        </w:rPr>
        <w:t xml:space="preserve"> there were 2 alternatives:</w:t>
      </w:r>
    </w:p>
    <w:p w14:paraId="6FEEFABA" w14:textId="77777777" w:rsidR="0040225E" w:rsidRPr="003E6436" w:rsidRDefault="0040225E" w:rsidP="00267912">
      <w:pPr>
        <w:pStyle w:val="Headingi"/>
        <w:rPr>
          <w:lang w:eastAsia="ja-JP"/>
        </w:rPr>
      </w:pPr>
      <w:r w:rsidRPr="003E6436">
        <w:rPr>
          <w:lang w:eastAsia="ja-JP"/>
        </w:rPr>
        <w:t xml:space="preserve">Alternative 1: </w:t>
      </w:r>
    </w:p>
    <w:p w14:paraId="3E159B98" w14:textId="39043FCF" w:rsidR="0040225E" w:rsidRPr="003E6436" w:rsidRDefault="0040225E" w:rsidP="00267912">
      <w:pPr>
        <w:shd w:val="clear" w:color="auto" w:fill="FFFFFF"/>
        <w:jc w:val="both"/>
        <w:rPr>
          <w:color w:val="212121"/>
          <w:sz w:val="22"/>
        </w:rPr>
      </w:pPr>
      <w:r w:rsidRPr="003E6436">
        <w:rPr>
          <w:color w:val="212121"/>
        </w:rPr>
        <w:t xml:space="preserve">Some Administrations have the view that Resolution </w:t>
      </w:r>
      <w:r w:rsidRPr="003E6436">
        <w:rPr>
          <w:b/>
          <w:bCs/>
          <w:color w:val="212121"/>
        </w:rPr>
        <w:t>175 (WRC-19)</w:t>
      </w:r>
      <w:r w:rsidRPr="003E6436">
        <w:rPr>
          <w:color w:val="212121"/>
        </w:rPr>
        <w:t xml:space="preserve"> need to be revised to continue conducting the studies requested by </w:t>
      </w:r>
      <w:r w:rsidR="00267912" w:rsidRPr="003E6436">
        <w:rPr>
          <w:color w:val="212121"/>
        </w:rPr>
        <w:t>WRC-23 agenda item</w:t>
      </w:r>
      <w:r w:rsidRPr="003E6436">
        <w:rPr>
          <w:color w:val="212121"/>
        </w:rPr>
        <w:t xml:space="preserve"> 9.1</w:t>
      </w:r>
      <w:r w:rsidR="00267912" w:rsidRPr="003E6436">
        <w:rPr>
          <w:color w:val="212121"/>
        </w:rPr>
        <w:t>,</w:t>
      </w:r>
      <w:r w:rsidRPr="003E6436">
        <w:rPr>
          <w:color w:val="212121"/>
        </w:rPr>
        <w:t xml:space="preserve"> topic c)</w:t>
      </w:r>
      <w:r w:rsidR="00267912" w:rsidRPr="003E6436">
        <w:rPr>
          <w:color w:val="212121"/>
        </w:rPr>
        <w:t>,</w:t>
      </w:r>
      <w:r w:rsidRPr="003E6436">
        <w:rPr>
          <w:color w:val="212121"/>
        </w:rPr>
        <w:t xml:space="preserve"> and the Resolution for WRC</w:t>
      </w:r>
      <w:r w:rsidR="002D19D4">
        <w:rPr>
          <w:color w:val="212121"/>
        </w:rPr>
        <w:noBreakHyphen/>
      </w:r>
      <w:r w:rsidRPr="003E6436">
        <w:rPr>
          <w:color w:val="212121"/>
        </w:rPr>
        <w:t xml:space="preserve">27, since there was no progress in this study cycle regarding the AI scope and mandates, and there were no discussions on the contents of the proposals by multiple Administrations for new Recommendations/Reports or revising existing publications. In addition, continuing the studies by WRC-27 was agreed by WRC-19 as per the </w:t>
      </w:r>
      <w:r w:rsidR="00F43F5B" w:rsidRPr="003E6436">
        <w:rPr>
          <w:color w:val="212121"/>
        </w:rPr>
        <w:t xml:space="preserve">Minutes </w:t>
      </w:r>
      <w:r w:rsidRPr="003E6436">
        <w:rPr>
          <w:color w:val="212121"/>
        </w:rPr>
        <w:t xml:space="preserve">of the </w:t>
      </w:r>
      <w:r w:rsidR="004E04BE" w:rsidRPr="003E6436">
        <w:rPr>
          <w:color w:val="212121"/>
        </w:rPr>
        <w:t>12</w:t>
      </w:r>
      <w:r w:rsidR="004E04BE" w:rsidRPr="003E6436">
        <w:rPr>
          <w:color w:val="212121"/>
          <w:vertAlign w:val="superscript"/>
        </w:rPr>
        <w:t>th</w:t>
      </w:r>
      <w:r w:rsidR="004E04BE" w:rsidRPr="003E6436">
        <w:rPr>
          <w:color w:val="212121"/>
        </w:rPr>
        <w:t xml:space="preserve"> </w:t>
      </w:r>
      <w:r w:rsidR="00F43F5B" w:rsidRPr="003E6436">
        <w:rPr>
          <w:color w:val="212121"/>
        </w:rPr>
        <w:t xml:space="preserve">Plenary </w:t>
      </w:r>
      <w:r w:rsidR="004E04BE" w:rsidRPr="003E6436">
        <w:rPr>
          <w:color w:val="212121"/>
        </w:rPr>
        <w:t xml:space="preserve">Meeting </w:t>
      </w:r>
      <w:r w:rsidRPr="003E6436">
        <w:rPr>
          <w:color w:val="212121"/>
        </w:rPr>
        <w:t>in items 28.105 and 28.106 as follow:</w:t>
      </w:r>
    </w:p>
    <w:p w14:paraId="5DFEF0F5" w14:textId="25DA746B" w:rsidR="0040225E" w:rsidRPr="003E6436" w:rsidRDefault="00F43F5B" w:rsidP="00F43F5B">
      <w:pPr>
        <w:pStyle w:val="enumlev1"/>
        <w:jc w:val="both"/>
      </w:pPr>
      <w:r w:rsidRPr="003E6436">
        <w:tab/>
      </w:r>
      <w:r w:rsidR="0040225E" w:rsidRPr="003E6436">
        <w:t>"28.105 … the following text be included in the minutes of the meeting to reflect decisions taken by the conference:</w:t>
      </w:r>
    </w:p>
    <w:p w14:paraId="186EBF92" w14:textId="278479B0" w:rsidR="0040225E" w:rsidRPr="003E6436" w:rsidRDefault="00F43F5B" w:rsidP="00F43F5B">
      <w:pPr>
        <w:pStyle w:val="enumlev1"/>
        <w:jc w:val="both"/>
      </w:pPr>
      <w:r w:rsidRPr="003E6436">
        <w:tab/>
      </w:r>
      <w:r w:rsidR="0040225E" w:rsidRPr="003E6436">
        <w:t>Agenda item 9.1 “c” invites ITU-R to conduct studies to identify the potential frequency bands for the use of IMT for fixed wireless broadband within the frequency bands allocated to the fixed service on a primary basis. Accordingly, an agenda item for WRC</w:t>
      </w:r>
      <w:r w:rsidRPr="003E6436">
        <w:noBreakHyphen/>
      </w:r>
      <w:r w:rsidR="0040225E" w:rsidRPr="003E6436">
        <w:t>27 will be developed to consider those identified bands.”</w:t>
      </w:r>
    </w:p>
    <w:p w14:paraId="6BB81256" w14:textId="6C08A35D" w:rsidR="0040225E" w:rsidRPr="003E6436" w:rsidRDefault="00F43F5B" w:rsidP="00F43F5B">
      <w:pPr>
        <w:pStyle w:val="enumlev1"/>
        <w:jc w:val="both"/>
      </w:pPr>
      <w:r w:rsidRPr="003E6436">
        <w:tab/>
      </w:r>
      <w:r w:rsidR="0040225E" w:rsidRPr="003E6436">
        <w:t>28.106</w:t>
      </w:r>
      <w:r w:rsidRPr="003E6436">
        <w:t xml:space="preserve"> </w:t>
      </w:r>
      <w:r w:rsidR="0040225E" w:rsidRPr="003E6436">
        <w:t>It was so agreed."</w:t>
      </w:r>
    </w:p>
    <w:p w14:paraId="0FA46654" w14:textId="5D5E5C7D" w:rsidR="0040225E" w:rsidRPr="003E6436" w:rsidRDefault="0040225E" w:rsidP="00F43F5B">
      <w:pPr>
        <w:shd w:val="clear" w:color="auto" w:fill="FFFFFF"/>
        <w:jc w:val="both"/>
        <w:rPr>
          <w:color w:val="212121"/>
        </w:rPr>
      </w:pPr>
      <w:r w:rsidRPr="003E6436">
        <w:rPr>
          <w:color w:val="212121"/>
        </w:rPr>
        <w:t xml:space="preserve">In addition, a draft new WRC/ITU-R Resolution was proposed along with a new question to support the future development and use of IMT systems and technologies for </w:t>
      </w:r>
      <w:r w:rsidRPr="003E6436">
        <w:rPr>
          <w:color w:val="212121"/>
        </w:rPr>
        <w:lastRenderedPageBreak/>
        <w:t xml:space="preserve">broadband </w:t>
      </w:r>
      <w:r w:rsidR="00F43F5B" w:rsidRPr="003E6436">
        <w:rPr>
          <w:color w:val="212121"/>
        </w:rPr>
        <w:t xml:space="preserve">fixed wireless </w:t>
      </w:r>
      <w:r w:rsidRPr="003E6436">
        <w:rPr>
          <w:color w:val="212121"/>
        </w:rPr>
        <w:t xml:space="preserve">applications in the frequency bands allocated to the </w:t>
      </w:r>
      <w:r w:rsidR="00F43F5B" w:rsidRPr="003E6436">
        <w:rPr>
          <w:color w:val="212121"/>
        </w:rPr>
        <w:t xml:space="preserve">fixed service </w:t>
      </w:r>
      <w:r w:rsidRPr="003E6436">
        <w:rPr>
          <w:color w:val="212121"/>
        </w:rPr>
        <w:t>on primary basis (</w:t>
      </w:r>
      <w:r w:rsidR="00F43F5B" w:rsidRPr="003E6436">
        <w:rPr>
          <w:color w:val="212121"/>
        </w:rPr>
        <w:t xml:space="preserve">see </w:t>
      </w:r>
      <w:r w:rsidRPr="003E6436">
        <w:rPr>
          <w:color w:val="212121"/>
        </w:rPr>
        <w:t>Attachment</w:t>
      </w:r>
      <w:r w:rsidR="00F43F5B" w:rsidRPr="003E6436">
        <w:rPr>
          <w:color w:val="212121"/>
        </w:rPr>
        <w:t> </w:t>
      </w:r>
      <w:r w:rsidRPr="003E6436">
        <w:rPr>
          <w:color w:val="212121"/>
        </w:rPr>
        <w:t>1).</w:t>
      </w:r>
    </w:p>
    <w:p w14:paraId="30F66C60" w14:textId="1F799136" w:rsidR="0040225E" w:rsidRPr="003E6436" w:rsidRDefault="0040225E" w:rsidP="00F43F5B">
      <w:pPr>
        <w:shd w:val="clear" w:color="auto" w:fill="FFFFFF"/>
        <w:jc w:val="both"/>
        <w:rPr>
          <w:color w:val="212121"/>
        </w:rPr>
      </w:pPr>
      <w:r w:rsidRPr="003E6436">
        <w:rPr>
          <w:color w:val="212121"/>
        </w:rPr>
        <w:t xml:space="preserve">Accordingly, the mandate by </w:t>
      </w:r>
      <w:r w:rsidR="00F43F5B" w:rsidRPr="003E6436">
        <w:rPr>
          <w:color w:val="212121"/>
        </w:rPr>
        <w:t xml:space="preserve">WRC-23 agenda item </w:t>
      </w:r>
      <w:r w:rsidRPr="003E6436">
        <w:rPr>
          <w:color w:val="212121"/>
        </w:rPr>
        <w:t>9.1</w:t>
      </w:r>
      <w:r w:rsidR="00F43F5B" w:rsidRPr="003E6436">
        <w:rPr>
          <w:color w:val="212121"/>
        </w:rPr>
        <w:t>,</w:t>
      </w:r>
      <w:r w:rsidRPr="003E6436">
        <w:rPr>
          <w:color w:val="212121"/>
        </w:rPr>
        <w:t xml:space="preserve"> topic c)</w:t>
      </w:r>
      <w:r w:rsidR="00F43F5B" w:rsidRPr="003E6436">
        <w:rPr>
          <w:color w:val="212121"/>
        </w:rPr>
        <w:t>,</w:t>
      </w:r>
      <w:r w:rsidRPr="003E6436">
        <w:rPr>
          <w:color w:val="212121"/>
        </w:rPr>
        <w:t xml:space="preserve"> was not achieved nor satisfied, and the scope was not addressed, since discussions were only limited to terminologies of </w:t>
      </w:r>
      <w:proofErr w:type="spellStart"/>
      <w:r w:rsidRPr="003E6436">
        <w:rPr>
          <w:color w:val="212121"/>
        </w:rPr>
        <w:t>FWB</w:t>
      </w:r>
      <w:proofErr w:type="spellEnd"/>
      <w:r w:rsidRPr="003E6436">
        <w:rPr>
          <w:color w:val="212121"/>
        </w:rPr>
        <w:t xml:space="preserve"> meaning and difference between IMT systems and technologies with objections to any progress on the Administrations' proposals.</w:t>
      </w:r>
    </w:p>
    <w:p w14:paraId="6D88AB90" w14:textId="77777777" w:rsidR="0040225E" w:rsidRPr="003E6436" w:rsidRDefault="0040225E" w:rsidP="00267912">
      <w:pPr>
        <w:pStyle w:val="Headingi"/>
        <w:rPr>
          <w:lang w:eastAsia="ja-JP"/>
        </w:rPr>
      </w:pPr>
      <w:r w:rsidRPr="003E6436">
        <w:rPr>
          <w:lang w:eastAsia="ja-JP"/>
        </w:rPr>
        <w:t xml:space="preserve">Alternative 2: </w:t>
      </w:r>
    </w:p>
    <w:p w14:paraId="2F2A9ACA" w14:textId="6452B26A" w:rsidR="0040225E" w:rsidRPr="002D19D4" w:rsidRDefault="0040225E" w:rsidP="00F43F5B">
      <w:pPr>
        <w:jc w:val="both"/>
        <w:rPr>
          <w:spacing w:val="-2"/>
          <w:lang w:eastAsia="ja-JP"/>
        </w:rPr>
      </w:pPr>
      <w:r w:rsidRPr="002D19D4">
        <w:rPr>
          <w:spacing w:val="-2"/>
          <w:lang w:eastAsia="ja-JP"/>
        </w:rPr>
        <w:t xml:space="preserve">Other </w:t>
      </w:r>
      <w:r w:rsidR="00F43F5B" w:rsidRPr="002D19D4">
        <w:rPr>
          <w:spacing w:val="-2"/>
          <w:lang w:eastAsia="ja-JP"/>
        </w:rPr>
        <w:t xml:space="preserve">Administrations </w:t>
      </w:r>
      <w:r w:rsidRPr="002D19D4">
        <w:rPr>
          <w:spacing w:val="-2"/>
          <w:lang w:eastAsia="ja-JP"/>
        </w:rPr>
        <w:t>are of the view that there is no need to have any draft new or revised Resolution on this matter in the draft CPM text (see Attachment 2) and doing so would be outside the scope of the Res</w:t>
      </w:r>
      <w:r w:rsidR="00F43F5B" w:rsidRPr="002D19D4">
        <w:rPr>
          <w:spacing w:val="-2"/>
          <w:lang w:eastAsia="ja-JP"/>
        </w:rPr>
        <w:t>olution</w:t>
      </w:r>
      <w:r w:rsidRPr="002D19D4">
        <w:rPr>
          <w:spacing w:val="-2"/>
          <w:lang w:eastAsia="ja-JP"/>
        </w:rPr>
        <w:t xml:space="preserve"> </w:t>
      </w:r>
      <w:r w:rsidRPr="002D19D4">
        <w:rPr>
          <w:b/>
          <w:bCs/>
          <w:spacing w:val="-2"/>
          <w:lang w:eastAsia="ja-JP"/>
        </w:rPr>
        <w:t>175 (WRC-19)</w:t>
      </w:r>
      <w:r w:rsidRPr="002D19D4">
        <w:rPr>
          <w:spacing w:val="-2"/>
          <w:lang w:eastAsia="ja-JP"/>
        </w:rPr>
        <w:t xml:space="preserve"> </w:t>
      </w:r>
      <w:r w:rsidRPr="002D19D4">
        <w:rPr>
          <w:i/>
          <w:iCs/>
          <w:spacing w:val="-2"/>
          <w:lang w:eastAsia="ja-JP"/>
        </w:rPr>
        <w:t xml:space="preserve">resolves </w:t>
      </w:r>
      <w:r w:rsidRPr="002D19D4">
        <w:rPr>
          <w:spacing w:val="-2"/>
          <w:lang w:eastAsia="ja-JP"/>
        </w:rPr>
        <w:t>and consequently is not compliant with Res</w:t>
      </w:r>
      <w:r w:rsidR="00F43F5B" w:rsidRPr="002D19D4">
        <w:rPr>
          <w:spacing w:val="-2"/>
          <w:lang w:eastAsia="ja-JP"/>
        </w:rPr>
        <w:t>olution ITU-R</w:t>
      </w:r>
      <w:r w:rsidRPr="002D19D4">
        <w:rPr>
          <w:spacing w:val="-2"/>
          <w:lang w:eastAsia="ja-JP"/>
        </w:rPr>
        <w:t xml:space="preserve"> 2</w:t>
      </w:r>
      <w:r w:rsidR="002D19D4" w:rsidRPr="002D19D4">
        <w:rPr>
          <w:spacing w:val="-2"/>
          <w:lang w:eastAsia="ja-JP"/>
        </w:rPr>
        <w:noBreakHyphen/>
      </w:r>
      <w:r w:rsidRPr="002D19D4">
        <w:rPr>
          <w:spacing w:val="-2"/>
          <w:lang w:eastAsia="ja-JP"/>
        </w:rPr>
        <w:t>8</w:t>
      </w:r>
      <w:r w:rsidR="00F43F5B" w:rsidRPr="002D19D4">
        <w:rPr>
          <w:spacing w:val="-2"/>
          <w:lang w:eastAsia="ja-JP"/>
        </w:rPr>
        <w:t>,</w:t>
      </w:r>
      <w:r w:rsidRPr="002D19D4">
        <w:rPr>
          <w:spacing w:val="-2"/>
          <w:lang w:eastAsia="ja-JP"/>
        </w:rPr>
        <w:t xml:space="preserve"> Annex 1 (Working </w:t>
      </w:r>
      <w:r w:rsidR="00F43F5B" w:rsidRPr="002D19D4">
        <w:rPr>
          <w:spacing w:val="-2"/>
          <w:lang w:eastAsia="ja-JP"/>
        </w:rPr>
        <w:t>methods</w:t>
      </w:r>
      <w:r w:rsidRPr="002D19D4">
        <w:rPr>
          <w:spacing w:val="-2"/>
          <w:lang w:eastAsia="ja-JP"/>
        </w:rPr>
        <w:t>)</w:t>
      </w:r>
      <w:r w:rsidR="00F43F5B" w:rsidRPr="002D19D4">
        <w:rPr>
          <w:spacing w:val="-2"/>
          <w:lang w:eastAsia="ja-JP"/>
        </w:rPr>
        <w:t>, § </w:t>
      </w:r>
      <w:proofErr w:type="spellStart"/>
      <w:r w:rsidRPr="002D19D4">
        <w:rPr>
          <w:spacing w:val="-2"/>
          <w:lang w:eastAsia="ja-JP"/>
        </w:rPr>
        <w:t>A1.2.8</w:t>
      </w:r>
      <w:proofErr w:type="spellEnd"/>
      <w:r w:rsidRPr="002D19D4">
        <w:rPr>
          <w:spacing w:val="-2"/>
          <w:lang w:eastAsia="ja-JP"/>
        </w:rPr>
        <w:t>.</w:t>
      </w:r>
    </w:p>
    <w:p w14:paraId="10810B61" w14:textId="77777777" w:rsidR="0040225E" w:rsidRPr="003E6436" w:rsidRDefault="0040225E" w:rsidP="00FD40DC">
      <w:pPr>
        <w:jc w:val="both"/>
        <w:rPr>
          <w:i/>
          <w:iCs/>
        </w:rPr>
      </w:pPr>
      <w:r w:rsidRPr="003E6436">
        <w:t>Regarding the minutes of WRC-19 referred to above in Alternative 1, they refer to an agreement to include the text proposed by delegate of one administration in the minutes of the conference. This cannot be assumed as a formal decision of the conference to include an agenda item at WRC-27. if this was to be formal decision of the conference, then WRC-19 would have taken a formal decision for example by including a provisional agenda item for WRC-27. Furthermore, conferences are sovereign and this text in the minutes cannot be taken as one conference bounding future conference to take a particular action in this case.</w:t>
      </w:r>
    </w:p>
    <w:p w14:paraId="419E5377" w14:textId="77777777" w:rsidR="0040225E" w:rsidRPr="003E6436" w:rsidRDefault="0040225E" w:rsidP="00765470">
      <w:pPr>
        <w:rPr>
          <w:lang w:eastAsia="ja-JP"/>
        </w:rPr>
      </w:pPr>
    </w:p>
    <w:p w14:paraId="71F4E427" w14:textId="77777777" w:rsidR="0040225E" w:rsidRPr="003E6436" w:rsidRDefault="0040225E">
      <w:pPr>
        <w:tabs>
          <w:tab w:val="clear" w:pos="1134"/>
          <w:tab w:val="clear" w:pos="1871"/>
          <w:tab w:val="clear" w:pos="2268"/>
        </w:tabs>
        <w:overflowPunct/>
        <w:autoSpaceDE/>
        <w:autoSpaceDN/>
        <w:adjustRightInd/>
        <w:spacing w:before="0"/>
        <w:textAlignment w:val="auto"/>
        <w:rPr>
          <w:szCs w:val="24"/>
        </w:rPr>
      </w:pPr>
    </w:p>
    <w:p w14:paraId="5AE1A9E5" w14:textId="77777777" w:rsidR="0040225E" w:rsidRPr="003E6436" w:rsidRDefault="0040225E">
      <w:pPr>
        <w:tabs>
          <w:tab w:val="clear" w:pos="1134"/>
          <w:tab w:val="clear" w:pos="1871"/>
          <w:tab w:val="clear" w:pos="2268"/>
        </w:tabs>
        <w:overflowPunct/>
        <w:autoSpaceDE/>
        <w:autoSpaceDN/>
        <w:adjustRightInd/>
        <w:spacing w:before="0"/>
        <w:textAlignment w:val="auto"/>
        <w:rPr>
          <w:i/>
          <w:iCs/>
          <w:szCs w:val="24"/>
        </w:rPr>
      </w:pPr>
      <w:r w:rsidRPr="003E6436">
        <w:rPr>
          <w:i/>
          <w:iCs/>
          <w:color w:val="000000"/>
        </w:rPr>
        <w:br w:type="page"/>
      </w:r>
    </w:p>
    <w:p w14:paraId="1E3FAE9B" w14:textId="77777777" w:rsidR="0040225E" w:rsidRPr="003E6436" w:rsidRDefault="0040225E" w:rsidP="000E33F2">
      <w:pPr>
        <w:pStyle w:val="AnnexNo"/>
      </w:pPr>
      <w:r w:rsidRPr="003E6436">
        <w:lastRenderedPageBreak/>
        <w:t>Attachment 1</w:t>
      </w:r>
    </w:p>
    <w:p w14:paraId="0C1A1FD1" w14:textId="10D012C8" w:rsidR="0040225E" w:rsidRPr="003E6436" w:rsidRDefault="0040225E" w:rsidP="000E33F2">
      <w:pPr>
        <w:pStyle w:val="Annextitle"/>
        <w:rPr>
          <w:u w:val="words"/>
        </w:rPr>
      </w:pPr>
      <w:r w:rsidRPr="003E6436">
        <w:t>Draft new Resolution [[XXX] (WRC-23)</w:t>
      </w:r>
      <w:r w:rsidR="00FD40DC" w:rsidRPr="003E6436">
        <w:t xml:space="preserve"> </w:t>
      </w:r>
      <w:r w:rsidRPr="003E6436">
        <w:t>/</w:t>
      </w:r>
      <w:r w:rsidR="00FD40DC" w:rsidRPr="003E6436">
        <w:t xml:space="preserve"> </w:t>
      </w:r>
      <w:r w:rsidRPr="003E6436">
        <w:t>ITU-R [XXX]] for consideration and approval by WRC-23 or RA-23 (</w:t>
      </w:r>
      <w:r w:rsidR="00FA454F" w:rsidRPr="003E6436">
        <w:t xml:space="preserve">Parts </w:t>
      </w:r>
      <w:r w:rsidRPr="003E6436">
        <w:t>A and B)</w:t>
      </w:r>
    </w:p>
    <w:p w14:paraId="61434E8B" w14:textId="732A5D20" w:rsidR="0040225E" w:rsidRPr="003E6436" w:rsidRDefault="0040225E" w:rsidP="00FD40DC">
      <w:pPr>
        <w:pStyle w:val="Headingb"/>
        <w:rPr>
          <w:sz w:val="22"/>
        </w:rPr>
      </w:pPr>
      <w:r w:rsidRPr="003E6436">
        <w:t>A)</w:t>
      </w:r>
      <w:r w:rsidR="00FD40DC" w:rsidRPr="003E6436">
        <w:t xml:space="preserve"> </w:t>
      </w:r>
      <w:r w:rsidR="00E65F00" w:rsidRPr="003E6436">
        <w:tab/>
      </w:r>
      <w:r w:rsidRPr="003E6436">
        <w:t>"Draft new Resolution XXX for consideration and approval by WRC-23 or RA-23</w:t>
      </w:r>
    </w:p>
    <w:p w14:paraId="3A835BC8" w14:textId="77777777" w:rsidR="0040225E" w:rsidRPr="003E6436" w:rsidRDefault="0040225E" w:rsidP="00FD40DC">
      <w:pPr>
        <w:pStyle w:val="ResNo"/>
      </w:pPr>
      <w:r w:rsidRPr="003E6436">
        <w:t>RESOLUTION XXX</w:t>
      </w:r>
    </w:p>
    <w:p w14:paraId="5C64CE50" w14:textId="5C6E4B7E" w:rsidR="0040225E" w:rsidRPr="003E6436" w:rsidRDefault="0040225E" w:rsidP="00FD40DC">
      <w:pPr>
        <w:pStyle w:val="Restitle"/>
      </w:pPr>
      <w:r w:rsidRPr="003E6436">
        <w:t xml:space="preserve">Use of IMT Technologies in the frequency bands allocated </w:t>
      </w:r>
      <w:r w:rsidR="00FD40DC" w:rsidRPr="003E6436">
        <w:br/>
      </w:r>
      <w:r w:rsidRPr="003E6436">
        <w:t>to the fixed service on a primary basis</w:t>
      </w:r>
    </w:p>
    <w:p w14:paraId="224BB7EB" w14:textId="733CDE9A" w:rsidR="0040225E" w:rsidRPr="003E6436" w:rsidRDefault="0040225E" w:rsidP="00FD40DC">
      <w:pPr>
        <w:pStyle w:val="Normalaftertitle0"/>
      </w:pPr>
      <w:r w:rsidRPr="003E6436">
        <w:t>The World Radiocommunication Conference (</w:t>
      </w:r>
      <w:r w:rsidR="00FA454F" w:rsidRPr="003E6436">
        <w:t>[Abu Dhabi or Dubai]</w:t>
      </w:r>
      <w:r w:rsidRPr="003E6436">
        <w:t xml:space="preserve">, 2023), </w:t>
      </w:r>
    </w:p>
    <w:p w14:paraId="77ADA72B" w14:textId="77777777" w:rsidR="0040225E" w:rsidRPr="003E6436" w:rsidRDefault="0040225E" w:rsidP="008B1032">
      <w:pPr>
        <w:pStyle w:val="Call"/>
      </w:pPr>
      <w:r w:rsidRPr="003E6436">
        <w:t>considering</w:t>
      </w:r>
    </w:p>
    <w:p w14:paraId="5BF321EB" w14:textId="1050934F" w:rsidR="0040225E" w:rsidRPr="003E6436" w:rsidRDefault="0040225E" w:rsidP="008B1032">
      <w:pPr>
        <w:shd w:val="clear" w:color="auto" w:fill="FFFFFF"/>
        <w:jc w:val="both"/>
        <w:rPr>
          <w:color w:val="212121"/>
        </w:rPr>
      </w:pPr>
      <w:r w:rsidRPr="003E6436">
        <w:rPr>
          <w:i/>
          <w:iCs/>
          <w:color w:val="212121"/>
        </w:rPr>
        <w:t>a)</w:t>
      </w:r>
      <w:r w:rsidRPr="003E6436">
        <w:rPr>
          <w:color w:val="212121"/>
        </w:rPr>
        <w:t xml:space="preserve"> </w:t>
      </w:r>
      <w:r w:rsidR="008B1032" w:rsidRPr="003E6436">
        <w:rPr>
          <w:color w:val="212121"/>
        </w:rPr>
        <w:tab/>
      </w:r>
      <w:r w:rsidRPr="003E6436">
        <w:rPr>
          <w:color w:val="212121"/>
        </w:rPr>
        <w:t xml:space="preserve">that the use of harmonized frequency bands for International Mobile Telecommunications (IMT) systems is desirable in order to achieve the benefits of economies of scale worldwide; </w:t>
      </w:r>
    </w:p>
    <w:p w14:paraId="1969139C" w14:textId="2CBA8FC8" w:rsidR="0040225E" w:rsidRPr="003E6436" w:rsidRDefault="0040225E" w:rsidP="008B1032">
      <w:pPr>
        <w:shd w:val="clear" w:color="auto" w:fill="FFFFFF"/>
        <w:jc w:val="both"/>
        <w:rPr>
          <w:color w:val="212121"/>
        </w:rPr>
      </w:pPr>
      <w:r w:rsidRPr="003E6436">
        <w:rPr>
          <w:i/>
          <w:iCs/>
          <w:color w:val="212121"/>
        </w:rPr>
        <w:t>b)</w:t>
      </w:r>
      <w:r w:rsidRPr="003E6436">
        <w:rPr>
          <w:color w:val="212121"/>
        </w:rPr>
        <w:t xml:space="preserve"> </w:t>
      </w:r>
      <w:r w:rsidR="008B1032" w:rsidRPr="003E6436">
        <w:rPr>
          <w:color w:val="212121"/>
        </w:rPr>
        <w:tab/>
      </w:r>
      <w:r w:rsidRPr="003E6436">
        <w:rPr>
          <w:color w:val="212121"/>
        </w:rPr>
        <w:t xml:space="preserve">that the use of IMT systems for fixed broadband can assist in meeting global demands to bridge the digital divide, support the broadband agenda in developing countries and provide cost-effective broadband services to rural and underserved areas, </w:t>
      </w:r>
    </w:p>
    <w:p w14:paraId="04E65B67" w14:textId="77777777" w:rsidR="0040225E" w:rsidRPr="003E6436" w:rsidRDefault="0040225E" w:rsidP="008B1032">
      <w:pPr>
        <w:pStyle w:val="Call"/>
      </w:pPr>
      <w:r w:rsidRPr="003E6436">
        <w:t xml:space="preserve">recognizing </w:t>
      </w:r>
    </w:p>
    <w:p w14:paraId="144D4155" w14:textId="3E6A909B" w:rsidR="0040225E" w:rsidRPr="003E6436" w:rsidRDefault="0040225E" w:rsidP="008B1032">
      <w:pPr>
        <w:shd w:val="clear" w:color="auto" w:fill="FFFFFF"/>
        <w:jc w:val="both"/>
        <w:rPr>
          <w:color w:val="212121"/>
        </w:rPr>
      </w:pPr>
      <w:r w:rsidRPr="003E6436">
        <w:rPr>
          <w:i/>
          <w:iCs/>
          <w:color w:val="212121"/>
        </w:rPr>
        <w:t>a)</w:t>
      </w:r>
      <w:r w:rsidR="008B1032" w:rsidRPr="003E6436">
        <w:rPr>
          <w:color w:val="212121"/>
        </w:rPr>
        <w:tab/>
      </w:r>
      <w:r w:rsidRPr="003E6436">
        <w:rPr>
          <w:color w:val="212121"/>
        </w:rPr>
        <w:t>that Resolution 139 (Rev. Dubai, 2018) of the ITU Plenipotentiary Conference calls for bridging the digital divide worldwide through the use of telecommunications/information and communication technologies to bridge the digital divide and build an inclusive information society;</w:t>
      </w:r>
    </w:p>
    <w:p w14:paraId="72D01538" w14:textId="193A6041" w:rsidR="0040225E" w:rsidRPr="003E6436" w:rsidRDefault="0040225E" w:rsidP="008B1032">
      <w:pPr>
        <w:shd w:val="clear" w:color="auto" w:fill="FFFFFF"/>
        <w:jc w:val="both"/>
        <w:rPr>
          <w:color w:val="212121"/>
        </w:rPr>
      </w:pPr>
      <w:r w:rsidRPr="003E6436">
        <w:rPr>
          <w:i/>
          <w:iCs/>
          <w:color w:val="212121"/>
        </w:rPr>
        <w:t>b)</w:t>
      </w:r>
      <w:r w:rsidR="008B1032" w:rsidRPr="003E6436">
        <w:rPr>
          <w:color w:val="212121"/>
        </w:rPr>
        <w:tab/>
      </w:r>
      <w:r w:rsidRPr="003E6436">
        <w:rPr>
          <w:color w:val="212121"/>
        </w:rPr>
        <w:t xml:space="preserve">that Resolution 37 (Rev. Buenos Aires, 2017) of the World Telecommunication Development Conference calls for bridging the digital divide; </w:t>
      </w:r>
    </w:p>
    <w:p w14:paraId="33CB0027" w14:textId="6F8B5E33" w:rsidR="0040225E" w:rsidRPr="003E6436" w:rsidRDefault="0040225E" w:rsidP="008B1032">
      <w:pPr>
        <w:shd w:val="clear" w:color="auto" w:fill="FFFFFF"/>
        <w:jc w:val="both"/>
        <w:rPr>
          <w:color w:val="212121"/>
        </w:rPr>
      </w:pPr>
      <w:r w:rsidRPr="003E6436">
        <w:rPr>
          <w:i/>
          <w:iCs/>
          <w:color w:val="212121"/>
        </w:rPr>
        <w:t>c)</w:t>
      </w:r>
      <w:r w:rsidR="008B1032" w:rsidRPr="003E6436">
        <w:rPr>
          <w:color w:val="212121"/>
        </w:rPr>
        <w:tab/>
      </w:r>
      <w:r w:rsidRPr="003E6436">
        <w:rPr>
          <w:color w:val="212121"/>
        </w:rPr>
        <w:t>that the ITU Radiocommunication Sector (ITU-</w:t>
      </w:r>
      <w:r w:rsidR="008B1032" w:rsidRPr="003E6436">
        <w:rPr>
          <w:color w:val="212121"/>
        </w:rPr>
        <w:t>R</w:t>
      </w:r>
      <w:r w:rsidRPr="003E6436">
        <w:rPr>
          <w:color w:val="212121"/>
        </w:rPr>
        <w:t xml:space="preserve">) Handbook on fixed wireless access addresses the use of early technologies of IMT system for fixed wireless access, and Recommendation ITU-R </w:t>
      </w:r>
      <w:proofErr w:type="spellStart"/>
      <w:r w:rsidRPr="003E6436">
        <w:rPr>
          <w:color w:val="212121"/>
        </w:rPr>
        <w:t>M.819</w:t>
      </w:r>
      <w:proofErr w:type="spellEnd"/>
      <w:r w:rsidRPr="003E6436">
        <w:rPr>
          <w:color w:val="212121"/>
        </w:rPr>
        <w:t xml:space="preserve"> contains specific requirements pertaining to fixed wireless access</w:t>
      </w:r>
      <w:r w:rsidR="008B1032" w:rsidRPr="003E6436">
        <w:rPr>
          <w:color w:val="212121"/>
        </w:rPr>
        <w:t>;</w:t>
      </w:r>
    </w:p>
    <w:p w14:paraId="0DD1A6EC" w14:textId="1A6095E0" w:rsidR="0040225E" w:rsidRPr="003E6436" w:rsidRDefault="009C7BBC" w:rsidP="008B1032">
      <w:pPr>
        <w:shd w:val="clear" w:color="auto" w:fill="FFFFFF"/>
        <w:jc w:val="both"/>
        <w:rPr>
          <w:color w:val="212121"/>
        </w:rPr>
      </w:pPr>
      <w:r>
        <w:rPr>
          <w:i/>
          <w:iCs/>
          <w:color w:val="212121"/>
        </w:rPr>
        <w:t>d</w:t>
      </w:r>
      <w:r w:rsidR="0040225E" w:rsidRPr="003E6436">
        <w:rPr>
          <w:i/>
          <w:iCs/>
          <w:color w:val="212121"/>
        </w:rPr>
        <w:t>)</w:t>
      </w:r>
      <w:r w:rsidR="0040225E" w:rsidRPr="003E6436">
        <w:rPr>
          <w:color w:val="212121"/>
        </w:rPr>
        <w:t xml:space="preserve"> </w:t>
      </w:r>
      <w:r w:rsidR="008B1032" w:rsidRPr="003E6436">
        <w:rPr>
          <w:color w:val="212121"/>
        </w:rPr>
        <w:tab/>
      </w:r>
      <w:r w:rsidR="0040225E" w:rsidRPr="003E6436">
        <w:rPr>
          <w:color w:val="212121"/>
        </w:rPr>
        <w:t>IMT capabilities are emerging rapidly to support integrated access and backhaul solution to facilitate networks deployment</w:t>
      </w:r>
      <w:r w:rsidR="008B1032" w:rsidRPr="003E6436">
        <w:rPr>
          <w:color w:val="212121"/>
        </w:rPr>
        <w:t>,</w:t>
      </w:r>
    </w:p>
    <w:p w14:paraId="18AD92A1" w14:textId="6CA23626" w:rsidR="0040225E" w:rsidRPr="003E6436" w:rsidRDefault="0040225E" w:rsidP="008B1032">
      <w:pPr>
        <w:pStyle w:val="Call"/>
      </w:pPr>
      <w:r w:rsidRPr="003E6436">
        <w:t>resolves</w:t>
      </w:r>
    </w:p>
    <w:p w14:paraId="55DEE7A1" w14:textId="0C27F16E" w:rsidR="0040225E" w:rsidRPr="003E6436" w:rsidRDefault="0040225E" w:rsidP="00E65F00">
      <w:pPr>
        <w:shd w:val="clear" w:color="auto" w:fill="FFFFFF"/>
        <w:jc w:val="both"/>
        <w:rPr>
          <w:color w:val="212121"/>
        </w:rPr>
      </w:pPr>
      <w:r w:rsidRPr="003E6436">
        <w:rPr>
          <w:color w:val="212121"/>
        </w:rPr>
        <w:t>to invite ITU Radiocommunication Sector</w:t>
      </w:r>
      <w:r w:rsidR="00FA454F" w:rsidRPr="003E6436">
        <w:rPr>
          <w:color w:val="212121"/>
        </w:rPr>
        <w:t xml:space="preserve"> </w:t>
      </w:r>
      <w:r w:rsidRPr="003E6436">
        <w:rPr>
          <w:color w:val="212121"/>
          <w:szCs w:val="24"/>
        </w:rPr>
        <w:t xml:space="preserve">to revise existing, and to develop new, ITU-R Handbooks, Recommendations </w:t>
      </w:r>
      <w:r w:rsidRPr="003E6436">
        <w:rPr>
          <w:color w:val="212121"/>
          <w:szCs w:val="24"/>
        </w:rPr>
        <w:lastRenderedPageBreak/>
        <w:t>and Reports on harmonising the use of IMT technologies for broadband fixed wireless applications in the frequency bands allocated to the fixed service on primary basis,</w:t>
      </w:r>
    </w:p>
    <w:p w14:paraId="4B748AB4" w14:textId="77777777" w:rsidR="0040225E" w:rsidRPr="003E6436" w:rsidRDefault="0040225E" w:rsidP="008B1032">
      <w:pPr>
        <w:pStyle w:val="Call"/>
      </w:pPr>
      <w:r w:rsidRPr="003E6436">
        <w:t>invites administrations</w:t>
      </w:r>
    </w:p>
    <w:p w14:paraId="50F9F395" w14:textId="77777777" w:rsidR="0040225E" w:rsidRPr="003E6436" w:rsidRDefault="0040225E" w:rsidP="007B309D">
      <w:pPr>
        <w:shd w:val="clear" w:color="auto" w:fill="FFFFFF"/>
        <w:rPr>
          <w:color w:val="212121"/>
        </w:rPr>
      </w:pPr>
      <w:r w:rsidRPr="003E6436">
        <w:rPr>
          <w:color w:val="212121"/>
        </w:rPr>
        <w:t>to participate in these studies.</w:t>
      </w:r>
    </w:p>
    <w:p w14:paraId="20026CF4" w14:textId="77777777" w:rsidR="0040225E" w:rsidRPr="003E6436" w:rsidRDefault="0040225E" w:rsidP="007B309D">
      <w:pPr>
        <w:shd w:val="clear" w:color="auto" w:fill="FFFFFF"/>
        <w:rPr>
          <w:color w:val="212121"/>
        </w:rPr>
      </w:pPr>
      <w:r w:rsidRPr="003E6436">
        <w:rPr>
          <w:color w:val="212121"/>
        </w:rPr>
        <w:t>"</w:t>
      </w:r>
    </w:p>
    <w:p w14:paraId="4DB7394B" w14:textId="0B4B66F2" w:rsidR="0040225E" w:rsidRPr="009C7BBC" w:rsidRDefault="0040225E" w:rsidP="009C7BBC">
      <w:pPr>
        <w:pStyle w:val="Headingb"/>
        <w:ind w:left="1134" w:hanging="1134"/>
        <w:rPr>
          <w:i/>
          <w:iCs/>
        </w:rPr>
      </w:pPr>
      <w:r w:rsidRPr="003E6436">
        <w:t>B)</w:t>
      </w:r>
      <w:r w:rsidR="00FD40DC" w:rsidRPr="003E6436">
        <w:tab/>
      </w:r>
      <w:r w:rsidRPr="009C7BBC">
        <w:rPr>
          <w:i/>
          <w:iCs/>
        </w:rPr>
        <w:t>[</w:t>
      </w:r>
      <w:r w:rsidR="009C7BBC" w:rsidRPr="009C7BBC">
        <w:rPr>
          <w:i/>
          <w:iCs/>
        </w:rPr>
        <w:t xml:space="preserve">Placeholder </w:t>
      </w:r>
      <w:r w:rsidRPr="009C7BBC">
        <w:rPr>
          <w:i/>
          <w:iCs/>
        </w:rPr>
        <w:t>for the revised text of Resolution 175 (</w:t>
      </w:r>
      <w:proofErr w:type="spellStart"/>
      <w:r w:rsidR="00FD40DC" w:rsidRPr="009C7BBC">
        <w:rPr>
          <w:i/>
          <w:iCs/>
        </w:rPr>
        <w:t>Rev</w:t>
      </w:r>
      <w:r w:rsidR="008B1032" w:rsidRPr="009C7BBC">
        <w:rPr>
          <w:i/>
          <w:iCs/>
        </w:rPr>
        <w:t>.</w:t>
      </w:r>
      <w:r w:rsidRPr="009C7BBC">
        <w:rPr>
          <w:i/>
          <w:iCs/>
        </w:rPr>
        <w:t>WRC</w:t>
      </w:r>
      <w:proofErr w:type="spellEnd"/>
      <w:r w:rsidRPr="009C7BBC">
        <w:rPr>
          <w:i/>
          <w:iCs/>
        </w:rPr>
        <w:t>-23</w:t>
      </w:r>
      <w:r w:rsidR="008B1032" w:rsidRPr="009C7BBC">
        <w:rPr>
          <w:i/>
          <w:iCs/>
        </w:rPr>
        <w:t>)</w:t>
      </w:r>
      <w:r w:rsidRPr="009C7BBC">
        <w:rPr>
          <w:i/>
          <w:iCs/>
        </w:rPr>
        <w:t xml:space="preserve">, </w:t>
      </w:r>
      <w:r w:rsidR="004A7934" w:rsidRPr="009C7BBC">
        <w:rPr>
          <w:i/>
          <w:iCs/>
        </w:rPr>
        <w:t>[Abu Dhabi or Dubai]</w:t>
      </w:r>
      <w:r w:rsidRPr="009C7BBC">
        <w:rPr>
          <w:i/>
          <w:iCs/>
        </w:rPr>
        <w:t>.]</w:t>
      </w:r>
    </w:p>
    <w:bookmarkEnd w:id="9"/>
    <w:p w14:paraId="3E45A3F0" w14:textId="77777777" w:rsidR="0040225E" w:rsidRPr="003E6436" w:rsidRDefault="0040225E">
      <w:pPr>
        <w:tabs>
          <w:tab w:val="clear" w:pos="1134"/>
          <w:tab w:val="clear" w:pos="1871"/>
          <w:tab w:val="clear" w:pos="2268"/>
        </w:tabs>
        <w:overflowPunct/>
        <w:autoSpaceDE/>
        <w:autoSpaceDN/>
        <w:adjustRightInd/>
        <w:spacing w:before="0"/>
        <w:textAlignment w:val="auto"/>
      </w:pPr>
      <w:r w:rsidRPr="003E6436">
        <w:br w:type="page"/>
      </w:r>
    </w:p>
    <w:p w14:paraId="10AF06FB" w14:textId="77777777" w:rsidR="0040225E" w:rsidRPr="003E6436" w:rsidRDefault="0040225E" w:rsidP="00FA454F">
      <w:pPr>
        <w:pStyle w:val="AnnexNo"/>
        <w:rPr>
          <w:lang w:eastAsia="fr-CH"/>
        </w:rPr>
      </w:pPr>
      <w:r w:rsidRPr="003E6436">
        <w:rPr>
          <w:lang w:eastAsia="fr-CH"/>
        </w:rPr>
        <w:lastRenderedPageBreak/>
        <w:t>Attachment 2</w:t>
      </w:r>
    </w:p>
    <w:p w14:paraId="408E3AE7" w14:textId="77777777" w:rsidR="0040225E" w:rsidRPr="003E6436" w:rsidRDefault="0040225E" w:rsidP="00FA454F">
      <w:pPr>
        <w:pStyle w:val="Normalaftertitle"/>
        <w:jc w:val="both"/>
      </w:pPr>
      <w:r w:rsidRPr="003E6436">
        <w:t xml:space="preserve">The ITU-R membership may continue studies, taking into account existing and new Study Questions, or revising existing publications, or considering new ITU-R documents, to support the future development of fixed wireless applications including those that use IMT technology in the frequency bands allocated to the fixed service. This activity is already in progress in WP </w:t>
      </w:r>
      <w:proofErr w:type="spellStart"/>
      <w:r w:rsidRPr="003E6436">
        <w:t>5A</w:t>
      </w:r>
      <w:proofErr w:type="spellEnd"/>
      <w:r w:rsidRPr="003E6436">
        <w:t xml:space="preserve"> and WP </w:t>
      </w:r>
      <w:proofErr w:type="spellStart"/>
      <w:r w:rsidRPr="003E6436">
        <w:t>5C</w:t>
      </w:r>
      <w:proofErr w:type="spellEnd"/>
      <w:r w:rsidRPr="003E6436">
        <w:t xml:space="preserve"> and can continue through the course of work. </w:t>
      </w:r>
    </w:p>
    <w:p w14:paraId="2B7678E6" w14:textId="77777777" w:rsidR="0040225E" w:rsidRPr="003E6436" w:rsidRDefault="0040225E" w:rsidP="00FA454F">
      <w:pPr>
        <w:spacing w:before="100"/>
        <w:jc w:val="both"/>
        <w:rPr>
          <w:szCs w:val="24"/>
        </w:rPr>
      </w:pPr>
      <w:r w:rsidRPr="003E6436">
        <w:rPr>
          <w:szCs w:val="24"/>
        </w:rPr>
        <w:t xml:space="preserve">Below is an analysis which illustrates why neither an RA Resolution, nor a WRC Resolution such as the one present in Attachment 1, is needed. </w:t>
      </w:r>
    </w:p>
    <w:p w14:paraId="7B08E63E" w14:textId="77777777" w:rsidR="0040225E" w:rsidRPr="003E6436" w:rsidRDefault="0040225E" w:rsidP="00B32B80">
      <w:pPr>
        <w:pStyle w:val="Headingb"/>
        <w:rPr>
          <w:lang w:eastAsia="fr-CH"/>
        </w:rPr>
      </w:pPr>
      <w:r w:rsidRPr="003E6436">
        <w:rPr>
          <w:lang w:eastAsia="fr-CH"/>
        </w:rPr>
        <w:t>Analysis</w:t>
      </w:r>
    </w:p>
    <w:p w14:paraId="1F75DECC" w14:textId="77777777" w:rsidR="0040225E" w:rsidRPr="003E6436" w:rsidRDefault="0040225E" w:rsidP="00FA454F">
      <w:pPr>
        <w:jc w:val="both"/>
        <w:rPr>
          <w:lang w:eastAsia="fr-CH"/>
        </w:rPr>
      </w:pPr>
      <w:r w:rsidRPr="003E6436">
        <w:rPr>
          <w:lang w:eastAsia="fr-CH"/>
        </w:rPr>
        <w:t>One contribution received from a Member State proposing a draft new WRC-/ITU-R Resolution. The title and operative parts of that Resolution is reproduced below:</w:t>
      </w:r>
    </w:p>
    <w:p w14:paraId="07F0FEC5" w14:textId="4468D4F2" w:rsidR="0040225E" w:rsidRPr="003E6436" w:rsidRDefault="0040225E" w:rsidP="00FA454F">
      <w:pPr>
        <w:pStyle w:val="ResNo"/>
        <w:rPr>
          <w:lang w:eastAsia="fr-CH"/>
        </w:rPr>
      </w:pPr>
      <w:r w:rsidRPr="003E6436">
        <w:rPr>
          <w:lang w:eastAsia="fr-CH"/>
        </w:rPr>
        <w:t xml:space="preserve">Draft new Resolution </w:t>
      </w:r>
      <w:r w:rsidR="00FA454F" w:rsidRPr="003E6436">
        <w:rPr>
          <w:lang w:eastAsia="fr-CH"/>
        </w:rPr>
        <w:t>WRC-23 / ITU-R</w:t>
      </w:r>
    </w:p>
    <w:p w14:paraId="04BE2222" w14:textId="4D48D3A7" w:rsidR="00E41FCE" w:rsidRPr="003E6436" w:rsidRDefault="00E41FCE" w:rsidP="00E41FCE">
      <w:pPr>
        <w:rPr>
          <w:lang w:eastAsia="fr-CH"/>
        </w:rPr>
      </w:pPr>
      <w:r w:rsidRPr="003E6436">
        <w:rPr>
          <w:lang w:eastAsia="fr-CH"/>
        </w:rPr>
        <w:t>(…)</w:t>
      </w:r>
    </w:p>
    <w:p w14:paraId="436A8A0F" w14:textId="77777777" w:rsidR="0040225E" w:rsidRPr="003E6436" w:rsidRDefault="0040225E" w:rsidP="00FA454F">
      <w:pPr>
        <w:pStyle w:val="Call"/>
        <w:rPr>
          <w:lang w:eastAsia="fr-CH"/>
        </w:rPr>
      </w:pPr>
      <w:r w:rsidRPr="003E6436">
        <w:rPr>
          <w:lang w:eastAsia="fr-CH"/>
        </w:rPr>
        <w:t>resolves to invite ITU Radiocommunication Sector</w:t>
      </w:r>
    </w:p>
    <w:p w14:paraId="693F27A8" w14:textId="77777777" w:rsidR="0040225E" w:rsidRPr="003E6436" w:rsidRDefault="0040225E" w:rsidP="00FA454F">
      <w:pPr>
        <w:jc w:val="both"/>
        <w:rPr>
          <w:lang w:eastAsia="fr-CH"/>
        </w:rPr>
      </w:pPr>
      <w:r w:rsidRPr="003E6436">
        <w:rPr>
          <w:lang w:eastAsia="fr-CH"/>
        </w:rPr>
        <w:t>to revise existing, and/or develop new, ITU-R studies, Handbooks, Recommendations and Reports on the use of IMT systems for fixed wireless broadband in the frequency bands allocated to the fixed service on primary basis,</w:t>
      </w:r>
    </w:p>
    <w:p w14:paraId="36E13970" w14:textId="77777777" w:rsidR="0040225E" w:rsidRPr="003E6436" w:rsidRDefault="0040225E" w:rsidP="00FA454F">
      <w:pPr>
        <w:pStyle w:val="Call"/>
        <w:rPr>
          <w:lang w:eastAsia="fr-CH"/>
        </w:rPr>
      </w:pPr>
      <w:r w:rsidRPr="003E6436">
        <w:rPr>
          <w:lang w:eastAsia="fr-CH"/>
        </w:rPr>
        <w:t>invites administrations</w:t>
      </w:r>
    </w:p>
    <w:p w14:paraId="79655C9E" w14:textId="77777777" w:rsidR="0040225E" w:rsidRPr="003E6436" w:rsidRDefault="0040225E" w:rsidP="00FA454F">
      <w:pPr>
        <w:rPr>
          <w:lang w:eastAsia="fr-CH"/>
        </w:rPr>
      </w:pPr>
      <w:r w:rsidRPr="003E6436">
        <w:rPr>
          <w:lang w:eastAsia="fr-CH"/>
        </w:rPr>
        <w:t>to participate in these studies.</w:t>
      </w:r>
    </w:p>
    <w:p w14:paraId="409F1EEC" w14:textId="5DA37EA1" w:rsidR="0040225E" w:rsidRPr="003E6436" w:rsidRDefault="0040225E" w:rsidP="00FA454F">
      <w:pPr>
        <w:pStyle w:val="Normalaftertitle"/>
        <w:jc w:val="both"/>
        <w:rPr>
          <w:lang w:eastAsia="fr-CH"/>
        </w:rPr>
      </w:pPr>
      <w:r w:rsidRPr="003E6436">
        <w:rPr>
          <w:lang w:eastAsia="fr-CH"/>
        </w:rPr>
        <w:t>After extensive discussion at several sessions of the responsible ITU-R groups there was no consensus to include the above-mentioned draft new Resolution in the draft CPM text relating to WRC-23 agenda item 9.1</w:t>
      </w:r>
      <w:r w:rsidR="00FA454F" w:rsidRPr="003E6436">
        <w:rPr>
          <w:lang w:eastAsia="fr-CH"/>
        </w:rPr>
        <w:t>,</w:t>
      </w:r>
      <w:r w:rsidRPr="003E6436">
        <w:rPr>
          <w:lang w:eastAsia="fr-CH"/>
        </w:rPr>
        <w:t xml:space="preserve"> topic c</w:t>
      </w:r>
      <w:r w:rsidR="00FA454F" w:rsidRPr="003E6436">
        <w:rPr>
          <w:lang w:eastAsia="fr-CH"/>
        </w:rPr>
        <w:t>),</w:t>
      </w:r>
      <w:r w:rsidRPr="003E6436">
        <w:rPr>
          <w:lang w:eastAsia="fr-CH"/>
        </w:rPr>
        <w:t xml:space="preserve"> for the following reasons</w:t>
      </w:r>
      <w:r w:rsidR="00FA454F" w:rsidRPr="003E6436">
        <w:rPr>
          <w:lang w:eastAsia="fr-CH"/>
        </w:rPr>
        <w:t>:</w:t>
      </w:r>
    </w:p>
    <w:p w14:paraId="33721196" w14:textId="78793B10" w:rsidR="0040225E" w:rsidRPr="003E6436" w:rsidRDefault="00FA454F" w:rsidP="00FA454F">
      <w:pPr>
        <w:pStyle w:val="enumlev1"/>
        <w:jc w:val="both"/>
        <w:rPr>
          <w:lang w:eastAsia="fr-CH"/>
        </w:rPr>
      </w:pPr>
      <w:r w:rsidRPr="003E6436">
        <w:rPr>
          <w:color w:val="222222"/>
          <w:szCs w:val="24"/>
          <w:lang w:eastAsia="fr-CH"/>
        </w:rPr>
        <w:t>–</w:t>
      </w:r>
      <w:r w:rsidRPr="003E6436">
        <w:rPr>
          <w:color w:val="222222"/>
          <w:szCs w:val="24"/>
          <w:lang w:eastAsia="fr-CH"/>
        </w:rPr>
        <w:tab/>
      </w:r>
      <w:r w:rsidR="0040225E" w:rsidRPr="003E6436">
        <w:rPr>
          <w:color w:val="222222"/>
          <w:szCs w:val="24"/>
          <w:lang w:eastAsia="fr-CH"/>
        </w:rPr>
        <w:t>The ITU-R Study Groups</w:t>
      </w:r>
      <w:r w:rsidRPr="003E6436">
        <w:rPr>
          <w:color w:val="222222"/>
          <w:szCs w:val="24"/>
          <w:lang w:eastAsia="fr-CH"/>
        </w:rPr>
        <w:t xml:space="preserve"> </w:t>
      </w:r>
      <w:r w:rsidR="0040225E" w:rsidRPr="003E6436">
        <w:rPr>
          <w:color w:val="222222"/>
          <w:szCs w:val="24"/>
          <w:lang w:eastAsia="fr-CH"/>
        </w:rPr>
        <w:t xml:space="preserve">/ Working </w:t>
      </w:r>
      <w:r w:rsidRPr="003E6436">
        <w:rPr>
          <w:color w:val="222222"/>
          <w:szCs w:val="24"/>
          <w:lang w:eastAsia="fr-CH"/>
        </w:rPr>
        <w:t xml:space="preserve">Parties </w:t>
      </w:r>
      <w:r w:rsidR="0040225E" w:rsidRPr="003E6436">
        <w:rPr>
          <w:color w:val="222222"/>
          <w:szCs w:val="24"/>
          <w:lang w:eastAsia="fr-CH"/>
        </w:rPr>
        <w:t>responsible for any agenda item and the associated contributing groups are not eligible to propose any agenda item for the future WRC due to the fact that only the State Members through WRC-23 agenda item 10 could proposed new agenda item to the subsequent WRC</w:t>
      </w:r>
      <w:r w:rsidR="00D70761" w:rsidRPr="003E6436">
        <w:rPr>
          <w:color w:val="222222"/>
          <w:szCs w:val="24"/>
          <w:lang w:eastAsia="fr-CH"/>
        </w:rPr>
        <w:t>.</w:t>
      </w:r>
    </w:p>
    <w:p w14:paraId="3A1976C4" w14:textId="11089A08" w:rsidR="0040225E" w:rsidRPr="003E6436" w:rsidRDefault="00D70761" w:rsidP="006A3301">
      <w:pPr>
        <w:pStyle w:val="enumlev1"/>
        <w:rPr>
          <w:lang w:eastAsia="fr-CH"/>
        </w:rPr>
      </w:pPr>
      <w:r w:rsidRPr="003E6436">
        <w:rPr>
          <w:lang w:eastAsia="fr-CH"/>
        </w:rPr>
        <w:t>–</w:t>
      </w:r>
      <w:r w:rsidRPr="003E6436">
        <w:rPr>
          <w:lang w:eastAsia="fr-CH"/>
        </w:rPr>
        <w:tab/>
      </w:r>
      <w:r w:rsidR="0040225E" w:rsidRPr="003E6436">
        <w:rPr>
          <w:lang w:eastAsia="fr-CH"/>
        </w:rPr>
        <w:t>Moreover, a detailed analysis of the proposed draft new Resolution was carried out the results of which are summarized below</w:t>
      </w:r>
      <w:r w:rsidRPr="003E6436">
        <w:rPr>
          <w:lang w:eastAsia="fr-CH"/>
        </w:rPr>
        <w:t>.</w:t>
      </w:r>
    </w:p>
    <w:p w14:paraId="7DEE1DC8" w14:textId="77777777" w:rsidR="0040225E" w:rsidRPr="003E6436" w:rsidRDefault="0040225E" w:rsidP="00D70761">
      <w:pPr>
        <w:jc w:val="both"/>
        <w:rPr>
          <w:lang w:eastAsia="fr-CH"/>
        </w:rPr>
      </w:pPr>
      <w:r w:rsidRPr="003E6436">
        <w:rPr>
          <w:lang w:eastAsia="fr-CH"/>
        </w:rPr>
        <w:t xml:space="preserve">The below is a comparison of text from Resolution </w:t>
      </w:r>
      <w:r w:rsidRPr="003E6436">
        <w:rPr>
          <w:b/>
          <w:bCs/>
          <w:lang w:eastAsia="fr-CH"/>
        </w:rPr>
        <w:t>175 (WRC-19)</w:t>
      </w:r>
      <w:r w:rsidRPr="003E6436">
        <w:rPr>
          <w:lang w:eastAsia="fr-CH"/>
        </w:rPr>
        <w:t xml:space="preserve"> and of text from the proposed draft new Resolution.</w:t>
      </w:r>
    </w:p>
    <w:p w14:paraId="32F98708" w14:textId="77777777" w:rsidR="0040225E" w:rsidRPr="003E6436" w:rsidRDefault="0040225E" w:rsidP="00D70761">
      <w:pPr>
        <w:pStyle w:val="ResNo"/>
        <w:rPr>
          <w:i/>
          <w:iCs/>
          <w:lang w:eastAsia="fr-CH"/>
        </w:rPr>
      </w:pPr>
      <w:r w:rsidRPr="003E6436">
        <w:rPr>
          <w:lang w:eastAsia="fr-CH"/>
        </w:rPr>
        <w:lastRenderedPageBreak/>
        <w:t>Resolution 175 (WRC-19)</w:t>
      </w:r>
    </w:p>
    <w:p w14:paraId="53E9C616" w14:textId="70DA0199" w:rsidR="00D70761" w:rsidRPr="003E6436" w:rsidRDefault="00D70761" w:rsidP="00D70761">
      <w:pPr>
        <w:rPr>
          <w:lang w:eastAsia="fr-CH"/>
        </w:rPr>
      </w:pPr>
      <w:r w:rsidRPr="003E6436">
        <w:rPr>
          <w:lang w:eastAsia="fr-CH"/>
        </w:rPr>
        <w:t>(…)</w:t>
      </w:r>
    </w:p>
    <w:p w14:paraId="78B97910" w14:textId="52A9B74C" w:rsidR="0040225E" w:rsidRPr="003E6436" w:rsidRDefault="0040225E" w:rsidP="00D70761">
      <w:pPr>
        <w:pStyle w:val="Call"/>
        <w:rPr>
          <w:lang w:eastAsia="fr-CH"/>
        </w:rPr>
      </w:pPr>
      <w:r w:rsidRPr="003E6436">
        <w:rPr>
          <w:lang w:eastAsia="fr-CH"/>
        </w:rPr>
        <w:t>resolves to invite the ITU Radiocommunication Sector</w:t>
      </w:r>
    </w:p>
    <w:p w14:paraId="7E6642E2" w14:textId="77777777" w:rsidR="0040225E" w:rsidRPr="003E6436" w:rsidRDefault="0040225E" w:rsidP="00D70761">
      <w:pPr>
        <w:jc w:val="both"/>
        <w:rPr>
          <w:lang w:eastAsia="fr-CH"/>
        </w:rPr>
      </w:pPr>
      <w:r w:rsidRPr="003E6436">
        <w:rPr>
          <w:lang w:eastAsia="fr-CH"/>
        </w:rPr>
        <w:t>to conduct any necessary studies on the use of IMT systems for fixed wireless broadband in the frequency bands allocated to the fixed service on primary basis, taking into account the relevant ITU</w:t>
      </w:r>
      <w:r w:rsidRPr="003E6436">
        <w:rPr>
          <w:lang w:eastAsia="fr-CH"/>
        </w:rPr>
        <w:noBreakHyphen/>
        <w:t>R studies, Handbooks, Recommendations and Reports,</w:t>
      </w:r>
    </w:p>
    <w:p w14:paraId="3420E3D8" w14:textId="77777777" w:rsidR="0040225E" w:rsidRPr="003E6436" w:rsidRDefault="0040225E" w:rsidP="00D70761">
      <w:pPr>
        <w:pStyle w:val="Call"/>
        <w:rPr>
          <w:lang w:eastAsia="fr-CH"/>
        </w:rPr>
      </w:pPr>
      <w:r w:rsidRPr="003E6436">
        <w:rPr>
          <w:lang w:eastAsia="fr-CH"/>
        </w:rPr>
        <w:t>instructs the Director of the Radiocommunication Bureau</w:t>
      </w:r>
    </w:p>
    <w:p w14:paraId="6CD1A62A" w14:textId="77777777" w:rsidR="0040225E" w:rsidRPr="003E6436" w:rsidRDefault="0040225E" w:rsidP="00D70761">
      <w:pPr>
        <w:jc w:val="both"/>
        <w:rPr>
          <w:lang w:eastAsia="fr-CH"/>
        </w:rPr>
      </w:pPr>
      <w:r w:rsidRPr="003E6436">
        <w:rPr>
          <w:lang w:eastAsia="fr-CH"/>
        </w:rPr>
        <w:t>to report to WRC</w:t>
      </w:r>
      <w:r w:rsidRPr="003E6436">
        <w:rPr>
          <w:lang w:eastAsia="fr-CH"/>
        </w:rPr>
        <w:noBreakHyphen/>
        <w:t>23 on the results of these studies,</w:t>
      </w:r>
    </w:p>
    <w:p w14:paraId="41E08B26" w14:textId="77777777" w:rsidR="0040225E" w:rsidRPr="003E6436" w:rsidRDefault="0040225E" w:rsidP="00D70761">
      <w:pPr>
        <w:pStyle w:val="Call"/>
        <w:rPr>
          <w:lang w:eastAsia="fr-CH"/>
        </w:rPr>
      </w:pPr>
      <w:r w:rsidRPr="003E6436">
        <w:rPr>
          <w:lang w:eastAsia="fr-CH"/>
        </w:rPr>
        <w:t>invites administrations</w:t>
      </w:r>
    </w:p>
    <w:p w14:paraId="5E470E3D" w14:textId="77777777" w:rsidR="0040225E" w:rsidRPr="003E6436" w:rsidRDefault="0040225E" w:rsidP="00B32B80">
      <w:pPr>
        <w:jc w:val="both"/>
        <w:rPr>
          <w:color w:val="222222"/>
          <w:szCs w:val="24"/>
          <w:lang w:eastAsia="fr-CH"/>
        </w:rPr>
      </w:pPr>
      <w:r w:rsidRPr="003E6436">
        <w:rPr>
          <w:color w:val="222222"/>
          <w:szCs w:val="24"/>
          <w:lang w:eastAsia="fr-CH"/>
        </w:rPr>
        <w:t>to participate in these studies in the process of preparation for WRC</w:t>
      </w:r>
      <w:r w:rsidRPr="003E6436">
        <w:rPr>
          <w:color w:val="222222"/>
          <w:szCs w:val="24"/>
          <w:lang w:eastAsia="fr-CH"/>
        </w:rPr>
        <w:noBreakHyphen/>
        <w:t>23.</w:t>
      </w:r>
    </w:p>
    <w:p w14:paraId="25C6942E" w14:textId="6AB2A275" w:rsidR="0040225E" w:rsidRPr="009C7BBC" w:rsidRDefault="0040225E" w:rsidP="00D70761">
      <w:pPr>
        <w:pStyle w:val="Headingb"/>
        <w:rPr>
          <w:i/>
          <w:iCs/>
        </w:rPr>
      </w:pPr>
      <w:r w:rsidRPr="009C7BBC">
        <w:rPr>
          <w:i/>
          <w:iCs/>
        </w:rPr>
        <w:t xml:space="preserve">Draft new Resolution proposed by one </w:t>
      </w:r>
      <w:r w:rsidR="00D70761" w:rsidRPr="009C7BBC">
        <w:rPr>
          <w:i/>
          <w:iCs/>
        </w:rPr>
        <w:t xml:space="preserve">Administration </w:t>
      </w:r>
    </w:p>
    <w:p w14:paraId="07B52BA6" w14:textId="58FCEC8B" w:rsidR="00D70761" w:rsidRPr="003E6436" w:rsidRDefault="00D70761" w:rsidP="00D70761">
      <w:pPr>
        <w:rPr>
          <w:lang w:eastAsia="fr-CH"/>
        </w:rPr>
      </w:pPr>
      <w:r w:rsidRPr="003E6436">
        <w:rPr>
          <w:lang w:eastAsia="fr-CH"/>
        </w:rPr>
        <w:t>(…)</w:t>
      </w:r>
    </w:p>
    <w:p w14:paraId="4E2F628E" w14:textId="23156AF6" w:rsidR="0040225E" w:rsidRPr="003E6436" w:rsidRDefault="0040225E" w:rsidP="00D70761">
      <w:pPr>
        <w:pStyle w:val="Call"/>
        <w:rPr>
          <w:lang w:eastAsia="fr-CH"/>
        </w:rPr>
      </w:pPr>
      <w:r w:rsidRPr="003E6436">
        <w:rPr>
          <w:lang w:eastAsia="fr-CH"/>
        </w:rPr>
        <w:t>resolves to invite ITU Radiocommunication Sector</w:t>
      </w:r>
    </w:p>
    <w:p w14:paraId="0AE4C41F" w14:textId="77777777" w:rsidR="0040225E" w:rsidRPr="003E6436" w:rsidRDefault="0040225E" w:rsidP="00B32B80">
      <w:pPr>
        <w:jc w:val="both"/>
        <w:rPr>
          <w:color w:val="222222"/>
          <w:szCs w:val="24"/>
          <w:lang w:eastAsia="fr-CH"/>
        </w:rPr>
      </w:pPr>
      <w:r w:rsidRPr="003E6436">
        <w:rPr>
          <w:color w:val="222222"/>
          <w:szCs w:val="24"/>
          <w:lang w:eastAsia="fr-CH"/>
        </w:rPr>
        <w:t>to revise existing, and/or develop new, ITU-R studies, Handbooks, Recommendations and Reports on the use of IMT systems for fixed wireless broadband in the frequency bands allocated to the fixed service on primary basis,</w:t>
      </w:r>
    </w:p>
    <w:p w14:paraId="05448746" w14:textId="77777777" w:rsidR="0040225E" w:rsidRPr="003E6436" w:rsidRDefault="0040225E" w:rsidP="00D70761">
      <w:pPr>
        <w:pStyle w:val="Call"/>
        <w:rPr>
          <w:lang w:eastAsia="fr-CH"/>
        </w:rPr>
      </w:pPr>
      <w:r w:rsidRPr="003E6436">
        <w:rPr>
          <w:lang w:eastAsia="fr-CH"/>
        </w:rPr>
        <w:t>invites administrations</w:t>
      </w:r>
    </w:p>
    <w:p w14:paraId="310629C6" w14:textId="77777777" w:rsidR="0040225E" w:rsidRPr="003E6436" w:rsidRDefault="0040225E" w:rsidP="00B32B80">
      <w:pPr>
        <w:jc w:val="both"/>
        <w:rPr>
          <w:color w:val="222222"/>
          <w:szCs w:val="24"/>
          <w:lang w:eastAsia="fr-CH"/>
        </w:rPr>
      </w:pPr>
      <w:r w:rsidRPr="003E6436">
        <w:rPr>
          <w:color w:val="222222"/>
          <w:szCs w:val="24"/>
          <w:lang w:eastAsia="fr-CH"/>
        </w:rPr>
        <w:t>to participate in these studies.</w:t>
      </w:r>
    </w:p>
    <w:p w14:paraId="697BC47D" w14:textId="77777777" w:rsidR="0040225E" w:rsidRPr="003E6436" w:rsidRDefault="0040225E" w:rsidP="00D70761">
      <w:pPr>
        <w:pStyle w:val="Normalaftertitle"/>
        <w:jc w:val="both"/>
        <w:rPr>
          <w:lang w:eastAsia="fr-CH"/>
        </w:rPr>
      </w:pPr>
      <w:r w:rsidRPr="003E6436">
        <w:rPr>
          <w:lang w:eastAsia="fr-CH"/>
        </w:rPr>
        <w:t xml:space="preserve">The proposal from that administration is almost similar to the action being taken by ITU-R pursuant to Resolution </w:t>
      </w:r>
      <w:r w:rsidRPr="003E6436">
        <w:rPr>
          <w:b/>
          <w:bCs/>
          <w:lang w:eastAsia="fr-CH"/>
        </w:rPr>
        <w:t>175 (WRC-19)</w:t>
      </w:r>
      <w:r w:rsidRPr="003E6436">
        <w:rPr>
          <w:lang w:eastAsia="fr-CH"/>
        </w:rPr>
        <w:t>, namely:</w:t>
      </w:r>
    </w:p>
    <w:p w14:paraId="4C2DD610" w14:textId="43152FA5" w:rsidR="0040225E" w:rsidRPr="003E6436" w:rsidRDefault="00D70761" w:rsidP="009C7BBC">
      <w:pPr>
        <w:pStyle w:val="enumlev1"/>
        <w:jc w:val="both"/>
        <w:rPr>
          <w:lang w:eastAsia="fr-CH"/>
        </w:rPr>
      </w:pPr>
      <w:r w:rsidRPr="003E6436">
        <w:rPr>
          <w:lang w:eastAsia="fr-CH"/>
        </w:rPr>
        <w:tab/>
      </w:r>
      <w:r w:rsidR="0040225E" w:rsidRPr="003E6436">
        <w:rPr>
          <w:lang w:eastAsia="fr-CH"/>
        </w:rPr>
        <w:t>to conduct any necessary studies on the use of IMT systems for fixed wireless broadband in the frequency bands allocated to the fixed service on primary basis, taking into account the relevant ITU</w:t>
      </w:r>
      <w:r w:rsidR="0040225E" w:rsidRPr="003E6436">
        <w:rPr>
          <w:lang w:eastAsia="fr-CH"/>
        </w:rPr>
        <w:noBreakHyphen/>
        <w:t>R studies, Handbooks, Recommendations and Reports,</w:t>
      </w:r>
    </w:p>
    <w:p w14:paraId="1579F7CF" w14:textId="77777777" w:rsidR="0040225E" w:rsidRPr="003E6436" w:rsidRDefault="0040225E" w:rsidP="00D70761">
      <w:pPr>
        <w:jc w:val="both"/>
        <w:rPr>
          <w:lang w:eastAsia="fr-CH"/>
        </w:rPr>
      </w:pPr>
      <w:r w:rsidRPr="003E6436">
        <w:rPr>
          <w:lang w:eastAsia="fr-CH"/>
        </w:rPr>
        <w:t xml:space="preserve">Consequently, the ITU-R is already taking necessary actions on the operative part of Resolution </w:t>
      </w:r>
      <w:r w:rsidRPr="003E6436">
        <w:rPr>
          <w:b/>
          <w:bCs/>
          <w:lang w:eastAsia="fr-CH"/>
        </w:rPr>
        <w:t>175 (WRC-19)</w:t>
      </w:r>
      <w:r w:rsidRPr="003E6436">
        <w:rPr>
          <w:lang w:eastAsia="fr-CH"/>
        </w:rPr>
        <w:t xml:space="preserve"> which is, to a great extent similar to the action proposed in the potential draft new Resolution proposed by that administration </w:t>
      </w:r>
    </w:p>
    <w:p w14:paraId="03248B6E" w14:textId="77777777" w:rsidR="0040225E" w:rsidRPr="003E6436" w:rsidRDefault="0040225E" w:rsidP="00D70761">
      <w:pPr>
        <w:jc w:val="both"/>
        <w:rPr>
          <w:lang w:eastAsia="fr-CH"/>
        </w:rPr>
      </w:pPr>
      <w:r w:rsidRPr="003E6436">
        <w:rPr>
          <w:lang w:eastAsia="fr-CH"/>
        </w:rPr>
        <w:t xml:space="preserve">If the proposed draft new Resolution by that administration is submitted to WRC-23, the following course of action would be required: </w:t>
      </w:r>
    </w:p>
    <w:p w14:paraId="2C05BC86" w14:textId="72AB57D2" w:rsidR="0040225E" w:rsidRPr="003E6436" w:rsidRDefault="0040225E" w:rsidP="00D70761">
      <w:pPr>
        <w:pStyle w:val="enumlev1"/>
        <w:rPr>
          <w:lang w:eastAsia="fr-CH"/>
        </w:rPr>
      </w:pPr>
      <w:r w:rsidRPr="003E6436">
        <w:rPr>
          <w:lang w:eastAsia="fr-CH"/>
        </w:rPr>
        <w:t>a)</w:t>
      </w:r>
      <w:r w:rsidR="00D70761" w:rsidRPr="003E6436">
        <w:rPr>
          <w:lang w:eastAsia="fr-CH"/>
        </w:rPr>
        <w:tab/>
      </w:r>
      <w:r w:rsidRPr="003E6436">
        <w:rPr>
          <w:lang w:eastAsia="fr-CH"/>
        </w:rPr>
        <w:t>Consensus for the need to have such a draft new Resolution</w:t>
      </w:r>
      <w:r w:rsidR="00D70761" w:rsidRPr="003E6436">
        <w:rPr>
          <w:lang w:eastAsia="fr-CH"/>
        </w:rPr>
        <w:t>.</w:t>
      </w:r>
    </w:p>
    <w:p w14:paraId="731E380C" w14:textId="6E666B8F" w:rsidR="0040225E" w:rsidRPr="003E6436" w:rsidRDefault="0040225E" w:rsidP="00D70761">
      <w:pPr>
        <w:pStyle w:val="enumlev1"/>
        <w:rPr>
          <w:lang w:eastAsia="fr-CH"/>
        </w:rPr>
      </w:pPr>
      <w:r w:rsidRPr="003E6436">
        <w:rPr>
          <w:lang w:eastAsia="fr-CH"/>
        </w:rPr>
        <w:lastRenderedPageBreak/>
        <w:t>b)</w:t>
      </w:r>
      <w:r w:rsidR="00D70761" w:rsidRPr="003E6436">
        <w:rPr>
          <w:lang w:eastAsia="fr-CH"/>
        </w:rPr>
        <w:tab/>
      </w:r>
      <w:r w:rsidRPr="003E6436">
        <w:rPr>
          <w:lang w:eastAsia="fr-CH"/>
        </w:rPr>
        <w:t>Modality / vehicle to implement that draft new Resolution</w:t>
      </w:r>
      <w:r w:rsidR="00D70761" w:rsidRPr="003E6436">
        <w:rPr>
          <w:lang w:eastAsia="fr-CH"/>
        </w:rPr>
        <w:t>.</w:t>
      </w:r>
    </w:p>
    <w:p w14:paraId="69590D42" w14:textId="47B3737E" w:rsidR="0040225E" w:rsidRPr="003E6436" w:rsidRDefault="0040225E" w:rsidP="00B32B80">
      <w:pPr>
        <w:jc w:val="both"/>
        <w:rPr>
          <w:color w:val="222222"/>
          <w:szCs w:val="24"/>
          <w:lang w:eastAsia="fr-CH"/>
        </w:rPr>
      </w:pPr>
      <w:r w:rsidRPr="003E6436">
        <w:rPr>
          <w:color w:val="222222"/>
          <w:szCs w:val="24"/>
          <w:lang w:eastAsia="fr-CH"/>
        </w:rPr>
        <w:t>One possible course of action which could be taken if the proposed draft is agreed by WRC-23 is</w:t>
      </w:r>
      <w:r w:rsidR="00D70761" w:rsidRPr="003E6436">
        <w:rPr>
          <w:color w:val="222222"/>
          <w:szCs w:val="24"/>
          <w:lang w:eastAsia="fr-CH"/>
        </w:rPr>
        <w:t>:</w:t>
      </w:r>
    </w:p>
    <w:p w14:paraId="185E8235" w14:textId="5E01F818" w:rsidR="0040225E" w:rsidRPr="003E6436" w:rsidRDefault="0040225E" w:rsidP="00D70761">
      <w:pPr>
        <w:pStyle w:val="enumlev1"/>
      </w:pPr>
      <w:r w:rsidRPr="003E6436">
        <w:t>c)</w:t>
      </w:r>
      <w:r w:rsidR="00D70761" w:rsidRPr="003E6436">
        <w:tab/>
      </w:r>
      <w:r w:rsidRPr="003E6436">
        <w:t xml:space="preserve">the Conference adopt a topic under agenda item 9.1, or </w:t>
      </w:r>
    </w:p>
    <w:p w14:paraId="7CB5EDF0" w14:textId="1BBAD4C1" w:rsidR="0040225E" w:rsidRPr="003E6436" w:rsidRDefault="0040225E" w:rsidP="00D70761">
      <w:pPr>
        <w:pStyle w:val="enumlev1"/>
      </w:pPr>
      <w:r w:rsidRPr="003E6436">
        <w:t>d)</w:t>
      </w:r>
      <w:r w:rsidR="00D70761" w:rsidRPr="003E6436">
        <w:tab/>
      </w:r>
      <w:r w:rsidRPr="003E6436">
        <w:t xml:space="preserve">the Conference adopt, strictly speaking, a new independent agenda item. </w:t>
      </w:r>
    </w:p>
    <w:p w14:paraId="6A76035A" w14:textId="77777777" w:rsidR="0040225E" w:rsidRPr="003E6436" w:rsidRDefault="0040225E" w:rsidP="009544F1">
      <w:pPr>
        <w:jc w:val="both"/>
        <w:rPr>
          <w:color w:val="222222"/>
          <w:szCs w:val="24"/>
          <w:lang w:eastAsia="fr-CH"/>
        </w:rPr>
      </w:pPr>
      <w:r w:rsidRPr="003E6436">
        <w:rPr>
          <w:color w:val="222222"/>
          <w:szCs w:val="24"/>
          <w:lang w:eastAsia="fr-CH"/>
        </w:rPr>
        <w:t xml:space="preserve">Both of the above approaches mentioned in c) and d) above would lead to the same circumstance that the ITU-R currently facing.  </w:t>
      </w:r>
    </w:p>
    <w:p w14:paraId="4C6B7494" w14:textId="5B76CA09" w:rsidR="0040225E" w:rsidRPr="003E6436" w:rsidRDefault="0040225E" w:rsidP="009544F1">
      <w:pPr>
        <w:jc w:val="both"/>
        <w:rPr>
          <w:color w:val="222222"/>
          <w:szCs w:val="24"/>
          <w:lang w:eastAsia="fr-CH"/>
        </w:rPr>
      </w:pPr>
      <w:r w:rsidRPr="003E6436">
        <w:rPr>
          <w:color w:val="222222"/>
          <w:szCs w:val="24"/>
          <w:lang w:eastAsia="fr-CH"/>
        </w:rPr>
        <w:t>In view of the above, there would be no need to adopt any agenda item as mentioned in c) and d) above.</w:t>
      </w:r>
    </w:p>
    <w:p w14:paraId="51642649" w14:textId="38339D94" w:rsidR="0040225E" w:rsidRPr="003E6436" w:rsidRDefault="0040225E" w:rsidP="009544F1">
      <w:pPr>
        <w:jc w:val="both"/>
        <w:rPr>
          <w:color w:val="222222"/>
          <w:szCs w:val="24"/>
          <w:lang w:eastAsia="fr-CH"/>
        </w:rPr>
      </w:pPr>
      <w:r w:rsidRPr="003E6436">
        <w:rPr>
          <w:color w:val="222222"/>
          <w:szCs w:val="24"/>
          <w:lang w:eastAsia="fr-CH"/>
        </w:rPr>
        <w:t xml:space="preserve">In regard with the need to have a draft new ITU-R Resolution at RA-23, it is necessary to indicate that the Radiocommunication Assembly Resolution normally dealing with the issue related to all ITU-R </w:t>
      </w:r>
      <w:r w:rsidR="009544F1" w:rsidRPr="003E6436">
        <w:rPr>
          <w:color w:val="222222"/>
          <w:szCs w:val="24"/>
          <w:lang w:eastAsia="fr-CH"/>
        </w:rPr>
        <w:t xml:space="preserve">Study Groups </w:t>
      </w:r>
      <w:r w:rsidRPr="003E6436">
        <w:rPr>
          <w:color w:val="222222"/>
          <w:szCs w:val="24"/>
          <w:lang w:eastAsia="fr-CH"/>
        </w:rPr>
        <w:t xml:space="preserve">whereas the subject matter in merely relates to / under the </w:t>
      </w:r>
      <w:r w:rsidR="009544F1" w:rsidRPr="003E6436">
        <w:rPr>
          <w:color w:val="222222"/>
          <w:szCs w:val="24"/>
          <w:lang w:eastAsia="fr-CH"/>
        </w:rPr>
        <w:t xml:space="preserve">Terms </w:t>
      </w:r>
      <w:r w:rsidRPr="003E6436">
        <w:rPr>
          <w:color w:val="222222"/>
          <w:szCs w:val="24"/>
          <w:lang w:eastAsia="fr-CH"/>
        </w:rPr>
        <w:t xml:space="preserve">of </w:t>
      </w:r>
      <w:r w:rsidR="009544F1" w:rsidRPr="003E6436">
        <w:rPr>
          <w:color w:val="222222"/>
          <w:szCs w:val="24"/>
          <w:lang w:eastAsia="fr-CH"/>
        </w:rPr>
        <w:t xml:space="preserve">Reference </w:t>
      </w:r>
      <w:r w:rsidRPr="003E6436">
        <w:rPr>
          <w:color w:val="222222"/>
          <w:szCs w:val="24"/>
          <w:lang w:eastAsia="fr-CH"/>
        </w:rPr>
        <w:t>of Study Group 5.</w:t>
      </w:r>
    </w:p>
    <w:p w14:paraId="0A1D942B" w14:textId="77777777" w:rsidR="0040225E" w:rsidRPr="003E6436" w:rsidRDefault="0040225E" w:rsidP="00FA6B73">
      <w:pPr>
        <w:keepNext/>
        <w:jc w:val="both"/>
        <w:rPr>
          <w:color w:val="222222"/>
          <w:szCs w:val="24"/>
          <w:lang w:eastAsia="fr-CH"/>
        </w:rPr>
      </w:pPr>
      <w:r w:rsidRPr="003E6436">
        <w:rPr>
          <w:color w:val="222222"/>
          <w:szCs w:val="24"/>
          <w:lang w:eastAsia="fr-CH"/>
        </w:rPr>
        <w:t xml:space="preserve">In regard with the need to have a new question, it is worth to mention that under No. </w:t>
      </w:r>
      <w:proofErr w:type="spellStart"/>
      <w:r w:rsidRPr="003E6436">
        <w:rPr>
          <w:color w:val="222222"/>
          <w:szCs w:val="24"/>
          <w:lang w:eastAsia="fr-CH"/>
        </w:rPr>
        <w:t>149A</w:t>
      </w:r>
      <w:proofErr w:type="spellEnd"/>
      <w:r w:rsidRPr="003E6436">
        <w:rPr>
          <w:color w:val="222222"/>
          <w:szCs w:val="24"/>
          <w:lang w:eastAsia="fr-CH"/>
        </w:rPr>
        <w:t xml:space="preserve"> of the ITU Convention:</w:t>
      </w:r>
    </w:p>
    <w:p w14:paraId="2BC9DA56" w14:textId="77777777" w:rsidR="0040225E" w:rsidRPr="003E6436" w:rsidRDefault="0040225E" w:rsidP="00CE35AD">
      <w:pPr>
        <w:pStyle w:val="Quote"/>
        <w:keepNext/>
      </w:pPr>
      <w:r w:rsidRPr="003E6436">
        <w:t xml:space="preserve">Quote </w:t>
      </w:r>
    </w:p>
    <w:p w14:paraId="79C9EF3A" w14:textId="5632FA7D" w:rsidR="0040225E" w:rsidRPr="003E6436" w:rsidRDefault="0040225E" w:rsidP="009544F1">
      <w:pPr>
        <w:pStyle w:val="enumlev1"/>
        <w:jc w:val="both"/>
      </w:pPr>
      <w:proofErr w:type="spellStart"/>
      <w:r w:rsidRPr="003E6436">
        <w:t>149A</w:t>
      </w:r>
      <w:proofErr w:type="spellEnd"/>
      <w:r w:rsidRPr="003E6436">
        <w:t xml:space="preserve"> </w:t>
      </w:r>
      <w:r w:rsidRPr="003E6436">
        <w:tab/>
      </w:r>
      <w:proofErr w:type="spellStart"/>
      <w:r w:rsidRPr="003E6436">
        <w:t>1</w:t>
      </w:r>
      <w:r w:rsidRPr="003E6436">
        <w:rPr>
          <w:i/>
          <w:iCs/>
        </w:rPr>
        <w:t>bis</w:t>
      </w:r>
      <w:proofErr w:type="spellEnd"/>
      <w:r w:rsidRPr="003E6436">
        <w:t>) The radiocommunication study groups shall also study topics identified in resolutions and recommendations of world radiocommunication conferences. The results of such studies shall be included in recommendations or in the reports prepared in accordance with No. 156 below</w:t>
      </w:r>
    </w:p>
    <w:p w14:paraId="52EB8A0B" w14:textId="77777777" w:rsidR="0040225E" w:rsidRPr="003E6436" w:rsidRDefault="0040225E" w:rsidP="009544F1">
      <w:pPr>
        <w:pStyle w:val="Unquote"/>
      </w:pPr>
      <w:r w:rsidRPr="003E6436">
        <w:t xml:space="preserve">Unquote </w:t>
      </w:r>
    </w:p>
    <w:p w14:paraId="311B9925" w14:textId="77777777" w:rsidR="0040225E" w:rsidRPr="003E6436" w:rsidRDefault="0040225E" w:rsidP="009544F1">
      <w:pPr>
        <w:jc w:val="both"/>
      </w:pPr>
      <w:r w:rsidRPr="003E6436">
        <w:t>Consequently, there is no need to have a new question in this regard.</w:t>
      </w:r>
    </w:p>
    <w:p w14:paraId="0ACEEF6B" w14:textId="26BA548B" w:rsidR="0040225E" w:rsidRPr="003E6436" w:rsidRDefault="0040225E" w:rsidP="009544F1">
      <w:pPr>
        <w:jc w:val="both"/>
      </w:pPr>
      <w:r w:rsidRPr="003E6436">
        <w:t>The ITU-R therefore did not agree to include the proposed draft new WRC-23</w:t>
      </w:r>
      <w:r w:rsidR="009544F1" w:rsidRPr="003E6436">
        <w:t xml:space="preserve"> </w:t>
      </w:r>
      <w:r w:rsidRPr="003E6436">
        <w:t>/</w:t>
      </w:r>
      <w:r w:rsidR="009544F1" w:rsidRPr="003E6436">
        <w:t xml:space="preserve"> </w:t>
      </w:r>
      <w:r w:rsidRPr="003E6436">
        <w:t xml:space="preserve">ITU-R Resolution in the draft CPM text </w:t>
      </w:r>
      <w:bookmarkStart w:id="11" w:name="_Hlk104401606"/>
      <w:r w:rsidRPr="003E6436">
        <w:t>on WRC-23 agenda item 9.1</w:t>
      </w:r>
      <w:r w:rsidR="009544F1" w:rsidRPr="003E6436">
        <w:t>,</w:t>
      </w:r>
      <w:r w:rsidRPr="003E6436">
        <w:t xml:space="preserve"> topic c</w:t>
      </w:r>
      <w:r w:rsidR="009544F1" w:rsidRPr="003E6436">
        <w:t>)</w:t>
      </w:r>
      <w:r w:rsidRPr="003E6436">
        <w:t>.</w:t>
      </w:r>
    </w:p>
    <w:bookmarkEnd w:id="11"/>
    <w:p w14:paraId="3FC3A095" w14:textId="4357647E" w:rsidR="0040225E" w:rsidRPr="003E6436" w:rsidRDefault="0040225E" w:rsidP="00FA6B73">
      <w:pPr>
        <w:jc w:val="both"/>
      </w:pPr>
      <w:r w:rsidRPr="003E6436">
        <w:t>The proposed draft is attached as Attachment 1 to the draft CPM text on WRC-23 agenda item 9.1</w:t>
      </w:r>
      <w:r w:rsidR="009544F1" w:rsidRPr="003E6436">
        <w:t>,</w:t>
      </w:r>
      <w:r w:rsidRPr="003E6436">
        <w:t xml:space="preserve"> topic c</w:t>
      </w:r>
      <w:r w:rsidR="009544F1" w:rsidRPr="003E6436">
        <w:t>),</w:t>
      </w:r>
      <w:r w:rsidRPr="003E6436">
        <w:t xml:space="preserve"> for information. </w:t>
      </w:r>
    </w:p>
    <w:sectPr w:rsidR="0040225E" w:rsidRPr="003E6436" w:rsidSect="00CE35AD">
      <w:headerReference w:type="default" r:id="rId16"/>
      <w:footerReference w:type="default" r:id="rId17"/>
      <w:footerReference w:type="first" r:id="rId18"/>
      <w:pgSz w:w="11907" w:h="16834" w:code="9"/>
      <w:pgMar w:top="1418" w:right="1134" w:bottom="1418" w:left="1134" w:header="567"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920D6" w14:textId="77777777" w:rsidR="0040225E" w:rsidRDefault="0040225E">
      <w:r>
        <w:separator/>
      </w:r>
    </w:p>
  </w:endnote>
  <w:endnote w:type="continuationSeparator" w:id="0">
    <w:p w14:paraId="5DB89845" w14:textId="77777777" w:rsidR="0040225E" w:rsidRDefault="0040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FC52" w14:textId="65407DE3" w:rsidR="00FA124A" w:rsidRPr="002F7CB3" w:rsidRDefault="004E04BE">
    <w:pPr>
      <w:pStyle w:val="Footer"/>
      <w:rPr>
        <w:lang w:val="en-US"/>
      </w:rPr>
    </w:pPr>
    <w:fldSimple w:instr=" FILENAME \p \* MERGEFORMAT ">
      <w:r w:rsidR="003E6436" w:rsidRPr="003E6436">
        <w:rPr>
          <w:lang w:val="en-US"/>
        </w:rPr>
        <w:t>M</w:t>
      </w:r>
      <w:r w:rsidR="003E6436">
        <w:t>:\BRSGD\TEXT2019\SG05\WP5A\500\597\597N08e.docx</w:t>
      </w:r>
    </w:fldSimple>
    <w:r w:rsidR="00FA124A" w:rsidRPr="002F7CB3">
      <w:rPr>
        <w:lang w:val="en-US"/>
      </w:rPr>
      <w:tab/>
    </w:r>
    <w:r w:rsidR="00D02712">
      <w:fldChar w:fldCharType="begin"/>
    </w:r>
    <w:r w:rsidR="00FA124A">
      <w:instrText xml:space="preserve"> savedate \@ dd.MM.yy </w:instrText>
    </w:r>
    <w:r w:rsidR="00D02712">
      <w:fldChar w:fldCharType="separate"/>
    </w:r>
    <w:r w:rsidR="003E6436">
      <w:t>10.06.22</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3E6436">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B0F37" w14:textId="17F58C3B" w:rsidR="00FA124A" w:rsidRPr="002F7CB3" w:rsidRDefault="004E04BE" w:rsidP="00E6257C">
    <w:pPr>
      <w:pStyle w:val="Footer"/>
      <w:rPr>
        <w:lang w:val="en-US"/>
      </w:rPr>
    </w:pPr>
    <w:fldSimple w:instr=" FILENAME \p \* MERGEFORMAT ">
      <w:r w:rsidR="003E6436" w:rsidRPr="003E6436">
        <w:rPr>
          <w:lang w:val="en-US"/>
        </w:rPr>
        <w:t>M</w:t>
      </w:r>
      <w:r w:rsidR="003E6436">
        <w:t>:\BRSGD\TEXT2019\SG05\WP5A\500\597\597N08e.docx</w:t>
      </w:r>
    </w:fldSimple>
    <w:r w:rsidR="00FA124A" w:rsidRPr="002F7CB3">
      <w:rPr>
        <w:lang w:val="en-US"/>
      </w:rPr>
      <w:tab/>
    </w:r>
    <w:r w:rsidR="00D02712">
      <w:fldChar w:fldCharType="begin"/>
    </w:r>
    <w:r w:rsidR="00FA124A">
      <w:instrText xml:space="preserve"> savedate \@ dd.MM.yy </w:instrText>
    </w:r>
    <w:r w:rsidR="00D02712">
      <w:fldChar w:fldCharType="separate"/>
    </w:r>
    <w:r w:rsidR="003E6436">
      <w:t>10.06.22</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3E6436">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206E5" w14:textId="77777777" w:rsidR="0040225E" w:rsidRDefault="0040225E">
      <w:r>
        <w:t>____________________</w:t>
      </w:r>
    </w:p>
  </w:footnote>
  <w:footnote w:type="continuationSeparator" w:id="0">
    <w:p w14:paraId="4969E294" w14:textId="77777777" w:rsidR="0040225E" w:rsidRDefault="0040225E">
      <w:r>
        <w:continuationSeparator/>
      </w:r>
    </w:p>
  </w:footnote>
  <w:footnote w:id="1">
    <w:p w14:paraId="23A425A6" w14:textId="7E05728E" w:rsidR="006A3301" w:rsidRPr="00745CC3" w:rsidRDefault="006A3301" w:rsidP="003E6436">
      <w:pPr>
        <w:pStyle w:val="FootnoteText"/>
        <w:rPr>
          <w:lang w:val="en-US"/>
        </w:rPr>
      </w:pPr>
      <w:r>
        <w:rPr>
          <w:rStyle w:val="FootnoteReference"/>
        </w:rPr>
        <w:t xml:space="preserve">* </w:t>
      </w:r>
      <w:r>
        <w:rPr>
          <w:rStyle w:val="FootnoteReference"/>
        </w:rPr>
        <w:tab/>
      </w:r>
      <w:r w:rsidRPr="006045FC">
        <w:rPr>
          <w:u w:val="single"/>
        </w:rPr>
        <w:t>Note</w:t>
      </w:r>
      <w:r w:rsidRPr="006045FC">
        <w:t>: This is a joint activity and a joint plenary may be held if required. WP 5A will provide the draft text on the results of studies to the CPM Chapter co-Rapporteurs.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7ACD0"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431D617B" w14:textId="4C68E96A" w:rsidR="00FA124A" w:rsidRDefault="00CE35AD">
    <w:pPr>
      <w:pStyle w:val="Header"/>
      <w:rPr>
        <w:lang w:val="en-US"/>
      </w:rPr>
    </w:pPr>
    <w:r>
      <w:rPr>
        <w:lang w:val="en-US"/>
      </w:rPr>
      <w:t>5A/597 (Annex 8)-E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3A6D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3851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D87A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6AFA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4E7E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8002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BC99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440D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22BD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9C6D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A572629"/>
    <w:multiLevelType w:val="hybridMultilevel"/>
    <w:tmpl w:val="B992A6A8"/>
    <w:lvl w:ilvl="0" w:tplc="04AE0122">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4148567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2059440">
    <w:abstractNumId w:val="9"/>
  </w:num>
  <w:num w:numId="3" w16cid:durableId="1025248009">
    <w:abstractNumId w:val="7"/>
  </w:num>
  <w:num w:numId="4" w16cid:durableId="1073357709">
    <w:abstractNumId w:val="6"/>
  </w:num>
  <w:num w:numId="5" w16cid:durableId="584727943">
    <w:abstractNumId w:val="5"/>
  </w:num>
  <w:num w:numId="6" w16cid:durableId="336227990">
    <w:abstractNumId w:val="4"/>
  </w:num>
  <w:num w:numId="7" w16cid:durableId="779497887">
    <w:abstractNumId w:val="8"/>
  </w:num>
  <w:num w:numId="8" w16cid:durableId="1622494711">
    <w:abstractNumId w:val="3"/>
  </w:num>
  <w:num w:numId="9" w16cid:durableId="1681470190">
    <w:abstractNumId w:val="2"/>
  </w:num>
  <w:num w:numId="10" w16cid:durableId="734553469">
    <w:abstractNumId w:val="1"/>
  </w:num>
  <w:num w:numId="11" w16cid:durableId="1684552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25E"/>
    <w:rsid w:val="000069D4"/>
    <w:rsid w:val="000174AD"/>
    <w:rsid w:val="00047A1D"/>
    <w:rsid w:val="000604B9"/>
    <w:rsid w:val="000A7D55"/>
    <w:rsid w:val="000C12C8"/>
    <w:rsid w:val="000C2E8E"/>
    <w:rsid w:val="000E0E7C"/>
    <w:rsid w:val="000F1B4B"/>
    <w:rsid w:val="001248A6"/>
    <w:rsid w:val="0012744F"/>
    <w:rsid w:val="00131178"/>
    <w:rsid w:val="00156F66"/>
    <w:rsid w:val="00163271"/>
    <w:rsid w:val="00172122"/>
    <w:rsid w:val="00182528"/>
    <w:rsid w:val="0018500B"/>
    <w:rsid w:val="00196A19"/>
    <w:rsid w:val="00202DC1"/>
    <w:rsid w:val="002116EE"/>
    <w:rsid w:val="002309D8"/>
    <w:rsid w:val="00267912"/>
    <w:rsid w:val="002A7FE2"/>
    <w:rsid w:val="002D19D4"/>
    <w:rsid w:val="002E1B4F"/>
    <w:rsid w:val="002F0984"/>
    <w:rsid w:val="002F2E67"/>
    <w:rsid w:val="002F7CB3"/>
    <w:rsid w:val="003004EA"/>
    <w:rsid w:val="00315546"/>
    <w:rsid w:val="00330567"/>
    <w:rsid w:val="00386A9D"/>
    <w:rsid w:val="00391081"/>
    <w:rsid w:val="003B2789"/>
    <w:rsid w:val="003C13CE"/>
    <w:rsid w:val="003C697E"/>
    <w:rsid w:val="003E2518"/>
    <w:rsid w:val="003E6436"/>
    <w:rsid w:val="003E7CEF"/>
    <w:rsid w:val="0040225E"/>
    <w:rsid w:val="004A7934"/>
    <w:rsid w:val="004B1EF7"/>
    <w:rsid w:val="004B3FAD"/>
    <w:rsid w:val="004C5749"/>
    <w:rsid w:val="004E04BE"/>
    <w:rsid w:val="00501DCA"/>
    <w:rsid w:val="00513A47"/>
    <w:rsid w:val="005408DF"/>
    <w:rsid w:val="00573344"/>
    <w:rsid w:val="00583F9B"/>
    <w:rsid w:val="005B0D29"/>
    <w:rsid w:val="005E5C10"/>
    <w:rsid w:val="005F2C78"/>
    <w:rsid w:val="006144E4"/>
    <w:rsid w:val="00650299"/>
    <w:rsid w:val="00655FC5"/>
    <w:rsid w:val="006716D1"/>
    <w:rsid w:val="00683382"/>
    <w:rsid w:val="006A3301"/>
    <w:rsid w:val="0080538C"/>
    <w:rsid w:val="00814E0A"/>
    <w:rsid w:val="00822581"/>
    <w:rsid w:val="008309DD"/>
    <w:rsid w:val="0083227A"/>
    <w:rsid w:val="00866900"/>
    <w:rsid w:val="00876A8A"/>
    <w:rsid w:val="00881BA1"/>
    <w:rsid w:val="008B1032"/>
    <w:rsid w:val="008C2302"/>
    <w:rsid w:val="008C26B8"/>
    <w:rsid w:val="008F208F"/>
    <w:rsid w:val="009544F1"/>
    <w:rsid w:val="00981166"/>
    <w:rsid w:val="00982084"/>
    <w:rsid w:val="00995963"/>
    <w:rsid w:val="009B61EB"/>
    <w:rsid w:val="009C185B"/>
    <w:rsid w:val="009C2064"/>
    <w:rsid w:val="009C7BBC"/>
    <w:rsid w:val="009D1697"/>
    <w:rsid w:val="009F3A46"/>
    <w:rsid w:val="009F6520"/>
    <w:rsid w:val="00A014F8"/>
    <w:rsid w:val="00A07EB3"/>
    <w:rsid w:val="00A5173C"/>
    <w:rsid w:val="00A61AEF"/>
    <w:rsid w:val="00AA1AAF"/>
    <w:rsid w:val="00AD2345"/>
    <w:rsid w:val="00AE73F1"/>
    <w:rsid w:val="00AF173A"/>
    <w:rsid w:val="00B066A4"/>
    <w:rsid w:val="00B07A13"/>
    <w:rsid w:val="00B4279B"/>
    <w:rsid w:val="00B45FC9"/>
    <w:rsid w:val="00B76F35"/>
    <w:rsid w:val="00B81138"/>
    <w:rsid w:val="00BC7CCF"/>
    <w:rsid w:val="00BE470B"/>
    <w:rsid w:val="00C57A91"/>
    <w:rsid w:val="00CC01C2"/>
    <w:rsid w:val="00CE35AD"/>
    <w:rsid w:val="00CF21F2"/>
    <w:rsid w:val="00D02712"/>
    <w:rsid w:val="00D046A7"/>
    <w:rsid w:val="00D214D0"/>
    <w:rsid w:val="00D6546B"/>
    <w:rsid w:val="00D70761"/>
    <w:rsid w:val="00DB178B"/>
    <w:rsid w:val="00DC17D3"/>
    <w:rsid w:val="00DD4BED"/>
    <w:rsid w:val="00DE39F0"/>
    <w:rsid w:val="00DF0AF3"/>
    <w:rsid w:val="00DF7E9F"/>
    <w:rsid w:val="00E27D7E"/>
    <w:rsid w:val="00E41FCE"/>
    <w:rsid w:val="00E42E13"/>
    <w:rsid w:val="00E56D5C"/>
    <w:rsid w:val="00E6257C"/>
    <w:rsid w:val="00E63C59"/>
    <w:rsid w:val="00E65F00"/>
    <w:rsid w:val="00F25662"/>
    <w:rsid w:val="00F43F5B"/>
    <w:rsid w:val="00FA124A"/>
    <w:rsid w:val="00FA454F"/>
    <w:rsid w:val="00FA6B73"/>
    <w:rsid w:val="00FC08DD"/>
    <w:rsid w:val="00FC2316"/>
    <w:rsid w:val="00FC2CFD"/>
    <w:rsid w:val="00FD40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466971"/>
  <w15:docId w15:val="{AECD9AB7-74D0-4542-A4ED-72A0CA1F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uiPriority w:val="99"/>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0"/>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0"/>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basedOn w:val="DefaultParagraphFont"/>
    <w:uiPriority w:val="99"/>
    <w:rsid w:val="0040225E"/>
    <w:rPr>
      <w:color w:val="0000FF"/>
      <w:u w:val="single"/>
    </w:rPr>
  </w:style>
  <w:style w:type="character" w:customStyle="1" w:styleId="Title1Char">
    <w:name w:val="Title 1 Char"/>
    <w:basedOn w:val="DefaultParagraphFont"/>
    <w:link w:val="Title1"/>
    <w:locked/>
    <w:rsid w:val="0040225E"/>
    <w:rPr>
      <w:rFonts w:ascii="Times New Roman" w:hAnsi="Times New Roman"/>
      <w:caps/>
      <w:sz w:val="28"/>
      <w:lang w:val="en-GB" w:eastAsia="en-US"/>
    </w:rPr>
  </w:style>
  <w:style w:type="character" w:customStyle="1" w:styleId="Heading1Char">
    <w:name w:val="Heading 1 Char"/>
    <w:basedOn w:val="DefaultParagraphFont"/>
    <w:link w:val="Heading1"/>
    <w:locked/>
    <w:rsid w:val="0040225E"/>
    <w:rPr>
      <w:rFonts w:ascii="Times New Roman" w:hAnsi="Times New Roman"/>
      <w:b/>
      <w:sz w:val="28"/>
      <w:lang w:val="en-GB" w:eastAsia="en-US"/>
    </w:rPr>
  </w:style>
  <w:style w:type="character" w:customStyle="1" w:styleId="Tabletext0">
    <w:name w:val="Table_text (文字)"/>
    <w:link w:val="Tabletext"/>
    <w:locked/>
    <w:rsid w:val="0040225E"/>
    <w:rPr>
      <w:rFonts w:ascii="Times New Roman" w:hAnsi="Times New Roman"/>
      <w:lang w:val="en-GB" w:eastAsia="en-US"/>
    </w:rPr>
  </w:style>
  <w:style w:type="character" w:customStyle="1" w:styleId="enumlev10">
    <w:name w:val="enumlev1 Знак"/>
    <w:basedOn w:val="DefaultParagraphFont"/>
    <w:link w:val="enumlev1"/>
    <w:locked/>
    <w:rsid w:val="0040225E"/>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683382"/>
    <w:rPr>
      <w:color w:val="605E5C"/>
      <w:shd w:val="clear" w:color="auto" w:fill="E1DFDD"/>
    </w:rPr>
  </w:style>
  <w:style w:type="paragraph" w:styleId="Quote">
    <w:name w:val="Quote"/>
    <w:basedOn w:val="Normal"/>
    <w:next w:val="Normal"/>
    <w:link w:val="QuoteChar"/>
    <w:uiPriority w:val="29"/>
    <w:qFormat/>
    <w:rsid w:val="009544F1"/>
    <w:pPr>
      <w:spacing w:before="200" w:after="120"/>
    </w:pPr>
    <w:rPr>
      <w:i/>
      <w:iCs/>
      <w:color w:val="404040" w:themeColor="text1" w:themeTint="BF"/>
      <w:lang w:eastAsia="fr-CH"/>
    </w:rPr>
  </w:style>
  <w:style w:type="character" w:customStyle="1" w:styleId="QuoteChar">
    <w:name w:val="Quote Char"/>
    <w:basedOn w:val="DefaultParagraphFont"/>
    <w:link w:val="Quote"/>
    <w:uiPriority w:val="29"/>
    <w:rsid w:val="009544F1"/>
    <w:rPr>
      <w:rFonts w:ascii="Times New Roman" w:hAnsi="Times New Roman"/>
      <w:i/>
      <w:iCs/>
      <w:color w:val="404040" w:themeColor="text1" w:themeTint="BF"/>
      <w:sz w:val="24"/>
      <w:lang w:val="en-GB" w:eastAsia="fr-CH"/>
    </w:rPr>
  </w:style>
  <w:style w:type="paragraph" w:customStyle="1" w:styleId="Unquote">
    <w:name w:val="Unquote"/>
    <w:basedOn w:val="Normal"/>
    <w:rsid w:val="009544F1"/>
    <w:pPr>
      <w:spacing w:after="240"/>
    </w:pPr>
    <w:rPr>
      <w:i/>
      <w:iCs/>
      <w:szCs w:val="24"/>
    </w:rPr>
  </w:style>
  <w:style w:type="paragraph" w:styleId="PlainText">
    <w:name w:val="Plain Text"/>
    <w:basedOn w:val="Normal"/>
    <w:link w:val="PlainTextChar"/>
    <w:uiPriority w:val="99"/>
    <w:semiHidden/>
    <w:unhideWhenUsed/>
    <w:rsid w:val="009544F1"/>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9544F1"/>
    <w:rPr>
      <w:rFonts w:ascii="Consolas" w:hAnsi="Consolas"/>
      <w:sz w:val="21"/>
      <w:szCs w:val="21"/>
      <w:lang w:val="en-GB" w:eastAsia="en-US"/>
    </w:rPr>
  </w:style>
  <w:style w:type="paragraph" w:styleId="Revision">
    <w:name w:val="Revision"/>
    <w:hidden/>
    <w:uiPriority w:val="99"/>
    <w:semiHidden/>
    <w:rsid w:val="00A07EB3"/>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9-WP5A-C-0019/en" TargetMode="External"/><Relationship Id="rId13" Type="http://schemas.openxmlformats.org/officeDocument/2006/relationships/hyperlink" Target="https://www.itu.int/ITU-R/go/rwp5A"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tu.int/oth/R0A06000001/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R19-WP5C-C-0013/en" TargetMode="External"/><Relationship Id="rId5" Type="http://schemas.openxmlformats.org/officeDocument/2006/relationships/footnotes" Target="footnotes.xml"/><Relationship Id="rId15" Type="http://schemas.openxmlformats.org/officeDocument/2006/relationships/hyperlink" Target="https://www.itu.int/md/R19-WP5A-C-0221/en" TargetMode="External"/><Relationship Id="rId10" Type="http://schemas.openxmlformats.org/officeDocument/2006/relationships/hyperlink" Target="https://www.itu.int/md/R19-WP5A-C-0019/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R19-WP5C-C-0013/en" TargetMode="External"/><Relationship Id="rId14" Type="http://schemas.openxmlformats.org/officeDocument/2006/relationships/hyperlink" Target="https://www.itu.int/ITU-R/go/rwp5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8</TotalTime>
  <Pages>7</Pages>
  <Words>2385</Words>
  <Characters>13413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 -LRT-</dc:creator>
  <cp:lastModifiedBy>ITU -LRT-</cp:lastModifiedBy>
  <cp:revision>3</cp:revision>
  <cp:lastPrinted>2008-02-21T14:04:00Z</cp:lastPrinted>
  <dcterms:created xsi:type="dcterms:W3CDTF">2022-06-10T14:26:00Z</dcterms:created>
  <dcterms:modified xsi:type="dcterms:W3CDTF">2022-06-10T14:56:00Z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