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FFEA116" w14:textId="77777777" w:rsidTr="00876A8A">
        <w:trPr>
          <w:cantSplit/>
        </w:trPr>
        <w:tc>
          <w:tcPr>
            <w:tcW w:w="6487" w:type="dxa"/>
            <w:vAlign w:val="center"/>
          </w:tcPr>
          <w:p w14:paraId="66E497B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A9CE4B3" w14:textId="77777777" w:rsidR="009F6520" w:rsidRDefault="008642B2" w:rsidP="008642B2">
            <w:pPr>
              <w:shd w:val="solid" w:color="FFFFFF" w:fill="FFFFFF"/>
              <w:spacing w:before="0" w:line="240" w:lineRule="atLeast"/>
            </w:pPr>
            <w:bookmarkStart w:id="0" w:name="ditulogo"/>
            <w:bookmarkEnd w:id="0"/>
            <w:r>
              <w:rPr>
                <w:noProof/>
                <w:lang w:val="en-US"/>
              </w:rPr>
              <w:drawing>
                <wp:inline distT="0" distB="0" distL="0" distR="0" wp14:anchorId="1D6C99D4" wp14:editId="6A56226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3FBE71F" w14:textId="77777777" w:rsidTr="00876A8A">
        <w:trPr>
          <w:cantSplit/>
        </w:trPr>
        <w:tc>
          <w:tcPr>
            <w:tcW w:w="6487" w:type="dxa"/>
            <w:tcBorders>
              <w:bottom w:val="single" w:sz="12" w:space="0" w:color="auto"/>
            </w:tcBorders>
          </w:tcPr>
          <w:p w14:paraId="06769EB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FB37E2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C95A037" w14:textId="77777777" w:rsidTr="00876A8A">
        <w:trPr>
          <w:cantSplit/>
        </w:trPr>
        <w:tc>
          <w:tcPr>
            <w:tcW w:w="6487" w:type="dxa"/>
            <w:tcBorders>
              <w:top w:val="single" w:sz="12" w:space="0" w:color="auto"/>
            </w:tcBorders>
          </w:tcPr>
          <w:p w14:paraId="21DE969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344AC5F" w14:textId="77777777" w:rsidR="000069D4" w:rsidRPr="00710D66" w:rsidRDefault="000069D4" w:rsidP="00A5173C">
            <w:pPr>
              <w:shd w:val="solid" w:color="FFFFFF" w:fill="FFFFFF"/>
              <w:spacing w:before="0" w:after="48" w:line="240" w:lineRule="atLeast"/>
              <w:rPr>
                <w:lang w:val="en-US"/>
              </w:rPr>
            </w:pPr>
          </w:p>
        </w:tc>
      </w:tr>
      <w:tr w:rsidR="008B18F0" w14:paraId="66CEBA71" w14:textId="77777777" w:rsidTr="00876A8A">
        <w:trPr>
          <w:cantSplit/>
        </w:trPr>
        <w:tc>
          <w:tcPr>
            <w:tcW w:w="6487" w:type="dxa"/>
            <w:vMerge w:val="restart"/>
          </w:tcPr>
          <w:p w14:paraId="68596D4F" w14:textId="121C39BF" w:rsidR="008B18F0" w:rsidRPr="00BF7AC0" w:rsidRDefault="008B18F0" w:rsidP="0016574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BF7AC0">
              <w:rPr>
                <w:rFonts w:ascii="Verdana" w:hAnsi="Verdana"/>
                <w:sz w:val="20"/>
                <w:lang w:val="fr-FR"/>
              </w:rPr>
              <w:t>Source:</w:t>
            </w:r>
            <w:r w:rsidRPr="00BF7AC0">
              <w:rPr>
                <w:rFonts w:ascii="Verdana" w:hAnsi="Verdana"/>
                <w:sz w:val="20"/>
                <w:lang w:val="fr-FR"/>
              </w:rPr>
              <w:tab/>
              <w:t xml:space="preserve">Document </w:t>
            </w:r>
            <w:proofErr w:type="spellStart"/>
            <w:r w:rsidRPr="00BF7AC0">
              <w:rPr>
                <w:rFonts w:ascii="Verdana" w:hAnsi="Verdana"/>
                <w:sz w:val="20"/>
                <w:lang w:val="fr-FR"/>
              </w:rPr>
              <w:t>5A</w:t>
            </w:r>
            <w:proofErr w:type="spellEnd"/>
            <w:r w:rsidRPr="00BF7AC0">
              <w:rPr>
                <w:rFonts w:ascii="Verdana" w:hAnsi="Verdana"/>
                <w:sz w:val="20"/>
                <w:lang w:val="fr-FR"/>
              </w:rPr>
              <w:t>/TEMP/163(</w:t>
            </w:r>
            <w:proofErr w:type="spellStart"/>
            <w:r w:rsidRPr="00BF7AC0">
              <w:rPr>
                <w:rFonts w:ascii="Verdana" w:hAnsi="Verdana"/>
                <w:sz w:val="20"/>
                <w:lang w:val="fr-FR"/>
              </w:rPr>
              <w:t>Rev.1</w:t>
            </w:r>
            <w:proofErr w:type="spellEnd"/>
            <w:r w:rsidRPr="00BF7AC0">
              <w:rPr>
                <w:rFonts w:ascii="Verdana" w:hAnsi="Verdana"/>
                <w:sz w:val="20"/>
                <w:lang w:val="fr-FR"/>
              </w:rPr>
              <w:t>)</w:t>
            </w:r>
          </w:p>
        </w:tc>
        <w:tc>
          <w:tcPr>
            <w:tcW w:w="3402" w:type="dxa"/>
          </w:tcPr>
          <w:p w14:paraId="49C35CDF" w14:textId="2E1D665D" w:rsidR="008B18F0" w:rsidRPr="008642B2" w:rsidRDefault="008B18F0" w:rsidP="008B18F0">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27</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8B18F0" w14:paraId="743719CF" w14:textId="77777777" w:rsidTr="00876A8A">
        <w:trPr>
          <w:cantSplit/>
        </w:trPr>
        <w:tc>
          <w:tcPr>
            <w:tcW w:w="6487" w:type="dxa"/>
            <w:vMerge/>
          </w:tcPr>
          <w:p w14:paraId="23D35C51" w14:textId="77777777" w:rsidR="008B18F0" w:rsidRDefault="008B18F0" w:rsidP="008B18F0">
            <w:pPr>
              <w:spacing w:before="60"/>
              <w:jc w:val="center"/>
              <w:rPr>
                <w:b/>
                <w:smallCaps/>
                <w:sz w:val="32"/>
                <w:lang w:eastAsia="zh-CN"/>
              </w:rPr>
            </w:pPr>
            <w:bookmarkStart w:id="3" w:name="ddate" w:colFirst="1" w:colLast="1"/>
            <w:bookmarkEnd w:id="2"/>
          </w:p>
        </w:tc>
        <w:tc>
          <w:tcPr>
            <w:tcW w:w="3402" w:type="dxa"/>
          </w:tcPr>
          <w:p w14:paraId="7E894C0A" w14:textId="1B977966" w:rsidR="008B18F0" w:rsidRPr="008642B2" w:rsidRDefault="008B18F0" w:rsidP="008B18F0">
            <w:pPr>
              <w:shd w:val="solid" w:color="FFFFFF" w:fill="FFFFFF"/>
              <w:spacing w:before="0" w:line="240" w:lineRule="atLeast"/>
              <w:rPr>
                <w:rFonts w:ascii="Verdana" w:hAnsi="Verdana"/>
                <w:sz w:val="20"/>
                <w:lang w:eastAsia="zh-CN"/>
              </w:rPr>
            </w:pPr>
            <w:r>
              <w:rPr>
                <w:rFonts w:ascii="Verdana" w:hAnsi="Verdana"/>
                <w:b/>
                <w:sz w:val="20"/>
                <w:lang w:eastAsia="zh-CN"/>
              </w:rPr>
              <w:t>2</w:t>
            </w:r>
            <w:r w:rsidR="0016574A">
              <w:rPr>
                <w:rFonts w:ascii="Verdana" w:hAnsi="Verdana"/>
                <w:b/>
                <w:sz w:val="20"/>
                <w:lang w:eastAsia="zh-CN"/>
              </w:rPr>
              <w:t>9</w:t>
            </w:r>
            <w:r>
              <w:rPr>
                <w:rFonts w:ascii="Verdana" w:hAnsi="Verdana"/>
                <w:b/>
                <w:sz w:val="20"/>
                <w:lang w:eastAsia="zh-CN"/>
              </w:rPr>
              <w:t xml:space="preserve"> November 2021</w:t>
            </w:r>
          </w:p>
        </w:tc>
      </w:tr>
      <w:tr w:rsidR="000069D4" w14:paraId="4958612D" w14:textId="77777777" w:rsidTr="00876A8A">
        <w:trPr>
          <w:cantSplit/>
        </w:trPr>
        <w:tc>
          <w:tcPr>
            <w:tcW w:w="6487" w:type="dxa"/>
            <w:vMerge/>
          </w:tcPr>
          <w:p w14:paraId="00E615E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5E33AED" w14:textId="77777777" w:rsidR="000069D4" w:rsidRPr="008642B2" w:rsidRDefault="008642B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642B2" w14:paraId="1082600A" w14:textId="77777777" w:rsidTr="00D046A7">
        <w:trPr>
          <w:cantSplit/>
        </w:trPr>
        <w:tc>
          <w:tcPr>
            <w:tcW w:w="9889" w:type="dxa"/>
            <w:gridSpan w:val="2"/>
          </w:tcPr>
          <w:p w14:paraId="5E94E0D6" w14:textId="059EBC98" w:rsidR="008642B2" w:rsidRDefault="008B18F0" w:rsidP="008642B2">
            <w:pPr>
              <w:pStyle w:val="Source"/>
              <w:rPr>
                <w:lang w:eastAsia="zh-CN"/>
              </w:rPr>
            </w:pPr>
            <w:bookmarkStart w:id="5" w:name="dsource" w:colFirst="0" w:colLast="0"/>
            <w:bookmarkEnd w:id="4"/>
            <w:r w:rsidRPr="0036008A">
              <w:rPr>
                <w:lang w:val="en-US" w:eastAsia="ja-JP"/>
              </w:rPr>
              <w:t xml:space="preserve">Annex </w:t>
            </w:r>
            <w:r>
              <w:rPr>
                <w:lang w:val="en-US" w:eastAsia="ja-JP"/>
              </w:rPr>
              <w:t>27</w:t>
            </w:r>
            <w:r w:rsidRPr="0036008A">
              <w:rPr>
                <w:lang w:val="en-US" w:eastAsia="ja-JP"/>
              </w:rPr>
              <w:t xml:space="preserve"> to Working Party 5A Chairman’s Report</w:t>
            </w:r>
          </w:p>
        </w:tc>
      </w:tr>
      <w:tr w:rsidR="008642B2" w14:paraId="6430D203" w14:textId="77777777" w:rsidTr="00D046A7">
        <w:trPr>
          <w:cantSplit/>
        </w:trPr>
        <w:tc>
          <w:tcPr>
            <w:tcW w:w="9889" w:type="dxa"/>
            <w:gridSpan w:val="2"/>
          </w:tcPr>
          <w:p w14:paraId="74AB217E" w14:textId="5FE01712" w:rsidR="008642B2" w:rsidRDefault="008642B2" w:rsidP="008642B2">
            <w:pPr>
              <w:pStyle w:val="Title1"/>
              <w:rPr>
                <w:lang w:eastAsia="zh-CN"/>
              </w:rPr>
            </w:pPr>
            <w:bookmarkStart w:id="6" w:name="drec" w:colFirst="0" w:colLast="0"/>
            <w:bookmarkEnd w:id="5"/>
            <w:r w:rsidRPr="00586B57">
              <w:rPr>
                <w:rFonts w:hint="eastAsia"/>
                <w:lang w:eastAsia="ja-JP"/>
              </w:rPr>
              <w:t xml:space="preserve">WORKING DOCUMENT TOWARDS A PRELIMINARY DRAFT </w:t>
            </w:r>
            <w:r>
              <w:rPr>
                <w:lang w:eastAsia="ja-JP"/>
              </w:rPr>
              <w:t>new</w:t>
            </w:r>
            <w:r w:rsidRPr="00586B57">
              <w:rPr>
                <w:rFonts w:hint="eastAsia"/>
                <w:lang w:eastAsia="ja-JP"/>
              </w:rPr>
              <w:t xml:space="preserve"> </w:t>
            </w:r>
            <w:r w:rsidR="0016574A">
              <w:rPr>
                <w:lang w:eastAsia="ja-JP"/>
              </w:rPr>
              <w:br/>
            </w:r>
            <w:r w:rsidRPr="00586B57">
              <w:rPr>
                <w:rFonts w:hint="eastAsia"/>
                <w:lang w:eastAsia="ja-JP"/>
              </w:rPr>
              <w:t>REPORT ITU-R M.</w:t>
            </w:r>
            <w:r>
              <w:rPr>
                <w:lang w:eastAsia="ja-JP"/>
              </w:rPr>
              <w:t>[</w:t>
            </w:r>
            <w:proofErr w:type="spellStart"/>
            <w:r>
              <w:rPr>
                <w:lang w:eastAsia="ja-JP"/>
              </w:rPr>
              <w:t>LMS.SPEC.NEED.ABOVE.275</w:t>
            </w:r>
            <w:proofErr w:type="spellEnd"/>
            <w:r>
              <w:rPr>
                <w:lang w:eastAsia="ja-JP"/>
              </w:rPr>
              <w:t xml:space="preserve"> GHZ]</w:t>
            </w:r>
          </w:p>
        </w:tc>
      </w:tr>
      <w:tr w:rsidR="008642B2" w14:paraId="4DC861D2" w14:textId="77777777" w:rsidTr="00D046A7">
        <w:trPr>
          <w:cantSplit/>
        </w:trPr>
        <w:tc>
          <w:tcPr>
            <w:tcW w:w="9889" w:type="dxa"/>
            <w:gridSpan w:val="2"/>
          </w:tcPr>
          <w:p w14:paraId="3FF5A504" w14:textId="66DA7BE5" w:rsidR="008642B2" w:rsidRDefault="008642B2" w:rsidP="00734264">
            <w:pPr>
              <w:pStyle w:val="Title4"/>
              <w:rPr>
                <w:lang w:eastAsia="zh-CN"/>
              </w:rPr>
            </w:pPr>
            <w:bookmarkStart w:id="7" w:name="dtitle1" w:colFirst="0" w:colLast="0"/>
            <w:bookmarkEnd w:id="6"/>
            <w:r>
              <w:rPr>
                <w:lang w:eastAsia="ja-JP"/>
              </w:rPr>
              <w:t>Spectrum needs for</w:t>
            </w:r>
            <w:r w:rsidRPr="00586B57">
              <w:rPr>
                <w:rFonts w:hint="eastAsia"/>
                <w:lang w:eastAsia="ja-JP"/>
              </w:rPr>
              <w:t xml:space="preserve"> land-mobile service applications </w:t>
            </w:r>
            <w:r w:rsidRPr="00586B57">
              <w:rPr>
                <w:rFonts w:hint="eastAsia"/>
                <w:lang w:eastAsia="ja-JP"/>
              </w:rPr>
              <w:br/>
              <w:t xml:space="preserve">in the frequency </w:t>
            </w:r>
            <w:r>
              <w:rPr>
                <w:lang w:eastAsia="ja-JP"/>
              </w:rPr>
              <w:t>above</w:t>
            </w:r>
            <w:r w:rsidRPr="00586B57">
              <w:rPr>
                <w:rFonts w:hint="eastAsia"/>
                <w:lang w:eastAsia="ja-JP"/>
              </w:rPr>
              <w:t xml:space="preserve"> 275 GHz</w:t>
            </w:r>
          </w:p>
        </w:tc>
      </w:tr>
    </w:tbl>
    <w:p w14:paraId="0E5FCA5E" w14:textId="77777777" w:rsidR="008642B2" w:rsidRDefault="008642B2" w:rsidP="008642B2">
      <w:pPr>
        <w:pStyle w:val="Questionref"/>
      </w:pPr>
      <w:bookmarkStart w:id="8" w:name="dbreak"/>
      <w:bookmarkEnd w:id="7"/>
      <w:bookmarkEnd w:id="8"/>
      <w:r w:rsidRPr="00586B57">
        <w:t>(</w:t>
      </w:r>
      <w:hyperlink r:id="rId10" w:history="1">
        <w:r w:rsidRPr="0064288F">
          <w:t>Question</w:t>
        </w:r>
        <w:r w:rsidRPr="0016574A">
          <w:rPr>
            <w:color w:val="0000FF" w:themeColor="hyperlink"/>
            <w:szCs w:val="24"/>
          </w:rPr>
          <w:t xml:space="preserve"> </w:t>
        </w:r>
        <w:r w:rsidRPr="00586B57">
          <w:rPr>
            <w:color w:val="0000FF" w:themeColor="hyperlink"/>
            <w:szCs w:val="24"/>
            <w:u w:val="single"/>
          </w:rPr>
          <w:t>ITU-R 256-1/5</w:t>
        </w:r>
      </w:hyperlink>
      <w:r w:rsidRPr="00586B57">
        <w:rPr>
          <w:szCs w:val="24"/>
        </w:rPr>
        <w:t>)</w:t>
      </w:r>
    </w:p>
    <w:p w14:paraId="0BE31EAA" w14:textId="77777777" w:rsidR="008642B2" w:rsidRPr="00586B57" w:rsidRDefault="008642B2" w:rsidP="008642B2">
      <w:pPr>
        <w:pStyle w:val="Heading1"/>
      </w:pPr>
      <w:r w:rsidRPr="00586B57">
        <w:t>1</w:t>
      </w:r>
      <w:r w:rsidRPr="00586B57">
        <w:tab/>
        <w:t>Introduction</w:t>
      </w:r>
    </w:p>
    <w:p w14:paraId="231C212C" w14:textId="77777777" w:rsidR="008642B2" w:rsidRPr="004D08B9" w:rsidRDefault="008642B2" w:rsidP="008642B2">
      <w:pPr>
        <w:rPr>
          <w:i/>
          <w:iCs/>
        </w:rPr>
      </w:pPr>
      <w:r w:rsidRPr="004D08B9">
        <w:rPr>
          <w:i/>
          <w:iCs/>
          <w:lang w:eastAsia="ja-JP"/>
        </w:rPr>
        <w:t>[TBD]</w:t>
      </w:r>
    </w:p>
    <w:p w14:paraId="09315E6B" w14:textId="77777777" w:rsidR="008642B2" w:rsidRPr="00586B57" w:rsidRDefault="008642B2" w:rsidP="008642B2">
      <w:pPr>
        <w:pStyle w:val="Heading1"/>
      </w:pPr>
      <w:r w:rsidRPr="00586B57">
        <w:t>2</w:t>
      </w:r>
      <w:r w:rsidRPr="00586B57">
        <w:tab/>
        <w:t>Scope</w:t>
      </w:r>
    </w:p>
    <w:p w14:paraId="45FFE2A6" w14:textId="77777777" w:rsidR="008642B2" w:rsidRPr="00586B57" w:rsidRDefault="008642B2" w:rsidP="008642B2">
      <w:pPr>
        <w:rPr>
          <w:lang w:eastAsia="ja-JP"/>
        </w:rPr>
      </w:pPr>
      <w:r w:rsidRPr="00EB7D84">
        <w:rPr>
          <w:lang w:eastAsia="ja-JP"/>
        </w:rPr>
        <w:t>This Report addresses the estimation of the spectrum needs</w:t>
      </w:r>
      <w:r>
        <w:rPr>
          <w:lang w:eastAsia="ja-JP"/>
        </w:rPr>
        <w:t xml:space="preserve"> for</w:t>
      </w:r>
      <w:r w:rsidRPr="00EB7D84">
        <w:rPr>
          <w:lang w:eastAsia="ja-JP"/>
        </w:rPr>
        <w:t xml:space="preserve"> </w:t>
      </w:r>
      <w:r>
        <w:rPr>
          <w:lang w:eastAsia="ja-JP"/>
        </w:rPr>
        <w:t>land-mobile service applications operating in the frequency above 275 GHz.</w:t>
      </w:r>
    </w:p>
    <w:p w14:paraId="04A6C17E" w14:textId="77777777" w:rsidR="008642B2" w:rsidRPr="00586B57" w:rsidRDefault="008642B2" w:rsidP="008642B2">
      <w:pPr>
        <w:pStyle w:val="Heading1"/>
      </w:pPr>
      <w:r w:rsidRPr="00586B57">
        <w:t>3</w:t>
      </w:r>
      <w:r w:rsidRPr="00586B57">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034"/>
        <w:gridCol w:w="6675"/>
      </w:tblGrid>
      <w:tr w:rsidR="008642B2" w:rsidRPr="00586B57" w14:paraId="247145D6" w14:textId="77777777" w:rsidTr="001B1C35">
        <w:tc>
          <w:tcPr>
            <w:tcW w:w="3034" w:type="dxa"/>
          </w:tcPr>
          <w:p w14:paraId="0C59A152" w14:textId="77777777" w:rsidR="008642B2" w:rsidRPr="00586B57" w:rsidRDefault="008642B2" w:rsidP="001B1C35">
            <w:r w:rsidRPr="00586B57">
              <w:t>Re</w:t>
            </w:r>
            <w:r>
              <w:t>port</w:t>
            </w:r>
            <w:r w:rsidRPr="00586B57">
              <w:t xml:space="preserve"> </w:t>
            </w:r>
            <w:hyperlink r:id="rId11" w:history="1">
              <w:r w:rsidRPr="004D08B9">
                <w:rPr>
                  <w:rStyle w:val="Hyperlink"/>
                </w:rPr>
                <w:t>ITU-M.2417</w:t>
              </w:r>
            </w:hyperlink>
          </w:p>
        </w:tc>
        <w:tc>
          <w:tcPr>
            <w:tcW w:w="6675" w:type="dxa"/>
          </w:tcPr>
          <w:p w14:paraId="658E7026" w14:textId="77777777" w:rsidR="008642B2" w:rsidRPr="00586B57" w:rsidRDefault="008642B2" w:rsidP="001B1C35">
            <w:pPr>
              <w:rPr>
                <w:iCs/>
              </w:rPr>
            </w:pPr>
            <w:r w:rsidRPr="00586B57">
              <w:rPr>
                <w:rFonts w:hint="eastAsia"/>
                <w:lang w:eastAsia="ja-JP"/>
              </w:rPr>
              <w:t>Technical and operational characteristics of land-mobile service applications in the frequency range 275-450 GHz</w:t>
            </w:r>
          </w:p>
        </w:tc>
      </w:tr>
      <w:tr w:rsidR="008642B2" w:rsidRPr="00586B57" w14:paraId="2885E967" w14:textId="77777777" w:rsidTr="001B1C35">
        <w:tc>
          <w:tcPr>
            <w:tcW w:w="3034" w:type="dxa"/>
          </w:tcPr>
          <w:p w14:paraId="2890E907" w14:textId="77777777" w:rsidR="008642B2" w:rsidRPr="00586B57" w:rsidRDefault="008642B2" w:rsidP="001B1C35"/>
        </w:tc>
        <w:tc>
          <w:tcPr>
            <w:tcW w:w="6675" w:type="dxa"/>
          </w:tcPr>
          <w:p w14:paraId="5A48738E" w14:textId="77777777" w:rsidR="008642B2" w:rsidRPr="00586B57" w:rsidRDefault="008642B2" w:rsidP="001B1C35">
            <w:pPr>
              <w:rPr>
                <w:lang w:eastAsia="ja-JP"/>
              </w:rPr>
            </w:pPr>
          </w:p>
        </w:tc>
      </w:tr>
    </w:tbl>
    <w:p w14:paraId="3457CD97" w14:textId="77777777" w:rsidR="008642B2" w:rsidRPr="00586B57" w:rsidRDefault="008642B2" w:rsidP="008642B2">
      <w:pPr>
        <w:keepNext/>
        <w:keepLines/>
        <w:spacing w:before="280"/>
        <w:ind w:left="1134" w:hanging="1134"/>
        <w:outlineLvl w:val="0"/>
        <w:rPr>
          <w:b/>
          <w:sz w:val="28"/>
        </w:rPr>
      </w:pPr>
      <w:r w:rsidRPr="00586B57">
        <w:rPr>
          <w:b/>
          <w:sz w:val="28"/>
        </w:rPr>
        <w:t>4</w:t>
      </w:r>
      <w:r w:rsidRPr="00586B57">
        <w:rPr>
          <w:b/>
          <w:sz w:val="28"/>
        </w:rPr>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8642B2" w:rsidRPr="00586B57" w14:paraId="6875DA7B" w14:textId="77777777" w:rsidTr="001B1C35">
        <w:tc>
          <w:tcPr>
            <w:tcW w:w="1134" w:type="dxa"/>
          </w:tcPr>
          <w:p w14:paraId="2776E409" w14:textId="77777777" w:rsidR="008642B2" w:rsidRPr="00EB7D84" w:rsidRDefault="008642B2" w:rsidP="001B1C35">
            <w:pPr>
              <w:rPr>
                <w:i/>
                <w:iCs/>
              </w:rPr>
            </w:pPr>
            <w:r w:rsidRPr="00EB7D84">
              <w:rPr>
                <w:i/>
                <w:iCs/>
              </w:rPr>
              <w:t>[TBD]</w:t>
            </w:r>
          </w:p>
        </w:tc>
        <w:tc>
          <w:tcPr>
            <w:tcW w:w="8476" w:type="dxa"/>
          </w:tcPr>
          <w:p w14:paraId="1717005E" w14:textId="77777777" w:rsidR="008642B2" w:rsidRPr="00586B57" w:rsidRDefault="008642B2" w:rsidP="001B1C35"/>
        </w:tc>
      </w:tr>
      <w:tr w:rsidR="008642B2" w:rsidRPr="00586B57" w14:paraId="7AF1A958" w14:textId="77777777" w:rsidTr="001B1C35">
        <w:tc>
          <w:tcPr>
            <w:tcW w:w="1134" w:type="dxa"/>
          </w:tcPr>
          <w:p w14:paraId="0C4B93B4" w14:textId="77777777" w:rsidR="008642B2" w:rsidRPr="00EB7D84" w:rsidRDefault="008642B2" w:rsidP="001B1C35">
            <w:pPr>
              <w:rPr>
                <w:i/>
                <w:iCs/>
              </w:rPr>
            </w:pPr>
          </w:p>
        </w:tc>
        <w:tc>
          <w:tcPr>
            <w:tcW w:w="8476" w:type="dxa"/>
          </w:tcPr>
          <w:p w14:paraId="4A6E0CE6" w14:textId="77777777" w:rsidR="008642B2" w:rsidRPr="00586B57" w:rsidRDefault="008642B2" w:rsidP="001B1C35"/>
        </w:tc>
      </w:tr>
    </w:tbl>
    <w:p w14:paraId="23FA9459" w14:textId="77777777" w:rsidR="008642B2" w:rsidRPr="00586B57" w:rsidRDefault="008642B2" w:rsidP="008642B2">
      <w:pPr>
        <w:pStyle w:val="Heading1"/>
      </w:pPr>
      <w:r w:rsidRPr="00586B57">
        <w:t>5</w:t>
      </w:r>
      <w:r w:rsidRPr="00586B57">
        <w:tab/>
      </w:r>
      <w:r>
        <w:t>LMS applications operating in the frequency above 275 GHz</w:t>
      </w:r>
    </w:p>
    <w:p w14:paraId="5F19EC14" w14:textId="77777777" w:rsidR="008642B2" w:rsidRPr="00AE2829" w:rsidRDefault="008642B2" w:rsidP="0016574A">
      <w:pPr>
        <w:pStyle w:val="Heading2"/>
      </w:pPr>
      <w:bookmarkStart w:id="9" w:name="_Toc73044798"/>
      <w:r>
        <w:t>5</w:t>
      </w:r>
      <w:r w:rsidRPr="00AE2829">
        <w:t>.1</w:t>
      </w:r>
      <w:r w:rsidRPr="00AE2829">
        <w:tab/>
      </w:r>
      <w:bookmarkEnd w:id="9"/>
      <w:r>
        <w:t>Requirements of LMS applications</w:t>
      </w:r>
      <w:r w:rsidRPr="00AE2829">
        <w:t xml:space="preserve">  </w:t>
      </w:r>
    </w:p>
    <w:p w14:paraId="00829BA1" w14:textId="77777777" w:rsidR="008642B2" w:rsidRDefault="008642B2" w:rsidP="008642B2">
      <w:pPr>
        <w:rPr>
          <w:i/>
          <w:iCs/>
          <w:lang w:eastAsia="ja-JP"/>
        </w:rPr>
      </w:pPr>
      <w:r w:rsidRPr="005E4E15">
        <w:rPr>
          <w:rFonts w:hint="eastAsia"/>
          <w:i/>
          <w:iCs/>
          <w:lang w:eastAsia="ja-JP"/>
        </w:rPr>
        <w:t>[</w:t>
      </w:r>
      <w:r w:rsidRPr="005E4E15">
        <w:rPr>
          <w:i/>
          <w:iCs/>
          <w:lang w:eastAsia="ja-JP"/>
        </w:rPr>
        <w:t>TBD]</w:t>
      </w:r>
    </w:p>
    <w:p w14:paraId="64838A8F" w14:textId="77777777" w:rsidR="008642B2" w:rsidRPr="00AE2829" w:rsidRDefault="008642B2" w:rsidP="0016574A">
      <w:pPr>
        <w:pStyle w:val="Heading2"/>
      </w:pPr>
      <w:r>
        <w:t>5</w:t>
      </w:r>
      <w:r w:rsidRPr="00AE2829">
        <w:t>.</w:t>
      </w:r>
      <w:r>
        <w:t>2</w:t>
      </w:r>
      <w:r w:rsidRPr="00AE2829">
        <w:tab/>
      </w:r>
      <w:r>
        <w:t>Technologies to support high-speed data rates</w:t>
      </w:r>
      <w:r w:rsidRPr="00AE2829">
        <w:t xml:space="preserve"> </w:t>
      </w:r>
    </w:p>
    <w:p w14:paraId="25678A46" w14:textId="77777777" w:rsidR="008642B2" w:rsidRPr="005E4E15" w:rsidRDefault="008642B2" w:rsidP="008642B2">
      <w:pPr>
        <w:rPr>
          <w:i/>
          <w:iCs/>
          <w:lang w:eastAsia="ja-JP"/>
        </w:rPr>
      </w:pPr>
      <w:r w:rsidRPr="005E4E15">
        <w:rPr>
          <w:rFonts w:hint="eastAsia"/>
          <w:i/>
          <w:iCs/>
          <w:lang w:eastAsia="ja-JP"/>
        </w:rPr>
        <w:t>[</w:t>
      </w:r>
      <w:r w:rsidRPr="005E4E15">
        <w:rPr>
          <w:i/>
          <w:iCs/>
          <w:lang w:eastAsia="ja-JP"/>
        </w:rPr>
        <w:t>TBD]</w:t>
      </w:r>
    </w:p>
    <w:p w14:paraId="12332165" w14:textId="77777777" w:rsidR="008642B2" w:rsidRPr="00586B57" w:rsidRDefault="008642B2" w:rsidP="008642B2">
      <w:pPr>
        <w:pStyle w:val="Heading1"/>
        <w:rPr>
          <w:lang w:eastAsia="ja-JP"/>
        </w:rPr>
      </w:pPr>
      <w:r>
        <w:rPr>
          <w:lang w:eastAsia="ja-JP"/>
        </w:rPr>
        <w:lastRenderedPageBreak/>
        <w:t>6</w:t>
      </w:r>
      <w:r w:rsidRPr="00586B57">
        <w:rPr>
          <w:lang w:eastAsia="ja-JP"/>
        </w:rPr>
        <w:tab/>
      </w:r>
      <w:r>
        <w:rPr>
          <w:lang w:eastAsia="ja-JP"/>
        </w:rPr>
        <w:t>Estimation of spectrum needs</w:t>
      </w:r>
    </w:p>
    <w:p w14:paraId="4E94CD2C" w14:textId="77777777" w:rsidR="008642B2" w:rsidRPr="005E4E15" w:rsidRDefault="008642B2" w:rsidP="008642B2">
      <w:pPr>
        <w:pStyle w:val="Heading2"/>
        <w:rPr>
          <w:i/>
          <w:lang w:eastAsia="ja-JP"/>
        </w:rPr>
      </w:pPr>
      <w:r>
        <w:rPr>
          <w:lang w:eastAsia="ja-JP"/>
        </w:rPr>
        <w:t>6</w:t>
      </w:r>
      <w:r w:rsidRPr="005E4E15">
        <w:rPr>
          <w:lang w:eastAsia="ja-JP"/>
        </w:rPr>
        <w:t>.</w:t>
      </w:r>
      <w:r>
        <w:rPr>
          <w:lang w:eastAsia="ja-JP"/>
        </w:rPr>
        <w:t>1</w:t>
      </w:r>
      <w:r w:rsidRPr="005E4E15">
        <w:rPr>
          <w:lang w:eastAsia="ja-JP"/>
        </w:rPr>
        <w:tab/>
        <w:t xml:space="preserve">CPMS applications </w:t>
      </w:r>
    </w:p>
    <w:p w14:paraId="3D8FF4A4" w14:textId="11FAC9FD" w:rsidR="008642B2" w:rsidRPr="005E4E15" w:rsidRDefault="008642B2" w:rsidP="0016574A">
      <w:pPr>
        <w:rPr>
          <w:lang w:eastAsia="ja-JP"/>
        </w:rPr>
      </w:pPr>
      <w:r w:rsidRPr="005E4E15">
        <w:rPr>
          <w:lang w:eastAsia="ja-JP"/>
        </w:rPr>
        <w:t xml:space="preserve">Ultra-high definition television (UHDTV) or 8K videos whose uncompressed streaming data rates are 24 Gb/s, 48 Gb/s, 96 Gb/s and 144 Gb/s depending on frame rates from 30 to 120 fps will be serviced by digital platformers for CPMS application. In order to transmit and receive the maximum uncompressed streaming data of 144 Gbit/s, the required bandwidth of those transceivers which have </w:t>
      </w:r>
      <w:proofErr w:type="spellStart"/>
      <w:r w:rsidRPr="005E4E15">
        <w:rPr>
          <w:lang w:eastAsia="ja-JP"/>
        </w:rPr>
        <w:t>SISO</w:t>
      </w:r>
      <w:proofErr w:type="spellEnd"/>
      <w:r w:rsidRPr="005E4E15">
        <w:rPr>
          <w:lang w:eastAsia="ja-JP"/>
        </w:rPr>
        <w:t>, 2</w:t>
      </w:r>
      <w:r w:rsidR="00DE1104">
        <w:rPr>
          <w:lang w:eastAsia="ja-JP"/>
        </w:rPr>
        <w:t> </w:t>
      </w:r>
      <w:r w:rsidRPr="005E4E15">
        <w:rPr>
          <w:rFonts w:hint="eastAsia"/>
          <w:lang w:eastAsia="ja-JP"/>
        </w:rPr>
        <w:t>×</w:t>
      </w:r>
      <w:r w:rsidR="00DE1104">
        <w:rPr>
          <w:lang w:eastAsia="ja-JP"/>
        </w:rPr>
        <w:t> </w:t>
      </w:r>
      <w:r w:rsidRPr="005E4E15">
        <w:rPr>
          <w:lang w:eastAsia="ja-JP"/>
        </w:rPr>
        <w:t>2 MIMO and 4</w:t>
      </w:r>
      <w:r w:rsidR="00DE1104">
        <w:rPr>
          <w:lang w:eastAsia="ja-JP"/>
        </w:rPr>
        <w:t> </w:t>
      </w:r>
      <w:r w:rsidRPr="005E4E15">
        <w:rPr>
          <w:rFonts w:hint="eastAsia"/>
          <w:lang w:eastAsia="ja-JP"/>
        </w:rPr>
        <w:t>×</w:t>
      </w:r>
      <w:r w:rsidR="00DE1104">
        <w:rPr>
          <w:lang w:eastAsia="ja-JP"/>
        </w:rPr>
        <w:t> </w:t>
      </w:r>
      <w:r w:rsidRPr="005E4E15">
        <w:rPr>
          <w:lang w:eastAsia="ja-JP"/>
        </w:rPr>
        <w:t>4 MIMO transmission capabilities varies from 6 to 24 GHz and 4.5 to 18 GHz whose modulation schemes are 64</w:t>
      </w:r>
      <w:r w:rsidR="00DE1104">
        <w:rPr>
          <w:lang w:eastAsia="ja-JP"/>
        </w:rPr>
        <w:t>-</w:t>
      </w:r>
      <w:proofErr w:type="spellStart"/>
      <w:r w:rsidRPr="005E4E15">
        <w:rPr>
          <w:lang w:eastAsia="ja-JP"/>
        </w:rPr>
        <w:t>QAM</w:t>
      </w:r>
      <w:proofErr w:type="spellEnd"/>
      <w:r w:rsidRPr="005E4E15">
        <w:rPr>
          <w:lang w:eastAsia="ja-JP"/>
        </w:rPr>
        <w:t xml:space="preserve"> and 256</w:t>
      </w:r>
      <w:r w:rsidR="00DE1104">
        <w:rPr>
          <w:lang w:eastAsia="ja-JP"/>
        </w:rPr>
        <w:t>-</w:t>
      </w:r>
      <w:proofErr w:type="spellStart"/>
      <w:r w:rsidRPr="005E4E15">
        <w:rPr>
          <w:lang w:eastAsia="ja-JP"/>
        </w:rPr>
        <w:t>QAM</w:t>
      </w:r>
      <w:proofErr w:type="spellEnd"/>
      <w:r w:rsidRPr="005E4E15">
        <w:rPr>
          <w:lang w:eastAsia="ja-JP"/>
        </w:rPr>
        <w:t>, respectively. The frequency bandwidth of 50 GHz introduced in section 8.1 is sufficient to meet the requirement for 8K video uncompressed video transmission. However, CPMS applications, in particular, automatic turnstile downloading mobile systems are designed to transfer ultra-high-speed data between mobile terminal and automatic turnstile transceivers. One-hour 8K video size is, e.g., 22 GB in the condition of a frame rate of 59.94, a colour depth of 8 bit/px and HEVC (High Efficiency Video Coding) codec</w:t>
      </w:r>
      <w:r w:rsidRPr="005E4E15">
        <w:rPr>
          <w:rStyle w:val="FootnoteReference"/>
          <w:lang w:eastAsia="ja-JP"/>
        </w:rPr>
        <w:footnoteReference w:id="1"/>
      </w:r>
      <w:r w:rsidRPr="005E4E15">
        <w:rPr>
          <w:lang w:eastAsia="ja-JP"/>
        </w:rPr>
        <w:t xml:space="preserve">. Table 6 summarizes the relationship between high-volume video size and file downloading time as a function of data rates. Since the duration of contact between CPMS devices at the automatic turnstile is around 250 msec and the link setup time between </w:t>
      </w:r>
      <w:proofErr w:type="spellStart"/>
      <w:r w:rsidRPr="005E4E15">
        <w:rPr>
          <w:lang w:eastAsia="ja-JP"/>
        </w:rPr>
        <w:t>CPMS</w:t>
      </w:r>
      <w:proofErr w:type="spellEnd"/>
      <w:r w:rsidRPr="005E4E15">
        <w:rPr>
          <w:lang w:eastAsia="ja-JP"/>
        </w:rPr>
        <w:t xml:space="preserve"> devices is 2</w:t>
      </w:r>
      <w:r w:rsidR="00D26478">
        <w:rPr>
          <w:lang w:eastAsia="ja-JP"/>
        </w:rPr>
        <w:t> </w:t>
      </w:r>
      <w:r w:rsidRPr="005E4E15">
        <w:rPr>
          <w:lang w:eastAsia="ja-JP"/>
        </w:rPr>
        <w:t>msec [4]. In order to download high-volume video content such as 22 GB within 248 msec, the data rate of 745 Gbit/s is required which corresponds to the estimated spectrum of 46 GHz. This estimation is based on the modulation scheme of 256</w:t>
      </w:r>
      <w:r w:rsidR="00DE1104">
        <w:rPr>
          <w:lang w:eastAsia="ja-JP"/>
        </w:rPr>
        <w:t>-</w:t>
      </w:r>
      <w:proofErr w:type="spellStart"/>
      <w:r w:rsidRPr="005E4E15">
        <w:rPr>
          <w:lang w:eastAsia="ja-JP"/>
        </w:rPr>
        <w:t>QAM</w:t>
      </w:r>
      <w:proofErr w:type="spellEnd"/>
      <w:r w:rsidRPr="005E4E15">
        <w:rPr>
          <w:lang w:eastAsia="ja-JP"/>
        </w:rPr>
        <w:t xml:space="preserve"> and transmission techniques of 2</w:t>
      </w:r>
      <w:r w:rsidR="00DE1104">
        <w:rPr>
          <w:lang w:eastAsia="ja-JP"/>
        </w:rPr>
        <w:t> </w:t>
      </w:r>
      <w:r w:rsidRPr="005E4E15">
        <w:rPr>
          <w:rFonts w:hint="eastAsia"/>
          <w:lang w:eastAsia="ja-JP"/>
        </w:rPr>
        <w:t>×</w:t>
      </w:r>
      <w:r w:rsidR="00DE1104">
        <w:rPr>
          <w:lang w:eastAsia="ja-JP"/>
        </w:rPr>
        <w:t> </w:t>
      </w:r>
      <w:r w:rsidRPr="005E4E15">
        <w:rPr>
          <w:lang w:eastAsia="ja-JP"/>
        </w:rPr>
        <w:t>2 MIMO. The range of spectrum needs for CPMS applications changes depending on system parameters, but the frequency bandwidth around 50 GHz could provide sufficient downloading time for CPMS devices at the automatic turnstile.</w:t>
      </w:r>
    </w:p>
    <w:p w14:paraId="56A90162" w14:textId="77777777" w:rsidR="008642B2" w:rsidRPr="005E4E15" w:rsidRDefault="008642B2" w:rsidP="00DE1104">
      <w:pPr>
        <w:pStyle w:val="TableNo"/>
        <w:rPr>
          <w:lang w:eastAsia="ja-JP"/>
        </w:rPr>
      </w:pPr>
      <w:r w:rsidRPr="00DE1104">
        <w:t>TABLE</w:t>
      </w:r>
      <w:r w:rsidRPr="005E4E15">
        <w:rPr>
          <w:lang w:eastAsia="ja-JP"/>
        </w:rPr>
        <w:t xml:space="preserve"> 6</w:t>
      </w:r>
    </w:p>
    <w:p w14:paraId="2CA6E338" w14:textId="77777777" w:rsidR="008642B2" w:rsidRPr="005E4E15" w:rsidRDefault="008642B2" w:rsidP="00734264">
      <w:pPr>
        <w:pStyle w:val="Tabletitle"/>
        <w:rPr>
          <w:lang w:eastAsia="ja-JP"/>
        </w:rPr>
      </w:pPr>
      <w:r w:rsidRPr="005E4E15">
        <w:rPr>
          <w:lang w:eastAsia="ja-JP"/>
        </w:rPr>
        <w:t>Estimated downloading time of high-volume video content</w:t>
      </w:r>
    </w:p>
    <w:tbl>
      <w:tblPr>
        <w:tblStyle w:val="TableGrid"/>
        <w:tblW w:w="9639" w:type="dxa"/>
        <w:jc w:val="center"/>
        <w:tblLook w:val="04A0" w:firstRow="1" w:lastRow="0" w:firstColumn="1" w:lastColumn="0" w:noHBand="0" w:noVBand="1"/>
      </w:tblPr>
      <w:tblGrid>
        <w:gridCol w:w="1479"/>
        <w:gridCol w:w="1483"/>
        <w:gridCol w:w="1633"/>
        <w:gridCol w:w="1632"/>
        <w:gridCol w:w="1613"/>
        <w:gridCol w:w="1799"/>
      </w:tblGrid>
      <w:tr w:rsidR="008642B2" w:rsidRPr="005E4E15" w14:paraId="46C98B17" w14:textId="77777777" w:rsidTr="001B1C35">
        <w:trPr>
          <w:jc w:val="center"/>
        </w:trPr>
        <w:tc>
          <w:tcPr>
            <w:tcW w:w="1413" w:type="dxa"/>
            <w:vMerge w:val="restart"/>
            <w:vAlign w:val="center"/>
          </w:tcPr>
          <w:p w14:paraId="1967B449" w14:textId="77777777" w:rsidR="008642B2" w:rsidRPr="005E4E15" w:rsidRDefault="008642B2" w:rsidP="00DE1104">
            <w:pPr>
              <w:pStyle w:val="Tablehead"/>
              <w:rPr>
                <w:lang w:eastAsia="ja-JP"/>
              </w:rPr>
            </w:pPr>
            <w:r w:rsidRPr="005E4E15">
              <w:rPr>
                <w:lang w:eastAsia="ja-JP"/>
              </w:rPr>
              <w:t>Video size (GB/hour)</w:t>
            </w:r>
          </w:p>
        </w:tc>
        <w:tc>
          <w:tcPr>
            <w:tcW w:w="7796" w:type="dxa"/>
            <w:gridSpan w:val="5"/>
            <w:vAlign w:val="center"/>
          </w:tcPr>
          <w:p w14:paraId="3A7C1F4C" w14:textId="77777777" w:rsidR="008642B2" w:rsidRPr="00734264" w:rsidRDefault="008642B2" w:rsidP="00DE1104">
            <w:pPr>
              <w:pStyle w:val="Tablehead"/>
              <w:rPr>
                <w:bCs/>
                <w:lang w:eastAsia="ja-JP"/>
              </w:rPr>
            </w:pPr>
            <w:r w:rsidRPr="00734264">
              <w:rPr>
                <w:bCs/>
                <w:lang w:eastAsia="ja-JP"/>
              </w:rPr>
              <w:t>Downloading time (sec)</w:t>
            </w:r>
          </w:p>
        </w:tc>
      </w:tr>
      <w:tr w:rsidR="008642B2" w:rsidRPr="005E4E15" w14:paraId="24E5BF54" w14:textId="77777777" w:rsidTr="001B1C35">
        <w:trPr>
          <w:jc w:val="center"/>
        </w:trPr>
        <w:tc>
          <w:tcPr>
            <w:tcW w:w="1413" w:type="dxa"/>
            <w:vMerge/>
          </w:tcPr>
          <w:p w14:paraId="3CE9BB16" w14:textId="77777777" w:rsidR="008642B2" w:rsidRPr="005E4E15" w:rsidRDefault="008642B2" w:rsidP="00DE1104">
            <w:pPr>
              <w:pStyle w:val="Tablehead"/>
              <w:rPr>
                <w:lang w:eastAsia="ja-JP"/>
              </w:rPr>
            </w:pPr>
          </w:p>
        </w:tc>
        <w:tc>
          <w:tcPr>
            <w:tcW w:w="1417" w:type="dxa"/>
            <w:vAlign w:val="center"/>
          </w:tcPr>
          <w:p w14:paraId="6DBB0AA3" w14:textId="77777777" w:rsidR="008642B2" w:rsidRPr="005E4E15" w:rsidRDefault="008642B2" w:rsidP="00DE1104">
            <w:pPr>
              <w:pStyle w:val="Tablehead"/>
              <w:rPr>
                <w:lang w:eastAsia="ja-JP"/>
              </w:rPr>
            </w:pPr>
            <w:r w:rsidRPr="005E4E15">
              <w:rPr>
                <w:lang w:eastAsia="ja-JP"/>
              </w:rPr>
              <w:t>10 Gbit/s</w:t>
            </w:r>
          </w:p>
        </w:tc>
        <w:tc>
          <w:tcPr>
            <w:tcW w:w="1560" w:type="dxa"/>
            <w:vAlign w:val="center"/>
          </w:tcPr>
          <w:p w14:paraId="3B9412A4" w14:textId="77777777" w:rsidR="008642B2" w:rsidRPr="005E4E15" w:rsidRDefault="008642B2" w:rsidP="00DE1104">
            <w:pPr>
              <w:pStyle w:val="Tablehead"/>
              <w:rPr>
                <w:lang w:eastAsia="ja-JP"/>
              </w:rPr>
            </w:pPr>
            <w:r w:rsidRPr="005E4E15">
              <w:rPr>
                <w:lang w:eastAsia="ja-JP"/>
              </w:rPr>
              <w:t>50 Gbit/s</w:t>
            </w:r>
          </w:p>
        </w:tc>
        <w:tc>
          <w:tcPr>
            <w:tcW w:w="1559" w:type="dxa"/>
            <w:vAlign w:val="center"/>
          </w:tcPr>
          <w:p w14:paraId="3A9BE822" w14:textId="77777777" w:rsidR="008642B2" w:rsidRPr="005E4E15" w:rsidRDefault="008642B2" w:rsidP="00DE1104">
            <w:pPr>
              <w:pStyle w:val="Tablehead"/>
              <w:rPr>
                <w:lang w:eastAsia="ja-JP"/>
              </w:rPr>
            </w:pPr>
            <w:r w:rsidRPr="005E4E15">
              <w:rPr>
                <w:lang w:eastAsia="ja-JP"/>
              </w:rPr>
              <w:t>100 Gbit/s</w:t>
            </w:r>
          </w:p>
        </w:tc>
        <w:tc>
          <w:tcPr>
            <w:tcW w:w="1541" w:type="dxa"/>
            <w:vAlign w:val="center"/>
          </w:tcPr>
          <w:p w14:paraId="0A252FEE" w14:textId="77777777" w:rsidR="008642B2" w:rsidRPr="005E4E15" w:rsidRDefault="008642B2" w:rsidP="00DE1104">
            <w:pPr>
              <w:pStyle w:val="Tablehead"/>
              <w:rPr>
                <w:lang w:eastAsia="ja-JP"/>
              </w:rPr>
            </w:pPr>
            <w:r w:rsidRPr="005E4E15">
              <w:rPr>
                <w:lang w:eastAsia="ja-JP"/>
              </w:rPr>
              <w:t>500 Gbit/s</w:t>
            </w:r>
          </w:p>
        </w:tc>
        <w:tc>
          <w:tcPr>
            <w:tcW w:w="1719" w:type="dxa"/>
            <w:vAlign w:val="center"/>
          </w:tcPr>
          <w:p w14:paraId="4FAC6D31" w14:textId="5B6527ED" w:rsidR="008642B2" w:rsidRPr="005E4E15" w:rsidRDefault="008642B2" w:rsidP="00DE1104">
            <w:pPr>
              <w:pStyle w:val="Tablehead"/>
              <w:rPr>
                <w:lang w:eastAsia="ja-JP"/>
              </w:rPr>
            </w:pPr>
            <w:r w:rsidRPr="005E4E15">
              <w:rPr>
                <w:lang w:eastAsia="ja-JP"/>
              </w:rPr>
              <w:t>1</w:t>
            </w:r>
            <w:r w:rsidR="00734264">
              <w:rPr>
                <w:lang w:eastAsia="ja-JP"/>
              </w:rPr>
              <w:t> </w:t>
            </w:r>
            <w:r w:rsidRPr="005E4E15">
              <w:rPr>
                <w:lang w:eastAsia="ja-JP"/>
              </w:rPr>
              <w:t>000</w:t>
            </w:r>
            <w:r w:rsidR="00734264">
              <w:rPr>
                <w:lang w:eastAsia="ja-JP"/>
              </w:rPr>
              <w:t> </w:t>
            </w:r>
            <w:r w:rsidRPr="005E4E15">
              <w:rPr>
                <w:lang w:eastAsia="ja-JP"/>
              </w:rPr>
              <w:t>Gbit/s</w:t>
            </w:r>
          </w:p>
        </w:tc>
      </w:tr>
      <w:tr w:rsidR="008642B2" w:rsidRPr="005E4E15" w14:paraId="1A13699F" w14:textId="77777777" w:rsidTr="001B1C35">
        <w:trPr>
          <w:jc w:val="center"/>
        </w:trPr>
        <w:tc>
          <w:tcPr>
            <w:tcW w:w="1413" w:type="dxa"/>
            <w:vAlign w:val="center"/>
          </w:tcPr>
          <w:p w14:paraId="1CE9BAC8" w14:textId="77777777" w:rsidR="008642B2" w:rsidRPr="005E4E15" w:rsidRDefault="008642B2" w:rsidP="00DE1104">
            <w:pPr>
              <w:pStyle w:val="Tabletext"/>
              <w:jc w:val="center"/>
              <w:rPr>
                <w:lang w:eastAsia="ja-JP"/>
              </w:rPr>
            </w:pPr>
            <w:r w:rsidRPr="005E4E15">
              <w:rPr>
                <w:lang w:eastAsia="ja-JP"/>
              </w:rPr>
              <w:t>1</w:t>
            </w:r>
          </w:p>
        </w:tc>
        <w:tc>
          <w:tcPr>
            <w:tcW w:w="1417" w:type="dxa"/>
            <w:vAlign w:val="center"/>
          </w:tcPr>
          <w:p w14:paraId="4DAF4626" w14:textId="77777777" w:rsidR="008642B2" w:rsidRPr="005E4E15" w:rsidRDefault="008642B2" w:rsidP="00DE1104">
            <w:pPr>
              <w:pStyle w:val="Tabletext"/>
              <w:jc w:val="center"/>
              <w:rPr>
                <w:lang w:eastAsia="ja-JP"/>
              </w:rPr>
            </w:pPr>
            <w:r w:rsidRPr="005E4E15">
              <w:rPr>
                <w:lang w:eastAsia="ja-JP"/>
              </w:rPr>
              <w:t>0.84</w:t>
            </w:r>
          </w:p>
        </w:tc>
        <w:tc>
          <w:tcPr>
            <w:tcW w:w="1560" w:type="dxa"/>
            <w:vAlign w:val="center"/>
          </w:tcPr>
          <w:p w14:paraId="5823022F" w14:textId="77777777" w:rsidR="008642B2" w:rsidRPr="005E4E15" w:rsidRDefault="008642B2" w:rsidP="00DE1104">
            <w:pPr>
              <w:pStyle w:val="Tabletext"/>
              <w:jc w:val="center"/>
              <w:rPr>
                <w:lang w:eastAsia="ja-JP"/>
              </w:rPr>
            </w:pPr>
            <w:r w:rsidRPr="005E4E15">
              <w:rPr>
                <w:lang w:eastAsia="ja-JP"/>
              </w:rPr>
              <w:t>0.17</w:t>
            </w:r>
          </w:p>
        </w:tc>
        <w:tc>
          <w:tcPr>
            <w:tcW w:w="1559" w:type="dxa"/>
            <w:vAlign w:val="center"/>
          </w:tcPr>
          <w:p w14:paraId="5217B1DF" w14:textId="77777777" w:rsidR="008642B2" w:rsidRPr="005E4E15" w:rsidRDefault="008642B2" w:rsidP="00DE1104">
            <w:pPr>
              <w:pStyle w:val="Tabletext"/>
              <w:jc w:val="center"/>
              <w:rPr>
                <w:lang w:eastAsia="ja-JP"/>
              </w:rPr>
            </w:pPr>
            <w:r w:rsidRPr="005E4E15">
              <w:rPr>
                <w:lang w:eastAsia="ja-JP"/>
              </w:rPr>
              <w:t>0.08</w:t>
            </w:r>
          </w:p>
        </w:tc>
        <w:tc>
          <w:tcPr>
            <w:tcW w:w="1541" w:type="dxa"/>
            <w:vAlign w:val="center"/>
          </w:tcPr>
          <w:p w14:paraId="720F87F5" w14:textId="77777777" w:rsidR="008642B2" w:rsidRPr="005E4E15" w:rsidRDefault="008642B2" w:rsidP="00DE1104">
            <w:pPr>
              <w:pStyle w:val="Tabletext"/>
              <w:jc w:val="center"/>
              <w:rPr>
                <w:lang w:eastAsia="ja-JP"/>
              </w:rPr>
            </w:pPr>
            <w:r w:rsidRPr="005E4E15">
              <w:rPr>
                <w:lang w:eastAsia="ja-JP"/>
              </w:rPr>
              <w:t>0.017</w:t>
            </w:r>
          </w:p>
        </w:tc>
        <w:tc>
          <w:tcPr>
            <w:tcW w:w="1719" w:type="dxa"/>
            <w:vAlign w:val="center"/>
          </w:tcPr>
          <w:p w14:paraId="58DFBAF0" w14:textId="77777777" w:rsidR="008642B2" w:rsidRPr="005E4E15" w:rsidRDefault="008642B2" w:rsidP="00DE1104">
            <w:pPr>
              <w:pStyle w:val="Tabletext"/>
              <w:jc w:val="center"/>
              <w:rPr>
                <w:lang w:eastAsia="ja-JP"/>
              </w:rPr>
            </w:pPr>
            <w:r w:rsidRPr="005E4E15">
              <w:rPr>
                <w:lang w:eastAsia="ja-JP"/>
              </w:rPr>
              <w:t>0.008</w:t>
            </w:r>
          </w:p>
        </w:tc>
      </w:tr>
      <w:tr w:rsidR="008642B2" w:rsidRPr="005E4E15" w14:paraId="6F9ABE94" w14:textId="77777777" w:rsidTr="001B1C35">
        <w:trPr>
          <w:jc w:val="center"/>
        </w:trPr>
        <w:tc>
          <w:tcPr>
            <w:tcW w:w="1413" w:type="dxa"/>
            <w:vAlign w:val="center"/>
          </w:tcPr>
          <w:p w14:paraId="75C7C9D5" w14:textId="77777777" w:rsidR="008642B2" w:rsidRPr="005E4E15" w:rsidRDefault="008642B2" w:rsidP="00DE1104">
            <w:pPr>
              <w:pStyle w:val="Tabletext"/>
              <w:jc w:val="center"/>
              <w:rPr>
                <w:lang w:eastAsia="ja-JP"/>
              </w:rPr>
            </w:pPr>
            <w:r w:rsidRPr="005E4E15">
              <w:rPr>
                <w:lang w:eastAsia="ja-JP"/>
              </w:rPr>
              <w:t>5</w:t>
            </w:r>
          </w:p>
        </w:tc>
        <w:tc>
          <w:tcPr>
            <w:tcW w:w="1417" w:type="dxa"/>
            <w:vAlign w:val="center"/>
          </w:tcPr>
          <w:p w14:paraId="0C96DEC0" w14:textId="77777777" w:rsidR="008642B2" w:rsidRPr="005E4E15" w:rsidRDefault="008642B2" w:rsidP="00DE1104">
            <w:pPr>
              <w:pStyle w:val="Tabletext"/>
              <w:jc w:val="center"/>
              <w:rPr>
                <w:lang w:eastAsia="ja-JP"/>
              </w:rPr>
            </w:pPr>
            <w:r w:rsidRPr="005E4E15">
              <w:rPr>
                <w:lang w:eastAsia="ja-JP"/>
              </w:rPr>
              <w:t>4.2</w:t>
            </w:r>
          </w:p>
        </w:tc>
        <w:tc>
          <w:tcPr>
            <w:tcW w:w="1560" w:type="dxa"/>
            <w:vAlign w:val="center"/>
          </w:tcPr>
          <w:p w14:paraId="12EC34A9" w14:textId="77777777" w:rsidR="008642B2" w:rsidRPr="005E4E15" w:rsidRDefault="008642B2" w:rsidP="00DE1104">
            <w:pPr>
              <w:pStyle w:val="Tabletext"/>
              <w:jc w:val="center"/>
              <w:rPr>
                <w:lang w:eastAsia="ja-JP"/>
              </w:rPr>
            </w:pPr>
            <w:r w:rsidRPr="005E4E15">
              <w:rPr>
                <w:lang w:eastAsia="ja-JP"/>
              </w:rPr>
              <w:t>0.84</w:t>
            </w:r>
          </w:p>
        </w:tc>
        <w:tc>
          <w:tcPr>
            <w:tcW w:w="1559" w:type="dxa"/>
            <w:vAlign w:val="center"/>
          </w:tcPr>
          <w:p w14:paraId="0AACE0C2" w14:textId="77777777" w:rsidR="008642B2" w:rsidRPr="005E4E15" w:rsidRDefault="008642B2" w:rsidP="00DE1104">
            <w:pPr>
              <w:pStyle w:val="Tabletext"/>
              <w:jc w:val="center"/>
              <w:rPr>
                <w:lang w:eastAsia="ja-JP"/>
              </w:rPr>
            </w:pPr>
            <w:r w:rsidRPr="005E4E15">
              <w:rPr>
                <w:lang w:eastAsia="ja-JP"/>
              </w:rPr>
              <w:t>0.42</w:t>
            </w:r>
          </w:p>
        </w:tc>
        <w:tc>
          <w:tcPr>
            <w:tcW w:w="1541" w:type="dxa"/>
            <w:vAlign w:val="center"/>
          </w:tcPr>
          <w:p w14:paraId="25373025" w14:textId="77777777" w:rsidR="008642B2" w:rsidRPr="005E4E15" w:rsidRDefault="008642B2" w:rsidP="00DE1104">
            <w:pPr>
              <w:pStyle w:val="Tabletext"/>
              <w:jc w:val="center"/>
              <w:rPr>
                <w:lang w:eastAsia="ja-JP"/>
              </w:rPr>
            </w:pPr>
            <w:r w:rsidRPr="005E4E15">
              <w:rPr>
                <w:lang w:eastAsia="ja-JP"/>
              </w:rPr>
              <w:t>0.08</w:t>
            </w:r>
          </w:p>
        </w:tc>
        <w:tc>
          <w:tcPr>
            <w:tcW w:w="1719" w:type="dxa"/>
            <w:vAlign w:val="center"/>
          </w:tcPr>
          <w:p w14:paraId="513EC1B9" w14:textId="77777777" w:rsidR="008642B2" w:rsidRPr="005E4E15" w:rsidRDefault="008642B2" w:rsidP="00DE1104">
            <w:pPr>
              <w:pStyle w:val="Tabletext"/>
              <w:jc w:val="center"/>
              <w:rPr>
                <w:lang w:eastAsia="ja-JP"/>
              </w:rPr>
            </w:pPr>
            <w:r w:rsidRPr="005E4E15">
              <w:rPr>
                <w:lang w:eastAsia="ja-JP"/>
              </w:rPr>
              <w:t>0.04</w:t>
            </w:r>
          </w:p>
        </w:tc>
      </w:tr>
      <w:tr w:rsidR="008642B2" w:rsidRPr="005E4E15" w14:paraId="11D55D7A" w14:textId="77777777" w:rsidTr="001B1C35">
        <w:trPr>
          <w:jc w:val="center"/>
        </w:trPr>
        <w:tc>
          <w:tcPr>
            <w:tcW w:w="1413" w:type="dxa"/>
            <w:vAlign w:val="center"/>
          </w:tcPr>
          <w:p w14:paraId="1E8E34F2" w14:textId="77777777" w:rsidR="008642B2" w:rsidRPr="005E4E15" w:rsidRDefault="008642B2" w:rsidP="00DE1104">
            <w:pPr>
              <w:pStyle w:val="Tabletext"/>
              <w:jc w:val="center"/>
              <w:rPr>
                <w:lang w:eastAsia="ja-JP"/>
              </w:rPr>
            </w:pPr>
            <w:r w:rsidRPr="005E4E15">
              <w:rPr>
                <w:lang w:eastAsia="ja-JP"/>
              </w:rPr>
              <w:t>10</w:t>
            </w:r>
          </w:p>
        </w:tc>
        <w:tc>
          <w:tcPr>
            <w:tcW w:w="1417" w:type="dxa"/>
            <w:vAlign w:val="center"/>
          </w:tcPr>
          <w:p w14:paraId="5091E115" w14:textId="77777777" w:rsidR="008642B2" w:rsidRPr="005E4E15" w:rsidRDefault="008642B2" w:rsidP="00DE1104">
            <w:pPr>
              <w:pStyle w:val="Tabletext"/>
              <w:jc w:val="center"/>
              <w:rPr>
                <w:lang w:eastAsia="ja-JP"/>
              </w:rPr>
            </w:pPr>
            <w:r w:rsidRPr="005E4E15">
              <w:rPr>
                <w:lang w:eastAsia="ja-JP"/>
              </w:rPr>
              <w:t>8.4</w:t>
            </w:r>
          </w:p>
        </w:tc>
        <w:tc>
          <w:tcPr>
            <w:tcW w:w="1560" w:type="dxa"/>
            <w:vAlign w:val="center"/>
          </w:tcPr>
          <w:p w14:paraId="0774D32D" w14:textId="77777777" w:rsidR="008642B2" w:rsidRPr="005E4E15" w:rsidRDefault="008642B2" w:rsidP="00DE1104">
            <w:pPr>
              <w:pStyle w:val="Tabletext"/>
              <w:jc w:val="center"/>
              <w:rPr>
                <w:lang w:eastAsia="ja-JP"/>
              </w:rPr>
            </w:pPr>
            <w:r w:rsidRPr="005E4E15">
              <w:rPr>
                <w:lang w:eastAsia="ja-JP"/>
              </w:rPr>
              <w:t>1.7</w:t>
            </w:r>
          </w:p>
        </w:tc>
        <w:tc>
          <w:tcPr>
            <w:tcW w:w="1559" w:type="dxa"/>
            <w:vAlign w:val="center"/>
          </w:tcPr>
          <w:p w14:paraId="27D61215" w14:textId="77777777" w:rsidR="008642B2" w:rsidRPr="005E4E15" w:rsidRDefault="008642B2" w:rsidP="00DE1104">
            <w:pPr>
              <w:pStyle w:val="Tabletext"/>
              <w:jc w:val="center"/>
              <w:rPr>
                <w:lang w:eastAsia="ja-JP"/>
              </w:rPr>
            </w:pPr>
            <w:r w:rsidRPr="005E4E15">
              <w:rPr>
                <w:lang w:eastAsia="ja-JP"/>
              </w:rPr>
              <w:t>0.84</w:t>
            </w:r>
          </w:p>
        </w:tc>
        <w:tc>
          <w:tcPr>
            <w:tcW w:w="1541" w:type="dxa"/>
            <w:vAlign w:val="center"/>
          </w:tcPr>
          <w:p w14:paraId="5A8073F6" w14:textId="77777777" w:rsidR="008642B2" w:rsidRPr="005E4E15" w:rsidRDefault="008642B2" w:rsidP="00DE1104">
            <w:pPr>
              <w:pStyle w:val="Tabletext"/>
              <w:jc w:val="center"/>
              <w:rPr>
                <w:lang w:eastAsia="ja-JP"/>
              </w:rPr>
            </w:pPr>
            <w:r w:rsidRPr="005E4E15">
              <w:rPr>
                <w:lang w:eastAsia="ja-JP"/>
              </w:rPr>
              <w:t>0.17</w:t>
            </w:r>
          </w:p>
        </w:tc>
        <w:tc>
          <w:tcPr>
            <w:tcW w:w="1719" w:type="dxa"/>
            <w:vAlign w:val="center"/>
          </w:tcPr>
          <w:p w14:paraId="0CED9763" w14:textId="77777777" w:rsidR="008642B2" w:rsidRPr="005E4E15" w:rsidRDefault="008642B2" w:rsidP="00DE1104">
            <w:pPr>
              <w:pStyle w:val="Tabletext"/>
              <w:jc w:val="center"/>
              <w:rPr>
                <w:lang w:eastAsia="ja-JP"/>
              </w:rPr>
            </w:pPr>
            <w:r w:rsidRPr="005E4E15">
              <w:rPr>
                <w:lang w:eastAsia="ja-JP"/>
              </w:rPr>
              <w:t>0.08</w:t>
            </w:r>
          </w:p>
        </w:tc>
      </w:tr>
      <w:tr w:rsidR="008642B2" w14:paraId="3A8AD37F" w14:textId="77777777" w:rsidTr="001B1C35">
        <w:trPr>
          <w:jc w:val="center"/>
        </w:trPr>
        <w:tc>
          <w:tcPr>
            <w:tcW w:w="1413" w:type="dxa"/>
            <w:vAlign w:val="center"/>
          </w:tcPr>
          <w:p w14:paraId="416FC0C0" w14:textId="77777777" w:rsidR="008642B2" w:rsidRPr="005E4E15" w:rsidRDefault="008642B2" w:rsidP="00DE1104">
            <w:pPr>
              <w:pStyle w:val="Tabletext"/>
              <w:jc w:val="center"/>
              <w:rPr>
                <w:lang w:eastAsia="ja-JP"/>
              </w:rPr>
            </w:pPr>
            <w:r w:rsidRPr="005E4E15">
              <w:rPr>
                <w:lang w:eastAsia="ja-JP"/>
              </w:rPr>
              <w:t>50</w:t>
            </w:r>
          </w:p>
        </w:tc>
        <w:tc>
          <w:tcPr>
            <w:tcW w:w="1417" w:type="dxa"/>
            <w:vAlign w:val="center"/>
          </w:tcPr>
          <w:p w14:paraId="77425EC3" w14:textId="77777777" w:rsidR="008642B2" w:rsidRPr="005E4E15" w:rsidRDefault="008642B2" w:rsidP="00DE1104">
            <w:pPr>
              <w:pStyle w:val="Tabletext"/>
              <w:jc w:val="center"/>
              <w:rPr>
                <w:lang w:eastAsia="ja-JP"/>
              </w:rPr>
            </w:pPr>
            <w:r w:rsidRPr="005E4E15">
              <w:rPr>
                <w:lang w:eastAsia="ja-JP"/>
              </w:rPr>
              <w:t>41.9</w:t>
            </w:r>
          </w:p>
        </w:tc>
        <w:tc>
          <w:tcPr>
            <w:tcW w:w="1560" w:type="dxa"/>
            <w:vAlign w:val="center"/>
          </w:tcPr>
          <w:p w14:paraId="483A56F3" w14:textId="77777777" w:rsidR="008642B2" w:rsidRPr="005E4E15" w:rsidRDefault="008642B2" w:rsidP="00DE1104">
            <w:pPr>
              <w:pStyle w:val="Tabletext"/>
              <w:jc w:val="center"/>
              <w:rPr>
                <w:lang w:eastAsia="ja-JP"/>
              </w:rPr>
            </w:pPr>
            <w:r w:rsidRPr="005E4E15">
              <w:rPr>
                <w:lang w:eastAsia="ja-JP"/>
              </w:rPr>
              <w:t>8.4</w:t>
            </w:r>
          </w:p>
        </w:tc>
        <w:tc>
          <w:tcPr>
            <w:tcW w:w="1559" w:type="dxa"/>
            <w:vAlign w:val="center"/>
          </w:tcPr>
          <w:p w14:paraId="012688B7" w14:textId="77777777" w:rsidR="008642B2" w:rsidRPr="005E4E15" w:rsidRDefault="008642B2" w:rsidP="00DE1104">
            <w:pPr>
              <w:pStyle w:val="Tabletext"/>
              <w:jc w:val="center"/>
              <w:rPr>
                <w:lang w:eastAsia="ja-JP"/>
              </w:rPr>
            </w:pPr>
            <w:r w:rsidRPr="005E4E15">
              <w:rPr>
                <w:lang w:eastAsia="ja-JP"/>
              </w:rPr>
              <w:t>4.2</w:t>
            </w:r>
          </w:p>
        </w:tc>
        <w:tc>
          <w:tcPr>
            <w:tcW w:w="1541" w:type="dxa"/>
            <w:vAlign w:val="center"/>
          </w:tcPr>
          <w:p w14:paraId="3E577F31" w14:textId="77777777" w:rsidR="008642B2" w:rsidRPr="005E4E15" w:rsidRDefault="008642B2" w:rsidP="00DE1104">
            <w:pPr>
              <w:pStyle w:val="Tabletext"/>
              <w:jc w:val="center"/>
              <w:rPr>
                <w:lang w:eastAsia="ja-JP"/>
              </w:rPr>
            </w:pPr>
            <w:r w:rsidRPr="005E4E15">
              <w:rPr>
                <w:lang w:eastAsia="ja-JP"/>
              </w:rPr>
              <w:t>0.84</w:t>
            </w:r>
          </w:p>
        </w:tc>
        <w:tc>
          <w:tcPr>
            <w:tcW w:w="1719" w:type="dxa"/>
            <w:vAlign w:val="center"/>
          </w:tcPr>
          <w:p w14:paraId="3DB742CF" w14:textId="77777777" w:rsidR="008642B2" w:rsidRPr="00FE76DF" w:rsidRDefault="008642B2" w:rsidP="00DE1104">
            <w:pPr>
              <w:pStyle w:val="Tabletext"/>
              <w:jc w:val="center"/>
              <w:rPr>
                <w:lang w:eastAsia="ja-JP"/>
              </w:rPr>
            </w:pPr>
            <w:r w:rsidRPr="005E4E15">
              <w:rPr>
                <w:lang w:eastAsia="ja-JP"/>
              </w:rPr>
              <w:t>0.42</w:t>
            </w:r>
          </w:p>
        </w:tc>
      </w:tr>
    </w:tbl>
    <w:p w14:paraId="7AE06FDF" w14:textId="77777777" w:rsidR="008642B2" w:rsidRDefault="008642B2" w:rsidP="00734264">
      <w:pPr>
        <w:pStyle w:val="Tablefin"/>
      </w:pPr>
    </w:p>
    <w:p w14:paraId="0F30BBD2" w14:textId="77777777" w:rsidR="008642B2" w:rsidRPr="005E4E15" w:rsidRDefault="008642B2" w:rsidP="008642B2">
      <w:pPr>
        <w:pStyle w:val="Heading2"/>
        <w:rPr>
          <w:i/>
          <w:lang w:eastAsia="ja-JP"/>
        </w:rPr>
      </w:pPr>
      <w:r>
        <w:rPr>
          <w:lang w:eastAsia="ja-JP"/>
        </w:rPr>
        <w:t>6</w:t>
      </w:r>
      <w:r w:rsidRPr="005E4E15">
        <w:rPr>
          <w:lang w:eastAsia="ja-JP"/>
        </w:rPr>
        <w:t>.</w:t>
      </w:r>
      <w:r>
        <w:rPr>
          <w:lang w:eastAsia="ja-JP"/>
        </w:rPr>
        <w:t>2</w:t>
      </w:r>
      <w:r w:rsidRPr="005E4E15">
        <w:rPr>
          <w:lang w:eastAsia="ja-JP"/>
        </w:rPr>
        <w:tab/>
      </w:r>
      <w:r>
        <w:rPr>
          <w:lang w:eastAsia="ja-JP"/>
        </w:rPr>
        <w:t>W</w:t>
      </w:r>
      <w:r w:rsidRPr="005E4E15">
        <w:rPr>
          <w:lang w:eastAsia="ja-JP"/>
        </w:rPr>
        <w:t>ireless links in data centres</w:t>
      </w:r>
    </w:p>
    <w:p w14:paraId="5BA219DD" w14:textId="7FA52565" w:rsidR="008642B2" w:rsidRPr="009E7F0E" w:rsidRDefault="008642B2" w:rsidP="00DE1104">
      <w:pPr>
        <w:rPr>
          <w:lang w:val="en-US" w:eastAsia="ja-JP"/>
        </w:rPr>
      </w:pPr>
      <w:r w:rsidRPr="005E4E15">
        <w:rPr>
          <w:lang w:eastAsia="ja-JP"/>
        </w:rPr>
        <w:t xml:space="preserve">High-speed optical links could be replaced with wireless links in two-tier (spine-leaf) or three-tier architectures consisting of two or three layers between servers and core networks, respectively. Each layer has high-speed switches which are known as access, aggregation/distribution and core switches. Access switches are the traditional Top-of-Rack (TOR) switch that consists of 24-48 ports with access layer connections in the range of data rates 1-40 Gbit/s. Aggregation/distribution switches are mid-tier speed switches which support data rates of 10-400 Gbit/s. Core switches have the highest throughput in the range of 100-800 Gbit/s. The trend of data rates between each tier is increasing from 25/100 Gbit/s to 100/400 Gbit/s, and data rates between aggregation/distribution and core switches is moving to 400/800 Gbit/s in recent years. Table 5 summarizes estimated </w:t>
      </w:r>
      <w:r w:rsidRPr="005E4E15">
        <w:rPr>
          <w:lang w:eastAsia="ja-JP"/>
        </w:rPr>
        <w:lastRenderedPageBreak/>
        <w:t>spectrum required to support data rates of 100-1</w:t>
      </w:r>
      <w:r w:rsidR="00734264">
        <w:rPr>
          <w:lang w:eastAsia="ja-JP"/>
        </w:rPr>
        <w:t> </w:t>
      </w:r>
      <w:r w:rsidRPr="005E4E15">
        <w:rPr>
          <w:lang w:eastAsia="ja-JP"/>
        </w:rPr>
        <w:t xml:space="preserve">200 Gbit/s under the condition of </w:t>
      </w:r>
      <w:proofErr w:type="spellStart"/>
      <w:r w:rsidRPr="005E4E15">
        <w:rPr>
          <w:lang w:eastAsia="ja-JP"/>
        </w:rPr>
        <w:t>SISO</w:t>
      </w:r>
      <w:proofErr w:type="spellEnd"/>
      <w:r w:rsidRPr="005E4E15">
        <w:rPr>
          <w:lang w:eastAsia="ja-JP"/>
        </w:rPr>
        <w:t>, 2</w:t>
      </w:r>
      <w:r w:rsidR="00DE1104">
        <w:rPr>
          <w:lang w:eastAsia="ja-JP"/>
        </w:rPr>
        <w:t> </w:t>
      </w:r>
      <w:r w:rsidRPr="005E4E15">
        <w:rPr>
          <w:rFonts w:hint="eastAsia"/>
          <w:lang w:eastAsia="ja-JP"/>
        </w:rPr>
        <w:t>×</w:t>
      </w:r>
      <w:r w:rsidR="00DE1104">
        <w:rPr>
          <w:rFonts w:hint="eastAsia"/>
          <w:lang w:eastAsia="ja-JP"/>
        </w:rPr>
        <w:t> </w:t>
      </w:r>
      <w:r w:rsidRPr="005E4E15">
        <w:rPr>
          <w:lang w:eastAsia="ja-JP"/>
        </w:rPr>
        <w:t>2 MIMO and 4</w:t>
      </w:r>
      <w:r w:rsidR="00DE1104">
        <w:rPr>
          <w:rFonts w:hint="eastAsia"/>
          <w:lang w:eastAsia="ja-JP"/>
        </w:rPr>
        <w:t> </w:t>
      </w:r>
      <w:r w:rsidRPr="005E4E15">
        <w:rPr>
          <w:rFonts w:hint="eastAsia"/>
          <w:lang w:eastAsia="ja-JP"/>
        </w:rPr>
        <w:t>×</w:t>
      </w:r>
      <w:r w:rsidR="00DE1104">
        <w:rPr>
          <w:rFonts w:hint="eastAsia"/>
          <w:lang w:eastAsia="ja-JP"/>
        </w:rPr>
        <w:t> </w:t>
      </w:r>
      <w:r w:rsidRPr="005E4E15">
        <w:rPr>
          <w:lang w:eastAsia="ja-JP"/>
        </w:rPr>
        <w:t>4 MIMO transmission. The estimated spectrum varies from 2.5 to 200 GHz depending on modulation schemes such as 64</w:t>
      </w:r>
      <w:r w:rsidR="00DE1104">
        <w:rPr>
          <w:lang w:eastAsia="ja-JP"/>
        </w:rPr>
        <w:t>-</w:t>
      </w:r>
      <w:proofErr w:type="spellStart"/>
      <w:r w:rsidRPr="005E4E15">
        <w:rPr>
          <w:lang w:eastAsia="ja-JP"/>
        </w:rPr>
        <w:t>QAM</w:t>
      </w:r>
      <w:proofErr w:type="spellEnd"/>
      <w:r w:rsidRPr="005E4E15">
        <w:rPr>
          <w:lang w:eastAsia="ja-JP"/>
        </w:rPr>
        <w:t xml:space="preserve"> 256</w:t>
      </w:r>
      <w:r w:rsidR="00DE1104">
        <w:rPr>
          <w:lang w:eastAsia="ja-JP"/>
        </w:rPr>
        <w:t>-</w:t>
      </w:r>
      <w:proofErr w:type="spellStart"/>
      <w:r w:rsidRPr="005E4E15">
        <w:rPr>
          <w:lang w:eastAsia="ja-JP"/>
        </w:rPr>
        <w:t>QAM</w:t>
      </w:r>
      <w:proofErr w:type="spellEnd"/>
      <w:r w:rsidRPr="005E4E15">
        <w:rPr>
          <w:lang w:eastAsia="ja-JP"/>
        </w:rPr>
        <w:t xml:space="preserve"> and 1024</w:t>
      </w:r>
      <w:r w:rsidR="00DE1104">
        <w:rPr>
          <w:lang w:eastAsia="ja-JP"/>
        </w:rPr>
        <w:t>-</w:t>
      </w:r>
      <w:proofErr w:type="spellStart"/>
      <w:r w:rsidRPr="005E4E15">
        <w:rPr>
          <w:lang w:eastAsia="ja-JP"/>
        </w:rPr>
        <w:t>QAM</w:t>
      </w:r>
      <w:proofErr w:type="spellEnd"/>
      <w:r w:rsidRPr="005E4E15">
        <w:rPr>
          <w:lang w:eastAsia="ja-JP"/>
        </w:rPr>
        <w:t>, as well as a stream number between transmitters and receivers. Considering 64-QAM modulation scheme which is the maximum multilevel number of modulation schemes in Table 2, and multi-stream spatial multiplexing techniques, spectrum needs for wireless links in data centres could be in the range of 4.2-50 GHz. However, if data rates between each tier need to be increased to construct, e.g., a hyperscale data centre, larger frequency bandwidths than 50 GHz for wireless links may be required.</w:t>
      </w:r>
    </w:p>
    <w:p w14:paraId="74C7246D" w14:textId="77777777" w:rsidR="008642B2" w:rsidRPr="00586B57" w:rsidRDefault="008642B2" w:rsidP="00561240">
      <w:pPr>
        <w:pStyle w:val="TableNo"/>
        <w:rPr>
          <w:lang w:eastAsia="ja-JP"/>
        </w:rPr>
      </w:pPr>
      <w:r w:rsidRPr="00586B57">
        <w:rPr>
          <w:lang w:eastAsia="ja-JP"/>
        </w:rPr>
        <w:t xml:space="preserve">TABLE </w:t>
      </w:r>
      <w:r>
        <w:rPr>
          <w:lang w:eastAsia="ja-JP"/>
        </w:rPr>
        <w:t>1</w:t>
      </w:r>
    </w:p>
    <w:p w14:paraId="16CD4E14" w14:textId="77777777" w:rsidR="008642B2" w:rsidRDefault="008642B2" w:rsidP="00561240">
      <w:pPr>
        <w:pStyle w:val="Tabletitle"/>
        <w:rPr>
          <w:lang w:eastAsia="ja-JP"/>
        </w:rPr>
      </w:pPr>
      <w:r w:rsidRPr="005E4E15">
        <w:rPr>
          <w:lang w:eastAsia="ja-JP"/>
        </w:rPr>
        <w:t>Estimated spectrum required to support switching speed of 100-1200 Gbit/s</w:t>
      </w:r>
    </w:p>
    <w:tbl>
      <w:tblPr>
        <w:tblStyle w:val="TableGrid"/>
        <w:tblW w:w="0" w:type="auto"/>
        <w:jc w:val="center"/>
        <w:tblLayout w:type="fixed"/>
        <w:tblLook w:val="04A0" w:firstRow="1" w:lastRow="0" w:firstColumn="1" w:lastColumn="0" w:noHBand="0" w:noVBand="1"/>
      </w:tblPr>
      <w:tblGrid>
        <w:gridCol w:w="1271"/>
        <w:gridCol w:w="998"/>
        <w:gridCol w:w="850"/>
        <w:gridCol w:w="845"/>
        <w:gridCol w:w="856"/>
        <w:gridCol w:w="851"/>
        <w:gridCol w:w="850"/>
        <w:gridCol w:w="992"/>
        <w:gridCol w:w="851"/>
        <w:gridCol w:w="845"/>
      </w:tblGrid>
      <w:tr w:rsidR="008642B2" w:rsidRPr="005E4E15" w14:paraId="3CC9F379" w14:textId="77777777" w:rsidTr="001B1C35">
        <w:trPr>
          <w:jc w:val="center"/>
        </w:trPr>
        <w:tc>
          <w:tcPr>
            <w:tcW w:w="1271" w:type="dxa"/>
            <w:vMerge w:val="restart"/>
            <w:vAlign w:val="center"/>
          </w:tcPr>
          <w:p w14:paraId="5D391F12" w14:textId="77777777" w:rsidR="008642B2" w:rsidRPr="005E4E15" w:rsidRDefault="008642B2" w:rsidP="00561240">
            <w:pPr>
              <w:pStyle w:val="Tablehead"/>
              <w:rPr>
                <w:lang w:eastAsia="ja-JP"/>
              </w:rPr>
            </w:pPr>
            <w:r w:rsidRPr="005E4E15">
              <w:rPr>
                <w:lang w:eastAsia="ja-JP"/>
              </w:rPr>
              <w:t>Data rate (Gbit/s)</w:t>
            </w:r>
          </w:p>
        </w:tc>
        <w:tc>
          <w:tcPr>
            <w:tcW w:w="7938" w:type="dxa"/>
            <w:gridSpan w:val="9"/>
            <w:vAlign w:val="center"/>
          </w:tcPr>
          <w:p w14:paraId="7369CC27" w14:textId="77777777" w:rsidR="008642B2" w:rsidRPr="005E4E15" w:rsidRDefault="008642B2" w:rsidP="00561240">
            <w:pPr>
              <w:pStyle w:val="Tablehead"/>
              <w:rPr>
                <w:lang w:eastAsia="ja-JP"/>
              </w:rPr>
            </w:pPr>
            <w:r w:rsidRPr="005E4E15">
              <w:rPr>
                <w:lang w:eastAsia="ja-JP"/>
              </w:rPr>
              <w:t>Spectrum (GHz)</w:t>
            </w:r>
          </w:p>
        </w:tc>
      </w:tr>
      <w:tr w:rsidR="008642B2" w:rsidRPr="005E4E15" w14:paraId="4D30A972" w14:textId="77777777" w:rsidTr="001B1C35">
        <w:trPr>
          <w:trHeight w:val="327"/>
          <w:jc w:val="center"/>
        </w:trPr>
        <w:tc>
          <w:tcPr>
            <w:tcW w:w="1271" w:type="dxa"/>
            <w:vMerge/>
          </w:tcPr>
          <w:p w14:paraId="2A8E33D0" w14:textId="77777777" w:rsidR="008642B2" w:rsidRPr="005E4E15" w:rsidRDefault="008642B2" w:rsidP="00561240">
            <w:pPr>
              <w:pStyle w:val="Tablehead"/>
              <w:rPr>
                <w:lang w:eastAsia="ja-JP"/>
              </w:rPr>
            </w:pPr>
          </w:p>
        </w:tc>
        <w:tc>
          <w:tcPr>
            <w:tcW w:w="2693" w:type="dxa"/>
            <w:gridSpan w:val="3"/>
          </w:tcPr>
          <w:p w14:paraId="2C6677A6" w14:textId="639F10CB" w:rsidR="008642B2" w:rsidRPr="005E4E15" w:rsidRDefault="008642B2" w:rsidP="00561240">
            <w:pPr>
              <w:pStyle w:val="Tablehead"/>
              <w:rPr>
                <w:lang w:eastAsia="ja-JP"/>
              </w:rPr>
            </w:pPr>
            <w:r w:rsidRPr="005E4E15">
              <w:rPr>
                <w:lang w:eastAsia="ja-JP"/>
              </w:rPr>
              <w:t>64</w:t>
            </w:r>
            <w:r w:rsidR="00DE1104">
              <w:rPr>
                <w:lang w:eastAsia="ja-JP"/>
              </w:rPr>
              <w:t>-</w:t>
            </w:r>
            <w:proofErr w:type="spellStart"/>
            <w:r w:rsidRPr="005E4E15">
              <w:rPr>
                <w:lang w:eastAsia="ja-JP"/>
              </w:rPr>
              <w:t>QAM</w:t>
            </w:r>
            <w:proofErr w:type="spellEnd"/>
          </w:p>
        </w:tc>
        <w:tc>
          <w:tcPr>
            <w:tcW w:w="2557" w:type="dxa"/>
            <w:gridSpan w:val="3"/>
          </w:tcPr>
          <w:p w14:paraId="7208E0E9" w14:textId="7F22D243" w:rsidR="008642B2" w:rsidRPr="005E4E15" w:rsidRDefault="008642B2" w:rsidP="00561240">
            <w:pPr>
              <w:pStyle w:val="Tablehead"/>
              <w:rPr>
                <w:lang w:eastAsia="ja-JP"/>
              </w:rPr>
            </w:pPr>
            <w:r w:rsidRPr="005E4E15">
              <w:rPr>
                <w:lang w:eastAsia="ja-JP"/>
              </w:rPr>
              <w:t>256</w:t>
            </w:r>
            <w:r w:rsidR="00DE1104">
              <w:rPr>
                <w:lang w:eastAsia="ja-JP"/>
              </w:rPr>
              <w:t>-</w:t>
            </w:r>
            <w:proofErr w:type="spellStart"/>
            <w:r w:rsidRPr="005E4E15">
              <w:rPr>
                <w:lang w:eastAsia="ja-JP"/>
              </w:rPr>
              <w:t>QAM</w:t>
            </w:r>
            <w:proofErr w:type="spellEnd"/>
          </w:p>
        </w:tc>
        <w:tc>
          <w:tcPr>
            <w:tcW w:w="2688" w:type="dxa"/>
            <w:gridSpan w:val="3"/>
          </w:tcPr>
          <w:p w14:paraId="59A94108" w14:textId="115201C9" w:rsidR="008642B2" w:rsidRPr="005E4E15" w:rsidRDefault="008642B2" w:rsidP="00561240">
            <w:pPr>
              <w:pStyle w:val="Tablehead"/>
              <w:rPr>
                <w:lang w:eastAsia="ja-JP"/>
              </w:rPr>
            </w:pPr>
            <w:r w:rsidRPr="005E4E15">
              <w:rPr>
                <w:lang w:eastAsia="ja-JP"/>
              </w:rPr>
              <w:t>1024</w:t>
            </w:r>
            <w:r w:rsidR="00DE1104">
              <w:rPr>
                <w:lang w:eastAsia="ja-JP"/>
              </w:rPr>
              <w:t>-</w:t>
            </w:r>
            <w:proofErr w:type="spellStart"/>
            <w:r w:rsidRPr="005E4E15">
              <w:rPr>
                <w:lang w:eastAsia="ja-JP"/>
              </w:rPr>
              <w:t>QAM</w:t>
            </w:r>
            <w:proofErr w:type="spellEnd"/>
          </w:p>
        </w:tc>
      </w:tr>
      <w:tr w:rsidR="008642B2" w:rsidRPr="005E4E15" w14:paraId="551EBD94" w14:textId="77777777" w:rsidTr="001B1C35">
        <w:trPr>
          <w:trHeight w:val="248"/>
          <w:jc w:val="center"/>
        </w:trPr>
        <w:tc>
          <w:tcPr>
            <w:tcW w:w="1271" w:type="dxa"/>
            <w:vMerge/>
          </w:tcPr>
          <w:p w14:paraId="5EE15693" w14:textId="77777777" w:rsidR="008642B2" w:rsidRPr="005E4E15" w:rsidRDefault="008642B2" w:rsidP="00561240">
            <w:pPr>
              <w:pStyle w:val="Tablehead"/>
              <w:rPr>
                <w:lang w:eastAsia="ja-JP"/>
              </w:rPr>
            </w:pPr>
          </w:p>
        </w:tc>
        <w:tc>
          <w:tcPr>
            <w:tcW w:w="998" w:type="dxa"/>
          </w:tcPr>
          <w:p w14:paraId="05C32F48" w14:textId="77777777" w:rsidR="008642B2" w:rsidRPr="005E4E15" w:rsidRDefault="008642B2" w:rsidP="00561240">
            <w:pPr>
              <w:pStyle w:val="Tablehead"/>
              <w:rPr>
                <w:lang w:eastAsia="ja-JP"/>
              </w:rPr>
            </w:pPr>
            <w:r w:rsidRPr="005E4E15">
              <w:rPr>
                <w:lang w:eastAsia="ja-JP"/>
              </w:rPr>
              <w:t>SISO</w:t>
            </w:r>
          </w:p>
        </w:tc>
        <w:tc>
          <w:tcPr>
            <w:tcW w:w="850" w:type="dxa"/>
          </w:tcPr>
          <w:p w14:paraId="2BF98385" w14:textId="77777777" w:rsidR="008642B2" w:rsidRPr="005E4E15" w:rsidRDefault="008642B2" w:rsidP="00561240">
            <w:pPr>
              <w:pStyle w:val="Tablehead"/>
              <w:rPr>
                <w:lang w:eastAsia="ja-JP"/>
              </w:rPr>
            </w:pPr>
            <w:r w:rsidRPr="005E4E15">
              <w:rPr>
                <w:lang w:eastAsia="ja-JP"/>
              </w:rPr>
              <w:t>2×2</w:t>
            </w:r>
          </w:p>
        </w:tc>
        <w:tc>
          <w:tcPr>
            <w:tcW w:w="845" w:type="dxa"/>
          </w:tcPr>
          <w:p w14:paraId="1E375F28" w14:textId="77777777" w:rsidR="008642B2" w:rsidRPr="005E4E15" w:rsidRDefault="008642B2" w:rsidP="00561240">
            <w:pPr>
              <w:pStyle w:val="Tablehead"/>
              <w:rPr>
                <w:lang w:eastAsia="ja-JP"/>
              </w:rPr>
            </w:pPr>
            <w:r w:rsidRPr="005E4E15">
              <w:rPr>
                <w:lang w:eastAsia="ja-JP"/>
              </w:rPr>
              <w:t>4×4</w:t>
            </w:r>
          </w:p>
        </w:tc>
        <w:tc>
          <w:tcPr>
            <w:tcW w:w="856" w:type="dxa"/>
          </w:tcPr>
          <w:p w14:paraId="4D4A5334" w14:textId="77777777" w:rsidR="008642B2" w:rsidRPr="005E4E15" w:rsidRDefault="008642B2" w:rsidP="00561240">
            <w:pPr>
              <w:pStyle w:val="Tablehead"/>
              <w:rPr>
                <w:lang w:eastAsia="ja-JP"/>
              </w:rPr>
            </w:pPr>
            <w:r w:rsidRPr="005E4E15">
              <w:rPr>
                <w:lang w:eastAsia="ja-JP"/>
              </w:rPr>
              <w:t>SISO</w:t>
            </w:r>
          </w:p>
        </w:tc>
        <w:tc>
          <w:tcPr>
            <w:tcW w:w="851" w:type="dxa"/>
          </w:tcPr>
          <w:p w14:paraId="3766CB48" w14:textId="77777777" w:rsidR="008642B2" w:rsidRPr="005E4E15" w:rsidRDefault="008642B2" w:rsidP="00561240">
            <w:pPr>
              <w:pStyle w:val="Tablehead"/>
              <w:rPr>
                <w:lang w:eastAsia="ja-JP"/>
              </w:rPr>
            </w:pPr>
            <w:r w:rsidRPr="005E4E15">
              <w:rPr>
                <w:lang w:eastAsia="ja-JP"/>
              </w:rPr>
              <w:t>2×2</w:t>
            </w:r>
          </w:p>
        </w:tc>
        <w:tc>
          <w:tcPr>
            <w:tcW w:w="850" w:type="dxa"/>
          </w:tcPr>
          <w:p w14:paraId="7D915761" w14:textId="77777777" w:rsidR="008642B2" w:rsidRPr="005E4E15" w:rsidRDefault="008642B2" w:rsidP="00561240">
            <w:pPr>
              <w:pStyle w:val="Tablehead"/>
              <w:rPr>
                <w:lang w:eastAsia="ja-JP"/>
              </w:rPr>
            </w:pPr>
            <w:r w:rsidRPr="005E4E15">
              <w:rPr>
                <w:lang w:eastAsia="ja-JP"/>
              </w:rPr>
              <w:t>4×4</w:t>
            </w:r>
          </w:p>
        </w:tc>
        <w:tc>
          <w:tcPr>
            <w:tcW w:w="992" w:type="dxa"/>
          </w:tcPr>
          <w:p w14:paraId="4BD2165B" w14:textId="77777777" w:rsidR="008642B2" w:rsidRPr="005E4E15" w:rsidRDefault="008642B2" w:rsidP="00561240">
            <w:pPr>
              <w:pStyle w:val="Tablehead"/>
              <w:rPr>
                <w:lang w:eastAsia="ja-JP"/>
              </w:rPr>
            </w:pPr>
            <w:r w:rsidRPr="005E4E15">
              <w:rPr>
                <w:lang w:eastAsia="ja-JP"/>
              </w:rPr>
              <w:t>SISO</w:t>
            </w:r>
          </w:p>
        </w:tc>
        <w:tc>
          <w:tcPr>
            <w:tcW w:w="851" w:type="dxa"/>
          </w:tcPr>
          <w:p w14:paraId="55B06D1C" w14:textId="77777777" w:rsidR="008642B2" w:rsidRPr="005E4E15" w:rsidRDefault="008642B2" w:rsidP="00561240">
            <w:pPr>
              <w:pStyle w:val="Tablehead"/>
              <w:rPr>
                <w:lang w:eastAsia="ja-JP"/>
              </w:rPr>
            </w:pPr>
            <w:r w:rsidRPr="005E4E15">
              <w:rPr>
                <w:lang w:eastAsia="ja-JP"/>
              </w:rPr>
              <w:t>2×2</w:t>
            </w:r>
          </w:p>
        </w:tc>
        <w:tc>
          <w:tcPr>
            <w:tcW w:w="845" w:type="dxa"/>
          </w:tcPr>
          <w:p w14:paraId="6C56B305" w14:textId="77777777" w:rsidR="008642B2" w:rsidRPr="005E4E15" w:rsidRDefault="008642B2" w:rsidP="00561240">
            <w:pPr>
              <w:pStyle w:val="Tablehead"/>
              <w:rPr>
                <w:lang w:eastAsia="ja-JP"/>
              </w:rPr>
            </w:pPr>
            <w:r w:rsidRPr="005E4E15">
              <w:rPr>
                <w:lang w:eastAsia="ja-JP"/>
              </w:rPr>
              <w:t>4×4</w:t>
            </w:r>
          </w:p>
        </w:tc>
      </w:tr>
      <w:tr w:rsidR="008642B2" w:rsidRPr="005E4E15" w14:paraId="7AE2791A" w14:textId="77777777" w:rsidTr="001B1C35">
        <w:trPr>
          <w:jc w:val="center"/>
        </w:trPr>
        <w:tc>
          <w:tcPr>
            <w:tcW w:w="1271" w:type="dxa"/>
          </w:tcPr>
          <w:p w14:paraId="175BACDC" w14:textId="77777777" w:rsidR="008642B2" w:rsidRPr="005E4E15" w:rsidRDefault="008642B2" w:rsidP="00DE1104">
            <w:pPr>
              <w:pStyle w:val="Tabletext"/>
              <w:jc w:val="center"/>
              <w:rPr>
                <w:lang w:eastAsia="ja-JP"/>
              </w:rPr>
            </w:pPr>
            <w:r w:rsidRPr="005E4E15">
              <w:rPr>
                <w:lang w:eastAsia="ja-JP"/>
              </w:rPr>
              <w:t>100</w:t>
            </w:r>
          </w:p>
        </w:tc>
        <w:tc>
          <w:tcPr>
            <w:tcW w:w="998" w:type="dxa"/>
          </w:tcPr>
          <w:p w14:paraId="33034273" w14:textId="77777777" w:rsidR="008642B2" w:rsidRPr="005E4E15" w:rsidRDefault="008642B2" w:rsidP="00DE1104">
            <w:pPr>
              <w:pStyle w:val="Tabletext"/>
              <w:jc w:val="center"/>
              <w:rPr>
                <w:lang w:eastAsia="ja-JP"/>
              </w:rPr>
            </w:pPr>
            <w:r w:rsidRPr="005E4E15">
              <w:rPr>
                <w:lang w:eastAsia="ja-JP"/>
              </w:rPr>
              <w:t>16.7</w:t>
            </w:r>
          </w:p>
        </w:tc>
        <w:tc>
          <w:tcPr>
            <w:tcW w:w="850" w:type="dxa"/>
          </w:tcPr>
          <w:p w14:paraId="1F18F70B" w14:textId="77777777" w:rsidR="008642B2" w:rsidRPr="005E4E15" w:rsidRDefault="008642B2" w:rsidP="00DE1104">
            <w:pPr>
              <w:pStyle w:val="Tabletext"/>
              <w:jc w:val="center"/>
              <w:rPr>
                <w:lang w:eastAsia="ja-JP"/>
              </w:rPr>
            </w:pPr>
            <w:r w:rsidRPr="005E4E15">
              <w:rPr>
                <w:lang w:eastAsia="ja-JP"/>
              </w:rPr>
              <w:t>8.3</w:t>
            </w:r>
          </w:p>
        </w:tc>
        <w:tc>
          <w:tcPr>
            <w:tcW w:w="845" w:type="dxa"/>
          </w:tcPr>
          <w:p w14:paraId="1BCA1C7E" w14:textId="77777777" w:rsidR="008642B2" w:rsidRPr="005E4E15" w:rsidRDefault="008642B2" w:rsidP="00DE1104">
            <w:pPr>
              <w:pStyle w:val="Tabletext"/>
              <w:jc w:val="center"/>
              <w:rPr>
                <w:lang w:eastAsia="ja-JP"/>
              </w:rPr>
            </w:pPr>
            <w:r w:rsidRPr="005E4E15">
              <w:rPr>
                <w:lang w:eastAsia="ja-JP"/>
              </w:rPr>
              <w:t>4.2</w:t>
            </w:r>
          </w:p>
        </w:tc>
        <w:tc>
          <w:tcPr>
            <w:tcW w:w="856" w:type="dxa"/>
          </w:tcPr>
          <w:p w14:paraId="33B3C9CB" w14:textId="77777777" w:rsidR="008642B2" w:rsidRPr="005E4E15" w:rsidRDefault="008642B2" w:rsidP="00DE1104">
            <w:pPr>
              <w:pStyle w:val="Tabletext"/>
              <w:jc w:val="center"/>
              <w:rPr>
                <w:lang w:eastAsia="ja-JP"/>
              </w:rPr>
            </w:pPr>
            <w:r w:rsidRPr="005E4E15">
              <w:rPr>
                <w:lang w:eastAsia="ja-JP"/>
              </w:rPr>
              <w:t>12.5</w:t>
            </w:r>
          </w:p>
        </w:tc>
        <w:tc>
          <w:tcPr>
            <w:tcW w:w="851" w:type="dxa"/>
          </w:tcPr>
          <w:p w14:paraId="1351372F" w14:textId="77777777" w:rsidR="008642B2" w:rsidRPr="005E4E15" w:rsidRDefault="008642B2" w:rsidP="00DE1104">
            <w:pPr>
              <w:pStyle w:val="Tabletext"/>
              <w:jc w:val="center"/>
              <w:rPr>
                <w:lang w:eastAsia="ja-JP"/>
              </w:rPr>
            </w:pPr>
            <w:r w:rsidRPr="005E4E15">
              <w:rPr>
                <w:lang w:eastAsia="ja-JP"/>
              </w:rPr>
              <w:t>6.3</w:t>
            </w:r>
          </w:p>
        </w:tc>
        <w:tc>
          <w:tcPr>
            <w:tcW w:w="850" w:type="dxa"/>
          </w:tcPr>
          <w:p w14:paraId="2DBEAFA9" w14:textId="77777777" w:rsidR="008642B2" w:rsidRPr="005E4E15" w:rsidRDefault="008642B2" w:rsidP="00DE1104">
            <w:pPr>
              <w:pStyle w:val="Tabletext"/>
              <w:jc w:val="center"/>
              <w:rPr>
                <w:lang w:eastAsia="ja-JP"/>
              </w:rPr>
            </w:pPr>
            <w:r w:rsidRPr="005E4E15">
              <w:rPr>
                <w:lang w:eastAsia="ja-JP"/>
              </w:rPr>
              <w:t>3.1</w:t>
            </w:r>
          </w:p>
        </w:tc>
        <w:tc>
          <w:tcPr>
            <w:tcW w:w="992" w:type="dxa"/>
          </w:tcPr>
          <w:p w14:paraId="0765B8F8" w14:textId="77777777" w:rsidR="008642B2" w:rsidRPr="005E4E15" w:rsidRDefault="008642B2" w:rsidP="00DE1104">
            <w:pPr>
              <w:pStyle w:val="Tabletext"/>
              <w:jc w:val="center"/>
              <w:rPr>
                <w:lang w:eastAsia="ja-JP"/>
              </w:rPr>
            </w:pPr>
            <w:r w:rsidRPr="005E4E15">
              <w:rPr>
                <w:lang w:eastAsia="ja-JP"/>
              </w:rPr>
              <w:t>10</w:t>
            </w:r>
          </w:p>
        </w:tc>
        <w:tc>
          <w:tcPr>
            <w:tcW w:w="851" w:type="dxa"/>
          </w:tcPr>
          <w:p w14:paraId="6475BC03" w14:textId="77777777" w:rsidR="008642B2" w:rsidRPr="005E4E15" w:rsidRDefault="008642B2" w:rsidP="00DE1104">
            <w:pPr>
              <w:pStyle w:val="Tabletext"/>
              <w:jc w:val="center"/>
              <w:rPr>
                <w:lang w:eastAsia="ja-JP"/>
              </w:rPr>
            </w:pPr>
            <w:r w:rsidRPr="005E4E15">
              <w:rPr>
                <w:lang w:eastAsia="ja-JP"/>
              </w:rPr>
              <w:t>5</w:t>
            </w:r>
          </w:p>
        </w:tc>
        <w:tc>
          <w:tcPr>
            <w:tcW w:w="845" w:type="dxa"/>
          </w:tcPr>
          <w:p w14:paraId="13BAA898" w14:textId="77777777" w:rsidR="008642B2" w:rsidRPr="005E4E15" w:rsidRDefault="008642B2" w:rsidP="00DE1104">
            <w:pPr>
              <w:pStyle w:val="Tabletext"/>
              <w:jc w:val="center"/>
              <w:rPr>
                <w:lang w:eastAsia="ja-JP"/>
              </w:rPr>
            </w:pPr>
            <w:r w:rsidRPr="005E4E15">
              <w:rPr>
                <w:lang w:eastAsia="ja-JP"/>
              </w:rPr>
              <w:t>2.5</w:t>
            </w:r>
          </w:p>
        </w:tc>
      </w:tr>
      <w:tr w:rsidR="008642B2" w:rsidRPr="005E4E15" w14:paraId="07DFC515" w14:textId="77777777" w:rsidTr="001B1C35">
        <w:trPr>
          <w:jc w:val="center"/>
        </w:trPr>
        <w:tc>
          <w:tcPr>
            <w:tcW w:w="1271" w:type="dxa"/>
          </w:tcPr>
          <w:p w14:paraId="5D4CC8E3" w14:textId="77777777" w:rsidR="008642B2" w:rsidRPr="005E4E15" w:rsidRDefault="008642B2" w:rsidP="00DE1104">
            <w:pPr>
              <w:pStyle w:val="Tabletext"/>
              <w:jc w:val="center"/>
              <w:rPr>
                <w:lang w:eastAsia="ja-JP"/>
              </w:rPr>
            </w:pPr>
            <w:r w:rsidRPr="005E4E15">
              <w:rPr>
                <w:lang w:eastAsia="ja-JP"/>
              </w:rPr>
              <w:t>400</w:t>
            </w:r>
          </w:p>
        </w:tc>
        <w:tc>
          <w:tcPr>
            <w:tcW w:w="998" w:type="dxa"/>
          </w:tcPr>
          <w:p w14:paraId="65C3A2C6" w14:textId="77777777" w:rsidR="008642B2" w:rsidRPr="005E4E15" w:rsidRDefault="008642B2" w:rsidP="00DE1104">
            <w:pPr>
              <w:pStyle w:val="Tabletext"/>
              <w:jc w:val="center"/>
              <w:rPr>
                <w:lang w:eastAsia="ja-JP"/>
              </w:rPr>
            </w:pPr>
            <w:r w:rsidRPr="005E4E15">
              <w:rPr>
                <w:lang w:eastAsia="ja-JP"/>
              </w:rPr>
              <w:t>66.7</w:t>
            </w:r>
          </w:p>
        </w:tc>
        <w:tc>
          <w:tcPr>
            <w:tcW w:w="850" w:type="dxa"/>
          </w:tcPr>
          <w:p w14:paraId="1D487EDE" w14:textId="77777777" w:rsidR="008642B2" w:rsidRPr="005E4E15" w:rsidRDefault="008642B2" w:rsidP="00DE1104">
            <w:pPr>
              <w:pStyle w:val="Tabletext"/>
              <w:jc w:val="center"/>
              <w:rPr>
                <w:lang w:eastAsia="ja-JP"/>
              </w:rPr>
            </w:pPr>
            <w:r w:rsidRPr="005E4E15">
              <w:rPr>
                <w:lang w:eastAsia="ja-JP"/>
              </w:rPr>
              <w:t>33.3</w:t>
            </w:r>
          </w:p>
        </w:tc>
        <w:tc>
          <w:tcPr>
            <w:tcW w:w="845" w:type="dxa"/>
          </w:tcPr>
          <w:p w14:paraId="0137C492" w14:textId="77777777" w:rsidR="008642B2" w:rsidRPr="005E4E15" w:rsidRDefault="008642B2" w:rsidP="00DE1104">
            <w:pPr>
              <w:pStyle w:val="Tabletext"/>
              <w:jc w:val="center"/>
              <w:rPr>
                <w:lang w:eastAsia="ja-JP"/>
              </w:rPr>
            </w:pPr>
            <w:r w:rsidRPr="005E4E15">
              <w:rPr>
                <w:lang w:eastAsia="ja-JP"/>
              </w:rPr>
              <w:t>16.7</w:t>
            </w:r>
          </w:p>
        </w:tc>
        <w:tc>
          <w:tcPr>
            <w:tcW w:w="856" w:type="dxa"/>
          </w:tcPr>
          <w:p w14:paraId="537CD82D" w14:textId="77777777" w:rsidR="008642B2" w:rsidRPr="005E4E15" w:rsidRDefault="008642B2" w:rsidP="00DE1104">
            <w:pPr>
              <w:pStyle w:val="Tabletext"/>
              <w:jc w:val="center"/>
              <w:rPr>
                <w:lang w:eastAsia="ja-JP"/>
              </w:rPr>
            </w:pPr>
            <w:r w:rsidRPr="005E4E15">
              <w:rPr>
                <w:lang w:eastAsia="ja-JP"/>
              </w:rPr>
              <w:t>50</w:t>
            </w:r>
          </w:p>
        </w:tc>
        <w:tc>
          <w:tcPr>
            <w:tcW w:w="851" w:type="dxa"/>
          </w:tcPr>
          <w:p w14:paraId="777E0698" w14:textId="77777777" w:rsidR="008642B2" w:rsidRPr="005E4E15" w:rsidRDefault="008642B2" w:rsidP="00DE1104">
            <w:pPr>
              <w:pStyle w:val="Tabletext"/>
              <w:jc w:val="center"/>
              <w:rPr>
                <w:lang w:eastAsia="ja-JP"/>
              </w:rPr>
            </w:pPr>
            <w:r w:rsidRPr="005E4E15">
              <w:rPr>
                <w:lang w:eastAsia="ja-JP"/>
              </w:rPr>
              <w:t>25</w:t>
            </w:r>
          </w:p>
        </w:tc>
        <w:tc>
          <w:tcPr>
            <w:tcW w:w="850" w:type="dxa"/>
          </w:tcPr>
          <w:p w14:paraId="38CFEF21" w14:textId="77777777" w:rsidR="008642B2" w:rsidRPr="005E4E15" w:rsidRDefault="008642B2" w:rsidP="00DE1104">
            <w:pPr>
              <w:pStyle w:val="Tabletext"/>
              <w:jc w:val="center"/>
              <w:rPr>
                <w:lang w:eastAsia="ja-JP"/>
              </w:rPr>
            </w:pPr>
            <w:r w:rsidRPr="005E4E15">
              <w:rPr>
                <w:lang w:eastAsia="ja-JP"/>
              </w:rPr>
              <w:t>12.5</w:t>
            </w:r>
          </w:p>
        </w:tc>
        <w:tc>
          <w:tcPr>
            <w:tcW w:w="992" w:type="dxa"/>
          </w:tcPr>
          <w:p w14:paraId="1C158CD9" w14:textId="77777777" w:rsidR="008642B2" w:rsidRPr="005E4E15" w:rsidRDefault="008642B2" w:rsidP="00DE1104">
            <w:pPr>
              <w:pStyle w:val="Tabletext"/>
              <w:jc w:val="center"/>
              <w:rPr>
                <w:lang w:eastAsia="ja-JP"/>
              </w:rPr>
            </w:pPr>
            <w:r w:rsidRPr="005E4E15">
              <w:rPr>
                <w:lang w:eastAsia="ja-JP"/>
              </w:rPr>
              <w:t>40</w:t>
            </w:r>
          </w:p>
        </w:tc>
        <w:tc>
          <w:tcPr>
            <w:tcW w:w="851" w:type="dxa"/>
          </w:tcPr>
          <w:p w14:paraId="01C91BBB" w14:textId="77777777" w:rsidR="008642B2" w:rsidRPr="005E4E15" w:rsidRDefault="008642B2" w:rsidP="00DE1104">
            <w:pPr>
              <w:pStyle w:val="Tabletext"/>
              <w:jc w:val="center"/>
              <w:rPr>
                <w:lang w:eastAsia="ja-JP"/>
              </w:rPr>
            </w:pPr>
            <w:r w:rsidRPr="005E4E15">
              <w:rPr>
                <w:lang w:eastAsia="ja-JP"/>
              </w:rPr>
              <w:t>20</w:t>
            </w:r>
          </w:p>
        </w:tc>
        <w:tc>
          <w:tcPr>
            <w:tcW w:w="845" w:type="dxa"/>
          </w:tcPr>
          <w:p w14:paraId="1B397F92" w14:textId="77777777" w:rsidR="008642B2" w:rsidRPr="005E4E15" w:rsidRDefault="008642B2" w:rsidP="00DE1104">
            <w:pPr>
              <w:pStyle w:val="Tabletext"/>
              <w:jc w:val="center"/>
              <w:rPr>
                <w:lang w:eastAsia="ja-JP"/>
              </w:rPr>
            </w:pPr>
            <w:r w:rsidRPr="005E4E15">
              <w:rPr>
                <w:lang w:eastAsia="ja-JP"/>
              </w:rPr>
              <w:t>10</w:t>
            </w:r>
          </w:p>
        </w:tc>
      </w:tr>
      <w:tr w:rsidR="008642B2" w:rsidRPr="005E4E15" w14:paraId="1EFA60BE" w14:textId="77777777" w:rsidTr="001B1C35">
        <w:trPr>
          <w:jc w:val="center"/>
        </w:trPr>
        <w:tc>
          <w:tcPr>
            <w:tcW w:w="1271" w:type="dxa"/>
          </w:tcPr>
          <w:p w14:paraId="2E987439" w14:textId="77777777" w:rsidR="008642B2" w:rsidRPr="005E4E15" w:rsidRDefault="008642B2" w:rsidP="00DE1104">
            <w:pPr>
              <w:pStyle w:val="Tabletext"/>
              <w:jc w:val="center"/>
              <w:rPr>
                <w:lang w:eastAsia="ja-JP"/>
              </w:rPr>
            </w:pPr>
            <w:r w:rsidRPr="005E4E15">
              <w:rPr>
                <w:lang w:eastAsia="ja-JP"/>
              </w:rPr>
              <w:t>800</w:t>
            </w:r>
          </w:p>
        </w:tc>
        <w:tc>
          <w:tcPr>
            <w:tcW w:w="998" w:type="dxa"/>
          </w:tcPr>
          <w:p w14:paraId="29AF6E06" w14:textId="77777777" w:rsidR="008642B2" w:rsidRPr="005E4E15" w:rsidRDefault="008642B2" w:rsidP="00DE1104">
            <w:pPr>
              <w:pStyle w:val="Tabletext"/>
              <w:jc w:val="center"/>
              <w:rPr>
                <w:lang w:eastAsia="ja-JP"/>
              </w:rPr>
            </w:pPr>
            <w:r w:rsidRPr="005E4E15">
              <w:rPr>
                <w:lang w:eastAsia="ja-JP"/>
              </w:rPr>
              <w:t>133.3</w:t>
            </w:r>
          </w:p>
        </w:tc>
        <w:tc>
          <w:tcPr>
            <w:tcW w:w="850" w:type="dxa"/>
          </w:tcPr>
          <w:p w14:paraId="4A1CA250" w14:textId="77777777" w:rsidR="008642B2" w:rsidRPr="005E4E15" w:rsidRDefault="008642B2" w:rsidP="00DE1104">
            <w:pPr>
              <w:pStyle w:val="Tabletext"/>
              <w:jc w:val="center"/>
              <w:rPr>
                <w:lang w:eastAsia="ja-JP"/>
              </w:rPr>
            </w:pPr>
            <w:r w:rsidRPr="005E4E15">
              <w:rPr>
                <w:lang w:eastAsia="ja-JP"/>
              </w:rPr>
              <w:t>66.7</w:t>
            </w:r>
          </w:p>
        </w:tc>
        <w:tc>
          <w:tcPr>
            <w:tcW w:w="845" w:type="dxa"/>
          </w:tcPr>
          <w:p w14:paraId="478BB180" w14:textId="77777777" w:rsidR="008642B2" w:rsidRPr="005E4E15" w:rsidRDefault="008642B2" w:rsidP="00DE1104">
            <w:pPr>
              <w:pStyle w:val="Tabletext"/>
              <w:jc w:val="center"/>
              <w:rPr>
                <w:lang w:eastAsia="ja-JP"/>
              </w:rPr>
            </w:pPr>
            <w:r w:rsidRPr="005E4E15">
              <w:rPr>
                <w:lang w:eastAsia="ja-JP"/>
              </w:rPr>
              <w:t>33.3</w:t>
            </w:r>
          </w:p>
        </w:tc>
        <w:tc>
          <w:tcPr>
            <w:tcW w:w="856" w:type="dxa"/>
          </w:tcPr>
          <w:p w14:paraId="55255E8E" w14:textId="77777777" w:rsidR="008642B2" w:rsidRPr="005E4E15" w:rsidRDefault="008642B2" w:rsidP="00DE1104">
            <w:pPr>
              <w:pStyle w:val="Tabletext"/>
              <w:jc w:val="center"/>
              <w:rPr>
                <w:lang w:eastAsia="ja-JP"/>
              </w:rPr>
            </w:pPr>
            <w:r w:rsidRPr="005E4E15">
              <w:rPr>
                <w:lang w:eastAsia="ja-JP"/>
              </w:rPr>
              <w:t>100</w:t>
            </w:r>
          </w:p>
        </w:tc>
        <w:tc>
          <w:tcPr>
            <w:tcW w:w="851" w:type="dxa"/>
          </w:tcPr>
          <w:p w14:paraId="15A94C60" w14:textId="77777777" w:rsidR="008642B2" w:rsidRPr="005E4E15" w:rsidRDefault="008642B2" w:rsidP="00DE1104">
            <w:pPr>
              <w:pStyle w:val="Tabletext"/>
              <w:jc w:val="center"/>
              <w:rPr>
                <w:lang w:eastAsia="ja-JP"/>
              </w:rPr>
            </w:pPr>
            <w:r w:rsidRPr="005E4E15">
              <w:rPr>
                <w:lang w:eastAsia="ja-JP"/>
              </w:rPr>
              <w:t>50</w:t>
            </w:r>
          </w:p>
        </w:tc>
        <w:tc>
          <w:tcPr>
            <w:tcW w:w="850" w:type="dxa"/>
          </w:tcPr>
          <w:p w14:paraId="1AE3A9BD" w14:textId="77777777" w:rsidR="008642B2" w:rsidRPr="005E4E15" w:rsidRDefault="008642B2" w:rsidP="00DE1104">
            <w:pPr>
              <w:pStyle w:val="Tabletext"/>
              <w:jc w:val="center"/>
              <w:rPr>
                <w:lang w:eastAsia="ja-JP"/>
              </w:rPr>
            </w:pPr>
            <w:r w:rsidRPr="005E4E15">
              <w:rPr>
                <w:lang w:eastAsia="ja-JP"/>
              </w:rPr>
              <w:t>25</w:t>
            </w:r>
          </w:p>
        </w:tc>
        <w:tc>
          <w:tcPr>
            <w:tcW w:w="992" w:type="dxa"/>
          </w:tcPr>
          <w:p w14:paraId="2AF3673E" w14:textId="77777777" w:rsidR="008642B2" w:rsidRPr="005E4E15" w:rsidRDefault="008642B2" w:rsidP="00DE1104">
            <w:pPr>
              <w:pStyle w:val="Tabletext"/>
              <w:jc w:val="center"/>
              <w:rPr>
                <w:lang w:eastAsia="ja-JP"/>
              </w:rPr>
            </w:pPr>
            <w:r w:rsidRPr="005E4E15">
              <w:rPr>
                <w:lang w:eastAsia="ja-JP"/>
              </w:rPr>
              <w:t>80</w:t>
            </w:r>
          </w:p>
        </w:tc>
        <w:tc>
          <w:tcPr>
            <w:tcW w:w="851" w:type="dxa"/>
          </w:tcPr>
          <w:p w14:paraId="56CC761C" w14:textId="77777777" w:rsidR="008642B2" w:rsidRPr="005E4E15" w:rsidRDefault="008642B2" w:rsidP="00DE1104">
            <w:pPr>
              <w:pStyle w:val="Tabletext"/>
              <w:jc w:val="center"/>
              <w:rPr>
                <w:lang w:eastAsia="ja-JP"/>
              </w:rPr>
            </w:pPr>
            <w:r w:rsidRPr="005E4E15">
              <w:rPr>
                <w:lang w:eastAsia="ja-JP"/>
              </w:rPr>
              <w:t>40</w:t>
            </w:r>
          </w:p>
        </w:tc>
        <w:tc>
          <w:tcPr>
            <w:tcW w:w="845" w:type="dxa"/>
          </w:tcPr>
          <w:p w14:paraId="7CDC0009" w14:textId="77777777" w:rsidR="008642B2" w:rsidRPr="005E4E15" w:rsidRDefault="008642B2" w:rsidP="00DE1104">
            <w:pPr>
              <w:pStyle w:val="Tabletext"/>
              <w:jc w:val="center"/>
              <w:rPr>
                <w:lang w:eastAsia="ja-JP"/>
              </w:rPr>
            </w:pPr>
            <w:r w:rsidRPr="005E4E15">
              <w:rPr>
                <w:lang w:eastAsia="ja-JP"/>
              </w:rPr>
              <w:t>20</w:t>
            </w:r>
          </w:p>
        </w:tc>
      </w:tr>
      <w:tr w:rsidR="008642B2" w14:paraId="4D327F98" w14:textId="77777777" w:rsidTr="001B1C35">
        <w:trPr>
          <w:jc w:val="center"/>
        </w:trPr>
        <w:tc>
          <w:tcPr>
            <w:tcW w:w="1271" w:type="dxa"/>
          </w:tcPr>
          <w:p w14:paraId="065E1C17" w14:textId="77777777" w:rsidR="008642B2" w:rsidRPr="005E4E15" w:rsidRDefault="008642B2" w:rsidP="00DE1104">
            <w:pPr>
              <w:pStyle w:val="Tabletext"/>
              <w:jc w:val="center"/>
              <w:rPr>
                <w:lang w:eastAsia="ja-JP"/>
              </w:rPr>
            </w:pPr>
            <w:r w:rsidRPr="005E4E15">
              <w:rPr>
                <w:lang w:eastAsia="ja-JP"/>
              </w:rPr>
              <w:t>1200</w:t>
            </w:r>
          </w:p>
        </w:tc>
        <w:tc>
          <w:tcPr>
            <w:tcW w:w="998" w:type="dxa"/>
          </w:tcPr>
          <w:p w14:paraId="63684145" w14:textId="77777777" w:rsidR="008642B2" w:rsidRPr="005E4E15" w:rsidRDefault="008642B2" w:rsidP="00DE1104">
            <w:pPr>
              <w:pStyle w:val="Tabletext"/>
              <w:jc w:val="center"/>
              <w:rPr>
                <w:lang w:eastAsia="ja-JP"/>
              </w:rPr>
            </w:pPr>
            <w:r w:rsidRPr="005E4E15">
              <w:rPr>
                <w:lang w:eastAsia="ja-JP"/>
              </w:rPr>
              <w:t>200</w:t>
            </w:r>
          </w:p>
        </w:tc>
        <w:tc>
          <w:tcPr>
            <w:tcW w:w="850" w:type="dxa"/>
          </w:tcPr>
          <w:p w14:paraId="319CE6A2" w14:textId="77777777" w:rsidR="008642B2" w:rsidRPr="005E4E15" w:rsidRDefault="008642B2" w:rsidP="00DE1104">
            <w:pPr>
              <w:pStyle w:val="Tabletext"/>
              <w:jc w:val="center"/>
              <w:rPr>
                <w:lang w:eastAsia="ja-JP"/>
              </w:rPr>
            </w:pPr>
            <w:r w:rsidRPr="005E4E15">
              <w:rPr>
                <w:lang w:eastAsia="ja-JP"/>
              </w:rPr>
              <w:t>100</w:t>
            </w:r>
          </w:p>
        </w:tc>
        <w:tc>
          <w:tcPr>
            <w:tcW w:w="845" w:type="dxa"/>
          </w:tcPr>
          <w:p w14:paraId="6B48A446" w14:textId="77777777" w:rsidR="008642B2" w:rsidRPr="005E4E15" w:rsidRDefault="008642B2" w:rsidP="00DE1104">
            <w:pPr>
              <w:pStyle w:val="Tabletext"/>
              <w:jc w:val="center"/>
              <w:rPr>
                <w:lang w:eastAsia="ja-JP"/>
              </w:rPr>
            </w:pPr>
            <w:r w:rsidRPr="005E4E15">
              <w:rPr>
                <w:lang w:eastAsia="ja-JP"/>
              </w:rPr>
              <w:t>50</w:t>
            </w:r>
          </w:p>
        </w:tc>
        <w:tc>
          <w:tcPr>
            <w:tcW w:w="856" w:type="dxa"/>
          </w:tcPr>
          <w:p w14:paraId="5CD2FFF3" w14:textId="77777777" w:rsidR="008642B2" w:rsidRPr="005E4E15" w:rsidRDefault="008642B2" w:rsidP="00DE1104">
            <w:pPr>
              <w:pStyle w:val="Tabletext"/>
              <w:jc w:val="center"/>
              <w:rPr>
                <w:lang w:eastAsia="ja-JP"/>
              </w:rPr>
            </w:pPr>
            <w:r w:rsidRPr="005E4E15">
              <w:rPr>
                <w:lang w:eastAsia="ja-JP"/>
              </w:rPr>
              <w:t>150</w:t>
            </w:r>
          </w:p>
        </w:tc>
        <w:tc>
          <w:tcPr>
            <w:tcW w:w="851" w:type="dxa"/>
          </w:tcPr>
          <w:p w14:paraId="25B1E41F" w14:textId="77777777" w:rsidR="008642B2" w:rsidRPr="005E4E15" w:rsidRDefault="008642B2" w:rsidP="00DE1104">
            <w:pPr>
              <w:pStyle w:val="Tabletext"/>
              <w:jc w:val="center"/>
              <w:rPr>
                <w:lang w:eastAsia="ja-JP"/>
              </w:rPr>
            </w:pPr>
            <w:r w:rsidRPr="005E4E15">
              <w:rPr>
                <w:lang w:eastAsia="ja-JP"/>
              </w:rPr>
              <w:t>75</w:t>
            </w:r>
          </w:p>
        </w:tc>
        <w:tc>
          <w:tcPr>
            <w:tcW w:w="850" w:type="dxa"/>
          </w:tcPr>
          <w:p w14:paraId="348940BF" w14:textId="77777777" w:rsidR="008642B2" w:rsidRPr="005E4E15" w:rsidRDefault="008642B2" w:rsidP="00DE1104">
            <w:pPr>
              <w:pStyle w:val="Tabletext"/>
              <w:jc w:val="center"/>
              <w:rPr>
                <w:lang w:eastAsia="ja-JP"/>
              </w:rPr>
            </w:pPr>
            <w:r w:rsidRPr="005E4E15">
              <w:rPr>
                <w:lang w:eastAsia="ja-JP"/>
              </w:rPr>
              <w:t>37.5</w:t>
            </w:r>
          </w:p>
        </w:tc>
        <w:tc>
          <w:tcPr>
            <w:tcW w:w="992" w:type="dxa"/>
          </w:tcPr>
          <w:p w14:paraId="10859DCE" w14:textId="77777777" w:rsidR="008642B2" w:rsidRPr="005E4E15" w:rsidRDefault="008642B2" w:rsidP="00DE1104">
            <w:pPr>
              <w:pStyle w:val="Tabletext"/>
              <w:jc w:val="center"/>
              <w:rPr>
                <w:lang w:eastAsia="ja-JP"/>
              </w:rPr>
            </w:pPr>
            <w:r w:rsidRPr="005E4E15">
              <w:rPr>
                <w:lang w:eastAsia="ja-JP"/>
              </w:rPr>
              <w:t>120</w:t>
            </w:r>
          </w:p>
        </w:tc>
        <w:tc>
          <w:tcPr>
            <w:tcW w:w="851" w:type="dxa"/>
          </w:tcPr>
          <w:p w14:paraId="7103A713" w14:textId="77777777" w:rsidR="008642B2" w:rsidRPr="005E4E15" w:rsidRDefault="008642B2" w:rsidP="00DE1104">
            <w:pPr>
              <w:pStyle w:val="Tabletext"/>
              <w:jc w:val="center"/>
              <w:rPr>
                <w:lang w:eastAsia="ja-JP"/>
              </w:rPr>
            </w:pPr>
            <w:r w:rsidRPr="005E4E15">
              <w:rPr>
                <w:lang w:eastAsia="ja-JP"/>
              </w:rPr>
              <w:t>60</w:t>
            </w:r>
          </w:p>
        </w:tc>
        <w:tc>
          <w:tcPr>
            <w:tcW w:w="845" w:type="dxa"/>
          </w:tcPr>
          <w:p w14:paraId="342D696E" w14:textId="77777777" w:rsidR="008642B2" w:rsidRPr="008912F6" w:rsidRDefault="008642B2" w:rsidP="00DE1104">
            <w:pPr>
              <w:pStyle w:val="Tabletext"/>
              <w:jc w:val="center"/>
              <w:rPr>
                <w:lang w:eastAsia="ja-JP"/>
              </w:rPr>
            </w:pPr>
            <w:r w:rsidRPr="005E4E15">
              <w:rPr>
                <w:lang w:eastAsia="ja-JP"/>
              </w:rPr>
              <w:t>30</w:t>
            </w:r>
          </w:p>
        </w:tc>
      </w:tr>
    </w:tbl>
    <w:p w14:paraId="2555D3DF" w14:textId="77777777" w:rsidR="008642B2" w:rsidRDefault="008642B2" w:rsidP="00734264">
      <w:pPr>
        <w:pStyle w:val="Tablefin"/>
      </w:pPr>
    </w:p>
    <w:p w14:paraId="6E24D694" w14:textId="77777777" w:rsidR="008642B2" w:rsidRPr="005E4E15" w:rsidRDefault="008642B2" w:rsidP="008642B2">
      <w:pPr>
        <w:pStyle w:val="Heading2"/>
        <w:rPr>
          <w:i/>
          <w:lang w:eastAsia="ja-JP"/>
        </w:rPr>
      </w:pPr>
      <w:r>
        <w:rPr>
          <w:lang w:eastAsia="ja-JP"/>
        </w:rPr>
        <w:t>6</w:t>
      </w:r>
      <w:r w:rsidRPr="005E4E15">
        <w:rPr>
          <w:lang w:eastAsia="ja-JP"/>
        </w:rPr>
        <w:t>.</w:t>
      </w:r>
      <w:r>
        <w:rPr>
          <w:lang w:eastAsia="ja-JP"/>
        </w:rPr>
        <w:t>3</w:t>
      </w:r>
      <w:r w:rsidRPr="005E4E15">
        <w:rPr>
          <w:lang w:eastAsia="ja-JP"/>
        </w:rPr>
        <w:tab/>
      </w:r>
      <w:r w:rsidRPr="00775867">
        <w:rPr>
          <w:lang w:eastAsia="ja-JP"/>
        </w:rPr>
        <w:t>Inter-chip communication system</w:t>
      </w:r>
    </w:p>
    <w:p w14:paraId="1648E2AE" w14:textId="77777777" w:rsidR="008642B2" w:rsidRDefault="008642B2" w:rsidP="008642B2">
      <w:pPr>
        <w:rPr>
          <w:kern w:val="2"/>
          <w:szCs w:val="24"/>
          <w:lang w:eastAsia="ja-JP"/>
        </w:rPr>
      </w:pPr>
      <w:r w:rsidRPr="005E4E15">
        <w:rPr>
          <w:rFonts w:hint="eastAsia"/>
          <w:i/>
          <w:iCs/>
          <w:lang w:eastAsia="ja-JP"/>
        </w:rPr>
        <w:t>[</w:t>
      </w:r>
      <w:r w:rsidRPr="005E4E15">
        <w:rPr>
          <w:i/>
          <w:iCs/>
          <w:lang w:eastAsia="ja-JP"/>
        </w:rPr>
        <w:t>TBD]</w:t>
      </w:r>
    </w:p>
    <w:p w14:paraId="30AB2831" w14:textId="77777777" w:rsidR="008642B2" w:rsidRPr="005E4E15" w:rsidRDefault="008642B2" w:rsidP="008642B2">
      <w:pPr>
        <w:pStyle w:val="Heading2"/>
        <w:rPr>
          <w:i/>
          <w:lang w:eastAsia="ja-JP"/>
        </w:rPr>
      </w:pPr>
      <w:r>
        <w:rPr>
          <w:lang w:eastAsia="ja-JP"/>
        </w:rPr>
        <w:t>6</w:t>
      </w:r>
      <w:r w:rsidRPr="005E4E15">
        <w:rPr>
          <w:lang w:eastAsia="ja-JP"/>
        </w:rPr>
        <w:t>.</w:t>
      </w:r>
      <w:r>
        <w:rPr>
          <w:lang w:eastAsia="ja-JP"/>
        </w:rPr>
        <w:t>4</w:t>
      </w:r>
      <w:r w:rsidRPr="005E4E15">
        <w:rPr>
          <w:lang w:eastAsia="ja-JP"/>
        </w:rPr>
        <w:tab/>
      </w:r>
      <w:r w:rsidRPr="00775867">
        <w:rPr>
          <w:lang w:eastAsia="ja-JP"/>
        </w:rPr>
        <w:t>Intra-device communications</w:t>
      </w:r>
    </w:p>
    <w:p w14:paraId="3131BA9D" w14:textId="77777777" w:rsidR="008642B2" w:rsidRDefault="008642B2" w:rsidP="008642B2">
      <w:pPr>
        <w:rPr>
          <w:kern w:val="2"/>
          <w:szCs w:val="24"/>
          <w:lang w:eastAsia="ja-JP"/>
        </w:rPr>
      </w:pPr>
      <w:r w:rsidRPr="005E4E15">
        <w:rPr>
          <w:rFonts w:hint="eastAsia"/>
          <w:i/>
          <w:iCs/>
          <w:lang w:eastAsia="ja-JP"/>
        </w:rPr>
        <w:t>[</w:t>
      </w:r>
      <w:r w:rsidRPr="005E4E15">
        <w:rPr>
          <w:i/>
          <w:iCs/>
          <w:lang w:eastAsia="ja-JP"/>
        </w:rPr>
        <w:t>TBD]</w:t>
      </w:r>
    </w:p>
    <w:p w14:paraId="023A0E71" w14:textId="77777777" w:rsidR="008642B2" w:rsidRPr="005E4E15" w:rsidRDefault="008642B2" w:rsidP="008642B2">
      <w:pPr>
        <w:pStyle w:val="Heading1"/>
        <w:rPr>
          <w:lang w:eastAsia="ja-JP"/>
        </w:rPr>
      </w:pPr>
      <w:r>
        <w:rPr>
          <w:lang w:eastAsia="ja-JP"/>
        </w:rPr>
        <w:t>7</w:t>
      </w:r>
      <w:r>
        <w:rPr>
          <w:lang w:eastAsia="ja-JP"/>
        </w:rPr>
        <w:tab/>
        <w:t>Summary</w:t>
      </w:r>
    </w:p>
    <w:p w14:paraId="0848C977" w14:textId="77777777" w:rsidR="008642B2" w:rsidRPr="005E4E15" w:rsidRDefault="008642B2" w:rsidP="008642B2">
      <w:pPr>
        <w:rPr>
          <w:i/>
          <w:iCs/>
          <w:lang w:eastAsia="ja-JP"/>
        </w:rPr>
      </w:pPr>
      <w:r w:rsidRPr="005E4E15">
        <w:rPr>
          <w:rFonts w:hint="eastAsia"/>
          <w:i/>
          <w:iCs/>
          <w:lang w:eastAsia="ja-JP"/>
        </w:rPr>
        <w:t>[</w:t>
      </w:r>
      <w:r w:rsidRPr="005E4E15">
        <w:rPr>
          <w:i/>
          <w:iCs/>
          <w:lang w:eastAsia="ja-JP"/>
        </w:rPr>
        <w:t>TBD]</w:t>
      </w:r>
    </w:p>
    <w:p w14:paraId="310BAC28" w14:textId="77777777" w:rsidR="008642B2" w:rsidRPr="00586B57" w:rsidRDefault="008642B2" w:rsidP="008642B2">
      <w:pPr>
        <w:keepNext/>
        <w:keepLines/>
        <w:spacing w:before="280"/>
        <w:outlineLvl w:val="0"/>
        <w:rPr>
          <w:b/>
          <w:sz w:val="28"/>
          <w:lang w:eastAsia="ja-JP"/>
        </w:rPr>
      </w:pPr>
      <w:r>
        <w:rPr>
          <w:b/>
          <w:sz w:val="28"/>
          <w:lang w:eastAsia="ja-JP"/>
        </w:rPr>
        <w:t>8</w:t>
      </w:r>
      <w:r>
        <w:rPr>
          <w:b/>
          <w:sz w:val="28"/>
          <w:lang w:eastAsia="ja-JP"/>
        </w:rPr>
        <w:tab/>
      </w:r>
      <w:r w:rsidRPr="00586B57">
        <w:rPr>
          <w:b/>
          <w:sz w:val="28"/>
          <w:lang w:eastAsia="ja-JP"/>
        </w:rPr>
        <w:t>Bibliography</w:t>
      </w:r>
    </w:p>
    <w:p w14:paraId="27D83880" w14:textId="77777777" w:rsidR="008642B2" w:rsidRPr="00586B57" w:rsidRDefault="008642B2" w:rsidP="008642B2">
      <w:pPr>
        <w:rPr>
          <w:caps/>
          <w:sz w:val="28"/>
          <w:lang w:eastAsia="ja-JP"/>
        </w:rPr>
      </w:pPr>
      <w:r w:rsidRPr="005E4E15">
        <w:rPr>
          <w:rFonts w:hint="eastAsia"/>
          <w:i/>
          <w:iCs/>
          <w:lang w:eastAsia="ja-JP"/>
        </w:rPr>
        <w:t>[</w:t>
      </w:r>
      <w:r w:rsidRPr="005E4E15">
        <w:rPr>
          <w:i/>
          <w:iCs/>
          <w:lang w:eastAsia="ja-JP"/>
        </w:rPr>
        <w:t>TBD]</w:t>
      </w:r>
    </w:p>
    <w:p w14:paraId="6E18045E" w14:textId="493159C4" w:rsidR="008642B2" w:rsidRPr="008642B2" w:rsidRDefault="008642B2" w:rsidP="002D7C43">
      <w:pPr>
        <w:rPr>
          <w:lang w:eastAsia="zh-CN"/>
        </w:rPr>
      </w:pPr>
    </w:p>
    <w:sectPr w:rsidR="008642B2" w:rsidRPr="008642B2" w:rsidSect="00E31124">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2401" w14:textId="77777777" w:rsidR="00B31975" w:rsidRDefault="00B31975">
      <w:r>
        <w:separator/>
      </w:r>
    </w:p>
  </w:endnote>
  <w:endnote w:type="continuationSeparator" w:id="0">
    <w:p w14:paraId="77635BD9" w14:textId="77777777" w:rsidR="00B31975" w:rsidRDefault="00B3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CF9F" w14:textId="5AC386B2" w:rsidR="00FA124A" w:rsidRPr="002F7CB3" w:rsidRDefault="00D26478">
    <w:pPr>
      <w:pStyle w:val="Footer"/>
      <w:rPr>
        <w:lang w:val="en-US"/>
      </w:rPr>
    </w:pPr>
    <w:fldSimple w:instr=" FILENAME \p \* MERGEFORMAT ">
      <w:r w:rsidR="0016574A" w:rsidRPr="0016574A">
        <w:rPr>
          <w:lang w:val="en-US"/>
        </w:rPr>
        <w:t>M</w:t>
      </w:r>
      <w:r w:rsidR="0016574A">
        <w:t>:\BRSGD\TEXT2019\SG05\WP5A\400\491\491N27e.docx</w:t>
      </w:r>
    </w:fldSimple>
    <w:r w:rsidR="00FA124A" w:rsidRPr="002F7CB3">
      <w:rPr>
        <w:lang w:val="en-US"/>
      </w:rPr>
      <w:tab/>
    </w:r>
    <w:r w:rsidR="00FA124A"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89025305"/>
  <w:p w14:paraId="105EF607" w14:textId="4D013046" w:rsidR="00FA124A" w:rsidRPr="002F7CB3" w:rsidRDefault="008B18F0" w:rsidP="00E6257C">
    <w:pPr>
      <w:pStyle w:val="Footer"/>
      <w:rPr>
        <w:lang w:val="en-US"/>
      </w:rPr>
    </w:pPr>
    <w:r>
      <w:fldChar w:fldCharType="begin"/>
    </w:r>
    <w:r>
      <w:instrText xml:space="preserve"> FILENAME \p \* MERGEFORMAT </w:instrText>
    </w:r>
    <w:r>
      <w:fldChar w:fldCharType="separate"/>
    </w:r>
    <w:r w:rsidR="0016574A" w:rsidRPr="0016574A">
      <w:rPr>
        <w:lang w:val="en-US"/>
      </w:rPr>
      <w:t>M</w:t>
    </w:r>
    <w:r w:rsidR="0016574A">
      <w:t>:\BRSGD\TEXT2019\SG05\WP5A\400\491\491N27e.docx</w:t>
    </w:r>
    <w:r>
      <w:fldChar w:fldCharType="end"/>
    </w:r>
    <w:bookmarkEnd w:id="10"/>
    <w:r w:rsidR="00FA124A" w:rsidRPr="002F7CB3">
      <w:rPr>
        <w:lang w:val="en-US"/>
      </w:rPr>
      <w:tab/>
    </w:r>
    <w:r w:rsidR="00FA124A"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56CE" w14:textId="77777777" w:rsidR="00B31975" w:rsidRDefault="00B31975">
      <w:r>
        <w:t>____________________</w:t>
      </w:r>
    </w:p>
  </w:footnote>
  <w:footnote w:type="continuationSeparator" w:id="0">
    <w:p w14:paraId="1F83E8BC" w14:textId="77777777" w:rsidR="00B31975" w:rsidRDefault="00B31975">
      <w:r>
        <w:continuationSeparator/>
      </w:r>
    </w:p>
  </w:footnote>
  <w:footnote w:id="1">
    <w:p w14:paraId="2CFC424B" w14:textId="38B8F8E9" w:rsidR="008642B2" w:rsidRDefault="008642B2" w:rsidP="008642B2">
      <w:pPr>
        <w:pStyle w:val="FootnoteText"/>
        <w:rPr>
          <w:lang w:eastAsia="ja-JP"/>
        </w:rPr>
      </w:pPr>
      <w:r w:rsidRPr="005E4E15">
        <w:rPr>
          <w:rStyle w:val="FootnoteReference"/>
        </w:rPr>
        <w:footnoteRef/>
      </w:r>
      <w:r w:rsidRPr="005E4E15">
        <w:t xml:space="preserve"> </w:t>
      </w:r>
      <w:hyperlink r:id="rId1" w:history="1">
        <w:r w:rsidR="00DE1104" w:rsidRPr="00AA3DEF">
          <w:rPr>
            <w:rStyle w:val="Hyperlink"/>
          </w:rPr>
          <w:t>https://www.macxdvd.com/mac-video-converter-pro/compress-reduce-8k-video-size.htm</w:t>
        </w:r>
      </w:hyperlink>
      <w:r w:rsidR="00DE110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A10E" w14:textId="191A5901"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01C4C">
      <w:rPr>
        <w:rStyle w:val="PageNumber"/>
        <w:noProof/>
      </w:rPr>
      <w:t>2</w:t>
    </w:r>
    <w:r w:rsidR="00D02712">
      <w:rPr>
        <w:rStyle w:val="PageNumber"/>
      </w:rPr>
      <w:fldChar w:fldCharType="end"/>
    </w:r>
    <w:r>
      <w:rPr>
        <w:rStyle w:val="PageNumber"/>
      </w:rPr>
      <w:t xml:space="preserve"> -</w:t>
    </w:r>
  </w:p>
  <w:p w14:paraId="058E82A9" w14:textId="2FAC1AB1" w:rsidR="00FA124A" w:rsidRDefault="008642B2">
    <w:pPr>
      <w:pStyle w:val="Header"/>
      <w:rPr>
        <w:lang w:val="en-US"/>
      </w:rPr>
    </w:pPr>
    <w:r>
      <w:rPr>
        <w:lang w:val="en-US"/>
      </w:rPr>
      <w:t>5A/</w:t>
    </w:r>
    <w:r w:rsidR="008B18F0">
      <w:rPr>
        <w:lang w:val="en-US"/>
      </w:rPr>
      <w:t>491 (Annex 27</w:t>
    </w:r>
    <w:r w:rsidR="00654F23">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B2"/>
    <w:rsid w:val="000069D4"/>
    <w:rsid w:val="00006DDA"/>
    <w:rsid w:val="000174AD"/>
    <w:rsid w:val="00047A1D"/>
    <w:rsid w:val="000604B9"/>
    <w:rsid w:val="000A7D55"/>
    <w:rsid w:val="000C12C8"/>
    <w:rsid w:val="000C2E8E"/>
    <w:rsid w:val="000E0E7C"/>
    <w:rsid w:val="000F1B4B"/>
    <w:rsid w:val="00124EC9"/>
    <w:rsid w:val="0012744F"/>
    <w:rsid w:val="00131178"/>
    <w:rsid w:val="00156F66"/>
    <w:rsid w:val="00163271"/>
    <w:rsid w:val="0016574A"/>
    <w:rsid w:val="00172122"/>
    <w:rsid w:val="00182528"/>
    <w:rsid w:val="0018500B"/>
    <w:rsid w:val="00196A19"/>
    <w:rsid w:val="00202DC1"/>
    <w:rsid w:val="002116EE"/>
    <w:rsid w:val="002309D8"/>
    <w:rsid w:val="002A7FE2"/>
    <w:rsid w:val="002D7C43"/>
    <w:rsid w:val="002E1B4F"/>
    <w:rsid w:val="002F2E67"/>
    <w:rsid w:val="002F7CB3"/>
    <w:rsid w:val="00315546"/>
    <w:rsid w:val="00330567"/>
    <w:rsid w:val="00380087"/>
    <w:rsid w:val="00386A9D"/>
    <w:rsid w:val="00391081"/>
    <w:rsid w:val="003B2789"/>
    <w:rsid w:val="003C13CE"/>
    <w:rsid w:val="003C697E"/>
    <w:rsid w:val="003E2518"/>
    <w:rsid w:val="003E7CEF"/>
    <w:rsid w:val="004B1EF7"/>
    <w:rsid w:val="004B3FAD"/>
    <w:rsid w:val="004C5749"/>
    <w:rsid w:val="00501C4C"/>
    <w:rsid w:val="00501DCA"/>
    <w:rsid w:val="00513A47"/>
    <w:rsid w:val="005408DF"/>
    <w:rsid w:val="00561240"/>
    <w:rsid w:val="00573344"/>
    <w:rsid w:val="00583F9B"/>
    <w:rsid w:val="005B0D29"/>
    <w:rsid w:val="005E5C10"/>
    <w:rsid w:val="005F2C78"/>
    <w:rsid w:val="006144E4"/>
    <w:rsid w:val="00650299"/>
    <w:rsid w:val="00654F23"/>
    <w:rsid w:val="00655FC5"/>
    <w:rsid w:val="00734264"/>
    <w:rsid w:val="0080538C"/>
    <w:rsid w:val="00814E0A"/>
    <w:rsid w:val="00822581"/>
    <w:rsid w:val="008309DD"/>
    <w:rsid w:val="0083227A"/>
    <w:rsid w:val="008642B2"/>
    <w:rsid w:val="00866900"/>
    <w:rsid w:val="00876A8A"/>
    <w:rsid w:val="00881BA1"/>
    <w:rsid w:val="008B18F0"/>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31975"/>
    <w:rsid w:val="00B4279B"/>
    <w:rsid w:val="00B45FC9"/>
    <w:rsid w:val="00B76F35"/>
    <w:rsid w:val="00B81138"/>
    <w:rsid w:val="00BC7CCF"/>
    <w:rsid w:val="00BE470B"/>
    <w:rsid w:val="00BF7AC0"/>
    <w:rsid w:val="00C1242D"/>
    <w:rsid w:val="00C57A91"/>
    <w:rsid w:val="00CC01C2"/>
    <w:rsid w:val="00CF21F2"/>
    <w:rsid w:val="00D02712"/>
    <w:rsid w:val="00D046A7"/>
    <w:rsid w:val="00D214D0"/>
    <w:rsid w:val="00D26478"/>
    <w:rsid w:val="00D6546B"/>
    <w:rsid w:val="00DB178B"/>
    <w:rsid w:val="00DC17D3"/>
    <w:rsid w:val="00DD4BED"/>
    <w:rsid w:val="00DE1104"/>
    <w:rsid w:val="00DE39F0"/>
    <w:rsid w:val="00DF0AF3"/>
    <w:rsid w:val="00DF7E9F"/>
    <w:rsid w:val="00E27D7E"/>
    <w:rsid w:val="00E31124"/>
    <w:rsid w:val="00E42E13"/>
    <w:rsid w:val="00E56D5C"/>
    <w:rsid w:val="00E6257C"/>
    <w:rsid w:val="00E63C59"/>
    <w:rsid w:val="00ED2B6B"/>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46255"/>
  <w15:docId w15:val="{92FAD1E1-5D53-41B9-BB4C-F06A4E4A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qFormat/>
    <w:rsid w:val="008642B2"/>
    <w:rPr>
      <w:color w:val="0000FF" w:themeColor="hyperlink"/>
      <w:u w:val="single"/>
    </w:rPr>
  </w:style>
  <w:style w:type="table" w:styleId="TableGrid">
    <w:name w:val="Table Grid"/>
    <w:basedOn w:val="TableNormal"/>
    <w:uiPriority w:val="59"/>
    <w:rsid w:val="0086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264"/>
    <w:rPr>
      <w:color w:val="605E5C"/>
      <w:shd w:val="clear" w:color="auto" w:fill="E1DFDD"/>
    </w:rPr>
  </w:style>
  <w:style w:type="paragraph" w:styleId="Revision">
    <w:name w:val="Revision"/>
    <w:hidden/>
    <w:uiPriority w:val="99"/>
    <w:semiHidden/>
    <w:rsid w:val="00380087"/>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DE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M.24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pub/R-QUE-SG05.2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cxdvd.com/mac-video-converter-pro/compress-reduce-8k-video-siz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F226A-A58E-403E-8AB2-659E50EE62A4}">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www.w3.org/XML/1998/namespace"/>
    <ds:schemaRef ds:uri="52e7451a-2438-4699-974e-3752ec5efa44"/>
    <ds:schemaRef ds:uri="4c6a61cb-1973-4fc6-92ae-f4d7a447140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0CB152B-2746-4A1E-8B33-F50183768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81A70-AB60-4EAB-89E1-F768F7ED8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3</Pages>
  <Words>820</Words>
  <Characters>4508</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Fernandez Jimenez, Virginia</cp:lastModifiedBy>
  <cp:revision>4</cp:revision>
  <cp:lastPrinted>2008-02-21T14:04:00Z</cp:lastPrinted>
  <dcterms:created xsi:type="dcterms:W3CDTF">2021-11-29T15:05:00Z</dcterms:created>
  <dcterms:modified xsi:type="dcterms:W3CDTF">2021-11-29T15:17:00Z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