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A35D9" w14:paraId="141497BE" w14:textId="77777777" w:rsidTr="00876A8A">
        <w:trPr>
          <w:cantSplit/>
        </w:trPr>
        <w:tc>
          <w:tcPr>
            <w:tcW w:w="6487" w:type="dxa"/>
            <w:vAlign w:val="center"/>
          </w:tcPr>
          <w:p w14:paraId="133AA0DF" w14:textId="77777777" w:rsidR="009F6520" w:rsidRPr="007A35D9" w:rsidRDefault="009F6520" w:rsidP="009F6520">
            <w:pPr>
              <w:shd w:val="solid" w:color="FFFFFF" w:fill="FFFFFF"/>
              <w:spacing w:before="0"/>
              <w:rPr>
                <w:rFonts w:ascii="Verdana" w:hAnsi="Verdana" w:cs="Times New Roman Bold"/>
                <w:b/>
                <w:bCs/>
                <w:sz w:val="26"/>
                <w:szCs w:val="26"/>
              </w:rPr>
            </w:pPr>
            <w:r w:rsidRPr="007A35D9">
              <w:rPr>
                <w:rFonts w:ascii="Verdana" w:hAnsi="Verdana" w:cs="Times New Roman Bold"/>
                <w:b/>
                <w:bCs/>
                <w:sz w:val="26"/>
                <w:szCs w:val="26"/>
              </w:rPr>
              <w:t>Radiocommunication Study Groups</w:t>
            </w:r>
          </w:p>
        </w:tc>
        <w:tc>
          <w:tcPr>
            <w:tcW w:w="3402" w:type="dxa"/>
          </w:tcPr>
          <w:p w14:paraId="4B3A3BCA" w14:textId="268667CE" w:rsidR="009F6520" w:rsidRPr="007A35D9" w:rsidRDefault="004453F2" w:rsidP="004453F2">
            <w:pPr>
              <w:shd w:val="solid" w:color="FFFFFF" w:fill="FFFFFF"/>
              <w:spacing w:before="0" w:line="240" w:lineRule="atLeast"/>
            </w:pPr>
            <w:bookmarkStart w:id="0" w:name="ditulogo"/>
            <w:bookmarkEnd w:id="0"/>
            <w:r w:rsidRPr="007A35D9">
              <w:drawing>
                <wp:inline distT="0" distB="0" distL="0" distR="0" wp14:anchorId="0D492181" wp14:editId="4997194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7A35D9" w14:paraId="51875477" w14:textId="77777777" w:rsidTr="00876A8A">
        <w:trPr>
          <w:cantSplit/>
        </w:trPr>
        <w:tc>
          <w:tcPr>
            <w:tcW w:w="6487" w:type="dxa"/>
            <w:tcBorders>
              <w:bottom w:val="single" w:sz="12" w:space="0" w:color="auto"/>
            </w:tcBorders>
          </w:tcPr>
          <w:p w14:paraId="750E01F4" w14:textId="77777777" w:rsidR="000069D4" w:rsidRPr="007A35D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6DD4BE" w14:textId="77777777" w:rsidR="000069D4" w:rsidRPr="007A35D9" w:rsidRDefault="000069D4" w:rsidP="00A5173C">
            <w:pPr>
              <w:shd w:val="solid" w:color="FFFFFF" w:fill="FFFFFF"/>
              <w:spacing w:before="0" w:after="48" w:line="240" w:lineRule="atLeast"/>
              <w:rPr>
                <w:sz w:val="22"/>
                <w:szCs w:val="22"/>
              </w:rPr>
            </w:pPr>
          </w:p>
        </w:tc>
      </w:tr>
      <w:tr w:rsidR="000069D4" w:rsidRPr="007A35D9" w14:paraId="344B8F6E" w14:textId="77777777" w:rsidTr="00876A8A">
        <w:trPr>
          <w:cantSplit/>
        </w:trPr>
        <w:tc>
          <w:tcPr>
            <w:tcW w:w="6487" w:type="dxa"/>
            <w:tcBorders>
              <w:top w:val="single" w:sz="12" w:space="0" w:color="auto"/>
            </w:tcBorders>
          </w:tcPr>
          <w:p w14:paraId="4FC03218" w14:textId="77777777" w:rsidR="000069D4" w:rsidRPr="007A35D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B4EACE5" w14:textId="77777777" w:rsidR="000069D4" w:rsidRPr="007A35D9" w:rsidRDefault="000069D4" w:rsidP="00A5173C">
            <w:pPr>
              <w:shd w:val="solid" w:color="FFFFFF" w:fill="FFFFFF"/>
              <w:spacing w:before="0" w:after="48" w:line="240" w:lineRule="atLeast"/>
            </w:pPr>
          </w:p>
        </w:tc>
      </w:tr>
      <w:tr w:rsidR="0052186C" w:rsidRPr="007A35D9" w14:paraId="72D70EE2" w14:textId="77777777" w:rsidTr="00876A8A">
        <w:trPr>
          <w:cantSplit/>
        </w:trPr>
        <w:tc>
          <w:tcPr>
            <w:tcW w:w="6487" w:type="dxa"/>
            <w:vMerge w:val="restart"/>
          </w:tcPr>
          <w:p w14:paraId="51CA3851" w14:textId="3D4EC612" w:rsidR="0052186C" w:rsidRPr="007A35D9" w:rsidRDefault="0052186C" w:rsidP="0052186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A35D9">
              <w:rPr>
                <w:rFonts w:ascii="Verdana" w:hAnsi="Verdana"/>
                <w:sz w:val="20"/>
              </w:rPr>
              <w:t>Source:</w:t>
            </w:r>
            <w:r w:rsidRPr="007A35D9">
              <w:rPr>
                <w:rFonts w:ascii="Verdana" w:hAnsi="Verdana"/>
                <w:sz w:val="20"/>
              </w:rPr>
              <w:tab/>
              <w:t>Document 5A/TEMP/184(Rev.1)</w:t>
            </w:r>
          </w:p>
        </w:tc>
        <w:tc>
          <w:tcPr>
            <w:tcW w:w="3402" w:type="dxa"/>
          </w:tcPr>
          <w:p w14:paraId="55DF4E98" w14:textId="074567FF" w:rsidR="0052186C" w:rsidRPr="007A35D9" w:rsidRDefault="0052186C" w:rsidP="0052186C">
            <w:pPr>
              <w:shd w:val="solid" w:color="FFFFFF" w:fill="FFFFFF"/>
              <w:spacing w:before="0" w:line="240" w:lineRule="atLeast"/>
              <w:rPr>
                <w:rFonts w:ascii="Verdana" w:hAnsi="Verdana"/>
                <w:sz w:val="20"/>
                <w:lang w:eastAsia="zh-CN"/>
              </w:rPr>
            </w:pPr>
            <w:r w:rsidRPr="007A35D9">
              <w:rPr>
                <w:rFonts w:ascii="Verdana" w:hAnsi="Verdana"/>
                <w:b/>
                <w:sz w:val="20"/>
                <w:lang w:eastAsia="zh-CN"/>
              </w:rPr>
              <w:t>Annex 20 to</w:t>
            </w:r>
            <w:r w:rsidRPr="007A35D9">
              <w:rPr>
                <w:rFonts w:ascii="Verdana" w:hAnsi="Verdana"/>
                <w:b/>
                <w:sz w:val="20"/>
                <w:lang w:eastAsia="zh-CN"/>
              </w:rPr>
              <w:br/>
              <w:t>Document 5A/491-E</w:t>
            </w:r>
          </w:p>
        </w:tc>
      </w:tr>
      <w:tr w:rsidR="0052186C" w:rsidRPr="007A35D9" w14:paraId="738C675F" w14:textId="77777777" w:rsidTr="00876A8A">
        <w:trPr>
          <w:cantSplit/>
        </w:trPr>
        <w:tc>
          <w:tcPr>
            <w:tcW w:w="6487" w:type="dxa"/>
            <w:vMerge/>
          </w:tcPr>
          <w:p w14:paraId="3F62E2FF" w14:textId="77777777" w:rsidR="0052186C" w:rsidRPr="007A35D9" w:rsidRDefault="0052186C" w:rsidP="0052186C">
            <w:pPr>
              <w:spacing w:before="60"/>
              <w:jc w:val="center"/>
              <w:rPr>
                <w:b/>
                <w:smallCaps/>
                <w:sz w:val="32"/>
                <w:lang w:eastAsia="zh-CN"/>
              </w:rPr>
            </w:pPr>
            <w:bookmarkStart w:id="3" w:name="ddate" w:colFirst="1" w:colLast="1"/>
            <w:bookmarkEnd w:id="2"/>
          </w:p>
        </w:tc>
        <w:tc>
          <w:tcPr>
            <w:tcW w:w="3402" w:type="dxa"/>
          </w:tcPr>
          <w:p w14:paraId="4FAB23E2" w14:textId="7244A114" w:rsidR="0052186C" w:rsidRPr="007A35D9" w:rsidRDefault="0052186C" w:rsidP="0052186C">
            <w:pPr>
              <w:shd w:val="solid" w:color="FFFFFF" w:fill="FFFFFF"/>
              <w:spacing w:before="0" w:line="240" w:lineRule="atLeast"/>
              <w:rPr>
                <w:rFonts w:ascii="Verdana" w:hAnsi="Verdana"/>
                <w:sz w:val="20"/>
                <w:lang w:eastAsia="zh-CN"/>
              </w:rPr>
            </w:pPr>
            <w:r w:rsidRPr="007A35D9">
              <w:rPr>
                <w:rFonts w:ascii="Verdana" w:hAnsi="Verdana"/>
                <w:b/>
                <w:sz w:val="20"/>
                <w:lang w:eastAsia="zh-CN"/>
              </w:rPr>
              <w:t>26 November 2021</w:t>
            </w:r>
          </w:p>
        </w:tc>
      </w:tr>
      <w:tr w:rsidR="000069D4" w:rsidRPr="007A35D9" w14:paraId="3E21E9C6" w14:textId="77777777" w:rsidTr="00876A8A">
        <w:trPr>
          <w:cantSplit/>
        </w:trPr>
        <w:tc>
          <w:tcPr>
            <w:tcW w:w="6487" w:type="dxa"/>
            <w:vMerge/>
          </w:tcPr>
          <w:p w14:paraId="6C669248" w14:textId="77777777" w:rsidR="000069D4" w:rsidRPr="007A35D9" w:rsidRDefault="000069D4" w:rsidP="00A5173C">
            <w:pPr>
              <w:spacing w:before="60"/>
              <w:jc w:val="center"/>
              <w:rPr>
                <w:b/>
                <w:smallCaps/>
                <w:sz w:val="32"/>
                <w:lang w:eastAsia="zh-CN"/>
              </w:rPr>
            </w:pPr>
            <w:bookmarkStart w:id="4" w:name="dorlang" w:colFirst="1" w:colLast="1"/>
            <w:bookmarkEnd w:id="3"/>
          </w:p>
        </w:tc>
        <w:tc>
          <w:tcPr>
            <w:tcW w:w="3402" w:type="dxa"/>
          </w:tcPr>
          <w:p w14:paraId="3606CE37" w14:textId="2A4CA43D" w:rsidR="000069D4" w:rsidRPr="007A35D9" w:rsidRDefault="004453F2" w:rsidP="00A5173C">
            <w:pPr>
              <w:shd w:val="solid" w:color="FFFFFF" w:fill="FFFFFF"/>
              <w:spacing w:before="0" w:line="240" w:lineRule="atLeast"/>
              <w:rPr>
                <w:rFonts w:ascii="Verdana" w:eastAsia="SimSun" w:hAnsi="Verdana"/>
                <w:sz w:val="20"/>
                <w:lang w:eastAsia="zh-CN"/>
              </w:rPr>
            </w:pPr>
            <w:r w:rsidRPr="007A35D9">
              <w:rPr>
                <w:rFonts w:ascii="Verdana" w:eastAsia="SimSun" w:hAnsi="Verdana"/>
                <w:b/>
                <w:sz w:val="20"/>
                <w:lang w:eastAsia="zh-CN"/>
              </w:rPr>
              <w:t>English only</w:t>
            </w:r>
          </w:p>
        </w:tc>
      </w:tr>
      <w:tr w:rsidR="000069D4" w:rsidRPr="007A35D9" w14:paraId="71DFFAA8" w14:textId="77777777" w:rsidTr="00D046A7">
        <w:trPr>
          <w:cantSplit/>
        </w:trPr>
        <w:tc>
          <w:tcPr>
            <w:tcW w:w="9889" w:type="dxa"/>
            <w:gridSpan w:val="2"/>
          </w:tcPr>
          <w:p w14:paraId="361229F2" w14:textId="0E4FA77A" w:rsidR="000069D4" w:rsidRPr="007A35D9" w:rsidRDefault="0052186C" w:rsidP="004453F2">
            <w:pPr>
              <w:pStyle w:val="Source"/>
              <w:rPr>
                <w:lang w:eastAsia="zh-CN"/>
              </w:rPr>
            </w:pPr>
            <w:bookmarkStart w:id="5" w:name="dsource" w:colFirst="0" w:colLast="0"/>
            <w:bookmarkEnd w:id="4"/>
            <w:r w:rsidRPr="007A35D9">
              <w:rPr>
                <w:lang w:eastAsia="ja-JP"/>
              </w:rPr>
              <w:t>Annex 20 to Working Party 5A Chairman’s Report</w:t>
            </w:r>
          </w:p>
        </w:tc>
      </w:tr>
      <w:tr w:rsidR="000069D4" w:rsidRPr="007A35D9" w14:paraId="6E09875D" w14:textId="77777777" w:rsidTr="00D046A7">
        <w:trPr>
          <w:cantSplit/>
        </w:trPr>
        <w:tc>
          <w:tcPr>
            <w:tcW w:w="9889" w:type="dxa"/>
            <w:gridSpan w:val="2"/>
          </w:tcPr>
          <w:p w14:paraId="38A005C1" w14:textId="3A666B3F" w:rsidR="000069D4" w:rsidRPr="007A35D9" w:rsidRDefault="00DB71FB" w:rsidP="00A5173C">
            <w:pPr>
              <w:pStyle w:val="Title1"/>
              <w:rPr>
                <w:lang w:eastAsia="zh-CN"/>
              </w:rPr>
            </w:pPr>
            <w:bookmarkStart w:id="6" w:name="drec" w:colFirst="0" w:colLast="0"/>
            <w:bookmarkEnd w:id="5"/>
            <w:r w:rsidRPr="007A35D9">
              <w:t xml:space="preserve">WORKING DOCUMENT TOWARDS A DRAFT REPORT FOR </w:t>
            </w:r>
            <w:r w:rsidRPr="007A35D9">
              <w:rPr>
                <w:lang w:eastAsia="zh-CN"/>
              </w:rPr>
              <w:t xml:space="preserve">SHARING </w:t>
            </w:r>
            <w:r w:rsidR="003C035D" w:rsidRPr="007A35D9">
              <w:rPr>
                <w:lang w:eastAsia="zh-CN"/>
              </w:rPr>
              <w:br/>
            </w:r>
            <w:r w:rsidRPr="007A35D9">
              <w:rPr>
                <w:lang w:eastAsia="zh-CN"/>
              </w:rPr>
              <w:t xml:space="preserve">AND COMPATIBILITY STUDIES IN COMPLIANCE WITH </w:t>
            </w:r>
            <w:r w:rsidR="003C035D" w:rsidRPr="007A35D9">
              <w:rPr>
                <w:lang w:eastAsia="zh-CN"/>
              </w:rPr>
              <w:br/>
            </w:r>
            <w:r w:rsidRPr="007A35D9">
              <w:rPr>
                <w:lang w:eastAsia="zh-CN"/>
              </w:rPr>
              <w:t>RESOLUTION 246 (WRC</w:t>
            </w:r>
            <w:r w:rsidR="006538C2" w:rsidRPr="007A35D9">
              <w:rPr>
                <w:lang w:eastAsia="zh-CN"/>
              </w:rPr>
              <w:noBreakHyphen/>
            </w:r>
            <w:r w:rsidRPr="007A35D9">
              <w:rPr>
                <w:lang w:eastAsia="zh-CN"/>
              </w:rPr>
              <w:t>19) IN RELATION WITH WRC-23 AGENDA ITEM 1.3</w:t>
            </w:r>
          </w:p>
        </w:tc>
      </w:tr>
      <w:tr w:rsidR="000069D4" w:rsidRPr="007A35D9" w14:paraId="1AA42D59" w14:textId="77777777" w:rsidTr="00D046A7">
        <w:trPr>
          <w:cantSplit/>
        </w:trPr>
        <w:tc>
          <w:tcPr>
            <w:tcW w:w="9889" w:type="dxa"/>
            <w:gridSpan w:val="2"/>
          </w:tcPr>
          <w:p w14:paraId="7E9AFB35" w14:textId="77777777" w:rsidR="000069D4" w:rsidRPr="007A35D9" w:rsidRDefault="000069D4" w:rsidP="00A5173C">
            <w:pPr>
              <w:pStyle w:val="Title1"/>
              <w:rPr>
                <w:lang w:eastAsia="zh-CN"/>
              </w:rPr>
            </w:pPr>
            <w:bookmarkStart w:id="7" w:name="dtitle1" w:colFirst="0" w:colLast="0"/>
            <w:bookmarkEnd w:id="6"/>
          </w:p>
        </w:tc>
      </w:tr>
    </w:tbl>
    <w:p w14:paraId="26332029" w14:textId="29872BE8" w:rsidR="00A7087F" w:rsidRPr="007A35D9" w:rsidRDefault="00C108DA" w:rsidP="001015C4">
      <w:pPr>
        <w:pStyle w:val="EditorsNote"/>
        <w:rPr>
          <w:lang w:eastAsia="zh-CN"/>
        </w:rPr>
      </w:pPr>
      <w:bookmarkStart w:id="8" w:name="dbreak"/>
      <w:bookmarkEnd w:id="7"/>
      <w:bookmarkEnd w:id="8"/>
      <w:r w:rsidRPr="007A35D9">
        <w:rPr>
          <w:lang w:eastAsia="zh-CN"/>
        </w:rPr>
        <w:t>[Editor’s Note: This document has not yet been fully reviewed and agreed by WP 5A]</w:t>
      </w:r>
    </w:p>
    <w:p w14:paraId="1C0151C0" w14:textId="7A8BDCDD" w:rsidR="00DB71FB" w:rsidRPr="007A35D9" w:rsidRDefault="00DB71FB" w:rsidP="001015C4">
      <w:pPr>
        <w:pStyle w:val="Note"/>
        <w:rPr>
          <w:lang w:eastAsia="zh-CN"/>
        </w:rPr>
      </w:pPr>
      <w:r w:rsidRPr="007A35D9">
        <w:rPr>
          <w:spacing w:val="-2"/>
          <w:lang w:eastAsia="zh-CN"/>
        </w:rPr>
        <w:t xml:space="preserve">NOTE: During the discussion of WRC-23 </w:t>
      </w:r>
      <w:r w:rsidR="006538C2" w:rsidRPr="007A35D9">
        <w:rPr>
          <w:spacing w:val="-2"/>
          <w:lang w:eastAsia="zh-CN"/>
        </w:rPr>
        <w:t>agenda ite</w:t>
      </w:r>
      <w:r w:rsidRPr="007A35D9">
        <w:rPr>
          <w:spacing w:val="-2"/>
          <w:lang w:eastAsia="zh-CN"/>
        </w:rPr>
        <w:t xml:space="preserve">m 1.3 and associated Resolution </w:t>
      </w:r>
      <w:r w:rsidRPr="007A35D9">
        <w:rPr>
          <w:b/>
          <w:bCs/>
          <w:spacing w:val="-2"/>
          <w:lang w:eastAsia="zh-CN"/>
        </w:rPr>
        <w:t xml:space="preserve">246 </w:t>
      </w:r>
      <w:r w:rsidRPr="007A35D9">
        <w:rPr>
          <w:b/>
          <w:bCs/>
          <w:spacing w:val="-2"/>
        </w:rPr>
        <w:t>(</w:t>
      </w:r>
      <w:r w:rsidRPr="007A35D9">
        <w:rPr>
          <w:b/>
          <w:bCs/>
          <w:spacing w:val="-2"/>
          <w:lang w:eastAsia="zh-CN"/>
        </w:rPr>
        <w:t>WRC-19)</w:t>
      </w:r>
      <w:r w:rsidRPr="007A35D9">
        <w:rPr>
          <w:lang w:eastAsia="zh-CN"/>
        </w:rPr>
        <w:t xml:space="preserve"> two views were expressed in relation with whether sharing and compatibility studies should </w:t>
      </w:r>
      <w:proofErr w:type="gramStart"/>
      <w:r w:rsidRPr="007A35D9">
        <w:rPr>
          <w:lang w:eastAsia="zh-CN"/>
        </w:rPr>
        <w:t>take into account</w:t>
      </w:r>
      <w:proofErr w:type="gramEnd"/>
      <w:r w:rsidRPr="007A35D9">
        <w:rPr>
          <w:lang w:eastAsia="zh-CN"/>
        </w:rPr>
        <w:t xml:space="preserve"> in-band only or the adjacent band as well. Resolution </w:t>
      </w:r>
      <w:r w:rsidRPr="007A35D9">
        <w:rPr>
          <w:b/>
          <w:bCs/>
          <w:lang w:eastAsia="zh-CN"/>
        </w:rPr>
        <w:t xml:space="preserve">246 </w:t>
      </w:r>
      <w:r w:rsidRPr="007A35D9">
        <w:rPr>
          <w:b/>
          <w:bCs/>
        </w:rPr>
        <w:t>(</w:t>
      </w:r>
      <w:r w:rsidRPr="007A35D9">
        <w:rPr>
          <w:b/>
          <w:bCs/>
          <w:lang w:eastAsia="zh-CN"/>
        </w:rPr>
        <w:t>WRC-19)</w:t>
      </w:r>
      <w:r w:rsidRPr="007A35D9">
        <w:rPr>
          <w:lang w:eastAsia="zh-CN"/>
        </w:rPr>
        <w:t xml:space="preserve"> </w:t>
      </w:r>
      <w:r w:rsidRPr="007A35D9">
        <w:rPr>
          <w:i/>
          <w:iCs/>
          <w:lang w:eastAsia="zh-CN"/>
        </w:rPr>
        <w:t>resolves</w:t>
      </w:r>
      <w:r w:rsidRPr="007A35D9">
        <w:rPr>
          <w:lang w:eastAsia="zh-CN"/>
        </w:rPr>
        <w:t xml:space="preserve"> to “invite the ITU-R sector refer to conducting sharing and compatibility studies for in-band and adjacent band as appropriate”</w:t>
      </w:r>
    </w:p>
    <w:p w14:paraId="79A9F91B" w14:textId="77777777" w:rsidR="00DB71FB" w:rsidRPr="007A35D9" w:rsidRDefault="00DB71FB" w:rsidP="00DB71FB">
      <w:pPr>
        <w:rPr>
          <w:lang w:eastAsia="zh-CN"/>
        </w:rPr>
      </w:pPr>
      <w:r w:rsidRPr="007A35D9">
        <w:rPr>
          <w:lang w:eastAsia="zh-CN"/>
        </w:rPr>
        <w:t xml:space="preserve">View 1: </w:t>
      </w:r>
    </w:p>
    <w:p w14:paraId="08C67028" w14:textId="77777777" w:rsidR="00DB71FB" w:rsidRPr="007A35D9" w:rsidRDefault="00DB71FB" w:rsidP="00DB71FB">
      <w:pPr>
        <w:rPr>
          <w:lang w:eastAsia="zh-CN"/>
        </w:rPr>
      </w:pPr>
      <w:r w:rsidRPr="007A35D9">
        <w:rPr>
          <w:lang w:eastAsia="zh-CN"/>
        </w:rPr>
        <w:t>Some administrations are of the view that there should be no sharing studies to be conducted for the adjacent band since there was no agreement in the conference to conduct sharing and compatibility studies for adjacent band by adding the term, “as appropriate”.</w:t>
      </w:r>
    </w:p>
    <w:p w14:paraId="3FC95F03" w14:textId="77777777" w:rsidR="00DB71FB" w:rsidRPr="007A35D9" w:rsidRDefault="00DB71FB" w:rsidP="00DB71FB">
      <w:pPr>
        <w:rPr>
          <w:lang w:eastAsia="zh-CN"/>
        </w:rPr>
      </w:pPr>
      <w:r w:rsidRPr="007A35D9">
        <w:rPr>
          <w:lang w:eastAsia="zh-CN"/>
        </w:rPr>
        <w:t>View 2:</w:t>
      </w:r>
    </w:p>
    <w:p w14:paraId="2B4EBD93" w14:textId="77777777" w:rsidR="00DB71FB" w:rsidRPr="007A35D9" w:rsidRDefault="00DB71FB" w:rsidP="00DB71FB">
      <w:pPr>
        <w:rPr>
          <w:b/>
          <w:bCs/>
          <w:lang w:eastAsia="zh-CN"/>
        </w:rPr>
      </w:pPr>
      <w:r w:rsidRPr="007A35D9">
        <w:rPr>
          <w:lang w:eastAsia="zh-CN"/>
        </w:rPr>
        <w:t xml:space="preserve">The above-mentioned view was not shared by some other administrations due to the fact that sharing and compatibility studies to be done for both in-band and adjacent band, since conducting sharing and compatibility studies in adjacent band is clearly and specifically mentioned in the resolves part of Resolution </w:t>
      </w:r>
      <w:r w:rsidRPr="007A35D9">
        <w:rPr>
          <w:b/>
          <w:bCs/>
          <w:lang w:eastAsia="zh-CN"/>
        </w:rPr>
        <w:t xml:space="preserve">246 </w:t>
      </w:r>
      <w:r w:rsidRPr="007A35D9">
        <w:rPr>
          <w:b/>
          <w:bCs/>
        </w:rPr>
        <w:t>(</w:t>
      </w:r>
      <w:r w:rsidRPr="007A35D9">
        <w:rPr>
          <w:b/>
          <w:bCs/>
          <w:lang w:eastAsia="zh-CN"/>
        </w:rPr>
        <w:t>WRC-19).</w:t>
      </w:r>
    </w:p>
    <w:p w14:paraId="06CB6ED2" w14:textId="77777777" w:rsidR="00DB71FB" w:rsidRPr="007A35D9" w:rsidRDefault="00DB71FB" w:rsidP="00DB71FB">
      <w:pPr>
        <w:pStyle w:val="Heading1"/>
        <w:rPr>
          <w:lang w:eastAsia="ja-JP"/>
        </w:rPr>
      </w:pPr>
      <w:r w:rsidRPr="007A35D9">
        <w:rPr>
          <w:lang w:eastAsia="ja-JP"/>
        </w:rPr>
        <w:t>1</w:t>
      </w:r>
      <w:r w:rsidRPr="007A35D9">
        <w:rPr>
          <w:lang w:eastAsia="ja-JP"/>
        </w:rPr>
        <w:tab/>
        <w:t>Introduction</w:t>
      </w:r>
    </w:p>
    <w:p w14:paraId="45672D87" w14:textId="77777777" w:rsidR="00DB71FB" w:rsidRPr="007A35D9" w:rsidRDefault="00DB71FB" w:rsidP="00DB71FB">
      <w:pPr>
        <w:rPr>
          <w:i/>
          <w:iCs/>
        </w:rPr>
      </w:pPr>
      <w:r w:rsidRPr="007A35D9">
        <w:t xml:space="preserve">WRC-19 approved WRC-23 agenda item 1.3 calling upon WRC-23 </w:t>
      </w:r>
      <w:r w:rsidRPr="007A35D9">
        <w:rPr>
          <w:i/>
          <w:iCs/>
        </w:rPr>
        <w:t xml:space="preserve">to consider primary allocation of the frequency band 3 600-3 800 MHz to the mobile service in Region 1 and take appropriate regulatory actions, in accordance with </w:t>
      </w:r>
      <w:r w:rsidRPr="007A35D9">
        <w:rPr>
          <w:b/>
          <w:bCs/>
          <w:i/>
          <w:iCs/>
        </w:rPr>
        <w:t>Resolution 246 (WRC-19)</w:t>
      </w:r>
      <w:r w:rsidRPr="007A35D9">
        <w:rPr>
          <w:i/>
          <w:iCs/>
        </w:rPr>
        <w:t>;</w:t>
      </w:r>
    </w:p>
    <w:p w14:paraId="224A7993" w14:textId="739E0A02" w:rsidR="00DB71FB" w:rsidRPr="007A35D9" w:rsidRDefault="00DB71FB" w:rsidP="00DB71FB">
      <w:pPr>
        <w:keepNext/>
        <w:keepLines/>
        <w:rPr>
          <w:lang w:eastAsia="ja-JP"/>
        </w:rPr>
      </w:pPr>
      <w:r w:rsidRPr="007A35D9">
        <w:rPr>
          <w:lang w:eastAsia="ja-JP"/>
        </w:rPr>
        <w:t xml:space="preserve">Resolution </w:t>
      </w:r>
      <w:r w:rsidRPr="007A35D9">
        <w:rPr>
          <w:b/>
          <w:bCs/>
          <w:lang w:eastAsia="ja-JP"/>
        </w:rPr>
        <w:t>246 (WRC-19)</w:t>
      </w:r>
      <w:r w:rsidRPr="007A35D9">
        <w:rPr>
          <w:lang w:eastAsia="ja-JP"/>
        </w:rPr>
        <w:t xml:space="preserve"> on “</w:t>
      </w:r>
      <w:r w:rsidRPr="007A35D9">
        <w:rPr>
          <w:bCs/>
          <w:i/>
          <w:lang w:eastAsia="ja-JP"/>
        </w:rPr>
        <w:t>Studies to consider possible allocation of the frequency band 3 600-3 800 MHz to the mobile, except aeronautical mobile, service on a primary basis within Region</w:t>
      </w:r>
      <w:r w:rsidRPr="007A35D9">
        <w:rPr>
          <w:bCs/>
          <w:lang w:eastAsia="ja-JP"/>
        </w:rPr>
        <w:t xml:space="preserve"> 1” </w:t>
      </w:r>
    </w:p>
    <w:p w14:paraId="1E26B49A" w14:textId="77777777" w:rsidR="00DB71FB" w:rsidRPr="007A35D9" w:rsidRDefault="00DB71FB" w:rsidP="00DB71FB">
      <w:pPr>
        <w:pStyle w:val="enumlev1"/>
        <w:rPr>
          <w:lang w:eastAsia="ja-JP"/>
        </w:rPr>
      </w:pPr>
      <w:r w:rsidRPr="007A35D9">
        <w:rPr>
          <w:i/>
          <w:iCs/>
          <w:lang w:eastAsia="ja-JP"/>
        </w:rPr>
        <w:t>–</w:t>
      </w:r>
      <w:r w:rsidRPr="007A35D9">
        <w:rPr>
          <w:i/>
          <w:iCs/>
          <w:lang w:eastAsia="ja-JP"/>
        </w:rPr>
        <w:tab/>
        <w:t xml:space="preserve">invites the ITU Radiocommunication Sector </w:t>
      </w:r>
      <w:r w:rsidRPr="007A35D9">
        <w:rPr>
          <w:lang w:eastAsia="ja-JP"/>
        </w:rPr>
        <w:t>to conduct sharing and compatibility studies in time for WRC-23 between the mobile service and other services allocated on a primary basis within the frequency band 3 600-3 800 MHz and adjacent frequency bands in Region 1, as appropriate, to ensure protection of those services to which the frequency band is allocated on a primary basis and not impose undue constraints on the existing services and their future development,</w:t>
      </w:r>
    </w:p>
    <w:p w14:paraId="4DEB3443" w14:textId="77777777" w:rsidR="00DB71FB" w:rsidRPr="007A35D9" w:rsidRDefault="00DB71FB" w:rsidP="00DB71FB">
      <w:pPr>
        <w:pStyle w:val="enumlev1"/>
        <w:rPr>
          <w:lang w:eastAsia="ja-JP"/>
        </w:rPr>
      </w:pPr>
      <w:r w:rsidRPr="007A35D9">
        <w:rPr>
          <w:i/>
          <w:iCs/>
          <w:lang w:eastAsia="ja-JP"/>
        </w:rPr>
        <w:lastRenderedPageBreak/>
        <w:t>–</w:t>
      </w:r>
      <w:r w:rsidRPr="007A35D9">
        <w:rPr>
          <w:i/>
          <w:iCs/>
          <w:lang w:eastAsia="ja-JP"/>
        </w:rPr>
        <w:tab/>
        <w:t xml:space="preserve">invites the 2023 World Radiocommunication Conference, </w:t>
      </w:r>
      <w:r w:rsidRPr="007A35D9">
        <w:rPr>
          <w:lang w:eastAsia="ja-JP"/>
        </w:rPr>
        <w:t>based on the results of studies in resolves to invite the ITU Radiocommunication Sector, to consider possible upgrade of the allocation of the frequency band 3 600-3 800 MHz to the mobile, except aeronautical mobile, service on a primary basis within Region 1, and to take appropriate regulatory actions,</w:t>
      </w:r>
    </w:p>
    <w:p w14:paraId="5340D0A5" w14:textId="77777777" w:rsidR="00DB71FB" w:rsidRPr="007A35D9" w:rsidRDefault="00DB71FB" w:rsidP="00DB71FB">
      <w:r w:rsidRPr="007A35D9">
        <w:t xml:space="preserve">This Report contains studies of technical and regulatory conditions for coexistence of the Mobile service with existing primary services in 3 600-3 800 MHz </w:t>
      </w:r>
      <w:r w:rsidRPr="007A35D9">
        <w:rPr>
          <w:rFonts w:ascii="Times New Roman Bold" w:hAnsi="Times New Roman Bold"/>
          <w:bCs/>
          <w:lang w:eastAsia="zh-CN"/>
        </w:rPr>
        <w:t>and in adjacent bands, as appropriate</w:t>
      </w:r>
      <w:r w:rsidRPr="007A35D9">
        <w:t xml:space="preserve">, as well as other information that can be valuable in </w:t>
      </w:r>
      <w:proofErr w:type="gramStart"/>
      <w:r w:rsidRPr="007A35D9">
        <w:t>making a decision</w:t>
      </w:r>
      <w:proofErr w:type="gramEnd"/>
      <w:r w:rsidRPr="007A35D9">
        <w:t xml:space="preserve"> on the upgrade to primary of the Mobile allocation in the band.</w:t>
      </w:r>
    </w:p>
    <w:p w14:paraId="78912FC4" w14:textId="77777777" w:rsidR="00DB71FB" w:rsidRPr="007A35D9" w:rsidRDefault="00DB71FB" w:rsidP="00DB71FB">
      <w:pPr>
        <w:pStyle w:val="Heading1"/>
        <w:rPr>
          <w:lang w:eastAsia="zh-CN"/>
        </w:rPr>
      </w:pPr>
      <w:r w:rsidRPr="007A35D9">
        <w:rPr>
          <w:lang w:eastAsia="ja-JP"/>
        </w:rPr>
        <w:t>2</w:t>
      </w:r>
      <w:r w:rsidRPr="007A35D9">
        <w:rPr>
          <w:lang w:eastAsia="ja-JP"/>
        </w:rPr>
        <w:tab/>
        <w:t xml:space="preserve">Allocation information in the </w:t>
      </w:r>
      <w:r w:rsidRPr="007A35D9">
        <w:rPr>
          <w:lang w:eastAsia="zh-CN"/>
        </w:rPr>
        <w:t>3 600-3 800 MHz</w:t>
      </w:r>
      <w:r w:rsidRPr="007A35D9">
        <w:rPr>
          <w:lang w:eastAsia="ja-JP"/>
        </w:rPr>
        <w:t xml:space="preserve"> frequency </w:t>
      </w:r>
      <w:r w:rsidRPr="007A35D9">
        <w:rPr>
          <w:lang w:eastAsia="zh-CN"/>
        </w:rPr>
        <w:t xml:space="preserve">band </w:t>
      </w:r>
      <w:r w:rsidRPr="007A35D9">
        <w:rPr>
          <w:rFonts w:ascii="Times New Roman Bold" w:hAnsi="Times New Roman Bold"/>
          <w:lang w:eastAsia="zh-CN"/>
        </w:rPr>
        <w:t>and in adjacent bands</w:t>
      </w:r>
    </w:p>
    <w:p w14:paraId="74E26CA2" w14:textId="77777777" w:rsidR="00DB71FB" w:rsidRPr="007A35D9" w:rsidRDefault="00DB71FB" w:rsidP="001015C4">
      <w:pPr>
        <w:pStyle w:val="EditorsNote"/>
        <w:rPr>
          <w:rFonts w:eastAsia="MS Mincho"/>
          <w:lang w:eastAsia="zh-CN"/>
        </w:rPr>
      </w:pPr>
      <w:r w:rsidRPr="007A35D9">
        <w:rPr>
          <w:rFonts w:eastAsia="MS Mincho"/>
          <w:lang w:eastAsia="zh-CN"/>
        </w:rPr>
        <w:t>[Editor’s note: This section provides the service allocation information from the Radio Regulations in the frequency band</w:t>
      </w:r>
      <w:r w:rsidRPr="007A35D9">
        <w:rPr>
          <w:rFonts w:ascii="Times New Roman Bold" w:hAnsi="Times New Roman Bold"/>
          <w:bCs/>
          <w:lang w:eastAsia="zh-CN"/>
        </w:rPr>
        <w:t xml:space="preserve"> and in adjacent bands</w:t>
      </w:r>
      <w:r w:rsidRPr="007A35D9">
        <w:rPr>
          <w:rFonts w:eastAsia="MS Mincho"/>
          <w:lang w:eastAsia="zh-CN"/>
        </w:rPr>
        <w:t>.]</w:t>
      </w:r>
    </w:p>
    <w:tbl>
      <w:tblPr>
        <w:tblW w:w="9348" w:type="dxa"/>
        <w:jc w:val="center"/>
        <w:tblLayout w:type="fixed"/>
        <w:tblCellMar>
          <w:left w:w="107" w:type="dxa"/>
          <w:right w:w="107" w:type="dxa"/>
        </w:tblCellMar>
        <w:tblLook w:val="04A0" w:firstRow="1" w:lastRow="0" w:firstColumn="1" w:lastColumn="0" w:noHBand="0" w:noVBand="1"/>
      </w:tblPr>
      <w:tblGrid>
        <w:gridCol w:w="3091"/>
        <w:gridCol w:w="32"/>
        <w:gridCol w:w="3076"/>
        <w:gridCol w:w="24"/>
        <w:gridCol w:w="3125"/>
      </w:tblGrid>
      <w:tr w:rsidR="00DB71FB" w:rsidRPr="007A35D9" w14:paraId="02870EC5" w14:textId="77777777" w:rsidTr="00BD32B6">
        <w:trPr>
          <w:cantSplit/>
          <w:tblHeader/>
          <w:jc w:val="center"/>
        </w:trPr>
        <w:tc>
          <w:tcPr>
            <w:tcW w:w="9348" w:type="dxa"/>
            <w:gridSpan w:val="5"/>
            <w:tcBorders>
              <w:top w:val="single" w:sz="4" w:space="0" w:color="auto"/>
              <w:left w:val="single" w:sz="6" w:space="0" w:color="auto"/>
              <w:bottom w:val="single" w:sz="6" w:space="0" w:color="auto"/>
              <w:right w:val="single" w:sz="6" w:space="0" w:color="auto"/>
            </w:tcBorders>
          </w:tcPr>
          <w:p w14:paraId="2D6E7B90" w14:textId="77777777" w:rsidR="00DB71FB" w:rsidRPr="007A35D9" w:rsidRDefault="00DB71FB" w:rsidP="00BD32B6">
            <w:pPr>
              <w:pStyle w:val="Tablehead"/>
            </w:pPr>
            <w:r w:rsidRPr="007A35D9">
              <w:t>Allocation to services</w:t>
            </w:r>
          </w:p>
        </w:tc>
      </w:tr>
      <w:tr w:rsidR="00DB71FB" w:rsidRPr="007A35D9" w14:paraId="788EBDFC" w14:textId="77777777" w:rsidTr="00BD32B6">
        <w:tblPrEx>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PrEx>
        <w:trPr>
          <w:cantSplit/>
          <w:tblHeader/>
          <w:jc w:val="center"/>
        </w:trPr>
        <w:tc>
          <w:tcPr>
            <w:tcW w:w="3123" w:type="dxa"/>
            <w:gridSpan w:val="2"/>
            <w:tcBorders>
              <w:top w:val="single" w:sz="4" w:space="0" w:color="auto"/>
              <w:left w:val="single" w:sz="4" w:space="0" w:color="auto"/>
              <w:bottom w:val="single" w:sz="4" w:space="0" w:color="auto"/>
              <w:right w:val="single" w:sz="6" w:space="0" w:color="auto"/>
            </w:tcBorders>
          </w:tcPr>
          <w:p w14:paraId="124E4BAC" w14:textId="77777777" w:rsidR="00DB71FB" w:rsidRPr="007A35D9" w:rsidRDefault="00DB71FB" w:rsidP="00BD32B6">
            <w:pPr>
              <w:pStyle w:val="Tablehead"/>
            </w:pPr>
            <w:r w:rsidRPr="007A35D9">
              <w:t>Region 1</w:t>
            </w:r>
          </w:p>
        </w:tc>
        <w:tc>
          <w:tcPr>
            <w:tcW w:w="3100" w:type="dxa"/>
            <w:gridSpan w:val="2"/>
            <w:tcBorders>
              <w:top w:val="single" w:sz="4" w:space="0" w:color="auto"/>
              <w:left w:val="single" w:sz="6" w:space="0" w:color="auto"/>
              <w:bottom w:val="single" w:sz="4" w:space="0" w:color="auto"/>
              <w:right w:val="single" w:sz="6" w:space="0" w:color="auto"/>
            </w:tcBorders>
          </w:tcPr>
          <w:p w14:paraId="60B9D07D" w14:textId="77777777" w:rsidR="00DB71FB" w:rsidRPr="007A35D9" w:rsidRDefault="00DB71FB" w:rsidP="00BD32B6">
            <w:pPr>
              <w:pStyle w:val="Tablehead"/>
            </w:pPr>
            <w:r w:rsidRPr="007A35D9">
              <w:t>Region 2</w:t>
            </w:r>
          </w:p>
        </w:tc>
        <w:tc>
          <w:tcPr>
            <w:tcW w:w="3125" w:type="dxa"/>
            <w:tcBorders>
              <w:top w:val="single" w:sz="4" w:space="0" w:color="auto"/>
              <w:left w:val="single" w:sz="6" w:space="0" w:color="auto"/>
              <w:bottom w:val="single" w:sz="4" w:space="0" w:color="auto"/>
              <w:right w:val="single" w:sz="4" w:space="0" w:color="auto"/>
            </w:tcBorders>
          </w:tcPr>
          <w:p w14:paraId="5380356F" w14:textId="77777777" w:rsidR="00DB71FB" w:rsidRPr="007A35D9" w:rsidRDefault="00DB71FB" w:rsidP="00BD32B6">
            <w:pPr>
              <w:pStyle w:val="Tablehead"/>
            </w:pPr>
            <w:r w:rsidRPr="007A35D9">
              <w:t>Region 3</w:t>
            </w:r>
          </w:p>
        </w:tc>
      </w:tr>
      <w:tr w:rsidR="00DB71FB" w:rsidRPr="007A35D9" w14:paraId="5B7777A4" w14:textId="77777777" w:rsidTr="00BD32B6">
        <w:trPr>
          <w:cantSplit/>
          <w:jc w:val="center"/>
        </w:trPr>
        <w:tc>
          <w:tcPr>
            <w:tcW w:w="3091" w:type="dxa"/>
            <w:vMerge w:val="restart"/>
            <w:tcBorders>
              <w:top w:val="single" w:sz="4" w:space="0" w:color="auto"/>
              <w:left w:val="single" w:sz="4" w:space="0" w:color="auto"/>
              <w:bottom w:val="single" w:sz="4" w:space="0" w:color="auto"/>
              <w:right w:val="single" w:sz="4" w:space="0" w:color="auto"/>
            </w:tcBorders>
          </w:tcPr>
          <w:p w14:paraId="171B6483" w14:textId="77777777" w:rsidR="00DB71FB" w:rsidRPr="007A35D9" w:rsidRDefault="00DB71FB" w:rsidP="00BD32B6">
            <w:pPr>
              <w:pStyle w:val="Tabletext"/>
            </w:pPr>
            <w:r w:rsidRPr="007A35D9">
              <w:t>3 600-4 200</w:t>
            </w:r>
          </w:p>
          <w:p w14:paraId="10EBA1BA" w14:textId="77777777" w:rsidR="00DB71FB" w:rsidRPr="007A35D9" w:rsidRDefault="00DB71FB" w:rsidP="00BD32B6">
            <w:pPr>
              <w:pStyle w:val="Tabletext"/>
            </w:pPr>
            <w:r w:rsidRPr="007A35D9">
              <w:t>FIXED</w:t>
            </w:r>
          </w:p>
          <w:p w14:paraId="3AA80F86" w14:textId="77777777" w:rsidR="00DB71FB" w:rsidRPr="007A35D9" w:rsidRDefault="00DB71FB" w:rsidP="00BD32B6">
            <w:pPr>
              <w:pStyle w:val="Tabletext"/>
            </w:pPr>
            <w:r w:rsidRPr="007A35D9">
              <w:t>FIXED-SATELLITE</w:t>
            </w:r>
            <w:r w:rsidRPr="007A35D9">
              <w:br/>
              <w:t>(space-to-Earth)</w:t>
            </w:r>
          </w:p>
          <w:p w14:paraId="5C684EEF" w14:textId="77777777" w:rsidR="00DB71FB" w:rsidRPr="007A35D9" w:rsidRDefault="00DB71FB" w:rsidP="00BD32B6">
            <w:pPr>
              <w:pStyle w:val="Tabletext"/>
            </w:pPr>
            <w:r w:rsidRPr="007A35D9">
              <w:t>Mobile</w:t>
            </w:r>
          </w:p>
        </w:tc>
        <w:tc>
          <w:tcPr>
            <w:tcW w:w="3108" w:type="dxa"/>
            <w:gridSpan w:val="2"/>
            <w:tcBorders>
              <w:top w:val="single" w:sz="4" w:space="0" w:color="auto"/>
              <w:left w:val="single" w:sz="4" w:space="0" w:color="auto"/>
              <w:bottom w:val="single" w:sz="4" w:space="0" w:color="auto"/>
              <w:right w:val="single" w:sz="4" w:space="0" w:color="auto"/>
            </w:tcBorders>
          </w:tcPr>
          <w:p w14:paraId="28A91D10" w14:textId="77777777" w:rsidR="00DB71FB" w:rsidRPr="007A35D9" w:rsidRDefault="00DB71FB" w:rsidP="00BD32B6">
            <w:pPr>
              <w:pStyle w:val="Tabletext"/>
            </w:pPr>
            <w:r w:rsidRPr="007A35D9">
              <w:t>3 600-3 700</w:t>
            </w:r>
          </w:p>
          <w:p w14:paraId="7ACCBA69" w14:textId="77777777" w:rsidR="00DB71FB" w:rsidRPr="007A35D9" w:rsidRDefault="00DB71FB" w:rsidP="00BD32B6">
            <w:pPr>
              <w:pStyle w:val="Tabletext"/>
            </w:pPr>
            <w:r w:rsidRPr="007A35D9">
              <w:t>FIXED</w:t>
            </w:r>
          </w:p>
          <w:p w14:paraId="1B1858EA" w14:textId="77777777" w:rsidR="00DB71FB" w:rsidRPr="007A35D9" w:rsidRDefault="00DB71FB" w:rsidP="00BD32B6">
            <w:pPr>
              <w:pStyle w:val="Tabletext"/>
            </w:pPr>
            <w:r w:rsidRPr="007A35D9">
              <w:t>FIXED-SATELLITE (space-to-Earth)</w:t>
            </w:r>
          </w:p>
          <w:p w14:paraId="1017CBC6" w14:textId="77777777" w:rsidR="00DB71FB" w:rsidRPr="007A35D9" w:rsidRDefault="00DB71FB" w:rsidP="00BD32B6">
            <w:pPr>
              <w:pStyle w:val="Tabletext"/>
            </w:pPr>
            <w:r w:rsidRPr="007A35D9">
              <w:t>MOBILE except aeronautical mobile  5.434</w:t>
            </w:r>
          </w:p>
          <w:p w14:paraId="7BF11855" w14:textId="77777777" w:rsidR="00DB71FB" w:rsidRPr="007A35D9" w:rsidRDefault="00DB71FB" w:rsidP="00BD32B6">
            <w:pPr>
              <w:pStyle w:val="Tabletext"/>
            </w:pPr>
            <w:r w:rsidRPr="007A35D9">
              <w:t>Radiolocation  5.433</w:t>
            </w:r>
          </w:p>
        </w:tc>
        <w:tc>
          <w:tcPr>
            <w:tcW w:w="3149" w:type="dxa"/>
            <w:gridSpan w:val="2"/>
            <w:tcBorders>
              <w:top w:val="single" w:sz="4" w:space="0" w:color="auto"/>
              <w:left w:val="single" w:sz="4" w:space="0" w:color="auto"/>
              <w:bottom w:val="single" w:sz="4" w:space="0" w:color="auto"/>
              <w:right w:val="single" w:sz="4" w:space="0" w:color="auto"/>
            </w:tcBorders>
          </w:tcPr>
          <w:p w14:paraId="6B3F77ED" w14:textId="77777777" w:rsidR="00DB71FB" w:rsidRPr="007A35D9" w:rsidRDefault="00DB71FB" w:rsidP="00BD32B6">
            <w:pPr>
              <w:pStyle w:val="Tabletext"/>
            </w:pPr>
            <w:r w:rsidRPr="007A35D9">
              <w:t>3 600-3 700</w:t>
            </w:r>
          </w:p>
          <w:p w14:paraId="7CE8B375" w14:textId="77777777" w:rsidR="00DB71FB" w:rsidRPr="007A35D9" w:rsidRDefault="00DB71FB" w:rsidP="00BD32B6">
            <w:pPr>
              <w:pStyle w:val="Tabletext"/>
            </w:pPr>
            <w:r w:rsidRPr="007A35D9">
              <w:t>FIXED</w:t>
            </w:r>
          </w:p>
          <w:p w14:paraId="06399328" w14:textId="77777777" w:rsidR="00DB71FB" w:rsidRPr="007A35D9" w:rsidRDefault="00DB71FB" w:rsidP="00BD32B6">
            <w:pPr>
              <w:pStyle w:val="Tabletext"/>
            </w:pPr>
            <w:r w:rsidRPr="007A35D9">
              <w:t>FIXED-SATELLITE (space-to-Earth)</w:t>
            </w:r>
          </w:p>
          <w:p w14:paraId="69CF1E8D" w14:textId="77777777" w:rsidR="00DB71FB" w:rsidRPr="007A35D9" w:rsidRDefault="00DB71FB" w:rsidP="00BD32B6">
            <w:pPr>
              <w:pStyle w:val="Tabletext"/>
            </w:pPr>
            <w:r w:rsidRPr="007A35D9">
              <w:t>MOBILE except aeronautical mobile</w:t>
            </w:r>
          </w:p>
          <w:p w14:paraId="49D3E9D4" w14:textId="77777777" w:rsidR="00DB71FB" w:rsidRPr="007A35D9" w:rsidRDefault="00DB71FB" w:rsidP="00BD32B6">
            <w:pPr>
              <w:pStyle w:val="Tabletext"/>
            </w:pPr>
            <w:r w:rsidRPr="007A35D9">
              <w:t>Radiolocation</w:t>
            </w:r>
          </w:p>
          <w:p w14:paraId="61BE455A" w14:textId="77777777" w:rsidR="00DB71FB" w:rsidRPr="007A35D9" w:rsidRDefault="00DB71FB" w:rsidP="00BD32B6">
            <w:pPr>
              <w:pStyle w:val="Tabletext"/>
            </w:pPr>
            <w:r w:rsidRPr="007A35D9">
              <w:t>5.435</w:t>
            </w:r>
          </w:p>
        </w:tc>
      </w:tr>
      <w:tr w:rsidR="00DB71FB" w:rsidRPr="007A35D9" w14:paraId="733B95A5" w14:textId="77777777" w:rsidTr="00BD32B6">
        <w:trPr>
          <w:cantSplit/>
          <w:jc w:val="center"/>
        </w:trPr>
        <w:tc>
          <w:tcPr>
            <w:tcW w:w="3091" w:type="dxa"/>
            <w:vMerge/>
            <w:tcBorders>
              <w:top w:val="single" w:sz="4" w:space="0" w:color="auto"/>
              <w:left w:val="single" w:sz="4" w:space="0" w:color="auto"/>
              <w:bottom w:val="single" w:sz="4" w:space="0" w:color="auto"/>
              <w:right w:val="single" w:sz="4" w:space="0" w:color="auto"/>
            </w:tcBorders>
          </w:tcPr>
          <w:p w14:paraId="1135C8A4" w14:textId="77777777" w:rsidR="00DB71FB" w:rsidRPr="007A35D9" w:rsidRDefault="00DB71FB" w:rsidP="00BD32B6">
            <w:pPr>
              <w:pStyle w:val="Tabletext"/>
            </w:pPr>
          </w:p>
        </w:tc>
        <w:tc>
          <w:tcPr>
            <w:tcW w:w="6257" w:type="dxa"/>
            <w:gridSpan w:val="4"/>
            <w:tcBorders>
              <w:top w:val="single" w:sz="4" w:space="0" w:color="auto"/>
              <w:left w:val="single" w:sz="4" w:space="0" w:color="auto"/>
              <w:bottom w:val="single" w:sz="6" w:space="0" w:color="auto"/>
              <w:right w:val="single" w:sz="6" w:space="0" w:color="auto"/>
            </w:tcBorders>
          </w:tcPr>
          <w:p w14:paraId="575EEAEF" w14:textId="77777777" w:rsidR="00DB71FB" w:rsidRPr="007A35D9" w:rsidRDefault="00DB71FB" w:rsidP="00BD32B6">
            <w:pPr>
              <w:pStyle w:val="Tabletext"/>
            </w:pPr>
            <w:r w:rsidRPr="007A35D9">
              <w:t>3 700-4 200</w:t>
            </w:r>
          </w:p>
          <w:p w14:paraId="6F67A4DE" w14:textId="77777777" w:rsidR="00DB71FB" w:rsidRPr="007A35D9" w:rsidRDefault="00DB71FB" w:rsidP="00BD32B6">
            <w:pPr>
              <w:pStyle w:val="Tabletext"/>
            </w:pPr>
            <w:r w:rsidRPr="007A35D9">
              <w:t>FIXED</w:t>
            </w:r>
          </w:p>
          <w:p w14:paraId="762CD4E0" w14:textId="77777777" w:rsidR="00DB71FB" w:rsidRPr="007A35D9" w:rsidRDefault="00DB71FB" w:rsidP="00BD32B6">
            <w:pPr>
              <w:pStyle w:val="Tabletext"/>
            </w:pPr>
            <w:r w:rsidRPr="007A35D9">
              <w:t>FIXED-SATELLITE (space-to-Earth)</w:t>
            </w:r>
          </w:p>
          <w:p w14:paraId="30EF9BDF" w14:textId="77777777" w:rsidR="00DB71FB" w:rsidRPr="007A35D9" w:rsidRDefault="00DB71FB" w:rsidP="00BD32B6">
            <w:pPr>
              <w:pStyle w:val="Tabletext"/>
            </w:pPr>
            <w:r w:rsidRPr="007A35D9">
              <w:t>MOBILE except aeronautical mobile</w:t>
            </w:r>
          </w:p>
        </w:tc>
      </w:tr>
    </w:tbl>
    <w:p w14:paraId="4FE8E0C3" w14:textId="77777777" w:rsidR="00DB71FB" w:rsidRPr="007A35D9" w:rsidRDefault="00DB71FB" w:rsidP="00DB71FB">
      <w:pPr>
        <w:rPr>
          <w:rFonts w:eastAsia="MS Mincho"/>
          <w:lang w:eastAsia="zh-CN"/>
        </w:rPr>
      </w:pPr>
    </w:p>
    <w:p w14:paraId="34038291" w14:textId="77777777" w:rsidR="00DB71FB" w:rsidRPr="007A35D9" w:rsidRDefault="00DB71FB" w:rsidP="00DB71FB">
      <w:pPr>
        <w:pStyle w:val="Heading1"/>
      </w:pPr>
      <w:bookmarkStart w:id="9" w:name="_Toc20141750"/>
      <w:r w:rsidRPr="007A35D9">
        <w:t>3</w:t>
      </w:r>
      <w:r w:rsidRPr="007A35D9">
        <w:tab/>
        <w:t>Review of existing ITU-R Recommendations and Reports</w:t>
      </w:r>
    </w:p>
    <w:p w14:paraId="05B4B378" w14:textId="77777777" w:rsidR="00DB71FB" w:rsidRPr="007A35D9" w:rsidRDefault="00DB71FB" w:rsidP="00DB71FB">
      <w:pPr>
        <w:rPr>
          <w:lang w:eastAsia="zh-CN"/>
        </w:rPr>
      </w:pPr>
      <w:r w:rsidRPr="007A35D9">
        <w:rPr>
          <w:lang w:eastAsia="zh-CN"/>
        </w:rPr>
        <w:t xml:space="preserve">[Editor’s note: This section contains a review of existing ITU deliverables addressing coexistence of Mobile services with FSS or FS in the band </w:t>
      </w:r>
      <w:r w:rsidRPr="007A35D9">
        <w:rPr>
          <w:rFonts w:ascii="Times New Roman Bold" w:hAnsi="Times New Roman Bold"/>
          <w:bCs/>
          <w:lang w:eastAsia="zh-CN"/>
        </w:rPr>
        <w:t>and in adjacent bands</w:t>
      </w:r>
      <w:r w:rsidRPr="007A35D9">
        <w:rPr>
          <w:lang w:eastAsia="zh-CN"/>
        </w:rPr>
        <w:t>]</w:t>
      </w:r>
    </w:p>
    <w:p w14:paraId="0055BE51" w14:textId="77777777" w:rsidR="00DB71FB" w:rsidRPr="007A35D9" w:rsidRDefault="00DB71FB" w:rsidP="00DB71FB">
      <w:pPr>
        <w:pStyle w:val="Heading2"/>
        <w:rPr>
          <w:rFonts w:eastAsia="SimSun"/>
          <w:lang w:eastAsia="zh-CN"/>
        </w:rPr>
      </w:pPr>
      <w:r w:rsidRPr="007A35D9">
        <w:rPr>
          <w:rFonts w:eastAsia="SimSun"/>
        </w:rPr>
        <w:t>3.1</w:t>
      </w:r>
      <w:r w:rsidRPr="007A35D9">
        <w:rPr>
          <w:rFonts w:eastAsia="SimSun"/>
        </w:rPr>
        <w:tab/>
      </w:r>
      <w:r w:rsidRPr="007A35D9">
        <w:rPr>
          <w:rFonts w:eastAsia="SimSun"/>
          <w:lang w:eastAsia="zh-CN"/>
        </w:rPr>
        <w:t>The review of study history in ITU</w:t>
      </w:r>
    </w:p>
    <w:p w14:paraId="7472D3FB" w14:textId="77777777" w:rsidR="00DB71FB" w:rsidRPr="007A35D9" w:rsidRDefault="00DB71FB" w:rsidP="00DB71FB">
      <w:pPr>
        <w:rPr>
          <w:rFonts w:eastAsia="SimSun"/>
          <w:lang w:eastAsia="zh-CN"/>
        </w:rPr>
      </w:pPr>
      <w:r w:rsidRPr="007A35D9">
        <w:rPr>
          <w:rFonts w:eastAsia="SimSun"/>
          <w:lang w:eastAsia="zh-CN"/>
        </w:rPr>
        <w:t>The frequency band 3 400-4 200MHz has been studied in several WRC agenda items previously in ITU-R for possible mobile service allocation and/or IMT identification. The Table 1 below summarized the review of study history in ITU.</w:t>
      </w:r>
    </w:p>
    <w:p w14:paraId="743B4AFA" w14:textId="77777777" w:rsidR="00DB71FB" w:rsidRPr="007A35D9" w:rsidRDefault="00DB71FB" w:rsidP="006538C2">
      <w:pPr>
        <w:pStyle w:val="TableNo"/>
        <w:rPr>
          <w:lang w:eastAsia="zh-CN"/>
        </w:rPr>
      </w:pPr>
      <w:r w:rsidRPr="007A35D9">
        <w:lastRenderedPageBreak/>
        <w:t xml:space="preserve">TABLE </w:t>
      </w:r>
      <w:r w:rsidRPr="007A35D9">
        <w:rPr>
          <w:lang w:eastAsia="zh-CN"/>
        </w:rPr>
        <w:t>1</w:t>
      </w:r>
    </w:p>
    <w:p w14:paraId="21B85EB8" w14:textId="77777777" w:rsidR="00DB71FB" w:rsidRPr="007A35D9" w:rsidRDefault="00DB71FB" w:rsidP="00DB71FB">
      <w:pPr>
        <w:pStyle w:val="Tabletitle"/>
        <w:rPr>
          <w:lang w:eastAsia="zh-CN"/>
        </w:rPr>
      </w:pPr>
      <w:r w:rsidRPr="007A35D9">
        <w:rPr>
          <w:lang w:eastAsia="zh-CN"/>
        </w:rPr>
        <w:t>Review of study history in ITU</w:t>
      </w:r>
    </w:p>
    <w:tbl>
      <w:tblPr>
        <w:tblStyle w:val="TableGrid"/>
        <w:tblW w:w="9639" w:type="dxa"/>
        <w:tblLook w:val="04A0" w:firstRow="1" w:lastRow="0" w:firstColumn="1" w:lastColumn="0" w:noHBand="0" w:noVBand="1"/>
      </w:tblPr>
      <w:tblGrid>
        <w:gridCol w:w="1206"/>
        <w:gridCol w:w="1518"/>
        <w:gridCol w:w="3039"/>
        <w:gridCol w:w="2171"/>
        <w:gridCol w:w="1705"/>
      </w:tblGrid>
      <w:tr w:rsidR="00DB71FB" w:rsidRPr="007A35D9" w14:paraId="19D5E87B" w14:textId="77777777" w:rsidTr="006538C2">
        <w:trPr>
          <w:tblHeader/>
        </w:trPr>
        <w:tc>
          <w:tcPr>
            <w:tcW w:w="630" w:type="pct"/>
            <w:tcBorders>
              <w:top w:val="single" w:sz="4" w:space="0" w:color="auto"/>
              <w:left w:val="single" w:sz="4" w:space="0" w:color="auto"/>
              <w:bottom w:val="single" w:sz="4" w:space="0" w:color="auto"/>
              <w:right w:val="single" w:sz="4" w:space="0" w:color="auto"/>
            </w:tcBorders>
            <w:vAlign w:val="center"/>
            <w:hideMark/>
          </w:tcPr>
          <w:p w14:paraId="39168319" w14:textId="77777777" w:rsidR="00DB71FB" w:rsidRPr="007A35D9" w:rsidRDefault="00DB71FB" w:rsidP="00BD32B6">
            <w:pPr>
              <w:pStyle w:val="Tablehead"/>
              <w:rPr>
                <w:lang w:eastAsia="zh-CN"/>
              </w:rPr>
            </w:pPr>
            <w:r w:rsidRPr="007A35D9">
              <w:rPr>
                <w:lang w:eastAsia="zh-CN"/>
              </w:rPr>
              <w:t>Frequency bands</w:t>
            </w:r>
          </w:p>
        </w:tc>
        <w:tc>
          <w:tcPr>
            <w:tcW w:w="792" w:type="pct"/>
            <w:tcBorders>
              <w:top w:val="single" w:sz="4" w:space="0" w:color="auto"/>
              <w:left w:val="single" w:sz="4" w:space="0" w:color="auto"/>
              <w:bottom w:val="single" w:sz="4" w:space="0" w:color="auto"/>
              <w:right w:val="single" w:sz="4" w:space="0" w:color="auto"/>
            </w:tcBorders>
            <w:vAlign w:val="center"/>
            <w:hideMark/>
          </w:tcPr>
          <w:p w14:paraId="2FB03026" w14:textId="77777777" w:rsidR="00DB71FB" w:rsidRPr="007A35D9" w:rsidRDefault="00DB71FB" w:rsidP="00BD32B6">
            <w:pPr>
              <w:pStyle w:val="Tablehead"/>
              <w:rPr>
                <w:lang w:eastAsia="zh-CN"/>
              </w:rPr>
            </w:pPr>
            <w:r w:rsidRPr="007A35D9">
              <w:rPr>
                <w:lang w:eastAsia="zh-CN"/>
              </w:rPr>
              <w:t>WRC agenda item</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533E205" w14:textId="77777777" w:rsidR="00DB71FB" w:rsidRPr="007A35D9" w:rsidRDefault="00DB71FB" w:rsidP="00BD32B6">
            <w:pPr>
              <w:pStyle w:val="Tablehead"/>
              <w:rPr>
                <w:lang w:eastAsia="zh-CN"/>
              </w:rPr>
            </w:pPr>
            <w:r w:rsidRPr="007A35D9">
              <w:rPr>
                <w:lang w:eastAsia="zh-CN"/>
              </w:rPr>
              <w:t>Content</w:t>
            </w:r>
          </w:p>
        </w:tc>
        <w:tc>
          <w:tcPr>
            <w:tcW w:w="1131" w:type="pct"/>
            <w:tcBorders>
              <w:top w:val="single" w:sz="4" w:space="0" w:color="auto"/>
              <w:left w:val="single" w:sz="4" w:space="0" w:color="auto"/>
              <w:bottom w:val="single" w:sz="4" w:space="0" w:color="auto"/>
              <w:right w:val="single" w:sz="4" w:space="0" w:color="auto"/>
            </w:tcBorders>
            <w:vAlign w:val="center"/>
            <w:hideMark/>
          </w:tcPr>
          <w:p w14:paraId="0272A6D9" w14:textId="77777777" w:rsidR="00DB71FB" w:rsidRPr="007A35D9" w:rsidRDefault="00DB71FB" w:rsidP="00BD32B6">
            <w:pPr>
              <w:pStyle w:val="Tablehead"/>
              <w:rPr>
                <w:lang w:eastAsia="zh-CN"/>
              </w:rPr>
            </w:pPr>
            <w:r w:rsidRPr="007A35D9">
              <w:rPr>
                <w:lang w:eastAsia="zh-CN"/>
              </w:rPr>
              <w:t>Related Resolution</w:t>
            </w:r>
          </w:p>
        </w:tc>
        <w:tc>
          <w:tcPr>
            <w:tcW w:w="865" w:type="pct"/>
            <w:tcBorders>
              <w:top w:val="single" w:sz="4" w:space="0" w:color="auto"/>
              <w:left w:val="single" w:sz="4" w:space="0" w:color="auto"/>
              <w:bottom w:val="single" w:sz="4" w:space="0" w:color="auto"/>
              <w:right w:val="single" w:sz="4" w:space="0" w:color="auto"/>
            </w:tcBorders>
            <w:vAlign w:val="center"/>
            <w:hideMark/>
          </w:tcPr>
          <w:p w14:paraId="03777BD2" w14:textId="77777777" w:rsidR="00DB71FB" w:rsidRPr="007A35D9" w:rsidRDefault="00DB71FB" w:rsidP="00BD32B6">
            <w:pPr>
              <w:pStyle w:val="Tablehead"/>
              <w:rPr>
                <w:lang w:eastAsia="zh-CN"/>
              </w:rPr>
            </w:pPr>
            <w:r w:rsidRPr="007A35D9">
              <w:rPr>
                <w:lang w:eastAsia="zh-CN"/>
              </w:rPr>
              <w:t>Study results in CPM</w:t>
            </w:r>
          </w:p>
        </w:tc>
      </w:tr>
      <w:tr w:rsidR="00DB71FB" w:rsidRPr="007A35D9" w14:paraId="0FE44842" w14:textId="77777777" w:rsidTr="006538C2">
        <w:tc>
          <w:tcPr>
            <w:tcW w:w="630" w:type="pct"/>
            <w:tcBorders>
              <w:top w:val="single" w:sz="4" w:space="0" w:color="auto"/>
              <w:left w:val="single" w:sz="4" w:space="0" w:color="auto"/>
              <w:bottom w:val="single" w:sz="4" w:space="0" w:color="auto"/>
              <w:right w:val="single" w:sz="4" w:space="0" w:color="auto"/>
            </w:tcBorders>
            <w:vAlign w:val="center"/>
            <w:hideMark/>
          </w:tcPr>
          <w:p w14:paraId="3E448234" w14:textId="77777777" w:rsidR="00DB71FB" w:rsidRPr="007A35D9" w:rsidRDefault="00DB71FB" w:rsidP="00BD32B6">
            <w:pPr>
              <w:pStyle w:val="Tabletext"/>
            </w:pPr>
            <w:r w:rsidRPr="007A35D9">
              <w:rPr>
                <w:lang w:eastAsia="zh-CN"/>
              </w:rPr>
              <w:t>3 400-4 200 MHz</w:t>
            </w:r>
          </w:p>
        </w:tc>
        <w:tc>
          <w:tcPr>
            <w:tcW w:w="792" w:type="pct"/>
            <w:tcBorders>
              <w:top w:val="single" w:sz="4" w:space="0" w:color="auto"/>
              <w:left w:val="single" w:sz="4" w:space="0" w:color="auto"/>
              <w:bottom w:val="single" w:sz="4" w:space="0" w:color="auto"/>
              <w:right w:val="single" w:sz="4" w:space="0" w:color="auto"/>
            </w:tcBorders>
            <w:vAlign w:val="center"/>
            <w:hideMark/>
          </w:tcPr>
          <w:p w14:paraId="6543D314" w14:textId="77777777" w:rsidR="00DB71FB" w:rsidRPr="007A35D9" w:rsidRDefault="00DB71FB" w:rsidP="00BD32B6">
            <w:pPr>
              <w:pStyle w:val="Tabletext"/>
            </w:pPr>
            <w:r w:rsidRPr="007A35D9">
              <w:rPr>
                <w:lang w:eastAsia="zh-CN"/>
              </w:rPr>
              <w:t>WRC-07 1.4</w:t>
            </w:r>
          </w:p>
        </w:tc>
        <w:tc>
          <w:tcPr>
            <w:tcW w:w="1581" w:type="pct"/>
            <w:tcBorders>
              <w:top w:val="single" w:sz="4" w:space="0" w:color="auto"/>
              <w:left w:val="single" w:sz="4" w:space="0" w:color="auto"/>
              <w:bottom w:val="single" w:sz="4" w:space="0" w:color="auto"/>
              <w:right w:val="single" w:sz="4" w:space="0" w:color="auto"/>
            </w:tcBorders>
            <w:vAlign w:val="center"/>
            <w:hideMark/>
          </w:tcPr>
          <w:p w14:paraId="760581AD" w14:textId="77777777" w:rsidR="00DB71FB" w:rsidRPr="007A35D9" w:rsidRDefault="00DB71FB" w:rsidP="00BD32B6">
            <w:pPr>
              <w:pStyle w:val="Tabletext"/>
            </w:pPr>
            <w:r w:rsidRPr="007A35D9">
              <w:t>to consider frequency-related matters for the future development of IMT-2000 and systems</w:t>
            </w:r>
            <w:r w:rsidRPr="007A35D9">
              <w:rPr>
                <w:lang w:eastAsia="zh-CN"/>
              </w:rPr>
              <w:t xml:space="preserve"> </w:t>
            </w:r>
            <w:r w:rsidRPr="007A35D9">
              <w:t xml:space="preserve">beyond IMT-2000 </w:t>
            </w:r>
            <w:proofErr w:type="gramStart"/>
            <w:r w:rsidRPr="007A35D9">
              <w:t>taking into account</w:t>
            </w:r>
            <w:proofErr w:type="gramEnd"/>
            <w:r w:rsidRPr="007A35D9">
              <w:t xml:space="preserve"> the results of ITU-R studies in accordance with</w:t>
            </w:r>
            <w:r w:rsidRPr="007A35D9">
              <w:rPr>
                <w:lang w:eastAsia="zh-CN"/>
              </w:rPr>
              <w:t xml:space="preserve"> </w:t>
            </w:r>
            <w:r w:rsidRPr="007A35D9">
              <w:t xml:space="preserve">Resolution </w:t>
            </w:r>
            <w:r w:rsidRPr="007A35D9">
              <w:rPr>
                <w:b/>
                <w:bCs/>
              </w:rPr>
              <w:t>228 (Rev.WRC-03)</w:t>
            </w:r>
          </w:p>
        </w:tc>
        <w:tc>
          <w:tcPr>
            <w:tcW w:w="1131" w:type="pct"/>
            <w:tcBorders>
              <w:top w:val="single" w:sz="4" w:space="0" w:color="auto"/>
              <w:left w:val="single" w:sz="4" w:space="0" w:color="auto"/>
              <w:bottom w:val="single" w:sz="4" w:space="0" w:color="auto"/>
              <w:right w:val="single" w:sz="4" w:space="0" w:color="auto"/>
            </w:tcBorders>
            <w:vAlign w:val="center"/>
            <w:hideMark/>
          </w:tcPr>
          <w:p w14:paraId="4C4CBAC4" w14:textId="77777777" w:rsidR="00DB71FB" w:rsidRPr="007A35D9" w:rsidRDefault="00DB71FB" w:rsidP="00BD32B6">
            <w:pPr>
              <w:pStyle w:val="Tabletext"/>
              <w:rPr>
                <w:lang w:eastAsia="zh-CN"/>
              </w:rPr>
            </w:pPr>
            <w:r w:rsidRPr="007A35D9">
              <w:t xml:space="preserve">Resolution </w:t>
            </w:r>
            <w:r w:rsidRPr="007A35D9">
              <w:rPr>
                <w:b/>
                <w:bCs/>
              </w:rPr>
              <w:t>228 (Rev.WRC-03)</w:t>
            </w:r>
            <w:r w:rsidRPr="007A35D9">
              <w:t xml:space="preserve"> – Studies on frequency-related matters for the future development</w:t>
            </w:r>
            <w:r w:rsidRPr="007A35D9">
              <w:rPr>
                <w:lang w:eastAsia="zh-CN"/>
              </w:rPr>
              <w:t xml:space="preserve"> </w:t>
            </w:r>
            <w:r w:rsidRPr="007A35D9">
              <w:t>of IMT-2000 and systems beyond IMT-2000 as defined by ITU-R</w:t>
            </w:r>
          </w:p>
        </w:tc>
        <w:tc>
          <w:tcPr>
            <w:tcW w:w="865" w:type="pct"/>
            <w:tcBorders>
              <w:top w:val="single" w:sz="4" w:space="0" w:color="auto"/>
              <w:left w:val="single" w:sz="4" w:space="0" w:color="auto"/>
              <w:bottom w:val="single" w:sz="4" w:space="0" w:color="auto"/>
              <w:right w:val="single" w:sz="4" w:space="0" w:color="auto"/>
            </w:tcBorders>
            <w:vAlign w:val="center"/>
            <w:hideMark/>
          </w:tcPr>
          <w:p w14:paraId="36A5C0DA" w14:textId="77777777" w:rsidR="00DB71FB" w:rsidRPr="007A35D9" w:rsidRDefault="00DB71FB" w:rsidP="00BD32B6">
            <w:pPr>
              <w:pStyle w:val="Tabletext"/>
              <w:rPr>
                <w:lang w:eastAsia="zh-CN"/>
              </w:rPr>
            </w:pPr>
            <w:r w:rsidRPr="007A35D9">
              <w:rPr>
                <w:lang w:eastAsia="zh-CN"/>
              </w:rPr>
              <w:t>1/1.4/4.2 Summary of technical and operational studies and relevant ITU-R Recommendations and Reports</w:t>
            </w:r>
          </w:p>
        </w:tc>
      </w:tr>
      <w:tr w:rsidR="00DB71FB" w:rsidRPr="007A35D9" w14:paraId="675E5CC4" w14:textId="77777777" w:rsidTr="006538C2">
        <w:tc>
          <w:tcPr>
            <w:tcW w:w="630" w:type="pct"/>
            <w:tcBorders>
              <w:top w:val="single" w:sz="4" w:space="0" w:color="auto"/>
              <w:left w:val="single" w:sz="4" w:space="0" w:color="auto"/>
              <w:bottom w:val="single" w:sz="4" w:space="0" w:color="auto"/>
              <w:right w:val="single" w:sz="4" w:space="0" w:color="auto"/>
            </w:tcBorders>
            <w:vAlign w:val="center"/>
            <w:hideMark/>
          </w:tcPr>
          <w:p w14:paraId="43B4D661" w14:textId="77777777" w:rsidR="00DB71FB" w:rsidRPr="007A35D9" w:rsidRDefault="00DB71FB" w:rsidP="00BD32B6">
            <w:pPr>
              <w:pStyle w:val="Tabletext"/>
            </w:pPr>
            <w:r w:rsidRPr="007A35D9">
              <w:rPr>
                <w:lang w:eastAsia="zh-CN"/>
              </w:rPr>
              <w:t>3 400-4 200 MHz</w:t>
            </w:r>
          </w:p>
        </w:tc>
        <w:tc>
          <w:tcPr>
            <w:tcW w:w="792" w:type="pct"/>
            <w:tcBorders>
              <w:top w:val="single" w:sz="4" w:space="0" w:color="auto"/>
              <w:left w:val="single" w:sz="4" w:space="0" w:color="auto"/>
              <w:bottom w:val="single" w:sz="4" w:space="0" w:color="auto"/>
              <w:right w:val="single" w:sz="4" w:space="0" w:color="auto"/>
            </w:tcBorders>
            <w:vAlign w:val="center"/>
            <w:hideMark/>
          </w:tcPr>
          <w:p w14:paraId="0B912F3E" w14:textId="77777777" w:rsidR="00DB71FB" w:rsidRPr="007A35D9" w:rsidRDefault="00DB71FB" w:rsidP="00BD32B6">
            <w:pPr>
              <w:pStyle w:val="Tabletext"/>
            </w:pPr>
            <w:r w:rsidRPr="007A35D9">
              <w:rPr>
                <w:lang w:eastAsia="zh-CN"/>
              </w:rPr>
              <w:t>WRC-15 1.1</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BCE157E" w14:textId="77777777" w:rsidR="00DB71FB" w:rsidRPr="007A35D9" w:rsidRDefault="00DB71FB" w:rsidP="00BD32B6">
            <w:pPr>
              <w:pStyle w:val="Tabletext"/>
            </w:pPr>
            <w:r w:rsidRPr="007A35D9">
              <w:t>to consider additional spectrum allocations to the mobile service on</w:t>
            </w:r>
            <w:r w:rsidRPr="007A35D9">
              <w:rPr>
                <w:lang w:eastAsia="zh-CN"/>
              </w:rPr>
              <w:t xml:space="preserve"> </w:t>
            </w:r>
            <w:r w:rsidRPr="007A35D9">
              <w:t>a primary basis and identification of additional frequency bands for</w:t>
            </w:r>
            <w:r w:rsidRPr="007A35D9">
              <w:rPr>
                <w:lang w:eastAsia="zh-CN"/>
              </w:rPr>
              <w:t xml:space="preserve"> </w:t>
            </w:r>
            <w:r w:rsidRPr="007A35D9">
              <w:t>International Mobile Telecommunications (IMT) and related regulatory</w:t>
            </w:r>
            <w:r w:rsidRPr="007A35D9">
              <w:rPr>
                <w:lang w:eastAsia="zh-CN"/>
              </w:rPr>
              <w:t xml:space="preserve"> </w:t>
            </w:r>
            <w:r w:rsidRPr="007A35D9">
              <w:t>provisions, to facilitate the development of terrestrial mobile broadband</w:t>
            </w:r>
            <w:r w:rsidRPr="007A35D9">
              <w:rPr>
                <w:lang w:eastAsia="zh-CN"/>
              </w:rPr>
              <w:t xml:space="preserve"> </w:t>
            </w:r>
            <w:r w:rsidRPr="007A35D9">
              <w:t xml:space="preserve">applications, in accordance with Resolution </w:t>
            </w:r>
            <w:r w:rsidRPr="007A35D9">
              <w:rPr>
                <w:b/>
                <w:bCs/>
              </w:rPr>
              <w:t>233 (WRC-12)</w:t>
            </w:r>
            <w:r w:rsidRPr="007A35D9">
              <w:t>;</w:t>
            </w:r>
          </w:p>
        </w:tc>
        <w:tc>
          <w:tcPr>
            <w:tcW w:w="1131" w:type="pct"/>
            <w:tcBorders>
              <w:top w:val="single" w:sz="4" w:space="0" w:color="auto"/>
              <w:left w:val="single" w:sz="4" w:space="0" w:color="auto"/>
              <w:bottom w:val="single" w:sz="4" w:space="0" w:color="auto"/>
              <w:right w:val="single" w:sz="4" w:space="0" w:color="auto"/>
            </w:tcBorders>
            <w:vAlign w:val="center"/>
            <w:hideMark/>
          </w:tcPr>
          <w:p w14:paraId="0C1B76EA" w14:textId="77777777" w:rsidR="00DB71FB" w:rsidRPr="007A35D9" w:rsidRDefault="00DB71FB" w:rsidP="00BD32B6">
            <w:pPr>
              <w:pStyle w:val="Tabletext"/>
            </w:pPr>
            <w:r w:rsidRPr="007A35D9">
              <w:rPr>
                <w:lang w:eastAsia="zh-CN"/>
              </w:rPr>
              <w:t>Resolution</w:t>
            </w:r>
            <w:r w:rsidRPr="007A35D9">
              <w:t xml:space="preserve"> </w:t>
            </w:r>
            <w:r w:rsidRPr="007A35D9">
              <w:rPr>
                <w:b/>
                <w:bCs/>
              </w:rPr>
              <w:t>233 (WRC-12)</w:t>
            </w:r>
            <w:r w:rsidRPr="007A35D9">
              <w:t xml:space="preserve"> –</w:t>
            </w:r>
            <w:r w:rsidRPr="007A35D9">
              <w:rPr>
                <w:lang w:eastAsia="zh-CN"/>
              </w:rPr>
              <w:t xml:space="preserve"> </w:t>
            </w:r>
            <w:r w:rsidRPr="007A35D9">
              <w:t>Studies on frequency-related matters on International Mobile</w:t>
            </w:r>
            <w:r w:rsidRPr="007A35D9">
              <w:rPr>
                <w:lang w:eastAsia="zh-CN"/>
              </w:rPr>
              <w:t xml:space="preserve"> </w:t>
            </w:r>
            <w:r w:rsidRPr="007A35D9">
              <w:t>Telecommunications and other terrestrial</w:t>
            </w:r>
            <w:r w:rsidRPr="007A35D9">
              <w:rPr>
                <w:lang w:eastAsia="zh-CN"/>
              </w:rPr>
              <w:t xml:space="preserve"> </w:t>
            </w:r>
            <w:r w:rsidRPr="007A35D9">
              <w:t>mobile broadband applications</w:t>
            </w:r>
          </w:p>
        </w:tc>
        <w:tc>
          <w:tcPr>
            <w:tcW w:w="865" w:type="pct"/>
            <w:tcBorders>
              <w:top w:val="single" w:sz="4" w:space="0" w:color="auto"/>
              <w:left w:val="single" w:sz="4" w:space="0" w:color="auto"/>
              <w:bottom w:val="single" w:sz="4" w:space="0" w:color="auto"/>
              <w:right w:val="single" w:sz="4" w:space="0" w:color="auto"/>
            </w:tcBorders>
            <w:vAlign w:val="center"/>
            <w:hideMark/>
          </w:tcPr>
          <w:p w14:paraId="14ADB751" w14:textId="77777777" w:rsidR="00DB71FB" w:rsidRPr="007A35D9" w:rsidRDefault="00DB71FB" w:rsidP="00BD32B6">
            <w:pPr>
              <w:pStyle w:val="Tabletext"/>
              <w:rPr>
                <w:lang w:eastAsia="zh-CN"/>
              </w:rPr>
            </w:pPr>
            <w:commentRangeStart w:id="10"/>
            <w:r w:rsidRPr="007A35D9">
              <w:rPr>
                <w:lang w:eastAsia="zh-CN"/>
              </w:rPr>
              <w:t>1/1.1/4.1.8 Frequency bands within the range 3 400-4 200 MHz</w:t>
            </w:r>
            <w:commentRangeEnd w:id="10"/>
            <w:r w:rsidRPr="007A35D9">
              <w:rPr>
                <w:rStyle w:val="CommentReference"/>
              </w:rPr>
              <w:commentReference w:id="10"/>
            </w:r>
          </w:p>
        </w:tc>
      </w:tr>
      <w:tr w:rsidR="00DB71FB" w:rsidRPr="007A35D9" w14:paraId="3E588E33" w14:textId="77777777" w:rsidTr="006538C2">
        <w:tc>
          <w:tcPr>
            <w:tcW w:w="630" w:type="pct"/>
            <w:tcBorders>
              <w:top w:val="single" w:sz="4" w:space="0" w:color="auto"/>
              <w:left w:val="single" w:sz="4" w:space="0" w:color="auto"/>
              <w:bottom w:val="single" w:sz="4" w:space="0" w:color="auto"/>
              <w:right w:val="single" w:sz="4" w:space="0" w:color="auto"/>
            </w:tcBorders>
            <w:vAlign w:val="center"/>
            <w:hideMark/>
          </w:tcPr>
          <w:p w14:paraId="2A19A9D7" w14:textId="77777777" w:rsidR="00DB71FB" w:rsidRPr="007A35D9" w:rsidRDefault="00DB71FB" w:rsidP="00BD32B6">
            <w:pPr>
              <w:pStyle w:val="Tabletext"/>
              <w:rPr>
                <w:lang w:eastAsia="zh-CN"/>
              </w:rPr>
            </w:pPr>
            <w:r w:rsidRPr="007A35D9">
              <w:rPr>
                <w:lang w:eastAsia="zh-CN"/>
              </w:rPr>
              <w:t>3 600-3 800 MHz</w:t>
            </w:r>
          </w:p>
        </w:tc>
        <w:tc>
          <w:tcPr>
            <w:tcW w:w="792" w:type="pct"/>
            <w:tcBorders>
              <w:top w:val="single" w:sz="4" w:space="0" w:color="auto"/>
              <w:left w:val="single" w:sz="4" w:space="0" w:color="auto"/>
              <w:bottom w:val="single" w:sz="4" w:space="0" w:color="auto"/>
              <w:right w:val="single" w:sz="4" w:space="0" w:color="auto"/>
            </w:tcBorders>
            <w:vAlign w:val="center"/>
            <w:hideMark/>
          </w:tcPr>
          <w:p w14:paraId="35956064" w14:textId="77777777" w:rsidR="00DB71FB" w:rsidRPr="007A35D9" w:rsidRDefault="00DB71FB" w:rsidP="00BD32B6">
            <w:pPr>
              <w:pStyle w:val="Tabletext"/>
            </w:pPr>
            <w:r w:rsidRPr="007A35D9">
              <w:rPr>
                <w:lang w:eastAsia="zh-CN"/>
              </w:rPr>
              <w:t>WRC-23 1.3</w:t>
            </w:r>
          </w:p>
        </w:tc>
        <w:tc>
          <w:tcPr>
            <w:tcW w:w="1581" w:type="pct"/>
            <w:tcBorders>
              <w:top w:val="single" w:sz="4" w:space="0" w:color="auto"/>
              <w:left w:val="single" w:sz="4" w:space="0" w:color="auto"/>
              <w:bottom w:val="single" w:sz="4" w:space="0" w:color="auto"/>
              <w:right w:val="single" w:sz="4" w:space="0" w:color="auto"/>
            </w:tcBorders>
            <w:vAlign w:val="center"/>
            <w:hideMark/>
          </w:tcPr>
          <w:p w14:paraId="3E9FBA83" w14:textId="57304A36" w:rsidR="00DB71FB" w:rsidRPr="007A35D9" w:rsidRDefault="00DB71FB" w:rsidP="00BD32B6">
            <w:pPr>
              <w:pStyle w:val="Tabletext"/>
            </w:pPr>
            <w:r w:rsidRPr="007A35D9">
              <w:t>to consider primary allocation of the frequency band 3 600-3</w:t>
            </w:r>
            <w:r w:rsidR="001015C4" w:rsidRPr="007A35D9">
              <w:t> </w:t>
            </w:r>
            <w:r w:rsidRPr="007A35D9">
              <w:t>800</w:t>
            </w:r>
            <w:r w:rsidR="001015C4" w:rsidRPr="007A35D9">
              <w:t> </w:t>
            </w:r>
            <w:r w:rsidRPr="007A35D9">
              <w:t xml:space="preserve">MHz to the mobile service in Region 1 and take appropriate regulatory actions, in accordance with Resolution </w:t>
            </w:r>
            <w:r w:rsidRPr="007A35D9">
              <w:rPr>
                <w:b/>
                <w:bCs/>
              </w:rPr>
              <w:t>246 (WRC 19)</w:t>
            </w:r>
            <w:r w:rsidRPr="007A35D9">
              <w:t>;</w:t>
            </w:r>
          </w:p>
        </w:tc>
        <w:tc>
          <w:tcPr>
            <w:tcW w:w="1131" w:type="pct"/>
            <w:tcBorders>
              <w:top w:val="single" w:sz="4" w:space="0" w:color="auto"/>
              <w:left w:val="single" w:sz="4" w:space="0" w:color="auto"/>
              <w:bottom w:val="single" w:sz="4" w:space="0" w:color="auto"/>
              <w:right w:val="single" w:sz="4" w:space="0" w:color="auto"/>
            </w:tcBorders>
            <w:vAlign w:val="center"/>
            <w:hideMark/>
          </w:tcPr>
          <w:p w14:paraId="10C319CC" w14:textId="390EC4C7" w:rsidR="00DB71FB" w:rsidRPr="007A35D9" w:rsidRDefault="00DB71FB" w:rsidP="00BD32B6">
            <w:pPr>
              <w:pStyle w:val="Tabletext"/>
              <w:rPr>
                <w:lang w:eastAsia="zh-CN"/>
              </w:rPr>
            </w:pPr>
            <w:r w:rsidRPr="007A35D9">
              <w:t xml:space="preserve">Resolution </w:t>
            </w:r>
            <w:r w:rsidRPr="007A35D9">
              <w:rPr>
                <w:b/>
                <w:bCs/>
              </w:rPr>
              <w:t>246 (WRC</w:t>
            </w:r>
            <w:r w:rsidR="00030A41" w:rsidRPr="007A35D9">
              <w:rPr>
                <w:b/>
                <w:bCs/>
              </w:rPr>
              <w:t>-</w:t>
            </w:r>
            <w:r w:rsidRPr="007A35D9">
              <w:rPr>
                <w:b/>
                <w:bCs/>
              </w:rPr>
              <w:t>19)</w:t>
            </w:r>
            <w:r w:rsidRPr="007A35D9">
              <w:rPr>
                <w:lang w:eastAsia="zh-CN"/>
              </w:rPr>
              <w:t xml:space="preserve"> </w:t>
            </w:r>
            <w:r w:rsidRPr="007A35D9">
              <w:t>–</w:t>
            </w:r>
            <w:r w:rsidRPr="007A35D9">
              <w:rPr>
                <w:lang w:eastAsia="zh-CN"/>
              </w:rPr>
              <w:t>Studies to consider possible allocation of the frequency band 3</w:t>
            </w:r>
            <w:r w:rsidR="001015C4" w:rsidRPr="007A35D9">
              <w:rPr>
                <w:lang w:eastAsia="zh-CN"/>
              </w:rPr>
              <w:t> </w:t>
            </w:r>
            <w:r w:rsidRPr="007A35D9">
              <w:rPr>
                <w:lang w:eastAsia="zh-CN"/>
              </w:rPr>
              <w:t>600-3 800 MHz to the mobile, except aeronautical mobile, service on a primary basis within Region 1</w:t>
            </w:r>
          </w:p>
        </w:tc>
        <w:tc>
          <w:tcPr>
            <w:tcW w:w="865" w:type="pct"/>
            <w:tcBorders>
              <w:top w:val="single" w:sz="4" w:space="0" w:color="auto"/>
              <w:left w:val="single" w:sz="4" w:space="0" w:color="auto"/>
              <w:bottom w:val="single" w:sz="4" w:space="0" w:color="auto"/>
              <w:right w:val="single" w:sz="4" w:space="0" w:color="auto"/>
            </w:tcBorders>
            <w:vAlign w:val="center"/>
            <w:hideMark/>
          </w:tcPr>
          <w:p w14:paraId="27C1514C" w14:textId="77777777" w:rsidR="00DB71FB" w:rsidRPr="007A35D9" w:rsidRDefault="00DB71FB" w:rsidP="00BD32B6">
            <w:pPr>
              <w:pStyle w:val="Tabletext"/>
              <w:rPr>
                <w:lang w:eastAsia="zh-CN"/>
              </w:rPr>
            </w:pPr>
            <w:r w:rsidRPr="007A35D9">
              <w:rPr>
                <w:lang w:eastAsia="zh-CN"/>
              </w:rPr>
              <w:t>TBD</w:t>
            </w:r>
          </w:p>
        </w:tc>
      </w:tr>
    </w:tbl>
    <w:p w14:paraId="66542034" w14:textId="77777777" w:rsidR="00DB71FB" w:rsidRPr="007A35D9" w:rsidRDefault="00DB71FB" w:rsidP="00DB71FB">
      <w:pPr>
        <w:pStyle w:val="Heading2"/>
        <w:rPr>
          <w:rFonts w:eastAsia="SimSun"/>
          <w:lang w:eastAsia="zh-CN"/>
        </w:rPr>
      </w:pPr>
      <w:r w:rsidRPr="007A35D9">
        <w:rPr>
          <w:rFonts w:eastAsia="SimSun"/>
          <w:lang w:eastAsia="zh-CN"/>
        </w:rPr>
        <w:t>3.2</w:t>
      </w:r>
      <w:r w:rsidRPr="007A35D9">
        <w:rPr>
          <w:rFonts w:eastAsia="SimSun"/>
        </w:rPr>
        <w:tab/>
      </w:r>
      <w:r w:rsidRPr="007A35D9">
        <w:rPr>
          <w:rFonts w:eastAsia="SimSun"/>
          <w:lang w:eastAsia="zh-CN"/>
        </w:rPr>
        <w:t>The review of existing ITU-R Reports</w:t>
      </w:r>
      <w:r w:rsidRPr="007A35D9">
        <w:rPr>
          <w:rFonts w:eastAsia="SimSun"/>
        </w:rPr>
        <w:t xml:space="preserve"> </w:t>
      </w:r>
      <w:r w:rsidRPr="007A35D9">
        <w:rPr>
          <w:rFonts w:eastAsia="SimSun"/>
          <w:lang w:eastAsia="zh-CN"/>
        </w:rPr>
        <w:t>and/or Recommendations</w:t>
      </w:r>
    </w:p>
    <w:p w14:paraId="44645763" w14:textId="069FE96D" w:rsidR="00DB71FB" w:rsidRPr="007A35D9" w:rsidRDefault="00DB71FB" w:rsidP="00DB71FB">
      <w:pPr>
        <w:textAlignment w:val="auto"/>
        <w:rPr>
          <w:rFonts w:eastAsia="SimSun"/>
          <w:lang w:eastAsia="zh-CN"/>
        </w:rPr>
      </w:pPr>
      <w:r w:rsidRPr="007A35D9">
        <w:rPr>
          <w:rFonts w:eastAsia="SimSun"/>
          <w:lang w:eastAsia="zh-CN"/>
        </w:rPr>
        <w:t>ITU-R has developed certain ITU-R Reports in different WRC study cycles to address the sharing and compatibility issues in the frequency band 3 400- 4 200</w:t>
      </w:r>
      <w:r w:rsidR="001015C4" w:rsidRPr="007A35D9">
        <w:rPr>
          <w:rFonts w:eastAsia="SimSun"/>
          <w:lang w:eastAsia="zh-CN"/>
        </w:rPr>
        <w:t xml:space="preserve"> </w:t>
      </w:r>
      <w:r w:rsidRPr="007A35D9">
        <w:rPr>
          <w:rFonts w:eastAsia="SimSun"/>
          <w:lang w:eastAsia="zh-CN"/>
        </w:rPr>
        <w:t>MHz. Table 2 provides the review of existing ITU-R Reports and/or Recommendations related to WRC-23 agenda item 1.3.</w:t>
      </w:r>
    </w:p>
    <w:p w14:paraId="58794B67" w14:textId="77777777" w:rsidR="00DB71FB" w:rsidRPr="007A35D9" w:rsidRDefault="00DB71FB" w:rsidP="00DB71FB">
      <w:pPr>
        <w:pStyle w:val="TableNo"/>
        <w:rPr>
          <w:lang w:eastAsia="zh-CN"/>
        </w:rPr>
      </w:pPr>
      <w:r w:rsidRPr="007A35D9">
        <w:rPr>
          <w:lang w:eastAsia="zh-CN"/>
        </w:rPr>
        <w:t>TABLE</w:t>
      </w:r>
      <w:r w:rsidRPr="007A35D9">
        <w:t xml:space="preserve"> </w:t>
      </w:r>
      <w:r w:rsidRPr="007A35D9">
        <w:rPr>
          <w:lang w:eastAsia="zh-CN"/>
        </w:rPr>
        <w:t>2</w:t>
      </w:r>
    </w:p>
    <w:p w14:paraId="404E9179" w14:textId="77777777" w:rsidR="00DB71FB" w:rsidRPr="007A35D9" w:rsidRDefault="00DB71FB" w:rsidP="00DB71FB">
      <w:pPr>
        <w:pStyle w:val="Tabletitle"/>
        <w:rPr>
          <w:lang w:eastAsia="zh-CN"/>
        </w:rPr>
      </w:pPr>
      <w:r w:rsidRPr="007A35D9">
        <w:rPr>
          <w:lang w:eastAsia="zh-CN"/>
        </w:rPr>
        <w:t>Review of existing ITU-R Reports and/or Recommendations related to WRC-23 agenda item 1.3</w:t>
      </w:r>
    </w:p>
    <w:tbl>
      <w:tblPr>
        <w:tblStyle w:val="TableGrid"/>
        <w:tblW w:w="9628" w:type="dxa"/>
        <w:tblLook w:val="04A0" w:firstRow="1" w:lastRow="0" w:firstColumn="1" w:lastColumn="0" w:noHBand="0" w:noVBand="1"/>
      </w:tblPr>
      <w:tblGrid>
        <w:gridCol w:w="1079"/>
        <w:gridCol w:w="3322"/>
        <w:gridCol w:w="3073"/>
        <w:gridCol w:w="1078"/>
        <w:gridCol w:w="1076"/>
      </w:tblGrid>
      <w:tr w:rsidR="00DB71FB" w:rsidRPr="007A35D9" w14:paraId="477C096E" w14:textId="77777777" w:rsidTr="006538C2">
        <w:trPr>
          <w:tblHeader/>
        </w:trPr>
        <w:tc>
          <w:tcPr>
            <w:tcW w:w="560" w:type="pct"/>
            <w:tcBorders>
              <w:top w:val="single" w:sz="4" w:space="0" w:color="auto"/>
              <w:left w:val="single" w:sz="4" w:space="0" w:color="auto"/>
              <w:bottom w:val="single" w:sz="4" w:space="0" w:color="auto"/>
              <w:right w:val="single" w:sz="4" w:space="0" w:color="auto"/>
            </w:tcBorders>
            <w:vAlign w:val="center"/>
          </w:tcPr>
          <w:p w14:paraId="212FADBE" w14:textId="77777777" w:rsidR="00DB71FB" w:rsidRPr="007A35D9" w:rsidRDefault="00DB71FB" w:rsidP="00BD32B6">
            <w:pPr>
              <w:pStyle w:val="Tablehead"/>
            </w:pPr>
          </w:p>
        </w:tc>
        <w:tc>
          <w:tcPr>
            <w:tcW w:w="1725" w:type="pct"/>
            <w:tcBorders>
              <w:top w:val="single" w:sz="4" w:space="0" w:color="auto"/>
              <w:left w:val="single" w:sz="4" w:space="0" w:color="auto"/>
              <w:bottom w:val="single" w:sz="4" w:space="0" w:color="auto"/>
              <w:right w:val="single" w:sz="4" w:space="0" w:color="auto"/>
            </w:tcBorders>
            <w:vAlign w:val="center"/>
            <w:hideMark/>
          </w:tcPr>
          <w:p w14:paraId="3D29233F" w14:textId="77777777" w:rsidR="00DB71FB" w:rsidRPr="007A35D9" w:rsidRDefault="00DB71FB" w:rsidP="00BD32B6">
            <w:pPr>
              <w:pStyle w:val="Tablehead"/>
              <w:rPr>
                <w:lang w:eastAsia="zh-CN"/>
              </w:rPr>
            </w:pPr>
            <w:r w:rsidRPr="007A35D9">
              <w:rPr>
                <w:lang w:eastAsia="zh-CN"/>
              </w:rPr>
              <w:t>Title</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E39FDD4" w14:textId="77777777" w:rsidR="00DB71FB" w:rsidRPr="007A35D9" w:rsidRDefault="00DB71FB" w:rsidP="00BD32B6">
            <w:pPr>
              <w:pStyle w:val="Tablehead"/>
            </w:pPr>
            <w:r w:rsidRPr="007A35D9">
              <w:t>Scope and content</w:t>
            </w:r>
          </w:p>
        </w:tc>
        <w:tc>
          <w:tcPr>
            <w:tcW w:w="560" w:type="pct"/>
            <w:tcBorders>
              <w:top w:val="single" w:sz="4" w:space="0" w:color="auto"/>
              <w:left w:val="single" w:sz="4" w:space="0" w:color="auto"/>
              <w:bottom w:val="single" w:sz="4" w:space="0" w:color="auto"/>
              <w:right w:val="single" w:sz="4" w:space="0" w:color="auto"/>
            </w:tcBorders>
            <w:hideMark/>
          </w:tcPr>
          <w:p w14:paraId="41CB94F8" w14:textId="77777777" w:rsidR="00DB71FB" w:rsidRPr="007A35D9" w:rsidRDefault="00DB71FB" w:rsidP="00BD32B6">
            <w:pPr>
              <w:pStyle w:val="Tablehead"/>
              <w:rPr>
                <w:lang w:eastAsia="zh-CN"/>
              </w:rPr>
            </w:pPr>
            <w:r w:rsidRPr="007A35D9">
              <w:rPr>
                <w:lang w:eastAsia="zh-CN"/>
              </w:rPr>
              <w:t>Related WRC agenda</w:t>
            </w:r>
          </w:p>
        </w:tc>
        <w:tc>
          <w:tcPr>
            <w:tcW w:w="559" w:type="pct"/>
            <w:tcBorders>
              <w:top w:val="single" w:sz="4" w:space="0" w:color="auto"/>
              <w:left w:val="single" w:sz="4" w:space="0" w:color="auto"/>
              <w:bottom w:val="single" w:sz="4" w:space="0" w:color="auto"/>
              <w:right w:val="single" w:sz="4" w:space="0" w:color="auto"/>
            </w:tcBorders>
            <w:vAlign w:val="center"/>
            <w:hideMark/>
          </w:tcPr>
          <w:p w14:paraId="3A1EB7C0" w14:textId="77777777" w:rsidR="00DB71FB" w:rsidRPr="007A35D9" w:rsidRDefault="00DB71FB" w:rsidP="00BD32B6">
            <w:pPr>
              <w:pStyle w:val="Tablehead"/>
              <w:rPr>
                <w:lang w:eastAsia="zh-CN"/>
              </w:rPr>
            </w:pPr>
            <w:r w:rsidRPr="007A35D9">
              <w:rPr>
                <w:lang w:eastAsia="zh-CN"/>
              </w:rPr>
              <w:t>Approved Date</w:t>
            </w:r>
          </w:p>
        </w:tc>
      </w:tr>
      <w:tr w:rsidR="00DB71FB" w:rsidRPr="007A35D9" w14:paraId="076F6DA0" w14:textId="77777777" w:rsidTr="006538C2">
        <w:tc>
          <w:tcPr>
            <w:tcW w:w="560" w:type="pct"/>
            <w:tcBorders>
              <w:top w:val="single" w:sz="4" w:space="0" w:color="auto"/>
              <w:left w:val="single" w:sz="4" w:space="0" w:color="auto"/>
              <w:bottom w:val="single" w:sz="4" w:space="0" w:color="auto"/>
              <w:right w:val="single" w:sz="4" w:space="0" w:color="auto"/>
            </w:tcBorders>
            <w:vAlign w:val="center"/>
            <w:hideMark/>
          </w:tcPr>
          <w:p w14:paraId="7C82A224" w14:textId="77777777" w:rsidR="00DB71FB" w:rsidRPr="007A35D9" w:rsidRDefault="00DB71FB" w:rsidP="00BD32B6">
            <w:pPr>
              <w:pStyle w:val="Tabletext"/>
              <w:rPr>
                <w:lang w:eastAsia="zh-CN"/>
              </w:rPr>
            </w:pPr>
            <w:r w:rsidRPr="007A35D9">
              <w:rPr>
                <w:lang w:eastAsia="zh-CN"/>
              </w:rPr>
              <w:t xml:space="preserve">Report </w:t>
            </w:r>
            <w:r w:rsidRPr="007A35D9">
              <w:t>ITU-R S.2368</w:t>
            </w:r>
          </w:p>
        </w:tc>
        <w:tc>
          <w:tcPr>
            <w:tcW w:w="1725" w:type="pct"/>
            <w:tcBorders>
              <w:top w:val="single" w:sz="4" w:space="0" w:color="auto"/>
              <w:left w:val="single" w:sz="4" w:space="0" w:color="auto"/>
              <w:bottom w:val="single" w:sz="4" w:space="0" w:color="auto"/>
              <w:right w:val="single" w:sz="4" w:space="0" w:color="auto"/>
            </w:tcBorders>
            <w:vAlign w:val="center"/>
            <w:hideMark/>
          </w:tcPr>
          <w:p w14:paraId="3A932F79" w14:textId="77777777" w:rsidR="00DB71FB" w:rsidRPr="007A35D9" w:rsidRDefault="00DB71FB" w:rsidP="00BD32B6">
            <w:pPr>
              <w:pStyle w:val="Tabletext"/>
            </w:pPr>
            <w:r w:rsidRPr="007A35D9">
              <w:t>Sharing studies between International Mobile Telecommunication-Advanced systems and geostationary satellite networks in the fixed-satellite service</w:t>
            </w:r>
            <w:r w:rsidRPr="007A35D9">
              <w:rPr>
                <w:lang w:eastAsia="zh-CN"/>
              </w:rPr>
              <w:t xml:space="preserve"> </w:t>
            </w:r>
            <w:r w:rsidRPr="007A35D9">
              <w:t>in the 3 400-4 200 MHz and 4 500</w:t>
            </w:r>
            <w:r w:rsidRPr="007A35D9">
              <w:noBreakHyphen/>
              <w:t>4 800 MHz frequency bands</w:t>
            </w:r>
            <w:r w:rsidRPr="007A35D9">
              <w:rPr>
                <w:lang w:eastAsia="zh-CN"/>
              </w:rPr>
              <w:t xml:space="preserve"> </w:t>
            </w:r>
            <w:r w:rsidRPr="007A35D9">
              <w:t>in the WRC study cycle leading to WRC</w:t>
            </w:r>
            <w:r w:rsidRPr="007A35D9">
              <w:noBreakHyphen/>
              <w:t>15</w:t>
            </w:r>
          </w:p>
        </w:tc>
        <w:tc>
          <w:tcPr>
            <w:tcW w:w="1596" w:type="pct"/>
            <w:tcBorders>
              <w:top w:val="single" w:sz="4" w:space="0" w:color="auto"/>
              <w:left w:val="single" w:sz="4" w:space="0" w:color="auto"/>
              <w:bottom w:val="single" w:sz="4" w:space="0" w:color="auto"/>
              <w:right w:val="single" w:sz="4" w:space="0" w:color="auto"/>
            </w:tcBorders>
            <w:vAlign w:val="center"/>
            <w:hideMark/>
          </w:tcPr>
          <w:p w14:paraId="3B90FA1E" w14:textId="77777777" w:rsidR="00DB71FB" w:rsidRPr="007A35D9" w:rsidRDefault="00DB71FB" w:rsidP="00BD32B6">
            <w:pPr>
              <w:pStyle w:val="Tabletext"/>
              <w:rPr>
                <w:lang w:eastAsia="zh-CN"/>
              </w:rPr>
            </w:pPr>
            <w:r w:rsidRPr="007A35D9">
              <w:t>This Report describes sharing studies between IMT-Advanced systems and geostationary satellite networks in the fixed-satellite service in the 3 400-4 200 MHz and 4 500-4 800 MHz frequency bands.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3D81D7A" w14:textId="77777777" w:rsidR="00DB71FB" w:rsidRPr="007A35D9" w:rsidRDefault="00DB71FB" w:rsidP="00BD32B6">
            <w:pPr>
              <w:pStyle w:val="Tabletext"/>
              <w:rPr>
                <w:lang w:eastAsia="zh-CN"/>
              </w:rPr>
            </w:pPr>
            <w:r w:rsidRPr="007A35D9">
              <w:rPr>
                <w:lang w:eastAsia="zh-CN"/>
              </w:rPr>
              <w:t>WRC-15 1.1</w:t>
            </w:r>
          </w:p>
        </w:tc>
        <w:tc>
          <w:tcPr>
            <w:tcW w:w="559" w:type="pct"/>
            <w:tcBorders>
              <w:top w:val="single" w:sz="4" w:space="0" w:color="auto"/>
              <w:left w:val="single" w:sz="4" w:space="0" w:color="auto"/>
              <w:bottom w:val="single" w:sz="4" w:space="0" w:color="auto"/>
              <w:right w:val="single" w:sz="4" w:space="0" w:color="auto"/>
            </w:tcBorders>
            <w:vAlign w:val="center"/>
            <w:hideMark/>
          </w:tcPr>
          <w:p w14:paraId="54EF9D39" w14:textId="77777777" w:rsidR="00DB71FB" w:rsidRPr="007A35D9" w:rsidRDefault="00DB71FB" w:rsidP="00BD32B6">
            <w:pPr>
              <w:pStyle w:val="Tabletext"/>
              <w:rPr>
                <w:lang w:eastAsia="zh-CN"/>
              </w:rPr>
            </w:pPr>
            <w:r w:rsidRPr="007A35D9">
              <w:rPr>
                <w:lang w:eastAsia="zh-CN"/>
              </w:rPr>
              <w:t>06/2015</w:t>
            </w:r>
          </w:p>
        </w:tc>
      </w:tr>
      <w:tr w:rsidR="00DB71FB" w:rsidRPr="007A35D9" w14:paraId="63873B12" w14:textId="77777777" w:rsidTr="006538C2">
        <w:tc>
          <w:tcPr>
            <w:tcW w:w="560" w:type="pct"/>
            <w:tcBorders>
              <w:top w:val="single" w:sz="4" w:space="0" w:color="auto"/>
              <w:left w:val="single" w:sz="4" w:space="0" w:color="auto"/>
              <w:bottom w:val="single" w:sz="4" w:space="0" w:color="auto"/>
              <w:right w:val="single" w:sz="4" w:space="0" w:color="auto"/>
            </w:tcBorders>
            <w:vAlign w:val="center"/>
            <w:hideMark/>
          </w:tcPr>
          <w:p w14:paraId="58CD4567" w14:textId="77777777" w:rsidR="00DB71FB" w:rsidRPr="007A35D9" w:rsidRDefault="00DB71FB" w:rsidP="00BD32B6">
            <w:pPr>
              <w:pStyle w:val="Tabletext"/>
              <w:rPr>
                <w:lang w:eastAsia="zh-CN"/>
              </w:rPr>
            </w:pPr>
            <w:r w:rsidRPr="007A35D9">
              <w:rPr>
                <w:lang w:eastAsia="zh-CN"/>
              </w:rPr>
              <w:lastRenderedPageBreak/>
              <w:t xml:space="preserve">Report </w:t>
            </w:r>
            <w:r w:rsidRPr="007A35D9">
              <w:t>ITU-R M.2109</w:t>
            </w:r>
          </w:p>
        </w:tc>
        <w:tc>
          <w:tcPr>
            <w:tcW w:w="1725" w:type="pct"/>
            <w:tcBorders>
              <w:top w:val="single" w:sz="4" w:space="0" w:color="auto"/>
              <w:left w:val="single" w:sz="4" w:space="0" w:color="auto"/>
              <w:bottom w:val="single" w:sz="4" w:space="0" w:color="auto"/>
              <w:right w:val="single" w:sz="4" w:space="0" w:color="auto"/>
            </w:tcBorders>
            <w:vAlign w:val="center"/>
            <w:hideMark/>
          </w:tcPr>
          <w:p w14:paraId="55EC55AF" w14:textId="65028C0A" w:rsidR="00DB71FB" w:rsidRPr="007A35D9" w:rsidRDefault="00DB71FB" w:rsidP="00BD32B6">
            <w:pPr>
              <w:pStyle w:val="Tabletext"/>
            </w:pPr>
            <w:r w:rsidRPr="007A35D9">
              <w:t>Sharing studies between IMT-Advanced systems and geostationary</w:t>
            </w:r>
            <w:r w:rsidRPr="007A35D9">
              <w:rPr>
                <w:lang w:eastAsia="zh-CN"/>
              </w:rPr>
              <w:t xml:space="preserve"> </w:t>
            </w:r>
            <w:r w:rsidRPr="007A35D9">
              <w:t>satellite networks in the fixed-satellite service in the 3 400-4 200</w:t>
            </w:r>
            <w:r w:rsidRPr="007A35D9">
              <w:rPr>
                <w:lang w:eastAsia="zh-CN"/>
              </w:rPr>
              <w:t xml:space="preserve"> </w:t>
            </w:r>
            <w:r w:rsidRPr="007A35D9">
              <w:t>and 4 500-4</w:t>
            </w:r>
            <w:r w:rsidR="001015C4" w:rsidRPr="007A35D9">
              <w:t> </w:t>
            </w:r>
            <w:r w:rsidRPr="007A35D9">
              <w:t>800 MHz frequency bands</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6A00F89" w14:textId="77777777" w:rsidR="00DB71FB" w:rsidRPr="007A35D9" w:rsidRDefault="00DB71FB" w:rsidP="00BD32B6">
            <w:pPr>
              <w:pStyle w:val="Tabletext"/>
            </w:pPr>
            <w:r w:rsidRPr="007A35D9">
              <w:t>This Report provides a summary of the sharing studies between IMT-Advanced systems and</w:t>
            </w:r>
            <w:r w:rsidRPr="007A35D9">
              <w:rPr>
                <w:lang w:eastAsia="zh-CN"/>
              </w:rPr>
              <w:t xml:space="preserve"> </w:t>
            </w:r>
            <w:r w:rsidRPr="007A35D9">
              <w:t>geostationary satellite networks in the fixed-satellite service (FSS) in the 3 400-4 200 and</w:t>
            </w:r>
            <w:r w:rsidRPr="007A35D9">
              <w:rPr>
                <w:lang w:eastAsia="zh-CN"/>
              </w:rPr>
              <w:t xml:space="preserve"> </w:t>
            </w:r>
            <w:r w:rsidRPr="007A35D9">
              <w:t>4 500</w:t>
            </w:r>
            <w:r w:rsidRPr="007A35D9">
              <w:noBreakHyphen/>
              <w:t>4 800 MHz frequency bands.</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80E95E" w14:textId="77777777" w:rsidR="00DB71FB" w:rsidRPr="007A35D9" w:rsidRDefault="00DB71FB" w:rsidP="00BD32B6">
            <w:pPr>
              <w:pStyle w:val="Tabletext"/>
              <w:rPr>
                <w:lang w:eastAsia="zh-CN"/>
              </w:rPr>
            </w:pPr>
            <w:r w:rsidRPr="007A35D9">
              <w:rPr>
                <w:lang w:eastAsia="zh-CN"/>
              </w:rPr>
              <w:t>WRC-07 1.4</w:t>
            </w:r>
          </w:p>
        </w:tc>
        <w:tc>
          <w:tcPr>
            <w:tcW w:w="559" w:type="pct"/>
            <w:tcBorders>
              <w:top w:val="single" w:sz="4" w:space="0" w:color="auto"/>
              <w:left w:val="single" w:sz="4" w:space="0" w:color="auto"/>
              <w:bottom w:val="single" w:sz="4" w:space="0" w:color="auto"/>
              <w:right w:val="single" w:sz="4" w:space="0" w:color="auto"/>
            </w:tcBorders>
            <w:vAlign w:val="center"/>
            <w:hideMark/>
          </w:tcPr>
          <w:p w14:paraId="5D857285" w14:textId="77777777" w:rsidR="00DB71FB" w:rsidRPr="007A35D9" w:rsidRDefault="00DB71FB" w:rsidP="00BD32B6">
            <w:pPr>
              <w:pStyle w:val="Tabletext"/>
              <w:rPr>
                <w:lang w:eastAsia="zh-CN"/>
              </w:rPr>
            </w:pPr>
            <w:r w:rsidRPr="007A35D9">
              <w:rPr>
                <w:lang w:eastAsia="zh-CN"/>
              </w:rPr>
              <w:t>2007</w:t>
            </w:r>
          </w:p>
        </w:tc>
      </w:tr>
      <w:tr w:rsidR="00DB71FB" w:rsidRPr="007A35D9" w14:paraId="6234C09B" w14:textId="77777777" w:rsidTr="006538C2">
        <w:tc>
          <w:tcPr>
            <w:tcW w:w="560" w:type="pct"/>
            <w:tcBorders>
              <w:top w:val="single" w:sz="4" w:space="0" w:color="auto"/>
              <w:left w:val="single" w:sz="4" w:space="0" w:color="auto"/>
              <w:bottom w:val="single" w:sz="4" w:space="0" w:color="auto"/>
              <w:right w:val="single" w:sz="4" w:space="0" w:color="auto"/>
            </w:tcBorders>
            <w:vAlign w:val="center"/>
            <w:hideMark/>
          </w:tcPr>
          <w:p w14:paraId="55F20AD0" w14:textId="77777777" w:rsidR="00DB71FB" w:rsidRPr="007A35D9" w:rsidRDefault="00DB71FB" w:rsidP="00BD32B6">
            <w:pPr>
              <w:pStyle w:val="Tabletext"/>
            </w:pPr>
            <w:r w:rsidRPr="007A35D9">
              <w:rPr>
                <w:lang w:eastAsia="zh-CN"/>
              </w:rPr>
              <w:t xml:space="preserve">Report </w:t>
            </w:r>
            <w:r w:rsidRPr="007A35D9">
              <w:t>ITU-R M.2111</w:t>
            </w:r>
          </w:p>
        </w:tc>
        <w:tc>
          <w:tcPr>
            <w:tcW w:w="1725" w:type="pct"/>
            <w:tcBorders>
              <w:top w:val="single" w:sz="4" w:space="0" w:color="auto"/>
              <w:left w:val="single" w:sz="4" w:space="0" w:color="auto"/>
              <w:bottom w:val="single" w:sz="4" w:space="0" w:color="auto"/>
              <w:right w:val="single" w:sz="4" w:space="0" w:color="auto"/>
            </w:tcBorders>
            <w:vAlign w:val="center"/>
            <w:hideMark/>
          </w:tcPr>
          <w:p w14:paraId="4195AF45" w14:textId="77777777" w:rsidR="00DB71FB" w:rsidRPr="007A35D9" w:rsidRDefault="00DB71FB" w:rsidP="00BD32B6">
            <w:pPr>
              <w:pStyle w:val="Tabletext"/>
            </w:pPr>
            <w:r w:rsidRPr="007A35D9">
              <w:t>Sharing studies between IMT-Advanced and the radiolocation</w:t>
            </w:r>
            <w:r w:rsidRPr="007A35D9">
              <w:rPr>
                <w:lang w:eastAsia="zh-CN"/>
              </w:rPr>
              <w:t xml:space="preserve"> </w:t>
            </w:r>
            <w:r w:rsidRPr="007A35D9">
              <w:t>service in the 3 400-3 700 MHz bands</w:t>
            </w:r>
          </w:p>
        </w:tc>
        <w:tc>
          <w:tcPr>
            <w:tcW w:w="1596" w:type="pct"/>
            <w:tcBorders>
              <w:top w:val="single" w:sz="4" w:space="0" w:color="auto"/>
              <w:left w:val="single" w:sz="4" w:space="0" w:color="auto"/>
              <w:bottom w:val="single" w:sz="4" w:space="0" w:color="auto"/>
              <w:right w:val="single" w:sz="4" w:space="0" w:color="auto"/>
            </w:tcBorders>
            <w:vAlign w:val="center"/>
            <w:hideMark/>
          </w:tcPr>
          <w:p w14:paraId="2671BE83" w14:textId="77777777" w:rsidR="00DB71FB" w:rsidRPr="007A35D9" w:rsidRDefault="00DB71FB" w:rsidP="00BD32B6">
            <w:pPr>
              <w:pStyle w:val="Tabletext"/>
            </w:pPr>
            <w:r w:rsidRPr="007A35D9">
              <w:t>This Report provides sharing studies between radar systems and IMT-Advanced systems in the bands 3 400-3 700 MHz, and potential interference mitigation techniques.</w:t>
            </w:r>
          </w:p>
        </w:tc>
        <w:tc>
          <w:tcPr>
            <w:tcW w:w="560" w:type="pct"/>
            <w:tcBorders>
              <w:top w:val="single" w:sz="4" w:space="0" w:color="auto"/>
              <w:left w:val="single" w:sz="4" w:space="0" w:color="auto"/>
              <w:bottom w:val="single" w:sz="4" w:space="0" w:color="auto"/>
              <w:right w:val="single" w:sz="4" w:space="0" w:color="auto"/>
            </w:tcBorders>
            <w:vAlign w:val="center"/>
            <w:hideMark/>
          </w:tcPr>
          <w:p w14:paraId="74A67643" w14:textId="77777777" w:rsidR="00DB71FB" w:rsidRPr="007A35D9" w:rsidRDefault="00DB71FB" w:rsidP="00BD32B6">
            <w:pPr>
              <w:pStyle w:val="Tabletext"/>
              <w:rPr>
                <w:lang w:eastAsia="zh-CN"/>
              </w:rPr>
            </w:pPr>
            <w:r w:rsidRPr="007A35D9">
              <w:rPr>
                <w:lang w:eastAsia="zh-CN"/>
              </w:rPr>
              <w:t>WRC-07 1.4</w:t>
            </w:r>
          </w:p>
        </w:tc>
        <w:tc>
          <w:tcPr>
            <w:tcW w:w="559" w:type="pct"/>
            <w:tcBorders>
              <w:top w:val="single" w:sz="4" w:space="0" w:color="auto"/>
              <w:left w:val="single" w:sz="4" w:space="0" w:color="auto"/>
              <w:bottom w:val="single" w:sz="4" w:space="0" w:color="auto"/>
              <w:right w:val="single" w:sz="4" w:space="0" w:color="auto"/>
            </w:tcBorders>
            <w:vAlign w:val="center"/>
            <w:hideMark/>
          </w:tcPr>
          <w:p w14:paraId="3113DDE7" w14:textId="77777777" w:rsidR="00DB71FB" w:rsidRPr="007A35D9" w:rsidRDefault="00DB71FB" w:rsidP="00BD32B6">
            <w:pPr>
              <w:pStyle w:val="Tabletext"/>
              <w:rPr>
                <w:lang w:eastAsia="zh-CN"/>
              </w:rPr>
            </w:pPr>
            <w:r w:rsidRPr="007A35D9">
              <w:rPr>
                <w:lang w:eastAsia="zh-CN"/>
              </w:rPr>
              <w:t>2007</w:t>
            </w:r>
          </w:p>
        </w:tc>
      </w:tr>
      <w:tr w:rsidR="00DB71FB" w:rsidRPr="007A35D9" w14:paraId="6637FAE1" w14:textId="77777777" w:rsidTr="006538C2">
        <w:tc>
          <w:tcPr>
            <w:tcW w:w="1103" w:type="dxa"/>
            <w:tcBorders>
              <w:top w:val="single" w:sz="4" w:space="0" w:color="auto"/>
              <w:left w:val="single" w:sz="4" w:space="0" w:color="auto"/>
              <w:bottom w:val="single" w:sz="4" w:space="0" w:color="auto"/>
              <w:right w:val="single" w:sz="4" w:space="0" w:color="auto"/>
            </w:tcBorders>
            <w:vAlign w:val="center"/>
            <w:hideMark/>
          </w:tcPr>
          <w:p w14:paraId="1CCDE469" w14:textId="77777777" w:rsidR="00DB71FB" w:rsidRPr="007A35D9" w:rsidRDefault="00DB71FB" w:rsidP="00BD32B6">
            <w:pPr>
              <w:pStyle w:val="Tabletext"/>
              <w:rPr>
                <w:lang w:eastAsia="zh-CN"/>
              </w:rPr>
            </w:pPr>
            <w:r w:rsidRPr="007A35D9">
              <w:rPr>
                <w:lang w:eastAsia="zh-CN"/>
              </w:rPr>
              <w:t>Report ITU-R F.2328</w:t>
            </w:r>
          </w:p>
        </w:tc>
        <w:tc>
          <w:tcPr>
            <w:tcW w:w="3400" w:type="dxa"/>
            <w:tcBorders>
              <w:top w:val="single" w:sz="4" w:space="0" w:color="auto"/>
              <w:left w:val="single" w:sz="4" w:space="0" w:color="auto"/>
              <w:bottom w:val="single" w:sz="4" w:space="0" w:color="auto"/>
              <w:right w:val="single" w:sz="4" w:space="0" w:color="auto"/>
            </w:tcBorders>
            <w:vAlign w:val="center"/>
            <w:hideMark/>
          </w:tcPr>
          <w:p w14:paraId="21C04B6A" w14:textId="28656E54" w:rsidR="00DB71FB" w:rsidRPr="007A35D9" w:rsidRDefault="00DB71FB" w:rsidP="00BD32B6">
            <w:pPr>
              <w:pStyle w:val="Tabletext"/>
            </w:pPr>
            <w:r w:rsidRPr="007A35D9">
              <w:t>Sharing and compatibility between international mobile telecommunication systems and fixed service systems in the 3 400-4</w:t>
            </w:r>
            <w:r w:rsidR="001015C4" w:rsidRPr="007A35D9">
              <w:t> </w:t>
            </w:r>
            <w:r w:rsidRPr="007A35D9">
              <w:t>200</w:t>
            </w:r>
            <w:r w:rsidR="001015C4" w:rsidRPr="007A35D9">
              <w:t> </w:t>
            </w:r>
            <w:r w:rsidRPr="007A35D9">
              <w:t>MHz frequency range</w:t>
            </w:r>
          </w:p>
        </w:tc>
        <w:tc>
          <w:tcPr>
            <w:tcW w:w="3146" w:type="dxa"/>
            <w:tcBorders>
              <w:top w:val="single" w:sz="4" w:space="0" w:color="auto"/>
              <w:left w:val="single" w:sz="4" w:space="0" w:color="auto"/>
              <w:bottom w:val="single" w:sz="4" w:space="0" w:color="auto"/>
              <w:right w:val="single" w:sz="4" w:space="0" w:color="auto"/>
            </w:tcBorders>
            <w:vAlign w:val="center"/>
            <w:hideMark/>
          </w:tcPr>
          <w:p w14:paraId="6919EEFB" w14:textId="77777777" w:rsidR="00DB71FB" w:rsidRPr="007A35D9" w:rsidRDefault="00DB71FB" w:rsidP="00BD32B6">
            <w:pPr>
              <w:pStyle w:val="Tabletext"/>
            </w:pPr>
            <w:r w:rsidRPr="007A35D9">
              <w:t>This Report examines the compatibility of proposed international mobile telecommunication (IMT) systems and fixed service (FS) systems operating in the 3 400-4 200 MHz frequency range</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2F20C58" w14:textId="77777777" w:rsidR="00DB71FB" w:rsidRPr="007A35D9" w:rsidRDefault="00DB71FB" w:rsidP="00BD32B6">
            <w:pPr>
              <w:pStyle w:val="Tabletext"/>
              <w:rPr>
                <w:lang w:eastAsia="zh-CN"/>
              </w:rPr>
            </w:pPr>
            <w:r w:rsidRPr="007A35D9">
              <w:rPr>
                <w:lang w:eastAsia="zh-CN"/>
              </w:rPr>
              <w:t>WRC-15 1.1</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AD05ACB" w14:textId="77777777" w:rsidR="00DB71FB" w:rsidRPr="007A35D9" w:rsidRDefault="00DB71FB" w:rsidP="00BD32B6">
            <w:pPr>
              <w:pStyle w:val="Tabletext"/>
              <w:rPr>
                <w:lang w:eastAsia="zh-CN"/>
              </w:rPr>
            </w:pPr>
            <w:r w:rsidRPr="007A35D9">
              <w:rPr>
                <w:lang w:eastAsia="zh-CN"/>
              </w:rPr>
              <w:t>11/2014</w:t>
            </w:r>
          </w:p>
        </w:tc>
      </w:tr>
    </w:tbl>
    <w:p w14:paraId="0CA0817A" w14:textId="77777777" w:rsidR="00DB71FB" w:rsidRPr="007A35D9" w:rsidRDefault="00DB71FB" w:rsidP="00DB71FB">
      <w:pPr>
        <w:spacing w:before="0"/>
        <w:textAlignment w:val="auto"/>
        <w:rPr>
          <w:rFonts w:eastAsia="SimSun"/>
          <w:lang w:eastAsia="zh-CN"/>
        </w:rPr>
      </w:pPr>
    </w:p>
    <w:p w14:paraId="0493E2D7" w14:textId="77777777" w:rsidR="00DB71FB" w:rsidRPr="007A35D9" w:rsidRDefault="00DB71FB" w:rsidP="00DB71FB">
      <w:pPr>
        <w:rPr>
          <w:rFonts w:eastAsia="SimSun"/>
          <w:lang w:eastAsia="zh-CN"/>
        </w:rPr>
      </w:pPr>
      <w:r w:rsidRPr="007A35D9">
        <w:rPr>
          <w:rFonts w:eastAsia="SimSun"/>
          <w:lang w:eastAsia="zh-CN"/>
        </w:rPr>
        <w:t>The Report ITU-R S.2368 is the latest document developed by ITU-R in 2015 which is related to the frequency band 3 400-4 200 MHz.</w:t>
      </w:r>
    </w:p>
    <w:p w14:paraId="38720A74" w14:textId="77777777" w:rsidR="00DB71FB" w:rsidRPr="007A35D9" w:rsidRDefault="00DB71FB" w:rsidP="006538C2">
      <w:pPr>
        <w:pStyle w:val="TableNo"/>
        <w:rPr>
          <w:lang w:eastAsia="zh-CN"/>
        </w:rPr>
      </w:pPr>
      <w:r w:rsidRPr="007A35D9">
        <w:t xml:space="preserve">TABLE </w:t>
      </w:r>
      <w:r w:rsidRPr="007A35D9">
        <w:rPr>
          <w:lang w:eastAsia="zh-CN"/>
        </w:rPr>
        <w:t>3</w:t>
      </w:r>
    </w:p>
    <w:p w14:paraId="0A07CE66" w14:textId="77777777" w:rsidR="00DB71FB" w:rsidRPr="007A35D9" w:rsidRDefault="00DB71FB" w:rsidP="00DB71FB">
      <w:pPr>
        <w:pStyle w:val="Tabletitle"/>
        <w:rPr>
          <w:lang w:eastAsia="zh-CN"/>
        </w:rPr>
      </w:pPr>
      <w:r w:rsidRPr="007A35D9">
        <w:rPr>
          <w:lang w:eastAsia="zh-CN"/>
        </w:rPr>
        <w:t>Review of Report ITU-R S.2368</w:t>
      </w:r>
    </w:p>
    <w:tbl>
      <w:tblPr>
        <w:tblW w:w="5000" w:type="pct"/>
        <w:tblLook w:val="04A0" w:firstRow="1" w:lastRow="0" w:firstColumn="1" w:lastColumn="0" w:noHBand="0" w:noVBand="1"/>
      </w:tblPr>
      <w:tblGrid>
        <w:gridCol w:w="1284"/>
        <w:gridCol w:w="2019"/>
        <w:gridCol w:w="2018"/>
        <w:gridCol w:w="2020"/>
        <w:gridCol w:w="2288"/>
      </w:tblGrid>
      <w:tr w:rsidR="00DB71FB" w:rsidRPr="007A35D9" w14:paraId="617E85A1" w14:textId="77777777" w:rsidTr="00DB71FB">
        <w:trPr>
          <w:trHeight w:val="540"/>
          <w:tblHeader/>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6885D2C1" w14:textId="77777777" w:rsidR="00DB71FB" w:rsidRPr="007A35D9" w:rsidRDefault="00DB71FB" w:rsidP="001015C4">
            <w:pPr>
              <w:pStyle w:val="Tablehead"/>
              <w:rPr>
                <w:rFonts w:eastAsia="SimSun"/>
              </w:rPr>
            </w:pPr>
            <w:r w:rsidRPr="007A35D9">
              <w:rPr>
                <w:rFonts w:eastAsia="SimSun"/>
              </w:rPr>
              <w:t>Annex / Study #</w:t>
            </w:r>
          </w:p>
        </w:tc>
        <w:tc>
          <w:tcPr>
            <w:tcW w:w="1048" w:type="pct"/>
            <w:vMerge w:val="restart"/>
            <w:tcBorders>
              <w:top w:val="single" w:sz="4" w:space="0" w:color="auto"/>
              <w:left w:val="nil"/>
              <w:bottom w:val="single" w:sz="4" w:space="0" w:color="auto"/>
              <w:right w:val="single" w:sz="4" w:space="0" w:color="auto"/>
            </w:tcBorders>
            <w:noWrap/>
            <w:vAlign w:val="center"/>
            <w:hideMark/>
          </w:tcPr>
          <w:p w14:paraId="70F31CB0" w14:textId="77777777" w:rsidR="00DB71FB" w:rsidRPr="007A35D9" w:rsidRDefault="00DB71FB" w:rsidP="001015C4">
            <w:pPr>
              <w:pStyle w:val="Tablehead"/>
              <w:rPr>
                <w:rFonts w:eastAsia="SimSun"/>
              </w:rPr>
            </w:pPr>
            <w:r w:rsidRPr="007A35D9">
              <w:rPr>
                <w:rFonts w:eastAsia="SimSun"/>
              </w:rPr>
              <w:t>Source</w:t>
            </w:r>
          </w:p>
        </w:tc>
        <w:tc>
          <w:tcPr>
            <w:tcW w:w="2097" w:type="pct"/>
            <w:gridSpan w:val="2"/>
            <w:tcBorders>
              <w:top w:val="single" w:sz="4" w:space="0" w:color="auto"/>
              <w:left w:val="nil"/>
              <w:bottom w:val="single" w:sz="4" w:space="0" w:color="auto"/>
              <w:right w:val="single" w:sz="4" w:space="0" w:color="auto"/>
            </w:tcBorders>
            <w:vAlign w:val="center"/>
            <w:hideMark/>
          </w:tcPr>
          <w:p w14:paraId="39A07F54" w14:textId="77777777" w:rsidR="00DB71FB" w:rsidRPr="007A35D9" w:rsidRDefault="00DB71FB" w:rsidP="001015C4">
            <w:pPr>
              <w:pStyle w:val="Tablehead"/>
              <w:rPr>
                <w:rFonts w:eastAsia="SimSun"/>
              </w:rPr>
            </w:pPr>
            <w:r w:rsidRPr="007A35D9">
              <w:rPr>
                <w:rFonts w:eastAsia="SimSun"/>
              </w:rPr>
              <w:t>Operating frequency band</w:t>
            </w:r>
          </w:p>
        </w:tc>
        <w:tc>
          <w:tcPr>
            <w:tcW w:w="1188" w:type="pct"/>
            <w:vMerge w:val="restart"/>
            <w:tcBorders>
              <w:top w:val="single" w:sz="4" w:space="0" w:color="auto"/>
              <w:left w:val="nil"/>
              <w:bottom w:val="single" w:sz="4" w:space="0" w:color="auto"/>
              <w:right w:val="single" w:sz="4" w:space="0" w:color="auto"/>
            </w:tcBorders>
            <w:vAlign w:val="center"/>
            <w:hideMark/>
          </w:tcPr>
          <w:p w14:paraId="5D4188DD" w14:textId="77777777" w:rsidR="00DB71FB" w:rsidRPr="007A35D9" w:rsidRDefault="00DB71FB" w:rsidP="001015C4">
            <w:pPr>
              <w:pStyle w:val="Tablehead"/>
              <w:rPr>
                <w:rFonts w:eastAsia="SimSun"/>
              </w:rPr>
            </w:pPr>
            <w:r w:rsidRPr="007A35D9">
              <w:rPr>
                <w:rFonts w:eastAsia="SimSun"/>
              </w:rPr>
              <w:t>Co-channel and/or</w:t>
            </w:r>
          </w:p>
          <w:p w14:paraId="362C6DD6" w14:textId="77777777" w:rsidR="00DB71FB" w:rsidRPr="007A35D9" w:rsidRDefault="00DB71FB" w:rsidP="001015C4">
            <w:pPr>
              <w:pStyle w:val="Tablehead"/>
              <w:rPr>
                <w:rFonts w:eastAsia="SimSun"/>
              </w:rPr>
            </w:pPr>
            <w:r w:rsidRPr="007A35D9">
              <w:rPr>
                <w:rFonts w:eastAsia="SimSun"/>
              </w:rPr>
              <w:t>Adjacent channel</w:t>
            </w:r>
          </w:p>
        </w:tc>
      </w:tr>
      <w:tr w:rsidR="00DB71FB" w:rsidRPr="007A35D9" w14:paraId="55728CF5" w14:textId="77777777" w:rsidTr="00DB71FB">
        <w:trPr>
          <w:trHeight w:val="5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957FD" w14:textId="77777777" w:rsidR="00DB71FB" w:rsidRPr="007A35D9" w:rsidRDefault="00DB71FB" w:rsidP="001015C4">
            <w:pPr>
              <w:pStyle w:val="Tablehead"/>
              <w:rPr>
                <w:rFonts w:eastAsia="SimSun"/>
              </w:rPr>
            </w:pPr>
          </w:p>
        </w:tc>
        <w:tc>
          <w:tcPr>
            <w:tcW w:w="0" w:type="auto"/>
            <w:vMerge/>
            <w:tcBorders>
              <w:top w:val="single" w:sz="4" w:space="0" w:color="auto"/>
              <w:left w:val="nil"/>
              <w:bottom w:val="single" w:sz="4" w:space="0" w:color="auto"/>
              <w:right w:val="single" w:sz="4" w:space="0" w:color="auto"/>
            </w:tcBorders>
            <w:vAlign w:val="center"/>
            <w:hideMark/>
          </w:tcPr>
          <w:p w14:paraId="26117155" w14:textId="77777777" w:rsidR="00DB71FB" w:rsidRPr="007A35D9" w:rsidRDefault="00DB71FB" w:rsidP="001015C4">
            <w:pPr>
              <w:pStyle w:val="Tablehead"/>
              <w:rPr>
                <w:rFonts w:eastAsia="SimSun"/>
              </w:rPr>
            </w:pPr>
          </w:p>
        </w:tc>
        <w:tc>
          <w:tcPr>
            <w:tcW w:w="1048" w:type="pct"/>
            <w:tcBorders>
              <w:top w:val="single" w:sz="4" w:space="0" w:color="auto"/>
              <w:left w:val="nil"/>
              <w:bottom w:val="single" w:sz="4" w:space="0" w:color="auto"/>
              <w:right w:val="single" w:sz="4" w:space="0" w:color="auto"/>
            </w:tcBorders>
            <w:vAlign w:val="center"/>
            <w:hideMark/>
          </w:tcPr>
          <w:p w14:paraId="06359D5A" w14:textId="77777777" w:rsidR="00DB71FB" w:rsidRPr="007A35D9" w:rsidRDefault="00DB71FB" w:rsidP="001015C4">
            <w:pPr>
              <w:pStyle w:val="Tablehead"/>
              <w:rPr>
                <w:rFonts w:eastAsia="SimSun"/>
              </w:rPr>
            </w:pPr>
            <w:r w:rsidRPr="007A35D9">
              <w:rPr>
                <w:rFonts w:eastAsia="SimSun"/>
              </w:rPr>
              <w:t>IMT</w:t>
            </w:r>
          </w:p>
        </w:tc>
        <w:tc>
          <w:tcPr>
            <w:tcW w:w="1049" w:type="pct"/>
            <w:tcBorders>
              <w:top w:val="single" w:sz="4" w:space="0" w:color="auto"/>
              <w:left w:val="nil"/>
              <w:bottom w:val="single" w:sz="4" w:space="0" w:color="auto"/>
              <w:right w:val="single" w:sz="4" w:space="0" w:color="auto"/>
            </w:tcBorders>
            <w:vAlign w:val="center"/>
            <w:hideMark/>
          </w:tcPr>
          <w:p w14:paraId="51E24682" w14:textId="77777777" w:rsidR="00DB71FB" w:rsidRPr="007A35D9" w:rsidRDefault="00DB71FB" w:rsidP="001015C4">
            <w:pPr>
              <w:pStyle w:val="Tablehead"/>
              <w:rPr>
                <w:rFonts w:eastAsia="SimSun"/>
              </w:rPr>
            </w:pPr>
            <w:r w:rsidRPr="007A35D9">
              <w:rPr>
                <w:rFonts w:eastAsia="SimSun"/>
              </w:rPr>
              <w:t>FSS ES</w:t>
            </w:r>
          </w:p>
        </w:tc>
        <w:tc>
          <w:tcPr>
            <w:tcW w:w="0" w:type="auto"/>
            <w:vMerge/>
            <w:tcBorders>
              <w:top w:val="single" w:sz="4" w:space="0" w:color="auto"/>
              <w:left w:val="nil"/>
              <w:bottom w:val="single" w:sz="4" w:space="0" w:color="auto"/>
              <w:right w:val="single" w:sz="4" w:space="0" w:color="auto"/>
            </w:tcBorders>
            <w:vAlign w:val="center"/>
            <w:hideMark/>
          </w:tcPr>
          <w:p w14:paraId="70B7C7A2" w14:textId="77777777" w:rsidR="00DB71FB" w:rsidRPr="007A35D9" w:rsidRDefault="00DB71FB" w:rsidP="00BD32B6">
            <w:pPr>
              <w:tabs>
                <w:tab w:val="clear" w:pos="1134"/>
                <w:tab w:val="clear" w:pos="1871"/>
                <w:tab w:val="clear" w:pos="2268"/>
              </w:tabs>
              <w:overflowPunct/>
              <w:autoSpaceDE/>
              <w:autoSpaceDN/>
              <w:adjustRightInd/>
              <w:spacing w:before="0"/>
              <w:textAlignment w:val="auto"/>
              <w:rPr>
                <w:rFonts w:eastAsia="SimSun"/>
                <w:b/>
                <w:sz w:val="20"/>
                <w:lang w:eastAsia="zh-CN"/>
              </w:rPr>
            </w:pPr>
          </w:p>
        </w:tc>
      </w:tr>
      <w:tr w:rsidR="00DB71FB" w:rsidRPr="007A35D9" w14:paraId="291E4DE9" w14:textId="77777777" w:rsidTr="00BD32B6">
        <w:trPr>
          <w:trHeight w:val="540"/>
        </w:trPr>
        <w:tc>
          <w:tcPr>
            <w:tcW w:w="666" w:type="pct"/>
            <w:tcBorders>
              <w:top w:val="nil"/>
              <w:left w:val="single" w:sz="4" w:space="0" w:color="auto"/>
              <w:bottom w:val="single" w:sz="4" w:space="0" w:color="auto"/>
              <w:right w:val="single" w:sz="4" w:space="0" w:color="auto"/>
            </w:tcBorders>
            <w:vAlign w:val="center"/>
            <w:hideMark/>
          </w:tcPr>
          <w:p w14:paraId="26967DA1" w14:textId="77777777" w:rsidR="00DB71FB" w:rsidRPr="007A35D9" w:rsidRDefault="00DB71FB" w:rsidP="00BD32B6">
            <w:pPr>
              <w:pStyle w:val="Tabletext"/>
              <w:jc w:val="center"/>
              <w:rPr>
                <w:rFonts w:eastAsia="SimSun"/>
              </w:rPr>
            </w:pPr>
            <w:r w:rsidRPr="007A35D9">
              <w:rPr>
                <w:rFonts w:eastAsia="SimSun"/>
              </w:rPr>
              <w:t>1</w:t>
            </w:r>
          </w:p>
        </w:tc>
        <w:tc>
          <w:tcPr>
            <w:tcW w:w="1048" w:type="pct"/>
            <w:tcBorders>
              <w:top w:val="nil"/>
              <w:left w:val="nil"/>
              <w:bottom w:val="single" w:sz="4" w:space="0" w:color="auto"/>
              <w:right w:val="single" w:sz="4" w:space="0" w:color="auto"/>
            </w:tcBorders>
            <w:vAlign w:val="center"/>
            <w:hideMark/>
          </w:tcPr>
          <w:p w14:paraId="765E4F2B" w14:textId="77777777" w:rsidR="00DB71FB" w:rsidRPr="007A35D9" w:rsidRDefault="00DB71FB" w:rsidP="00BD32B6">
            <w:pPr>
              <w:pStyle w:val="Tabletext"/>
              <w:jc w:val="center"/>
              <w:rPr>
                <w:rFonts w:eastAsia="SimSun"/>
              </w:rPr>
            </w:pPr>
            <w:r w:rsidRPr="007A35D9">
              <w:rPr>
                <w:rFonts w:eastAsia="SimSun"/>
              </w:rPr>
              <w:t>Japan</w:t>
            </w:r>
          </w:p>
        </w:tc>
        <w:tc>
          <w:tcPr>
            <w:tcW w:w="1048" w:type="pct"/>
            <w:tcBorders>
              <w:top w:val="nil"/>
              <w:left w:val="nil"/>
              <w:bottom w:val="single" w:sz="4" w:space="0" w:color="auto"/>
              <w:right w:val="single" w:sz="4" w:space="0" w:color="auto"/>
            </w:tcBorders>
            <w:vAlign w:val="center"/>
            <w:hideMark/>
          </w:tcPr>
          <w:p w14:paraId="1B1021FB" w14:textId="14842311"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w:t>
            </w:r>
            <w:r w:rsidRPr="007A35D9">
              <w:rPr>
                <w:rFonts w:eastAsia="SimSun"/>
                <w:color w:val="000000"/>
                <w:lang w:eastAsia="zh-CN"/>
              </w:rPr>
              <w:t>z</w:t>
            </w:r>
            <w:r w:rsidRPr="007A35D9">
              <w:rPr>
                <w:rFonts w:eastAsia="SimSun"/>
                <w:color w:val="000000"/>
                <w:lang w:eastAsia="zh-CN"/>
              </w:rPr>
              <w:br/>
            </w:r>
            <w:r w:rsidRPr="007A35D9">
              <w:rPr>
                <w:rFonts w:eastAsia="SimSun"/>
                <w:color w:val="000000"/>
              </w:rPr>
              <w:t>4 500-4 800</w:t>
            </w:r>
            <w:r w:rsidR="00030A41" w:rsidRPr="007A35D9">
              <w:rPr>
                <w:rFonts w:eastAsia="SimSun"/>
                <w:color w:val="000000"/>
              </w:rPr>
              <w:t xml:space="preserve"> </w:t>
            </w:r>
            <w:r w:rsidRPr="007A35D9">
              <w:rPr>
                <w:rFonts w:eastAsia="SimSun"/>
                <w:color w:val="000000"/>
              </w:rPr>
              <w:t>MHz</w:t>
            </w:r>
          </w:p>
        </w:tc>
        <w:tc>
          <w:tcPr>
            <w:tcW w:w="1049" w:type="pct"/>
            <w:tcBorders>
              <w:top w:val="nil"/>
              <w:left w:val="nil"/>
              <w:bottom w:val="single" w:sz="4" w:space="0" w:color="auto"/>
              <w:right w:val="single" w:sz="4" w:space="0" w:color="auto"/>
            </w:tcBorders>
            <w:vAlign w:val="center"/>
            <w:hideMark/>
          </w:tcPr>
          <w:p w14:paraId="54F44950" w14:textId="7CDC1117" w:rsidR="00DB71FB" w:rsidRPr="007A35D9" w:rsidRDefault="00DB71FB" w:rsidP="00BD32B6">
            <w:pPr>
              <w:pStyle w:val="Tabletext"/>
              <w:jc w:val="center"/>
              <w:rPr>
                <w:rFonts w:eastAsia="SimSun"/>
                <w:color w:val="000000"/>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w:t>
            </w:r>
            <w:r w:rsidRPr="007A35D9">
              <w:rPr>
                <w:rFonts w:eastAsia="SimSun"/>
                <w:color w:val="000000"/>
                <w:lang w:eastAsia="zh-CN"/>
              </w:rPr>
              <w:t>z</w:t>
            </w:r>
            <w:r w:rsidRPr="007A35D9">
              <w:rPr>
                <w:rFonts w:eastAsia="SimSun"/>
                <w:color w:val="000000"/>
                <w:lang w:eastAsia="zh-CN"/>
              </w:rPr>
              <w:br/>
            </w:r>
            <w:r w:rsidRPr="007A35D9">
              <w:rPr>
                <w:rFonts w:eastAsia="SimSun"/>
                <w:color w:val="000000"/>
              </w:rPr>
              <w:t>4 500-4 800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3AAD6591" w14:textId="77777777" w:rsidR="00DB71FB" w:rsidRPr="007A35D9" w:rsidRDefault="00DB71FB" w:rsidP="00BD32B6">
            <w:pPr>
              <w:pStyle w:val="Tabletext"/>
              <w:jc w:val="center"/>
              <w:rPr>
                <w:rFonts w:eastAsia="SimSun"/>
                <w:color w:val="000000"/>
                <w:lang w:eastAsia="zh-CN"/>
              </w:rPr>
            </w:pPr>
            <w:r w:rsidRPr="007A35D9">
              <w:rPr>
                <w:rFonts w:eastAsia="SimSun"/>
                <w:color w:val="000000"/>
                <w:lang w:eastAsia="zh-CN"/>
              </w:rPr>
              <w:t>Co-channel</w:t>
            </w:r>
          </w:p>
        </w:tc>
      </w:tr>
      <w:tr w:rsidR="00DB71FB" w:rsidRPr="007A35D9" w14:paraId="6EEB236F" w14:textId="77777777" w:rsidTr="00BD32B6">
        <w:trPr>
          <w:trHeight w:val="451"/>
        </w:trPr>
        <w:tc>
          <w:tcPr>
            <w:tcW w:w="666" w:type="pct"/>
            <w:vMerge w:val="restart"/>
            <w:tcBorders>
              <w:top w:val="nil"/>
              <w:left w:val="single" w:sz="4" w:space="0" w:color="auto"/>
              <w:bottom w:val="single" w:sz="4" w:space="0" w:color="auto"/>
              <w:right w:val="single" w:sz="4" w:space="0" w:color="auto"/>
            </w:tcBorders>
            <w:vAlign w:val="center"/>
            <w:hideMark/>
          </w:tcPr>
          <w:p w14:paraId="0A9F9C25" w14:textId="77777777" w:rsidR="00DB71FB" w:rsidRPr="007A35D9" w:rsidRDefault="00DB71FB" w:rsidP="00BD32B6">
            <w:pPr>
              <w:pStyle w:val="Tabletext"/>
              <w:jc w:val="center"/>
              <w:rPr>
                <w:rFonts w:eastAsia="SimSun"/>
              </w:rPr>
            </w:pPr>
            <w:r w:rsidRPr="007A35D9">
              <w:rPr>
                <w:rFonts w:eastAsia="SimSun"/>
              </w:rPr>
              <w:t>2</w:t>
            </w:r>
          </w:p>
        </w:tc>
        <w:tc>
          <w:tcPr>
            <w:tcW w:w="1048" w:type="pct"/>
            <w:vMerge w:val="restart"/>
            <w:tcBorders>
              <w:top w:val="nil"/>
              <w:left w:val="nil"/>
              <w:bottom w:val="single" w:sz="4" w:space="0" w:color="auto"/>
              <w:right w:val="single" w:sz="4" w:space="0" w:color="auto"/>
            </w:tcBorders>
            <w:vAlign w:val="center"/>
            <w:hideMark/>
          </w:tcPr>
          <w:p w14:paraId="2835E945" w14:textId="77777777" w:rsidR="00DB71FB" w:rsidRPr="007A35D9" w:rsidRDefault="00DB71FB" w:rsidP="00BD32B6">
            <w:pPr>
              <w:pStyle w:val="Tabletext"/>
              <w:jc w:val="center"/>
              <w:rPr>
                <w:rFonts w:eastAsia="SimSun"/>
                <w:lang w:eastAsia="zh-CN"/>
              </w:rPr>
            </w:pPr>
            <w:r w:rsidRPr="007A35D9">
              <w:rPr>
                <w:rFonts w:eastAsia="SimSun"/>
              </w:rPr>
              <w:t>UMTS Forum</w:t>
            </w:r>
          </w:p>
        </w:tc>
        <w:tc>
          <w:tcPr>
            <w:tcW w:w="1048" w:type="pct"/>
            <w:vMerge w:val="restart"/>
            <w:tcBorders>
              <w:top w:val="nil"/>
              <w:left w:val="nil"/>
              <w:bottom w:val="single" w:sz="4" w:space="0" w:color="auto"/>
              <w:right w:val="single" w:sz="4" w:space="0" w:color="auto"/>
            </w:tcBorders>
            <w:vAlign w:val="center"/>
            <w:hideMark/>
          </w:tcPr>
          <w:p w14:paraId="3742CDE4" w14:textId="11A8BF56"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vMerge w:val="restart"/>
            <w:tcBorders>
              <w:top w:val="nil"/>
              <w:left w:val="nil"/>
              <w:bottom w:val="single" w:sz="4" w:space="0" w:color="auto"/>
              <w:right w:val="single" w:sz="4" w:space="0" w:color="auto"/>
            </w:tcBorders>
            <w:vAlign w:val="center"/>
            <w:hideMark/>
          </w:tcPr>
          <w:p w14:paraId="18E164CB" w14:textId="2188A182" w:rsidR="00DB71FB" w:rsidRPr="007A35D9" w:rsidRDefault="00DB71FB" w:rsidP="00BD32B6">
            <w:pPr>
              <w:pStyle w:val="Tabletext"/>
              <w:jc w:val="center"/>
              <w:rPr>
                <w:rFonts w:eastAsia="SimSun"/>
                <w:color w:val="000000"/>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19E485BB"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Co-channel</w:t>
            </w:r>
          </w:p>
        </w:tc>
      </w:tr>
      <w:tr w:rsidR="00DB71FB" w:rsidRPr="007A35D9" w14:paraId="22DEEFF6" w14:textId="77777777" w:rsidTr="00BD32B6">
        <w:trPr>
          <w:trHeight w:val="451"/>
        </w:trPr>
        <w:tc>
          <w:tcPr>
            <w:tcW w:w="0" w:type="auto"/>
            <w:vMerge/>
            <w:tcBorders>
              <w:top w:val="nil"/>
              <w:left w:val="single" w:sz="4" w:space="0" w:color="auto"/>
              <w:bottom w:val="single" w:sz="4" w:space="0" w:color="auto"/>
              <w:right w:val="single" w:sz="4" w:space="0" w:color="auto"/>
            </w:tcBorders>
            <w:vAlign w:val="center"/>
            <w:hideMark/>
          </w:tcPr>
          <w:p w14:paraId="4DBB449F"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244465CC" w14:textId="77777777" w:rsidR="00DB71FB" w:rsidRPr="007A35D9" w:rsidRDefault="00DB71FB" w:rsidP="00BD32B6">
            <w:pPr>
              <w:pStyle w:val="Tabletext"/>
              <w:jc w:val="center"/>
              <w:rPr>
                <w:rFonts w:eastAsia="SimSun"/>
                <w:lang w:eastAsia="zh-CN"/>
              </w:rPr>
            </w:pPr>
          </w:p>
        </w:tc>
        <w:tc>
          <w:tcPr>
            <w:tcW w:w="0" w:type="auto"/>
            <w:vMerge/>
            <w:tcBorders>
              <w:top w:val="nil"/>
              <w:left w:val="nil"/>
              <w:bottom w:val="single" w:sz="4" w:space="0" w:color="auto"/>
              <w:right w:val="single" w:sz="4" w:space="0" w:color="auto"/>
            </w:tcBorders>
            <w:vAlign w:val="center"/>
            <w:hideMark/>
          </w:tcPr>
          <w:p w14:paraId="6F021B5F"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3EE10AAA" w14:textId="77777777" w:rsidR="00DB71FB" w:rsidRPr="007A35D9" w:rsidRDefault="00DB71FB" w:rsidP="00BD32B6">
            <w:pPr>
              <w:pStyle w:val="Tabletext"/>
              <w:jc w:val="center"/>
              <w:rPr>
                <w:rFonts w:eastAsia="SimSun"/>
                <w:color w:val="000000"/>
              </w:rPr>
            </w:pPr>
          </w:p>
        </w:tc>
        <w:tc>
          <w:tcPr>
            <w:tcW w:w="1188" w:type="pct"/>
            <w:tcBorders>
              <w:top w:val="single" w:sz="4" w:space="0" w:color="auto"/>
              <w:left w:val="nil"/>
              <w:bottom w:val="single" w:sz="4" w:space="0" w:color="auto"/>
              <w:right w:val="single" w:sz="4" w:space="0" w:color="auto"/>
            </w:tcBorders>
            <w:vAlign w:val="center"/>
            <w:hideMark/>
          </w:tcPr>
          <w:p w14:paraId="5A62FF09" w14:textId="77777777" w:rsidR="00DB71FB" w:rsidRPr="007A35D9" w:rsidRDefault="00DB71FB" w:rsidP="00BD32B6">
            <w:pPr>
              <w:pStyle w:val="Tabletext"/>
              <w:jc w:val="center"/>
              <w:rPr>
                <w:rFonts w:eastAsia="SimSun"/>
                <w:color w:val="000000"/>
                <w:lang w:eastAsia="zh-CN"/>
              </w:rPr>
            </w:pPr>
            <w:r w:rsidRPr="007A35D9">
              <w:rPr>
                <w:rFonts w:eastAsia="SimSun"/>
                <w:color w:val="000000"/>
                <w:lang w:eastAsia="zh-CN"/>
              </w:rPr>
              <w:t>adjacent channel</w:t>
            </w:r>
          </w:p>
        </w:tc>
      </w:tr>
      <w:tr w:rsidR="00DB71FB" w:rsidRPr="007A35D9" w14:paraId="0D0FA645" w14:textId="77777777" w:rsidTr="00BD32B6">
        <w:trPr>
          <w:trHeight w:val="413"/>
        </w:trPr>
        <w:tc>
          <w:tcPr>
            <w:tcW w:w="666" w:type="pct"/>
            <w:vMerge w:val="restart"/>
            <w:tcBorders>
              <w:top w:val="nil"/>
              <w:left w:val="single" w:sz="4" w:space="0" w:color="auto"/>
              <w:bottom w:val="single" w:sz="4" w:space="0" w:color="auto"/>
              <w:right w:val="single" w:sz="4" w:space="0" w:color="auto"/>
            </w:tcBorders>
            <w:vAlign w:val="center"/>
            <w:hideMark/>
          </w:tcPr>
          <w:p w14:paraId="5DA8753A" w14:textId="77777777" w:rsidR="00DB71FB" w:rsidRPr="007A35D9" w:rsidRDefault="00DB71FB" w:rsidP="00BD32B6">
            <w:pPr>
              <w:pStyle w:val="Tabletext"/>
              <w:jc w:val="center"/>
              <w:rPr>
                <w:rFonts w:eastAsia="SimSun"/>
              </w:rPr>
            </w:pPr>
            <w:r w:rsidRPr="007A35D9">
              <w:rPr>
                <w:rFonts w:eastAsia="SimSun"/>
              </w:rPr>
              <w:t>3</w:t>
            </w:r>
          </w:p>
        </w:tc>
        <w:tc>
          <w:tcPr>
            <w:tcW w:w="1048" w:type="pct"/>
            <w:vMerge w:val="restart"/>
            <w:tcBorders>
              <w:top w:val="nil"/>
              <w:left w:val="nil"/>
              <w:bottom w:val="single" w:sz="4" w:space="0" w:color="auto"/>
              <w:right w:val="single" w:sz="4" w:space="0" w:color="auto"/>
            </w:tcBorders>
            <w:vAlign w:val="center"/>
            <w:hideMark/>
          </w:tcPr>
          <w:p w14:paraId="22A60924" w14:textId="77777777" w:rsidR="00DB71FB" w:rsidRPr="007A35D9" w:rsidRDefault="00DB71FB" w:rsidP="00BD32B6">
            <w:pPr>
              <w:pStyle w:val="Tabletext"/>
              <w:jc w:val="center"/>
              <w:rPr>
                <w:rFonts w:eastAsia="SimSun"/>
              </w:rPr>
            </w:pPr>
            <w:r w:rsidRPr="007A35D9">
              <w:rPr>
                <w:rFonts w:eastAsia="SimSun"/>
              </w:rPr>
              <w:t>Japan</w:t>
            </w:r>
          </w:p>
        </w:tc>
        <w:tc>
          <w:tcPr>
            <w:tcW w:w="1048" w:type="pct"/>
            <w:vMerge w:val="restart"/>
            <w:tcBorders>
              <w:top w:val="nil"/>
              <w:left w:val="nil"/>
              <w:bottom w:val="single" w:sz="4" w:space="0" w:color="auto"/>
              <w:right w:val="single" w:sz="4" w:space="0" w:color="auto"/>
            </w:tcBorders>
            <w:vAlign w:val="center"/>
            <w:hideMark/>
          </w:tcPr>
          <w:p w14:paraId="56B9601A" w14:textId="11C1082F"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vMerge w:val="restart"/>
            <w:tcBorders>
              <w:top w:val="nil"/>
              <w:left w:val="nil"/>
              <w:bottom w:val="single" w:sz="4" w:space="0" w:color="auto"/>
              <w:right w:val="single" w:sz="4" w:space="0" w:color="auto"/>
            </w:tcBorders>
            <w:vAlign w:val="center"/>
            <w:hideMark/>
          </w:tcPr>
          <w:p w14:paraId="20A89DDD" w14:textId="3563A08F" w:rsidR="00DB71FB" w:rsidRPr="007A35D9" w:rsidRDefault="00DB71FB" w:rsidP="00BD32B6">
            <w:pPr>
              <w:pStyle w:val="Tabletext"/>
              <w:jc w:val="center"/>
              <w:rPr>
                <w:rFonts w:eastAsia="SimSun"/>
                <w:color w:val="000000"/>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7FBCE7A5"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Co-channel</w:t>
            </w:r>
          </w:p>
        </w:tc>
      </w:tr>
      <w:tr w:rsidR="00DB71FB" w:rsidRPr="007A35D9" w14:paraId="37C500FD" w14:textId="77777777" w:rsidTr="00BD32B6">
        <w:trPr>
          <w:trHeight w:val="413"/>
        </w:trPr>
        <w:tc>
          <w:tcPr>
            <w:tcW w:w="0" w:type="auto"/>
            <w:vMerge/>
            <w:tcBorders>
              <w:top w:val="nil"/>
              <w:left w:val="single" w:sz="4" w:space="0" w:color="auto"/>
              <w:bottom w:val="single" w:sz="4" w:space="0" w:color="auto"/>
              <w:right w:val="single" w:sz="4" w:space="0" w:color="auto"/>
            </w:tcBorders>
            <w:vAlign w:val="center"/>
            <w:hideMark/>
          </w:tcPr>
          <w:p w14:paraId="2C6A6C53"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09CA7C08"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3804E425"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2EB143D9" w14:textId="77777777" w:rsidR="00DB71FB" w:rsidRPr="007A35D9" w:rsidRDefault="00DB71FB" w:rsidP="00BD32B6">
            <w:pPr>
              <w:pStyle w:val="Tabletext"/>
              <w:jc w:val="center"/>
              <w:rPr>
                <w:rFonts w:eastAsia="SimSun"/>
                <w:color w:val="000000"/>
              </w:rPr>
            </w:pPr>
          </w:p>
        </w:tc>
        <w:tc>
          <w:tcPr>
            <w:tcW w:w="1188" w:type="pct"/>
            <w:tcBorders>
              <w:top w:val="single" w:sz="4" w:space="0" w:color="auto"/>
              <w:left w:val="nil"/>
              <w:bottom w:val="single" w:sz="4" w:space="0" w:color="auto"/>
              <w:right w:val="single" w:sz="4" w:space="0" w:color="auto"/>
            </w:tcBorders>
            <w:vAlign w:val="center"/>
            <w:hideMark/>
          </w:tcPr>
          <w:p w14:paraId="61849E97" w14:textId="77777777" w:rsidR="00DB71FB" w:rsidRPr="007A35D9" w:rsidRDefault="00DB71FB" w:rsidP="00BD32B6">
            <w:pPr>
              <w:pStyle w:val="Tabletext"/>
              <w:jc w:val="center"/>
              <w:rPr>
                <w:rFonts w:eastAsia="SimSun"/>
                <w:color w:val="000000"/>
                <w:lang w:eastAsia="zh-CN"/>
              </w:rPr>
            </w:pPr>
            <w:r w:rsidRPr="007A35D9">
              <w:rPr>
                <w:rFonts w:eastAsia="SimSun"/>
                <w:color w:val="000000"/>
                <w:lang w:eastAsia="zh-CN"/>
              </w:rPr>
              <w:t>adjacent channel</w:t>
            </w:r>
          </w:p>
        </w:tc>
      </w:tr>
      <w:tr w:rsidR="00DB71FB" w:rsidRPr="007A35D9" w14:paraId="61071C33" w14:textId="77777777" w:rsidTr="00BD32B6">
        <w:trPr>
          <w:trHeight w:val="451"/>
        </w:trPr>
        <w:tc>
          <w:tcPr>
            <w:tcW w:w="666" w:type="pct"/>
            <w:vMerge w:val="restart"/>
            <w:tcBorders>
              <w:top w:val="nil"/>
              <w:left w:val="single" w:sz="4" w:space="0" w:color="auto"/>
              <w:bottom w:val="single" w:sz="4" w:space="0" w:color="auto"/>
              <w:right w:val="single" w:sz="4" w:space="0" w:color="auto"/>
            </w:tcBorders>
            <w:vAlign w:val="center"/>
            <w:hideMark/>
          </w:tcPr>
          <w:p w14:paraId="1BC3C699" w14:textId="77777777" w:rsidR="00DB71FB" w:rsidRPr="007A35D9" w:rsidRDefault="00DB71FB" w:rsidP="00BD32B6">
            <w:pPr>
              <w:pStyle w:val="Tabletext"/>
              <w:jc w:val="center"/>
              <w:rPr>
                <w:rFonts w:eastAsia="SimSun"/>
              </w:rPr>
            </w:pPr>
            <w:r w:rsidRPr="007A35D9">
              <w:rPr>
                <w:rFonts w:eastAsia="SimSun"/>
              </w:rPr>
              <w:t>4</w:t>
            </w:r>
          </w:p>
        </w:tc>
        <w:tc>
          <w:tcPr>
            <w:tcW w:w="1048" w:type="pct"/>
            <w:vMerge w:val="restart"/>
            <w:tcBorders>
              <w:top w:val="nil"/>
              <w:left w:val="nil"/>
              <w:bottom w:val="single" w:sz="4" w:space="0" w:color="auto"/>
              <w:right w:val="single" w:sz="4" w:space="0" w:color="auto"/>
            </w:tcBorders>
            <w:vAlign w:val="center"/>
            <w:hideMark/>
          </w:tcPr>
          <w:p w14:paraId="40A6A982" w14:textId="77777777" w:rsidR="00DB71FB" w:rsidRPr="007A35D9" w:rsidRDefault="00DB71FB" w:rsidP="00BD32B6">
            <w:pPr>
              <w:pStyle w:val="Tabletext"/>
              <w:jc w:val="center"/>
              <w:rPr>
                <w:rFonts w:eastAsia="SimSun"/>
              </w:rPr>
            </w:pPr>
            <w:r w:rsidRPr="007A35D9">
              <w:rPr>
                <w:rFonts w:eastAsia="SimSun"/>
              </w:rPr>
              <w:t>NABA</w:t>
            </w:r>
          </w:p>
        </w:tc>
        <w:tc>
          <w:tcPr>
            <w:tcW w:w="1048" w:type="pct"/>
            <w:vMerge w:val="restart"/>
            <w:tcBorders>
              <w:top w:val="nil"/>
              <w:left w:val="nil"/>
              <w:bottom w:val="single" w:sz="4" w:space="0" w:color="auto"/>
              <w:right w:val="single" w:sz="4" w:space="0" w:color="auto"/>
            </w:tcBorders>
            <w:vAlign w:val="center"/>
            <w:hideMark/>
          </w:tcPr>
          <w:p w14:paraId="54C1B678" w14:textId="4A134B3E"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vMerge w:val="restart"/>
            <w:tcBorders>
              <w:top w:val="nil"/>
              <w:left w:val="nil"/>
              <w:bottom w:val="single" w:sz="4" w:space="0" w:color="auto"/>
              <w:right w:val="single" w:sz="4" w:space="0" w:color="auto"/>
            </w:tcBorders>
            <w:vAlign w:val="center"/>
            <w:hideMark/>
          </w:tcPr>
          <w:p w14:paraId="2681F60F" w14:textId="613A5353" w:rsidR="00DB71FB" w:rsidRPr="007A35D9" w:rsidRDefault="00DB71FB" w:rsidP="00BD32B6">
            <w:pPr>
              <w:pStyle w:val="Tabletext"/>
              <w:jc w:val="center"/>
              <w:rPr>
                <w:rFonts w:eastAsia="SimSun"/>
                <w:color w:val="000000"/>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62C95678"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Co-channel</w:t>
            </w:r>
          </w:p>
        </w:tc>
      </w:tr>
      <w:tr w:rsidR="00DB71FB" w:rsidRPr="007A35D9" w14:paraId="3274F028" w14:textId="77777777" w:rsidTr="00BD32B6">
        <w:trPr>
          <w:trHeight w:val="451"/>
        </w:trPr>
        <w:tc>
          <w:tcPr>
            <w:tcW w:w="0" w:type="auto"/>
            <w:vMerge/>
            <w:tcBorders>
              <w:top w:val="nil"/>
              <w:left w:val="single" w:sz="4" w:space="0" w:color="auto"/>
              <w:bottom w:val="single" w:sz="4" w:space="0" w:color="auto"/>
              <w:right w:val="single" w:sz="4" w:space="0" w:color="auto"/>
            </w:tcBorders>
            <w:vAlign w:val="center"/>
            <w:hideMark/>
          </w:tcPr>
          <w:p w14:paraId="68D1ABDD"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4EBB273C"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7CDCFC7D"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44CF437E" w14:textId="77777777" w:rsidR="00DB71FB" w:rsidRPr="007A35D9" w:rsidRDefault="00DB71FB" w:rsidP="00BD32B6">
            <w:pPr>
              <w:pStyle w:val="Tabletext"/>
              <w:jc w:val="center"/>
              <w:rPr>
                <w:rFonts w:eastAsia="SimSun"/>
                <w:color w:val="000000"/>
              </w:rPr>
            </w:pPr>
          </w:p>
        </w:tc>
        <w:tc>
          <w:tcPr>
            <w:tcW w:w="1188" w:type="pct"/>
            <w:tcBorders>
              <w:top w:val="single" w:sz="4" w:space="0" w:color="auto"/>
              <w:left w:val="nil"/>
              <w:bottom w:val="single" w:sz="4" w:space="0" w:color="auto"/>
              <w:right w:val="single" w:sz="4" w:space="0" w:color="auto"/>
            </w:tcBorders>
            <w:vAlign w:val="center"/>
            <w:hideMark/>
          </w:tcPr>
          <w:p w14:paraId="5E5D0AD2" w14:textId="77777777" w:rsidR="00DB71FB" w:rsidRPr="007A35D9" w:rsidRDefault="00DB71FB" w:rsidP="00BD32B6">
            <w:pPr>
              <w:pStyle w:val="Tabletext"/>
              <w:jc w:val="center"/>
              <w:rPr>
                <w:rFonts w:eastAsia="SimSun"/>
                <w:color w:val="000000"/>
                <w:lang w:eastAsia="zh-CN"/>
              </w:rPr>
            </w:pPr>
            <w:r w:rsidRPr="007A35D9">
              <w:rPr>
                <w:rFonts w:eastAsia="SimSun"/>
                <w:color w:val="000000"/>
                <w:lang w:eastAsia="zh-CN"/>
              </w:rPr>
              <w:t>adjacent channel</w:t>
            </w:r>
          </w:p>
        </w:tc>
      </w:tr>
      <w:tr w:rsidR="00DB71FB" w:rsidRPr="007A35D9" w14:paraId="4572E748" w14:textId="77777777" w:rsidTr="00BD32B6">
        <w:trPr>
          <w:trHeight w:val="382"/>
        </w:trPr>
        <w:tc>
          <w:tcPr>
            <w:tcW w:w="666" w:type="pct"/>
            <w:vMerge w:val="restart"/>
            <w:tcBorders>
              <w:top w:val="nil"/>
              <w:left w:val="single" w:sz="4" w:space="0" w:color="auto"/>
              <w:bottom w:val="single" w:sz="4" w:space="0" w:color="auto"/>
              <w:right w:val="single" w:sz="4" w:space="0" w:color="auto"/>
            </w:tcBorders>
            <w:vAlign w:val="center"/>
            <w:hideMark/>
          </w:tcPr>
          <w:p w14:paraId="4B2E0E84" w14:textId="77777777" w:rsidR="00DB71FB" w:rsidRPr="007A35D9" w:rsidRDefault="00DB71FB" w:rsidP="00BD32B6">
            <w:pPr>
              <w:pStyle w:val="Tabletext"/>
              <w:jc w:val="center"/>
              <w:rPr>
                <w:rFonts w:eastAsia="SimSun"/>
              </w:rPr>
            </w:pPr>
            <w:r w:rsidRPr="007A35D9">
              <w:rPr>
                <w:rFonts w:eastAsia="SimSun"/>
              </w:rPr>
              <w:t>5</w:t>
            </w:r>
          </w:p>
        </w:tc>
        <w:tc>
          <w:tcPr>
            <w:tcW w:w="1048" w:type="pct"/>
            <w:vMerge w:val="restart"/>
            <w:tcBorders>
              <w:top w:val="nil"/>
              <w:left w:val="nil"/>
              <w:bottom w:val="single" w:sz="4" w:space="0" w:color="auto"/>
              <w:right w:val="single" w:sz="4" w:space="0" w:color="auto"/>
            </w:tcBorders>
            <w:vAlign w:val="center"/>
            <w:hideMark/>
          </w:tcPr>
          <w:p w14:paraId="40EFAB94" w14:textId="77777777" w:rsidR="00DB71FB" w:rsidRPr="007A35D9" w:rsidRDefault="00DB71FB" w:rsidP="00BD32B6">
            <w:pPr>
              <w:pStyle w:val="Tabletext"/>
              <w:jc w:val="center"/>
              <w:rPr>
                <w:rFonts w:eastAsia="SimSun"/>
              </w:rPr>
            </w:pPr>
            <w:r w:rsidRPr="007A35D9">
              <w:rPr>
                <w:rFonts w:eastAsia="SimSun"/>
              </w:rPr>
              <w:t>USA</w:t>
            </w:r>
          </w:p>
        </w:tc>
        <w:tc>
          <w:tcPr>
            <w:tcW w:w="1048" w:type="pct"/>
            <w:vMerge w:val="restart"/>
            <w:tcBorders>
              <w:top w:val="nil"/>
              <w:left w:val="nil"/>
              <w:bottom w:val="single" w:sz="4" w:space="0" w:color="auto"/>
              <w:right w:val="single" w:sz="4" w:space="0" w:color="auto"/>
            </w:tcBorders>
            <w:vAlign w:val="center"/>
            <w:hideMark/>
          </w:tcPr>
          <w:p w14:paraId="45962D7F" w14:textId="46A5CFA9"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r w:rsidRPr="007A35D9">
              <w:rPr>
                <w:rFonts w:eastAsia="SimSun"/>
                <w:color w:val="000000"/>
                <w:lang w:eastAsia="zh-CN"/>
              </w:rPr>
              <w:br/>
            </w:r>
            <w:r w:rsidRPr="007A35D9">
              <w:rPr>
                <w:rFonts w:eastAsia="SimSun"/>
                <w:color w:val="000000"/>
              </w:rPr>
              <w:t>4 500-4 800</w:t>
            </w:r>
            <w:r w:rsidR="00030A41" w:rsidRPr="007A35D9">
              <w:rPr>
                <w:rFonts w:eastAsia="SimSun"/>
                <w:color w:val="000000"/>
              </w:rPr>
              <w:t xml:space="preserve"> </w:t>
            </w:r>
            <w:r w:rsidRPr="007A35D9">
              <w:rPr>
                <w:rFonts w:eastAsia="SimSun"/>
                <w:color w:val="000000"/>
              </w:rPr>
              <w:t>MHz</w:t>
            </w:r>
          </w:p>
        </w:tc>
        <w:tc>
          <w:tcPr>
            <w:tcW w:w="1049" w:type="pct"/>
            <w:vMerge w:val="restart"/>
            <w:tcBorders>
              <w:top w:val="nil"/>
              <w:left w:val="nil"/>
              <w:bottom w:val="single" w:sz="4" w:space="0" w:color="auto"/>
              <w:right w:val="single" w:sz="4" w:space="0" w:color="auto"/>
            </w:tcBorders>
            <w:vAlign w:val="center"/>
            <w:hideMark/>
          </w:tcPr>
          <w:p w14:paraId="2D5C4E15" w14:textId="0C8EB54B" w:rsidR="00DB71FB" w:rsidRPr="007A35D9" w:rsidRDefault="00DB71FB" w:rsidP="00BD32B6">
            <w:pPr>
              <w:pStyle w:val="Tabletext"/>
              <w:jc w:val="center"/>
              <w:rPr>
                <w:rFonts w:eastAsia="SimSun"/>
                <w:color w:val="000000"/>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r w:rsidRPr="007A35D9">
              <w:rPr>
                <w:rFonts w:eastAsia="SimSun"/>
                <w:color w:val="000000"/>
                <w:lang w:eastAsia="zh-CN"/>
              </w:rPr>
              <w:br/>
            </w:r>
            <w:r w:rsidRPr="007A35D9">
              <w:rPr>
                <w:rFonts w:eastAsia="SimSun"/>
                <w:color w:val="000000"/>
              </w:rPr>
              <w:t>4 500-4 800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492C5984"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Co-channel</w:t>
            </w:r>
          </w:p>
        </w:tc>
      </w:tr>
      <w:tr w:rsidR="00DB71FB" w:rsidRPr="007A35D9" w14:paraId="5241B22C" w14:textId="77777777" w:rsidTr="00BD32B6">
        <w:trPr>
          <w:trHeight w:val="382"/>
        </w:trPr>
        <w:tc>
          <w:tcPr>
            <w:tcW w:w="0" w:type="auto"/>
            <w:vMerge/>
            <w:tcBorders>
              <w:top w:val="nil"/>
              <w:left w:val="single" w:sz="4" w:space="0" w:color="auto"/>
              <w:bottom w:val="single" w:sz="4" w:space="0" w:color="auto"/>
              <w:right w:val="single" w:sz="4" w:space="0" w:color="auto"/>
            </w:tcBorders>
            <w:vAlign w:val="center"/>
            <w:hideMark/>
          </w:tcPr>
          <w:p w14:paraId="641F9630"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2AD191E5"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44D6CB98"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7F4D520B" w14:textId="77777777" w:rsidR="00DB71FB" w:rsidRPr="007A35D9" w:rsidRDefault="00DB71FB" w:rsidP="00BD32B6">
            <w:pPr>
              <w:pStyle w:val="Tabletext"/>
              <w:jc w:val="center"/>
              <w:rPr>
                <w:rFonts w:eastAsia="SimSun"/>
                <w:color w:val="000000"/>
              </w:rPr>
            </w:pPr>
          </w:p>
        </w:tc>
        <w:tc>
          <w:tcPr>
            <w:tcW w:w="1188" w:type="pct"/>
            <w:tcBorders>
              <w:top w:val="single" w:sz="4" w:space="0" w:color="auto"/>
              <w:left w:val="nil"/>
              <w:bottom w:val="single" w:sz="4" w:space="0" w:color="auto"/>
              <w:right w:val="single" w:sz="4" w:space="0" w:color="auto"/>
            </w:tcBorders>
            <w:vAlign w:val="center"/>
            <w:hideMark/>
          </w:tcPr>
          <w:p w14:paraId="5451694E" w14:textId="77777777" w:rsidR="00DB71FB" w:rsidRPr="007A35D9" w:rsidRDefault="00DB71FB" w:rsidP="00BD32B6">
            <w:pPr>
              <w:pStyle w:val="Tabletext"/>
              <w:jc w:val="center"/>
              <w:rPr>
                <w:rFonts w:eastAsia="SimSun"/>
                <w:color w:val="000000"/>
                <w:lang w:eastAsia="zh-CN"/>
              </w:rPr>
            </w:pPr>
            <w:r w:rsidRPr="007A35D9">
              <w:rPr>
                <w:rFonts w:eastAsia="SimSun"/>
                <w:color w:val="000000"/>
                <w:lang w:eastAsia="zh-CN"/>
              </w:rPr>
              <w:t>adjacent channel</w:t>
            </w:r>
          </w:p>
        </w:tc>
      </w:tr>
      <w:tr w:rsidR="00DB71FB" w:rsidRPr="007A35D9" w14:paraId="2C30B9F8" w14:textId="77777777" w:rsidTr="00BD32B6">
        <w:trPr>
          <w:trHeight w:val="810"/>
        </w:trPr>
        <w:tc>
          <w:tcPr>
            <w:tcW w:w="666" w:type="pct"/>
            <w:tcBorders>
              <w:top w:val="nil"/>
              <w:left w:val="single" w:sz="4" w:space="0" w:color="auto"/>
              <w:bottom w:val="single" w:sz="4" w:space="0" w:color="auto"/>
              <w:right w:val="single" w:sz="4" w:space="0" w:color="auto"/>
            </w:tcBorders>
            <w:vAlign w:val="center"/>
            <w:hideMark/>
          </w:tcPr>
          <w:p w14:paraId="3D5D1DD9" w14:textId="77777777" w:rsidR="00DB71FB" w:rsidRPr="007A35D9" w:rsidRDefault="00DB71FB" w:rsidP="00BD32B6">
            <w:pPr>
              <w:pStyle w:val="Tabletext"/>
              <w:jc w:val="center"/>
              <w:rPr>
                <w:rFonts w:eastAsia="SimSun"/>
              </w:rPr>
            </w:pPr>
            <w:r w:rsidRPr="007A35D9">
              <w:rPr>
                <w:rFonts w:eastAsia="SimSun"/>
              </w:rPr>
              <w:t>6</w:t>
            </w:r>
          </w:p>
        </w:tc>
        <w:tc>
          <w:tcPr>
            <w:tcW w:w="1048" w:type="pct"/>
            <w:tcBorders>
              <w:top w:val="nil"/>
              <w:left w:val="nil"/>
              <w:bottom w:val="single" w:sz="4" w:space="0" w:color="auto"/>
              <w:right w:val="single" w:sz="4" w:space="0" w:color="auto"/>
            </w:tcBorders>
            <w:vAlign w:val="center"/>
            <w:hideMark/>
          </w:tcPr>
          <w:p w14:paraId="384EDBD5" w14:textId="77777777" w:rsidR="00DB71FB" w:rsidRPr="007A35D9" w:rsidRDefault="00DB71FB" w:rsidP="00BD32B6">
            <w:pPr>
              <w:pStyle w:val="Tabletext"/>
              <w:jc w:val="center"/>
              <w:rPr>
                <w:rFonts w:eastAsia="SimSun"/>
              </w:rPr>
            </w:pPr>
            <w:r w:rsidRPr="007A35D9">
              <w:rPr>
                <w:rFonts w:eastAsia="SimSun"/>
              </w:rPr>
              <w:t>GSMA</w:t>
            </w:r>
          </w:p>
        </w:tc>
        <w:tc>
          <w:tcPr>
            <w:tcW w:w="1048" w:type="pct"/>
            <w:tcBorders>
              <w:top w:val="nil"/>
              <w:left w:val="nil"/>
              <w:bottom w:val="single" w:sz="4" w:space="0" w:color="auto"/>
              <w:right w:val="single" w:sz="4" w:space="0" w:color="auto"/>
            </w:tcBorders>
            <w:vAlign w:val="center"/>
            <w:hideMark/>
          </w:tcPr>
          <w:p w14:paraId="44545797" w14:textId="621C501F"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tcBorders>
              <w:top w:val="nil"/>
              <w:left w:val="nil"/>
              <w:bottom w:val="single" w:sz="4" w:space="0" w:color="auto"/>
              <w:right w:val="single" w:sz="4" w:space="0" w:color="auto"/>
            </w:tcBorders>
            <w:vAlign w:val="center"/>
            <w:hideMark/>
          </w:tcPr>
          <w:p w14:paraId="72B11431" w14:textId="733AAB45"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0E60A1ED" w14:textId="77777777" w:rsidR="00DB71FB" w:rsidRPr="007A35D9" w:rsidRDefault="00DB71FB" w:rsidP="00BD32B6">
            <w:pPr>
              <w:pStyle w:val="Tabletext"/>
              <w:jc w:val="center"/>
              <w:rPr>
                <w:rFonts w:eastAsia="SimSun"/>
                <w:highlight w:val="yellow"/>
              </w:rPr>
            </w:pPr>
            <w:r w:rsidRPr="007A35D9">
              <w:rPr>
                <w:rFonts w:eastAsia="SimSun"/>
                <w:color w:val="000000"/>
                <w:lang w:eastAsia="zh-CN"/>
              </w:rPr>
              <w:t>Co-channel</w:t>
            </w:r>
          </w:p>
        </w:tc>
      </w:tr>
      <w:tr w:rsidR="00DB71FB" w:rsidRPr="007A35D9" w14:paraId="218125B9" w14:textId="77777777" w:rsidTr="00BD32B6">
        <w:trPr>
          <w:trHeight w:val="810"/>
        </w:trPr>
        <w:tc>
          <w:tcPr>
            <w:tcW w:w="666" w:type="pct"/>
            <w:tcBorders>
              <w:top w:val="nil"/>
              <w:left w:val="single" w:sz="4" w:space="0" w:color="auto"/>
              <w:bottom w:val="single" w:sz="4" w:space="0" w:color="auto"/>
              <w:right w:val="single" w:sz="4" w:space="0" w:color="auto"/>
            </w:tcBorders>
            <w:vAlign w:val="center"/>
            <w:hideMark/>
          </w:tcPr>
          <w:p w14:paraId="645B33C3" w14:textId="77777777" w:rsidR="00DB71FB" w:rsidRPr="007A35D9" w:rsidRDefault="00DB71FB" w:rsidP="00BD32B6">
            <w:pPr>
              <w:pStyle w:val="Tabletext"/>
              <w:jc w:val="center"/>
              <w:rPr>
                <w:rFonts w:eastAsia="SimSun"/>
              </w:rPr>
            </w:pPr>
            <w:r w:rsidRPr="007A35D9">
              <w:rPr>
                <w:rFonts w:eastAsia="SimSun"/>
              </w:rPr>
              <w:lastRenderedPageBreak/>
              <w:t>7</w:t>
            </w:r>
          </w:p>
        </w:tc>
        <w:tc>
          <w:tcPr>
            <w:tcW w:w="1048" w:type="pct"/>
            <w:tcBorders>
              <w:top w:val="nil"/>
              <w:left w:val="nil"/>
              <w:bottom w:val="single" w:sz="4" w:space="0" w:color="auto"/>
              <w:right w:val="single" w:sz="4" w:space="0" w:color="auto"/>
            </w:tcBorders>
            <w:vAlign w:val="center"/>
            <w:hideMark/>
          </w:tcPr>
          <w:p w14:paraId="19DDA36C" w14:textId="77777777" w:rsidR="00DB71FB" w:rsidRPr="007A35D9" w:rsidRDefault="00DB71FB" w:rsidP="00BD32B6">
            <w:pPr>
              <w:pStyle w:val="Tabletext"/>
              <w:jc w:val="center"/>
              <w:rPr>
                <w:rFonts w:eastAsia="SimSun"/>
              </w:rPr>
            </w:pPr>
            <w:r w:rsidRPr="007A35D9">
              <w:rPr>
                <w:rFonts w:eastAsia="SimSun"/>
              </w:rPr>
              <w:t>China</w:t>
            </w:r>
          </w:p>
        </w:tc>
        <w:tc>
          <w:tcPr>
            <w:tcW w:w="1048" w:type="pct"/>
            <w:tcBorders>
              <w:top w:val="nil"/>
              <w:left w:val="nil"/>
              <w:bottom w:val="single" w:sz="4" w:space="0" w:color="auto"/>
              <w:right w:val="single" w:sz="4" w:space="0" w:color="auto"/>
            </w:tcBorders>
            <w:vAlign w:val="center"/>
            <w:hideMark/>
          </w:tcPr>
          <w:p w14:paraId="66D32912" w14:textId="77777777" w:rsidR="00DB71FB" w:rsidRPr="007A35D9" w:rsidRDefault="00DB71FB" w:rsidP="00BD32B6">
            <w:pPr>
              <w:pStyle w:val="Tabletext"/>
              <w:jc w:val="center"/>
              <w:rPr>
                <w:rFonts w:eastAsia="SimSun"/>
              </w:rPr>
            </w:pPr>
            <w:r w:rsidRPr="007A35D9">
              <w:rPr>
                <w:rFonts w:eastAsia="SimSun"/>
                <w:color w:val="000000"/>
              </w:rPr>
              <w:t>3 300-3 400/</w:t>
            </w:r>
            <w:r w:rsidRPr="007A35D9">
              <w:rPr>
                <w:rFonts w:eastAsia="SimSun"/>
                <w:color w:val="000000"/>
                <w:lang w:eastAsia="zh-CN"/>
              </w:rPr>
              <w:br/>
            </w:r>
            <w:r w:rsidRPr="007A35D9">
              <w:rPr>
                <w:rFonts w:eastAsia="SimSun"/>
                <w:color w:val="000000"/>
              </w:rPr>
              <w:t>4 400-4 500/</w:t>
            </w:r>
            <w:r w:rsidRPr="007A35D9">
              <w:rPr>
                <w:rFonts w:eastAsia="SimSun"/>
                <w:color w:val="000000"/>
                <w:lang w:eastAsia="zh-CN"/>
              </w:rPr>
              <w:br/>
            </w:r>
            <w:r w:rsidRPr="007A35D9">
              <w:rPr>
                <w:rFonts w:eastAsia="SimSun"/>
                <w:color w:val="000000"/>
              </w:rPr>
              <w:t>4 800-4 990 MHz</w:t>
            </w:r>
          </w:p>
        </w:tc>
        <w:tc>
          <w:tcPr>
            <w:tcW w:w="1049" w:type="pct"/>
            <w:tcBorders>
              <w:top w:val="nil"/>
              <w:left w:val="nil"/>
              <w:bottom w:val="single" w:sz="4" w:space="0" w:color="auto"/>
              <w:right w:val="single" w:sz="4" w:space="0" w:color="auto"/>
            </w:tcBorders>
            <w:vAlign w:val="center"/>
            <w:hideMark/>
          </w:tcPr>
          <w:p w14:paraId="4DDB7247" w14:textId="4846A154"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r w:rsidRPr="007A35D9">
              <w:rPr>
                <w:rFonts w:eastAsia="SimSun"/>
                <w:color w:val="000000"/>
                <w:lang w:eastAsia="zh-CN"/>
              </w:rPr>
              <w:br/>
            </w:r>
            <w:r w:rsidRPr="007A35D9">
              <w:rPr>
                <w:rFonts w:eastAsia="SimSun"/>
                <w:color w:val="000000"/>
              </w:rPr>
              <w:t>4 500-4 800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76BBE65B"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adjacent channel</w:t>
            </w:r>
          </w:p>
        </w:tc>
      </w:tr>
      <w:tr w:rsidR="00DB71FB" w:rsidRPr="007A35D9" w14:paraId="2330F2E9" w14:textId="77777777" w:rsidTr="00BD32B6">
        <w:trPr>
          <w:trHeight w:val="503"/>
        </w:trPr>
        <w:tc>
          <w:tcPr>
            <w:tcW w:w="666" w:type="pct"/>
            <w:tcBorders>
              <w:top w:val="nil"/>
              <w:left w:val="single" w:sz="4" w:space="0" w:color="auto"/>
              <w:bottom w:val="single" w:sz="4" w:space="0" w:color="auto"/>
              <w:right w:val="single" w:sz="4" w:space="0" w:color="auto"/>
            </w:tcBorders>
            <w:vAlign w:val="center"/>
            <w:hideMark/>
          </w:tcPr>
          <w:p w14:paraId="7290FD00" w14:textId="77777777" w:rsidR="00DB71FB" w:rsidRPr="007A35D9" w:rsidRDefault="00DB71FB" w:rsidP="00BD32B6">
            <w:pPr>
              <w:pStyle w:val="Tabletext"/>
              <w:jc w:val="center"/>
              <w:rPr>
                <w:rFonts w:eastAsia="SimSun"/>
              </w:rPr>
            </w:pPr>
            <w:r w:rsidRPr="007A35D9">
              <w:rPr>
                <w:rFonts w:eastAsia="SimSun"/>
              </w:rPr>
              <w:t>8</w:t>
            </w:r>
          </w:p>
        </w:tc>
        <w:tc>
          <w:tcPr>
            <w:tcW w:w="1048" w:type="pct"/>
            <w:tcBorders>
              <w:top w:val="nil"/>
              <w:left w:val="nil"/>
              <w:bottom w:val="single" w:sz="4" w:space="0" w:color="auto"/>
              <w:right w:val="single" w:sz="4" w:space="0" w:color="auto"/>
            </w:tcBorders>
            <w:vAlign w:val="center"/>
            <w:hideMark/>
          </w:tcPr>
          <w:p w14:paraId="3F46DE30" w14:textId="77777777" w:rsidR="00DB71FB" w:rsidRPr="007A35D9" w:rsidRDefault="00DB71FB" w:rsidP="00BD32B6">
            <w:pPr>
              <w:pStyle w:val="Tabletext"/>
              <w:jc w:val="center"/>
              <w:rPr>
                <w:rFonts w:eastAsia="SimSun"/>
              </w:rPr>
            </w:pPr>
            <w:r w:rsidRPr="007A35D9">
              <w:rPr>
                <w:rFonts w:eastAsia="SimSun"/>
              </w:rPr>
              <w:t>Inmarsat</w:t>
            </w:r>
          </w:p>
        </w:tc>
        <w:tc>
          <w:tcPr>
            <w:tcW w:w="1048" w:type="pct"/>
            <w:tcBorders>
              <w:top w:val="nil"/>
              <w:left w:val="nil"/>
              <w:bottom w:val="single" w:sz="4" w:space="0" w:color="auto"/>
              <w:right w:val="single" w:sz="4" w:space="0" w:color="auto"/>
            </w:tcBorders>
            <w:vAlign w:val="center"/>
            <w:hideMark/>
          </w:tcPr>
          <w:p w14:paraId="1CC6B493" w14:textId="7341B811"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tcBorders>
              <w:top w:val="nil"/>
              <w:left w:val="nil"/>
              <w:bottom w:val="single" w:sz="4" w:space="0" w:color="auto"/>
              <w:right w:val="single" w:sz="4" w:space="0" w:color="auto"/>
            </w:tcBorders>
            <w:vAlign w:val="center"/>
            <w:hideMark/>
          </w:tcPr>
          <w:p w14:paraId="0E0A3CC7" w14:textId="58A7E317"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39CA5BCF"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Co-channel</w:t>
            </w:r>
          </w:p>
        </w:tc>
      </w:tr>
      <w:tr w:rsidR="00DB71FB" w:rsidRPr="007A35D9" w14:paraId="40793156" w14:textId="77777777" w:rsidTr="00BD32B6">
        <w:trPr>
          <w:trHeight w:val="560"/>
        </w:trPr>
        <w:tc>
          <w:tcPr>
            <w:tcW w:w="666" w:type="pct"/>
            <w:tcBorders>
              <w:top w:val="nil"/>
              <w:left w:val="single" w:sz="4" w:space="0" w:color="auto"/>
              <w:bottom w:val="single" w:sz="4" w:space="0" w:color="auto"/>
              <w:right w:val="single" w:sz="4" w:space="0" w:color="auto"/>
            </w:tcBorders>
            <w:vAlign w:val="center"/>
            <w:hideMark/>
          </w:tcPr>
          <w:p w14:paraId="27E39EE6" w14:textId="77777777" w:rsidR="00DB71FB" w:rsidRPr="007A35D9" w:rsidRDefault="00DB71FB" w:rsidP="00BD32B6">
            <w:pPr>
              <w:pStyle w:val="Tabletext"/>
              <w:jc w:val="center"/>
              <w:rPr>
                <w:rFonts w:eastAsia="SimSun"/>
              </w:rPr>
            </w:pPr>
            <w:r w:rsidRPr="007A35D9">
              <w:rPr>
                <w:rFonts w:eastAsia="SimSun"/>
              </w:rPr>
              <w:t>9</w:t>
            </w:r>
          </w:p>
        </w:tc>
        <w:tc>
          <w:tcPr>
            <w:tcW w:w="1048" w:type="pct"/>
            <w:tcBorders>
              <w:top w:val="nil"/>
              <w:left w:val="nil"/>
              <w:bottom w:val="single" w:sz="4" w:space="0" w:color="auto"/>
              <w:right w:val="single" w:sz="4" w:space="0" w:color="auto"/>
            </w:tcBorders>
            <w:vAlign w:val="center"/>
            <w:hideMark/>
          </w:tcPr>
          <w:p w14:paraId="6253B79E" w14:textId="77777777" w:rsidR="00DB71FB" w:rsidRPr="007A35D9" w:rsidRDefault="00DB71FB" w:rsidP="00BD32B6">
            <w:pPr>
              <w:pStyle w:val="Tabletext"/>
              <w:jc w:val="center"/>
              <w:rPr>
                <w:rFonts w:eastAsia="SimSun"/>
              </w:rPr>
            </w:pPr>
            <w:r w:rsidRPr="007A35D9">
              <w:rPr>
                <w:rFonts w:eastAsia="SimSun"/>
              </w:rPr>
              <w:t>GSMA</w:t>
            </w:r>
          </w:p>
        </w:tc>
        <w:tc>
          <w:tcPr>
            <w:tcW w:w="1048" w:type="pct"/>
            <w:tcBorders>
              <w:top w:val="nil"/>
              <w:left w:val="nil"/>
              <w:bottom w:val="single" w:sz="4" w:space="0" w:color="auto"/>
              <w:right w:val="single" w:sz="4" w:space="0" w:color="auto"/>
            </w:tcBorders>
            <w:vAlign w:val="center"/>
            <w:hideMark/>
          </w:tcPr>
          <w:p w14:paraId="40B80EFA" w14:textId="66B97170"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tcBorders>
              <w:top w:val="nil"/>
              <w:left w:val="nil"/>
              <w:bottom w:val="single" w:sz="4" w:space="0" w:color="auto"/>
              <w:right w:val="single" w:sz="4" w:space="0" w:color="auto"/>
            </w:tcBorders>
            <w:vAlign w:val="center"/>
            <w:hideMark/>
          </w:tcPr>
          <w:p w14:paraId="702359D8" w14:textId="3BBFBF73"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173AA92F" w14:textId="77777777" w:rsidR="00DB71FB" w:rsidRPr="007A35D9" w:rsidRDefault="00DB71FB" w:rsidP="00BD32B6">
            <w:pPr>
              <w:pStyle w:val="Tabletext"/>
              <w:jc w:val="center"/>
              <w:rPr>
                <w:rFonts w:eastAsia="SimSun"/>
                <w:highlight w:val="yellow"/>
              </w:rPr>
            </w:pPr>
            <w:r w:rsidRPr="007A35D9">
              <w:rPr>
                <w:rFonts w:eastAsia="SimSun"/>
                <w:color w:val="000000"/>
                <w:lang w:eastAsia="zh-CN"/>
              </w:rPr>
              <w:t>adjacent channel</w:t>
            </w:r>
          </w:p>
        </w:tc>
      </w:tr>
      <w:tr w:rsidR="00DB71FB" w:rsidRPr="007A35D9" w14:paraId="2FB52D70" w14:textId="77777777" w:rsidTr="00BD32B6">
        <w:trPr>
          <w:trHeight w:val="405"/>
        </w:trPr>
        <w:tc>
          <w:tcPr>
            <w:tcW w:w="666" w:type="pct"/>
            <w:vMerge w:val="restart"/>
            <w:tcBorders>
              <w:top w:val="nil"/>
              <w:left w:val="single" w:sz="4" w:space="0" w:color="auto"/>
              <w:bottom w:val="single" w:sz="4" w:space="0" w:color="auto"/>
              <w:right w:val="single" w:sz="4" w:space="0" w:color="auto"/>
            </w:tcBorders>
            <w:vAlign w:val="center"/>
            <w:hideMark/>
          </w:tcPr>
          <w:p w14:paraId="0466921A" w14:textId="77777777" w:rsidR="00DB71FB" w:rsidRPr="007A35D9" w:rsidRDefault="00DB71FB" w:rsidP="00BD32B6">
            <w:pPr>
              <w:pStyle w:val="Tabletext"/>
              <w:jc w:val="center"/>
              <w:rPr>
                <w:rFonts w:eastAsia="SimSun"/>
              </w:rPr>
            </w:pPr>
            <w:r w:rsidRPr="007A35D9">
              <w:rPr>
                <w:rFonts w:eastAsia="SimSun"/>
              </w:rPr>
              <w:t>10</w:t>
            </w:r>
          </w:p>
        </w:tc>
        <w:tc>
          <w:tcPr>
            <w:tcW w:w="1048" w:type="pct"/>
            <w:vMerge w:val="restart"/>
            <w:tcBorders>
              <w:top w:val="nil"/>
              <w:left w:val="nil"/>
              <w:bottom w:val="single" w:sz="4" w:space="0" w:color="auto"/>
              <w:right w:val="single" w:sz="4" w:space="0" w:color="auto"/>
            </w:tcBorders>
            <w:vAlign w:val="center"/>
            <w:hideMark/>
          </w:tcPr>
          <w:p w14:paraId="6DFFAB76" w14:textId="77777777" w:rsidR="00DB71FB" w:rsidRPr="007A35D9" w:rsidRDefault="00DB71FB" w:rsidP="00BD32B6">
            <w:pPr>
              <w:pStyle w:val="Tabletext"/>
              <w:jc w:val="center"/>
              <w:rPr>
                <w:rFonts w:eastAsia="SimSun"/>
              </w:rPr>
            </w:pPr>
            <w:r w:rsidRPr="007A35D9">
              <w:rPr>
                <w:rFonts w:eastAsia="SimSun"/>
              </w:rPr>
              <w:t>Intel</w:t>
            </w:r>
          </w:p>
        </w:tc>
        <w:tc>
          <w:tcPr>
            <w:tcW w:w="1048" w:type="pct"/>
            <w:vMerge w:val="restart"/>
            <w:tcBorders>
              <w:top w:val="nil"/>
              <w:left w:val="nil"/>
              <w:bottom w:val="single" w:sz="4" w:space="0" w:color="auto"/>
              <w:right w:val="single" w:sz="4" w:space="0" w:color="auto"/>
            </w:tcBorders>
            <w:vAlign w:val="center"/>
            <w:hideMark/>
          </w:tcPr>
          <w:p w14:paraId="0461BAAB" w14:textId="3B3F50F9"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049" w:type="pct"/>
            <w:vMerge w:val="restart"/>
            <w:tcBorders>
              <w:top w:val="nil"/>
              <w:left w:val="nil"/>
              <w:bottom w:val="single" w:sz="4" w:space="0" w:color="auto"/>
              <w:right w:val="single" w:sz="4" w:space="0" w:color="auto"/>
            </w:tcBorders>
            <w:vAlign w:val="center"/>
            <w:hideMark/>
          </w:tcPr>
          <w:p w14:paraId="3442DBB5" w14:textId="46206D4D" w:rsidR="00DB71FB" w:rsidRPr="007A35D9" w:rsidRDefault="00DB71FB" w:rsidP="00BD32B6">
            <w:pPr>
              <w:pStyle w:val="Tabletext"/>
              <w:jc w:val="center"/>
              <w:rPr>
                <w:rFonts w:eastAsia="SimSun"/>
              </w:rPr>
            </w:pPr>
            <w:r w:rsidRPr="007A35D9">
              <w:rPr>
                <w:rFonts w:eastAsia="SimSun"/>
                <w:color w:val="000000"/>
              </w:rPr>
              <w:t>3 400-4 200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03F38154"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Co-channel</w:t>
            </w:r>
          </w:p>
        </w:tc>
      </w:tr>
      <w:tr w:rsidR="00DB71FB" w:rsidRPr="007A35D9" w14:paraId="0723A435" w14:textId="77777777" w:rsidTr="00BD32B6">
        <w:trPr>
          <w:trHeight w:val="451"/>
        </w:trPr>
        <w:tc>
          <w:tcPr>
            <w:tcW w:w="0" w:type="auto"/>
            <w:vMerge/>
            <w:tcBorders>
              <w:top w:val="nil"/>
              <w:left w:val="single" w:sz="4" w:space="0" w:color="auto"/>
              <w:bottom w:val="single" w:sz="4" w:space="0" w:color="auto"/>
              <w:right w:val="single" w:sz="4" w:space="0" w:color="auto"/>
            </w:tcBorders>
            <w:vAlign w:val="center"/>
            <w:hideMark/>
          </w:tcPr>
          <w:p w14:paraId="549CE4D3"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220342E7"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722A5FFF" w14:textId="77777777" w:rsidR="00DB71FB" w:rsidRPr="007A35D9" w:rsidRDefault="00DB71FB" w:rsidP="00BD32B6">
            <w:pPr>
              <w:pStyle w:val="Tabletext"/>
              <w:jc w:val="center"/>
              <w:rPr>
                <w:rFonts w:eastAsia="SimSun"/>
              </w:rPr>
            </w:pPr>
          </w:p>
        </w:tc>
        <w:tc>
          <w:tcPr>
            <w:tcW w:w="0" w:type="auto"/>
            <w:vMerge/>
            <w:tcBorders>
              <w:top w:val="nil"/>
              <w:left w:val="nil"/>
              <w:bottom w:val="single" w:sz="4" w:space="0" w:color="auto"/>
              <w:right w:val="single" w:sz="4" w:space="0" w:color="auto"/>
            </w:tcBorders>
            <w:vAlign w:val="center"/>
            <w:hideMark/>
          </w:tcPr>
          <w:p w14:paraId="5EB1AFCC" w14:textId="77777777" w:rsidR="00DB71FB" w:rsidRPr="007A35D9" w:rsidRDefault="00DB71FB" w:rsidP="00BD32B6">
            <w:pPr>
              <w:pStyle w:val="Tabletext"/>
              <w:jc w:val="center"/>
              <w:rPr>
                <w:rFonts w:eastAsia="SimSun"/>
              </w:rPr>
            </w:pPr>
          </w:p>
        </w:tc>
        <w:tc>
          <w:tcPr>
            <w:tcW w:w="1188" w:type="pct"/>
            <w:tcBorders>
              <w:top w:val="single" w:sz="4" w:space="0" w:color="auto"/>
              <w:left w:val="nil"/>
              <w:bottom w:val="single" w:sz="4" w:space="0" w:color="auto"/>
              <w:right w:val="single" w:sz="4" w:space="0" w:color="auto"/>
            </w:tcBorders>
            <w:vAlign w:val="center"/>
            <w:hideMark/>
          </w:tcPr>
          <w:p w14:paraId="61B2102E" w14:textId="77777777" w:rsidR="00DB71FB" w:rsidRPr="007A35D9" w:rsidRDefault="00DB71FB" w:rsidP="00BD32B6">
            <w:pPr>
              <w:pStyle w:val="Tabletext"/>
              <w:jc w:val="center"/>
              <w:rPr>
                <w:rFonts w:eastAsia="SimSun"/>
                <w:color w:val="000000"/>
                <w:lang w:eastAsia="zh-CN"/>
              </w:rPr>
            </w:pPr>
            <w:r w:rsidRPr="007A35D9">
              <w:rPr>
                <w:rFonts w:eastAsia="SimSun"/>
                <w:color w:val="000000"/>
                <w:lang w:eastAsia="zh-CN"/>
              </w:rPr>
              <w:t>adjacent channel</w:t>
            </w:r>
          </w:p>
        </w:tc>
      </w:tr>
      <w:tr w:rsidR="00DB71FB" w:rsidRPr="007A35D9" w14:paraId="26651110" w14:textId="77777777" w:rsidTr="00BD32B6">
        <w:trPr>
          <w:trHeight w:val="568"/>
        </w:trPr>
        <w:tc>
          <w:tcPr>
            <w:tcW w:w="666" w:type="pct"/>
            <w:tcBorders>
              <w:top w:val="nil"/>
              <w:left w:val="single" w:sz="4" w:space="0" w:color="auto"/>
              <w:bottom w:val="single" w:sz="4" w:space="0" w:color="auto"/>
              <w:right w:val="single" w:sz="4" w:space="0" w:color="auto"/>
            </w:tcBorders>
            <w:vAlign w:val="center"/>
            <w:hideMark/>
          </w:tcPr>
          <w:p w14:paraId="7D5F4384" w14:textId="77777777" w:rsidR="00DB71FB" w:rsidRPr="007A35D9" w:rsidRDefault="00DB71FB" w:rsidP="00BD32B6">
            <w:pPr>
              <w:pStyle w:val="Tabletext"/>
              <w:jc w:val="center"/>
              <w:rPr>
                <w:rFonts w:eastAsia="SimSun"/>
              </w:rPr>
            </w:pPr>
            <w:r w:rsidRPr="007A35D9">
              <w:rPr>
                <w:rFonts w:eastAsia="SimSun"/>
              </w:rPr>
              <w:t>11</w:t>
            </w:r>
          </w:p>
        </w:tc>
        <w:tc>
          <w:tcPr>
            <w:tcW w:w="1048" w:type="pct"/>
            <w:tcBorders>
              <w:top w:val="nil"/>
              <w:left w:val="nil"/>
              <w:bottom w:val="single" w:sz="4" w:space="0" w:color="auto"/>
              <w:right w:val="single" w:sz="4" w:space="0" w:color="auto"/>
            </w:tcBorders>
            <w:vAlign w:val="center"/>
            <w:hideMark/>
          </w:tcPr>
          <w:p w14:paraId="4AAE1CFB" w14:textId="77777777" w:rsidR="00DB71FB" w:rsidRPr="007A35D9" w:rsidRDefault="00DB71FB" w:rsidP="00BD32B6">
            <w:pPr>
              <w:pStyle w:val="Tabletext"/>
              <w:jc w:val="center"/>
              <w:rPr>
                <w:rFonts w:eastAsia="SimSun"/>
              </w:rPr>
            </w:pPr>
            <w:r w:rsidRPr="007A35D9">
              <w:rPr>
                <w:rFonts w:eastAsia="SimSun"/>
              </w:rPr>
              <w:t>Brazil</w:t>
            </w:r>
          </w:p>
        </w:tc>
        <w:tc>
          <w:tcPr>
            <w:tcW w:w="1048" w:type="pct"/>
            <w:tcBorders>
              <w:top w:val="nil"/>
              <w:left w:val="nil"/>
              <w:bottom w:val="single" w:sz="4" w:space="0" w:color="auto"/>
              <w:right w:val="single" w:sz="4" w:space="0" w:color="auto"/>
            </w:tcBorders>
            <w:vAlign w:val="center"/>
            <w:hideMark/>
          </w:tcPr>
          <w:p w14:paraId="149AB71B" w14:textId="07123069" w:rsidR="00DB71FB" w:rsidRPr="007A35D9" w:rsidRDefault="00DB71FB" w:rsidP="00BD32B6">
            <w:pPr>
              <w:pStyle w:val="Tabletext"/>
              <w:jc w:val="center"/>
              <w:rPr>
                <w:rFonts w:eastAsia="SimSun"/>
              </w:rPr>
            </w:pPr>
            <w:r w:rsidRPr="007A35D9">
              <w:rPr>
                <w:rFonts w:eastAsia="SimSun"/>
                <w:color w:val="000000"/>
              </w:rPr>
              <w:t>3 400-3 600</w:t>
            </w:r>
            <w:r w:rsidR="00030A41" w:rsidRPr="007A35D9">
              <w:rPr>
                <w:rFonts w:eastAsia="SimSun"/>
                <w:color w:val="000000"/>
              </w:rPr>
              <w:t xml:space="preserve"> </w:t>
            </w:r>
            <w:r w:rsidRPr="007A35D9">
              <w:rPr>
                <w:rFonts w:eastAsia="SimSun"/>
                <w:color w:val="000000"/>
              </w:rPr>
              <w:t>MHz</w:t>
            </w:r>
          </w:p>
        </w:tc>
        <w:tc>
          <w:tcPr>
            <w:tcW w:w="1049" w:type="pct"/>
            <w:tcBorders>
              <w:top w:val="nil"/>
              <w:left w:val="nil"/>
              <w:bottom w:val="single" w:sz="4" w:space="0" w:color="auto"/>
              <w:right w:val="single" w:sz="4" w:space="0" w:color="auto"/>
            </w:tcBorders>
            <w:vAlign w:val="center"/>
            <w:hideMark/>
          </w:tcPr>
          <w:p w14:paraId="0E6F4C32" w14:textId="650E0A99" w:rsidR="00DB71FB" w:rsidRPr="007A35D9" w:rsidRDefault="00DB71FB" w:rsidP="00BD32B6">
            <w:pPr>
              <w:pStyle w:val="Tabletext"/>
              <w:jc w:val="center"/>
              <w:rPr>
                <w:rFonts w:eastAsia="SimSun"/>
              </w:rPr>
            </w:pPr>
            <w:r w:rsidRPr="007A35D9">
              <w:rPr>
                <w:rFonts w:eastAsia="SimSun"/>
                <w:color w:val="000000"/>
              </w:rPr>
              <w:t>3600-4200</w:t>
            </w:r>
            <w:r w:rsidR="00030A41" w:rsidRPr="007A35D9">
              <w:rPr>
                <w:rFonts w:eastAsia="SimSun"/>
                <w:color w:val="000000"/>
              </w:rPr>
              <w:t xml:space="preserve"> </w:t>
            </w:r>
            <w:r w:rsidRPr="007A35D9">
              <w:rPr>
                <w:rFonts w:eastAsia="SimSun"/>
                <w:color w:val="000000"/>
              </w:rPr>
              <w:t>MHz</w:t>
            </w:r>
          </w:p>
        </w:tc>
        <w:tc>
          <w:tcPr>
            <w:tcW w:w="1188" w:type="pct"/>
            <w:tcBorders>
              <w:top w:val="single" w:sz="4" w:space="0" w:color="auto"/>
              <w:left w:val="nil"/>
              <w:bottom w:val="single" w:sz="4" w:space="0" w:color="auto"/>
              <w:right w:val="single" w:sz="4" w:space="0" w:color="auto"/>
            </w:tcBorders>
            <w:vAlign w:val="center"/>
            <w:hideMark/>
          </w:tcPr>
          <w:p w14:paraId="5ECAD548" w14:textId="77777777" w:rsidR="00DB71FB" w:rsidRPr="007A35D9" w:rsidRDefault="00DB71FB" w:rsidP="00BD32B6">
            <w:pPr>
              <w:pStyle w:val="Tabletext"/>
              <w:jc w:val="center"/>
              <w:rPr>
                <w:rFonts w:eastAsia="SimSun"/>
                <w:color w:val="000000"/>
              </w:rPr>
            </w:pPr>
            <w:r w:rsidRPr="007A35D9">
              <w:rPr>
                <w:rFonts w:eastAsia="SimSun"/>
                <w:color w:val="000000"/>
                <w:lang w:eastAsia="zh-CN"/>
              </w:rPr>
              <w:t>adjacent channel</w:t>
            </w:r>
          </w:p>
        </w:tc>
      </w:tr>
    </w:tbl>
    <w:p w14:paraId="0E4C477E" w14:textId="2904E72E" w:rsidR="00DB71FB" w:rsidRPr="007A35D9" w:rsidRDefault="00DB71FB" w:rsidP="00DB71FB">
      <w:pPr>
        <w:rPr>
          <w:rFonts w:eastAsia="SimSun"/>
          <w:lang w:eastAsia="zh-CN"/>
        </w:rPr>
      </w:pPr>
    </w:p>
    <w:p w14:paraId="1F5F547D" w14:textId="4B197333" w:rsidR="00DB71FB" w:rsidRPr="007A35D9" w:rsidRDefault="00DB71FB" w:rsidP="006538C2">
      <w:pPr>
        <w:pStyle w:val="EditorsNote"/>
        <w:rPr>
          <w:rFonts w:eastAsia="SimSun"/>
          <w:lang w:eastAsia="zh-CN"/>
        </w:rPr>
      </w:pPr>
      <w:r w:rsidRPr="007A35D9">
        <w:rPr>
          <w:rFonts w:eastAsia="SimSun"/>
          <w:lang w:eastAsia="zh-CN"/>
        </w:rPr>
        <w:t>[Editor</w:t>
      </w:r>
      <w:r w:rsidR="00F80EC1" w:rsidRPr="007A35D9">
        <w:rPr>
          <w:rFonts w:eastAsia="SimSun"/>
          <w:lang w:eastAsia="zh-CN"/>
        </w:rPr>
        <w:t>'</w:t>
      </w:r>
      <w:r w:rsidRPr="007A35D9">
        <w:rPr>
          <w:rFonts w:eastAsia="SimSun"/>
          <w:lang w:eastAsia="zh-CN"/>
        </w:rPr>
        <w:t>s note: the text in brackets below is to be corrected in the future meeting in particular the text in italics]</w:t>
      </w:r>
    </w:p>
    <w:p w14:paraId="2738FD3A" w14:textId="7693D4FA" w:rsidR="00DB71FB" w:rsidRPr="007A35D9" w:rsidRDefault="00DB71FB" w:rsidP="00DB71FB">
      <w:pPr>
        <w:rPr>
          <w:rFonts w:eastAsia="SimSun"/>
          <w:lang w:eastAsia="zh-CN"/>
        </w:rPr>
      </w:pPr>
      <w:r w:rsidRPr="007A35D9">
        <w:rPr>
          <w:rFonts w:eastAsia="SimSun"/>
          <w:lang w:eastAsia="zh-CN"/>
        </w:rPr>
        <w:t>[</w:t>
      </w:r>
    </w:p>
    <w:p w14:paraId="50576E4A" w14:textId="77777777" w:rsidR="00DB71FB" w:rsidRPr="007A35D9" w:rsidRDefault="00DB71FB" w:rsidP="00DB71FB">
      <w:pPr>
        <w:rPr>
          <w:rFonts w:eastAsia="SimSun"/>
          <w:lang w:eastAsia="zh-CN"/>
        </w:rPr>
      </w:pPr>
      <w:r w:rsidRPr="007A35D9">
        <w:rPr>
          <w:rFonts w:eastAsia="SimSun"/>
          <w:lang w:eastAsia="zh-CN"/>
        </w:rPr>
        <w:t>Based on the review Report ITU-R S.2368 and corresponding input contributions, when conducting any new sharing studies or reusing the existing studies in ITU-R towards WRC-23 agenda item 1.3, the results are very variable and depend on assumptions. After initial review of the technical studies in Report ITU-R S.2368, the following initial observations can be made:</w:t>
      </w:r>
    </w:p>
    <w:p w14:paraId="452EED04" w14:textId="77777777" w:rsidR="00DB71FB" w:rsidRPr="007A35D9" w:rsidRDefault="00DB71FB" w:rsidP="00DB71FB">
      <w:pPr>
        <w:textAlignment w:val="auto"/>
        <w:rPr>
          <w:rFonts w:eastAsia="SimSun"/>
          <w:lang w:eastAsia="zh-CN"/>
        </w:rPr>
      </w:pPr>
      <w:r w:rsidRPr="007A35D9">
        <w:rPr>
          <w:rFonts w:eastAsia="SimSun"/>
          <w:lang w:eastAsia="zh-CN"/>
        </w:rPr>
        <w:t>1.</w:t>
      </w:r>
      <w:r w:rsidRPr="007A35D9">
        <w:rPr>
          <w:rFonts w:eastAsia="SimSun"/>
          <w:lang w:eastAsia="zh-CN"/>
        </w:rPr>
        <w:tab/>
        <w:t>The parameters of IMT system</w:t>
      </w:r>
    </w:p>
    <w:p w14:paraId="34478E04" w14:textId="77777777" w:rsidR="00DB71FB" w:rsidRPr="007A35D9" w:rsidRDefault="00DB71FB" w:rsidP="00DB71FB">
      <w:pPr>
        <w:rPr>
          <w:rFonts w:eastAsia="SimSun"/>
          <w:i/>
          <w:lang w:eastAsia="zh-CN"/>
        </w:rPr>
      </w:pPr>
      <w:r w:rsidRPr="007A35D9">
        <w:rPr>
          <w:rFonts w:eastAsia="SimSun"/>
          <w:lang w:eastAsia="zh-CN"/>
        </w:rPr>
        <w:t xml:space="preserve">The studies in Report ITU-R S.2368 were mainly carried out based on non-AAS IMT base stations. </w:t>
      </w:r>
      <w:r w:rsidRPr="007A35D9">
        <w:rPr>
          <w:rFonts w:eastAsia="SimSun"/>
          <w:i/>
          <w:lang w:eastAsia="zh-CN"/>
        </w:rPr>
        <w:t>[However, the parameters for IMT system towards WRC-23 agenda item 1.3 are still under discussion in WP5D and they will be liaised to WP5A in the June meeting of WP5D. While, technical studies on non-AAS antenna pattern of IMT-Advanced base stations can be kindly considered, as reference or reused, towards sharing and compatibility studies of WRC-23 agenda item 1.3.]</w:t>
      </w:r>
    </w:p>
    <w:p w14:paraId="382007F2" w14:textId="77777777" w:rsidR="00DB71FB" w:rsidRPr="007A35D9" w:rsidRDefault="00DB71FB" w:rsidP="00DB71FB">
      <w:pPr>
        <w:textAlignment w:val="auto"/>
        <w:rPr>
          <w:rFonts w:eastAsia="SimSun"/>
          <w:lang w:eastAsia="zh-CN"/>
        </w:rPr>
      </w:pPr>
      <w:r w:rsidRPr="007A35D9">
        <w:rPr>
          <w:rFonts w:eastAsia="SimSun"/>
          <w:lang w:eastAsia="zh-CN"/>
        </w:rPr>
        <w:t>2.</w:t>
      </w:r>
      <w:r w:rsidRPr="007A35D9">
        <w:rPr>
          <w:rFonts w:eastAsia="SimSun"/>
          <w:lang w:eastAsia="zh-CN"/>
        </w:rPr>
        <w:tab/>
        <w:t>The FSS characteristics and protection criteria of FSS receiver</w:t>
      </w:r>
    </w:p>
    <w:p w14:paraId="3FDD963F" w14:textId="77777777" w:rsidR="00DB71FB" w:rsidRPr="007A35D9" w:rsidRDefault="00DB71FB" w:rsidP="00DB71FB">
      <w:pPr>
        <w:textAlignment w:val="auto"/>
        <w:rPr>
          <w:rFonts w:eastAsia="SimSun"/>
          <w:lang w:eastAsia="zh-CN"/>
        </w:rPr>
      </w:pPr>
      <w:r w:rsidRPr="007A35D9">
        <w:rPr>
          <w:rFonts w:eastAsia="SimSun"/>
          <w:lang w:eastAsia="zh-CN"/>
        </w:rPr>
        <w:t xml:space="preserve">The protection criteria of FSS receiver used in Report ITU-R S.2368 was based on the study in WRC-15. </w:t>
      </w:r>
      <w:r w:rsidRPr="007A35D9">
        <w:rPr>
          <w:rFonts w:eastAsia="SimSun"/>
          <w:i/>
          <w:lang w:eastAsia="zh-CN"/>
        </w:rPr>
        <w:t>[However, WP4A has restudied the protection criteria issue in the WRC-19 study cycle. Besides, WP4A is currently discussing this protection criteria issue in its CG-7 (FSS and BSS characteristics and protection criteria necessary for WRC-23). The FSS and BSS characteristics and protection criteria will be liaised to WP5A in the July meeting of WP4A.]</w:t>
      </w:r>
    </w:p>
    <w:p w14:paraId="67835E6A" w14:textId="7B966C31" w:rsidR="00DB71FB" w:rsidRPr="007A35D9" w:rsidRDefault="00DB71FB" w:rsidP="00DB71FB">
      <w:pPr>
        <w:pStyle w:val="Heading1"/>
        <w:rPr>
          <w:rFonts w:eastAsia="SimSun"/>
          <w:lang w:eastAsia="zh-CN"/>
        </w:rPr>
      </w:pPr>
      <w:r w:rsidRPr="007A35D9">
        <w:rPr>
          <w:rFonts w:eastAsia="SimSun"/>
          <w:lang w:eastAsia="zh-CN"/>
        </w:rPr>
        <w:t>3</w:t>
      </w:r>
      <w:r w:rsidRPr="007A35D9">
        <w:rPr>
          <w:rFonts w:eastAsia="SimSun"/>
          <w:lang w:eastAsia="zh-CN"/>
        </w:rPr>
        <w:tab/>
        <w:t>The propagation model</w:t>
      </w:r>
    </w:p>
    <w:p w14:paraId="35C9ED4A" w14:textId="77777777" w:rsidR="00DB71FB" w:rsidRPr="007A35D9" w:rsidRDefault="00DB71FB" w:rsidP="00DB71FB">
      <w:pPr>
        <w:textAlignment w:val="auto"/>
        <w:rPr>
          <w:rFonts w:eastAsia="SimSun"/>
          <w:i/>
          <w:lang w:eastAsia="zh-CN"/>
        </w:rPr>
      </w:pPr>
      <w:r w:rsidRPr="007A35D9">
        <w:rPr>
          <w:rFonts w:eastAsia="SimSun"/>
          <w:lang w:eastAsia="zh-CN"/>
        </w:rPr>
        <w:t xml:space="preserve">The propagation model used in the studies of Report ITU-R S.2368 is Recommendation ITU-R P.452-14 (10/2009) or ITU-R P.452-15 (09/2013). </w:t>
      </w:r>
      <w:r w:rsidRPr="007A35D9">
        <w:rPr>
          <w:rFonts w:eastAsia="SimSun"/>
          <w:i/>
          <w:lang w:eastAsia="zh-CN"/>
        </w:rPr>
        <w:t>[However, the current version in force of Recommendation ITU-R P.452 is version 16 and it is also considered to be updated in SG3 (CG 3K-3M-18) for the study towards WRC-23 agenda items. The latest status of the propagation matters will be liaised to WP5A when the information is available.</w:t>
      </w:r>
    </w:p>
    <w:p w14:paraId="1EA0EF20" w14:textId="77777777" w:rsidR="00DB71FB" w:rsidRPr="007A35D9" w:rsidRDefault="00DB71FB" w:rsidP="00DB71FB">
      <w:pPr>
        <w:textAlignment w:val="auto"/>
        <w:rPr>
          <w:rFonts w:eastAsia="SimSun"/>
          <w:lang w:eastAsia="zh-CN"/>
        </w:rPr>
      </w:pPr>
      <w:r w:rsidRPr="007A35D9">
        <w:rPr>
          <w:rFonts w:eastAsia="SimSun"/>
          <w:lang w:eastAsia="zh-CN"/>
        </w:rPr>
        <w:t>]</w:t>
      </w:r>
    </w:p>
    <w:p w14:paraId="38D4ECF1" w14:textId="77777777" w:rsidR="00DB71FB" w:rsidRPr="007A35D9" w:rsidRDefault="00DB71FB" w:rsidP="00DB71FB">
      <w:pPr>
        <w:pStyle w:val="Heading1"/>
        <w:rPr>
          <w:lang w:eastAsia="zh-CN"/>
        </w:rPr>
      </w:pPr>
      <w:r w:rsidRPr="007A35D9">
        <w:lastRenderedPageBreak/>
        <w:t>4</w:t>
      </w:r>
      <w:r w:rsidRPr="007A35D9">
        <w:tab/>
        <w:t xml:space="preserve">Existing regulations in the </w:t>
      </w:r>
      <w:r w:rsidRPr="007A35D9">
        <w:rPr>
          <w:lang w:eastAsia="zh-CN"/>
        </w:rPr>
        <w:t>3 600-3 800 MHz</w:t>
      </w:r>
      <w:r w:rsidRPr="007A35D9">
        <w:rPr>
          <w:lang w:eastAsia="ja-JP"/>
        </w:rPr>
        <w:t xml:space="preserve"> frequency </w:t>
      </w:r>
      <w:r w:rsidRPr="007A35D9">
        <w:rPr>
          <w:lang w:eastAsia="zh-CN"/>
        </w:rPr>
        <w:t>band</w:t>
      </w:r>
    </w:p>
    <w:p w14:paraId="5B92BC3B" w14:textId="787569D1" w:rsidR="00DB71FB" w:rsidRPr="007A35D9" w:rsidRDefault="00DB71FB" w:rsidP="00DB71FB">
      <w:pPr>
        <w:spacing w:before="240" w:after="240"/>
        <w:rPr>
          <w:rFonts w:eastAsia="MS Mincho"/>
          <w:i/>
          <w:lang w:eastAsia="zh-CN"/>
        </w:rPr>
      </w:pPr>
      <w:r w:rsidRPr="007A35D9">
        <w:rPr>
          <w:rFonts w:eastAsia="MS Mincho"/>
          <w:i/>
          <w:lang w:eastAsia="zh-CN"/>
        </w:rPr>
        <w:t>[Editor’s note: This section provides the information about existing regulations in the 3 600-3</w:t>
      </w:r>
      <w:r w:rsidR="001015C4" w:rsidRPr="007A35D9">
        <w:rPr>
          <w:rFonts w:eastAsia="MS Mincho"/>
          <w:i/>
          <w:lang w:eastAsia="zh-CN"/>
        </w:rPr>
        <w:t> </w:t>
      </w:r>
      <w:r w:rsidRPr="007A35D9">
        <w:rPr>
          <w:rFonts w:eastAsia="MS Mincho"/>
          <w:i/>
          <w:lang w:eastAsia="zh-CN"/>
        </w:rPr>
        <w:t>800</w:t>
      </w:r>
      <w:r w:rsidR="001015C4" w:rsidRPr="007A35D9">
        <w:rPr>
          <w:rFonts w:eastAsia="MS Mincho"/>
          <w:i/>
          <w:lang w:eastAsia="zh-CN"/>
        </w:rPr>
        <w:t> </w:t>
      </w:r>
      <w:r w:rsidRPr="007A35D9">
        <w:rPr>
          <w:rFonts w:eastAsia="MS Mincho"/>
          <w:i/>
          <w:lang w:eastAsia="zh-CN"/>
        </w:rPr>
        <w:t>MHz in Region 1 or outside of Region 1]</w:t>
      </w:r>
    </w:p>
    <w:p w14:paraId="274C05BE" w14:textId="77777777" w:rsidR="00DB71FB" w:rsidRPr="007A35D9" w:rsidRDefault="00DB71FB" w:rsidP="00DB71FB">
      <w:pPr>
        <w:pStyle w:val="Heading1"/>
      </w:pPr>
      <w:r w:rsidRPr="007A35D9">
        <w:t>5</w:t>
      </w:r>
      <w:r w:rsidRPr="007A35D9">
        <w:tab/>
        <w:t>Usage of the 3 600-3 800 MHz band</w:t>
      </w:r>
      <w:bookmarkEnd w:id="9"/>
    </w:p>
    <w:p w14:paraId="2A85097D" w14:textId="77777777" w:rsidR="00DB71FB" w:rsidRPr="007A35D9" w:rsidRDefault="00DB71FB" w:rsidP="00DB71FB">
      <w:pPr>
        <w:spacing w:before="240" w:after="240"/>
        <w:rPr>
          <w:i/>
          <w:iCs/>
          <w:lang w:eastAsia="zh-CN"/>
        </w:rPr>
      </w:pPr>
      <w:r w:rsidRPr="007A35D9">
        <w:rPr>
          <w:i/>
          <w:iCs/>
          <w:lang w:eastAsia="zh-CN"/>
        </w:rPr>
        <w:t xml:space="preserve">[Editor’s note: This section provides </w:t>
      </w:r>
      <w:r w:rsidRPr="007A35D9">
        <w:rPr>
          <w:i/>
          <w:iCs/>
        </w:rPr>
        <w:t>usage survey of 3 600-3 800 MHz in different regional organizations/Administrations [of Region 1].</w:t>
      </w:r>
      <w:r w:rsidRPr="007A35D9">
        <w:rPr>
          <w:i/>
          <w:iCs/>
          <w:lang w:eastAsia="zh-CN"/>
        </w:rPr>
        <w:t>]</w:t>
      </w:r>
    </w:p>
    <w:p w14:paraId="4CC9D47B" w14:textId="77777777" w:rsidR="00DB71FB" w:rsidRPr="007A35D9" w:rsidRDefault="00DB71FB" w:rsidP="00DB71FB">
      <w:pPr>
        <w:pStyle w:val="Heading1"/>
      </w:pPr>
      <w:r w:rsidRPr="007A35D9">
        <w:t>6</w:t>
      </w:r>
      <w:r w:rsidRPr="007A35D9">
        <w:tab/>
        <w:t>Technical characteristics for the studies</w:t>
      </w:r>
    </w:p>
    <w:p w14:paraId="75E944E1" w14:textId="77777777" w:rsidR="00DB71FB" w:rsidRPr="007A35D9" w:rsidRDefault="00DB71FB" w:rsidP="00DB71FB">
      <w:pPr>
        <w:pStyle w:val="Heading2"/>
      </w:pPr>
      <w:r w:rsidRPr="007A35D9">
        <w:t>6.1</w:t>
      </w:r>
      <w:r w:rsidRPr="007A35D9">
        <w:tab/>
        <w:t>Technical and operational characteristics of services and systems operating in the 3 600-3 800 MHz frequency band.</w:t>
      </w:r>
    </w:p>
    <w:p w14:paraId="11044F8C" w14:textId="77777777" w:rsidR="00DB71FB" w:rsidRPr="007A35D9" w:rsidRDefault="00DB71FB" w:rsidP="001015C4">
      <w:pPr>
        <w:pStyle w:val="EditorsNote"/>
        <w:rPr>
          <w:rFonts w:eastAsia="MS Mincho"/>
          <w:lang w:eastAsia="zh-CN"/>
        </w:rPr>
      </w:pPr>
      <w:r w:rsidRPr="007A35D9">
        <w:rPr>
          <w:rFonts w:eastAsia="MS Mincho"/>
          <w:lang w:eastAsia="zh-CN"/>
        </w:rPr>
        <w:t>[Editor’s note: This section provides the sources of technical and operational characteristics from WP 5A and other services from other expert groups.]</w:t>
      </w:r>
    </w:p>
    <w:tbl>
      <w:tblPr>
        <w:tblStyle w:val="TableGrid19"/>
        <w:tblW w:w="0" w:type="auto"/>
        <w:jc w:val="center"/>
        <w:tblLook w:val="04A0" w:firstRow="1" w:lastRow="0" w:firstColumn="1" w:lastColumn="0" w:noHBand="0" w:noVBand="1"/>
      </w:tblPr>
      <w:tblGrid>
        <w:gridCol w:w="1555"/>
        <w:gridCol w:w="2097"/>
        <w:gridCol w:w="5103"/>
      </w:tblGrid>
      <w:tr w:rsidR="00DB71FB" w:rsidRPr="007A35D9" w14:paraId="0AE54C6C" w14:textId="77777777" w:rsidTr="00BD32B6">
        <w:trPr>
          <w:cantSplit/>
          <w:tblHeade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D6C5F3C" w14:textId="77777777" w:rsidR="00DB71FB" w:rsidRPr="007A35D9" w:rsidRDefault="00DB71FB" w:rsidP="00BD32B6">
            <w:pPr>
              <w:pStyle w:val="Tablehead"/>
            </w:pPr>
            <w:r w:rsidRPr="007A35D9">
              <w:rPr>
                <w:lang w:eastAsia="zh-CN"/>
              </w:rPr>
              <w:t>WP 5A document</w:t>
            </w:r>
            <w:r w:rsidRPr="007A35D9">
              <w:t xml:space="preserve"> number</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18E7588" w14:textId="77777777" w:rsidR="00DB71FB" w:rsidRPr="007A35D9" w:rsidRDefault="00DB71FB" w:rsidP="00BD32B6">
            <w:pPr>
              <w:pStyle w:val="Tablehead"/>
            </w:pPr>
            <w:r w:rsidRPr="007A35D9">
              <w:t>Source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13FE29D" w14:textId="77777777" w:rsidR="00DB71FB" w:rsidRPr="007A35D9" w:rsidRDefault="00DB71FB" w:rsidP="00BD32B6">
            <w:pPr>
              <w:pStyle w:val="Tablehead"/>
            </w:pPr>
            <w:r w:rsidRPr="007A35D9">
              <w:t>Services/Applications</w:t>
            </w:r>
          </w:p>
        </w:tc>
      </w:tr>
      <w:tr w:rsidR="00DB71FB" w:rsidRPr="007A35D9" w14:paraId="37CCA4FA" w14:textId="77777777" w:rsidTr="00BD32B6">
        <w:trPr>
          <w:cantSplit/>
          <w:jc w:val="center"/>
        </w:trPr>
        <w:tc>
          <w:tcPr>
            <w:tcW w:w="1555" w:type="dxa"/>
            <w:tcBorders>
              <w:top w:val="single" w:sz="4" w:space="0" w:color="auto"/>
              <w:left w:val="single" w:sz="4" w:space="0" w:color="auto"/>
              <w:bottom w:val="single" w:sz="4" w:space="0" w:color="auto"/>
              <w:right w:val="single" w:sz="4" w:space="0" w:color="auto"/>
            </w:tcBorders>
          </w:tcPr>
          <w:p w14:paraId="19B1853C" w14:textId="12EE4C92" w:rsidR="00DB71FB" w:rsidRPr="007A35D9" w:rsidRDefault="00DB71FB" w:rsidP="00BD32B6">
            <w:pPr>
              <w:pStyle w:val="Tabletext"/>
              <w:jc w:val="center"/>
              <w:rPr>
                <w:lang w:eastAsia="zh-CN"/>
              </w:rPr>
            </w:pPr>
            <w:r w:rsidRPr="007A35D9">
              <w:rPr>
                <w:lang w:eastAsia="zh-CN"/>
              </w:rPr>
              <w:t>203</w:t>
            </w:r>
          </w:p>
        </w:tc>
        <w:tc>
          <w:tcPr>
            <w:tcW w:w="2097" w:type="dxa"/>
            <w:tcBorders>
              <w:top w:val="single" w:sz="4" w:space="0" w:color="auto"/>
              <w:left w:val="single" w:sz="4" w:space="0" w:color="auto"/>
              <w:bottom w:val="single" w:sz="4" w:space="0" w:color="auto"/>
              <w:right w:val="single" w:sz="4" w:space="0" w:color="auto"/>
            </w:tcBorders>
          </w:tcPr>
          <w:p w14:paraId="4A50FE0A" w14:textId="77777777" w:rsidR="00DB71FB" w:rsidRPr="007A35D9" w:rsidRDefault="00DB71FB" w:rsidP="00BD32B6">
            <w:pPr>
              <w:pStyle w:val="Tabletext"/>
              <w:jc w:val="center"/>
              <w:rPr>
                <w:lang w:eastAsia="zh-CN"/>
              </w:rPr>
            </w:pPr>
            <w:r w:rsidRPr="007A35D9">
              <w:rPr>
                <w:lang w:eastAsia="zh-CN"/>
              </w:rPr>
              <w:t>WP 5A</w:t>
            </w:r>
          </w:p>
        </w:tc>
        <w:tc>
          <w:tcPr>
            <w:tcW w:w="5103" w:type="dxa"/>
            <w:tcBorders>
              <w:top w:val="single" w:sz="4" w:space="0" w:color="auto"/>
              <w:left w:val="single" w:sz="4" w:space="0" w:color="auto"/>
              <w:bottom w:val="single" w:sz="4" w:space="0" w:color="auto"/>
              <w:right w:val="single" w:sz="4" w:space="0" w:color="auto"/>
            </w:tcBorders>
          </w:tcPr>
          <w:p w14:paraId="202EA069" w14:textId="77777777" w:rsidR="00DB71FB" w:rsidRPr="007A35D9" w:rsidRDefault="00DB71FB" w:rsidP="00BD32B6">
            <w:pPr>
              <w:pStyle w:val="Tabletext"/>
              <w:jc w:val="center"/>
              <w:rPr>
                <w:lang w:eastAsia="zh-CN"/>
              </w:rPr>
            </w:pPr>
            <w:r w:rsidRPr="007A35D9">
              <w:rPr>
                <w:lang w:eastAsia="zh-CN"/>
              </w:rPr>
              <w:t>Mobile/</w:t>
            </w:r>
            <w:r w:rsidRPr="007A35D9">
              <w:t xml:space="preserve"> b</w:t>
            </w:r>
            <w:r w:rsidRPr="007A35D9">
              <w:rPr>
                <w:lang w:eastAsia="zh-CN"/>
              </w:rPr>
              <w:t>roadband wireless access systems</w:t>
            </w:r>
          </w:p>
        </w:tc>
      </w:tr>
      <w:tr w:rsidR="00DB71FB" w:rsidRPr="007A35D9" w14:paraId="088E4CAD" w14:textId="77777777" w:rsidTr="00BD32B6">
        <w:trPr>
          <w:cantSplit/>
          <w:jc w:val="center"/>
        </w:trPr>
        <w:tc>
          <w:tcPr>
            <w:tcW w:w="1555" w:type="dxa"/>
            <w:tcBorders>
              <w:top w:val="single" w:sz="4" w:space="0" w:color="auto"/>
              <w:left w:val="single" w:sz="4" w:space="0" w:color="auto"/>
              <w:bottom w:val="single" w:sz="4" w:space="0" w:color="auto"/>
              <w:right w:val="single" w:sz="4" w:space="0" w:color="auto"/>
            </w:tcBorders>
          </w:tcPr>
          <w:p w14:paraId="40E1D393" w14:textId="5AFC3A8E" w:rsidR="00DB71FB" w:rsidRPr="007A35D9" w:rsidRDefault="00DB71FB" w:rsidP="00BD32B6">
            <w:pPr>
              <w:pStyle w:val="Tabletext"/>
              <w:jc w:val="center"/>
              <w:rPr>
                <w:lang w:eastAsia="zh-CN"/>
              </w:rPr>
            </w:pPr>
            <w:r w:rsidRPr="007A35D9">
              <w:rPr>
                <w:lang w:eastAsia="zh-CN"/>
              </w:rPr>
              <w:t>395</w:t>
            </w:r>
          </w:p>
        </w:tc>
        <w:tc>
          <w:tcPr>
            <w:tcW w:w="2097" w:type="dxa"/>
            <w:tcBorders>
              <w:top w:val="single" w:sz="4" w:space="0" w:color="auto"/>
              <w:left w:val="single" w:sz="4" w:space="0" w:color="auto"/>
              <w:bottom w:val="single" w:sz="4" w:space="0" w:color="auto"/>
              <w:right w:val="single" w:sz="4" w:space="0" w:color="auto"/>
            </w:tcBorders>
          </w:tcPr>
          <w:p w14:paraId="327E968E" w14:textId="77777777" w:rsidR="00DB71FB" w:rsidRPr="007A35D9" w:rsidRDefault="00DB71FB" w:rsidP="00BD32B6">
            <w:pPr>
              <w:pStyle w:val="Tabletext"/>
              <w:jc w:val="center"/>
              <w:rPr>
                <w:lang w:eastAsia="zh-CN"/>
              </w:rPr>
            </w:pPr>
            <w:r w:rsidRPr="007A35D9">
              <w:t>WP 4</w:t>
            </w:r>
            <w:r w:rsidRPr="007A35D9">
              <w:rPr>
                <w:lang w:eastAsia="zh-CN"/>
              </w:rPr>
              <w:t>A</w:t>
            </w:r>
          </w:p>
        </w:tc>
        <w:tc>
          <w:tcPr>
            <w:tcW w:w="5103" w:type="dxa"/>
            <w:tcBorders>
              <w:top w:val="single" w:sz="4" w:space="0" w:color="auto"/>
              <w:left w:val="single" w:sz="4" w:space="0" w:color="auto"/>
              <w:bottom w:val="single" w:sz="4" w:space="0" w:color="auto"/>
              <w:right w:val="single" w:sz="4" w:space="0" w:color="auto"/>
            </w:tcBorders>
          </w:tcPr>
          <w:p w14:paraId="3D628B7F" w14:textId="77777777" w:rsidR="00DB71FB" w:rsidRPr="007A35D9" w:rsidRDefault="00DB71FB" w:rsidP="00BD32B6">
            <w:pPr>
              <w:pStyle w:val="Tabletext"/>
              <w:jc w:val="center"/>
              <w:rPr>
                <w:lang w:eastAsia="zh-CN"/>
              </w:rPr>
            </w:pPr>
            <w:r w:rsidRPr="007A35D9">
              <w:rPr>
                <w:lang w:eastAsia="zh-CN"/>
              </w:rPr>
              <w:t>FSS</w:t>
            </w:r>
          </w:p>
        </w:tc>
      </w:tr>
      <w:tr w:rsidR="00DB71FB" w:rsidRPr="007A35D9" w14:paraId="6D9213CD" w14:textId="77777777" w:rsidTr="00BD32B6">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56202B8A" w14:textId="77777777" w:rsidR="00DB71FB" w:rsidRPr="007A35D9" w:rsidRDefault="00DB71FB" w:rsidP="00BD32B6">
            <w:pPr>
              <w:pStyle w:val="Tabletext"/>
              <w:jc w:val="center"/>
            </w:pPr>
            <w:r w:rsidRPr="007A35D9">
              <w:rPr>
                <w:lang w:eastAsia="zh-CN"/>
              </w:rPr>
              <w:t>088</w:t>
            </w:r>
          </w:p>
        </w:tc>
        <w:tc>
          <w:tcPr>
            <w:tcW w:w="2097" w:type="dxa"/>
            <w:tcBorders>
              <w:top w:val="single" w:sz="4" w:space="0" w:color="auto"/>
              <w:left w:val="single" w:sz="4" w:space="0" w:color="auto"/>
              <w:bottom w:val="single" w:sz="4" w:space="0" w:color="auto"/>
              <w:right w:val="single" w:sz="4" w:space="0" w:color="auto"/>
            </w:tcBorders>
            <w:hideMark/>
          </w:tcPr>
          <w:p w14:paraId="2B332ACB" w14:textId="77777777" w:rsidR="00DB71FB" w:rsidRPr="007A35D9" w:rsidRDefault="00DB71FB" w:rsidP="00BD32B6">
            <w:pPr>
              <w:pStyle w:val="Tabletext"/>
              <w:jc w:val="center"/>
              <w:rPr>
                <w:lang w:eastAsia="zh-CN"/>
              </w:rPr>
            </w:pPr>
            <w:r w:rsidRPr="007A35D9">
              <w:t xml:space="preserve">WP </w:t>
            </w:r>
            <w:r w:rsidRPr="007A35D9">
              <w:rPr>
                <w:lang w:eastAsia="zh-CN"/>
              </w:rPr>
              <w:t>5B</w:t>
            </w:r>
          </w:p>
        </w:tc>
        <w:tc>
          <w:tcPr>
            <w:tcW w:w="5103" w:type="dxa"/>
            <w:tcBorders>
              <w:top w:val="single" w:sz="4" w:space="0" w:color="auto"/>
              <w:left w:val="single" w:sz="4" w:space="0" w:color="auto"/>
              <w:bottom w:val="single" w:sz="4" w:space="0" w:color="auto"/>
              <w:right w:val="single" w:sz="4" w:space="0" w:color="auto"/>
            </w:tcBorders>
          </w:tcPr>
          <w:p w14:paraId="64FD8988" w14:textId="77777777" w:rsidR="00DB71FB" w:rsidRPr="007A35D9" w:rsidRDefault="00DB71FB" w:rsidP="00BD32B6">
            <w:pPr>
              <w:pStyle w:val="Tabletext"/>
              <w:jc w:val="center"/>
              <w:rPr>
                <w:lang w:eastAsia="zh-CN"/>
              </w:rPr>
            </w:pPr>
            <w:r w:rsidRPr="007A35D9">
              <w:rPr>
                <w:lang w:eastAsia="zh-CN"/>
              </w:rPr>
              <w:t>RLS</w:t>
            </w:r>
          </w:p>
        </w:tc>
      </w:tr>
      <w:tr w:rsidR="00DB71FB" w:rsidRPr="007A35D9" w14:paraId="1241D87C" w14:textId="77777777" w:rsidTr="00BD32B6">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180E80CF" w14:textId="195F384C" w:rsidR="00DB71FB" w:rsidRPr="007A35D9" w:rsidRDefault="00DB71FB" w:rsidP="00BD32B6">
            <w:pPr>
              <w:pStyle w:val="Tabletext"/>
              <w:jc w:val="center"/>
            </w:pPr>
            <w:r w:rsidRPr="007A35D9">
              <w:rPr>
                <w:lang w:eastAsia="zh-CN"/>
              </w:rPr>
              <w:t>233</w:t>
            </w:r>
          </w:p>
        </w:tc>
        <w:tc>
          <w:tcPr>
            <w:tcW w:w="2097" w:type="dxa"/>
            <w:tcBorders>
              <w:top w:val="single" w:sz="4" w:space="0" w:color="auto"/>
              <w:left w:val="single" w:sz="4" w:space="0" w:color="auto"/>
              <w:bottom w:val="single" w:sz="4" w:space="0" w:color="auto"/>
              <w:right w:val="single" w:sz="4" w:space="0" w:color="auto"/>
            </w:tcBorders>
            <w:hideMark/>
          </w:tcPr>
          <w:p w14:paraId="7F7036E0" w14:textId="77777777" w:rsidR="00DB71FB" w:rsidRPr="007A35D9" w:rsidRDefault="00DB71FB" w:rsidP="00BD32B6">
            <w:pPr>
              <w:pStyle w:val="Tabletext"/>
              <w:jc w:val="center"/>
              <w:rPr>
                <w:lang w:eastAsia="zh-CN"/>
              </w:rPr>
            </w:pPr>
            <w:r w:rsidRPr="007A35D9">
              <w:t xml:space="preserve">WP </w:t>
            </w:r>
            <w:r w:rsidRPr="007A35D9">
              <w:rPr>
                <w:lang w:eastAsia="zh-CN"/>
              </w:rPr>
              <w:t>5C</w:t>
            </w:r>
          </w:p>
        </w:tc>
        <w:tc>
          <w:tcPr>
            <w:tcW w:w="5103" w:type="dxa"/>
            <w:tcBorders>
              <w:top w:val="single" w:sz="4" w:space="0" w:color="auto"/>
              <w:left w:val="single" w:sz="4" w:space="0" w:color="auto"/>
              <w:bottom w:val="single" w:sz="4" w:space="0" w:color="auto"/>
              <w:right w:val="single" w:sz="4" w:space="0" w:color="auto"/>
            </w:tcBorders>
          </w:tcPr>
          <w:p w14:paraId="0EF619A0" w14:textId="77777777" w:rsidR="00DB71FB" w:rsidRPr="007A35D9" w:rsidRDefault="00DB71FB" w:rsidP="00BD32B6">
            <w:pPr>
              <w:pStyle w:val="Tabletext"/>
              <w:jc w:val="center"/>
              <w:rPr>
                <w:lang w:eastAsia="zh-CN"/>
              </w:rPr>
            </w:pPr>
            <w:r w:rsidRPr="007A35D9">
              <w:rPr>
                <w:lang w:eastAsia="zh-CN"/>
              </w:rPr>
              <w:t>FS</w:t>
            </w:r>
          </w:p>
        </w:tc>
      </w:tr>
      <w:tr w:rsidR="00DB71FB" w:rsidRPr="007A35D9" w14:paraId="1D05E32D" w14:textId="77777777" w:rsidTr="00BD32B6">
        <w:trPr>
          <w:cantSplit/>
          <w:jc w:val="center"/>
        </w:trPr>
        <w:tc>
          <w:tcPr>
            <w:tcW w:w="1555" w:type="dxa"/>
            <w:tcBorders>
              <w:top w:val="single" w:sz="4" w:space="0" w:color="auto"/>
              <w:left w:val="single" w:sz="4" w:space="0" w:color="auto"/>
              <w:bottom w:val="single" w:sz="4" w:space="0" w:color="auto"/>
              <w:right w:val="single" w:sz="4" w:space="0" w:color="auto"/>
            </w:tcBorders>
          </w:tcPr>
          <w:p w14:paraId="031AB9DC" w14:textId="74FF85DC" w:rsidR="00DB71FB" w:rsidRPr="007A35D9" w:rsidRDefault="00DB71FB" w:rsidP="00BD32B6">
            <w:pPr>
              <w:pStyle w:val="Tabletext"/>
              <w:jc w:val="center"/>
              <w:rPr>
                <w:lang w:eastAsia="zh-CN"/>
              </w:rPr>
            </w:pPr>
            <w:r w:rsidRPr="007A35D9">
              <w:rPr>
                <w:lang w:eastAsia="zh-CN"/>
              </w:rPr>
              <w:t>378</w:t>
            </w:r>
          </w:p>
        </w:tc>
        <w:tc>
          <w:tcPr>
            <w:tcW w:w="2097" w:type="dxa"/>
            <w:tcBorders>
              <w:top w:val="single" w:sz="4" w:space="0" w:color="auto"/>
              <w:left w:val="single" w:sz="4" w:space="0" w:color="auto"/>
              <w:bottom w:val="single" w:sz="4" w:space="0" w:color="auto"/>
              <w:right w:val="single" w:sz="4" w:space="0" w:color="auto"/>
            </w:tcBorders>
          </w:tcPr>
          <w:p w14:paraId="3358D1DD" w14:textId="09BF495A" w:rsidR="00DB71FB" w:rsidRPr="007A35D9" w:rsidRDefault="00DB71FB" w:rsidP="00BD32B6">
            <w:pPr>
              <w:pStyle w:val="Tabletext"/>
              <w:jc w:val="center"/>
              <w:rPr>
                <w:lang w:eastAsia="zh-CN"/>
              </w:rPr>
            </w:pPr>
            <w:r w:rsidRPr="007A35D9">
              <w:rPr>
                <w:lang w:eastAsia="zh-CN"/>
              </w:rPr>
              <w:t>WP 5D</w:t>
            </w:r>
          </w:p>
        </w:tc>
        <w:tc>
          <w:tcPr>
            <w:tcW w:w="5103" w:type="dxa"/>
            <w:tcBorders>
              <w:top w:val="single" w:sz="4" w:space="0" w:color="auto"/>
              <w:left w:val="single" w:sz="4" w:space="0" w:color="auto"/>
              <w:bottom w:val="single" w:sz="4" w:space="0" w:color="auto"/>
              <w:right w:val="single" w:sz="4" w:space="0" w:color="auto"/>
            </w:tcBorders>
          </w:tcPr>
          <w:p w14:paraId="7177D3D1" w14:textId="0A6DC210" w:rsidR="00DB71FB" w:rsidRPr="007A35D9" w:rsidRDefault="00DB71FB" w:rsidP="00BD32B6">
            <w:pPr>
              <w:pStyle w:val="Tabletext"/>
              <w:jc w:val="center"/>
              <w:rPr>
                <w:lang w:eastAsia="zh-CN"/>
              </w:rPr>
            </w:pPr>
            <w:r w:rsidRPr="007A35D9">
              <w:rPr>
                <w:lang w:eastAsia="zh-CN"/>
              </w:rPr>
              <w:t>Mobile/IMT</w:t>
            </w:r>
          </w:p>
        </w:tc>
      </w:tr>
    </w:tbl>
    <w:p w14:paraId="05E8FEB5" w14:textId="77777777" w:rsidR="00DB71FB" w:rsidRPr="007A35D9" w:rsidRDefault="00DB71FB" w:rsidP="006538C2">
      <w:pPr>
        <w:pStyle w:val="Tablefin"/>
      </w:pPr>
    </w:p>
    <w:p w14:paraId="5680128F" w14:textId="77777777" w:rsidR="00DB71FB" w:rsidRPr="007A35D9" w:rsidRDefault="00DB71FB" w:rsidP="00DB71FB">
      <w:pPr>
        <w:pStyle w:val="Heading2"/>
      </w:pPr>
      <w:r w:rsidRPr="007A35D9">
        <w:t>6.2</w:t>
      </w:r>
      <w:r w:rsidRPr="007A35D9">
        <w:tab/>
        <w:t>Deployment scenarios</w:t>
      </w:r>
    </w:p>
    <w:p w14:paraId="0A54E99E" w14:textId="20D941CD" w:rsidR="00DB71FB" w:rsidRPr="007A35D9" w:rsidRDefault="00DB71FB" w:rsidP="00DB71FB">
      <w:r w:rsidRPr="007A35D9">
        <w:t>[Alternative 1:</w:t>
      </w:r>
    </w:p>
    <w:p w14:paraId="76931AED" w14:textId="2FBA946A" w:rsidR="00DB71FB" w:rsidRPr="007A35D9" w:rsidRDefault="00DB71FB" w:rsidP="00DB71FB">
      <w:r w:rsidRPr="007A35D9">
        <w:t>The following scenarios can be considered for the Mobile systems:</w:t>
      </w:r>
    </w:p>
    <w:p w14:paraId="047CEFB6" w14:textId="77777777" w:rsidR="00DB71FB" w:rsidRPr="007A35D9" w:rsidRDefault="00DB71FB" w:rsidP="00DB71FB">
      <w:pPr>
        <w:pStyle w:val="enumlev1"/>
      </w:pPr>
      <w:r w:rsidRPr="007A35D9">
        <w:t>–</w:t>
      </w:r>
      <w:r w:rsidRPr="007A35D9">
        <w:tab/>
        <w:t xml:space="preserve">Macro cells scenario in the suburban, </w:t>
      </w:r>
    </w:p>
    <w:p w14:paraId="4804C51A" w14:textId="23DC6D9E" w:rsidR="00DB71FB" w:rsidRPr="007A35D9" w:rsidRDefault="00DB71FB" w:rsidP="0052186C">
      <w:pPr>
        <w:pStyle w:val="enumlev1"/>
      </w:pPr>
      <w:r w:rsidRPr="007A35D9">
        <w:t xml:space="preserve"> macro cells scenario in the urban;</w:t>
      </w:r>
    </w:p>
    <w:p w14:paraId="7A0A41D2" w14:textId="358A941C" w:rsidR="00DB71FB" w:rsidRPr="007A35D9" w:rsidRDefault="006538C2" w:rsidP="00DB71FB">
      <w:pPr>
        <w:pStyle w:val="enumlev1"/>
      </w:pPr>
      <w:r w:rsidRPr="007A35D9">
        <w:t>–</w:t>
      </w:r>
      <w:r w:rsidRPr="007A35D9">
        <w:tab/>
      </w:r>
      <w:r w:rsidR="00DB71FB" w:rsidRPr="007A35D9">
        <w:t>optional macro cell rural* environments</w:t>
      </w:r>
      <w:r w:rsidR="00DB71FB" w:rsidRPr="007A35D9" w:rsidDel="005560F1">
        <w:t xml:space="preserve"> </w:t>
      </w:r>
      <w:r w:rsidR="00DB71FB" w:rsidRPr="007A35D9">
        <w:t>;</w:t>
      </w:r>
    </w:p>
    <w:p w14:paraId="768C0B26" w14:textId="77777777" w:rsidR="00DB71FB" w:rsidRPr="007A35D9" w:rsidRDefault="00DB71FB" w:rsidP="00DB71FB">
      <w:pPr>
        <w:pStyle w:val="enumlev1"/>
      </w:pPr>
      <w:r w:rsidRPr="007A35D9">
        <w:t>–</w:t>
      </w:r>
      <w:r w:rsidRPr="007A35D9">
        <w:tab/>
        <w:t>Outdoor small cells scenario in the urban environment;</w:t>
      </w:r>
    </w:p>
    <w:p w14:paraId="7594A65D" w14:textId="77777777" w:rsidR="00DB71FB" w:rsidRPr="007A35D9" w:rsidRDefault="00DB71FB" w:rsidP="00DB71FB">
      <w:pPr>
        <w:pStyle w:val="enumlev1"/>
      </w:pPr>
      <w:r w:rsidRPr="007A35D9">
        <w:t>–</w:t>
      </w:r>
      <w:r w:rsidRPr="007A35D9">
        <w:tab/>
        <w:t>Indoor small cells scenario in the urban environment.</w:t>
      </w:r>
    </w:p>
    <w:p w14:paraId="62BF3DD6" w14:textId="77777777" w:rsidR="00DB71FB" w:rsidRPr="007A35D9" w:rsidRDefault="00DB71FB" w:rsidP="001015C4">
      <w:pPr>
        <w:rPr>
          <w:lang w:eastAsia="ja-JP"/>
        </w:rPr>
      </w:pPr>
      <w:r w:rsidRPr="007A35D9">
        <w:t xml:space="preserve">*Additional optional scenario: as contiguous coverage is not expected in this frequency range in rural areas for certain applications in the Mobile service, and any such base stations that may exist in small numbers will be isolated installations at specific locations, and therefore, </w:t>
      </w:r>
      <w:r w:rsidRPr="007A35D9">
        <w:rPr>
          <w:lang w:eastAsia="ja-JP"/>
        </w:rPr>
        <w:t>the rural deployment environment is only optional</w:t>
      </w:r>
    </w:p>
    <w:p w14:paraId="62F90D9B" w14:textId="77777777" w:rsidR="00DB71FB" w:rsidRPr="007A35D9" w:rsidRDefault="00DB71FB" w:rsidP="00DB71FB">
      <w:pPr>
        <w:pStyle w:val="enumlev1"/>
      </w:pPr>
      <w:r w:rsidRPr="007A35D9">
        <w:t>Alternative 2:</w:t>
      </w:r>
    </w:p>
    <w:p w14:paraId="078BE308" w14:textId="77777777" w:rsidR="00DB71FB" w:rsidRPr="007A35D9" w:rsidRDefault="00DB71FB" w:rsidP="00DB71FB">
      <w:r w:rsidRPr="007A35D9">
        <w:t>Three main scenarios can be considered for the Mobile systems:</w:t>
      </w:r>
    </w:p>
    <w:p w14:paraId="1C9156B7" w14:textId="77777777" w:rsidR="00DB71FB" w:rsidRPr="007A35D9" w:rsidRDefault="00DB71FB" w:rsidP="00DB71FB">
      <w:pPr>
        <w:pStyle w:val="enumlev1"/>
      </w:pPr>
      <w:r w:rsidRPr="007A35D9">
        <w:t>–</w:t>
      </w:r>
      <w:r w:rsidRPr="007A35D9">
        <w:tab/>
        <w:t>Macro cells scenario in the suburban and urban environments;</w:t>
      </w:r>
    </w:p>
    <w:p w14:paraId="0EB875C9" w14:textId="77777777" w:rsidR="00DB71FB" w:rsidRPr="007A35D9" w:rsidRDefault="00DB71FB" w:rsidP="00DB71FB">
      <w:pPr>
        <w:pStyle w:val="enumlev1"/>
      </w:pPr>
      <w:r w:rsidRPr="007A35D9">
        <w:t>–</w:t>
      </w:r>
      <w:r w:rsidRPr="007A35D9">
        <w:tab/>
        <w:t>Outdoor small cells scenario in the urban environment;</w:t>
      </w:r>
    </w:p>
    <w:p w14:paraId="558B688D" w14:textId="77777777" w:rsidR="00DB71FB" w:rsidRPr="007A35D9" w:rsidRDefault="00DB71FB" w:rsidP="00DB71FB">
      <w:pPr>
        <w:pStyle w:val="enumlev1"/>
      </w:pPr>
      <w:r w:rsidRPr="007A35D9">
        <w:t>–</w:t>
      </w:r>
      <w:r w:rsidRPr="007A35D9">
        <w:tab/>
        <w:t>Indoor small cells scenario in the urban environment.</w:t>
      </w:r>
    </w:p>
    <w:p w14:paraId="2EE919DE" w14:textId="2060CCCB" w:rsidR="00DB71FB" w:rsidRPr="007A35D9" w:rsidRDefault="00DB71FB" w:rsidP="00DB71FB">
      <w:pPr>
        <w:pStyle w:val="enumlev1"/>
      </w:pPr>
      <w:r w:rsidRPr="007A35D9">
        <w:lastRenderedPageBreak/>
        <w:t>–</w:t>
      </w:r>
      <w:r w:rsidRPr="007A35D9">
        <w:tab/>
        <w:t>In addition to the above mentioned 3 scenarios, macro cell scenario for rural environment could be studied  as an option to address certain applications in the Mobile service. ]</w:t>
      </w:r>
    </w:p>
    <w:p w14:paraId="6397F911" w14:textId="77777777" w:rsidR="00DB71FB" w:rsidRPr="007A35D9" w:rsidRDefault="00DB71FB" w:rsidP="00DB71FB">
      <w:pPr>
        <w:pStyle w:val="Heading2"/>
      </w:pPr>
      <w:r w:rsidRPr="007A35D9">
        <w:t>6.3</w:t>
      </w:r>
      <w:r w:rsidRPr="007A35D9">
        <w:tab/>
        <w:t>Propagation models</w:t>
      </w:r>
    </w:p>
    <w:p w14:paraId="583AF64A" w14:textId="77777777" w:rsidR="00DB71FB" w:rsidRPr="007A35D9" w:rsidRDefault="00DB71FB" w:rsidP="00DB71FB">
      <w:pPr>
        <w:pStyle w:val="Heading3"/>
      </w:pPr>
      <w:r w:rsidRPr="007A35D9">
        <w:t>6.3.1</w:t>
      </w:r>
      <w:r w:rsidRPr="007A35D9">
        <w:tab/>
        <w:t>Propagation model for outdoor deployment scenarios</w:t>
      </w:r>
    </w:p>
    <w:p w14:paraId="69074B0C" w14:textId="77777777" w:rsidR="00DB71FB" w:rsidRPr="007A35D9" w:rsidRDefault="00DB71FB" w:rsidP="00DB71FB">
      <w:r w:rsidRPr="007A35D9">
        <w:t>Recommendation ITU-R P.452, as well as other relevant ITU-R recommendations, is suitable to be used in the sharing studies between mobile service systems and other services systems in the 3 600</w:t>
      </w:r>
      <w:r w:rsidRPr="007A35D9">
        <w:noBreakHyphen/>
        <w:t>3 800 MHz frequency band.</w:t>
      </w:r>
    </w:p>
    <w:p w14:paraId="57D70737" w14:textId="77777777" w:rsidR="00DB71FB" w:rsidRPr="007A35D9" w:rsidRDefault="00DB71FB" w:rsidP="00DB71FB">
      <w:pPr>
        <w:pStyle w:val="Heading3"/>
      </w:pPr>
      <w:r w:rsidRPr="007A35D9">
        <w:t>6.3.2</w:t>
      </w:r>
      <w:r w:rsidRPr="007A35D9">
        <w:tab/>
        <w:t>Propagation model for indoor deployment scenarios</w:t>
      </w:r>
    </w:p>
    <w:p w14:paraId="6F3CAC7C" w14:textId="77777777" w:rsidR="00DB71FB" w:rsidRPr="007A35D9" w:rsidRDefault="00DB71FB" w:rsidP="00DB71FB">
      <w:r w:rsidRPr="007A35D9">
        <w:t>Recommendation</w:t>
      </w:r>
      <w:r w:rsidRPr="007A35D9">
        <w:rPr>
          <w:lang w:eastAsia="zh-CN"/>
        </w:rPr>
        <w:t xml:space="preserve"> ITU-R P.1238 or Recommendation ITU-R P.2040 are suitable to be used in the sharing </w:t>
      </w:r>
      <w:r w:rsidRPr="007A35D9">
        <w:t>between mobile service systems and other services systems in the 3 600-3 800 MHz frequency band.</w:t>
      </w:r>
    </w:p>
    <w:p w14:paraId="05B1F348" w14:textId="77777777" w:rsidR="00DB71FB" w:rsidRPr="007A35D9" w:rsidRDefault="00DB71FB" w:rsidP="00DB71FB">
      <w:pPr>
        <w:pStyle w:val="Heading3"/>
      </w:pPr>
      <w:r w:rsidRPr="007A35D9">
        <w:t>6.3.3</w:t>
      </w:r>
      <w:r w:rsidRPr="007A35D9">
        <w:tab/>
        <w:t>Clutter loss model</w:t>
      </w:r>
    </w:p>
    <w:p w14:paraId="16CEC9BB" w14:textId="77777777" w:rsidR="00DB71FB" w:rsidRPr="007A35D9" w:rsidRDefault="00DB71FB" w:rsidP="00DB71FB">
      <w:r w:rsidRPr="007A35D9">
        <w:t>[TBD]</w:t>
      </w:r>
    </w:p>
    <w:p w14:paraId="161DC3BB" w14:textId="77777777" w:rsidR="00DB71FB" w:rsidRPr="007A35D9" w:rsidRDefault="00DB71FB" w:rsidP="00DB71FB">
      <w:pPr>
        <w:pStyle w:val="Heading3"/>
      </w:pPr>
      <w:r w:rsidRPr="007A35D9">
        <w:t>6.3.4</w:t>
      </w:r>
      <w:r w:rsidRPr="007A35D9">
        <w:tab/>
        <w:t>Building entry loss model</w:t>
      </w:r>
    </w:p>
    <w:p w14:paraId="0EEAAAA3" w14:textId="77777777" w:rsidR="00DB71FB" w:rsidRPr="007A35D9" w:rsidRDefault="00DB71FB" w:rsidP="00DB71FB">
      <w:r w:rsidRPr="007A35D9">
        <w:t>[TBD]</w:t>
      </w:r>
    </w:p>
    <w:p w14:paraId="48393A0C" w14:textId="77777777" w:rsidR="00DB71FB" w:rsidRPr="007A35D9" w:rsidRDefault="00DB71FB" w:rsidP="00DB71FB">
      <w:pPr>
        <w:pStyle w:val="Heading2"/>
      </w:pPr>
      <w:r w:rsidRPr="007A35D9">
        <w:t>6.4</w:t>
      </w:r>
      <w:r w:rsidRPr="007A35D9">
        <w:tab/>
        <w:t>Probabilistic interference modelling</w:t>
      </w:r>
    </w:p>
    <w:p w14:paraId="5674BC9E" w14:textId="7DA758E6" w:rsidR="00DB71FB" w:rsidRPr="007A35D9" w:rsidRDefault="00DB71FB" w:rsidP="00DB71FB">
      <w:pPr>
        <w:rPr>
          <w:lang w:eastAsia="ja-JP"/>
        </w:rPr>
      </w:pPr>
      <w:r w:rsidRPr="007A35D9">
        <w:t xml:space="preserve">For realistic interference modelling, interference probability analysis according to the methodology described in Recommendation ITU-R P.2001, as well as other relevant ITU-R recommendations, can be used. This methodology is designed for Monte Carlo simulation in the frequency range 30 MHz–50 GHz, it </w:t>
      </w:r>
      <w:proofErr w:type="gramStart"/>
      <w:r w:rsidRPr="007A35D9">
        <w:t>takes into account</w:t>
      </w:r>
      <w:proofErr w:type="gramEnd"/>
      <w:r w:rsidRPr="007A35D9">
        <w:t xml:space="preserve"> the full range of time percentages (0-100 %). This recommendation makes use of terrain profiles, which is more appropriate for interference studies involving low terminals.</w:t>
      </w:r>
    </w:p>
    <w:p w14:paraId="5774E691" w14:textId="77777777" w:rsidR="00DB71FB" w:rsidRPr="007A35D9" w:rsidRDefault="00DB71FB" w:rsidP="00DB71FB">
      <w:pPr>
        <w:pStyle w:val="Heading3"/>
      </w:pPr>
      <w:r w:rsidRPr="007A35D9">
        <w:t>6.4.1</w:t>
      </w:r>
      <w:r w:rsidRPr="007A35D9">
        <w:tab/>
        <w:t>Power control for IMT UE</w:t>
      </w:r>
    </w:p>
    <w:p w14:paraId="3ABE3B77" w14:textId="77777777" w:rsidR="00DB71FB" w:rsidRPr="007A35D9" w:rsidRDefault="00DB71FB" w:rsidP="00DB71FB">
      <w:r w:rsidRPr="007A35D9">
        <w:t>IMT UE transmission power control is a typical mechanism implemented to reduce UE power consumption. Therefore, for conducting Monte Carlo sharing studies scenarios involving IMT UE, appropriate power control parameters need to be considered in the sharing studies for the different deployment scenarios in the 3 600-3 800 MHz frequency band.</w:t>
      </w:r>
    </w:p>
    <w:p w14:paraId="2EFC2890" w14:textId="77777777" w:rsidR="00DB71FB" w:rsidRPr="007A35D9" w:rsidRDefault="00DB71FB" w:rsidP="00DB71FB">
      <w:pPr>
        <w:pStyle w:val="Heading1"/>
      </w:pPr>
      <w:r w:rsidRPr="007A35D9">
        <w:t>7</w:t>
      </w:r>
      <w:r w:rsidRPr="007A35D9">
        <w:tab/>
        <w:t xml:space="preserve">Sharing and compatibility studies </w:t>
      </w:r>
    </w:p>
    <w:p w14:paraId="1AACD81C" w14:textId="77777777" w:rsidR="00DB71FB" w:rsidRPr="007A35D9" w:rsidRDefault="00DB71FB" w:rsidP="00DB71FB">
      <w:pPr>
        <w:spacing w:before="240" w:after="240"/>
        <w:rPr>
          <w:rFonts w:eastAsia="MS Mincho"/>
          <w:i/>
          <w:lang w:eastAsia="zh-CN"/>
        </w:rPr>
      </w:pPr>
      <w:r w:rsidRPr="007A35D9">
        <w:rPr>
          <w:rFonts w:eastAsia="MS Mincho"/>
          <w:i/>
          <w:lang w:eastAsia="zh-CN"/>
        </w:rPr>
        <w:t>[Editor’s note: This section includes the sharing and compatibility studies carried out in the frequency band]</w:t>
      </w:r>
    </w:p>
    <w:p w14:paraId="73EB5BB2" w14:textId="77777777" w:rsidR="00DB71FB" w:rsidRPr="007A35D9" w:rsidRDefault="00DB71FB" w:rsidP="00DB71FB">
      <w:pPr>
        <w:spacing w:before="160"/>
      </w:pPr>
      <w:r w:rsidRPr="007A35D9">
        <w:t xml:space="preserve">The sharing and compatibility studies are contained in the </w:t>
      </w:r>
      <w:r w:rsidRPr="007A35D9">
        <w:rPr>
          <w:lang w:eastAsia="zh-CN"/>
        </w:rPr>
        <w:t xml:space="preserve">Attachments </w:t>
      </w:r>
      <w:r w:rsidRPr="007A35D9">
        <w:t xml:space="preserve">to this </w:t>
      </w:r>
      <w:r w:rsidRPr="007A35D9">
        <w:rPr>
          <w:lang w:eastAsia="zh-CN"/>
        </w:rPr>
        <w:t>document</w:t>
      </w:r>
      <w:r w:rsidRPr="007A35D9">
        <w:t>.</w:t>
      </w:r>
    </w:p>
    <w:p w14:paraId="2729BE57" w14:textId="77777777" w:rsidR="00DB71FB" w:rsidRPr="007A35D9" w:rsidRDefault="00DB71FB" w:rsidP="00DB71FB">
      <w:pPr>
        <w:ind w:left="1871" w:hanging="1871"/>
        <w:rPr>
          <w:lang w:eastAsia="zh-CN"/>
        </w:rPr>
      </w:pPr>
      <w:r w:rsidRPr="007A35D9">
        <w:rPr>
          <w:b/>
          <w:bCs/>
          <w:lang w:eastAsia="zh-CN"/>
        </w:rPr>
        <w:t>Attachment</w:t>
      </w:r>
      <w:r w:rsidRPr="007A35D9">
        <w:rPr>
          <w:b/>
          <w:bCs/>
        </w:rPr>
        <w:t xml:space="preserve"> 1:</w:t>
      </w:r>
      <w:r w:rsidRPr="007A35D9">
        <w:tab/>
        <w:t xml:space="preserve">Sharing and compatibility of the </w:t>
      </w:r>
      <w:r w:rsidRPr="007A35D9">
        <w:rPr>
          <w:lang w:eastAsia="zh-CN"/>
        </w:rPr>
        <w:t>[Service type Z]</w:t>
      </w:r>
      <w:r w:rsidRPr="007A35D9">
        <w:t xml:space="preserve"> and the mobile service operating in the frequency </w:t>
      </w:r>
      <w:r w:rsidRPr="007A35D9">
        <w:rPr>
          <w:lang w:eastAsia="zh-CN"/>
        </w:rPr>
        <w:t>band 3 600-3 800 MHz.</w:t>
      </w:r>
    </w:p>
    <w:p w14:paraId="0777E10E" w14:textId="77777777" w:rsidR="00DB71FB" w:rsidRPr="007A35D9" w:rsidRDefault="00DB71FB" w:rsidP="00DB71FB">
      <w:pPr>
        <w:pStyle w:val="Heading1"/>
      </w:pPr>
      <w:r w:rsidRPr="007A35D9">
        <w:t>8</w:t>
      </w:r>
      <w:r w:rsidRPr="007A35D9">
        <w:tab/>
        <w:t>Mitigation measures for protection of services</w:t>
      </w:r>
    </w:p>
    <w:p w14:paraId="1D019A93" w14:textId="77777777" w:rsidR="00DB71FB" w:rsidRPr="007A35D9" w:rsidRDefault="00DB71FB" w:rsidP="00DB71FB">
      <w:pPr>
        <w:spacing w:before="240" w:after="240"/>
        <w:rPr>
          <w:rFonts w:eastAsia="MS Mincho"/>
          <w:i/>
          <w:lang w:eastAsia="zh-CN"/>
        </w:rPr>
      </w:pPr>
      <w:r w:rsidRPr="007A35D9">
        <w:rPr>
          <w:rFonts w:eastAsia="MS Mincho"/>
          <w:i/>
          <w:lang w:eastAsia="zh-CN"/>
        </w:rPr>
        <w:t>[Editor’s note: This section includes measures that can be deployed to ensure the protection of existing services]</w:t>
      </w:r>
    </w:p>
    <w:p w14:paraId="6193ADA0" w14:textId="77777777" w:rsidR="00DB71FB" w:rsidRPr="007A35D9" w:rsidRDefault="00DB71FB" w:rsidP="00DB71FB">
      <w:pPr>
        <w:pStyle w:val="AnnexNo"/>
      </w:pPr>
      <w:r w:rsidRPr="007A35D9">
        <w:lastRenderedPageBreak/>
        <w:t>Attachment</w:t>
      </w:r>
    </w:p>
    <w:p w14:paraId="7978C41D" w14:textId="77777777" w:rsidR="00DB71FB" w:rsidRPr="007A35D9" w:rsidRDefault="00DB71FB" w:rsidP="00DB71FB">
      <w:pPr>
        <w:pStyle w:val="Annextitle"/>
      </w:pPr>
      <w:r w:rsidRPr="007A35D9">
        <w:t xml:space="preserve">Sharing and compatibility Studies of [Service Type </w:t>
      </w:r>
      <w:r w:rsidRPr="007A35D9">
        <w:rPr>
          <w:lang w:eastAsia="zh-CN"/>
        </w:rPr>
        <w:t>z</w:t>
      </w:r>
      <w:r w:rsidRPr="007A35D9">
        <w:t xml:space="preserve">] and the Mobile service operating in the frequency band 3 600-3 800 MHz </w:t>
      </w:r>
      <w:r w:rsidRPr="007A35D9">
        <w:rPr>
          <w:lang w:eastAsia="zh-CN"/>
        </w:rPr>
        <w:t>and in adjacent bands, as appropriate</w:t>
      </w:r>
    </w:p>
    <w:p w14:paraId="29088971" w14:textId="77777777" w:rsidR="00DB71FB" w:rsidRPr="007A35D9" w:rsidRDefault="00DB71FB" w:rsidP="00DB71FB">
      <w:pPr>
        <w:spacing w:before="240" w:after="240"/>
        <w:rPr>
          <w:rFonts w:eastAsia="MS Mincho"/>
          <w:i/>
          <w:lang w:eastAsia="zh-CN"/>
        </w:rPr>
      </w:pPr>
      <w:r w:rsidRPr="007A35D9">
        <w:rPr>
          <w:rFonts w:eastAsia="MS Mincho"/>
          <w:i/>
          <w:lang w:eastAsia="zh-CN"/>
        </w:rPr>
        <w:t xml:space="preserve">[Editor’s note: </w:t>
      </w:r>
      <w:r w:rsidRPr="007A35D9">
        <w:rPr>
          <w:rFonts w:eastAsia="MS Mincho"/>
          <w:i/>
        </w:rPr>
        <w:t xml:space="preserve">This </w:t>
      </w:r>
      <w:r w:rsidRPr="007A35D9">
        <w:rPr>
          <w:rFonts w:eastAsia="MS Mincho"/>
          <w:i/>
          <w:lang w:eastAsia="zh-CN"/>
        </w:rPr>
        <w:t>Attachment</w:t>
      </w:r>
      <w:r w:rsidRPr="007A35D9">
        <w:rPr>
          <w:rFonts w:eastAsia="MS Mincho"/>
          <w:i/>
        </w:rPr>
        <w:t xml:space="preserve"> contains sharing and compatibility studies of the </w:t>
      </w:r>
      <w:r w:rsidRPr="007A35D9">
        <w:rPr>
          <w:rFonts w:eastAsia="MS Mincho"/>
          <w:i/>
          <w:lang w:eastAsia="zh-CN"/>
        </w:rPr>
        <w:t>[Service Type z]</w:t>
      </w:r>
      <w:r w:rsidRPr="007A35D9">
        <w:rPr>
          <w:rFonts w:eastAsia="MS Mincho"/>
          <w:i/>
        </w:rPr>
        <w:t xml:space="preserve"> and the Mobile service operating in the </w:t>
      </w:r>
      <w:r w:rsidRPr="007A35D9">
        <w:rPr>
          <w:rFonts w:eastAsia="MS Mincho"/>
          <w:i/>
          <w:lang w:eastAsia="zh-CN"/>
        </w:rPr>
        <w:t>band</w:t>
      </w:r>
      <w:r w:rsidRPr="007A35D9">
        <w:rPr>
          <w:rFonts w:eastAsia="MS Mincho"/>
          <w:i/>
        </w:rPr>
        <w:t>. Note</w:t>
      </w:r>
      <w:r w:rsidRPr="007A35D9">
        <w:rPr>
          <w:rFonts w:eastAsia="MS Mincho"/>
          <w:i/>
          <w:lang w:eastAsia="ja-JP"/>
        </w:rPr>
        <w:t xml:space="preserve"> the technical characteristics are provided in Section 3 in the main body of the document.</w:t>
      </w:r>
      <w:r w:rsidRPr="007A35D9">
        <w:rPr>
          <w:rFonts w:eastAsia="MS Mincho"/>
          <w:i/>
          <w:lang w:eastAsia="zh-CN"/>
        </w:rPr>
        <w:t>]</w:t>
      </w:r>
    </w:p>
    <w:p w14:paraId="478D8619" w14:textId="77777777" w:rsidR="00DB71FB" w:rsidRPr="007A35D9" w:rsidRDefault="00DB71FB" w:rsidP="00DB71FB">
      <w:pPr>
        <w:pStyle w:val="Heading1"/>
        <w:rPr>
          <w:rFonts w:eastAsia="MS Mincho"/>
        </w:rPr>
      </w:pPr>
      <w:r w:rsidRPr="007A35D9">
        <w:rPr>
          <w:rFonts w:eastAsia="MS Mincho"/>
        </w:rPr>
        <w:t>1</w:t>
      </w:r>
      <w:r w:rsidRPr="007A35D9">
        <w:rPr>
          <w:rFonts w:eastAsia="MS Mincho"/>
        </w:rPr>
        <w:tab/>
        <w:t>Technical Analysis</w:t>
      </w:r>
    </w:p>
    <w:p w14:paraId="1B5E42F4" w14:textId="77777777" w:rsidR="00DB71FB" w:rsidRPr="007A35D9" w:rsidRDefault="00DB71FB" w:rsidP="00DB71FB">
      <w:pPr>
        <w:pStyle w:val="Heading2"/>
        <w:rPr>
          <w:lang w:eastAsia="zh-CN"/>
        </w:rPr>
      </w:pPr>
      <w:r w:rsidRPr="007A35D9">
        <w:t>1.1</w:t>
      </w:r>
      <w:r w:rsidRPr="007A35D9">
        <w:tab/>
        <w:t>Study A</w:t>
      </w:r>
    </w:p>
    <w:p w14:paraId="0A3B4444" w14:textId="77777777" w:rsidR="00DB71FB" w:rsidRPr="007A35D9" w:rsidRDefault="00DB71FB" w:rsidP="00DB71FB">
      <w:pPr>
        <w:spacing w:before="240" w:after="240"/>
        <w:rPr>
          <w:rFonts w:eastAsia="MS Mincho"/>
          <w:i/>
          <w:lang w:eastAsia="zh-CN"/>
        </w:rPr>
      </w:pPr>
      <w:r w:rsidRPr="007A35D9">
        <w:rPr>
          <w:rFonts w:eastAsia="MS Mincho"/>
          <w:i/>
          <w:lang w:eastAsia="zh-CN"/>
        </w:rPr>
        <w:t>[Editor’s note: The chapter structure for each study depends on the input contribution of the ITU members. The following chapter structure in each study can be used as a reference.]</w:t>
      </w:r>
    </w:p>
    <w:p w14:paraId="1EB68BF8" w14:textId="77777777" w:rsidR="00DB71FB" w:rsidRPr="007A35D9" w:rsidRDefault="00DB71FB" w:rsidP="00DB71FB">
      <w:pPr>
        <w:pStyle w:val="Heading3"/>
      </w:pPr>
      <w:r w:rsidRPr="007A35D9">
        <w:t>1.</w:t>
      </w:r>
      <w:r w:rsidRPr="007A35D9">
        <w:rPr>
          <w:lang w:eastAsia="zh-CN"/>
        </w:rPr>
        <w:t>1</w:t>
      </w:r>
      <w:r w:rsidRPr="007A35D9">
        <w:t>.</w:t>
      </w:r>
      <w:r w:rsidRPr="007A35D9">
        <w:rPr>
          <w:lang w:eastAsia="zh-CN"/>
        </w:rPr>
        <w:t>1</w:t>
      </w:r>
      <w:r w:rsidRPr="007A35D9">
        <w:rPr>
          <w:lang w:eastAsia="ja-JP"/>
        </w:rPr>
        <w:tab/>
      </w:r>
      <w:r w:rsidRPr="007A35D9">
        <w:t>Technical characteristics</w:t>
      </w:r>
    </w:p>
    <w:p w14:paraId="5C246376" w14:textId="77777777" w:rsidR="00DB71FB" w:rsidRPr="007A35D9" w:rsidRDefault="00DB71FB" w:rsidP="00DB71FB">
      <w:pPr>
        <w:spacing w:before="240" w:after="240"/>
        <w:rPr>
          <w:rFonts w:eastAsia="MS Mincho"/>
          <w:i/>
          <w:lang w:eastAsia="zh-CN"/>
        </w:rPr>
      </w:pPr>
      <w:r w:rsidRPr="007A35D9">
        <w:rPr>
          <w:rFonts w:eastAsia="MS Mincho"/>
          <w:i/>
          <w:lang w:eastAsia="zh-CN"/>
        </w:rPr>
        <w:t xml:space="preserve">[Editor’s note: </w:t>
      </w:r>
      <w:r w:rsidRPr="007A35D9">
        <w:rPr>
          <w:rFonts w:eastAsia="MS Mincho"/>
          <w:i/>
          <w:lang w:eastAsia="ja-JP"/>
        </w:rPr>
        <w:t xml:space="preserve">This section provides the specific parameters used and included in the study/studies, as provided by the contributing groups to </w:t>
      </w:r>
      <w:r w:rsidRPr="007A35D9">
        <w:rPr>
          <w:rFonts w:eastAsia="MS Mincho"/>
          <w:i/>
          <w:lang w:eastAsia="zh-CN"/>
        </w:rPr>
        <w:t>WP 5A.]</w:t>
      </w:r>
    </w:p>
    <w:p w14:paraId="7B0892CF" w14:textId="77777777" w:rsidR="00DB71FB" w:rsidRPr="007A35D9" w:rsidRDefault="00DB71FB" w:rsidP="00DB71FB">
      <w:pPr>
        <w:pStyle w:val="Heading4"/>
        <w:rPr>
          <w:lang w:eastAsia="zh-CN"/>
        </w:rPr>
      </w:pPr>
      <w:r w:rsidRPr="007A35D9">
        <w:t>1.</w:t>
      </w:r>
      <w:r w:rsidRPr="007A35D9">
        <w:rPr>
          <w:lang w:eastAsia="zh-CN"/>
        </w:rPr>
        <w:t>1</w:t>
      </w:r>
      <w:r w:rsidRPr="007A35D9">
        <w:t>.</w:t>
      </w:r>
      <w:r w:rsidRPr="007A35D9">
        <w:rPr>
          <w:rFonts w:eastAsia="MS Mincho"/>
          <w:lang w:eastAsia="ja-JP"/>
        </w:rPr>
        <w:t>1</w:t>
      </w:r>
      <w:r w:rsidRPr="007A35D9">
        <w:t>.1</w:t>
      </w:r>
      <w:r w:rsidRPr="007A35D9">
        <w:tab/>
        <w:t xml:space="preserve">Technical and operational characteristics of Mobile systems operating in the frequency </w:t>
      </w:r>
      <w:r w:rsidRPr="007A35D9">
        <w:rPr>
          <w:lang w:eastAsia="zh-CN"/>
        </w:rPr>
        <w:t>band 3 600-3 800 MHz</w:t>
      </w:r>
    </w:p>
    <w:p w14:paraId="12F51373" w14:textId="77777777" w:rsidR="00DB71FB" w:rsidRPr="007A35D9" w:rsidRDefault="00DB71FB" w:rsidP="00DB71FB">
      <w:pPr>
        <w:spacing w:before="240" w:after="240"/>
        <w:rPr>
          <w:rFonts w:eastAsia="MS Mincho"/>
          <w:i/>
          <w:lang w:eastAsia="zh-CN"/>
        </w:rPr>
      </w:pPr>
      <w:r w:rsidRPr="007A35D9">
        <w:rPr>
          <w:rFonts w:eastAsia="MS Mincho"/>
          <w:i/>
          <w:lang w:eastAsia="zh-CN"/>
        </w:rPr>
        <w:t xml:space="preserve">[Editor’s note: This section provides </w:t>
      </w:r>
      <w:r w:rsidRPr="007A35D9">
        <w:rPr>
          <w:rFonts w:eastAsia="MS Mincho"/>
          <w:i/>
          <w:lang w:eastAsia="ja-JP"/>
        </w:rPr>
        <w:t xml:space="preserve">specific </w:t>
      </w:r>
      <w:r w:rsidRPr="007A35D9">
        <w:rPr>
          <w:rFonts w:eastAsia="MS Mincho"/>
          <w:i/>
          <w:lang w:eastAsia="zh-CN"/>
        </w:rPr>
        <w:t>characteristics of Mobile systems provided by WP 5A for sharing/interference analyses used in the study.]</w:t>
      </w:r>
    </w:p>
    <w:p w14:paraId="5EF7ED2E" w14:textId="77777777" w:rsidR="00DB71FB" w:rsidRPr="007A35D9" w:rsidRDefault="00DB71FB" w:rsidP="00DB71FB">
      <w:pPr>
        <w:pStyle w:val="Heading4"/>
        <w:rPr>
          <w:lang w:eastAsia="zh-CN"/>
        </w:rPr>
      </w:pPr>
      <w:r w:rsidRPr="007A35D9">
        <w:t>1.</w:t>
      </w:r>
      <w:r w:rsidRPr="007A35D9">
        <w:rPr>
          <w:lang w:eastAsia="zh-CN"/>
        </w:rPr>
        <w:t>1</w:t>
      </w:r>
      <w:r w:rsidRPr="007A35D9">
        <w:t>.</w:t>
      </w:r>
      <w:r w:rsidRPr="007A35D9">
        <w:rPr>
          <w:rFonts w:eastAsia="MS Mincho"/>
          <w:lang w:eastAsia="ja-JP"/>
        </w:rPr>
        <w:t>1</w:t>
      </w:r>
      <w:r w:rsidRPr="007A35D9">
        <w:t>.</w:t>
      </w:r>
      <w:r w:rsidRPr="007A35D9">
        <w:rPr>
          <w:lang w:eastAsia="zh-CN"/>
        </w:rPr>
        <w:t>2</w:t>
      </w:r>
      <w:r w:rsidRPr="007A35D9">
        <w:tab/>
        <w:t xml:space="preserve">Technical and operational characteristics of </w:t>
      </w:r>
      <w:r w:rsidRPr="007A35D9">
        <w:rPr>
          <w:lang w:eastAsia="zh-CN"/>
        </w:rPr>
        <w:t>[Service type z]</w:t>
      </w:r>
      <w:r w:rsidRPr="007A35D9">
        <w:t xml:space="preserve"> operating in the frequency </w:t>
      </w:r>
      <w:r w:rsidRPr="007A35D9">
        <w:rPr>
          <w:lang w:eastAsia="zh-CN"/>
        </w:rPr>
        <w:t xml:space="preserve">band 3 600-3 800 MHz </w:t>
      </w:r>
      <w:r w:rsidRPr="007A35D9">
        <w:rPr>
          <w:rFonts w:ascii="Times New Roman Bold" w:hAnsi="Times New Roman Bold"/>
          <w:lang w:eastAsia="zh-CN"/>
        </w:rPr>
        <w:t>and in adjacent bands, as appropriate</w:t>
      </w:r>
    </w:p>
    <w:p w14:paraId="6852E5B6" w14:textId="77777777" w:rsidR="00DB71FB" w:rsidRPr="007A35D9" w:rsidRDefault="00DB71FB" w:rsidP="00DB71FB">
      <w:pPr>
        <w:spacing w:before="240" w:after="240"/>
        <w:rPr>
          <w:rFonts w:eastAsia="MS Mincho"/>
          <w:i/>
          <w:lang w:eastAsia="zh-CN"/>
        </w:rPr>
      </w:pPr>
      <w:r w:rsidRPr="007A35D9">
        <w:rPr>
          <w:rFonts w:eastAsia="MS Mincho"/>
          <w:i/>
          <w:lang w:eastAsia="zh-CN"/>
        </w:rPr>
        <w:t xml:space="preserve">[Editor’s note: This section provides </w:t>
      </w:r>
      <w:r w:rsidRPr="007A35D9">
        <w:rPr>
          <w:rFonts w:eastAsia="MS Mincho"/>
          <w:i/>
          <w:lang w:eastAsia="ja-JP"/>
        </w:rPr>
        <w:t xml:space="preserve">specific </w:t>
      </w:r>
      <w:r w:rsidRPr="007A35D9">
        <w:rPr>
          <w:rFonts w:eastAsia="MS Mincho"/>
          <w:i/>
          <w:lang w:eastAsia="zh-CN"/>
        </w:rPr>
        <w:t>characteristics of [Service type z] provided by other expert group for sharing/interference analyses used in the study.]</w:t>
      </w:r>
    </w:p>
    <w:p w14:paraId="4F435574" w14:textId="77777777" w:rsidR="00DB71FB" w:rsidRPr="007A35D9" w:rsidRDefault="00DB71FB" w:rsidP="00DB71FB">
      <w:pPr>
        <w:pStyle w:val="Heading4"/>
        <w:rPr>
          <w:lang w:eastAsia="zh-CN"/>
        </w:rPr>
      </w:pPr>
      <w:r w:rsidRPr="007A35D9">
        <w:t>1.</w:t>
      </w:r>
      <w:r w:rsidRPr="007A35D9">
        <w:rPr>
          <w:lang w:eastAsia="zh-CN"/>
        </w:rPr>
        <w:t>1</w:t>
      </w:r>
      <w:r w:rsidRPr="007A35D9">
        <w:t>.</w:t>
      </w:r>
      <w:r w:rsidRPr="007A35D9">
        <w:rPr>
          <w:rFonts w:eastAsia="MS Mincho"/>
          <w:lang w:eastAsia="ja-JP"/>
        </w:rPr>
        <w:t>1</w:t>
      </w:r>
      <w:r w:rsidRPr="007A35D9">
        <w:t>.</w:t>
      </w:r>
      <w:r w:rsidRPr="007A35D9">
        <w:rPr>
          <w:lang w:eastAsia="zh-CN"/>
        </w:rPr>
        <w:t>3</w:t>
      </w:r>
      <w:r w:rsidRPr="007A35D9">
        <w:tab/>
        <w:t xml:space="preserve">Propagation models for sharing and compatibility studies in the frequency </w:t>
      </w:r>
      <w:r w:rsidRPr="007A35D9">
        <w:rPr>
          <w:lang w:eastAsia="zh-CN"/>
        </w:rPr>
        <w:t>band 3 600-3 800 MHz</w:t>
      </w:r>
    </w:p>
    <w:p w14:paraId="653210EA" w14:textId="77777777" w:rsidR="00DB71FB" w:rsidRPr="007A35D9" w:rsidRDefault="00DB71FB" w:rsidP="00DB71FB">
      <w:pPr>
        <w:spacing w:before="240" w:after="240"/>
        <w:rPr>
          <w:rFonts w:eastAsia="MS Mincho"/>
          <w:i/>
          <w:lang w:eastAsia="zh-CN"/>
        </w:rPr>
      </w:pPr>
      <w:r w:rsidRPr="007A35D9">
        <w:rPr>
          <w:rFonts w:eastAsia="MS Mincho"/>
          <w:i/>
          <w:lang w:eastAsia="zh-CN"/>
        </w:rPr>
        <w:t xml:space="preserve">[Editor’s note: This section provides </w:t>
      </w:r>
      <w:r w:rsidRPr="007A35D9">
        <w:rPr>
          <w:rFonts w:eastAsia="MS Mincho"/>
          <w:i/>
          <w:lang w:eastAsia="ja-JP"/>
        </w:rPr>
        <w:t xml:space="preserve">specific </w:t>
      </w:r>
      <w:r w:rsidRPr="007A35D9">
        <w:rPr>
          <w:rFonts w:eastAsia="MS Mincho"/>
          <w:i/>
          <w:lang w:eastAsia="zh-CN"/>
        </w:rPr>
        <w:t>p</w:t>
      </w:r>
      <w:r w:rsidRPr="007A35D9">
        <w:rPr>
          <w:rFonts w:eastAsia="MS Mincho"/>
          <w:i/>
          <w:lang w:eastAsia="ja-JP"/>
        </w:rPr>
        <w:t xml:space="preserve">ropagation models </w:t>
      </w:r>
      <w:r w:rsidRPr="007A35D9">
        <w:rPr>
          <w:rFonts w:eastAsia="MS Mincho"/>
          <w:i/>
          <w:lang w:eastAsia="zh-CN"/>
        </w:rPr>
        <w:t>and related parameters for sharing/interference analyses used in the study.]</w:t>
      </w:r>
    </w:p>
    <w:p w14:paraId="4CBFCFAD" w14:textId="77777777" w:rsidR="00DB71FB" w:rsidRPr="007A35D9" w:rsidRDefault="00DB71FB" w:rsidP="00DB71FB">
      <w:pPr>
        <w:pStyle w:val="Heading3"/>
        <w:rPr>
          <w:lang w:eastAsia="zh-CN"/>
        </w:rPr>
      </w:pPr>
      <w:r w:rsidRPr="007A35D9">
        <w:t>1.</w:t>
      </w:r>
      <w:r w:rsidRPr="007A35D9">
        <w:rPr>
          <w:lang w:eastAsia="zh-CN"/>
        </w:rPr>
        <w:t>1</w:t>
      </w:r>
      <w:r w:rsidRPr="007A35D9">
        <w:t>.</w:t>
      </w:r>
      <w:r w:rsidRPr="007A35D9">
        <w:rPr>
          <w:lang w:eastAsia="zh-CN"/>
        </w:rPr>
        <w:t>2</w:t>
      </w:r>
      <w:r w:rsidRPr="007A35D9">
        <w:rPr>
          <w:lang w:eastAsia="ja-JP"/>
        </w:rPr>
        <w:tab/>
      </w:r>
      <w:r w:rsidRPr="007A35D9">
        <w:rPr>
          <w:lang w:eastAsia="zh-CN"/>
        </w:rPr>
        <w:t>Methodology</w:t>
      </w:r>
    </w:p>
    <w:p w14:paraId="758F048C" w14:textId="77777777" w:rsidR="00DB71FB" w:rsidRPr="007A35D9" w:rsidRDefault="00DB71FB" w:rsidP="00DB71FB">
      <w:pPr>
        <w:spacing w:before="240" w:after="240"/>
        <w:rPr>
          <w:rFonts w:eastAsia="MS Mincho"/>
          <w:i/>
          <w:lang w:eastAsia="zh-CN"/>
        </w:rPr>
      </w:pPr>
      <w:r w:rsidRPr="007A35D9">
        <w:rPr>
          <w:rFonts w:eastAsia="MS Mincho"/>
          <w:i/>
          <w:lang w:eastAsia="zh-CN"/>
        </w:rPr>
        <w:t>[Editor’s note: This section provides t</w:t>
      </w:r>
      <w:r w:rsidRPr="007A35D9">
        <w:rPr>
          <w:rFonts w:eastAsia="MS Mincho"/>
          <w:i/>
          <w:lang w:eastAsia="ja-JP"/>
        </w:rPr>
        <w:t>he methodology used in this study</w:t>
      </w:r>
      <w:r w:rsidRPr="007A35D9">
        <w:rPr>
          <w:rFonts w:eastAsia="MS Mincho"/>
          <w:i/>
          <w:lang w:eastAsia="zh-CN"/>
        </w:rPr>
        <w:t>.]</w:t>
      </w:r>
    </w:p>
    <w:p w14:paraId="0AAE73DC" w14:textId="77777777" w:rsidR="00DB71FB" w:rsidRPr="007A35D9" w:rsidRDefault="00DB71FB" w:rsidP="00DB71FB">
      <w:pPr>
        <w:pStyle w:val="Heading3"/>
        <w:rPr>
          <w:lang w:eastAsia="zh-CN"/>
        </w:rPr>
      </w:pPr>
      <w:r w:rsidRPr="007A35D9">
        <w:t>1.</w:t>
      </w:r>
      <w:r w:rsidRPr="007A35D9">
        <w:rPr>
          <w:lang w:eastAsia="zh-CN"/>
        </w:rPr>
        <w:t>1</w:t>
      </w:r>
      <w:r w:rsidRPr="007A35D9">
        <w:t>.</w:t>
      </w:r>
      <w:r w:rsidRPr="007A35D9">
        <w:rPr>
          <w:lang w:eastAsia="zh-CN"/>
        </w:rPr>
        <w:t>3</w:t>
      </w:r>
      <w:r w:rsidRPr="007A35D9">
        <w:rPr>
          <w:lang w:eastAsia="ja-JP"/>
        </w:rPr>
        <w:tab/>
      </w:r>
      <w:r w:rsidRPr="007A35D9">
        <w:rPr>
          <w:lang w:eastAsia="zh-CN"/>
        </w:rPr>
        <w:t>Study results</w:t>
      </w:r>
    </w:p>
    <w:p w14:paraId="619F8248" w14:textId="77777777" w:rsidR="00DB71FB" w:rsidRPr="007A35D9" w:rsidRDefault="00DB71FB" w:rsidP="00DB71FB">
      <w:pPr>
        <w:spacing w:before="240" w:after="240"/>
        <w:rPr>
          <w:rFonts w:eastAsia="MS Mincho"/>
          <w:i/>
          <w:lang w:eastAsia="zh-CN"/>
        </w:rPr>
      </w:pPr>
      <w:r w:rsidRPr="007A35D9">
        <w:rPr>
          <w:rFonts w:eastAsia="MS Mincho"/>
          <w:i/>
          <w:lang w:eastAsia="zh-CN"/>
        </w:rPr>
        <w:t>[Editor’s note: This section provides t</w:t>
      </w:r>
      <w:r w:rsidRPr="007A35D9">
        <w:rPr>
          <w:rFonts w:eastAsia="MS Mincho"/>
          <w:i/>
          <w:lang w:eastAsia="ja-JP"/>
        </w:rPr>
        <w:t xml:space="preserve">he </w:t>
      </w:r>
      <w:r w:rsidRPr="007A35D9">
        <w:rPr>
          <w:rFonts w:eastAsia="MS Mincho"/>
          <w:i/>
          <w:lang w:eastAsia="zh-CN"/>
        </w:rPr>
        <w:t>sharing and compatibility study results of</w:t>
      </w:r>
      <w:r w:rsidRPr="007A35D9">
        <w:rPr>
          <w:rFonts w:eastAsia="MS Mincho"/>
          <w:i/>
          <w:lang w:eastAsia="ja-JP"/>
        </w:rPr>
        <w:t xml:space="preserve"> </w:t>
      </w:r>
      <w:r w:rsidRPr="007A35D9">
        <w:rPr>
          <w:rFonts w:eastAsia="MS Mincho"/>
          <w:i/>
          <w:lang w:eastAsia="zh-CN"/>
        </w:rPr>
        <w:t>this study.]</w:t>
      </w:r>
    </w:p>
    <w:p w14:paraId="3F55E94F" w14:textId="77777777" w:rsidR="00DB71FB" w:rsidRPr="007A35D9" w:rsidRDefault="00DB71FB" w:rsidP="00DB71FB">
      <w:pPr>
        <w:pStyle w:val="Heading3"/>
      </w:pPr>
      <w:r w:rsidRPr="007A35D9">
        <w:t>1.1.</w:t>
      </w:r>
      <w:r w:rsidRPr="007A35D9">
        <w:rPr>
          <w:lang w:eastAsia="zh-CN"/>
        </w:rPr>
        <w:t>4</w:t>
      </w:r>
      <w:r w:rsidRPr="007A35D9">
        <w:tab/>
        <w:t>Summary and analysis of the results of Study A</w:t>
      </w:r>
    </w:p>
    <w:p w14:paraId="5DE45DC7" w14:textId="77777777" w:rsidR="00DB71FB" w:rsidRPr="007A35D9" w:rsidRDefault="00DB71FB" w:rsidP="00DB71FB">
      <w:pPr>
        <w:spacing w:before="240" w:after="240"/>
        <w:rPr>
          <w:rFonts w:eastAsia="MS Mincho"/>
          <w:i/>
          <w:lang w:eastAsia="zh-CN"/>
        </w:rPr>
      </w:pPr>
      <w:r w:rsidRPr="007A35D9">
        <w:rPr>
          <w:rFonts w:eastAsia="MS Mincho"/>
          <w:i/>
          <w:lang w:eastAsia="zh-CN"/>
        </w:rPr>
        <w:t>[Editor’s note: This section provides t</w:t>
      </w:r>
      <w:r w:rsidRPr="007A35D9">
        <w:rPr>
          <w:rFonts w:eastAsia="MS Mincho"/>
          <w:i/>
          <w:lang w:eastAsia="ja-JP"/>
        </w:rPr>
        <w:t xml:space="preserve">he </w:t>
      </w:r>
      <w:r w:rsidRPr="007A35D9">
        <w:rPr>
          <w:rFonts w:eastAsia="MS Mincho"/>
          <w:i/>
          <w:lang w:eastAsia="zh-CN"/>
        </w:rPr>
        <w:t>summary and analysis of the results of this study.]</w:t>
      </w:r>
    </w:p>
    <w:p w14:paraId="1CEE9295" w14:textId="77777777" w:rsidR="00DB71FB" w:rsidRPr="007A35D9" w:rsidRDefault="00DB71FB" w:rsidP="00DB71FB">
      <w:pPr>
        <w:pStyle w:val="Heading2"/>
        <w:rPr>
          <w:lang w:eastAsia="zh-CN"/>
        </w:rPr>
      </w:pPr>
      <w:r w:rsidRPr="007A35D9">
        <w:lastRenderedPageBreak/>
        <w:t>1.</w:t>
      </w:r>
      <w:r w:rsidRPr="007A35D9">
        <w:rPr>
          <w:lang w:eastAsia="zh-CN"/>
        </w:rPr>
        <w:t>2</w:t>
      </w:r>
      <w:r w:rsidRPr="007A35D9">
        <w:tab/>
        <w:t xml:space="preserve">Study </w:t>
      </w:r>
      <w:r w:rsidRPr="007A35D9">
        <w:rPr>
          <w:lang w:eastAsia="zh-CN"/>
        </w:rPr>
        <w:t>B</w:t>
      </w:r>
    </w:p>
    <w:p w14:paraId="077A1834" w14:textId="77777777" w:rsidR="00DB71FB" w:rsidRPr="007A35D9" w:rsidRDefault="00DB71FB" w:rsidP="00DB71FB">
      <w:pPr>
        <w:pStyle w:val="Heading3"/>
      </w:pPr>
      <w:r w:rsidRPr="007A35D9">
        <w:t>1.</w:t>
      </w:r>
      <w:r w:rsidRPr="007A35D9">
        <w:rPr>
          <w:lang w:eastAsia="zh-CN"/>
        </w:rPr>
        <w:t>2</w:t>
      </w:r>
      <w:r w:rsidRPr="007A35D9">
        <w:t>.</w:t>
      </w:r>
      <w:r w:rsidRPr="007A35D9">
        <w:rPr>
          <w:lang w:eastAsia="zh-CN"/>
        </w:rPr>
        <w:t>1</w:t>
      </w:r>
      <w:r w:rsidRPr="007A35D9">
        <w:rPr>
          <w:lang w:eastAsia="ja-JP"/>
        </w:rPr>
        <w:tab/>
      </w:r>
      <w:r w:rsidRPr="007A35D9">
        <w:t>Technical characteristics</w:t>
      </w:r>
    </w:p>
    <w:p w14:paraId="71FF2D99" w14:textId="77777777" w:rsidR="00DB71FB" w:rsidRPr="007A35D9" w:rsidRDefault="00DB71FB" w:rsidP="00DB71FB">
      <w:pPr>
        <w:pStyle w:val="Heading4"/>
      </w:pPr>
      <w:r w:rsidRPr="007A35D9">
        <w:t>1.2.</w:t>
      </w:r>
      <w:r w:rsidRPr="007A35D9">
        <w:rPr>
          <w:rFonts w:eastAsia="MS Mincho"/>
        </w:rPr>
        <w:t>1</w:t>
      </w:r>
      <w:r w:rsidRPr="007A35D9">
        <w:t>.1</w:t>
      </w:r>
      <w:r w:rsidRPr="007A35D9">
        <w:tab/>
        <w:t xml:space="preserve">Technical and operational characteristics of Mobile systems operating in the frequency band </w:t>
      </w:r>
      <w:r w:rsidRPr="007A35D9">
        <w:rPr>
          <w:lang w:eastAsia="zh-CN"/>
        </w:rPr>
        <w:t xml:space="preserve">3 600-3 800 </w:t>
      </w:r>
      <w:r w:rsidRPr="007A35D9">
        <w:t>MHz</w:t>
      </w:r>
    </w:p>
    <w:p w14:paraId="658534F3" w14:textId="77777777" w:rsidR="00DB71FB" w:rsidRPr="007A35D9" w:rsidRDefault="00DB71FB" w:rsidP="00DB71FB">
      <w:pPr>
        <w:pStyle w:val="Heading4"/>
      </w:pPr>
      <w:r w:rsidRPr="007A35D9">
        <w:t>1.2.</w:t>
      </w:r>
      <w:r w:rsidRPr="007A35D9">
        <w:rPr>
          <w:rFonts w:eastAsia="MS Mincho"/>
        </w:rPr>
        <w:t>1</w:t>
      </w:r>
      <w:r w:rsidRPr="007A35D9">
        <w:t>.2</w:t>
      </w:r>
      <w:r w:rsidRPr="007A35D9">
        <w:tab/>
        <w:t xml:space="preserve">Technical and operational characteristics of [Service type z] operating in the frequency band </w:t>
      </w:r>
      <w:r w:rsidRPr="007A35D9">
        <w:rPr>
          <w:lang w:eastAsia="zh-CN"/>
        </w:rPr>
        <w:t xml:space="preserve">3 600-3 800 </w:t>
      </w:r>
      <w:r w:rsidRPr="007A35D9">
        <w:t xml:space="preserve">MHz </w:t>
      </w:r>
      <w:r w:rsidRPr="007A35D9">
        <w:rPr>
          <w:rFonts w:ascii="Times New Roman Bold" w:hAnsi="Times New Roman Bold"/>
          <w:lang w:eastAsia="zh-CN"/>
        </w:rPr>
        <w:t>and in adjacent bands, as appropriate</w:t>
      </w:r>
    </w:p>
    <w:p w14:paraId="424D3D8C" w14:textId="77777777" w:rsidR="00DB71FB" w:rsidRPr="007A35D9" w:rsidRDefault="00DB71FB" w:rsidP="00DB71FB">
      <w:pPr>
        <w:pStyle w:val="Heading4"/>
      </w:pPr>
      <w:r w:rsidRPr="007A35D9">
        <w:t>1.2.</w:t>
      </w:r>
      <w:r w:rsidRPr="007A35D9">
        <w:rPr>
          <w:rFonts w:eastAsia="MS Mincho"/>
        </w:rPr>
        <w:t>1</w:t>
      </w:r>
      <w:r w:rsidRPr="007A35D9">
        <w:t>.3</w:t>
      </w:r>
      <w:r w:rsidRPr="007A35D9">
        <w:tab/>
        <w:t>Propagation models for sharing and compatibility studies in the frequency band</w:t>
      </w:r>
      <w:r w:rsidRPr="007A35D9">
        <w:rPr>
          <w:lang w:eastAsia="zh-CN"/>
        </w:rPr>
        <w:t xml:space="preserve"> 3 600-3 800 </w:t>
      </w:r>
      <w:r w:rsidRPr="007A35D9">
        <w:t>MHz</w:t>
      </w:r>
    </w:p>
    <w:p w14:paraId="283EF396" w14:textId="77777777" w:rsidR="00DB71FB" w:rsidRPr="007A35D9" w:rsidRDefault="00DB71FB" w:rsidP="00DB71FB">
      <w:pPr>
        <w:pStyle w:val="Heading3"/>
        <w:rPr>
          <w:lang w:eastAsia="zh-CN"/>
        </w:rPr>
      </w:pPr>
      <w:r w:rsidRPr="007A35D9">
        <w:t>1.</w:t>
      </w:r>
      <w:r w:rsidRPr="007A35D9">
        <w:rPr>
          <w:lang w:eastAsia="zh-CN"/>
        </w:rPr>
        <w:t>2</w:t>
      </w:r>
      <w:r w:rsidRPr="007A35D9">
        <w:t>.</w:t>
      </w:r>
      <w:r w:rsidRPr="007A35D9">
        <w:rPr>
          <w:lang w:eastAsia="zh-CN"/>
        </w:rPr>
        <w:t>2</w:t>
      </w:r>
      <w:r w:rsidRPr="007A35D9">
        <w:rPr>
          <w:lang w:eastAsia="ja-JP"/>
        </w:rPr>
        <w:tab/>
      </w:r>
      <w:r w:rsidRPr="007A35D9">
        <w:rPr>
          <w:lang w:eastAsia="zh-CN"/>
        </w:rPr>
        <w:t xml:space="preserve">Methodology </w:t>
      </w:r>
    </w:p>
    <w:p w14:paraId="12137F29" w14:textId="77777777" w:rsidR="00DB71FB" w:rsidRPr="007A35D9" w:rsidRDefault="00DB71FB" w:rsidP="00DB71FB">
      <w:pPr>
        <w:pStyle w:val="Heading3"/>
        <w:rPr>
          <w:lang w:eastAsia="zh-CN"/>
        </w:rPr>
      </w:pPr>
      <w:r w:rsidRPr="007A35D9">
        <w:t>1.</w:t>
      </w:r>
      <w:r w:rsidRPr="007A35D9">
        <w:rPr>
          <w:lang w:eastAsia="zh-CN"/>
        </w:rPr>
        <w:t>2</w:t>
      </w:r>
      <w:r w:rsidRPr="007A35D9">
        <w:t>.</w:t>
      </w:r>
      <w:r w:rsidRPr="007A35D9">
        <w:rPr>
          <w:lang w:eastAsia="zh-CN"/>
        </w:rPr>
        <w:t>3</w:t>
      </w:r>
      <w:r w:rsidRPr="007A35D9">
        <w:rPr>
          <w:lang w:eastAsia="ja-JP"/>
        </w:rPr>
        <w:tab/>
      </w:r>
      <w:r w:rsidRPr="007A35D9">
        <w:rPr>
          <w:lang w:eastAsia="zh-CN"/>
        </w:rPr>
        <w:t>Study results</w:t>
      </w:r>
    </w:p>
    <w:p w14:paraId="11020E2E" w14:textId="77777777" w:rsidR="00DB71FB" w:rsidRPr="007A35D9" w:rsidRDefault="00DB71FB" w:rsidP="00DB71FB">
      <w:pPr>
        <w:pStyle w:val="Heading3"/>
        <w:rPr>
          <w:lang w:eastAsia="zh-CN"/>
        </w:rPr>
      </w:pPr>
      <w:r w:rsidRPr="007A35D9">
        <w:t>1.</w:t>
      </w:r>
      <w:r w:rsidRPr="007A35D9">
        <w:rPr>
          <w:lang w:eastAsia="zh-CN"/>
        </w:rPr>
        <w:t>2</w:t>
      </w:r>
      <w:r w:rsidRPr="007A35D9">
        <w:t>.</w:t>
      </w:r>
      <w:r w:rsidRPr="007A35D9">
        <w:rPr>
          <w:lang w:eastAsia="zh-CN"/>
        </w:rPr>
        <w:t>4</w:t>
      </w:r>
      <w:r w:rsidRPr="007A35D9">
        <w:tab/>
        <w:t xml:space="preserve">Summary and analysis of the results of Study </w:t>
      </w:r>
      <w:r w:rsidRPr="007A35D9">
        <w:rPr>
          <w:lang w:eastAsia="zh-CN"/>
        </w:rPr>
        <w:t>B</w:t>
      </w:r>
    </w:p>
    <w:p w14:paraId="16E6BCBA" w14:textId="77777777" w:rsidR="00DB71FB" w:rsidRPr="007A35D9" w:rsidRDefault="00DB71FB" w:rsidP="00DB71FB">
      <w:pPr>
        <w:pStyle w:val="Heading1"/>
      </w:pPr>
      <w:r w:rsidRPr="007A35D9">
        <w:t>2</w:t>
      </w:r>
      <w:r w:rsidRPr="007A35D9">
        <w:tab/>
        <w:t>Summary and analysis of the results of studies</w:t>
      </w:r>
    </w:p>
    <w:p w14:paraId="2CE2E006" w14:textId="77777777" w:rsidR="00DB71FB" w:rsidRPr="007A35D9" w:rsidRDefault="00DB71FB" w:rsidP="001015C4">
      <w:pPr>
        <w:pStyle w:val="EditorsNote"/>
        <w:rPr>
          <w:lang w:eastAsia="zh-CN"/>
        </w:rPr>
      </w:pPr>
      <w:r w:rsidRPr="007A35D9">
        <w:rPr>
          <w:rFonts w:eastAsia="MS Mincho"/>
          <w:lang w:eastAsia="zh-CN"/>
        </w:rPr>
        <w:t>[Editor’s note: This section provides t</w:t>
      </w:r>
      <w:r w:rsidRPr="007A35D9">
        <w:rPr>
          <w:rFonts w:eastAsia="MS Mincho"/>
          <w:lang w:eastAsia="ja-JP"/>
        </w:rPr>
        <w:t xml:space="preserve">he </w:t>
      </w:r>
      <w:r w:rsidRPr="007A35D9">
        <w:rPr>
          <w:rFonts w:eastAsia="MS Mincho"/>
          <w:lang w:eastAsia="zh-CN"/>
        </w:rPr>
        <w:t>s</w:t>
      </w:r>
      <w:r w:rsidRPr="007A35D9">
        <w:rPr>
          <w:rFonts w:eastAsia="MS Mincho"/>
          <w:lang w:eastAsia="ja-JP"/>
        </w:rPr>
        <w:t>ummary and analysis of the results of studies</w:t>
      </w:r>
      <w:r w:rsidRPr="007A35D9">
        <w:rPr>
          <w:rFonts w:eastAsia="MS Mincho"/>
          <w:lang w:eastAsia="zh-CN"/>
        </w:rPr>
        <w:t>. The text here can be used in the Section 1/1.3/3 “Summary and analysis of the results of ITU-R studies” of Draft CPM Text.]</w:t>
      </w:r>
    </w:p>
    <w:p w14:paraId="6AF52B4A" w14:textId="77777777" w:rsidR="00DB71FB" w:rsidRPr="007A35D9" w:rsidRDefault="00DB71FB" w:rsidP="00DB71FB">
      <w:pPr>
        <w:pStyle w:val="Reasons"/>
      </w:pPr>
    </w:p>
    <w:p w14:paraId="5A8AA8E5" w14:textId="238349F3" w:rsidR="00DB71FB" w:rsidRPr="007A35D9" w:rsidRDefault="00DB71FB" w:rsidP="00DB71FB">
      <w:pPr>
        <w:jc w:val="center"/>
      </w:pPr>
    </w:p>
    <w:sectPr w:rsidR="00DB71FB" w:rsidRPr="007A35D9"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SOA" w:date="2021-11-19T12:11:00Z" w:initials="E">
    <w:p w14:paraId="147E5281" w14:textId="77777777" w:rsidR="00DB71FB" w:rsidRDefault="00DB71FB" w:rsidP="00DB71FB">
      <w:pPr>
        <w:pStyle w:val="CommentText"/>
      </w:pPr>
      <w:r>
        <w:rPr>
          <w:rStyle w:val="CommentReference"/>
        </w:rPr>
        <w:annotationRef/>
      </w:r>
      <w:r>
        <w:t>Maybe this should be replaced by study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E52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12D7" w16cex:dateUtc="2021-11-19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E5281" w16cid:durableId="25421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E116" w14:textId="77777777" w:rsidR="004453F2" w:rsidRDefault="004453F2">
      <w:r>
        <w:separator/>
      </w:r>
    </w:p>
  </w:endnote>
  <w:endnote w:type="continuationSeparator" w:id="0">
    <w:p w14:paraId="79E5C127" w14:textId="77777777" w:rsidR="004453F2" w:rsidRDefault="0044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9070" w14:textId="7129B0E6" w:rsidR="00FA124A" w:rsidRPr="0052186C" w:rsidRDefault="007A35D9" w:rsidP="0052186C">
    <w:pPr>
      <w:pStyle w:val="Footer"/>
    </w:pPr>
    <w:r>
      <w:fldChar w:fldCharType="begin"/>
    </w:r>
    <w:r>
      <w:instrText xml:space="preserve"> FILENAME \p \* MERGEFORMAT </w:instrText>
    </w:r>
    <w:r>
      <w:fldChar w:fldCharType="separate"/>
    </w:r>
    <w:r w:rsidR="0052186C" w:rsidRPr="0010253A">
      <w:rPr>
        <w:lang w:val="en-US"/>
      </w:rPr>
      <w:t>M</w:t>
    </w:r>
    <w:r w:rsidR="0052186C">
      <w:t>:\BRSGD\TEXT2019\SG05\WP5A\400\491\491N20e.docx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8177" w14:textId="09F0BBC2" w:rsidR="00FA124A" w:rsidRPr="0052186C" w:rsidRDefault="007A35D9" w:rsidP="00E6257C">
    <w:pPr>
      <w:pStyle w:val="Footer"/>
    </w:pPr>
    <w:r>
      <w:fldChar w:fldCharType="begin"/>
    </w:r>
    <w:r>
      <w:instrText xml:space="preserve"> FILENAME \p \* MERGEFORMAT </w:instrText>
    </w:r>
    <w:r>
      <w:fldChar w:fldCharType="separate"/>
    </w:r>
    <w:r w:rsidR="0052186C" w:rsidRPr="0010253A">
      <w:rPr>
        <w:lang w:val="en-US"/>
      </w:rPr>
      <w:t>M</w:t>
    </w:r>
    <w:r w:rsidR="0052186C">
      <w:t>:\BRSGD\TEXT2019\SG05\WP5A\400\491\491N20e.docx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92A6" w14:textId="77777777" w:rsidR="004453F2" w:rsidRDefault="004453F2">
      <w:r>
        <w:t>____________________</w:t>
      </w:r>
    </w:p>
  </w:footnote>
  <w:footnote w:type="continuationSeparator" w:id="0">
    <w:p w14:paraId="7EFFB898" w14:textId="77777777" w:rsidR="004453F2" w:rsidRDefault="0044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8D94" w14:textId="48EA4310"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6A89">
      <w:rPr>
        <w:rStyle w:val="PageNumber"/>
        <w:noProof/>
      </w:rPr>
      <w:t>2</w:t>
    </w:r>
    <w:r w:rsidR="00D02712">
      <w:rPr>
        <w:rStyle w:val="PageNumber"/>
      </w:rPr>
      <w:fldChar w:fldCharType="end"/>
    </w:r>
    <w:r>
      <w:rPr>
        <w:rStyle w:val="PageNumber"/>
      </w:rPr>
      <w:t xml:space="preserve"> -</w:t>
    </w:r>
  </w:p>
  <w:p w14:paraId="03E1233D" w14:textId="26A2EC6F" w:rsidR="00FA124A" w:rsidRDefault="004453F2">
    <w:pPr>
      <w:pStyle w:val="Header"/>
      <w:rPr>
        <w:lang w:val="en-US"/>
      </w:rPr>
    </w:pPr>
    <w:r>
      <w:rPr>
        <w:lang w:val="en-US"/>
      </w:rPr>
      <w:t>5A/</w:t>
    </w:r>
    <w:r w:rsidR="0052186C">
      <w:rPr>
        <w:lang w:val="en-US"/>
      </w:rPr>
      <w:t>491 (Annex 20</w:t>
    </w:r>
    <w:r w:rsidR="00030A41">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E15"/>
    <w:multiLevelType w:val="multilevel"/>
    <w:tmpl w:val="D4EAA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F2"/>
    <w:rsid w:val="000069D4"/>
    <w:rsid w:val="000174AD"/>
    <w:rsid w:val="00030A41"/>
    <w:rsid w:val="00047A1D"/>
    <w:rsid w:val="000604B9"/>
    <w:rsid w:val="000A7D55"/>
    <w:rsid w:val="000C12C8"/>
    <w:rsid w:val="000C2E8E"/>
    <w:rsid w:val="000E0E7C"/>
    <w:rsid w:val="000F1B4B"/>
    <w:rsid w:val="001015C4"/>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035D"/>
    <w:rsid w:val="003C13CE"/>
    <w:rsid w:val="003C697E"/>
    <w:rsid w:val="003E2518"/>
    <w:rsid w:val="003E7CEF"/>
    <w:rsid w:val="004453F2"/>
    <w:rsid w:val="004B1EF7"/>
    <w:rsid w:val="004B3FAD"/>
    <w:rsid w:val="004C5749"/>
    <w:rsid w:val="00501DCA"/>
    <w:rsid w:val="00513A47"/>
    <w:rsid w:val="0052186C"/>
    <w:rsid w:val="005408DF"/>
    <w:rsid w:val="00573344"/>
    <w:rsid w:val="00583F9B"/>
    <w:rsid w:val="005B0D29"/>
    <w:rsid w:val="005E5C10"/>
    <w:rsid w:val="005F2C78"/>
    <w:rsid w:val="006144E4"/>
    <w:rsid w:val="00650299"/>
    <w:rsid w:val="006538C2"/>
    <w:rsid w:val="00655FC5"/>
    <w:rsid w:val="00712C87"/>
    <w:rsid w:val="00762519"/>
    <w:rsid w:val="007A35D9"/>
    <w:rsid w:val="0080538C"/>
    <w:rsid w:val="00814E0A"/>
    <w:rsid w:val="00822581"/>
    <w:rsid w:val="008309DD"/>
    <w:rsid w:val="0083227A"/>
    <w:rsid w:val="00866900"/>
    <w:rsid w:val="00866A89"/>
    <w:rsid w:val="00876A8A"/>
    <w:rsid w:val="00881BA1"/>
    <w:rsid w:val="008A0400"/>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7087F"/>
    <w:rsid w:val="00AD2345"/>
    <w:rsid w:val="00AF173A"/>
    <w:rsid w:val="00B066A4"/>
    <w:rsid w:val="00B07A13"/>
    <w:rsid w:val="00B4279B"/>
    <w:rsid w:val="00B45FC9"/>
    <w:rsid w:val="00B76F35"/>
    <w:rsid w:val="00B81138"/>
    <w:rsid w:val="00BC7CCF"/>
    <w:rsid w:val="00BE470B"/>
    <w:rsid w:val="00C108DA"/>
    <w:rsid w:val="00C57A91"/>
    <w:rsid w:val="00CC01C2"/>
    <w:rsid w:val="00CF21F2"/>
    <w:rsid w:val="00D02712"/>
    <w:rsid w:val="00D046A7"/>
    <w:rsid w:val="00D214D0"/>
    <w:rsid w:val="00D6546B"/>
    <w:rsid w:val="00DB178B"/>
    <w:rsid w:val="00DB71FB"/>
    <w:rsid w:val="00DC17D3"/>
    <w:rsid w:val="00DD4BED"/>
    <w:rsid w:val="00DE39F0"/>
    <w:rsid w:val="00DF0AF3"/>
    <w:rsid w:val="00DF7E9F"/>
    <w:rsid w:val="00E27D7E"/>
    <w:rsid w:val="00E42E13"/>
    <w:rsid w:val="00E56D5C"/>
    <w:rsid w:val="00E6257C"/>
    <w:rsid w:val="00E63C59"/>
    <w:rsid w:val="00F25662"/>
    <w:rsid w:val="00F80EC1"/>
    <w:rsid w:val="00FA124A"/>
    <w:rsid w:val="00FC08DD"/>
    <w:rsid w:val="00FC2316"/>
    <w:rsid w:val="00FC2CFD"/>
    <w:rsid w:val="00FF29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409011"/>
  <w15:docId w15:val="{B863E3B1-825C-4F68-9B89-EDF0AEC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CommentReference">
    <w:name w:val="annotation reference"/>
    <w:basedOn w:val="DefaultParagraphFont"/>
    <w:semiHidden/>
    <w:unhideWhenUsed/>
    <w:rsid w:val="00DB71FB"/>
    <w:rPr>
      <w:sz w:val="16"/>
      <w:szCs w:val="16"/>
    </w:rPr>
  </w:style>
  <w:style w:type="paragraph" w:styleId="CommentText">
    <w:name w:val="annotation text"/>
    <w:basedOn w:val="Normal"/>
    <w:link w:val="CommentTextChar"/>
    <w:semiHidden/>
    <w:unhideWhenUsed/>
    <w:rsid w:val="00DB71FB"/>
    <w:rPr>
      <w:rFonts w:eastAsiaTheme="minorEastAsia"/>
      <w:sz w:val="20"/>
    </w:rPr>
  </w:style>
  <w:style w:type="character" w:customStyle="1" w:styleId="CommentTextChar">
    <w:name w:val="Comment Text Char"/>
    <w:basedOn w:val="DefaultParagraphFont"/>
    <w:link w:val="CommentText"/>
    <w:semiHidden/>
    <w:rsid w:val="00DB71FB"/>
    <w:rPr>
      <w:rFonts w:ascii="Times New Roman" w:eastAsiaTheme="minorEastAsia" w:hAnsi="Times New Roman"/>
      <w:lang w:val="en-GB" w:eastAsia="en-US"/>
    </w:rPr>
  </w:style>
  <w:style w:type="character" w:customStyle="1" w:styleId="AnnexNoChar">
    <w:name w:val="Annex_No Char"/>
    <w:link w:val="AnnexNo"/>
    <w:rsid w:val="00DB71FB"/>
    <w:rPr>
      <w:rFonts w:ascii="Times New Roman" w:hAnsi="Times New Roman"/>
      <w:caps/>
      <w:sz w:val="28"/>
      <w:lang w:val="en-GB" w:eastAsia="en-US"/>
    </w:rPr>
  </w:style>
  <w:style w:type="table" w:customStyle="1" w:styleId="TableGrid19">
    <w:name w:val="Table Grid19"/>
    <w:basedOn w:val="TableNormal"/>
    <w:next w:val="TableGrid"/>
    <w:uiPriority w:val="59"/>
    <w:qFormat/>
    <w:rsid w:val="00DB71FB"/>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DB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B71FB"/>
    <w:rPr>
      <w:color w:val="0000FF" w:themeColor="hyperlink"/>
      <w:u w:val="single"/>
    </w:rPr>
  </w:style>
  <w:style w:type="character" w:customStyle="1" w:styleId="UnresolvedMention1">
    <w:name w:val="Unresolved Mention1"/>
    <w:basedOn w:val="DefaultParagraphFont"/>
    <w:uiPriority w:val="99"/>
    <w:semiHidden/>
    <w:unhideWhenUsed/>
    <w:rsid w:val="00DB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DF37A-2CA3-4F29-AC8C-ECDA95312CD1}">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52e7451a-2438-4699-974e-3752ec5efa44"/>
    <ds:schemaRef ds:uri="http://schemas.microsoft.com/office/infopath/2007/PartnerControls"/>
    <ds:schemaRef ds:uri="4c6a61cb-1973-4fc6-92ae-f4d7a4471404"/>
    <ds:schemaRef ds:uri="http://www.w3.org/XML/1998/namespace"/>
  </ds:schemaRefs>
</ds:datastoreItem>
</file>

<file path=customXml/itemProps2.xml><?xml version="1.0" encoding="utf-8"?>
<ds:datastoreItem xmlns:ds="http://schemas.openxmlformats.org/officeDocument/2006/customXml" ds:itemID="{7125821B-FDDD-475E-A4F7-6DD2E9AC08F8}">
  <ds:schemaRefs>
    <ds:schemaRef ds:uri="http://schemas.microsoft.com/sharepoint/v3/contenttype/forms"/>
  </ds:schemaRefs>
</ds:datastoreItem>
</file>

<file path=customXml/itemProps3.xml><?xml version="1.0" encoding="utf-8"?>
<ds:datastoreItem xmlns:ds="http://schemas.openxmlformats.org/officeDocument/2006/customXml" ds:itemID="{13270619-5728-4AC2-88F1-4E86DC6D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56</TotalTime>
  <Pages>9</Pages>
  <Words>2741</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Chamova, Alisa</cp:lastModifiedBy>
  <cp:revision>5</cp:revision>
  <cp:lastPrinted>2008-02-21T14:04:00Z</cp:lastPrinted>
  <dcterms:created xsi:type="dcterms:W3CDTF">2021-11-29T12:43:00Z</dcterms:created>
  <dcterms:modified xsi:type="dcterms:W3CDTF">2021-11-29T13:51:00Z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