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77178" w14:paraId="0E5693B1" w14:textId="77777777" w:rsidTr="00876A8A">
        <w:trPr>
          <w:cantSplit/>
        </w:trPr>
        <w:tc>
          <w:tcPr>
            <w:tcW w:w="6487" w:type="dxa"/>
            <w:vAlign w:val="center"/>
          </w:tcPr>
          <w:p w14:paraId="0F3FC62A" w14:textId="77777777" w:rsidR="009F6520" w:rsidRPr="00A77178" w:rsidRDefault="009F6520" w:rsidP="009F6520">
            <w:pPr>
              <w:shd w:val="solid" w:color="FFFFFF" w:fill="FFFFFF"/>
              <w:spacing w:before="0"/>
              <w:rPr>
                <w:rFonts w:ascii="Verdana" w:hAnsi="Verdana" w:cs="Times New Roman Bold"/>
                <w:b/>
                <w:bCs/>
                <w:noProof/>
                <w:sz w:val="26"/>
                <w:szCs w:val="26"/>
              </w:rPr>
            </w:pPr>
            <w:r w:rsidRPr="00A77178">
              <w:rPr>
                <w:rFonts w:ascii="Verdana" w:hAnsi="Verdana" w:cs="Times New Roman Bold"/>
                <w:b/>
                <w:bCs/>
                <w:noProof/>
                <w:sz w:val="26"/>
                <w:szCs w:val="26"/>
              </w:rPr>
              <w:t>Radiocommunication Study Groups</w:t>
            </w:r>
          </w:p>
        </w:tc>
        <w:tc>
          <w:tcPr>
            <w:tcW w:w="3402" w:type="dxa"/>
          </w:tcPr>
          <w:p w14:paraId="1CA202EA" w14:textId="22ABF8FC" w:rsidR="009F6520" w:rsidRPr="00A77178" w:rsidRDefault="00664F7A" w:rsidP="00664F7A">
            <w:pPr>
              <w:shd w:val="solid" w:color="FFFFFF" w:fill="FFFFFF"/>
              <w:spacing w:before="0" w:line="240" w:lineRule="atLeast"/>
              <w:rPr>
                <w:noProof/>
              </w:rPr>
            </w:pPr>
            <w:bookmarkStart w:id="0" w:name="ditulogo"/>
            <w:bookmarkEnd w:id="0"/>
            <w:r w:rsidRPr="00A77178">
              <w:rPr>
                <w:noProof/>
              </w:rPr>
              <w:drawing>
                <wp:inline distT="0" distB="0" distL="0" distR="0" wp14:anchorId="3A7B93BE" wp14:editId="31DFC2B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77178" w14:paraId="663F3D67" w14:textId="77777777" w:rsidTr="00876A8A">
        <w:trPr>
          <w:cantSplit/>
        </w:trPr>
        <w:tc>
          <w:tcPr>
            <w:tcW w:w="6487" w:type="dxa"/>
            <w:tcBorders>
              <w:bottom w:val="single" w:sz="12" w:space="0" w:color="auto"/>
            </w:tcBorders>
          </w:tcPr>
          <w:p w14:paraId="2A6CA81F" w14:textId="77777777" w:rsidR="000069D4" w:rsidRPr="00A77178" w:rsidRDefault="000069D4" w:rsidP="00A5173C">
            <w:pPr>
              <w:shd w:val="solid" w:color="FFFFFF" w:fill="FFFFFF"/>
              <w:spacing w:before="0" w:after="48"/>
              <w:rPr>
                <w:rFonts w:ascii="Verdana" w:hAnsi="Verdana" w:cs="Times New Roman Bold"/>
                <w:b/>
                <w:noProof/>
                <w:sz w:val="22"/>
                <w:szCs w:val="22"/>
              </w:rPr>
            </w:pPr>
          </w:p>
        </w:tc>
        <w:tc>
          <w:tcPr>
            <w:tcW w:w="3402" w:type="dxa"/>
            <w:tcBorders>
              <w:bottom w:val="single" w:sz="12" w:space="0" w:color="auto"/>
            </w:tcBorders>
          </w:tcPr>
          <w:p w14:paraId="257A774B" w14:textId="77777777" w:rsidR="000069D4" w:rsidRPr="00A77178" w:rsidRDefault="000069D4" w:rsidP="00A5173C">
            <w:pPr>
              <w:shd w:val="solid" w:color="FFFFFF" w:fill="FFFFFF"/>
              <w:spacing w:before="0" w:after="48" w:line="240" w:lineRule="atLeast"/>
              <w:rPr>
                <w:noProof/>
                <w:sz w:val="22"/>
                <w:szCs w:val="22"/>
              </w:rPr>
            </w:pPr>
          </w:p>
        </w:tc>
      </w:tr>
      <w:tr w:rsidR="000069D4" w:rsidRPr="00A77178" w14:paraId="6F668E10" w14:textId="77777777" w:rsidTr="00876A8A">
        <w:trPr>
          <w:cantSplit/>
        </w:trPr>
        <w:tc>
          <w:tcPr>
            <w:tcW w:w="6487" w:type="dxa"/>
            <w:tcBorders>
              <w:top w:val="single" w:sz="12" w:space="0" w:color="auto"/>
            </w:tcBorders>
          </w:tcPr>
          <w:p w14:paraId="23238B5C" w14:textId="77777777" w:rsidR="000069D4" w:rsidRPr="00A77178" w:rsidRDefault="000069D4" w:rsidP="00A5173C">
            <w:pPr>
              <w:shd w:val="solid" w:color="FFFFFF" w:fill="FFFFFF"/>
              <w:spacing w:before="0" w:after="48"/>
              <w:rPr>
                <w:rFonts w:ascii="Verdana" w:hAnsi="Verdana" w:cs="Times New Roman Bold"/>
                <w:bCs/>
                <w:noProof/>
                <w:sz w:val="22"/>
                <w:szCs w:val="22"/>
              </w:rPr>
            </w:pPr>
          </w:p>
        </w:tc>
        <w:tc>
          <w:tcPr>
            <w:tcW w:w="3402" w:type="dxa"/>
            <w:tcBorders>
              <w:top w:val="single" w:sz="12" w:space="0" w:color="auto"/>
            </w:tcBorders>
          </w:tcPr>
          <w:p w14:paraId="25A61453" w14:textId="77777777" w:rsidR="000069D4" w:rsidRPr="00A77178" w:rsidRDefault="000069D4" w:rsidP="00A5173C">
            <w:pPr>
              <w:shd w:val="solid" w:color="FFFFFF" w:fill="FFFFFF"/>
              <w:spacing w:before="0" w:after="48" w:line="240" w:lineRule="atLeast"/>
              <w:rPr>
                <w:noProof/>
              </w:rPr>
            </w:pPr>
          </w:p>
        </w:tc>
      </w:tr>
      <w:tr w:rsidR="00672CA1" w:rsidRPr="00A77178" w14:paraId="15C5A1A3" w14:textId="77777777" w:rsidTr="008679A1">
        <w:trPr>
          <w:cantSplit/>
        </w:trPr>
        <w:tc>
          <w:tcPr>
            <w:tcW w:w="6487" w:type="dxa"/>
            <w:vMerge w:val="restart"/>
            <w:shd w:val="clear" w:color="auto" w:fill="auto"/>
          </w:tcPr>
          <w:p w14:paraId="4C64FAD1" w14:textId="41631864" w:rsidR="00672CA1" w:rsidRPr="00A77178" w:rsidRDefault="00672CA1" w:rsidP="00672CA1">
            <w:pPr>
              <w:shd w:val="solid" w:color="FFFFFF" w:fill="FFFFFF"/>
              <w:tabs>
                <w:tab w:val="clear" w:pos="1134"/>
                <w:tab w:val="clear" w:pos="1871"/>
                <w:tab w:val="clear" w:pos="2268"/>
              </w:tabs>
              <w:spacing w:before="0" w:after="240"/>
              <w:ind w:left="1134" w:hanging="1134"/>
              <w:rPr>
                <w:rFonts w:ascii="Verdana" w:hAnsi="Verdana"/>
                <w:noProof/>
                <w:sz w:val="20"/>
              </w:rPr>
            </w:pPr>
            <w:bookmarkStart w:id="1" w:name="recibido"/>
            <w:bookmarkStart w:id="2" w:name="dnum" w:colFirst="1" w:colLast="1"/>
            <w:bookmarkEnd w:id="1"/>
            <w:r w:rsidRPr="00A77178">
              <w:rPr>
                <w:rFonts w:ascii="Verdana" w:hAnsi="Verdana"/>
                <w:noProof/>
                <w:sz w:val="20"/>
              </w:rPr>
              <w:t>Source:</w:t>
            </w:r>
            <w:r w:rsidRPr="00A77178">
              <w:rPr>
                <w:rFonts w:ascii="Verdana" w:hAnsi="Verdana"/>
                <w:noProof/>
                <w:sz w:val="20"/>
              </w:rPr>
              <w:tab/>
              <w:t>Document 5A/TEMP/127</w:t>
            </w:r>
          </w:p>
        </w:tc>
        <w:tc>
          <w:tcPr>
            <w:tcW w:w="3402" w:type="dxa"/>
          </w:tcPr>
          <w:p w14:paraId="58F6F945" w14:textId="0FC1BC94" w:rsidR="00672CA1" w:rsidRPr="00A77178" w:rsidRDefault="00672CA1" w:rsidP="00672CA1">
            <w:pPr>
              <w:shd w:val="solid" w:color="FFFFFF" w:fill="FFFFFF"/>
              <w:spacing w:before="0" w:line="240" w:lineRule="atLeast"/>
              <w:rPr>
                <w:rFonts w:ascii="Verdana" w:hAnsi="Verdana"/>
                <w:noProof/>
                <w:sz w:val="20"/>
                <w:lang w:eastAsia="zh-CN"/>
              </w:rPr>
            </w:pPr>
            <w:r w:rsidRPr="00A77178">
              <w:rPr>
                <w:rFonts w:ascii="Verdana" w:hAnsi="Verdana"/>
                <w:b/>
                <w:noProof/>
                <w:sz w:val="20"/>
                <w:lang w:eastAsia="zh-CN"/>
              </w:rPr>
              <w:t>Annex 10 to</w:t>
            </w:r>
            <w:r w:rsidRPr="00A77178">
              <w:rPr>
                <w:rFonts w:ascii="Verdana" w:hAnsi="Verdana"/>
                <w:b/>
                <w:noProof/>
                <w:sz w:val="20"/>
                <w:lang w:eastAsia="zh-CN"/>
              </w:rPr>
              <w:br/>
              <w:t>Document 5A/359-E</w:t>
            </w:r>
          </w:p>
        </w:tc>
      </w:tr>
      <w:tr w:rsidR="00672CA1" w:rsidRPr="00A77178" w14:paraId="0EE0DD94" w14:textId="77777777" w:rsidTr="008679A1">
        <w:trPr>
          <w:cantSplit/>
        </w:trPr>
        <w:tc>
          <w:tcPr>
            <w:tcW w:w="6487" w:type="dxa"/>
            <w:vMerge/>
            <w:shd w:val="clear" w:color="auto" w:fill="auto"/>
          </w:tcPr>
          <w:p w14:paraId="59D6AE53" w14:textId="77777777" w:rsidR="00672CA1" w:rsidRPr="00A77178" w:rsidRDefault="00672CA1" w:rsidP="00672CA1">
            <w:pPr>
              <w:spacing w:before="60"/>
              <w:jc w:val="center"/>
              <w:rPr>
                <w:b/>
                <w:smallCaps/>
                <w:noProof/>
                <w:sz w:val="32"/>
                <w:lang w:eastAsia="zh-CN"/>
              </w:rPr>
            </w:pPr>
            <w:bookmarkStart w:id="3" w:name="ddate" w:colFirst="1" w:colLast="1"/>
            <w:bookmarkEnd w:id="2"/>
          </w:p>
        </w:tc>
        <w:tc>
          <w:tcPr>
            <w:tcW w:w="3402" w:type="dxa"/>
          </w:tcPr>
          <w:p w14:paraId="1BEA8444" w14:textId="0B5325CC" w:rsidR="00672CA1" w:rsidRPr="00A77178" w:rsidRDefault="00C37F0D" w:rsidP="00672CA1">
            <w:pPr>
              <w:shd w:val="solid" w:color="FFFFFF" w:fill="FFFFFF"/>
              <w:spacing w:before="0" w:line="240" w:lineRule="atLeast"/>
              <w:rPr>
                <w:rFonts w:ascii="Verdana" w:hAnsi="Verdana"/>
                <w:noProof/>
                <w:sz w:val="20"/>
                <w:lang w:eastAsia="zh-CN"/>
              </w:rPr>
            </w:pPr>
            <w:r w:rsidRPr="00A77178">
              <w:rPr>
                <w:rFonts w:ascii="Verdana" w:hAnsi="Verdana"/>
                <w:b/>
                <w:noProof/>
                <w:sz w:val="20"/>
                <w:lang w:eastAsia="zh-CN"/>
              </w:rPr>
              <w:t>12</w:t>
            </w:r>
            <w:r w:rsidR="00672CA1" w:rsidRPr="00A77178">
              <w:rPr>
                <w:rFonts w:ascii="Verdana" w:hAnsi="Verdana"/>
                <w:b/>
                <w:noProof/>
                <w:sz w:val="20"/>
                <w:lang w:eastAsia="zh-CN"/>
              </w:rPr>
              <w:t xml:space="preserve"> May 2021</w:t>
            </w:r>
          </w:p>
        </w:tc>
      </w:tr>
      <w:tr w:rsidR="000069D4" w:rsidRPr="00A77178" w14:paraId="0CD5F31A" w14:textId="77777777" w:rsidTr="008679A1">
        <w:trPr>
          <w:cantSplit/>
        </w:trPr>
        <w:tc>
          <w:tcPr>
            <w:tcW w:w="6487" w:type="dxa"/>
            <w:vMerge/>
            <w:shd w:val="clear" w:color="auto" w:fill="auto"/>
          </w:tcPr>
          <w:p w14:paraId="63A12512" w14:textId="77777777" w:rsidR="000069D4" w:rsidRPr="00A77178" w:rsidRDefault="000069D4" w:rsidP="00A5173C">
            <w:pPr>
              <w:spacing w:before="60"/>
              <w:jc w:val="center"/>
              <w:rPr>
                <w:b/>
                <w:smallCaps/>
                <w:noProof/>
                <w:sz w:val="32"/>
                <w:lang w:eastAsia="zh-CN"/>
              </w:rPr>
            </w:pPr>
            <w:bookmarkStart w:id="4" w:name="dorlang" w:colFirst="1" w:colLast="1"/>
            <w:bookmarkEnd w:id="3"/>
          </w:p>
        </w:tc>
        <w:tc>
          <w:tcPr>
            <w:tcW w:w="3402" w:type="dxa"/>
          </w:tcPr>
          <w:p w14:paraId="3818071F" w14:textId="2B147CEB" w:rsidR="000069D4" w:rsidRPr="00A77178" w:rsidRDefault="00664F7A" w:rsidP="00A5173C">
            <w:pPr>
              <w:shd w:val="solid" w:color="FFFFFF" w:fill="FFFFFF"/>
              <w:spacing w:before="0" w:line="240" w:lineRule="atLeast"/>
              <w:rPr>
                <w:rFonts w:ascii="Verdana" w:eastAsia="SimSun" w:hAnsi="Verdana"/>
                <w:noProof/>
                <w:sz w:val="20"/>
                <w:lang w:eastAsia="zh-CN"/>
              </w:rPr>
            </w:pPr>
            <w:r w:rsidRPr="00A77178">
              <w:rPr>
                <w:rFonts w:ascii="Verdana" w:eastAsia="SimSun" w:hAnsi="Verdana"/>
                <w:b/>
                <w:noProof/>
                <w:sz w:val="20"/>
                <w:lang w:eastAsia="zh-CN"/>
              </w:rPr>
              <w:t>English only</w:t>
            </w:r>
          </w:p>
        </w:tc>
      </w:tr>
      <w:tr w:rsidR="000069D4" w:rsidRPr="00A77178" w14:paraId="0680BDA6" w14:textId="77777777" w:rsidTr="00D046A7">
        <w:trPr>
          <w:cantSplit/>
        </w:trPr>
        <w:tc>
          <w:tcPr>
            <w:tcW w:w="9889" w:type="dxa"/>
            <w:gridSpan w:val="2"/>
          </w:tcPr>
          <w:p w14:paraId="65298FDB" w14:textId="2645ACF6" w:rsidR="000069D4" w:rsidRPr="00A77178" w:rsidRDefault="008679A1" w:rsidP="00C37F0D">
            <w:pPr>
              <w:pStyle w:val="Source"/>
              <w:rPr>
                <w:noProof/>
                <w:lang w:eastAsia="zh-CN"/>
              </w:rPr>
            </w:pPr>
            <w:bookmarkStart w:id="5" w:name="drec" w:colFirst="0" w:colLast="0"/>
            <w:bookmarkEnd w:id="4"/>
            <w:r w:rsidRPr="00A77178">
              <w:rPr>
                <w:noProof/>
                <w:lang w:eastAsia="ja-JP"/>
              </w:rPr>
              <w:t>Annex 10 to Working Party 5A Chairman’s Report</w:t>
            </w:r>
          </w:p>
        </w:tc>
      </w:tr>
      <w:tr w:rsidR="000069D4" w:rsidRPr="00A77178" w14:paraId="328EB55E" w14:textId="77777777" w:rsidTr="00D046A7">
        <w:trPr>
          <w:cantSplit/>
        </w:trPr>
        <w:tc>
          <w:tcPr>
            <w:tcW w:w="9889" w:type="dxa"/>
            <w:gridSpan w:val="2"/>
          </w:tcPr>
          <w:p w14:paraId="13F82ACD" w14:textId="4EF51A87" w:rsidR="000069D4" w:rsidRPr="00A77178" w:rsidRDefault="008679A1" w:rsidP="00A5173C">
            <w:pPr>
              <w:pStyle w:val="Title1"/>
              <w:rPr>
                <w:noProof/>
                <w:lang w:eastAsia="zh-CN"/>
              </w:rPr>
            </w:pPr>
            <w:bookmarkStart w:id="6" w:name="dtitle1" w:colFirst="0" w:colLast="0"/>
            <w:bookmarkEnd w:id="5"/>
            <w:r w:rsidRPr="00A77178">
              <w:rPr>
                <w:noProof/>
              </w:rPr>
              <w:t>Preliminary Draft New Report ITU-R</w:t>
            </w:r>
            <w:r w:rsidR="00672CA1" w:rsidRPr="00A77178">
              <w:rPr>
                <w:noProof/>
              </w:rPr>
              <w:t xml:space="preserve"> </w:t>
            </w:r>
            <w:r w:rsidRPr="00A77178">
              <w:rPr>
                <w:noProof/>
              </w:rPr>
              <w:t>M.[</w:t>
            </w:r>
            <w:r w:rsidRPr="00A77178">
              <w:rPr>
                <w:noProof/>
                <w:lang w:eastAsia="ja-JP"/>
              </w:rPr>
              <w:t>AMATEUR.CHARACTERISTICS</w:t>
            </w:r>
            <w:r w:rsidRPr="00A77178">
              <w:rPr>
                <w:noProof/>
              </w:rPr>
              <w:t>]</w:t>
            </w:r>
          </w:p>
        </w:tc>
      </w:tr>
      <w:tr w:rsidR="008679A1" w:rsidRPr="00A77178" w14:paraId="495CCBB9" w14:textId="77777777" w:rsidTr="00D046A7">
        <w:trPr>
          <w:cantSplit/>
        </w:trPr>
        <w:tc>
          <w:tcPr>
            <w:tcW w:w="9889" w:type="dxa"/>
            <w:gridSpan w:val="2"/>
          </w:tcPr>
          <w:p w14:paraId="4EB6796B" w14:textId="77777777" w:rsidR="008679A1" w:rsidRPr="00A77178" w:rsidDel="00F93226" w:rsidRDefault="008679A1" w:rsidP="00A5173C">
            <w:pPr>
              <w:pStyle w:val="Title1"/>
              <w:rPr>
                <w:noProof/>
                <w:lang w:eastAsia="ja-JP"/>
              </w:rPr>
            </w:pPr>
          </w:p>
        </w:tc>
      </w:tr>
    </w:tbl>
    <w:p w14:paraId="156AB7B6" w14:textId="77777777" w:rsidR="008679A1" w:rsidRPr="00A77178" w:rsidRDefault="008679A1" w:rsidP="008679A1">
      <w:pPr>
        <w:pStyle w:val="Heading1"/>
        <w:rPr>
          <w:noProof/>
        </w:rPr>
      </w:pPr>
      <w:bookmarkStart w:id="7" w:name="dbreak"/>
      <w:bookmarkStart w:id="8" w:name="_Toc42678841"/>
      <w:bookmarkEnd w:id="6"/>
      <w:bookmarkEnd w:id="7"/>
      <w:r w:rsidRPr="00A77178">
        <w:rPr>
          <w:noProof/>
        </w:rPr>
        <w:t>1</w:t>
      </w:r>
      <w:r w:rsidRPr="00A77178">
        <w:rPr>
          <w:noProof/>
        </w:rPr>
        <w:tab/>
        <w:t>Introduction</w:t>
      </w:r>
    </w:p>
    <w:p w14:paraId="3A168DFF" w14:textId="77777777" w:rsidR="008679A1" w:rsidRPr="00A77178" w:rsidRDefault="008679A1" w:rsidP="000076AF">
      <w:pPr>
        <w:jc w:val="both"/>
        <w:rPr>
          <w:noProof/>
          <w:lang w:eastAsia="ja-JP"/>
        </w:rPr>
      </w:pPr>
      <w:r w:rsidRPr="00A77178">
        <w:rPr>
          <w:noProof/>
          <w:lang w:eastAsia="ja-JP"/>
        </w:rPr>
        <w:t xml:space="preserve">[The frequency band </w:t>
      </w:r>
      <w:r w:rsidRPr="00A77178">
        <w:rPr>
          <w:noProof/>
        </w:rPr>
        <w:t>1 </w:t>
      </w:r>
      <w:r w:rsidRPr="00A77178">
        <w:rPr>
          <w:noProof/>
          <w:lang w:eastAsia="ja-JP"/>
        </w:rPr>
        <w:t>240</w:t>
      </w:r>
      <w:r w:rsidRPr="00A77178">
        <w:rPr>
          <w:noProof/>
        </w:rPr>
        <w:t>-</w:t>
      </w:r>
      <w:r w:rsidRPr="00A77178">
        <w:rPr>
          <w:noProof/>
          <w:lang w:eastAsia="ja-JP"/>
        </w:rPr>
        <w:t>1</w:t>
      </w:r>
      <w:r w:rsidRPr="00A77178">
        <w:rPr>
          <w:noProof/>
        </w:rPr>
        <w:t> </w:t>
      </w:r>
      <w:r w:rsidRPr="00A77178">
        <w:rPr>
          <w:noProof/>
          <w:lang w:eastAsia="ja-JP"/>
        </w:rPr>
        <w:t>300</w:t>
      </w:r>
      <w:r w:rsidRPr="00A77178">
        <w:rPr>
          <w:noProof/>
        </w:rPr>
        <w:t> MHz</w:t>
      </w:r>
      <w:r w:rsidRPr="00A77178">
        <w:rPr>
          <w:noProof/>
          <w:lang w:eastAsia="ja-JP"/>
        </w:rPr>
        <w:t xml:space="preserve"> is allocated worldwide to the amateur service on a secondary basis and has been used for a range of applications. The amateur-satellite service (Earth</w:t>
      </w:r>
      <w:r w:rsidRPr="00A77178">
        <w:rPr>
          <w:noProof/>
          <w:lang w:eastAsia="ja-JP"/>
        </w:rPr>
        <w:noBreakHyphen/>
        <w:t xml:space="preserve">to-space) may operate in the frequency band </w:t>
      </w:r>
      <w:r w:rsidRPr="00A77178">
        <w:rPr>
          <w:noProof/>
        </w:rPr>
        <w:t>1 </w:t>
      </w:r>
      <w:r w:rsidRPr="00A77178">
        <w:rPr>
          <w:noProof/>
          <w:lang w:eastAsia="ja-JP"/>
        </w:rPr>
        <w:t>260</w:t>
      </w:r>
      <w:r w:rsidRPr="00A77178">
        <w:rPr>
          <w:noProof/>
        </w:rPr>
        <w:t>-</w:t>
      </w:r>
      <w:r w:rsidRPr="00A77178">
        <w:rPr>
          <w:noProof/>
          <w:lang w:eastAsia="ja-JP"/>
        </w:rPr>
        <w:t>1</w:t>
      </w:r>
      <w:r w:rsidRPr="00A77178">
        <w:rPr>
          <w:noProof/>
        </w:rPr>
        <w:t> </w:t>
      </w:r>
      <w:r w:rsidRPr="00A77178">
        <w:rPr>
          <w:noProof/>
          <w:lang w:eastAsia="ja-JP"/>
        </w:rPr>
        <w:t>270</w:t>
      </w:r>
      <w:r w:rsidRPr="00A77178">
        <w:rPr>
          <w:noProof/>
        </w:rPr>
        <w:t> MHz</w:t>
      </w:r>
      <w:r w:rsidRPr="00A77178">
        <w:rPr>
          <w:noProof/>
          <w:lang w:eastAsia="ja-JP"/>
        </w:rPr>
        <w:t xml:space="preserve"> under No. </w:t>
      </w:r>
      <w:r w:rsidRPr="00A77178">
        <w:rPr>
          <w:b/>
          <w:noProof/>
          <w:lang w:eastAsia="ja-JP"/>
        </w:rPr>
        <w:t>5.282</w:t>
      </w:r>
      <w:r w:rsidRPr="00A77178">
        <w:rPr>
          <w:noProof/>
          <w:lang w:eastAsia="ja-JP"/>
        </w:rPr>
        <w:t xml:space="preserve"> of the Radio Regulations.</w:t>
      </w:r>
    </w:p>
    <w:p w14:paraId="0E52310D" w14:textId="77777777" w:rsidR="008679A1" w:rsidRPr="00A77178" w:rsidRDefault="008679A1" w:rsidP="00A77178">
      <w:pPr>
        <w:jc w:val="both"/>
        <w:rPr>
          <w:noProof/>
          <w:lang w:eastAsia="ja-JP"/>
        </w:rPr>
      </w:pPr>
      <w:r w:rsidRPr="00A77178">
        <w:rPr>
          <w:noProof/>
          <w:lang w:eastAsia="ja-JP"/>
        </w:rPr>
        <w:t xml:space="preserve">The frequency band </w:t>
      </w:r>
      <w:r w:rsidRPr="00A77178">
        <w:rPr>
          <w:noProof/>
        </w:rPr>
        <w:t>1 </w:t>
      </w:r>
      <w:r w:rsidRPr="00A77178">
        <w:rPr>
          <w:noProof/>
          <w:lang w:eastAsia="ja-JP"/>
        </w:rPr>
        <w:t>240</w:t>
      </w:r>
      <w:r w:rsidRPr="00A77178">
        <w:rPr>
          <w:noProof/>
        </w:rPr>
        <w:t>-</w:t>
      </w:r>
      <w:r w:rsidRPr="00A77178">
        <w:rPr>
          <w:noProof/>
          <w:lang w:eastAsia="ja-JP"/>
        </w:rPr>
        <w:t>1</w:t>
      </w:r>
      <w:r w:rsidRPr="00A77178">
        <w:rPr>
          <w:noProof/>
        </w:rPr>
        <w:t> </w:t>
      </w:r>
      <w:r w:rsidRPr="00A77178">
        <w:rPr>
          <w:noProof/>
          <w:lang w:eastAsia="ja-JP"/>
        </w:rPr>
        <w:t>300</w:t>
      </w:r>
      <w:r w:rsidRPr="00A77178">
        <w:rPr>
          <w:noProof/>
        </w:rPr>
        <w:t> MHz</w:t>
      </w:r>
      <w:r w:rsidRPr="00A77178">
        <w:rPr>
          <w:noProof/>
          <w:lang w:eastAsia="ja-JP"/>
        </w:rPr>
        <w:t xml:space="preserve"> is also allocated worldwide to the radionavigation-satellite service (RNSS) in the space-to-Earth direction on a primary basis. Many RNSS systems are operational and various types of RNSS receivers are being in use. Report ITU-R M.2458 summarizes the RNSS applications in this frequency band.</w:t>
      </w:r>
    </w:p>
    <w:p w14:paraId="02308928" w14:textId="77777777" w:rsidR="008679A1" w:rsidRPr="00A77178" w:rsidRDefault="008679A1" w:rsidP="00A77178">
      <w:pPr>
        <w:jc w:val="both"/>
        <w:rPr>
          <w:rFonts w:eastAsia="SimSun"/>
          <w:noProof/>
          <w:color w:val="000000"/>
          <w:szCs w:val="24"/>
          <w:lang w:eastAsia="zh-CN"/>
        </w:rPr>
      </w:pPr>
      <w:r w:rsidRPr="00A77178">
        <w:rPr>
          <w:noProof/>
          <w:szCs w:val="24"/>
          <w:lang w:eastAsia="ja-JP"/>
        </w:rPr>
        <w:t xml:space="preserve">Some cases of harmful interference caused by emissions from the stations in the amateur service into RNSS (space-to-Earth) receivers have been observed. Furthermore, number of similar interference cases may be increased, unless proper guidelines to protect RNSS (space-to-Earth) from the amateur and amateur-satellite services are implemented. Thus, this </w:t>
      </w:r>
      <w:r w:rsidRPr="00A77178">
        <w:rPr>
          <w:noProof/>
          <w:szCs w:val="23"/>
        </w:rPr>
        <w:t>potential interference issues need to be studied</w:t>
      </w:r>
      <w:r w:rsidRPr="00A77178">
        <w:rPr>
          <w:noProof/>
          <w:szCs w:val="24"/>
        </w:rPr>
        <w:t>.</w:t>
      </w:r>
    </w:p>
    <w:p w14:paraId="1B0A774F" w14:textId="77777777" w:rsidR="008679A1" w:rsidRPr="00A77178" w:rsidRDefault="008679A1" w:rsidP="00A77178">
      <w:pPr>
        <w:jc w:val="both"/>
        <w:rPr>
          <w:noProof/>
          <w:lang w:eastAsia="ja-JP"/>
        </w:rPr>
      </w:pPr>
      <w:r w:rsidRPr="00A77178">
        <w:rPr>
          <w:noProof/>
          <w:color w:val="000000"/>
          <w:szCs w:val="24"/>
          <w:lang w:eastAsia="zh-CN"/>
        </w:rPr>
        <w:t xml:space="preserve">In this regard, </w:t>
      </w:r>
      <w:r w:rsidRPr="00A77178">
        <w:rPr>
          <w:noProof/>
        </w:rPr>
        <w:t xml:space="preserve">Resolution </w:t>
      </w:r>
      <w:r w:rsidRPr="00A77178">
        <w:rPr>
          <w:b/>
          <w:bCs/>
          <w:noProof/>
          <w:lang w:eastAsia="ja-JP"/>
        </w:rPr>
        <w:t>774</w:t>
      </w:r>
      <w:r w:rsidRPr="00A77178">
        <w:rPr>
          <w:b/>
          <w:bCs/>
          <w:noProof/>
        </w:rPr>
        <w:t xml:space="preserve"> (WRC-1</w:t>
      </w:r>
      <w:r w:rsidRPr="00A77178">
        <w:rPr>
          <w:b/>
          <w:bCs/>
          <w:noProof/>
          <w:lang w:eastAsia="ja-JP"/>
        </w:rPr>
        <w:t>9</w:t>
      </w:r>
      <w:r w:rsidRPr="00A77178">
        <w:rPr>
          <w:b/>
          <w:bCs/>
          <w:noProof/>
        </w:rPr>
        <w:t>)</w:t>
      </w:r>
      <w:r w:rsidRPr="00A77178">
        <w:rPr>
          <w:noProof/>
        </w:rPr>
        <w:t xml:space="preserve"> invites ITU-R to study possible technical and operational measures to ensure </w:t>
      </w:r>
      <w:r w:rsidRPr="00A77178">
        <w:rPr>
          <w:noProof/>
          <w:lang w:eastAsia="ja-JP"/>
        </w:rPr>
        <w:t xml:space="preserve">the protection of RNSS (space-to-Earth) receivers from the amateur and amateur-satellite services in the </w:t>
      </w:r>
      <w:r w:rsidRPr="00A77178">
        <w:rPr>
          <w:noProof/>
        </w:rPr>
        <w:t>frequency band 1 </w:t>
      </w:r>
      <w:r w:rsidRPr="00A77178">
        <w:rPr>
          <w:noProof/>
          <w:lang w:eastAsia="ja-JP"/>
        </w:rPr>
        <w:t>240</w:t>
      </w:r>
      <w:r w:rsidRPr="00A77178">
        <w:rPr>
          <w:noProof/>
        </w:rPr>
        <w:t>-</w:t>
      </w:r>
      <w:r w:rsidRPr="00A77178">
        <w:rPr>
          <w:noProof/>
          <w:lang w:eastAsia="ja-JP"/>
        </w:rPr>
        <w:t>1</w:t>
      </w:r>
      <w:r w:rsidRPr="00A77178">
        <w:rPr>
          <w:noProof/>
        </w:rPr>
        <w:t> </w:t>
      </w:r>
      <w:r w:rsidRPr="00A77178">
        <w:rPr>
          <w:noProof/>
          <w:lang w:eastAsia="ja-JP"/>
        </w:rPr>
        <w:t>30</w:t>
      </w:r>
      <w:r w:rsidRPr="00A77178">
        <w:rPr>
          <w:noProof/>
        </w:rPr>
        <w:t>0 MHz</w:t>
      </w:r>
      <w:r w:rsidRPr="00A77178">
        <w:rPr>
          <w:noProof/>
          <w:lang w:eastAsia="ja-JP"/>
        </w:rPr>
        <w:t>, without considering the removal of these amateur and amateur-satellite service allocations.]</w:t>
      </w:r>
    </w:p>
    <w:p w14:paraId="53F59F3D" w14:textId="1D1D2373" w:rsidR="008679A1" w:rsidRPr="00A77178" w:rsidRDefault="008679A1" w:rsidP="00A71E80">
      <w:pPr>
        <w:pStyle w:val="Heading1"/>
        <w:rPr>
          <w:noProof/>
        </w:rPr>
      </w:pPr>
      <w:r w:rsidRPr="00A77178">
        <w:rPr>
          <w:noProof/>
        </w:rPr>
        <w:t xml:space="preserve">2 </w:t>
      </w:r>
      <w:r w:rsidRPr="00A77178">
        <w:rPr>
          <w:noProof/>
        </w:rPr>
        <w:tab/>
        <w:t>Amateur and amateur-satellite service band plans in the 1</w:t>
      </w:r>
      <w:r w:rsidR="00A77178">
        <w:rPr>
          <w:noProof/>
        </w:rPr>
        <w:t> </w:t>
      </w:r>
      <w:r w:rsidRPr="00A77178">
        <w:rPr>
          <w:noProof/>
        </w:rPr>
        <w:t>240</w:t>
      </w:r>
      <w:r w:rsidR="00A77178">
        <w:rPr>
          <w:noProof/>
        </w:rPr>
        <w:noBreakHyphen/>
      </w:r>
      <w:r w:rsidRPr="00A77178">
        <w:rPr>
          <w:noProof/>
        </w:rPr>
        <w:t>1</w:t>
      </w:r>
      <w:r w:rsidR="00A77178">
        <w:rPr>
          <w:noProof/>
        </w:rPr>
        <w:t> </w:t>
      </w:r>
      <w:r w:rsidRPr="00A77178">
        <w:rPr>
          <w:noProof/>
        </w:rPr>
        <w:t>300</w:t>
      </w:r>
      <w:r w:rsidR="00A77178">
        <w:rPr>
          <w:noProof/>
        </w:rPr>
        <w:t> </w:t>
      </w:r>
      <w:r w:rsidRPr="00A77178">
        <w:rPr>
          <w:noProof/>
        </w:rPr>
        <w:t>MHz frequency band</w:t>
      </w:r>
    </w:p>
    <w:p w14:paraId="10EAD3BC" w14:textId="0914A3AA" w:rsidR="008679A1" w:rsidRPr="00A77178" w:rsidRDefault="008679A1" w:rsidP="00A77178">
      <w:pPr>
        <w:jc w:val="both"/>
        <w:rPr>
          <w:noProof/>
        </w:rPr>
      </w:pPr>
      <w:r w:rsidRPr="00A77178">
        <w:rPr>
          <w:noProof/>
        </w:rPr>
        <w:t>Before going into the details of the individual amateur and amateur-satellite services applications in the 1 240</w:t>
      </w:r>
      <w:r w:rsidR="00A77178">
        <w:rPr>
          <w:noProof/>
        </w:rPr>
        <w:t>-</w:t>
      </w:r>
      <w:r w:rsidRPr="00A77178">
        <w:rPr>
          <w:noProof/>
        </w:rPr>
        <w:t>1 300 MHz frequency band it is necessary to understand the general way in which amateur and amateur-satellite services activities are organised to maximise usage of the various frequency bands and minimise interference between incompatible amateur service applications. This is achieved through the use of band plans which recommend where particular applications are used within each amateur and amateur-satellite service allocations. The International Amateur Radio Union (IARU) develops such band plans on behalf of all amateur services.</w:t>
      </w:r>
    </w:p>
    <w:p w14:paraId="1BC98E58" w14:textId="6CF068D8" w:rsidR="008679A1" w:rsidRPr="00A77178" w:rsidRDefault="008679A1" w:rsidP="00A77178">
      <w:pPr>
        <w:jc w:val="both"/>
        <w:rPr>
          <w:strike/>
          <w:noProof/>
          <w:sz w:val="22"/>
        </w:rPr>
      </w:pPr>
      <w:r w:rsidRPr="00A77178">
        <w:rPr>
          <w:noProof/>
          <w:highlight w:val="yellow"/>
        </w:rPr>
        <w:t xml:space="preserve">[The IARU coordinates and represents the interests of radio amateurs through its national member-associations. Three IARU regional organizations correspond to the ITU Radio Regions and are </w:t>
      </w:r>
      <w:r w:rsidRPr="00A77178">
        <w:rPr>
          <w:noProof/>
          <w:highlight w:val="yellow"/>
        </w:rPr>
        <w:lastRenderedPageBreak/>
        <w:t>recognized as representing the amateur and amateur-satellite services by the regional telecommunications organizations.</w:t>
      </w:r>
      <w:r w:rsidRPr="00A77178">
        <w:rPr>
          <w:noProof/>
        </w:rPr>
        <w:t xml:space="preserve">] </w:t>
      </w:r>
      <w:r w:rsidR="005E7BE5" w:rsidRPr="00A77178">
        <w:rPr>
          <w:noProof/>
        </w:rPr>
        <w:t>[</w:t>
      </w:r>
      <w:r w:rsidRPr="00A77178">
        <w:rPr>
          <w:i/>
          <w:iCs/>
          <w:noProof/>
          <w:highlight w:val="yellow"/>
        </w:rPr>
        <w:t>20210429</w:t>
      </w:r>
      <w:r w:rsidRPr="00A77178">
        <w:rPr>
          <w:i/>
          <w:iCs/>
          <w:noProof/>
        </w:rPr>
        <w:t xml:space="preserve"> </w:t>
      </w:r>
      <w:r w:rsidRPr="00A77178">
        <w:rPr>
          <w:i/>
          <w:iCs/>
          <w:noProof/>
          <w:highlight w:val="yellow"/>
        </w:rPr>
        <w:t xml:space="preserve">Ed: </w:t>
      </w:r>
      <w:r w:rsidR="00A77178" w:rsidRPr="00A77178">
        <w:rPr>
          <w:i/>
          <w:iCs/>
          <w:noProof/>
          <w:highlight w:val="yellow"/>
        </w:rPr>
        <w:t xml:space="preserve">Keep </w:t>
      </w:r>
      <w:r w:rsidRPr="00A77178">
        <w:rPr>
          <w:i/>
          <w:iCs/>
          <w:noProof/>
          <w:highlight w:val="yellow"/>
        </w:rPr>
        <w:t>for now</w:t>
      </w:r>
      <w:r w:rsidR="005E7BE5" w:rsidRPr="00A77178">
        <w:rPr>
          <w:iCs/>
          <w:noProof/>
        </w:rPr>
        <w:t>]</w:t>
      </w:r>
    </w:p>
    <w:p w14:paraId="1E667E8B" w14:textId="77777777" w:rsidR="008679A1" w:rsidRPr="00A77178" w:rsidRDefault="008679A1" w:rsidP="00A77178">
      <w:pPr>
        <w:jc w:val="both"/>
        <w:rPr>
          <w:noProof/>
        </w:rPr>
      </w:pPr>
      <w:r w:rsidRPr="00A77178">
        <w:rPr>
          <w:noProof/>
        </w:rPr>
        <w:t xml:space="preserve">Amateur and amateur-satellite services band planning is achieved on a regional basis in order to take into account the regional differences with the frequency allocations.  The current IARU recommended band plans for the frequency range 1 240-1 300 MHz across the three regions are summarized in </w:t>
      </w:r>
      <w:r w:rsidRPr="00A77178">
        <w:rPr>
          <w:bCs/>
          <w:noProof/>
        </w:rPr>
        <w:t>Table 1.</w:t>
      </w:r>
    </w:p>
    <w:p w14:paraId="5D11534A" w14:textId="77777777" w:rsidR="008679A1" w:rsidRPr="00A77178" w:rsidRDefault="008679A1" w:rsidP="00A77178">
      <w:pPr>
        <w:jc w:val="both"/>
        <w:rPr>
          <w:noProof/>
        </w:rPr>
      </w:pPr>
      <w:r w:rsidRPr="00A77178">
        <w:rPr>
          <w:noProof/>
        </w:rPr>
        <w:t xml:space="preserve">The usage of the frequency range by the amateur and amateur-satellite services is driven by the varied operational and experimental interests of the users themselves. To support this, each regional band plan is developed to maintain order, avoid conflict and interference between amateur service applications, provide understanding of the most suitable frequencies for specific activities and form a basis for intra and inter-service coordination when required. </w:t>
      </w:r>
    </w:p>
    <w:p w14:paraId="7CB531F1" w14:textId="0E77D003" w:rsidR="008679A1" w:rsidRPr="00A77178" w:rsidRDefault="008679A1" w:rsidP="00A77178">
      <w:pPr>
        <w:jc w:val="both"/>
        <w:rPr>
          <w:noProof/>
        </w:rPr>
      </w:pPr>
      <w:r w:rsidRPr="00A77178">
        <w:rPr>
          <w:noProof/>
        </w:rPr>
        <w:t>The band plans are not mandatory in regional regulations but are strongly recommended for adoption and in general are followed by the individual national societies.  In some cases, the regional IARU band plan may be adopted to some extent in national regulations</w:t>
      </w:r>
      <w:r w:rsidR="00A83188" w:rsidRPr="00A77178">
        <w:rPr>
          <w:noProof/>
        </w:rPr>
        <w:t>,</w:t>
      </w:r>
      <w:r w:rsidRPr="00A77178">
        <w:rPr>
          <w:noProof/>
        </w:rPr>
        <w:t xml:space="preserve"> and it may need to be adjusted on a national basis to facilitate national coordination and sharing with other services in the band. </w:t>
      </w:r>
    </w:p>
    <w:p w14:paraId="4E49F89D" w14:textId="77777777" w:rsidR="008679A1" w:rsidRPr="00A77178" w:rsidRDefault="008679A1" w:rsidP="00A77178">
      <w:pPr>
        <w:jc w:val="both"/>
        <w:rPr>
          <w:noProof/>
        </w:rPr>
      </w:pPr>
      <w:r w:rsidRPr="00A77178">
        <w:rPr>
          <w:noProof/>
        </w:rPr>
        <w:t>Respecting the band plan is common practice in the amateur service and is necessary to facilitate successful radio contacts especially between countries and for inter-regional communications.</w:t>
      </w:r>
    </w:p>
    <w:p w14:paraId="06D387DD" w14:textId="77777777" w:rsidR="008679A1" w:rsidRPr="00A77178" w:rsidRDefault="008679A1" w:rsidP="00A77178">
      <w:pPr>
        <w:jc w:val="both"/>
        <w:rPr>
          <w:noProof/>
        </w:rPr>
      </w:pPr>
      <w:r w:rsidRPr="00A77178">
        <w:rPr>
          <w:noProof/>
        </w:rPr>
        <w:t>The band plan is reviewed periodically and may be adjusted to reflect new technologies and evolving applications in the amateur services. External influences driven by the requirements to share with other services can also be taken into account. The regional band plans are maintained, published and approved by the IARU regional bodies. The band plans are continually reviewed nationally and regionally and evolve as new amateur experimentation and operational modes or applications emerge.</w:t>
      </w:r>
    </w:p>
    <w:p w14:paraId="7C0FE12E" w14:textId="77777777" w:rsidR="008679A1" w:rsidRPr="00A77178" w:rsidRDefault="008679A1" w:rsidP="009550F6">
      <w:pPr>
        <w:jc w:val="both"/>
        <w:rPr>
          <w:noProof/>
        </w:rPr>
      </w:pPr>
      <w:r w:rsidRPr="00A77178">
        <w:rPr>
          <w:noProof/>
        </w:rPr>
        <w:t xml:space="preserve">The published band plans for each of the three regions may differ and may not be fully harmonised at the detailed level for every amateur service application. However, it is necessary to harmonise parts of the band for specific applications where these could involve inter-regional communications. This applies particularly to parts of the band recommended for </w:t>
      </w:r>
      <w:r w:rsidRPr="00A77178">
        <w:rPr>
          <w:noProof/>
          <w:szCs w:val="24"/>
        </w:rPr>
        <w:t>narrowband weak signal applications</w:t>
      </w:r>
      <w:r w:rsidRPr="00A77178">
        <w:rPr>
          <w:noProof/>
        </w:rPr>
        <w:t xml:space="preserve">. </w:t>
      </w:r>
    </w:p>
    <w:p w14:paraId="083E8EE3" w14:textId="77777777" w:rsidR="008679A1" w:rsidRPr="00A77178" w:rsidRDefault="008679A1" w:rsidP="009550F6">
      <w:pPr>
        <w:jc w:val="both"/>
        <w:rPr>
          <w:noProof/>
        </w:rPr>
      </w:pPr>
      <w:r w:rsidRPr="00A77178">
        <w:rPr>
          <w:noProof/>
        </w:rPr>
        <w:t>Furthermore, the blocks identified for ATV use can accommodate a number of systems depending on the bandwidth occupied by the technology in use. The actual assignments are planned on a national basis.</w:t>
      </w:r>
    </w:p>
    <w:p w14:paraId="20924538" w14:textId="77777777" w:rsidR="008679A1" w:rsidRPr="00A77178" w:rsidRDefault="008679A1" w:rsidP="00A83188">
      <w:pPr>
        <w:pStyle w:val="TableNo"/>
        <w:rPr>
          <w:noProof/>
        </w:rPr>
      </w:pPr>
      <w:r w:rsidRPr="00A77178">
        <w:rPr>
          <w:noProof/>
        </w:rPr>
        <w:t>Table 1</w:t>
      </w:r>
    </w:p>
    <w:p w14:paraId="26763EC5" w14:textId="541F3A02" w:rsidR="008679A1" w:rsidRPr="00A77178" w:rsidRDefault="008679A1" w:rsidP="00A83188">
      <w:pPr>
        <w:pStyle w:val="Tabletitle"/>
        <w:rPr>
          <w:noProof/>
        </w:rPr>
      </w:pPr>
      <w:r w:rsidRPr="00A77178">
        <w:rPr>
          <w:noProof/>
        </w:rPr>
        <w:t>Global Summary of amateur service and amateur-satellite-service IARU band plans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260"/>
        <w:gridCol w:w="3119"/>
      </w:tblGrid>
      <w:tr w:rsidR="008679A1" w:rsidRPr="00A77178" w14:paraId="718642C3" w14:textId="77777777" w:rsidTr="000076AF">
        <w:trPr>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152DE11" w14:textId="4884D58F" w:rsidR="008679A1" w:rsidRPr="00A77178" w:rsidRDefault="008679A1" w:rsidP="00011785">
            <w:pPr>
              <w:pStyle w:val="Tablehead"/>
              <w:rPr>
                <w:noProof/>
              </w:rPr>
            </w:pPr>
            <w:r w:rsidRPr="00A77178">
              <w:rPr>
                <w:noProof/>
              </w:rPr>
              <w:t xml:space="preserve">Frequency range </w:t>
            </w:r>
            <w:r w:rsidR="000076AF" w:rsidRPr="00A77178">
              <w:rPr>
                <w:noProof/>
              </w:rPr>
              <w:br/>
            </w:r>
            <w:r w:rsidRPr="00A77178">
              <w:rPr>
                <w:noProof/>
              </w:rPr>
              <w:t>(MHz)</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31DE522" w14:textId="77777777" w:rsidR="008679A1" w:rsidRPr="00A77178" w:rsidRDefault="008679A1" w:rsidP="00011785">
            <w:pPr>
              <w:pStyle w:val="Tablehead"/>
              <w:rPr>
                <w:noProof/>
              </w:rPr>
            </w:pPr>
            <w:r w:rsidRPr="00A77178">
              <w:rPr>
                <w:noProof/>
              </w:rPr>
              <w:t>Applications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CEBEA3F" w14:textId="77777777" w:rsidR="008679A1" w:rsidRPr="00A77178" w:rsidRDefault="008679A1" w:rsidP="00011785">
            <w:pPr>
              <w:pStyle w:val="Tablehead"/>
              <w:rPr>
                <w:noProof/>
              </w:rPr>
            </w:pPr>
            <w:r w:rsidRPr="00A77178">
              <w:rPr>
                <w:noProof/>
              </w:rPr>
              <w:t>Comments</w:t>
            </w:r>
          </w:p>
        </w:tc>
      </w:tr>
      <w:tr w:rsidR="008679A1" w:rsidRPr="00A77178" w14:paraId="4BA5E133" w14:textId="77777777" w:rsidTr="00011785">
        <w:tc>
          <w:tcPr>
            <w:tcW w:w="2972" w:type="dxa"/>
            <w:tcBorders>
              <w:top w:val="single" w:sz="4" w:space="0" w:color="auto"/>
              <w:left w:val="single" w:sz="4" w:space="0" w:color="auto"/>
              <w:bottom w:val="single" w:sz="4" w:space="0" w:color="auto"/>
              <w:right w:val="single" w:sz="4" w:space="0" w:color="auto"/>
            </w:tcBorders>
            <w:shd w:val="clear" w:color="auto" w:fill="auto"/>
          </w:tcPr>
          <w:p w14:paraId="46BC1572" w14:textId="77777777" w:rsidR="008679A1" w:rsidRPr="00A77178" w:rsidRDefault="008679A1" w:rsidP="00A71E80">
            <w:pPr>
              <w:pStyle w:val="Tabletext"/>
              <w:jc w:val="center"/>
              <w:rPr>
                <w:noProof/>
              </w:rPr>
            </w:pPr>
            <w:r w:rsidRPr="00A77178">
              <w:rPr>
                <w:noProof/>
              </w:rPr>
              <w:t>1 240-1 260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8F91C1" w14:textId="77777777" w:rsidR="008679A1" w:rsidRPr="00A77178" w:rsidRDefault="008679A1" w:rsidP="00011785">
            <w:pPr>
              <w:pStyle w:val="Tabletext"/>
              <w:rPr>
                <w:noProof/>
              </w:rPr>
            </w:pPr>
            <w:r w:rsidRPr="00A77178">
              <w:rPr>
                <w:noProof/>
              </w:rPr>
              <w:t>Low bandwidth telegraphy, voice and data modes up to around 20 kHz.</w:t>
            </w:r>
          </w:p>
          <w:p w14:paraId="76D75CB2" w14:textId="77777777" w:rsidR="008679A1" w:rsidRPr="00A77178" w:rsidRDefault="008679A1" w:rsidP="00011785">
            <w:pPr>
              <w:pStyle w:val="Tabletext"/>
              <w:rPr>
                <w:noProof/>
              </w:rPr>
            </w:pPr>
            <w:r w:rsidRPr="00A77178">
              <w:rPr>
                <w:noProof/>
              </w:rPr>
              <w:t xml:space="preserve">Amateur TV (ATV using Analogue or Digital technologies).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F0C12B9" w14:textId="77777777" w:rsidR="008679A1" w:rsidRPr="00A77178" w:rsidRDefault="008679A1" w:rsidP="00011785">
            <w:pPr>
              <w:pStyle w:val="Tabletext"/>
              <w:rPr>
                <w:noProof/>
              </w:rPr>
            </w:pPr>
            <w:r w:rsidRPr="00A77178">
              <w:rPr>
                <w:noProof/>
              </w:rPr>
              <w:t>Organised into channelized groups for voice and data applications in some regions.</w:t>
            </w:r>
          </w:p>
          <w:p w14:paraId="4D371900" w14:textId="77777777" w:rsidR="008679A1" w:rsidRPr="00A77178" w:rsidRDefault="008679A1" w:rsidP="00011785">
            <w:pPr>
              <w:pStyle w:val="Tabletext"/>
              <w:rPr>
                <w:noProof/>
              </w:rPr>
            </w:pPr>
            <w:r w:rsidRPr="00A77178">
              <w:rPr>
                <w:noProof/>
              </w:rPr>
              <w:t>One 16.75 MHz block is identified for ATV in this range in Region 1.</w:t>
            </w:r>
          </w:p>
          <w:p w14:paraId="55C6EE04" w14:textId="77777777" w:rsidR="008679A1" w:rsidRPr="00A77178" w:rsidRDefault="008679A1" w:rsidP="00011785">
            <w:pPr>
              <w:pStyle w:val="Tabletext"/>
              <w:rPr>
                <w:noProof/>
              </w:rPr>
            </w:pPr>
            <w:r w:rsidRPr="00A77178">
              <w:rPr>
                <w:noProof/>
              </w:rPr>
              <w:t>Two 6 MHz blocks are identified for ATV in Region 2.</w:t>
            </w:r>
          </w:p>
        </w:tc>
      </w:tr>
      <w:tr w:rsidR="008679A1" w:rsidRPr="00A77178" w14:paraId="2EAA1614" w14:textId="77777777" w:rsidTr="00011785">
        <w:tc>
          <w:tcPr>
            <w:tcW w:w="2972" w:type="dxa"/>
            <w:tcBorders>
              <w:top w:val="single" w:sz="4" w:space="0" w:color="auto"/>
              <w:left w:val="single" w:sz="4" w:space="0" w:color="auto"/>
              <w:bottom w:val="single" w:sz="4" w:space="0" w:color="auto"/>
              <w:right w:val="single" w:sz="4" w:space="0" w:color="auto"/>
            </w:tcBorders>
            <w:shd w:val="clear" w:color="auto" w:fill="auto"/>
          </w:tcPr>
          <w:p w14:paraId="35BD41E3" w14:textId="77777777" w:rsidR="008679A1" w:rsidRPr="00A77178" w:rsidRDefault="008679A1" w:rsidP="00A71E80">
            <w:pPr>
              <w:pStyle w:val="Tabletext"/>
              <w:jc w:val="center"/>
              <w:rPr>
                <w:noProof/>
              </w:rPr>
            </w:pPr>
            <w:r w:rsidRPr="00A77178">
              <w:rPr>
                <w:noProof/>
              </w:rPr>
              <w:t>1 260-1 270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956B92" w14:textId="77777777" w:rsidR="008679A1" w:rsidRPr="00A77178" w:rsidRDefault="008679A1" w:rsidP="00011785">
            <w:pPr>
              <w:pStyle w:val="Tabletext"/>
              <w:rPr>
                <w:noProof/>
              </w:rPr>
            </w:pPr>
            <w:r w:rsidRPr="00A77178">
              <w:rPr>
                <w:noProof/>
              </w:rPr>
              <w:t>Satellite uplink band.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74C8C2A" w14:textId="77777777" w:rsidR="008679A1" w:rsidRPr="00A77178" w:rsidRDefault="008679A1" w:rsidP="00011785">
            <w:pPr>
              <w:pStyle w:val="Tabletext"/>
              <w:rPr>
                <w:noProof/>
              </w:rPr>
            </w:pPr>
            <w:r w:rsidRPr="00A77178">
              <w:rPr>
                <w:noProof/>
              </w:rPr>
              <w:t>In Region 2 simplex ATV is also identified for experimental use in this range.</w:t>
            </w:r>
          </w:p>
        </w:tc>
      </w:tr>
      <w:tr w:rsidR="008679A1" w:rsidRPr="00A77178" w14:paraId="4ADE1DED" w14:textId="77777777" w:rsidTr="00011785">
        <w:tc>
          <w:tcPr>
            <w:tcW w:w="2972" w:type="dxa"/>
            <w:tcBorders>
              <w:top w:val="single" w:sz="4" w:space="0" w:color="auto"/>
              <w:left w:val="single" w:sz="4" w:space="0" w:color="auto"/>
              <w:bottom w:val="single" w:sz="4" w:space="0" w:color="auto"/>
              <w:right w:val="single" w:sz="4" w:space="0" w:color="auto"/>
            </w:tcBorders>
            <w:shd w:val="clear" w:color="auto" w:fill="auto"/>
          </w:tcPr>
          <w:p w14:paraId="4E1DC98B" w14:textId="77777777" w:rsidR="008679A1" w:rsidRPr="00A77178" w:rsidRDefault="008679A1" w:rsidP="00A71E80">
            <w:pPr>
              <w:pStyle w:val="Tabletext"/>
              <w:jc w:val="center"/>
              <w:rPr>
                <w:noProof/>
              </w:rPr>
            </w:pPr>
            <w:r w:rsidRPr="00A77178">
              <w:rPr>
                <w:noProof/>
              </w:rPr>
              <w:lastRenderedPageBreak/>
              <w:t>1 270-1 296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7C9AFE3" w14:textId="77777777" w:rsidR="008679A1" w:rsidRPr="00A77178" w:rsidRDefault="008679A1" w:rsidP="00011785">
            <w:pPr>
              <w:pStyle w:val="Tabletext"/>
              <w:rPr>
                <w:noProof/>
              </w:rPr>
            </w:pPr>
            <w:r w:rsidRPr="00A77178">
              <w:rPr>
                <w:noProof/>
              </w:rPr>
              <w:t>Low bandwidth telegraphy, voice and data modes up to around 20 kHz.</w:t>
            </w:r>
          </w:p>
          <w:p w14:paraId="3F6D81DD" w14:textId="77777777" w:rsidR="008679A1" w:rsidRPr="00A77178" w:rsidRDefault="008679A1" w:rsidP="00011785">
            <w:pPr>
              <w:pStyle w:val="Tabletext"/>
              <w:rPr>
                <w:noProof/>
              </w:rPr>
            </w:pPr>
            <w:r w:rsidRPr="00A77178">
              <w:rPr>
                <w:noProof/>
              </w:rPr>
              <w:t xml:space="preserve">Amateur TV (ATV using Analogue or Digital technologies).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71BD26D" w14:textId="77777777" w:rsidR="008679A1" w:rsidRPr="00A77178" w:rsidRDefault="008679A1" w:rsidP="00011785">
            <w:pPr>
              <w:pStyle w:val="Tabletext"/>
              <w:rPr>
                <w:noProof/>
              </w:rPr>
            </w:pPr>
            <w:r w:rsidRPr="00A77178">
              <w:rPr>
                <w:noProof/>
              </w:rPr>
              <w:t>Organised into channelized groups for voice and data applications in some regions.</w:t>
            </w:r>
          </w:p>
          <w:p w14:paraId="316482F4" w14:textId="77777777" w:rsidR="008679A1" w:rsidRPr="00A77178" w:rsidRDefault="008679A1" w:rsidP="00011785">
            <w:pPr>
              <w:pStyle w:val="Tabletext"/>
              <w:rPr>
                <w:noProof/>
              </w:rPr>
            </w:pPr>
            <w:r w:rsidRPr="00A77178">
              <w:rPr>
                <w:noProof/>
              </w:rPr>
              <w:t>One 18.994 MHz block is identified for ATV in this range in Region 1.</w:t>
            </w:r>
          </w:p>
          <w:p w14:paraId="78009EEF" w14:textId="77777777" w:rsidR="008679A1" w:rsidRPr="00A77178" w:rsidRDefault="008679A1" w:rsidP="00011785">
            <w:pPr>
              <w:pStyle w:val="Tabletext"/>
              <w:rPr>
                <w:noProof/>
              </w:rPr>
            </w:pPr>
            <w:r w:rsidRPr="00A77178">
              <w:rPr>
                <w:noProof/>
              </w:rPr>
              <w:t>Two 6 MHz blocks are identified for ATV in Region 2.</w:t>
            </w:r>
          </w:p>
        </w:tc>
      </w:tr>
      <w:tr w:rsidR="008679A1" w:rsidRPr="00A77178" w14:paraId="07C937CE" w14:textId="77777777" w:rsidTr="00011785">
        <w:tc>
          <w:tcPr>
            <w:tcW w:w="2972" w:type="dxa"/>
            <w:tcBorders>
              <w:top w:val="single" w:sz="4" w:space="0" w:color="auto"/>
              <w:left w:val="single" w:sz="4" w:space="0" w:color="auto"/>
              <w:bottom w:val="single" w:sz="4" w:space="0" w:color="auto"/>
              <w:right w:val="single" w:sz="4" w:space="0" w:color="auto"/>
            </w:tcBorders>
            <w:shd w:val="clear" w:color="auto" w:fill="auto"/>
          </w:tcPr>
          <w:p w14:paraId="462EE48A" w14:textId="77777777" w:rsidR="008679A1" w:rsidRPr="00A77178" w:rsidRDefault="008679A1" w:rsidP="00A71E80">
            <w:pPr>
              <w:pStyle w:val="Tabletext"/>
              <w:jc w:val="center"/>
              <w:rPr>
                <w:noProof/>
              </w:rPr>
            </w:pPr>
            <w:r w:rsidRPr="00A77178">
              <w:rPr>
                <w:noProof/>
              </w:rPr>
              <w:t>1 296-1 297</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0025B00" w14:textId="77777777" w:rsidR="008679A1" w:rsidRPr="00A77178" w:rsidRDefault="008679A1" w:rsidP="00011785">
            <w:pPr>
              <w:pStyle w:val="Tabletext"/>
              <w:rPr>
                <w:noProof/>
              </w:rPr>
            </w:pPr>
            <w:r w:rsidRPr="00A77178">
              <w:rPr>
                <w:noProof/>
              </w:rPr>
              <w:t>Low bandwidth telegraphy, voice and data modes up to 3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569D2CF" w14:textId="77777777" w:rsidR="008679A1" w:rsidRPr="00A77178" w:rsidRDefault="008679A1" w:rsidP="00011785">
            <w:pPr>
              <w:pStyle w:val="Tabletext"/>
              <w:rPr>
                <w:noProof/>
              </w:rPr>
            </w:pPr>
            <w:r w:rsidRPr="00A77178">
              <w:rPr>
                <w:noProof/>
              </w:rPr>
              <w:t>Focused on narrowband weak signal applications in all three regions including beacons. No channelization.</w:t>
            </w:r>
          </w:p>
        </w:tc>
      </w:tr>
      <w:tr w:rsidR="008679A1" w:rsidRPr="00A77178" w14:paraId="1B17918E" w14:textId="77777777" w:rsidTr="00011785">
        <w:tc>
          <w:tcPr>
            <w:tcW w:w="2972" w:type="dxa"/>
            <w:tcBorders>
              <w:top w:val="single" w:sz="4" w:space="0" w:color="auto"/>
              <w:left w:val="single" w:sz="4" w:space="0" w:color="auto"/>
              <w:bottom w:val="single" w:sz="4" w:space="0" w:color="auto"/>
              <w:right w:val="single" w:sz="4" w:space="0" w:color="auto"/>
            </w:tcBorders>
            <w:shd w:val="clear" w:color="auto" w:fill="auto"/>
          </w:tcPr>
          <w:p w14:paraId="4D6E7CD4" w14:textId="77777777" w:rsidR="008679A1" w:rsidRPr="00A77178" w:rsidRDefault="008679A1" w:rsidP="00A71E80">
            <w:pPr>
              <w:pStyle w:val="Tabletext"/>
              <w:jc w:val="center"/>
              <w:rPr>
                <w:noProof/>
              </w:rPr>
            </w:pPr>
            <w:r w:rsidRPr="00A77178">
              <w:rPr>
                <w:noProof/>
              </w:rPr>
              <w:t>1 297-1 300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B7A430" w14:textId="77777777" w:rsidR="008679A1" w:rsidRPr="00A77178" w:rsidRDefault="008679A1" w:rsidP="00011785">
            <w:pPr>
              <w:pStyle w:val="Tabletext"/>
              <w:rPr>
                <w:noProof/>
              </w:rPr>
            </w:pPr>
            <w:r w:rsidRPr="00A77178">
              <w:rPr>
                <w:noProof/>
              </w:rPr>
              <w:t>Low bandwidth voice and data modes up to around 20 kHz. Medium bandwidth data up to 150 kHz bandwidth.</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A2290BD" w14:textId="77777777" w:rsidR="008679A1" w:rsidRPr="00A77178" w:rsidRDefault="008679A1" w:rsidP="00011785">
            <w:pPr>
              <w:pStyle w:val="Tabletext"/>
              <w:rPr>
                <w:noProof/>
              </w:rPr>
            </w:pPr>
            <w:r w:rsidRPr="00A77178">
              <w:rPr>
                <w:noProof/>
              </w:rPr>
              <w:t>Organized into channelized groups for voice and data applications in some regions.</w:t>
            </w:r>
          </w:p>
        </w:tc>
      </w:tr>
    </w:tbl>
    <w:p w14:paraId="7237C7D4" w14:textId="77777777" w:rsidR="008679A1" w:rsidRPr="00A77178" w:rsidRDefault="008679A1" w:rsidP="00A83188">
      <w:pPr>
        <w:pStyle w:val="Tablefin"/>
        <w:rPr>
          <w:noProof/>
        </w:rPr>
      </w:pPr>
    </w:p>
    <w:p w14:paraId="60FA08A6" w14:textId="68C72469" w:rsidR="008679A1" w:rsidRPr="00A77178" w:rsidRDefault="008679A1" w:rsidP="008679A1">
      <w:pPr>
        <w:pStyle w:val="Heading1"/>
        <w:rPr>
          <w:noProof/>
        </w:rPr>
      </w:pPr>
      <w:r w:rsidRPr="00A77178">
        <w:rPr>
          <w:noProof/>
        </w:rPr>
        <w:t>3</w:t>
      </w:r>
      <w:r w:rsidRPr="00A77178">
        <w:rPr>
          <w:noProof/>
        </w:rPr>
        <w:tab/>
        <w:t>Applications and typical operational characteristics of the amateur and amateur-satellite services operating in the frequency band 1 240</w:t>
      </w:r>
      <w:r w:rsidRPr="00A77178">
        <w:rPr>
          <w:noProof/>
        </w:rPr>
        <w:noBreakHyphen/>
        <w:t>1 300 MHz</w:t>
      </w:r>
    </w:p>
    <w:p w14:paraId="482A99A0" w14:textId="3DA2D444" w:rsidR="008679A1" w:rsidRPr="00A77178" w:rsidRDefault="008679A1" w:rsidP="008679A1">
      <w:pPr>
        <w:pStyle w:val="Heading2"/>
        <w:rPr>
          <w:noProof/>
        </w:rPr>
      </w:pPr>
      <w:r w:rsidRPr="00A77178">
        <w:rPr>
          <w:noProof/>
        </w:rPr>
        <w:t>3.1</w:t>
      </w:r>
      <w:r w:rsidRPr="00A77178">
        <w:rPr>
          <w:noProof/>
        </w:rPr>
        <w:tab/>
        <w:t>Amateur and amateur-satellite applications and station categories</w:t>
      </w:r>
    </w:p>
    <w:p w14:paraId="25547C26" w14:textId="77777777" w:rsidR="008679A1" w:rsidRPr="00A77178" w:rsidRDefault="008679A1" w:rsidP="009550F6">
      <w:pPr>
        <w:jc w:val="both"/>
        <w:rPr>
          <w:noProof/>
        </w:rPr>
      </w:pPr>
      <w:r w:rsidRPr="00A77178">
        <w:rPr>
          <w:noProof/>
        </w:rPr>
        <w:t>The detailed list of amateur and the amateur-satellite services applications in the band 1 240</w:t>
      </w:r>
      <w:r w:rsidRPr="00A77178">
        <w:rPr>
          <w:noProof/>
        </w:rPr>
        <w:noBreakHyphen/>
        <w:t>1 300 MHz can be divided into three categories:</w:t>
      </w:r>
    </w:p>
    <w:p w14:paraId="352B7C4C" w14:textId="77777777" w:rsidR="008679A1" w:rsidRPr="00A77178" w:rsidRDefault="008679A1" w:rsidP="000076AF">
      <w:pPr>
        <w:pStyle w:val="Headingb"/>
        <w:rPr>
          <w:noProof/>
        </w:rPr>
      </w:pPr>
      <w:r w:rsidRPr="00A77178">
        <w:rPr>
          <w:noProof/>
        </w:rPr>
        <w:t>1)</w:t>
      </w:r>
      <w:r w:rsidRPr="00A77178">
        <w:rPr>
          <w:noProof/>
        </w:rPr>
        <w:tab/>
        <w:t>Home station</w:t>
      </w:r>
    </w:p>
    <w:p w14:paraId="604C35D1" w14:textId="77777777" w:rsidR="008679A1" w:rsidRPr="00A77178" w:rsidRDefault="008679A1" w:rsidP="008679A1">
      <w:pPr>
        <w:rPr>
          <w:noProof/>
        </w:rPr>
      </w:pPr>
      <w:r w:rsidRPr="00A77178">
        <w:rPr>
          <w:noProof/>
        </w:rPr>
        <w:t xml:space="preserve">This refers to equipment located at the station licence holder’s home address. </w:t>
      </w:r>
    </w:p>
    <w:p w14:paraId="66B97455" w14:textId="77777777" w:rsidR="008679A1" w:rsidRPr="00A77178" w:rsidRDefault="008679A1" w:rsidP="000076AF">
      <w:pPr>
        <w:pStyle w:val="Headingb"/>
        <w:rPr>
          <w:noProof/>
        </w:rPr>
      </w:pPr>
      <w:r w:rsidRPr="00A77178">
        <w:rPr>
          <w:noProof/>
        </w:rPr>
        <w:t>2)</w:t>
      </w:r>
      <w:r w:rsidRPr="00A77178">
        <w:rPr>
          <w:noProof/>
        </w:rPr>
        <w:tab/>
        <w:t>Temporary “portable” station</w:t>
      </w:r>
    </w:p>
    <w:p w14:paraId="73B0BFCF" w14:textId="77777777" w:rsidR="008679A1" w:rsidRPr="00A77178" w:rsidRDefault="008679A1" w:rsidP="009550F6">
      <w:pPr>
        <w:jc w:val="both"/>
        <w:rPr>
          <w:noProof/>
        </w:rPr>
      </w:pPr>
      <w:r w:rsidRPr="00A77178">
        <w:rPr>
          <w:noProof/>
        </w:rPr>
        <w:t xml:space="preserve">A temporarily sited station is usually located in an advantageous position (usually high ground) away from a home station location and operational for a short period radiosport contest, an experimental long-distance communication test or a time-limited special activity event. </w:t>
      </w:r>
    </w:p>
    <w:p w14:paraId="5EBB6DB8" w14:textId="77777777" w:rsidR="008679A1" w:rsidRPr="00A77178" w:rsidRDefault="008679A1" w:rsidP="009550F6">
      <w:pPr>
        <w:pStyle w:val="Headingb"/>
        <w:ind w:left="1134" w:hanging="1134"/>
        <w:rPr>
          <w:noProof/>
        </w:rPr>
      </w:pPr>
      <w:r w:rsidRPr="00A77178">
        <w:rPr>
          <w:noProof/>
        </w:rPr>
        <w:t>3)</w:t>
      </w:r>
      <w:r w:rsidRPr="00A77178">
        <w:rPr>
          <w:noProof/>
        </w:rPr>
        <w:tab/>
        <w:t>Permanent installation (sometimes referred to as “automatic” or “unmanned” stations)</w:t>
      </w:r>
    </w:p>
    <w:p w14:paraId="576D200E" w14:textId="77777777" w:rsidR="008679A1" w:rsidRPr="00A77178" w:rsidRDefault="008679A1" w:rsidP="009550F6">
      <w:pPr>
        <w:jc w:val="both"/>
        <w:rPr>
          <w:noProof/>
        </w:rPr>
      </w:pPr>
      <w:r w:rsidRPr="00A77178">
        <w:rPr>
          <w:noProof/>
        </w:rPr>
        <w:t xml:space="preserve">Permanent installations refer to stations installed away from a home station. </w:t>
      </w:r>
      <w:r w:rsidRPr="00A77178">
        <w:rPr>
          <w:noProof/>
          <w:color w:val="000000" w:themeColor="text1"/>
        </w:rPr>
        <w:t xml:space="preserve">They operate as propagation beacons, voice, amateur television (ATV) or data repeaters. </w:t>
      </w:r>
      <w:r w:rsidRPr="00A77178">
        <w:rPr>
          <w:noProof/>
        </w:rPr>
        <w:t>As permanently installed stations, these are licensed by the national authority in their own right for their designated location, operating frequency and output power. The licence and responsibility of the station operation are usually associated with an already licensed radio amateur operator known as the “keeper” of the installation.</w:t>
      </w:r>
    </w:p>
    <w:p w14:paraId="1073AEBA" w14:textId="77777777" w:rsidR="008679A1" w:rsidRPr="00A77178" w:rsidRDefault="008679A1" w:rsidP="009550F6">
      <w:pPr>
        <w:jc w:val="both"/>
        <w:rPr>
          <w:noProof/>
        </w:rPr>
      </w:pPr>
      <w:r w:rsidRPr="00A77178">
        <w:rPr>
          <w:noProof/>
        </w:rPr>
        <w:t>Propagation beacons are usually intended to operate continuously and are required to transmit a short repeating message using on/off keying or a narrow-band FSK signal with call sign ID and location information.</w:t>
      </w:r>
    </w:p>
    <w:p w14:paraId="4102CFCA" w14:textId="77777777" w:rsidR="008679A1" w:rsidRPr="00A77178" w:rsidRDefault="008679A1" w:rsidP="009550F6">
      <w:pPr>
        <w:jc w:val="both"/>
        <w:rPr>
          <w:noProof/>
        </w:rPr>
      </w:pPr>
      <w:r w:rsidRPr="00A77178">
        <w:rPr>
          <w:noProof/>
        </w:rPr>
        <w:t xml:space="preserve">Voice repeaters usually re-transmit narrow-band analogue and digital voice traffic when activated with a signal on the input frequency and are mostly associated with extending geographic coverage area. Data and ATV repeater stations transmit wider bandwidth amateur signals and ATV repeater </w:t>
      </w:r>
      <w:r w:rsidRPr="00A77178">
        <w:rPr>
          <w:noProof/>
        </w:rPr>
        <w:lastRenderedPageBreak/>
        <w:t>stations may transmit test signals when not being accessed by a user station on the input channel. All repeater stations are required by national regulations to transmit identification information.</w:t>
      </w:r>
    </w:p>
    <w:p w14:paraId="23EA5765" w14:textId="6F09066C" w:rsidR="008679A1" w:rsidRPr="00A77178" w:rsidRDefault="008679A1" w:rsidP="009550F6">
      <w:pPr>
        <w:jc w:val="both"/>
        <w:rPr>
          <w:noProof/>
        </w:rPr>
      </w:pPr>
      <w:r w:rsidRPr="00A77178">
        <w:rPr>
          <w:noProof/>
        </w:rPr>
        <w:t>Satellite communications (1 260-1 270 MHz, Earth-to-space only</w:t>
      </w:r>
      <w:r w:rsidR="009550F6">
        <w:rPr>
          <w:noProof/>
        </w:rPr>
        <w:t>;</w:t>
      </w:r>
      <w:r w:rsidRPr="00A77178">
        <w:rPr>
          <w:noProof/>
        </w:rPr>
        <w:t xml:space="preserve"> </w:t>
      </w:r>
      <w:r w:rsidR="009550F6" w:rsidRPr="00A77178">
        <w:rPr>
          <w:noProof/>
        </w:rPr>
        <w:t xml:space="preserve">see </w:t>
      </w:r>
      <w:r w:rsidRPr="00A77178">
        <w:rPr>
          <w:bCs/>
          <w:noProof/>
        </w:rPr>
        <w:t>RR</w:t>
      </w:r>
      <w:r w:rsidRPr="00A77178">
        <w:rPr>
          <w:noProof/>
        </w:rPr>
        <w:t xml:space="preserve"> No. </w:t>
      </w:r>
      <w:r w:rsidRPr="00A77178">
        <w:rPr>
          <w:b/>
          <w:bCs/>
          <w:noProof/>
        </w:rPr>
        <w:t>5.282</w:t>
      </w:r>
      <w:r w:rsidRPr="00A77178">
        <w:rPr>
          <w:noProof/>
        </w:rPr>
        <w:t>) and mobile stations are possible, but these are rare in this frequency band. Tables 2 and 3 provide a matrix of the amateur and amateur-satellite applications versus station categories:</w:t>
      </w:r>
    </w:p>
    <w:p w14:paraId="70277D74" w14:textId="32DD86BB" w:rsidR="008679A1" w:rsidRPr="00A77178" w:rsidRDefault="008679A1" w:rsidP="008679A1">
      <w:pPr>
        <w:pStyle w:val="TableNo"/>
        <w:rPr>
          <w:noProof/>
        </w:rPr>
      </w:pPr>
      <w:r w:rsidRPr="00A77178">
        <w:rPr>
          <w:noProof/>
        </w:rPr>
        <w:t>Table 2</w:t>
      </w:r>
    </w:p>
    <w:p w14:paraId="3604BB16" w14:textId="77777777" w:rsidR="008679A1" w:rsidRPr="00A77178" w:rsidRDefault="008679A1" w:rsidP="008679A1">
      <w:pPr>
        <w:pStyle w:val="Tabletitle"/>
        <w:rPr>
          <w:noProof/>
        </w:rPr>
      </w:pPr>
      <w:r w:rsidRPr="00A77178">
        <w:rPr>
          <w:noProof/>
        </w:rPr>
        <w:t>Narrow-band amateur and amateur satellite applications against the station category</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1591"/>
        <w:gridCol w:w="854"/>
        <w:gridCol w:w="1036"/>
        <w:gridCol w:w="909"/>
        <w:gridCol w:w="967"/>
        <w:gridCol w:w="1868"/>
        <w:gridCol w:w="2414"/>
      </w:tblGrid>
      <w:tr w:rsidR="008679A1" w:rsidRPr="00A77178" w14:paraId="7E10A171" w14:textId="77777777" w:rsidTr="00011785">
        <w:trPr>
          <w:cantSplit/>
          <w:tblHeader/>
          <w:jc w:val="center"/>
        </w:trPr>
        <w:tc>
          <w:tcPr>
            <w:tcW w:w="1591" w:type="dxa"/>
            <w:vMerge w:val="restart"/>
            <w:vAlign w:val="center"/>
          </w:tcPr>
          <w:p w14:paraId="6E89FCDA" w14:textId="77777777" w:rsidR="008679A1" w:rsidRPr="00A77178" w:rsidRDefault="008679A1" w:rsidP="00011785">
            <w:pPr>
              <w:pStyle w:val="Tablehead"/>
              <w:rPr>
                <w:noProof/>
              </w:rPr>
            </w:pPr>
            <w:r w:rsidRPr="00A77178">
              <w:rPr>
                <w:noProof/>
              </w:rPr>
              <w:t>Application</w:t>
            </w:r>
          </w:p>
        </w:tc>
        <w:tc>
          <w:tcPr>
            <w:tcW w:w="3766" w:type="dxa"/>
            <w:gridSpan w:val="4"/>
            <w:vAlign w:val="center"/>
          </w:tcPr>
          <w:p w14:paraId="3EB62A6F" w14:textId="77777777" w:rsidR="008679A1" w:rsidRPr="00A77178" w:rsidRDefault="008679A1" w:rsidP="00011785">
            <w:pPr>
              <w:pStyle w:val="Tablehead"/>
              <w:rPr>
                <w:noProof/>
              </w:rPr>
            </w:pPr>
            <w:r w:rsidRPr="00A77178">
              <w:rPr>
                <w:noProof/>
              </w:rPr>
              <w:t>Station type</w:t>
            </w:r>
          </w:p>
        </w:tc>
        <w:tc>
          <w:tcPr>
            <w:tcW w:w="1868" w:type="dxa"/>
            <w:vMerge w:val="restart"/>
            <w:vAlign w:val="center"/>
          </w:tcPr>
          <w:p w14:paraId="6D86CC3F" w14:textId="77777777" w:rsidR="008679A1" w:rsidRPr="00A77178" w:rsidRDefault="008679A1" w:rsidP="00011785">
            <w:pPr>
              <w:pStyle w:val="Tablehead"/>
              <w:rPr>
                <w:noProof/>
              </w:rPr>
            </w:pPr>
            <w:r w:rsidRPr="00A77178">
              <w:rPr>
                <w:noProof/>
              </w:rPr>
              <w:t>Max. bandwidth</w:t>
            </w:r>
          </w:p>
        </w:tc>
        <w:tc>
          <w:tcPr>
            <w:tcW w:w="2414" w:type="dxa"/>
            <w:vMerge w:val="restart"/>
            <w:vAlign w:val="center"/>
          </w:tcPr>
          <w:p w14:paraId="67568A9D" w14:textId="77777777" w:rsidR="008679A1" w:rsidRPr="00A77178" w:rsidRDefault="008679A1" w:rsidP="00011785">
            <w:pPr>
              <w:pStyle w:val="Tablehead"/>
              <w:rPr>
                <w:noProof/>
              </w:rPr>
            </w:pPr>
            <w:r w:rsidRPr="00A77178">
              <w:rPr>
                <w:noProof/>
              </w:rPr>
              <w:t>Comments</w:t>
            </w:r>
          </w:p>
        </w:tc>
      </w:tr>
      <w:tr w:rsidR="008679A1" w:rsidRPr="00A77178" w14:paraId="4B76284B" w14:textId="77777777" w:rsidTr="00011785">
        <w:trPr>
          <w:cantSplit/>
          <w:tblHeader/>
          <w:jc w:val="center"/>
        </w:trPr>
        <w:tc>
          <w:tcPr>
            <w:tcW w:w="1591" w:type="dxa"/>
            <w:vMerge/>
            <w:vAlign w:val="center"/>
          </w:tcPr>
          <w:p w14:paraId="5F0E6848" w14:textId="77777777" w:rsidR="008679A1" w:rsidRPr="00A77178" w:rsidRDefault="008679A1" w:rsidP="00011785">
            <w:pPr>
              <w:pStyle w:val="Tablehead"/>
              <w:rPr>
                <w:noProof/>
              </w:rPr>
            </w:pPr>
          </w:p>
        </w:tc>
        <w:tc>
          <w:tcPr>
            <w:tcW w:w="854" w:type="dxa"/>
            <w:vMerge w:val="restart"/>
            <w:vAlign w:val="center"/>
          </w:tcPr>
          <w:p w14:paraId="46C3724A" w14:textId="77777777" w:rsidR="008679A1" w:rsidRPr="00A77178" w:rsidRDefault="008679A1" w:rsidP="00011785">
            <w:pPr>
              <w:pStyle w:val="Tablehead"/>
              <w:rPr>
                <w:rStyle w:val="ECCHLbold"/>
                <w:b/>
                <w:noProof/>
              </w:rPr>
            </w:pPr>
            <w:r w:rsidRPr="00A77178">
              <w:rPr>
                <w:rStyle w:val="ECCHLbold"/>
                <w:noProof/>
              </w:rPr>
              <w:t>Home</w:t>
            </w:r>
          </w:p>
        </w:tc>
        <w:tc>
          <w:tcPr>
            <w:tcW w:w="1036" w:type="dxa"/>
            <w:vMerge w:val="restart"/>
            <w:vAlign w:val="center"/>
          </w:tcPr>
          <w:p w14:paraId="53045C72" w14:textId="77777777" w:rsidR="008679A1" w:rsidRPr="00A77178" w:rsidRDefault="008679A1" w:rsidP="00011785">
            <w:pPr>
              <w:pStyle w:val="Tablehead"/>
              <w:rPr>
                <w:rStyle w:val="ECCHLbold"/>
                <w:b/>
                <w:noProof/>
              </w:rPr>
            </w:pPr>
            <w:r w:rsidRPr="00A77178">
              <w:rPr>
                <w:rStyle w:val="ECCHLbold"/>
                <w:noProof/>
              </w:rPr>
              <w:t>Temporary</w:t>
            </w:r>
          </w:p>
        </w:tc>
        <w:tc>
          <w:tcPr>
            <w:tcW w:w="1876" w:type="dxa"/>
            <w:gridSpan w:val="2"/>
            <w:vAlign w:val="center"/>
          </w:tcPr>
          <w:p w14:paraId="695B59E7" w14:textId="77777777" w:rsidR="008679A1" w:rsidRPr="00A77178" w:rsidRDefault="008679A1" w:rsidP="00011785">
            <w:pPr>
              <w:pStyle w:val="Tablehead"/>
              <w:rPr>
                <w:rStyle w:val="ECCHLbold"/>
                <w:b/>
                <w:noProof/>
              </w:rPr>
            </w:pPr>
            <w:r w:rsidRPr="00A77178">
              <w:rPr>
                <w:rStyle w:val="ECCHLbold"/>
                <w:noProof/>
              </w:rPr>
              <w:t>Installation</w:t>
            </w:r>
          </w:p>
        </w:tc>
        <w:tc>
          <w:tcPr>
            <w:tcW w:w="1868" w:type="dxa"/>
            <w:vMerge/>
            <w:vAlign w:val="center"/>
          </w:tcPr>
          <w:p w14:paraId="7094E09C" w14:textId="77777777" w:rsidR="008679A1" w:rsidRPr="00A77178" w:rsidRDefault="008679A1" w:rsidP="00011785">
            <w:pPr>
              <w:pStyle w:val="Tablehead"/>
              <w:rPr>
                <w:noProof/>
              </w:rPr>
            </w:pPr>
          </w:p>
        </w:tc>
        <w:tc>
          <w:tcPr>
            <w:tcW w:w="2414" w:type="dxa"/>
            <w:vMerge/>
            <w:vAlign w:val="center"/>
          </w:tcPr>
          <w:p w14:paraId="1A79BDE1" w14:textId="77777777" w:rsidR="008679A1" w:rsidRPr="00A77178" w:rsidRDefault="008679A1" w:rsidP="00011785">
            <w:pPr>
              <w:pStyle w:val="Tablehead"/>
              <w:rPr>
                <w:noProof/>
              </w:rPr>
            </w:pPr>
          </w:p>
        </w:tc>
      </w:tr>
      <w:tr w:rsidR="008679A1" w:rsidRPr="00A77178" w14:paraId="124B287D" w14:textId="77777777" w:rsidTr="00011785">
        <w:trPr>
          <w:cantSplit/>
          <w:tblHeader/>
          <w:jc w:val="center"/>
        </w:trPr>
        <w:tc>
          <w:tcPr>
            <w:tcW w:w="1591" w:type="dxa"/>
            <w:vMerge/>
            <w:vAlign w:val="center"/>
          </w:tcPr>
          <w:p w14:paraId="0EF4B0FF" w14:textId="77777777" w:rsidR="008679A1" w:rsidRPr="00A77178" w:rsidRDefault="008679A1" w:rsidP="00011785">
            <w:pPr>
              <w:pStyle w:val="Tablehead"/>
              <w:rPr>
                <w:noProof/>
              </w:rPr>
            </w:pPr>
          </w:p>
        </w:tc>
        <w:tc>
          <w:tcPr>
            <w:tcW w:w="854" w:type="dxa"/>
            <w:vMerge/>
            <w:vAlign w:val="center"/>
          </w:tcPr>
          <w:p w14:paraId="5C36E1C1" w14:textId="77777777" w:rsidR="008679A1" w:rsidRPr="00A77178" w:rsidRDefault="008679A1" w:rsidP="00011785">
            <w:pPr>
              <w:pStyle w:val="Tablehead"/>
              <w:rPr>
                <w:rStyle w:val="ECCHLbold"/>
                <w:b/>
                <w:noProof/>
              </w:rPr>
            </w:pPr>
          </w:p>
        </w:tc>
        <w:tc>
          <w:tcPr>
            <w:tcW w:w="1036" w:type="dxa"/>
            <w:vMerge/>
            <w:vAlign w:val="center"/>
          </w:tcPr>
          <w:p w14:paraId="407F8F04" w14:textId="77777777" w:rsidR="008679A1" w:rsidRPr="00A77178" w:rsidRDefault="008679A1" w:rsidP="00011785">
            <w:pPr>
              <w:pStyle w:val="Tablehead"/>
              <w:rPr>
                <w:rStyle w:val="ECCHLbold"/>
                <w:b/>
                <w:noProof/>
              </w:rPr>
            </w:pPr>
          </w:p>
        </w:tc>
        <w:tc>
          <w:tcPr>
            <w:tcW w:w="909" w:type="dxa"/>
            <w:vAlign w:val="center"/>
          </w:tcPr>
          <w:p w14:paraId="789E677D" w14:textId="77777777" w:rsidR="008679A1" w:rsidRPr="00A77178" w:rsidRDefault="008679A1" w:rsidP="00011785">
            <w:pPr>
              <w:pStyle w:val="Tablehead"/>
              <w:rPr>
                <w:rStyle w:val="ECCHLbold"/>
                <w:b/>
                <w:noProof/>
              </w:rPr>
            </w:pPr>
            <w:r w:rsidRPr="00A77178">
              <w:rPr>
                <w:rStyle w:val="ECCHLbold"/>
                <w:noProof/>
              </w:rPr>
              <w:t>Repeater</w:t>
            </w:r>
          </w:p>
        </w:tc>
        <w:tc>
          <w:tcPr>
            <w:tcW w:w="967" w:type="dxa"/>
            <w:vAlign w:val="center"/>
          </w:tcPr>
          <w:p w14:paraId="6FF51AD9" w14:textId="77777777" w:rsidR="008679A1" w:rsidRPr="00A77178" w:rsidRDefault="008679A1" w:rsidP="00011785">
            <w:pPr>
              <w:pStyle w:val="Tablehead"/>
              <w:rPr>
                <w:rStyle w:val="ECCHLbold"/>
                <w:b/>
                <w:noProof/>
              </w:rPr>
            </w:pPr>
            <w:r w:rsidRPr="00A77178">
              <w:rPr>
                <w:rStyle w:val="ECCHLbold"/>
                <w:noProof/>
              </w:rPr>
              <w:t>Beacon</w:t>
            </w:r>
          </w:p>
        </w:tc>
        <w:tc>
          <w:tcPr>
            <w:tcW w:w="1868" w:type="dxa"/>
            <w:vMerge/>
            <w:vAlign w:val="center"/>
          </w:tcPr>
          <w:p w14:paraId="2913DB2A" w14:textId="77777777" w:rsidR="008679A1" w:rsidRPr="00A77178" w:rsidRDefault="008679A1" w:rsidP="00011785">
            <w:pPr>
              <w:pStyle w:val="Tablehead"/>
              <w:rPr>
                <w:noProof/>
              </w:rPr>
            </w:pPr>
          </w:p>
        </w:tc>
        <w:tc>
          <w:tcPr>
            <w:tcW w:w="2414" w:type="dxa"/>
            <w:vMerge/>
            <w:vAlign w:val="center"/>
          </w:tcPr>
          <w:p w14:paraId="79CB961F" w14:textId="77777777" w:rsidR="008679A1" w:rsidRPr="00A77178" w:rsidRDefault="008679A1" w:rsidP="00011785">
            <w:pPr>
              <w:pStyle w:val="Tablehead"/>
              <w:rPr>
                <w:noProof/>
              </w:rPr>
            </w:pPr>
          </w:p>
        </w:tc>
      </w:tr>
      <w:tr w:rsidR="008679A1" w:rsidRPr="00A77178" w14:paraId="0906F892" w14:textId="77777777" w:rsidTr="00011785">
        <w:trPr>
          <w:cantSplit/>
          <w:jc w:val="center"/>
        </w:trPr>
        <w:tc>
          <w:tcPr>
            <w:tcW w:w="1591" w:type="dxa"/>
            <w:vAlign w:val="center"/>
          </w:tcPr>
          <w:p w14:paraId="685CF563" w14:textId="77777777" w:rsidR="008679A1" w:rsidRPr="00A77178" w:rsidRDefault="008679A1" w:rsidP="00011785">
            <w:pPr>
              <w:pStyle w:val="Tabletext"/>
              <w:rPr>
                <w:noProof/>
              </w:rPr>
            </w:pPr>
            <w:r w:rsidRPr="00A77178">
              <w:rPr>
                <w:noProof/>
              </w:rPr>
              <w:t xml:space="preserve">Voice (Analogue SSB) </w:t>
            </w:r>
          </w:p>
        </w:tc>
        <w:tc>
          <w:tcPr>
            <w:tcW w:w="854" w:type="dxa"/>
            <w:vAlign w:val="center"/>
          </w:tcPr>
          <w:p w14:paraId="513EB6B9" w14:textId="77777777" w:rsidR="008679A1" w:rsidRPr="00A77178" w:rsidRDefault="008679A1" w:rsidP="00011785">
            <w:pPr>
              <w:pStyle w:val="Tabletext"/>
              <w:jc w:val="center"/>
              <w:rPr>
                <w:noProof/>
              </w:rPr>
            </w:pPr>
            <w:r w:rsidRPr="00A77178">
              <w:rPr>
                <w:noProof/>
              </w:rPr>
              <w:t>Yes</w:t>
            </w:r>
          </w:p>
        </w:tc>
        <w:tc>
          <w:tcPr>
            <w:tcW w:w="1036" w:type="dxa"/>
            <w:vAlign w:val="center"/>
          </w:tcPr>
          <w:p w14:paraId="6DF4B64A" w14:textId="77777777" w:rsidR="008679A1" w:rsidRPr="00A77178" w:rsidRDefault="008679A1" w:rsidP="00011785">
            <w:pPr>
              <w:pStyle w:val="Tabletext"/>
              <w:jc w:val="center"/>
              <w:rPr>
                <w:noProof/>
              </w:rPr>
            </w:pPr>
            <w:r w:rsidRPr="00A77178">
              <w:rPr>
                <w:noProof/>
              </w:rPr>
              <w:t>Yes</w:t>
            </w:r>
          </w:p>
        </w:tc>
        <w:tc>
          <w:tcPr>
            <w:tcW w:w="909" w:type="dxa"/>
            <w:vAlign w:val="center"/>
          </w:tcPr>
          <w:p w14:paraId="600221FA" w14:textId="77777777" w:rsidR="008679A1" w:rsidRPr="00A77178" w:rsidRDefault="008679A1" w:rsidP="00011785">
            <w:pPr>
              <w:pStyle w:val="Tabletext"/>
              <w:jc w:val="center"/>
              <w:rPr>
                <w:noProof/>
              </w:rPr>
            </w:pPr>
          </w:p>
        </w:tc>
        <w:tc>
          <w:tcPr>
            <w:tcW w:w="967" w:type="dxa"/>
            <w:vAlign w:val="center"/>
          </w:tcPr>
          <w:p w14:paraId="4CDE5FA4" w14:textId="77777777" w:rsidR="008679A1" w:rsidRPr="00A77178" w:rsidRDefault="008679A1" w:rsidP="00011785">
            <w:pPr>
              <w:pStyle w:val="Tabletext"/>
              <w:jc w:val="center"/>
              <w:rPr>
                <w:noProof/>
              </w:rPr>
            </w:pPr>
          </w:p>
        </w:tc>
        <w:tc>
          <w:tcPr>
            <w:tcW w:w="1868" w:type="dxa"/>
            <w:vAlign w:val="center"/>
          </w:tcPr>
          <w:p w14:paraId="0A07FF08" w14:textId="77777777" w:rsidR="008679A1" w:rsidRPr="00A77178" w:rsidRDefault="008679A1" w:rsidP="00011785">
            <w:pPr>
              <w:pStyle w:val="Tabletext"/>
              <w:jc w:val="center"/>
              <w:rPr>
                <w:noProof/>
              </w:rPr>
            </w:pPr>
            <w:r w:rsidRPr="00A77178">
              <w:rPr>
                <w:noProof/>
              </w:rPr>
              <w:t>2 700 Hz</w:t>
            </w:r>
          </w:p>
        </w:tc>
        <w:tc>
          <w:tcPr>
            <w:tcW w:w="2414" w:type="dxa"/>
            <w:vAlign w:val="center"/>
          </w:tcPr>
          <w:p w14:paraId="6FCF9152" w14:textId="77777777" w:rsidR="008679A1" w:rsidRPr="00A77178" w:rsidRDefault="008679A1" w:rsidP="00011785">
            <w:pPr>
              <w:pStyle w:val="Tabletext"/>
              <w:rPr>
                <w:noProof/>
              </w:rPr>
            </w:pPr>
            <w:r w:rsidRPr="00A77178">
              <w:rPr>
                <w:noProof/>
              </w:rPr>
              <w:t>Long distance tropospheric weak signal communications. Radiosport operation (incl. EME).</w:t>
            </w:r>
          </w:p>
        </w:tc>
      </w:tr>
      <w:tr w:rsidR="008679A1" w:rsidRPr="00A77178" w14:paraId="0D397D4B" w14:textId="77777777" w:rsidTr="00011785">
        <w:trPr>
          <w:cantSplit/>
          <w:jc w:val="center"/>
        </w:trPr>
        <w:tc>
          <w:tcPr>
            <w:tcW w:w="1591" w:type="dxa"/>
            <w:vAlign w:val="center"/>
          </w:tcPr>
          <w:p w14:paraId="6B7A9D3A" w14:textId="77777777" w:rsidR="008679A1" w:rsidRPr="00A77178" w:rsidRDefault="008679A1" w:rsidP="00011785">
            <w:pPr>
              <w:pStyle w:val="Tabletext"/>
              <w:rPr>
                <w:noProof/>
              </w:rPr>
            </w:pPr>
            <w:r w:rsidRPr="00A77178">
              <w:rPr>
                <w:noProof/>
              </w:rPr>
              <w:t>Voice (Analogue NBFM)</w:t>
            </w:r>
          </w:p>
        </w:tc>
        <w:tc>
          <w:tcPr>
            <w:tcW w:w="854" w:type="dxa"/>
            <w:vAlign w:val="center"/>
          </w:tcPr>
          <w:p w14:paraId="59EEB002" w14:textId="77777777" w:rsidR="008679A1" w:rsidRPr="00A77178" w:rsidRDefault="008679A1" w:rsidP="00011785">
            <w:pPr>
              <w:pStyle w:val="Tabletext"/>
              <w:jc w:val="center"/>
              <w:rPr>
                <w:noProof/>
              </w:rPr>
            </w:pPr>
            <w:r w:rsidRPr="00A77178">
              <w:rPr>
                <w:noProof/>
              </w:rPr>
              <w:t>Yes</w:t>
            </w:r>
          </w:p>
        </w:tc>
        <w:tc>
          <w:tcPr>
            <w:tcW w:w="1036" w:type="dxa"/>
            <w:vAlign w:val="center"/>
          </w:tcPr>
          <w:p w14:paraId="34E312F8" w14:textId="77777777" w:rsidR="008679A1" w:rsidRPr="00A77178" w:rsidRDefault="008679A1" w:rsidP="00011785">
            <w:pPr>
              <w:pStyle w:val="Tabletext"/>
              <w:jc w:val="center"/>
              <w:rPr>
                <w:noProof/>
              </w:rPr>
            </w:pPr>
            <w:r w:rsidRPr="00A77178">
              <w:rPr>
                <w:noProof/>
              </w:rPr>
              <w:t>Yes</w:t>
            </w:r>
          </w:p>
        </w:tc>
        <w:tc>
          <w:tcPr>
            <w:tcW w:w="909" w:type="dxa"/>
            <w:vAlign w:val="center"/>
          </w:tcPr>
          <w:p w14:paraId="065B908F" w14:textId="77777777" w:rsidR="008679A1" w:rsidRPr="00A77178" w:rsidRDefault="008679A1" w:rsidP="00011785">
            <w:pPr>
              <w:pStyle w:val="Tabletext"/>
              <w:jc w:val="center"/>
              <w:rPr>
                <w:noProof/>
              </w:rPr>
            </w:pPr>
            <w:r w:rsidRPr="00A77178">
              <w:rPr>
                <w:noProof/>
              </w:rPr>
              <w:t>Yes</w:t>
            </w:r>
          </w:p>
        </w:tc>
        <w:tc>
          <w:tcPr>
            <w:tcW w:w="967" w:type="dxa"/>
            <w:vAlign w:val="center"/>
          </w:tcPr>
          <w:p w14:paraId="01C576F9" w14:textId="77777777" w:rsidR="008679A1" w:rsidRPr="00A77178" w:rsidRDefault="008679A1" w:rsidP="00011785">
            <w:pPr>
              <w:pStyle w:val="Tabletext"/>
              <w:jc w:val="center"/>
              <w:rPr>
                <w:noProof/>
              </w:rPr>
            </w:pPr>
          </w:p>
        </w:tc>
        <w:tc>
          <w:tcPr>
            <w:tcW w:w="1868" w:type="dxa"/>
            <w:vAlign w:val="center"/>
          </w:tcPr>
          <w:p w14:paraId="0F71EAB4" w14:textId="77777777" w:rsidR="008679A1" w:rsidRPr="00A77178" w:rsidRDefault="008679A1" w:rsidP="00011785">
            <w:pPr>
              <w:pStyle w:val="Tabletext"/>
              <w:jc w:val="center"/>
              <w:rPr>
                <w:noProof/>
              </w:rPr>
            </w:pPr>
            <w:r w:rsidRPr="00A77178">
              <w:rPr>
                <w:noProof/>
              </w:rPr>
              <w:t>12 500 and 25 000 Hz (channel width dependent)</w:t>
            </w:r>
          </w:p>
        </w:tc>
        <w:tc>
          <w:tcPr>
            <w:tcW w:w="2414" w:type="dxa"/>
            <w:vAlign w:val="center"/>
          </w:tcPr>
          <w:p w14:paraId="2045B05F" w14:textId="77777777" w:rsidR="008679A1" w:rsidRPr="00A77178" w:rsidRDefault="008679A1" w:rsidP="00011785">
            <w:pPr>
              <w:pStyle w:val="Tabletext"/>
              <w:rPr>
                <w:noProof/>
              </w:rPr>
            </w:pPr>
            <w:r w:rsidRPr="00A77178">
              <w:rPr>
                <w:noProof/>
              </w:rPr>
              <w:t>Local neighbourhood communications.</w:t>
            </w:r>
          </w:p>
          <w:p w14:paraId="2C8BE0BD" w14:textId="77777777" w:rsidR="008679A1" w:rsidRPr="00A77178" w:rsidRDefault="008679A1" w:rsidP="00011785">
            <w:pPr>
              <w:pStyle w:val="Tabletext"/>
              <w:rPr>
                <w:noProof/>
              </w:rPr>
            </w:pPr>
            <w:r w:rsidRPr="00A77178">
              <w:rPr>
                <w:noProof/>
              </w:rPr>
              <w:t>Satellite communications.</w:t>
            </w:r>
          </w:p>
        </w:tc>
      </w:tr>
      <w:tr w:rsidR="008679A1" w:rsidRPr="00A77178" w14:paraId="656A6DC7" w14:textId="77777777" w:rsidTr="00011785">
        <w:trPr>
          <w:cantSplit/>
          <w:jc w:val="center"/>
        </w:trPr>
        <w:tc>
          <w:tcPr>
            <w:tcW w:w="1591" w:type="dxa"/>
            <w:vAlign w:val="center"/>
          </w:tcPr>
          <w:p w14:paraId="7188566C" w14:textId="77777777" w:rsidR="008679A1" w:rsidRPr="00A77178" w:rsidRDefault="008679A1" w:rsidP="00011785">
            <w:pPr>
              <w:pStyle w:val="Tabletext"/>
              <w:rPr>
                <w:noProof/>
              </w:rPr>
            </w:pPr>
            <w:r w:rsidRPr="00A77178">
              <w:rPr>
                <w:noProof/>
              </w:rPr>
              <w:t>Voice (Digital)</w:t>
            </w:r>
          </w:p>
        </w:tc>
        <w:tc>
          <w:tcPr>
            <w:tcW w:w="854" w:type="dxa"/>
            <w:vAlign w:val="center"/>
          </w:tcPr>
          <w:p w14:paraId="16686592" w14:textId="77777777" w:rsidR="008679A1" w:rsidRPr="00A77178" w:rsidRDefault="008679A1" w:rsidP="00011785">
            <w:pPr>
              <w:pStyle w:val="Tabletext"/>
              <w:jc w:val="center"/>
              <w:rPr>
                <w:noProof/>
              </w:rPr>
            </w:pPr>
            <w:r w:rsidRPr="00A77178">
              <w:rPr>
                <w:noProof/>
              </w:rPr>
              <w:t>Yes</w:t>
            </w:r>
          </w:p>
        </w:tc>
        <w:tc>
          <w:tcPr>
            <w:tcW w:w="1036" w:type="dxa"/>
            <w:vAlign w:val="center"/>
          </w:tcPr>
          <w:p w14:paraId="3E0D6117" w14:textId="77777777" w:rsidR="008679A1" w:rsidRPr="00A77178" w:rsidRDefault="008679A1" w:rsidP="00011785">
            <w:pPr>
              <w:pStyle w:val="Tabletext"/>
              <w:jc w:val="center"/>
              <w:rPr>
                <w:noProof/>
              </w:rPr>
            </w:pPr>
          </w:p>
        </w:tc>
        <w:tc>
          <w:tcPr>
            <w:tcW w:w="909" w:type="dxa"/>
            <w:vAlign w:val="center"/>
          </w:tcPr>
          <w:p w14:paraId="22527B09" w14:textId="77777777" w:rsidR="008679A1" w:rsidRPr="00A77178" w:rsidRDefault="008679A1" w:rsidP="00011785">
            <w:pPr>
              <w:pStyle w:val="Tabletext"/>
              <w:jc w:val="center"/>
              <w:rPr>
                <w:noProof/>
              </w:rPr>
            </w:pPr>
            <w:r w:rsidRPr="00A77178">
              <w:rPr>
                <w:noProof/>
              </w:rPr>
              <w:t>Yes</w:t>
            </w:r>
          </w:p>
        </w:tc>
        <w:tc>
          <w:tcPr>
            <w:tcW w:w="967" w:type="dxa"/>
            <w:vAlign w:val="center"/>
          </w:tcPr>
          <w:p w14:paraId="5146CD47" w14:textId="77777777" w:rsidR="008679A1" w:rsidRPr="00A77178" w:rsidRDefault="008679A1" w:rsidP="00011785">
            <w:pPr>
              <w:pStyle w:val="Tabletext"/>
              <w:jc w:val="center"/>
              <w:rPr>
                <w:noProof/>
              </w:rPr>
            </w:pPr>
          </w:p>
        </w:tc>
        <w:tc>
          <w:tcPr>
            <w:tcW w:w="1868" w:type="dxa"/>
            <w:vAlign w:val="center"/>
          </w:tcPr>
          <w:p w14:paraId="243E01CC" w14:textId="77777777" w:rsidR="008679A1" w:rsidRPr="00A77178" w:rsidRDefault="008679A1" w:rsidP="00011785">
            <w:pPr>
              <w:pStyle w:val="Tabletext"/>
              <w:jc w:val="center"/>
              <w:rPr>
                <w:noProof/>
              </w:rPr>
            </w:pPr>
            <w:r w:rsidRPr="00A77178">
              <w:rPr>
                <w:noProof/>
              </w:rPr>
              <w:t>12 500 Hz</w:t>
            </w:r>
          </w:p>
        </w:tc>
        <w:tc>
          <w:tcPr>
            <w:tcW w:w="2414" w:type="dxa"/>
            <w:vAlign w:val="center"/>
          </w:tcPr>
          <w:p w14:paraId="79D7C340" w14:textId="77777777" w:rsidR="008679A1" w:rsidRPr="00A77178" w:rsidRDefault="008679A1" w:rsidP="00011785">
            <w:pPr>
              <w:pStyle w:val="Tabletext"/>
              <w:rPr>
                <w:noProof/>
              </w:rPr>
            </w:pPr>
            <w:r w:rsidRPr="00A77178">
              <w:rPr>
                <w:noProof/>
              </w:rPr>
              <w:t>Local neighbourhood communications</w:t>
            </w:r>
          </w:p>
        </w:tc>
      </w:tr>
      <w:tr w:rsidR="008679A1" w:rsidRPr="00A77178" w14:paraId="1EA4AACF" w14:textId="77777777" w:rsidTr="00011785">
        <w:trPr>
          <w:cantSplit/>
          <w:jc w:val="center"/>
        </w:trPr>
        <w:tc>
          <w:tcPr>
            <w:tcW w:w="1591" w:type="dxa"/>
            <w:vAlign w:val="center"/>
          </w:tcPr>
          <w:p w14:paraId="3F024B20" w14:textId="77777777" w:rsidR="008679A1" w:rsidRPr="00A77178" w:rsidRDefault="008679A1" w:rsidP="00011785">
            <w:pPr>
              <w:pStyle w:val="Tabletext"/>
              <w:rPr>
                <w:noProof/>
              </w:rPr>
            </w:pPr>
            <w:r w:rsidRPr="00A77178">
              <w:rPr>
                <w:noProof/>
              </w:rPr>
              <w:t>Telegraphy (Morse code On/Off keying)</w:t>
            </w:r>
          </w:p>
        </w:tc>
        <w:tc>
          <w:tcPr>
            <w:tcW w:w="854" w:type="dxa"/>
            <w:vAlign w:val="center"/>
          </w:tcPr>
          <w:p w14:paraId="5608F0AD" w14:textId="77777777" w:rsidR="008679A1" w:rsidRPr="00A77178" w:rsidRDefault="008679A1" w:rsidP="00011785">
            <w:pPr>
              <w:pStyle w:val="Tabletext"/>
              <w:jc w:val="center"/>
              <w:rPr>
                <w:noProof/>
              </w:rPr>
            </w:pPr>
            <w:r w:rsidRPr="00A77178">
              <w:rPr>
                <w:noProof/>
              </w:rPr>
              <w:t>Yes</w:t>
            </w:r>
          </w:p>
        </w:tc>
        <w:tc>
          <w:tcPr>
            <w:tcW w:w="1036" w:type="dxa"/>
            <w:vAlign w:val="center"/>
          </w:tcPr>
          <w:p w14:paraId="300605D3" w14:textId="77777777" w:rsidR="008679A1" w:rsidRPr="00A77178" w:rsidRDefault="008679A1" w:rsidP="00011785">
            <w:pPr>
              <w:pStyle w:val="Tabletext"/>
              <w:jc w:val="center"/>
              <w:rPr>
                <w:noProof/>
              </w:rPr>
            </w:pPr>
            <w:r w:rsidRPr="00A77178">
              <w:rPr>
                <w:noProof/>
              </w:rPr>
              <w:t>Yes</w:t>
            </w:r>
          </w:p>
        </w:tc>
        <w:tc>
          <w:tcPr>
            <w:tcW w:w="909" w:type="dxa"/>
            <w:vAlign w:val="center"/>
          </w:tcPr>
          <w:p w14:paraId="721A357C" w14:textId="77777777" w:rsidR="008679A1" w:rsidRPr="00A77178" w:rsidRDefault="008679A1" w:rsidP="00011785">
            <w:pPr>
              <w:pStyle w:val="Tabletext"/>
              <w:jc w:val="center"/>
              <w:rPr>
                <w:noProof/>
              </w:rPr>
            </w:pPr>
          </w:p>
        </w:tc>
        <w:tc>
          <w:tcPr>
            <w:tcW w:w="967" w:type="dxa"/>
            <w:vAlign w:val="center"/>
          </w:tcPr>
          <w:p w14:paraId="7282BAF9" w14:textId="77777777" w:rsidR="008679A1" w:rsidRPr="00A77178" w:rsidRDefault="008679A1" w:rsidP="00011785">
            <w:pPr>
              <w:pStyle w:val="Tabletext"/>
              <w:jc w:val="center"/>
              <w:rPr>
                <w:noProof/>
              </w:rPr>
            </w:pPr>
            <w:r w:rsidRPr="00A77178">
              <w:rPr>
                <w:noProof/>
              </w:rPr>
              <w:t>Yes</w:t>
            </w:r>
          </w:p>
        </w:tc>
        <w:tc>
          <w:tcPr>
            <w:tcW w:w="1868" w:type="dxa"/>
            <w:vAlign w:val="center"/>
          </w:tcPr>
          <w:p w14:paraId="1C4BD613" w14:textId="77777777" w:rsidR="008679A1" w:rsidRPr="00A77178" w:rsidRDefault="008679A1" w:rsidP="00011785">
            <w:pPr>
              <w:pStyle w:val="Tabletext"/>
              <w:jc w:val="center"/>
              <w:rPr>
                <w:noProof/>
              </w:rPr>
            </w:pPr>
            <w:r w:rsidRPr="00A77178">
              <w:rPr>
                <w:noProof/>
              </w:rPr>
              <w:t>500 Hz</w:t>
            </w:r>
          </w:p>
        </w:tc>
        <w:tc>
          <w:tcPr>
            <w:tcW w:w="2414" w:type="dxa"/>
            <w:vAlign w:val="center"/>
          </w:tcPr>
          <w:p w14:paraId="246054DF" w14:textId="77777777" w:rsidR="008679A1" w:rsidRPr="00A77178" w:rsidRDefault="008679A1" w:rsidP="00011785">
            <w:pPr>
              <w:pStyle w:val="Tabletext"/>
              <w:rPr>
                <w:noProof/>
              </w:rPr>
            </w:pPr>
            <w:r w:rsidRPr="00A77178">
              <w:rPr>
                <w:noProof/>
              </w:rPr>
              <w:t>Long distance tropospheric weak signal communications. Radiosport</w:t>
            </w:r>
            <w:r w:rsidRPr="009652BD">
              <w:rPr>
                <w:rStyle w:val="FootnoteReference"/>
                <w:noProof/>
                <w:sz w:val="14"/>
                <w:szCs w:val="14"/>
              </w:rPr>
              <w:footnoteReference w:id="1"/>
            </w:r>
            <w:r w:rsidRPr="00A77178">
              <w:rPr>
                <w:noProof/>
              </w:rPr>
              <w:t xml:space="preserve"> operation (incl. EME).</w:t>
            </w:r>
          </w:p>
        </w:tc>
      </w:tr>
      <w:tr w:rsidR="008679A1" w:rsidRPr="00A77178" w14:paraId="67CECF76" w14:textId="77777777" w:rsidTr="00011785">
        <w:trPr>
          <w:cantSplit/>
          <w:jc w:val="center"/>
        </w:trPr>
        <w:tc>
          <w:tcPr>
            <w:tcW w:w="1591" w:type="dxa"/>
            <w:vAlign w:val="center"/>
          </w:tcPr>
          <w:p w14:paraId="2E3978BA" w14:textId="77777777" w:rsidR="008679A1" w:rsidRPr="00A77178" w:rsidRDefault="008679A1" w:rsidP="00011785">
            <w:pPr>
              <w:pStyle w:val="Tabletext"/>
              <w:rPr>
                <w:noProof/>
                <w:color w:val="000000" w:themeColor="text1"/>
              </w:rPr>
            </w:pPr>
            <w:r w:rsidRPr="00A77178">
              <w:rPr>
                <w:noProof/>
                <w:color w:val="000000" w:themeColor="text1"/>
              </w:rPr>
              <w:t>Machine Generated Modes e.g. RTTY, SSTV</w:t>
            </w:r>
            <w:r w:rsidRPr="009652BD">
              <w:rPr>
                <w:rStyle w:val="FootnoteReference"/>
                <w:noProof/>
                <w:color w:val="000000" w:themeColor="text1"/>
                <w:sz w:val="14"/>
                <w:szCs w:val="14"/>
              </w:rPr>
              <w:footnoteReference w:id="2"/>
            </w:r>
            <w:r w:rsidRPr="00A77178">
              <w:rPr>
                <w:noProof/>
                <w:color w:val="000000" w:themeColor="text1"/>
              </w:rPr>
              <w:t>, PSK31</w:t>
            </w:r>
            <w:r w:rsidRPr="009652BD">
              <w:rPr>
                <w:rStyle w:val="FootnoteReference"/>
                <w:noProof/>
                <w:color w:val="000000" w:themeColor="text1"/>
                <w:sz w:val="14"/>
                <w:szCs w:val="14"/>
              </w:rPr>
              <w:footnoteReference w:id="3"/>
            </w:r>
            <w:r w:rsidRPr="00A77178">
              <w:rPr>
                <w:noProof/>
                <w:color w:val="000000" w:themeColor="text1"/>
              </w:rPr>
              <w:t>, WSJT</w:t>
            </w:r>
            <w:r w:rsidRPr="00A77178">
              <w:rPr>
                <w:rStyle w:val="FootnoteReference"/>
                <w:noProof/>
                <w:color w:val="000000" w:themeColor="text1"/>
                <w:sz w:val="14"/>
                <w:szCs w:val="14"/>
              </w:rPr>
              <w:footnoteReference w:id="4"/>
            </w:r>
            <w:r w:rsidRPr="00A77178">
              <w:rPr>
                <w:noProof/>
                <w:color w:val="000000" w:themeColor="text1"/>
              </w:rPr>
              <w:t xml:space="preserve"> </w:t>
            </w:r>
          </w:p>
        </w:tc>
        <w:tc>
          <w:tcPr>
            <w:tcW w:w="854" w:type="dxa"/>
            <w:vAlign w:val="center"/>
          </w:tcPr>
          <w:p w14:paraId="6DD953E1" w14:textId="77777777" w:rsidR="008679A1" w:rsidRPr="00A77178" w:rsidRDefault="008679A1" w:rsidP="00011785">
            <w:pPr>
              <w:pStyle w:val="Tabletext"/>
              <w:jc w:val="center"/>
              <w:rPr>
                <w:noProof/>
                <w:color w:val="000000" w:themeColor="text1"/>
              </w:rPr>
            </w:pPr>
            <w:r w:rsidRPr="00A77178">
              <w:rPr>
                <w:noProof/>
                <w:color w:val="000000" w:themeColor="text1"/>
              </w:rPr>
              <w:t>Yes</w:t>
            </w:r>
          </w:p>
        </w:tc>
        <w:tc>
          <w:tcPr>
            <w:tcW w:w="1036" w:type="dxa"/>
            <w:vAlign w:val="center"/>
          </w:tcPr>
          <w:p w14:paraId="4573D68C" w14:textId="77777777" w:rsidR="008679A1" w:rsidRPr="00A77178" w:rsidRDefault="008679A1" w:rsidP="00011785">
            <w:pPr>
              <w:pStyle w:val="Tabletext"/>
              <w:jc w:val="center"/>
              <w:rPr>
                <w:noProof/>
                <w:color w:val="000000" w:themeColor="text1"/>
              </w:rPr>
            </w:pPr>
            <w:r w:rsidRPr="00A77178">
              <w:rPr>
                <w:noProof/>
                <w:color w:val="000000" w:themeColor="text1"/>
              </w:rPr>
              <w:t>Yes</w:t>
            </w:r>
          </w:p>
        </w:tc>
        <w:tc>
          <w:tcPr>
            <w:tcW w:w="909" w:type="dxa"/>
            <w:vAlign w:val="center"/>
          </w:tcPr>
          <w:p w14:paraId="07FAA3C9" w14:textId="77777777" w:rsidR="008679A1" w:rsidRPr="00A77178" w:rsidRDefault="008679A1" w:rsidP="00011785">
            <w:pPr>
              <w:pStyle w:val="Tabletext"/>
              <w:jc w:val="center"/>
              <w:rPr>
                <w:noProof/>
                <w:color w:val="000000" w:themeColor="text1"/>
              </w:rPr>
            </w:pPr>
          </w:p>
        </w:tc>
        <w:tc>
          <w:tcPr>
            <w:tcW w:w="967" w:type="dxa"/>
            <w:vAlign w:val="center"/>
          </w:tcPr>
          <w:p w14:paraId="356A1137" w14:textId="77777777" w:rsidR="008679A1" w:rsidRPr="00A77178" w:rsidRDefault="008679A1" w:rsidP="00011785">
            <w:pPr>
              <w:pStyle w:val="Tabletext"/>
              <w:jc w:val="center"/>
              <w:rPr>
                <w:noProof/>
                <w:color w:val="000000" w:themeColor="text1"/>
              </w:rPr>
            </w:pPr>
            <w:r w:rsidRPr="00A77178">
              <w:rPr>
                <w:noProof/>
                <w:color w:val="000000" w:themeColor="text1"/>
              </w:rPr>
              <w:t>Yes</w:t>
            </w:r>
          </w:p>
        </w:tc>
        <w:tc>
          <w:tcPr>
            <w:tcW w:w="1868" w:type="dxa"/>
            <w:vAlign w:val="center"/>
          </w:tcPr>
          <w:p w14:paraId="4123317D" w14:textId="77777777" w:rsidR="008679A1" w:rsidRPr="00A77178" w:rsidRDefault="008679A1" w:rsidP="00011785">
            <w:pPr>
              <w:pStyle w:val="Tabletext"/>
              <w:jc w:val="center"/>
              <w:rPr>
                <w:noProof/>
                <w:color w:val="000000" w:themeColor="text1"/>
              </w:rPr>
            </w:pPr>
            <w:r w:rsidRPr="00A77178">
              <w:rPr>
                <w:noProof/>
                <w:color w:val="000000" w:themeColor="text1"/>
              </w:rPr>
              <w:t>6 to 2 700 Hz</w:t>
            </w:r>
          </w:p>
          <w:p w14:paraId="7E2E5F53" w14:textId="77777777" w:rsidR="008679A1" w:rsidRPr="00A77178" w:rsidRDefault="008679A1" w:rsidP="00011785">
            <w:pPr>
              <w:pStyle w:val="Tabletext"/>
              <w:jc w:val="center"/>
              <w:rPr>
                <w:noProof/>
                <w:color w:val="000000" w:themeColor="text1"/>
              </w:rPr>
            </w:pPr>
            <w:r w:rsidRPr="00A77178">
              <w:rPr>
                <w:noProof/>
                <w:color w:val="000000" w:themeColor="text1"/>
              </w:rPr>
              <w:t>Mode dependent</w:t>
            </w:r>
          </w:p>
        </w:tc>
        <w:tc>
          <w:tcPr>
            <w:tcW w:w="2414" w:type="dxa"/>
            <w:vAlign w:val="center"/>
          </w:tcPr>
          <w:p w14:paraId="540BE7F7" w14:textId="77777777" w:rsidR="008679A1" w:rsidRPr="00A77178" w:rsidRDefault="008679A1" w:rsidP="00011785">
            <w:pPr>
              <w:pStyle w:val="Tabletext"/>
              <w:rPr>
                <w:noProof/>
                <w:color w:val="000000" w:themeColor="text1"/>
              </w:rPr>
            </w:pPr>
            <w:r w:rsidRPr="00A77178">
              <w:rPr>
                <w:noProof/>
                <w:color w:val="000000" w:themeColor="text1"/>
              </w:rPr>
              <w:t>Local and long distance tropospheric weak signal communications. (incl. EME). Imaging</w:t>
            </w:r>
          </w:p>
        </w:tc>
      </w:tr>
      <w:tr w:rsidR="008679A1" w:rsidRPr="00A77178" w14:paraId="1C89101C" w14:textId="77777777" w:rsidTr="00011785">
        <w:trPr>
          <w:cantSplit/>
          <w:jc w:val="center"/>
        </w:trPr>
        <w:tc>
          <w:tcPr>
            <w:tcW w:w="1591" w:type="dxa"/>
            <w:vAlign w:val="center"/>
          </w:tcPr>
          <w:p w14:paraId="03F9CED1" w14:textId="77777777" w:rsidR="008679A1" w:rsidRPr="00A77178" w:rsidRDefault="008679A1" w:rsidP="00011785">
            <w:pPr>
              <w:pStyle w:val="Tabletext"/>
              <w:rPr>
                <w:noProof/>
                <w:color w:val="000000" w:themeColor="text1"/>
              </w:rPr>
            </w:pPr>
            <w:r w:rsidRPr="00A77178">
              <w:rPr>
                <w:noProof/>
                <w:color w:val="000000" w:themeColor="text1"/>
              </w:rPr>
              <w:lastRenderedPageBreak/>
              <w:t>Data e.g. AFSK 1k2, FSK 9k6, D</w:t>
            </w:r>
            <w:r w:rsidRPr="00A77178">
              <w:rPr>
                <w:noProof/>
                <w:color w:val="000000" w:themeColor="text1"/>
              </w:rPr>
              <w:noBreakHyphen/>
              <w:t>STAR</w:t>
            </w:r>
            <w:r w:rsidRPr="009652BD">
              <w:rPr>
                <w:rStyle w:val="FootnoteReference"/>
                <w:noProof/>
                <w:color w:val="000000" w:themeColor="text1"/>
                <w:sz w:val="14"/>
                <w:szCs w:val="14"/>
              </w:rPr>
              <w:footnoteReference w:id="5"/>
            </w:r>
            <w:r w:rsidRPr="00A77178">
              <w:rPr>
                <w:noProof/>
                <w:color w:val="000000" w:themeColor="text1"/>
              </w:rPr>
              <w:t>, Digital Data 128 kbit/s</w:t>
            </w:r>
          </w:p>
        </w:tc>
        <w:tc>
          <w:tcPr>
            <w:tcW w:w="854" w:type="dxa"/>
            <w:vAlign w:val="center"/>
          </w:tcPr>
          <w:p w14:paraId="217FDF73" w14:textId="77777777" w:rsidR="008679A1" w:rsidRPr="00A77178" w:rsidRDefault="008679A1" w:rsidP="00011785">
            <w:pPr>
              <w:pStyle w:val="Tabletext"/>
              <w:jc w:val="center"/>
              <w:rPr>
                <w:noProof/>
                <w:color w:val="000000" w:themeColor="text1"/>
              </w:rPr>
            </w:pPr>
            <w:r w:rsidRPr="00A77178">
              <w:rPr>
                <w:noProof/>
                <w:color w:val="000000" w:themeColor="text1"/>
              </w:rPr>
              <w:t>Yes</w:t>
            </w:r>
          </w:p>
        </w:tc>
        <w:tc>
          <w:tcPr>
            <w:tcW w:w="1036" w:type="dxa"/>
            <w:vAlign w:val="center"/>
          </w:tcPr>
          <w:p w14:paraId="41AC091B" w14:textId="77777777" w:rsidR="008679A1" w:rsidRPr="00A77178" w:rsidRDefault="008679A1" w:rsidP="00011785">
            <w:pPr>
              <w:pStyle w:val="Tabletext"/>
              <w:jc w:val="center"/>
              <w:rPr>
                <w:noProof/>
                <w:color w:val="000000" w:themeColor="text1"/>
              </w:rPr>
            </w:pPr>
            <w:r w:rsidRPr="00A77178">
              <w:rPr>
                <w:noProof/>
                <w:color w:val="000000" w:themeColor="text1"/>
              </w:rPr>
              <w:t>Yes (Mobile)</w:t>
            </w:r>
          </w:p>
        </w:tc>
        <w:tc>
          <w:tcPr>
            <w:tcW w:w="909" w:type="dxa"/>
            <w:vAlign w:val="center"/>
          </w:tcPr>
          <w:p w14:paraId="7FE631D6" w14:textId="77777777" w:rsidR="008679A1" w:rsidRPr="00A77178" w:rsidRDefault="008679A1" w:rsidP="00011785">
            <w:pPr>
              <w:pStyle w:val="Tabletext"/>
              <w:jc w:val="center"/>
              <w:rPr>
                <w:noProof/>
                <w:color w:val="000000" w:themeColor="text1"/>
              </w:rPr>
            </w:pPr>
            <w:r w:rsidRPr="00A77178">
              <w:rPr>
                <w:noProof/>
                <w:color w:val="000000" w:themeColor="text1"/>
              </w:rPr>
              <w:t>Yes</w:t>
            </w:r>
          </w:p>
        </w:tc>
        <w:tc>
          <w:tcPr>
            <w:tcW w:w="967" w:type="dxa"/>
            <w:vAlign w:val="center"/>
          </w:tcPr>
          <w:p w14:paraId="3D12E790" w14:textId="77777777" w:rsidR="008679A1" w:rsidRPr="00A77178" w:rsidRDefault="008679A1" w:rsidP="00011785">
            <w:pPr>
              <w:pStyle w:val="Tabletext"/>
              <w:jc w:val="center"/>
              <w:rPr>
                <w:noProof/>
                <w:color w:val="000000" w:themeColor="text1"/>
              </w:rPr>
            </w:pPr>
          </w:p>
        </w:tc>
        <w:tc>
          <w:tcPr>
            <w:tcW w:w="1868" w:type="dxa"/>
            <w:vAlign w:val="center"/>
          </w:tcPr>
          <w:p w14:paraId="194A4CDE" w14:textId="77777777" w:rsidR="008679A1" w:rsidRPr="00A77178" w:rsidRDefault="008679A1" w:rsidP="00011785">
            <w:pPr>
              <w:pStyle w:val="Tabletext"/>
              <w:jc w:val="center"/>
              <w:rPr>
                <w:noProof/>
                <w:color w:val="000000" w:themeColor="text1"/>
              </w:rPr>
            </w:pPr>
            <w:r w:rsidRPr="00A77178">
              <w:rPr>
                <w:noProof/>
                <w:color w:val="000000" w:themeColor="text1"/>
              </w:rPr>
              <w:t>12.5 to 150 kHz</w:t>
            </w:r>
          </w:p>
          <w:p w14:paraId="5273940C" w14:textId="77777777" w:rsidR="008679A1" w:rsidRPr="00A77178" w:rsidRDefault="008679A1" w:rsidP="00011785">
            <w:pPr>
              <w:pStyle w:val="Tabletext"/>
              <w:jc w:val="center"/>
              <w:rPr>
                <w:noProof/>
                <w:color w:val="000000" w:themeColor="text1"/>
              </w:rPr>
            </w:pPr>
            <w:r w:rsidRPr="00A77178">
              <w:rPr>
                <w:noProof/>
                <w:color w:val="000000" w:themeColor="text1"/>
              </w:rPr>
              <w:t>Mode dependent</w:t>
            </w:r>
          </w:p>
        </w:tc>
        <w:tc>
          <w:tcPr>
            <w:tcW w:w="2414" w:type="dxa"/>
            <w:vAlign w:val="center"/>
          </w:tcPr>
          <w:p w14:paraId="3703816D" w14:textId="77777777" w:rsidR="008679A1" w:rsidRPr="00A77178" w:rsidRDefault="008679A1" w:rsidP="00011785">
            <w:pPr>
              <w:pStyle w:val="Tabletext"/>
              <w:rPr>
                <w:noProof/>
                <w:color w:val="000000" w:themeColor="text1"/>
              </w:rPr>
            </w:pPr>
            <w:r w:rsidRPr="00A77178">
              <w:rPr>
                <w:noProof/>
                <w:color w:val="000000" w:themeColor="text1"/>
              </w:rPr>
              <w:t>Local neighbourhood communication links.</w:t>
            </w:r>
          </w:p>
        </w:tc>
      </w:tr>
    </w:tbl>
    <w:p w14:paraId="513BD006" w14:textId="77777777" w:rsidR="008679A1" w:rsidRPr="00A77178" w:rsidRDefault="008679A1" w:rsidP="008679A1">
      <w:pPr>
        <w:pStyle w:val="Tablefin"/>
        <w:rPr>
          <w:noProof/>
        </w:rPr>
      </w:pPr>
    </w:p>
    <w:p w14:paraId="7EA84573" w14:textId="1C476C20" w:rsidR="008679A1" w:rsidRPr="00A77178" w:rsidRDefault="008679A1" w:rsidP="008679A1">
      <w:pPr>
        <w:pStyle w:val="TableNo"/>
        <w:rPr>
          <w:noProof/>
        </w:rPr>
      </w:pPr>
      <w:r w:rsidRPr="00A77178">
        <w:rPr>
          <w:noProof/>
        </w:rPr>
        <w:t>Table 3</w:t>
      </w:r>
    </w:p>
    <w:p w14:paraId="187D53BA" w14:textId="77777777" w:rsidR="008679A1" w:rsidRPr="00A77178" w:rsidRDefault="008679A1" w:rsidP="008679A1">
      <w:pPr>
        <w:pStyle w:val="Tabletitle"/>
        <w:rPr>
          <w:noProof/>
        </w:rPr>
      </w:pPr>
      <w:r w:rsidRPr="00A77178">
        <w:rPr>
          <w:noProof/>
        </w:rPr>
        <w:t>Wide band amateur applications against the station category</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1555"/>
        <w:gridCol w:w="850"/>
        <w:gridCol w:w="1134"/>
        <w:gridCol w:w="851"/>
        <w:gridCol w:w="992"/>
        <w:gridCol w:w="1843"/>
        <w:gridCol w:w="2414"/>
      </w:tblGrid>
      <w:tr w:rsidR="008679A1" w:rsidRPr="00A77178" w14:paraId="1612EA54" w14:textId="77777777" w:rsidTr="00011785">
        <w:trPr>
          <w:cantSplit/>
          <w:jc w:val="center"/>
        </w:trPr>
        <w:tc>
          <w:tcPr>
            <w:tcW w:w="1555" w:type="dxa"/>
            <w:vMerge w:val="restart"/>
            <w:vAlign w:val="center"/>
          </w:tcPr>
          <w:p w14:paraId="1B01BF4B" w14:textId="77777777" w:rsidR="008679A1" w:rsidRPr="00A77178" w:rsidRDefault="008679A1" w:rsidP="00011785">
            <w:pPr>
              <w:pStyle w:val="Tablehead"/>
              <w:rPr>
                <w:noProof/>
              </w:rPr>
            </w:pPr>
            <w:r w:rsidRPr="00A77178">
              <w:rPr>
                <w:noProof/>
              </w:rPr>
              <w:t>Application</w:t>
            </w:r>
          </w:p>
        </w:tc>
        <w:tc>
          <w:tcPr>
            <w:tcW w:w="3827" w:type="dxa"/>
            <w:gridSpan w:val="4"/>
            <w:vAlign w:val="center"/>
          </w:tcPr>
          <w:p w14:paraId="2D1466FB" w14:textId="77777777" w:rsidR="008679A1" w:rsidRPr="00A77178" w:rsidRDefault="008679A1" w:rsidP="00011785">
            <w:pPr>
              <w:pStyle w:val="Tablehead"/>
              <w:rPr>
                <w:noProof/>
              </w:rPr>
            </w:pPr>
            <w:r w:rsidRPr="00A77178">
              <w:rPr>
                <w:noProof/>
              </w:rPr>
              <w:t>Station type</w:t>
            </w:r>
          </w:p>
        </w:tc>
        <w:tc>
          <w:tcPr>
            <w:tcW w:w="1843" w:type="dxa"/>
            <w:vMerge w:val="restart"/>
            <w:vAlign w:val="center"/>
          </w:tcPr>
          <w:p w14:paraId="02BF70A5" w14:textId="77777777" w:rsidR="008679A1" w:rsidRPr="00A77178" w:rsidRDefault="008679A1" w:rsidP="00011785">
            <w:pPr>
              <w:pStyle w:val="Tablehead"/>
              <w:rPr>
                <w:noProof/>
              </w:rPr>
            </w:pPr>
            <w:r w:rsidRPr="00A77178">
              <w:rPr>
                <w:noProof/>
              </w:rPr>
              <w:t>Max. bandwidth</w:t>
            </w:r>
          </w:p>
        </w:tc>
        <w:tc>
          <w:tcPr>
            <w:tcW w:w="2414" w:type="dxa"/>
            <w:vMerge w:val="restart"/>
            <w:vAlign w:val="center"/>
          </w:tcPr>
          <w:p w14:paraId="05512C08" w14:textId="77777777" w:rsidR="008679A1" w:rsidRPr="00A77178" w:rsidRDefault="008679A1" w:rsidP="00011785">
            <w:pPr>
              <w:pStyle w:val="Tablehead"/>
              <w:rPr>
                <w:noProof/>
              </w:rPr>
            </w:pPr>
            <w:r w:rsidRPr="00A77178">
              <w:rPr>
                <w:noProof/>
              </w:rPr>
              <w:t>Comments</w:t>
            </w:r>
          </w:p>
        </w:tc>
      </w:tr>
      <w:tr w:rsidR="008679A1" w:rsidRPr="00A77178" w14:paraId="72547A42" w14:textId="77777777" w:rsidTr="00011785">
        <w:trPr>
          <w:cantSplit/>
          <w:jc w:val="center"/>
        </w:trPr>
        <w:tc>
          <w:tcPr>
            <w:tcW w:w="1555" w:type="dxa"/>
            <w:vMerge/>
            <w:vAlign w:val="center"/>
          </w:tcPr>
          <w:p w14:paraId="6EB4648E" w14:textId="77777777" w:rsidR="008679A1" w:rsidRPr="00A77178" w:rsidRDefault="008679A1" w:rsidP="00011785">
            <w:pPr>
              <w:pStyle w:val="Tablehead"/>
              <w:rPr>
                <w:noProof/>
              </w:rPr>
            </w:pPr>
          </w:p>
        </w:tc>
        <w:tc>
          <w:tcPr>
            <w:tcW w:w="850" w:type="dxa"/>
            <w:vMerge w:val="restart"/>
            <w:vAlign w:val="center"/>
          </w:tcPr>
          <w:p w14:paraId="19829A8E" w14:textId="77777777" w:rsidR="008679A1" w:rsidRPr="00A77178" w:rsidRDefault="008679A1" w:rsidP="00011785">
            <w:pPr>
              <w:pStyle w:val="Tablehead"/>
              <w:rPr>
                <w:rStyle w:val="ECCHLbold"/>
                <w:noProof/>
              </w:rPr>
            </w:pPr>
            <w:r w:rsidRPr="00A77178">
              <w:rPr>
                <w:rStyle w:val="ECCHLbold"/>
                <w:noProof/>
              </w:rPr>
              <w:t>Home</w:t>
            </w:r>
          </w:p>
        </w:tc>
        <w:tc>
          <w:tcPr>
            <w:tcW w:w="1134" w:type="dxa"/>
            <w:vMerge w:val="restart"/>
            <w:vAlign w:val="center"/>
          </w:tcPr>
          <w:p w14:paraId="426FF84D" w14:textId="77777777" w:rsidR="008679A1" w:rsidRPr="00A77178" w:rsidRDefault="008679A1" w:rsidP="00011785">
            <w:pPr>
              <w:pStyle w:val="Tablehead"/>
              <w:rPr>
                <w:rStyle w:val="ECCHLbold"/>
                <w:noProof/>
              </w:rPr>
            </w:pPr>
            <w:r w:rsidRPr="00A77178">
              <w:rPr>
                <w:rStyle w:val="ECCHLbold"/>
                <w:noProof/>
              </w:rPr>
              <w:t>Temporary</w:t>
            </w:r>
          </w:p>
        </w:tc>
        <w:tc>
          <w:tcPr>
            <w:tcW w:w="1843" w:type="dxa"/>
            <w:gridSpan w:val="2"/>
            <w:vAlign w:val="center"/>
          </w:tcPr>
          <w:p w14:paraId="5C957D16" w14:textId="77777777" w:rsidR="008679A1" w:rsidRPr="00A77178" w:rsidRDefault="008679A1" w:rsidP="00011785">
            <w:pPr>
              <w:pStyle w:val="Tablehead"/>
              <w:rPr>
                <w:rStyle w:val="ECCHLbold"/>
                <w:noProof/>
              </w:rPr>
            </w:pPr>
            <w:r w:rsidRPr="00A77178">
              <w:rPr>
                <w:rStyle w:val="ECCHLbold"/>
                <w:noProof/>
              </w:rPr>
              <w:t>Installation</w:t>
            </w:r>
          </w:p>
        </w:tc>
        <w:tc>
          <w:tcPr>
            <w:tcW w:w="1843" w:type="dxa"/>
            <w:vMerge/>
            <w:vAlign w:val="center"/>
          </w:tcPr>
          <w:p w14:paraId="6DEC8A09" w14:textId="77777777" w:rsidR="008679A1" w:rsidRPr="00A77178" w:rsidRDefault="008679A1" w:rsidP="00011785">
            <w:pPr>
              <w:pStyle w:val="Tablehead"/>
              <w:rPr>
                <w:noProof/>
              </w:rPr>
            </w:pPr>
          </w:p>
        </w:tc>
        <w:tc>
          <w:tcPr>
            <w:tcW w:w="2414" w:type="dxa"/>
            <w:vMerge/>
            <w:vAlign w:val="center"/>
          </w:tcPr>
          <w:p w14:paraId="26785B54" w14:textId="77777777" w:rsidR="008679A1" w:rsidRPr="00A77178" w:rsidRDefault="008679A1" w:rsidP="00011785">
            <w:pPr>
              <w:pStyle w:val="Tablehead"/>
              <w:rPr>
                <w:noProof/>
              </w:rPr>
            </w:pPr>
          </w:p>
        </w:tc>
      </w:tr>
      <w:tr w:rsidR="008679A1" w:rsidRPr="00A77178" w14:paraId="7A5119A6" w14:textId="77777777" w:rsidTr="00011785">
        <w:trPr>
          <w:cantSplit/>
          <w:jc w:val="center"/>
        </w:trPr>
        <w:tc>
          <w:tcPr>
            <w:tcW w:w="1555" w:type="dxa"/>
            <w:vMerge/>
            <w:vAlign w:val="center"/>
          </w:tcPr>
          <w:p w14:paraId="2DE32087" w14:textId="77777777" w:rsidR="008679A1" w:rsidRPr="00A77178" w:rsidRDefault="008679A1" w:rsidP="00011785">
            <w:pPr>
              <w:pStyle w:val="Tablehead"/>
              <w:rPr>
                <w:noProof/>
              </w:rPr>
            </w:pPr>
          </w:p>
        </w:tc>
        <w:tc>
          <w:tcPr>
            <w:tcW w:w="850" w:type="dxa"/>
            <w:vMerge/>
            <w:vAlign w:val="center"/>
          </w:tcPr>
          <w:p w14:paraId="7D6399E8" w14:textId="77777777" w:rsidR="008679A1" w:rsidRPr="00A77178" w:rsidRDefault="008679A1" w:rsidP="00011785">
            <w:pPr>
              <w:pStyle w:val="Tablehead"/>
              <w:rPr>
                <w:rStyle w:val="ECCHLbold"/>
                <w:noProof/>
              </w:rPr>
            </w:pPr>
          </w:p>
        </w:tc>
        <w:tc>
          <w:tcPr>
            <w:tcW w:w="1134" w:type="dxa"/>
            <w:vMerge/>
            <w:vAlign w:val="center"/>
          </w:tcPr>
          <w:p w14:paraId="71144254" w14:textId="77777777" w:rsidR="008679A1" w:rsidRPr="00A77178" w:rsidRDefault="008679A1" w:rsidP="00011785">
            <w:pPr>
              <w:pStyle w:val="Tablehead"/>
              <w:rPr>
                <w:rStyle w:val="ECCHLbold"/>
                <w:noProof/>
              </w:rPr>
            </w:pPr>
          </w:p>
        </w:tc>
        <w:tc>
          <w:tcPr>
            <w:tcW w:w="851" w:type="dxa"/>
            <w:vAlign w:val="center"/>
          </w:tcPr>
          <w:p w14:paraId="314183D5" w14:textId="77777777" w:rsidR="008679A1" w:rsidRPr="00A77178" w:rsidRDefault="008679A1" w:rsidP="00011785">
            <w:pPr>
              <w:pStyle w:val="Tablehead"/>
              <w:rPr>
                <w:rStyle w:val="ECCHLbold"/>
                <w:noProof/>
              </w:rPr>
            </w:pPr>
            <w:r w:rsidRPr="00A77178">
              <w:rPr>
                <w:rStyle w:val="ECCHLbold"/>
                <w:noProof/>
              </w:rPr>
              <w:t>Repeater</w:t>
            </w:r>
          </w:p>
        </w:tc>
        <w:tc>
          <w:tcPr>
            <w:tcW w:w="992" w:type="dxa"/>
            <w:vAlign w:val="center"/>
          </w:tcPr>
          <w:p w14:paraId="396B4AD6" w14:textId="77777777" w:rsidR="008679A1" w:rsidRPr="00A77178" w:rsidRDefault="008679A1" w:rsidP="00011785">
            <w:pPr>
              <w:pStyle w:val="Tablehead"/>
              <w:rPr>
                <w:rStyle w:val="ECCHLbold"/>
                <w:noProof/>
              </w:rPr>
            </w:pPr>
            <w:r w:rsidRPr="00A77178">
              <w:rPr>
                <w:rStyle w:val="ECCHLbold"/>
                <w:noProof/>
              </w:rPr>
              <w:t>Beacon</w:t>
            </w:r>
          </w:p>
        </w:tc>
        <w:tc>
          <w:tcPr>
            <w:tcW w:w="1843" w:type="dxa"/>
            <w:vMerge/>
            <w:vAlign w:val="center"/>
          </w:tcPr>
          <w:p w14:paraId="6422C004" w14:textId="77777777" w:rsidR="008679A1" w:rsidRPr="00A77178" w:rsidRDefault="008679A1" w:rsidP="00011785">
            <w:pPr>
              <w:pStyle w:val="Tablehead"/>
              <w:rPr>
                <w:noProof/>
              </w:rPr>
            </w:pPr>
          </w:p>
        </w:tc>
        <w:tc>
          <w:tcPr>
            <w:tcW w:w="2414" w:type="dxa"/>
            <w:vMerge/>
            <w:vAlign w:val="center"/>
          </w:tcPr>
          <w:p w14:paraId="242D5636" w14:textId="77777777" w:rsidR="008679A1" w:rsidRPr="00A77178" w:rsidRDefault="008679A1" w:rsidP="00011785">
            <w:pPr>
              <w:pStyle w:val="Tablehead"/>
              <w:rPr>
                <w:noProof/>
              </w:rPr>
            </w:pPr>
          </w:p>
        </w:tc>
      </w:tr>
      <w:tr w:rsidR="008679A1" w:rsidRPr="00A77178" w14:paraId="6E86CC24" w14:textId="77777777" w:rsidTr="00011785">
        <w:trPr>
          <w:cantSplit/>
          <w:jc w:val="center"/>
        </w:trPr>
        <w:tc>
          <w:tcPr>
            <w:tcW w:w="1555" w:type="dxa"/>
            <w:vAlign w:val="center"/>
          </w:tcPr>
          <w:p w14:paraId="1451F2D0" w14:textId="77777777" w:rsidR="008679A1" w:rsidRPr="00A77178" w:rsidRDefault="008679A1" w:rsidP="00011785">
            <w:pPr>
              <w:pStyle w:val="Tabletext"/>
              <w:rPr>
                <w:noProof/>
              </w:rPr>
            </w:pPr>
            <w:r w:rsidRPr="00A77178">
              <w:rPr>
                <w:noProof/>
              </w:rPr>
              <w:t>Analogue ATV(FM-TV)</w:t>
            </w:r>
          </w:p>
        </w:tc>
        <w:tc>
          <w:tcPr>
            <w:tcW w:w="850" w:type="dxa"/>
            <w:vAlign w:val="center"/>
          </w:tcPr>
          <w:p w14:paraId="26DCD2A2" w14:textId="77777777" w:rsidR="008679A1" w:rsidRPr="00A77178" w:rsidRDefault="008679A1" w:rsidP="00011785">
            <w:pPr>
              <w:pStyle w:val="Tabletext"/>
              <w:jc w:val="center"/>
              <w:rPr>
                <w:noProof/>
              </w:rPr>
            </w:pPr>
            <w:r w:rsidRPr="00A77178">
              <w:rPr>
                <w:noProof/>
              </w:rPr>
              <w:t>Yes</w:t>
            </w:r>
          </w:p>
        </w:tc>
        <w:tc>
          <w:tcPr>
            <w:tcW w:w="1134" w:type="dxa"/>
            <w:vAlign w:val="center"/>
          </w:tcPr>
          <w:p w14:paraId="008945C1" w14:textId="77777777" w:rsidR="008679A1" w:rsidRPr="00A77178" w:rsidRDefault="008679A1" w:rsidP="00011785">
            <w:pPr>
              <w:pStyle w:val="Tabletext"/>
              <w:jc w:val="center"/>
              <w:rPr>
                <w:noProof/>
              </w:rPr>
            </w:pPr>
            <w:r w:rsidRPr="00A77178">
              <w:rPr>
                <w:noProof/>
              </w:rPr>
              <w:t>Yes</w:t>
            </w:r>
          </w:p>
        </w:tc>
        <w:tc>
          <w:tcPr>
            <w:tcW w:w="851" w:type="dxa"/>
            <w:vAlign w:val="center"/>
          </w:tcPr>
          <w:p w14:paraId="2D45B9BB" w14:textId="77777777" w:rsidR="008679A1" w:rsidRPr="00A77178" w:rsidRDefault="008679A1" w:rsidP="00011785">
            <w:pPr>
              <w:pStyle w:val="Tabletext"/>
              <w:jc w:val="center"/>
              <w:rPr>
                <w:noProof/>
              </w:rPr>
            </w:pPr>
            <w:r w:rsidRPr="00A77178">
              <w:rPr>
                <w:noProof/>
              </w:rPr>
              <w:t>Yes</w:t>
            </w:r>
          </w:p>
        </w:tc>
        <w:tc>
          <w:tcPr>
            <w:tcW w:w="992" w:type="dxa"/>
            <w:vAlign w:val="center"/>
          </w:tcPr>
          <w:p w14:paraId="66F312C0" w14:textId="77777777" w:rsidR="008679A1" w:rsidRPr="00A77178" w:rsidRDefault="008679A1" w:rsidP="00011785">
            <w:pPr>
              <w:pStyle w:val="Tabletext"/>
              <w:jc w:val="center"/>
              <w:rPr>
                <w:noProof/>
              </w:rPr>
            </w:pPr>
          </w:p>
        </w:tc>
        <w:tc>
          <w:tcPr>
            <w:tcW w:w="1843" w:type="dxa"/>
            <w:vAlign w:val="center"/>
          </w:tcPr>
          <w:p w14:paraId="16233099" w14:textId="77777777" w:rsidR="008679A1" w:rsidRPr="00A77178" w:rsidRDefault="008679A1" w:rsidP="00011785">
            <w:pPr>
              <w:pStyle w:val="Tabletext"/>
              <w:jc w:val="center"/>
              <w:rPr>
                <w:noProof/>
              </w:rPr>
            </w:pPr>
            <w:r w:rsidRPr="00A77178">
              <w:rPr>
                <w:noProof/>
              </w:rPr>
              <w:t>20 MHz</w:t>
            </w:r>
          </w:p>
        </w:tc>
        <w:tc>
          <w:tcPr>
            <w:tcW w:w="2414" w:type="dxa"/>
            <w:vAlign w:val="center"/>
          </w:tcPr>
          <w:p w14:paraId="5F0C1B79" w14:textId="77777777" w:rsidR="008679A1" w:rsidRPr="00A77178" w:rsidRDefault="008679A1" w:rsidP="00011785">
            <w:pPr>
              <w:pStyle w:val="Tabletext"/>
              <w:rPr>
                <w:noProof/>
              </w:rPr>
            </w:pPr>
            <w:r w:rsidRPr="00A77178">
              <w:rPr>
                <w:noProof/>
              </w:rPr>
              <w:t>Legacy technology, deployments decreasing.</w:t>
            </w:r>
          </w:p>
        </w:tc>
      </w:tr>
      <w:tr w:rsidR="008679A1" w:rsidRPr="00A77178" w14:paraId="23285E9F" w14:textId="77777777" w:rsidTr="00011785">
        <w:trPr>
          <w:cantSplit/>
          <w:jc w:val="center"/>
        </w:trPr>
        <w:tc>
          <w:tcPr>
            <w:tcW w:w="1555" w:type="dxa"/>
            <w:vAlign w:val="center"/>
          </w:tcPr>
          <w:p w14:paraId="44528374" w14:textId="77777777" w:rsidR="008679A1" w:rsidRPr="00A77178" w:rsidRDefault="008679A1" w:rsidP="00011785">
            <w:pPr>
              <w:pStyle w:val="Tabletext"/>
              <w:rPr>
                <w:noProof/>
              </w:rPr>
            </w:pPr>
            <w:r w:rsidRPr="00A77178">
              <w:rPr>
                <w:noProof/>
              </w:rPr>
              <w:t>Digital ATV</w:t>
            </w:r>
          </w:p>
          <w:p w14:paraId="2C89D514" w14:textId="77777777" w:rsidR="008679A1" w:rsidRPr="00A77178" w:rsidRDefault="008679A1" w:rsidP="00011785">
            <w:pPr>
              <w:pStyle w:val="Tabletext"/>
              <w:rPr>
                <w:noProof/>
              </w:rPr>
            </w:pPr>
            <w:r w:rsidRPr="00A77178">
              <w:rPr>
                <w:noProof/>
              </w:rPr>
              <w:t>(DVB Standards)</w:t>
            </w:r>
          </w:p>
        </w:tc>
        <w:tc>
          <w:tcPr>
            <w:tcW w:w="850" w:type="dxa"/>
            <w:vAlign w:val="center"/>
          </w:tcPr>
          <w:p w14:paraId="3EC0353C" w14:textId="77777777" w:rsidR="008679A1" w:rsidRPr="00A77178" w:rsidRDefault="008679A1" w:rsidP="00011785">
            <w:pPr>
              <w:pStyle w:val="Tabletext"/>
              <w:jc w:val="center"/>
              <w:rPr>
                <w:noProof/>
              </w:rPr>
            </w:pPr>
            <w:r w:rsidRPr="00A77178">
              <w:rPr>
                <w:noProof/>
              </w:rPr>
              <w:t>Yes</w:t>
            </w:r>
          </w:p>
        </w:tc>
        <w:tc>
          <w:tcPr>
            <w:tcW w:w="1134" w:type="dxa"/>
            <w:vAlign w:val="center"/>
          </w:tcPr>
          <w:p w14:paraId="6EC717E2" w14:textId="77777777" w:rsidR="008679A1" w:rsidRPr="00A77178" w:rsidRDefault="008679A1" w:rsidP="00011785">
            <w:pPr>
              <w:pStyle w:val="Tabletext"/>
              <w:jc w:val="center"/>
              <w:rPr>
                <w:noProof/>
              </w:rPr>
            </w:pPr>
            <w:r w:rsidRPr="00A77178">
              <w:rPr>
                <w:noProof/>
              </w:rPr>
              <w:t>Yes</w:t>
            </w:r>
          </w:p>
        </w:tc>
        <w:tc>
          <w:tcPr>
            <w:tcW w:w="851" w:type="dxa"/>
            <w:vAlign w:val="center"/>
          </w:tcPr>
          <w:p w14:paraId="66EC382E" w14:textId="77777777" w:rsidR="008679A1" w:rsidRPr="00A77178" w:rsidRDefault="008679A1" w:rsidP="00011785">
            <w:pPr>
              <w:pStyle w:val="Tabletext"/>
              <w:jc w:val="center"/>
              <w:rPr>
                <w:noProof/>
              </w:rPr>
            </w:pPr>
            <w:r w:rsidRPr="00A77178">
              <w:rPr>
                <w:noProof/>
              </w:rPr>
              <w:t>Yes</w:t>
            </w:r>
          </w:p>
        </w:tc>
        <w:tc>
          <w:tcPr>
            <w:tcW w:w="992" w:type="dxa"/>
            <w:vAlign w:val="center"/>
          </w:tcPr>
          <w:p w14:paraId="0F3418F3" w14:textId="77777777" w:rsidR="008679A1" w:rsidRPr="00A77178" w:rsidRDefault="008679A1" w:rsidP="00011785">
            <w:pPr>
              <w:pStyle w:val="Tabletext"/>
              <w:jc w:val="center"/>
              <w:rPr>
                <w:noProof/>
              </w:rPr>
            </w:pPr>
          </w:p>
        </w:tc>
        <w:tc>
          <w:tcPr>
            <w:tcW w:w="1843" w:type="dxa"/>
            <w:vAlign w:val="center"/>
          </w:tcPr>
          <w:p w14:paraId="5CADECC1" w14:textId="77777777" w:rsidR="008679A1" w:rsidRPr="00A77178" w:rsidRDefault="008679A1" w:rsidP="00011785">
            <w:pPr>
              <w:pStyle w:val="Tabletext"/>
              <w:jc w:val="center"/>
              <w:rPr>
                <w:noProof/>
              </w:rPr>
            </w:pPr>
            <w:r w:rsidRPr="00A77178">
              <w:rPr>
                <w:noProof/>
              </w:rPr>
              <w:t xml:space="preserve">1-8 MHz </w:t>
            </w:r>
          </w:p>
          <w:p w14:paraId="17609716" w14:textId="77777777" w:rsidR="008679A1" w:rsidRPr="00A77178" w:rsidRDefault="008679A1" w:rsidP="00011785">
            <w:pPr>
              <w:pStyle w:val="Tabletext"/>
              <w:jc w:val="center"/>
              <w:rPr>
                <w:noProof/>
              </w:rPr>
            </w:pPr>
            <w:r w:rsidRPr="00A77178">
              <w:rPr>
                <w:noProof/>
              </w:rPr>
              <w:t>Symbol rate dependent</w:t>
            </w:r>
          </w:p>
        </w:tc>
        <w:tc>
          <w:tcPr>
            <w:tcW w:w="2414" w:type="dxa"/>
            <w:vAlign w:val="center"/>
          </w:tcPr>
          <w:p w14:paraId="6F90DAD7" w14:textId="77777777" w:rsidR="008679A1" w:rsidRPr="00A77178" w:rsidRDefault="008679A1" w:rsidP="00011785">
            <w:pPr>
              <w:pStyle w:val="Tabletext"/>
              <w:rPr>
                <w:noProof/>
              </w:rPr>
            </w:pPr>
            <w:r w:rsidRPr="00A77178">
              <w:rPr>
                <w:noProof/>
              </w:rPr>
              <w:t>State of the art technology, deployments increasing</w:t>
            </w:r>
          </w:p>
        </w:tc>
      </w:tr>
    </w:tbl>
    <w:p w14:paraId="5EC2BE9F" w14:textId="77777777" w:rsidR="008679A1" w:rsidRPr="00A77178" w:rsidRDefault="008679A1" w:rsidP="008679A1">
      <w:pPr>
        <w:pStyle w:val="Tablefin"/>
        <w:rPr>
          <w:noProof/>
        </w:rPr>
      </w:pPr>
    </w:p>
    <w:p w14:paraId="7017B0D3" w14:textId="77777777" w:rsidR="008679A1" w:rsidRPr="00A77178" w:rsidRDefault="008679A1" w:rsidP="00930322">
      <w:pPr>
        <w:jc w:val="both"/>
        <w:rPr>
          <w:noProof/>
        </w:rPr>
      </w:pPr>
      <w:r w:rsidRPr="00A77178">
        <w:rPr>
          <w:noProof/>
        </w:rPr>
        <w:t>Modern ATV installations employ spectrally efficient digital TV transmitters based on DVB-S/MPEG-2 signals. Symbol rates of 2 MBd or 4 MBd operate in lower bandwidth channels and further experimentation continues to increase the spectrum efficiency of amateur TV signals. It has been shown possible to transmit HD MPEG-4 signals with symbol rates less than 333 kBd in a bandwidth as low as 500 kHz.</w:t>
      </w:r>
    </w:p>
    <w:p w14:paraId="57E79167" w14:textId="7B0BDBB1" w:rsidR="008679A1" w:rsidRPr="00A77178" w:rsidRDefault="008679A1" w:rsidP="008679A1">
      <w:pPr>
        <w:pStyle w:val="Heading2"/>
        <w:rPr>
          <w:noProof/>
        </w:rPr>
      </w:pPr>
      <w:bookmarkStart w:id="9" w:name="_Toc43751166"/>
      <w:r w:rsidRPr="00A77178">
        <w:rPr>
          <w:noProof/>
        </w:rPr>
        <w:t>3.2</w:t>
      </w:r>
      <w:r w:rsidRPr="00A77178">
        <w:rPr>
          <w:noProof/>
        </w:rPr>
        <w:tab/>
        <w:t xml:space="preserve">Typical amateur station antenna </w:t>
      </w:r>
      <w:bookmarkEnd w:id="9"/>
      <w:r w:rsidRPr="00A77178">
        <w:rPr>
          <w:noProof/>
        </w:rPr>
        <w:t>characteristics in the 1 240</w:t>
      </w:r>
      <w:r w:rsidRPr="00A77178">
        <w:rPr>
          <w:noProof/>
        </w:rPr>
        <w:noBreakHyphen/>
        <w:t>1 300 MHz band</w:t>
      </w:r>
    </w:p>
    <w:p w14:paraId="69C1F4E8" w14:textId="77777777" w:rsidR="008679A1" w:rsidRPr="00A77178" w:rsidRDefault="008679A1" w:rsidP="00930322">
      <w:pPr>
        <w:jc w:val="both"/>
        <w:rPr>
          <w:noProof/>
        </w:rPr>
      </w:pPr>
      <w:r w:rsidRPr="00A77178">
        <w:rPr>
          <w:noProof/>
        </w:rPr>
        <w:t>There is no standard amateur station and in most cases the antenna installation at any individual amateur station is constrained or influenced by the physical location and town planning restrictions. The following antenna types are typical and based on deployments detailed in published information relating to activity periods and reports from radiosport contests. In general home and temporary stations use highly directional, narrow beam width antennas in this frequency range.</w:t>
      </w:r>
    </w:p>
    <w:p w14:paraId="50DD55FA" w14:textId="77777777" w:rsidR="008679A1" w:rsidRPr="00A77178" w:rsidRDefault="008679A1" w:rsidP="000076AF">
      <w:pPr>
        <w:pStyle w:val="Headingb"/>
        <w:rPr>
          <w:noProof/>
        </w:rPr>
      </w:pPr>
      <w:r w:rsidRPr="00A77178">
        <w:rPr>
          <w:noProof/>
        </w:rPr>
        <w:t>1)</w:t>
      </w:r>
      <w:r w:rsidRPr="00A77178">
        <w:rPr>
          <w:noProof/>
        </w:rPr>
        <w:tab/>
        <w:t>Home station and temporary “portable” station antennas</w:t>
      </w:r>
    </w:p>
    <w:p w14:paraId="56382EA9" w14:textId="7CF7CF5F" w:rsidR="008679A1" w:rsidRPr="00A77178" w:rsidRDefault="008679A1" w:rsidP="00930322">
      <w:pPr>
        <w:jc w:val="both"/>
        <w:rPr>
          <w:noProof/>
        </w:rPr>
      </w:pPr>
      <w:r w:rsidRPr="00A77178">
        <w:rPr>
          <w:noProof/>
        </w:rPr>
        <w:t>Home stations generally use a single directional antenna, however in a few cases multiple antennas are combined to increase the array gain. This is more usual for EME</w:t>
      </w:r>
      <w:r w:rsidRPr="00A77178">
        <w:rPr>
          <w:noProof/>
          <w:vertAlign w:val="superscript"/>
        </w:rPr>
        <w:footnoteReference w:id="6"/>
      </w:r>
      <w:r w:rsidRPr="00A77178">
        <w:rPr>
          <w:noProof/>
        </w:rPr>
        <w:t xml:space="preserve"> operators for whom high antenna </w:t>
      </w:r>
      <w:r w:rsidRPr="00A77178">
        <w:rPr>
          <w:noProof/>
        </w:rPr>
        <w:lastRenderedPageBreak/>
        <w:t>gain is essential for overcoming the high path and reflection loss. A higher performance EME station might use instead a medium size dish antenna. Table 4 contains the antenna details:</w:t>
      </w:r>
    </w:p>
    <w:p w14:paraId="4462F73D" w14:textId="49DB7D33" w:rsidR="008679A1" w:rsidRPr="00A77178" w:rsidRDefault="008679A1" w:rsidP="008679A1">
      <w:pPr>
        <w:pStyle w:val="TableNo"/>
        <w:rPr>
          <w:noProof/>
        </w:rPr>
      </w:pPr>
      <w:r w:rsidRPr="00A77178">
        <w:rPr>
          <w:noProof/>
        </w:rPr>
        <w:t>Table 4</w:t>
      </w:r>
    </w:p>
    <w:p w14:paraId="23B3C3F1" w14:textId="77777777" w:rsidR="008679A1" w:rsidRPr="00A77178" w:rsidRDefault="008679A1" w:rsidP="008679A1">
      <w:pPr>
        <w:pStyle w:val="Tabletitle"/>
        <w:rPr>
          <w:noProof/>
        </w:rPr>
      </w:pPr>
      <w:r w:rsidRPr="00A77178">
        <w:rPr>
          <w:noProof/>
          <w:szCs w:val="24"/>
        </w:rPr>
        <w:t xml:space="preserve">Typical </w:t>
      </w:r>
      <w:r w:rsidRPr="00A77178">
        <w:rPr>
          <w:noProof/>
        </w:rPr>
        <w:t>home station and temporary “portable” station antennas</w:t>
      </w:r>
    </w:p>
    <w:tbl>
      <w:tblPr>
        <w:tblStyle w:val="TableGrid"/>
        <w:tblW w:w="0" w:type="auto"/>
        <w:jc w:val="center"/>
        <w:tblLook w:val="04A0" w:firstRow="1" w:lastRow="0" w:firstColumn="1" w:lastColumn="0" w:noHBand="0" w:noVBand="1"/>
      </w:tblPr>
      <w:tblGrid>
        <w:gridCol w:w="3539"/>
        <w:gridCol w:w="3260"/>
        <w:gridCol w:w="2830"/>
      </w:tblGrid>
      <w:tr w:rsidR="008679A1" w:rsidRPr="00A77178" w14:paraId="7D382BB8" w14:textId="77777777" w:rsidTr="00011785">
        <w:trPr>
          <w:jc w:val="center"/>
        </w:trPr>
        <w:tc>
          <w:tcPr>
            <w:tcW w:w="3539" w:type="dxa"/>
          </w:tcPr>
          <w:p w14:paraId="4270B3CA" w14:textId="77777777" w:rsidR="008679A1" w:rsidRPr="00A77178" w:rsidRDefault="008679A1" w:rsidP="00011785">
            <w:pPr>
              <w:pStyle w:val="Tablehead"/>
              <w:rPr>
                <w:noProof/>
              </w:rPr>
            </w:pPr>
            <w:r w:rsidRPr="00A77178">
              <w:rPr>
                <w:noProof/>
              </w:rPr>
              <w:t>Antenna type</w:t>
            </w:r>
          </w:p>
        </w:tc>
        <w:tc>
          <w:tcPr>
            <w:tcW w:w="3260" w:type="dxa"/>
          </w:tcPr>
          <w:p w14:paraId="78AE31E8" w14:textId="77777777" w:rsidR="008679A1" w:rsidRPr="00A77178" w:rsidRDefault="008679A1" w:rsidP="00011785">
            <w:pPr>
              <w:pStyle w:val="Tablehead"/>
              <w:rPr>
                <w:noProof/>
              </w:rPr>
            </w:pPr>
            <w:r w:rsidRPr="00A77178">
              <w:rPr>
                <w:noProof/>
              </w:rPr>
              <w:t>Gain</w:t>
            </w:r>
          </w:p>
        </w:tc>
        <w:tc>
          <w:tcPr>
            <w:tcW w:w="2830" w:type="dxa"/>
          </w:tcPr>
          <w:p w14:paraId="4DBD9634" w14:textId="77777777" w:rsidR="008679A1" w:rsidRPr="00A77178" w:rsidRDefault="008679A1" w:rsidP="00011785">
            <w:pPr>
              <w:pStyle w:val="Tablehead"/>
              <w:rPr>
                <w:noProof/>
              </w:rPr>
            </w:pPr>
            <w:r w:rsidRPr="00A77178">
              <w:rPr>
                <w:noProof/>
              </w:rPr>
              <w:t>3 dB beam width</w:t>
            </w:r>
          </w:p>
        </w:tc>
      </w:tr>
      <w:tr w:rsidR="008679A1" w:rsidRPr="00A77178" w14:paraId="25F68E4D" w14:textId="77777777" w:rsidTr="00011785">
        <w:trPr>
          <w:jc w:val="center"/>
        </w:trPr>
        <w:tc>
          <w:tcPr>
            <w:tcW w:w="3539" w:type="dxa"/>
          </w:tcPr>
          <w:p w14:paraId="6EF22215" w14:textId="77777777" w:rsidR="008679A1" w:rsidRPr="00A77178" w:rsidRDefault="008679A1" w:rsidP="00011785">
            <w:pPr>
              <w:pStyle w:val="Tabletext"/>
              <w:rPr>
                <w:noProof/>
              </w:rPr>
            </w:pPr>
            <w:r w:rsidRPr="00A77178">
              <w:rPr>
                <w:noProof/>
              </w:rPr>
              <w:t>Single Yagi beam (23 to 55 element)</w:t>
            </w:r>
          </w:p>
        </w:tc>
        <w:tc>
          <w:tcPr>
            <w:tcW w:w="3260" w:type="dxa"/>
          </w:tcPr>
          <w:p w14:paraId="5A1283BA" w14:textId="77777777" w:rsidR="008679A1" w:rsidRPr="00A77178" w:rsidRDefault="008679A1" w:rsidP="00011785">
            <w:pPr>
              <w:pStyle w:val="Tabletext"/>
              <w:jc w:val="center"/>
              <w:rPr>
                <w:noProof/>
              </w:rPr>
            </w:pPr>
            <w:r w:rsidRPr="00A77178">
              <w:rPr>
                <w:noProof/>
              </w:rPr>
              <w:t>18 to 21 dBi</w:t>
            </w:r>
          </w:p>
        </w:tc>
        <w:tc>
          <w:tcPr>
            <w:tcW w:w="2830" w:type="dxa"/>
          </w:tcPr>
          <w:p w14:paraId="13545967" w14:textId="77777777" w:rsidR="008679A1" w:rsidRPr="00A77178" w:rsidRDefault="008679A1" w:rsidP="00011785">
            <w:pPr>
              <w:pStyle w:val="Tabletext"/>
              <w:jc w:val="center"/>
              <w:rPr>
                <w:noProof/>
              </w:rPr>
            </w:pPr>
            <w:r w:rsidRPr="00A77178">
              <w:rPr>
                <w:noProof/>
              </w:rPr>
              <w:t>18° to 10°</w:t>
            </w:r>
          </w:p>
        </w:tc>
      </w:tr>
      <w:tr w:rsidR="008679A1" w:rsidRPr="00A77178" w14:paraId="50F98612" w14:textId="77777777" w:rsidTr="00011785">
        <w:trPr>
          <w:jc w:val="center"/>
        </w:trPr>
        <w:tc>
          <w:tcPr>
            <w:tcW w:w="3539" w:type="dxa"/>
          </w:tcPr>
          <w:p w14:paraId="7EBDD731" w14:textId="77777777" w:rsidR="008679A1" w:rsidRPr="00A77178" w:rsidRDefault="008679A1" w:rsidP="00011785">
            <w:pPr>
              <w:pStyle w:val="Tabletext"/>
              <w:rPr>
                <w:noProof/>
              </w:rPr>
            </w:pPr>
            <w:r w:rsidRPr="00A77178">
              <w:rPr>
                <w:noProof/>
              </w:rPr>
              <w:t>Multiple Yagi beams (for EME)</w:t>
            </w:r>
          </w:p>
          <w:p w14:paraId="53F56DFB" w14:textId="77777777" w:rsidR="008679A1" w:rsidRPr="00A77178" w:rsidRDefault="008679A1" w:rsidP="00011785">
            <w:pPr>
              <w:pStyle w:val="Tabletext"/>
              <w:rPr>
                <w:noProof/>
              </w:rPr>
            </w:pPr>
            <w:r w:rsidRPr="00A77178">
              <w:rPr>
                <w:noProof/>
              </w:rPr>
              <w:t>Dish antenna (for EME)</w:t>
            </w:r>
          </w:p>
        </w:tc>
        <w:tc>
          <w:tcPr>
            <w:tcW w:w="3260" w:type="dxa"/>
          </w:tcPr>
          <w:p w14:paraId="098927B4" w14:textId="77777777" w:rsidR="008679A1" w:rsidRPr="00A77178" w:rsidRDefault="008679A1" w:rsidP="00011785">
            <w:pPr>
              <w:pStyle w:val="Tabletext"/>
              <w:jc w:val="center"/>
              <w:rPr>
                <w:noProof/>
              </w:rPr>
            </w:pPr>
            <w:r w:rsidRPr="00A77178">
              <w:rPr>
                <w:noProof/>
              </w:rPr>
              <w:t>21 dBi</w:t>
            </w:r>
          </w:p>
          <w:p w14:paraId="6DC4DEFB" w14:textId="77777777" w:rsidR="008679A1" w:rsidRPr="00A77178" w:rsidRDefault="008679A1" w:rsidP="00011785">
            <w:pPr>
              <w:pStyle w:val="Tabletext"/>
              <w:jc w:val="center"/>
              <w:rPr>
                <w:noProof/>
              </w:rPr>
            </w:pPr>
            <w:r w:rsidRPr="00A77178">
              <w:rPr>
                <w:noProof/>
              </w:rPr>
              <w:t>32 dBi (4 m diameter)</w:t>
            </w:r>
          </w:p>
        </w:tc>
        <w:tc>
          <w:tcPr>
            <w:tcW w:w="2830" w:type="dxa"/>
          </w:tcPr>
          <w:p w14:paraId="34AB4509" w14:textId="77777777" w:rsidR="008679A1" w:rsidRPr="00A77178" w:rsidRDefault="008679A1" w:rsidP="00011785">
            <w:pPr>
              <w:pStyle w:val="Tabletext"/>
              <w:jc w:val="center"/>
              <w:rPr>
                <w:noProof/>
              </w:rPr>
            </w:pPr>
            <w:r w:rsidRPr="00A77178">
              <w:rPr>
                <w:noProof/>
              </w:rPr>
              <w:t>10°</w:t>
            </w:r>
          </w:p>
          <w:p w14:paraId="29843BDE" w14:textId="77777777" w:rsidR="008679A1" w:rsidRPr="00A77178" w:rsidRDefault="008679A1" w:rsidP="00011785">
            <w:pPr>
              <w:pStyle w:val="Tabletext"/>
              <w:jc w:val="center"/>
              <w:rPr>
                <w:noProof/>
              </w:rPr>
            </w:pPr>
            <w:r w:rsidRPr="00A77178">
              <w:rPr>
                <w:noProof/>
              </w:rPr>
              <w:t>4°</w:t>
            </w:r>
          </w:p>
        </w:tc>
      </w:tr>
    </w:tbl>
    <w:p w14:paraId="0F9932E3" w14:textId="77777777" w:rsidR="008679A1" w:rsidRPr="00A77178" w:rsidRDefault="008679A1" w:rsidP="008679A1">
      <w:pPr>
        <w:pStyle w:val="Tablefin"/>
        <w:rPr>
          <w:noProof/>
        </w:rPr>
      </w:pPr>
    </w:p>
    <w:p w14:paraId="0341F9D9" w14:textId="77777777" w:rsidR="008679A1" w:rsidRPr="00A77178" w:rsidRDefault="008679A1" w:rsidP="000076AF">
      <w:pPr>
        <w:pStyle w:val="Headingb"/>
        <w:rPr>
          <w:noProof/>
        </w:rPr>
      </w:pPr>
      <w:r w:rsidRPr="00A77178">
        <w:rPr>
          <w:noProof/>
        </w:rPr>
        <w:t>2)</w:t>
      </w:r>
      <w:r w:rsidRPr="00A77178">
        <w:rPr>
          <w:noProof/>
        </w:rPr>
        <w:tab/>
        <w:t>Permanent installation antennas</w:t>
      </w:r>
    </w:p>
    <w:p w14:paraId="151AA2F8" w14:textId="045EF9F4" w:rsidR="008679A1" w:rsidRPr="00A77178" w:rsidRDefault="008679A1" w:rsidP="00930322">
      <w:pPr>
        <w:jc w:val="both"/>
        <w:rPr>
          <w:noProof/>
        </w:rPr>
      </w:pPr>
      <w:r w:rsidRPr="00A77178">
        <w:rPr>
          <w:noProof/>
        </w:rPr>
        <w:t>Permanent installations operate for different applications using a variety of antenna types characterized by different gain and directivity figures. However, most permanent installations antennas are less directional and (in the case of repeaters) are generally intended to provide coverage over a local area. It should be noted, that the antenna type used depends not only on the application but also on the local topography</w:t>
      </w:r>
      <w:r w:rsidRPr="00A77178">
        <w:rPr>
          <w:rStyle w:val="FootnoteReference"/>
          <w:noProof/>
        </w:rPr>
        <w:footnoteReference w:id="7"/>
      </w:r>
      <w:r w:rsidRPr="00A77178">
        <w:rPr>
          <w:noProof/>
        </w:rPr>
        <w:t>. Table 5 summarizes antenna characteristics with indications of minimum, median and maximum parameter values of a typical installation.</w:t>
      </w:r>
    </w:p>
    <w:p w14:paraId="39EAD339" w14:textId="5D30E2B8" w:rsidR="008679A1" w:rsidRPr="00A77178" w:rsidRDefault="008679A1" w:rsidP="008679A1">
      <w:pPr>
        <w:pStyle w:val="TableNo"/>
        <w:rPr>
          <w:noProof/>
        </w:rPr>
      </w:pPr>
      <w:r w:rsidRPr="00A77178">
        <w:rPr>
          <w:noProof/>
        </w:rPr>
        <w:t>Table 5</w:t>
      </w:r>
    </w:p>
    <w:p w14:paraId="00B5F4FF" w14:textId="77777777" w:rsidR="008679A1" w:rsidRPr="00A77178" w:rsidRDefault="008679A1" w:rsidP="008679A1">
      <w:pPr>
        <w:pStyle w:val="Tabletitle"/>
        <w:rPr>
          <w:noProof/>
        </w:rPr>
      </w:pPr>
      <w:r w:rsidRPr="00A77178">
        <w:rPr>
          <w:noProof/>
          <w:color w:val="000000" w:themeColor="text1"/>
        </w:rPr>
        <w:t xml:space="preserve">Antenna characteristic of a typical </w:t>
      </w:r>
      <w:r w:rsidRPr="00A77178">
        <w:rPr>
          <w:noProof/>
        </w:rPr>
        <w:t xml:space="preserve">permanent installation </w:t>
      </w:r>
    </w:p>
    <w:tbl>
      <w:tblPr>
        <w:tblStyle w:val="TableGrid"/>
        <w:tblW w:w="0" w:type="auto"/>
        <w:jc w:val="center"/>
        <w:tblLook w:val="04A0" w:firstRow="1" w:lastRow="0" w:firstColumn="1" w:lastColumn="0" w:noHBand="0" w:noVBand="1"/>
      </w:tblPr>
      <w:tblGrid>
        <w:gridCol w:w="3209"/>
        <w:gridCol w:w="3210"/>
        <w:gridCol w:w="3210"/>
      </w:tblGrid>
      <w:tr w:rsidR="008679A1" w:rsidRPr="00A77178" w14:paraId="01B3A225" w14:textId="77777777" w:rsidTr="00011785">
        <w:trPr>
          <w:jc w:val="center"/>
        </w:trPr>
        <w:tc>
          <w:tcPr>
            <w:tcW w:w="3209" w:type="dxa"/>
          </w:tcPr>
          <w:p w14:paraId="5F849275" w14:textId="77777777" w:rsidR="008679A1" w:rsidRPr="00A77178" w:rsidRDefault="008679A1" w:rsidP="00011785">
            <w:pPr>
              <w:pStyle w:val="Tablehead"/>
              <w:rPr>
                <w:noProof/>
              </w:rPr>
            </w:pPr>
            <w:r w:rsidRPr="00A77178">
              <w:rPr>
                <w:noProof/>
              </w:rPr>
              <w:t>Antenna types</w:t>
            </w:r>
          </w:p>
        </w:tc>
        <w:tc>
          <w:tcPr>
            <w:tcW w:w="3210" w:type="dxa"/>
          </w:tcPr>
          <w:p w14:paraId="7BF378B4" w14:textId="77777777" w:rsidR="008679A1" w:rsidRPr="00A77178" w:rsidRDefault="008679A1" w:rsidP="00011785">
            <w:pPr>
              <w:pStyle w:val="Tablehead"/>
              <w:rPr>
                <w:noProof/>
              </w:rPr>
            </w:pPr>
            <w:r w:rsidRPr="00A77178">
              <w:rPr>
                <w:noProof/>
              </w:rPr>
              <w:t>Gain</w:t>
            </w:r>
            <w:r w:rsidRPr="00930322">
              <w:rPr>
                <w:rStyle w:val="FootnoteReference"/>
                <w:noProof/>
                <w:sz w:val="14"/>
                <w:szCs w:val="14"/>
              </w:rPr>
              <w:footnoteReference w:id="8"/>
            </w:r>
          </w:p>
        </w:tc>
        <w:tc>
          <w:tcPr>
            <w:tcW w:w="3210" w:type="dxa"/>
          </w:tcPr>
          <w:p w14:paraId="466A93C4" w14:textId="77777777" w:rsidR="008679A1" w:rsidRPr="00A77178" w:rsidRDefault="008679A1" w:rsidP="00011785">
            <w:pPr>
              <w:pStyle w:val="Tablehead"/>
              <w:rPr>
                <w:noProof/>
              </w:rPr>
            </w:pPr>
            <w:r w:rsidRPr="00A77178">
              <w:rPr>
                <w:noProof/>
              </w:rPr>
              <w:t>Beamwidth in the azimuth plane.</w:t>
            </w:r>
          </w:p>
        </w:tc>
      </w:tr>
      <w:tr w:rsidR="008679A1" w:rsidRPr="00A77178" w14:paraId="4EBB9D88" w14:textId="77777777" w:rsidTr="00011785">
        <w:trPr>
          <w:jc w:val="center"/>
        </w:trPr>
        <w:tc>
          <w:tcPr>
            <w:tcW w:w="3209" w:type="dxa"/>
            <w:vAlign w:val="center"/>
          </w:tcPr>
          <w:p w14:paraId="6360140C" w14:textId="77777777" w:rsidR="008679A1" w:rsidRPr="00A77178" w:rsidRDefault="008679A1" w:rsidP="00011785">
            <w:pPr>
              <w:pStyle w:val="Tabletext"/>
              <w:rPr>
                <w:noProof/>
              </w:rPr>
            </w:pPr>
            <w:r w:rsidRPr="00A77178">
              <w:rPr>
                <w:noProof/>
              </w:rPr>
              <w:t>Various (e.g. linear slot, co-linear array, horn, flat panel etc.)</w:t>
            </w:r>
          </w:p>
        </w:tc>
        <w:tc>
          <w:tcPr>
            <w:tcW w:w="3210" w:type="dxa"/>
            <w:vAlign w:val="center"/>
          </w:tcPr>
          <w:p w14:paraId="77EDE973" w14:textId="77777777" w:rsidR="008679A1" w:rsidRPr="00A77178" w:rsidRDefault="008679A1" w:rsidP="00011785">
            <w:pPr>
              <w:pStyle w:val="gmail-m366260878566664081tabletext"/>
              <w:spacing w:before="120" w:beforeAutospacing="0" w:after="0" w:afterAutospacing="0"/>
              <w:rPr>
                <w:noProof/>
                <w:sz w:val="20"/>
                <w:szCs w:val="20"/>
                <w:lang w:val="en-GB"/>
              </w:rPr>
            </w:pPr>
            <w:r w:rsidRPr="00A77178">
              <w:rPr>
                <w:rFonts w:ascii="CG Times" w:hAnsi="CG Times"/>
                <w:noProof/>
                <w:sz w:val="20"/>
                <w:szCs w:val="20"/>
                <w:lang w:val="en-GB"/>
              </w:rPr>
              <w:t>Minimum = 2.15 dBi</w:t>
            </w:r>
          </w:p>
          <w:p w14:paraId="7D21D07E" w14:textId="77777777" w:rsidR="008679A1" w:rsidRPr="00A77178" w:rsidRDefault="008679A1" w:rsidP="00011785">
            <w:pPr>
              <w:pStyle w:val="Tabletext"/>
              <w:spacing w:before="120"/>
              <w:rPr>
                <w:noProof/>
              </w:rPr>
            </w:pPr>
            <w:r w:rsidRPr="00A77178">
              <w:rPr>
                <w:rFonts w:ascii="CG Times" w:hAnsi="CG Times"/>
                <w:noProof/>
              </w:rPr>
              <w:t xml:space="preserve">Median = </w:t>
            </w:r>
            <w:r w:rsidRPr="00A77178">
              <w:rPr>
                <w:noProof/>
              </w:rPr>
              <w:t>13 dBi</w:t>
            </w:r>
          </w:p>
          <w:p w14:paraId="15486B63" w14:textId="77777777" w:rsidR="008679A1" w:rsidRPr="00A77178" w:rsidRDefault="008679A1" w:rsidP="00011785">
            <w:pPr>
              <w:pStyle w:val="Tabletext"/>
              <w:spacing w:before="120"/>
              <w:rPr>
                <w:noProof/>
              </w:rPr>
            </w:pPr>
            <w:r w:rsidRPr="00A77178">
              <w:rPr>
                <w:rFonts w:ascii="CG Times" w:hAnsi="CG Times"/>
                <w:noProof/>
              </w:rPr>
              <w:t>Maximum: refer to footnote 7 for information</w:t>
            </w:r>
          </w:p>
        </w:tc>
        <w:tc>
          <w:tcPr>
            <w:tcW w:w="3210" w:type="dxa"/>
            <w:vAlign w:val="center"/>
          </w:tcPr>
          <w:p w14:paraId="164C60F3" w14:textId="60B21222" w:rsidR="008679A1" w:rsidRPr="00A77178" w:rsidRDefault="008679A1" w:rsidP="00011785">
            <w:pPr>
              <w:pStyle w:val="Tabletext"/>
              <w:spacing w:before="120"/>
              <w:rPr>
                <w:noProof/>
              </w:rPr>
            </w:pPr>
            <w:r w:rsidRPr="00A77178">
              <w:rPr>
                <w:noProof/>
              </w:rPr>
              <w:t>Median = 60° (</w:t>
            </w:r>
            <w:r w:rsidR="00930322">
              <w:rPr>
                <w:noProof/>
              </w:rPr>
              <w:t>−</w:t>
            </w:r>
            <w:r w:rsidRPr="00A77178">
              <w:rPr>
                <w:noProof/>
              </w:rPr>
              <w:t>3 dB)</w:t>
            </w:r>
          </w:p>
          <w:p w14:paraId="0B3015A9" w14:textId="77777777" w:rsidR="008679A1" w:rsidRPr="00A77178" w:rsidRDefault="008679A1" w:rsidP="00011785">
            <w:pPr>
              <w:pStyle w:val="Tabletext"/>
              <w:spacing w:before="120"/>
              <w:rPr>
                <w:noProof/>
              </w:rPr>
            </w:pPr>
            <w:r w:rsidRPr="00A77178">
              <w:rPr>
                <w:noProof/>
              </w:rPr>
              <w:t xml:space="preserve">Maximum = Omnidirectional </w:t>
            </w:r>
          </w:p>
        </w:tc>
      </w:tr>
    </w:tbl>
    <w:p w14:paraId="0E973989" w14:textId="77777777" w:rsidR="008679A1" w:rsidRPr="00A77178" w:rsidRDefault="008679A1" w:rsidP="008679A1">
      <w:pPr>
        <w:pStyle w:val="Tablefin"/>
        <w:rPr>
          <w:noProof/>
        </w:rPr>
      </w:pPr>
    </w:p>
    <w:p w14:paraId="5A86E90D" w14:textId="77777777" w:rsidR="008679A1" w:rsidRPr="00A77178" w:rsidRDefault="008679A1" w:rsidP="00930322">
      <w:pPr>
        <w:jc w:val="both"/>
        <w:rPr>
          <w:rFonts w:cs="Arial"/>
          <w:bCs/>
          <w:noProof/>
        </w:rPr>
      </w:pPr>
      <w:r w:rsidRPr="00A77178">
        <w:rPr>
          <w:rFonts w:cs="Arial"/>
          <w:bCs/>
          <w:noProof/>
        </w:rPr>
        <w:t xml:space="preserve">Antennas with linear polarization are mainly used, but occasionally circular polarization can also be found. </w:t>
      </w:r>
    </w:p>
    <w:p w14:paraId="04A77EFA" w14:textId="3776A7F4" w:rsidR="008679A1" w:rsidRPr="00A77178" w:rsidRDefault="008679A1" w:rsidP="008679A1">
      <w:pPr>
        <w:pStyle w:val="Heading2"/>
        <w:rPr>
          <w:noProof/>
        </w:rPr>
      </w:pPr>
      <w:r w:rsidRPr="00A77178">
        <w:rPr>
          <w:noProof/>
        </w:rPr>
        <w:t>3.3</w:t>
      </w:r>
      <w:r w:rsidRPr="00A77178">
        <w:rPr>
          <w:noProof/>
        </w:rPr>
        <w:tab/>
        <w:t>Typical amateur station power level distribution in the 1 240</w:t>
      </w:r>
      <w:r w:rsidRPr="00A77178">
        <w:rPr>
          <w:noProof/>
        </w:rPr>
        <w:noBreakHyphen/>
        <w:t>1 300 MHz band</w:t>
      </w:r>
    </w:p>
    <w:p w14:paraId="28BEFBD6" w14:textId="77777777" w:rsidR="008679A1" w:rsidRPr="00A77178" w:rsidRDefault="008679A1" w:rsidP="006A5081">
      <w:pPr>
        <w:jc w:val="both"/>
        <w:rPr>
          <w:noProof/>
        </w:rPr>
      </w:pPr>
      <w:r w:rsidRPr="00A77178">
        <w:rPr>
          <w:noProof/>
        </w:rPr>
        <w:t xml:space="preserve">Typical power level distribution can be derived from published information about the stations that submit information resulting from national activity periods and reports from radiosport contests. </w:t>
      </w:r>
    </w:p>
    <w:p w14:paraId="41D0115E" w14:textId="77777777" w:rsidR="008679A1" w:rsidRPr="00A77178" w:rsidRDefault="008679A1" w:rsidP="006A5081">
      <w:pPr>
        <w:pStyle w:val="Note"/>
        <w:jc w:val="both"/>
        <w:rPr>
          <w:noProof/>
        </w:rPr>
      </w:pPr>
      <w:r w:rsidRPr="00A77178">
        <w:rPr>
          <w:noProof/>
        </w:rPr>
        <w:t xml:space="preserve">NOTE: In the following tables the power is specified differently because of the different sources of information. </w:t>
      </w:r>
    </w:p>
    <w:p w14:paraId="663707B5" w14:textId="77777777" w:rsidR="008679A1" w:rsidRPr="00A77178" w:rsidRDefault="008679A1" w:rsidP="000076AF">
      <w:pPr>
        <w:pStyle w:val="Headingb"/>
        <w:rPr>
          <w:noProof/>
        </w:rPr>
      </w:pPr>
      <w:r w:rsidRPr="00A77178">
        <w:rPr>
          <w:noProof/>
        </w:rPr>
        <w:lastRenderedPageBreak/>
        <w:t>1)</w:t>
      </w:r>
      <w:r w:rsidRPr="00A77178">
        <w:rPr>
          <w:noProof/>
        </w:rPr>
        <w:tab/>
        <w:t>Home station and temporary “portable” station</w:t>
      </w:r>
    </w:p>
    <w:p w14:paraId="682F8C4F" w14:textId="5E15FFD3" w:rsidR="008679A1" w:rsidRPr="00A77178" w:rsidRDefault="008679A1" w:rsidP="008679A1">
      <w:pPr>
        <w:pStyle w:val="TableNo"/>
        <w:keepLines/>
        <w:rPr>
          <w:noProof/>
        </w:rPr>
      </w:pPr>
      <w:r w:rsidRPr="00A77178">
        <w:rPr>
          <w:noProof/>
        </w:rPr>
        <w:t>Table 6</w:t>
      </w:r>
    </w:p>
    <w:p w14:paraId="03269F93" w14:textId="77777777" w:rsidR="008679A1" w:rsidRPr="00A77178" w:rsidRDefault="008679A1" w:rsidP="008679A1">
      <w:pPr>
        <w:pStyle w:val="Tabletitle"/>
        <w:rPr>
          <w:noProof/>
        </w:rPr>
      </w:pPr>
      <w:r w:rsidRPr="00A77178">
        <w:rPr>
          <w:noProof/>
        </w:rPr>
        <w:t>Transmitter power ranges in use</w:t>
      </w:r>
    </w:p>
    <w:tbl>
      <w:tblPr>
        <w:tblStyle w:val="TableGrid"/>
        <w:tblW w:w="0" w:type="auto"/>
        <w:jc w:val="center"/>
        <w:tblLook w:val="04A0" w:firstRow="1" w:lastRow="0" w:firstColumn="1" w:lastColumn="0" w:noHBand="0" w:noVBand="1"/>
      </w:tblPr>
      <w:tblGrid>
        <w:gridCol w:w="2709"/>
        <w:gridCol w:w="2596"/>
        <w:gridCol w:w="2841"/>
      </w:tblGrid>
      <w:tr w:rsidR="008679A1" w:rsidRPr="00A77178" w14:paraId="12A0B963" w14:textId="77777777" w:rsidTr="00011785">
        <w:trPr>
          <w:jc w:val="center"/>
        </w:trPr>
        <w:tc>
          <w:tcPr>
            <w:tcW w:w="2709" w:type="dxa"/>
          </w:tcPr>
          <w:p w14:paraId="7BC47AF4" w14:textId="267940B7" w:rsidR="008679A1" w:rsidRPr="00A77178" w:rsidRDefault="008679A1" w:rsidP="00011785">
            <w:pPr>
              <w:pStyle w:val="Tablehead"/>
              <w:keepLines/>
              <w:rPr>
                <w:noProof/>
              </w:rPr>
            </w:pPr>
            <w:r w:rsidRPr="00A77178">
              <w:rPr>
                <w:noProof/>
              </w:rPr>
              <w:t xml:space="preserve">Transmitter power </w:t>
            </w:r>
            <w:r w:rsidR="006A5081">
              <w:rPr>
                <w:noProof/>
              </w:rPr>
              <w:br/>
            </w:r>
            <w:r w:rsidRPr="00A77178">
              <w:rPr>
                <w:noProof/>
              </w:rPr>
              <w:t>(watts)</w:t>
            </w:r>
          </w:p>
        </w:tc>
        <w:tc>
          <w:tcPr>
            <w:tcW w:w="2596" w:type="dxa"/>
          </w:tcPr>
          <w:p w14:paraId="3BADD775" w14:textId="77777777" w:rsidR="008679A1" w:rsidRPr="00A77178" w:rsidRDefault="008679A1" w:rsidP="00011785">
            <w:pPr>
              <w:pStyle w:val="Tablehead"/>
              <w:keepLines/>
              <w:rPr>
                <w:noProof/>
              </w:rPr>
            </w:pPr>
            <w:r w:rsidRPr="00A77178">
              <w:rPr>
                <w:noProof/>
              </w:rPr>
              <w:t>% home stations</w:t>
            </w:r>
          </w:p>
        </w:tc>
        <w:tc>
          <w:tcPr>
            <w:tcW w:w="2841" w:type="dxa"/>
          </w:tcPr>
          <w:p w14:paraId="172F74CE" w14:textId="77777777" w:rsidR="008679A1" w:rsidRPr="00A77178" w:rsidRDefault="008679A1" w:rsidP="00011785">
            <w:pPr>
              <w:pStyle w:val="Tablehead"/>
              <w:keepLines/>
              <w:rPr>
                <w:noProof/>
              </w:rPr>
            </w:pPr>
            <w:r w:rsidRPr="00A77178">
              <w:rPr>
                <w:noProof/>
              </w:rPr>
              <w:t>% temporary stations</w:t>
            </w:r>
          </w:p>
        </w:tc>
      </w:tr>
      <w:tr w:rsidR="008679A1" w:rsidRPr="00A77178" w14:paraId="00A5D425" w14:textId="77777777" w:rsidTr="00011785">
        <w:trPr>
          <w:jc w:val="center"/>
        </w:trPr>
        <w:tc>
          <w:tcPr>
            <w:tcW w:w="2709" w:type="dxa"/>
          </w:tcPr>
          <w:p w14:paraId="3AF4C76F" w14:textId="77777777" w:rsidR="008679A1" w:rsidRPr="00A77178" w:rsidRDefault="008679A1" w:rsidP="00011785">
            <w:pPr>
              <w:pStyle w:val="Tabletext"/>
              <w:keepNext/>
              <w:keepLines/>
              <w:jc w:val="center"/>
              <w:rPr>
                <w:noProof/>
              </w:rPr>
            </w:pPr>
            <w:r w:rsidRPr="00A77178">
              <w:rPr>
                <w:noProof/>
              </w:rPr>
              <w:t>Up to 10</w:t>
            </w:r>
          </w:p>
        </w:tc>
        <w:tc>
          <w:tcPr>
            <w:tcW w:w="2596" w:type="dxa"/>
          </w:tcPr>
          <w:p w14:paraId="5B93B734" w14:textId="77777777" w:rsidR="008679A1" w:rsidRPr="00A77178" w:rsidRDefault="008679A1" w:rsidP="00011785">
            <w:pPr>
              <w:pStyle w:val="Tabletext"/>
              <w:keepNext/>
              <w:keepLines/>
              <w:jc w:val="center"/>
              <w:rPr>
                <w:noProof/>
              </w:rPr>
            </w:pPr>
            <w:r w:rsidRPr="00A77178">
              <w:rPr>
                <w:noProof/>
              </w:rPr>
              <w:t>47%</w:t>
            </w:r>
          </w:p>
        </w:tc>
        <w:tc>
          <w:tcPr>
            <w:tcW w:w="2841" w:type="dxa"/>
          </w:tcPr>
          <w:p w14:paraId="4CE8237A" w14:textId="77777777" w:rsidR="008679A1" w:rsidRPr="00A77178" w:rsidRDefault="008679A1" w:rsidP="00011785">
            <w:pPr>
              <w:pStyle w:val="Tabletext"/>
              <w:keepNext/>
              <w:keepLines/>
              <w:jc w:val="center"/>
              <w:rPr>
                <w:noProof/>
              </w:rPr>
            </w:pPr>
            <w:r w:rsidRPr="00A77178">
              <w:rPr>
                <w:noProof/>
              </w:rPr>
              <w:t>61.5%</w:t>
            </w:r>
          </w:p>
        </w:tc>
      </w:tr>
      <w:tr w:rsidR="008679A1" w:rsidRPr="00A77178" w14:paraId="395C6688" w14:textId="77777777" w:rsidTr="00011785">
        <w:trPr>
          <w:jc w:val="center"/>
        </w:trPr>
        <w:tc>
          <w:tcPr>
            <w:tcW w:w="2709" w:type="dxa"/>
          </w:tcPr>
          <w:p w14:paraId="74C8343A" w14:textId="77777777" w:rsidR="008679A1" w:rsidRPr="00A77178" w:rsidRDefault="008679A1" w:rsidP="00011785">
            <w:pPr>
              <w:pStyle w:val="Tabletext"/>
              <w:keepNext/>
              <w:keepLines/>
              <w:jc w:val="center"/>
              <w:rPr>
                <w:noProof/>
              </w:rPr>
            </w:pPr>
            <w:r w:rsidRPr="00A77178">
              <w:rPr>
                <w:noProof/>
              </w:rPr>
              <w:t>11 – 25</w:t>
            </w:r>
          </w:p>
        </w:tc>
        <w:tc>
          <w:tcPr>
            <w:tcW w:w="2596" w:type="dxa"/>
          </w:tcPr>
          <w:p w14:paraId="3F889C64" w14:textId="77777777" w:rsidR="008679A1" w:rsidRPr="00A77178" w:rsidRDefault="008679A1" w:rsidP="00011785">
            <w:pPr>
              <w:pStyle w:val="Tabletext"/>
              <w:keepNext/>
              <w:keepLines/>
              <w:jc w:val="center"/>
              <w:rPr>
                <w:noProof/>
              </w:rPr>
            </w:pPr>
            <w:r w:rsidRPr="00A77178">
              <w:rPr>
                <w:noProof/>
              </w:rPr>
              <w:t>9%</w:t>
            </w:r>
          </w:p>
        </w:tc>
        <w:tc>
          <w:tcPr>
            <w:tcW w:w="2841" w:type="dxa"/>
          </w:tcPr>
          <w:p w14:paraId="76E48F5A" w14:textId="77777777" w:rsidR="008679A1" w:rsidRPr="00A77178" w:rsidRDefault="008679A1" w:rsidP="00011785">
            <w:pPr>
              <w:pStyle w:val="Tabletext"/>
              <w:keepNext/>
              <w:keepLines/>
              <w:jc w:val="center"/>
              <w:rPr>
                <w:noProof/>
              </w:rPr>
            </w:pPr>
            <w:r w:rsidRPr="00A77178">
              <w:rPr>
                <w:noProof/>
              </w:rPr>
              <w:t>7.5%</w:t>
            </w:r>
          </w:p>
        </w:tc>
      </w:tr>
      <w:tr w:rsidR="008679A1" w:rsidRPr="00A77178" w14:paraId="6FA0AAC0" w14:textId="77777777" w:rsidTr="00011785">
        <w:trPr>
          <w:jc w:val="center"/>
        </w:trPr>
        <w:tc>
          <w:tcPr>
            <w:tcW w:w="2709" w:type="dxa"/>
          </w:tcPr>
          <w:p w14:paraId="28D64C8B" w14:textId="77777777" w:rsidR="008679A1" w:rsidRPr="00A77178" w:rsidRDefault="008679A1" w:rsidP="00011785">
            <w:pPr>
              <w:pStyle w:val="Tabletext"/>
              <w:keepNext/>
              <w:keepLines/>
              <w:jc w:val="center"/>
              <w:rPr>
                <w:noProof/>
              </w:rPr>
            </w:pPr>
            <w:r w:rsidRPr="00A77178">
              <w:rPr>
                <w:noProof/>
              </w:rPr>
              <w:t>26 – 100</w:t>
            </w:r>
          </w:p>
        </w:tc>
        <w:tc>
          <w:tcPr>
            <w:tcW w:w="2596" w:type="dxa"/>
          </w:tcPr>
          <w:p w14:paraId="404341DE" w14:textId="77777777" w:rsidR="008679A1" w:rsidRPr="00A77178" w:rsidRDefault="008679A1" w:rsidP="00011785">
            <w:pPr>
              <w:pStyle w:val="Tabletext"/>
              <w:keepNext/>
              <w:keepLines/>
              <w:jc w:val="center"/>
              <w:rPr>
                <w:noProof/>
              </w:rPr>
            </w:pPr>
            <w:r w:rsidRPr="00A77178">
              <w:rPr>
                <w:noProof/>
              </w:rPr>
              <w:t>26%</w:t>
            </w:r>
          </w:p>
        </w:tc>
        <w:tc>
          <w:tcPr>
            <w:tcW w:w="2841" w:type="dxa"/>
          </w:tcPr>
          <w:p w14:paraId="6F42C586" w14:textId="77777777" w:rsidR="008679A1" w:rsidRPr="00A77178" w:rsidRDefault="008679A1" w:rsidP="00011785">
            <w:pPr>
              <w:pStyle w:val="Tabletext"/>
              <w:keepNext/>
              <w:keepLines/>
              <w:jc w:val="center"/>
              <w:rPr>
                <w:noProof/>
              </w:rPr>
            </w:pPr>
            <w:r w:rsidRPr="00A77178">
              <w:rPr>
                <w:noProof/>
              </w:rPr>
              <w:t>7.5%</w:t>
            </w:r>
          </w:p>
        </w:tc>
      </w:tr>
      <w:tr w:rsidR="008679A1" w:rsidRPr="00A77178" w14:paraId="5F96DA15" w14:textId="77777777" w:rsidTr="00011785">
        <w:trPr>
          <w:jc w:val="center"/>
        </w:trPr>
        <w:tc>
          <w:tcPr>
            <w:tcW w:w="2709" w:type="dxa"/>
          </w:tcPr>
          <w:p w14:paraId="01C3785F" w14:textId="77777777" w:rsidR="008679A1" w:rsidRPr="00A77178" w:rsidRDefault="008679A1" w:rsidP="00011785">
            <w:pPr>
              <w:pStyle w:val="Tabletext"/>
              <w:jc w:val="center"/>
              <w:rPr>
                <w:noProof/>
              </w:rPr>
            </w:pPr>
            <w:r w:rsidRPr="00A77178">
              <w:rPr>
                <w:noProof/>
              </w:rPr>
              <w:t>101 – 300</w:t>
            </w:r>
          </w:p>
        </w:tc>
        <w:tc>
          <w:tcPr>
            <w:tcW w:w="2596" w:type="dxa"/>
          </w:tcPr>
          <w:p w14:paraId="42ED884A" w14:textId="77777777" w:rsidR="008679A1" w:rsidRPr="00A77178" w:rsidRDefault="008679A1" w:rsidP="00011785">
            <w:pPr>
              <w:pStyle w:val="Tabletext"/>
              <w:jc w:val="center"/>
              <w:rPr>
                <w:noProof/>
              </w:rPr>
            </w:pPr>
            <w:r w:rsidRPr="00A77178">
              <w:rPr>
                <w:noProof/>
              </w:rPr>
              <w:t>12%</w:t>
            </w:r>
          </w:p>
        </w:tc>
        <w:tc>
          <w:tcPr>
            <w:tcW w:w="2841" w:type="dxa"/>
          </w:tcPr>
          <w:p w14:paraId="2D924612" w14:textId="77777777" w:rsidR="008679A1" w:rsidRPr="00A77178" w:rsidRDefault="008679A1" w:rsidP="00011785">
            <w:pPr>
              <w:pStyle w:val="Tabletext"/>
              <w:jc w:val="center"/>
              <w:rPr>
                <w:noProof/>
              </w:rPr>
            </w:pPr>
            <w:r w:rsidRPr="00A77178">
              <w:rPr>
                <w:noProof/>
              </w:rPr>
              <w:t>15%</w:t>
            </w:r>
          </w:p>
        </w:tc>
      </w:tr>
      <w:tr w:rsidR="008679A1" w:rsidRPr="00A77178" w14:paraId="552926DA" w14:textId="77777777" w:rsidTr="00011785">
        <w:trPr>
          <w:jc w:val="center"/>
        </w:trPr>
        <w:tc>
          <w:tcPr>
            <w:tcW w:w="2709" w:type="dxa"/>
          </w:tcPr>
          <w:p w14:paraId="393944A6" w14:textId="77777777" w:rsidR="008679A1" w:rsidRPr="00A77178" w:rsidRDefault="008679A1" w:rsidP="00011785">
            <w:pPr>
              <w:pStyle w:val="Tabletext"/>
              <w:jc w:val="center"/>
              <w:rPr>
                <w:noProof/>
              </w:rPr>
            </w:pPr>
            <w:r w:rsidRPr="00A77178">
              <w:rPr>
                <w:noProof/>
              </w:rPr>
              <w:t>Over 300</w:t>
            </w:r>
          </w:p>
        </w:tc>
        <w:tc>
          <w:tcPr>
            <w:tcW w:w="2596" w:type="dxa"/>
          </w:tcPr>
          <w:p w14:paraId="650B7928" w14:textId="77777777" w:rsidR="008679A1" w:rsidRPr="00A77178" w:rsidRDefault="008679A1" w:rsidP="00011785">
            <w:pPr>
              <w:pStyle w:val="Tabletext"/>
              <w:jc w:val="center"/>
              <w:rPr>
                <w:noProof/>
              </w:rPr>
            </w:pPr>
            <w:r w:rsidRPr="00A77178">
              <w:rPr>
                <w:noProof/>
              </w:rPr>
              <w:t>6%</w:t>
            </w:r>
          </w:p>
        </w:tc>
        <w:tc>
          <w:tcPr>
            <w:tcW w:w="2841" w:type="dxa"/>
          </w:tcPr>
          <w:p w14:paraId="0433E01B" w14:textId="77777777" w:rsidR="008679A1" w:rsidRPr="00A77178" w:rsidRDefault="008679A1" w:rsidP="00011785">
            <w:pPr>
              <w:pStyle w:val="Tabletext"/>
              <w:jc w:val="center"/>
              <w:rPr>
                <w:noProof/>
              </w:rPr>
            </w:pPr>
            <w:r w:rsidRPr="00A77178">
              <w:rPr>
                <w:noProof/>
              </w:rPr>
              <w:t>7.5%</w:t>
            </w:r>
          </w:p>
        </w:tc>
      </w:tr>
    </w:tbl>
    <w:p w14:paraId="26C45822" w14:textId="77777777" w:rsidR="008679A1" w:rsidRPr="00A77178" w:rsidRDefault="008679A1" w:rsidP="008679A1">
      <w:pPr>
        <w:pStyle w:val="Tablefin"/>
        <w:rPr>
          <w:noProof/>
        </w:rPr>
      </w:pPr>
    </w:p>
    <w:p w14:paraId="5575C925" w14:textId="77777777" w:rsidR="008679A1" w:rsidRPr="00A77178" w:rsidRDefault="008679A1" w:rsidP="000076AF">
      <w:pPr>
        <w:pStyle w:val="Headingb"/>
        <w:rPr>
          <w:noProof/>
        </w:rPr>
      </w:pPr>
      <w:r w:rsidRPr="00A77178">
        <w:rPr>
          <w:noProof/>
        </w:rPr>
        <w:t>2)</w:t>
      </w:r>
      <w:r w:rsidRPr="00A77178">
        <w:rPr>
          <w:noProof/>
        </w:rPr>
        <w:tab/>
        <w:t>Permanent installation</w:t>
      </w:r>
    </w:p>
    <w:p w14:paraId="22B28482" w14:textId="0D0426BC" w:rsidR="008679A1" w:rsidRPr="00A77178" w:rsidRDefault="008679A1" w:rsidP="006A5081">
      <w:pPr>
        <w:jc w:val="both"/>
        <w:rPr>
          <w:noProof/>
        </w:rPr>
      </w:pPr>
      <w:r w:rsidRPr="00A77178">
        <w:rPr>
          <w:noProof/>
        </w:rPr>
        <w:t>Propagation beacon and repeater station directories can be consulted to gather information on the permanent stations deployed within a territory. They are usually licensed to operate at a specific ERP. Table 7 summarises information on stations in current use extracted from published information from a number of countries:</w:t>
      </w:r>
    </w:p>
    <w:p w14:paraId="35923091" w14:textId="734EAF0B" w:rsidR="008679A1" w:rsidRPr="00A77178" w:rsidRDefault="008679A1" w:rsidP="008679A1">
      <w:pPr>
        <w:pStyle w:val="TableNo"/>
        <w:rPr>
          <w:noProof/>
        </w:rPr>
      </w:pPr>
      <w:r w:rsidRPr="00A77178">
        <w:rPr>
          <w:noProof/>
        </w:rPr>
        <w:t>Table 7</w:t>
      </w:r>
    </w:p>
    <w:p w14:paraId="445DED23" w14:textId="77777777" w:rsidR="008679A1" w:rsidRPr="00A77178" w:rsidRDefault="008679A1" w:rsidP="008679A1">
      <w:pPr>
        <w:pStyle w:val="Tabletitle"/>
        <w:rPr>
          <w:noProof/>
        </w:rPr>
      </w:pPr>
      <w:r w:rsidRPr="00A77178">
        <w:rPr>
          <w:noProof/>
        </w:rPr>
        <w:t>Transmitter radiated power ranges in use</w:t>
      </w:r>
    </w:p>
    <w:tbl>
      <w:tblPr>
        <w:tblStyle w:val="TableGrid"/>
        <w:tblW w:w="0" w:type="auto"/>
        <w:jc w:val="center"/>
        <w:tblLook w:val="04A0" w:firstRow="1" w:lastRow="0" w:firstColumn="1" w:lastColumn="0" w:noHBand="0" w:noVBand="1"/>
      </w:tblPr>
      <w:tblGrid>
        <w:gridCol w:w="2693"/>
        <w:gridCol w:w="2880"/>
        <w:gridCol w:w="2507"/>
      </w:tblGrid>
      <w:tr w:rsidR="008679A1" w:rsidRPr="00A77178" w14:paraId="63609F56" w14:textId="77777777" w:rsidTr="00011785">
        <w:trPr>
          <w:tblHeader/>
          <w:jc w:val="center"/>
        </w:trPr>
        <w:tc>
          <w:tcPr>
            <w:tcW w:w="2693" w:type="dxa"/>
          </w:tcPr>
          <w:p w14:paraId="625F35F9" w14:textId="14B4807A" w:rsidR="008679A1" w:rsidRPr="00A77178" w:rsidRDefault="008679A1" w:rsidP="00011785">
            <w:pPr>
              <w:pStyle w:val="Tablehead"/>
              <w:rPr>
                <w:noProof/>
              </w:rPr>
            </w:pPr>
            <w:r w:rsidRPr="00A77178">
              <w:rPr>
                <w:noProof/>
              </w:rPr>
              <w:t xml:space="preserve">ERP </w:t>
            </w:r>
            <w:r w:rsidR="006A5081">
              <w:rPr>
                <w:noProof/>
              </w:rPr>
              <w:br/>
            </w:r>
            <w:r w:rsidRPr="00A77178">
              <w:rPr>
                <w:noProof/>
              </w:rPr>
              <w:t>(watts)</w:t>
            </w:r>
          </w:p>
        </w:tc>
        <w:tc>
          <w:tcPr>
            <w:tcW w:w="2880" w:type="dxa"/>
          </w:tcPr>
          <w:p w14:paraId="79A67EA0" w14:textId="77777777" w:rsidR="008679A1" w:rsidRPr="00A77178" w:rsidRDefault="008679A1" w:rsidP="00011785">
            <w:pPr>
              <w:pStyle w:val="Tablehead"/>
              <w:rPr>
                <w:noProof/>
              </w:rPr>
            </w:pPr>
            <w:r w:rsidRPr="00A77178">
              <w:rPr>
                <w:noProof/>
              </w:rPr>
              <w:t>% propagation beacons</w:t>
            </w:r>
          </w:p>
        </w:tc>
        <w:tc>
          <w:tcPr>
            <w:tcW w:w="2507" w:type="dxa"/>
          </w:tcPr>
          <w:p w14:paraId="0354B2EB" w14:textId="77777777" w:rsidR="008679A1" w:rsidRPr="00A77178" w:rsidRDefault="008679A1" w:rsidP="00011785">
            <w:pPr>
              <w:pStyle w:val="Tablehead"/>
              <w:rPr>
                <w:noProof/>
              </w:rPr>
            </w:pPr>
            <w:r w:rsidRPr="00A77178">
              <w:rPr>
                <w:noProof/>
              </w:rPr>
              <w:t>% repeaters</w:t>
            </w:r>
          </w:p>
        </w:tc>
      </w:tr>
      <w:tr w:rsidR="008679A1" w:rsidRPr="00A77178" w14:paraId="5C17E6F3" w14:textId="77777777" w:rsidTr="00011785">
        <w:trPr>
          <w:jc w:val="center"/>
        </w:trPr>
        <w:tc>
          <w:tcPr>
            <w:tcW w:w="2693" w:type="dxa"/>
          </w:tcPr>
          <w:p w14:paraId="0CCD8867" w14:textId="77777777" w:rsidR="008679A1" w:rsidRPr="00A77178" w:rsidRDefault="008679A1" w:rsidP="00011785">
            <w:pPr>
              <w:pStyle w:val="Tabletext"/>
              <w:jc w:val="center"/>
              <w:rPr>
                <w:noProof/>
              </w:rPr>
            </w:pPr>
            <w:r w:rsidRPr="00A77178">
              <w:rPr>
                <w:noProof/>
              </w:rPr>
              <w:t>Up to 10</w:t>
            </w:r>
          </w:p>
        </w:tc>
        <w:tc>
          <w:tcPr>
            <w:tcW w:w="2880" w:type="dxa"/>
          </w:tcPr>
          <w:p w14:paraId="43F69FF3" w14:textId="77777777" w:rsidR="008679A1" w:rsidRPr="00A77178" w:rsidRDefault="008679A1" w:rsidP="00011785">
            <w:pPr>
              <w:pStyle w:val="Tabletext"/>
              <w:jc w:val="center"/>
              <w:rPr>
                <w:noProof/>
              </w:rPr>
            </w:pPr>
            <w:r w:rsidRPr="00A77178">
              <w:rPr>
                <w:noProof/>
              </w:rPr>
              <w:t>69%</w:t>
            </w:r>
          </w:p>
        </w:tc>
        <w:tc>
          <w:tcPr>
            <w:tcW w:w="2507" w:type="dxa"/>
          </w:tcPr>
          <w:p w14:paraId="67630085" w14:textId="77777777" w:rsidR="008679A1" w:rsidRPr="00A77178" w:rsidRDefault="008679A1" w:rsidP="00011785">
            <w:pPr>
              <w:pStyle w:val="Tabletext"/>
              <w:jc w:val="center"/>
              <w:rPr>
                <w:noProof/>
              </w:rPr>
            </w:pPr>
            <w:r w:rsidRPr="00A77178">
              <w:rPr>
                <w:noProof/>
              </w:rPr>
              <w:t>16%</w:t>
            </w:r>
          </w:p>
        </w:tc>
      </w:tr>
      <w:tr w:rsidR="008679A1" w:rsidRPr="00A77178" w14:paraId="5E809402" w14:textId="77777777" w:rsidTr="00011785">
        <w:trPr>
          <w:jc w:val="center"/>
        </w:trPr>
        <w:tc>
          <w:tcPr>
            <w:tcW w:w="2693" w:type="dxa"/>
          </w:tcPr>
          <w:p w14:paraId="1C03E30D" w14:textId="77777777" w:rsidR="008679A1" w:rsidRPr="00A77178" w:rsidRDefault="008679A1" w:rsidP="00011785">
            <w:pPr>
              <w:pStyle w:val="Tabletext"/>
              <w:jc w:val="center"/>
              <w:rPr>
                <w:noProof/>
              </w:rPr>
            </w:pPr>
            <w:r w:rsidRPr="00A77178">
              <w:rPr>
                <w:noProof/>
              </w:rPr>
              <w:t>11 – 25</w:t>
            </w:r>
          </w:p>
        </w:tc>
        <w:tc>
          <w:tcPr>
            <w:tcW w:w="2880" w:type="dxa"/>
          </w:tcPr>
          <w:p w14:paraId="5C2A3D57" w14:textId="77777777" w:rsidR="008679A1" w:rsidRPr="00A77178" w:rsidRDefault="008679A1" w:rsidP="00011785">
            <w:pPr>
              <w:pStyle w:val="Tabletext"/>
              <w:jc w:val="center"/>
              <w:rPr>
                <w:noProof/>
              </w:rPr>
            </w:pPr>
            <w:r w:rsidRPr="00A77178">
              <w:rPr>
                <w:noProof/>
              </w:rPr>
              <w:t>8%</w:t>
            </w:r>
          </w:p>
        </w:tc>
        <w:tc>
          <w:tcPr>
            <w:tcW w:w="2507" w:type="dxa"/>
          </w:tcPr>
          <w:p w14:paraId="5B8027B8" w14:textId="77777777" w:rsidR="008679A1" w:rsidRPr="00A77178" w:rsidRDefault="008679A1" w:rsidP="00011785">
            <w:pPr>
              <w:pStyle w:val="Tabletext"/>
              <w:jc w:val="center"/>
              <w:rPr>
                <w:noProof/>
              </w:rPr>
            </w:pPr>
            <w:r w:rsidRPr="00A77178">
              <w:rPr>
                <w:noProof/>
              </w:rPr>
              <w:t>76%</w:t>
            </w:r>
          </w:p>
        </w:tc>
      </w:tr>
      <w:tr w:rsidR="008679A1" w:rsidRPr="00A77178" w14:paraId="74EE548F" w14:textId="77777777" w:rsidTr="00011785">
        <w:trPr>
          <w:jc w:val="center"/>
        </w:trPr>
        <w:tc>
          <w:tcPr>
            <w:tcW w:w="2693" w:type="dxa"/>
          </w:tcPr>
          <w:p w14:paraId="05BB0C96" w14:textId="77777777" w:rsidR="008679A1" w:rsidRPr="00A77178" w:rsidRDefault="008679A1" w:rsidP="00011785">
            <w:pPr>
              <w:pStyle w:val="Tabletext"/>
              <w:jc w:val="center"/>
              <w:rPr>
                <w:noProof/>
              </w:rPr>
            </w:pPr>
            <w:r w:rsidRPr="00A77178">
              <w:rPr>
                <w:noProof/>
              </w:rPr>
              <w:t>26 – 100</w:t>
            </w:r>
          </w:p>
        </w:tc>
        <w:tc>
          <w:tcPr>
            <w:tcW w:w="2880" w:type="dxa"/>
          </w:tcPr>
          <w:p w14:paraId="73DE93A1" w14:textId="77777777" w:rsidR="008679A1" w:rsidRPr="00A77178" w:rsidRDefault="008679A1" w:rsidP="00011785">
            <w:pPr>
              <w:pStyle w:val="Tabletext"/>
              <w:jc w:val="center"/>
              <w:rPr>
                <w:noProof/>
              </w:rPr>
            </w:pPr>
            <w:r w:rsidRPr="00A77178">
              <w:rPr>
                <w:noProof/>
              </w:rPr>
              <w:t>20%</w:t>
            </w:r>
          </w:p>
        </w:tc>
        <w:tc>
          <w:tcPr>
            <w:tcW w:w="2507" w:type="dxa"/>
          </w:tcPr>
          <w:p w14:paraId="3CD29015" w14:textId="77777777" w:rsidR="008679A1" w:rsidRPr="00A77178" w:rsidRDefault="008679A1" w:rsidP="00011785">
            <w:pPr>
              <w:pStyle w:val="Tabletext"/>
              <w:jc w:val="center"/>
              <w:rPr>
                <w:noProof/>
              </w:rPr>
            </w:pPr>
            <w:r w:rsidRPr="00A77178">
              <w:rPr>
                <w:noProof/>
              </w:rPr>
              <w:t>8%</w:t>
            </w:r>
          </w:p>
        </w:tc>
      </w:tr>
      <w:tr w:rsidR="008679A1" w:rsidRPr="00A77178" w14:paraId="0325606B" w14:textId="77777777" w:rsidTr="00011785">
        <w:trPr>
          <w:jc w:val="center"/>
        </w:trPr>
        <w:tc>
          <w:tcPr>
            <w:tcW w:w="2693" w:type="dxa"/>
          </w:tcPr>
          <w:p w14:paraId="762EF778" w14:textId="77777777" w:rsidR="008679A1" w:rsidRPr="00A77178" w:rsidRDefault="008679A1" w:rsidP="00011785">
            <w:pPr>
              <w:pStyle w:val="Tabletext"/>
              <w:jc w:val="center"/>
              <w:rPr>
                <w:noProof/>
              </w:rPr>
            </w:pPr>
            <w:r w:rsidRPr="00A77178">
              <w:rPr>
                <w:noProof/>
              </w:rPr>
              <w:t>101 – 300</w:t>
            </w:r>
          </w:p>
        </w:tc>
        <w:tc>
          <w:tcPr>
            <w:tcW w:w="2880" w:type="dxa"/>
          </w:tcPr>
          <w:p w14:paraId="02D8AAD0" w14:textId="77777777" w:rsidR="008679A1" w:rsidRPr="00A77178" w:rsidRDefault="008679A1" w:rsidP="00011785">
            <w:pPr>
              <w:pStyle w:val="Tabletext"/>
              <w:jc w:val="center"/>
              <w:rPr>
                <w:noProof/>
              </w:rPr>
            </w:pPr>
            <w:r w:rsidRPr="00A77178">
              <w:rPr>
                <w:noProof/>
              </w:rPr>
              <w:t>1%</w:t>
            </w:r>
          </w:p>
        </w:tc>
        <w:tc>
          <w:tcPr>
            <w:tcW w:w="2507" w:type="dxa"/>
          </w:tcPr>
          <w:p w14:paraId="4D1D968C" w14:textId="77777777" w:rsidR="008679A1" w:rsidRPr="00A77178" w:rsidRDefault="008679A1" w:rsidP="00011785">
            <w:pPr>
              <w:pStyle w:val="Tabletext"/>
              <w:jc w:val="center"/>
              <w:rPr>
                <w:noProof/>
              </w:rPr>
            </w:pPr>
            <w:r w:rsidRPr="00A77178">
              <w:rPr>
                <w:noProof/>
              </w:rPr>
              <w:t>0%</w:t>
            </w:r>
          </w:p>
        </w:tc>
      </w:tr>
      <w:tr w:rsidR="008679A1" w:rsidRPr="00A77178" w14:paraId="62E372E8" w14:textId="77777777" w:rsidTr="00011785">
        <w:trPr>
          <w:jc w:val="center"/>
        </w:trPr>
        <w:tc>
          <w:tcPr>
            <w:tcW w:w="2693" w:type="dxa"/>
          </w:tcPr>
          <w:p w14:paraId="4BF08E09" w14:textId="77777777" w:rsidR="008679A1" w:rsidRPr="00A77178" w:rsidRDefault="008679A1" w:rsidP="00011785">
            <w:pPr>
              <w:pStyle w:val="Tabletext"/>
              <w:jc w:val="center"/>
              <w:rPr>
                <w:noProof/>
              </w:rPr>
            </w:pPr>
            <w:r w:rsidRPr="00A77178">
              <w:rPr>
                <w:noProof/>
              </w:rPr>
              <w:t>Over 300</w:t>
            </w:r>
          </w:p>
        </w:tc>
        <w:tc>
          <w:tcPr>
            <w:tcW w:w="2880" w:type="dxa"/>
          </w:tcPr>
          <w:p w14:paraId="6685CCB5" w14:textId="77777777" w:rsidR="008679A1" w:rsidRPr="00A77178" w:rsidRDefault="008679A1" w:rsidP="00011785">
            <w:pPr>
              <w:pStyle w:val="Tabletext"/>
              <w:jc w:val="center"/>
              <w:rPr>
                <w:noProof/>
              </w:rPr>
            </w:pPr>
            <w:r w:rsidRPr="00A77178">
              <w:rPr>
                <w:noProof/>
              </w:rPr>
              <w:t>1%</w:t>
            </w:r>
          </w:p>
        </w:tc>
        <w:tc>
          <w:tcPr>
            <w:tcW w:w="2507" w:type="dxa"/>
          </w:tcPr>
          <w:p w14:paraId="360B19A4" w14:textId="77777777" w:rsidR="008679A1" w:rsidRPr="00A77178" w:rsidRDefault="008679A1" w:rsidP="00011785">
            <w:pPr>
              <w:pStyle w:val="Tabletext"/>
              <w:jc w:val="center"/>
              <w:rPr>
                <w:noProof/>
              </w:rPr>
            </w:pPr>
            <w:r w:rsidRPr="00A77178">
              <w:rPr>
                <w:noProof/>
              </w:rPr>
              <w:t>0%</w:t>
            </w:r>
          </w:p>
        </w:tc>
      </w:tr>
    </w:tbl>
    <w:p w14:paraId="4ABC0F50" w14:textId="77777777" w:rsidR="008679A1" w:rsidRPr="00A77178" w:rsidRDefault="008679A1" w:rsidP="008679A1">
      <w:pPr>
        <w:pStyle w:val="Tablefin"/>
        <w:rPr>
          <w:noProof/>
        </w:rPr>
      </w:pPr>
    </w:p>
    <w:p w14:paraId="2BA45285" w14:textId="2C9E3468" w:rsidR="008679A1" w:rsidRPr="00A77178" w:rsidRDefault="008679A1" w:rsidP="006A5081">
      <w:pPr>
        <w:tabs>
          <w:tab w:val="clear" w:pos="1134"/>
          <w:tab w:val="clear" w:pos="1871"/>
          <w:tab w:val="clear" w:pos="2268"/>
        </w:tabs>
        <w:overflowPunct/>
        <w:autoSpaceDE/>
        <w:autoSpaceDN/>
        <w:adjustRightInd/>
        <w:spacing w:before="0"/>
        <w:jc w:val="both"/>
        <w:textAlignment w:val="auto"/>
        <w:rPr>
          <w:noProof/>
          <w:szCs w:val="24"/>
          <w:lang w:eastAsia="de-CH"/>
        </w:rPr>
      </w:pPr>
      <w:r w:rsidRPr="00A77178">
        <w:rPr>
          <w:iCs/>
          <w:noProof/>
        </w:rPr>
        <w:t>According to the information in Table 7, no repeater is currently in use with an ERP of more than 100 W. However, based on t</w:t>
      </w:r>
      <w:r w:rsidRPr="00A77178">
        <w:rPr>
          <w:noProof/>
        </w:rPr>
        <w:t>he extract from the license database of one administration on unmanned amateur radio stations parameters, it is indicated that some repeater / relay - stations are licensed to operate with a radiated power up to 380 W</w:t>
      </w:r>
      <w:r w:rsidRPr="00A77178">
        <w:rPr>
          <w:rStyle w:val="FootnoteReference"/>
          <w:noProof/>
        </w:rPr>
        <w:footnoteReference w:id="9"/>
      </w:r>
      <w:r w:rsidRPr="00A77178">
        <w:rPr>
          <w:noProof/>
        </w:rPr>
        <w:t xml:space="preserve"> ERP, but the operational status of these stations is unknown. Note that </w:t>
      </w:r>
      <w:r w:rsidRPr="00A77178">
        <w:rPr>
          <w:iCs/>
          <w:noProof/>
        </w:rPr>
        <w:t>there is a limit on the radiated power of unmanned stations given by national regulation and licensing conditions.</w:t>
      </w:r>
      <w:r w:rsidRPr="00A77178">
        <w:rPr>
          <w:noProof/>
          <w:szCs w:val="24"/>
          <w:lang w:eastAsia="de-CH"/>
        </w:rPr>
        <w:t xml:space="preserve"> </w:t>
      </w:r>
    </w:p>
    <w:p w14:paraId="59FE85B7" w14:textId="4C4D338D" w:rsidR="008679A1" w:rsidRPr="00A77178" w:rsidRDefault="008679A1" w:rsidP="008679A1">
      <w:pPr>
        <w:pStyle w:val="Heading2"/>
        <w:rPr>
          <w:noProof/>
        </w:rPr>
      </w:pPr>
      <w:r w:rsidRPr="00A77178">
        <w:rPr>
          <w:noProof/>
        </w:rPr>
        <w:t>3.4</w:t>
      </w:r>
      <w:r w:rsidRPr="00A77178">
        <w:rPr>
          <w:noProof/>
        </w:rPr>
        <w:tab/>
        <w:t xml:space="preserve">Representative antenna heights </w:t>
      </w:r>
    </w:p>
    <w:p w14:paraId="145CAFAD" w14:textId="77777777" w:rsidR="008679A1" w:rsidRPr="00A77178" w:rsidRDefault="008679A1" w:rsidP="006A5081">
      <w:pPr>
        <w:jc w:val="both"/>
        <w:rPr>
          <w:noProof/>
        </w:rPr>
      </w:pPr>
      <w:r w:rsidRPr="00A77178">
        <w:rPr>
          <w:noProof/>
        </w:rPr>
        <w:t>The following antenna heights are representative of typical amateur station installations.</w:t>
      </w:r>
    </w:p>
    <w:p w14:paraId="42CC2C6E" w14:textId="48BF83C9" w:rsidR="008679A1" w:rsidRPr="00A77178" w:rsidRDefault="008679A1" w:rsidP="006A5081">
      <w:pPr>
        <w:pStyle w:val="enumlev1"/>
        <w:jc w:val="both"/>
        <w:rPr>
          <w:noProof/>
        </w:rPr>
      </w:pPr>
      <w:r w:rsidRPr="00A77178">
        <w:rPr>
          <w:noProof/>
        </w:rPr>
        <w:t>–</w:t>
      </w:r>
      <w:r w:rsidRPr="00A77178">
        <w:rPr>
          <w:noProof/>
        </w:rPr>
        <w:tab/>
        <w:t>Typical antenna height for a home station; 12 m above ground level.</w:t>
      </w:r>
    </w:p>
    <w:p w14:paraId="2DD154B9" w14:textId="762F8E82" w:rsidR="008679A1" w:rsidRPr="00A77178" w:rsidRDefault="008679A1" w:rsidP="006A5081">
      <w:pPr>
        <w:pStyle w:val="enumlev1"/>
        <w:jc w:val="both"/>
        <w:rPr>
          <w:noProof/>
        </w:rPr>
      </w:pPr>
      <w:r w:rsidRPr="00A77178">
        <w:rPr>
          <w:noProof/>
        </w:rPr>
        <w:t>–</w:t>
      </w:r>
      <w:r w:rsidRPr="00A77178">
        <w:rPr>
          <w:noProof/>
        </w:rPr>
        <w:tab/>
        <w:t>Typical antenna height for a temporary station; 3 m to 15 m above ground level.</w:t>
      </w:r>
    </w:p>
    <w:p w14:paraId="52AC121A" w14:textId="1A89D455" w:rsidR="008679A1" w:rsidRPr="00A77178" w:rsidRDefault="008679A1" w:rsidP="006A5081">
      <w:pPr>
        <w:pStyle w:val="enumlev1"/>
        <w:jc w:val="both"/>
        <w:rPr>
          <w:noProof/>
        </w:rPr>
      </w:pPr>
      <w:r w:rsidRPr="00A77178">
        <w:rPr>
          <w:noProof/>
        </w:rPr>
        <w:lastRenderedPageBreak/>
        <w:t>–</w:t>
      </w:r>
      <w:r w:rsidRPr="00A77178">
        <w:rPr>
          <w:noProof/>
        </w:rPr>
        <w:tab/>
        <w:t>Typical height for a permanent installation station; 25 m above ground level.</w:t>
      </w:r>
    </w:p>
    <w:p w14:paraId="2E3F4191" w14:textId="77777777" w:rsidR="008679A1" w:rsidRPr="00A77178" w:rsidRDefault="008679A1" w:rsidP="006A5081">
      <w:pPr>
        <w:jc w:val="both"/>
        <w:rPr>
          <w:noProof/>
        </w:rPr>
      </w:pPr>
      <w:r w:rsidRPr="00A77178">
        <w:rPr>
          <w:noProof/>
        </w:rPr>
        <w:t xml:space="preserve">Permanent installation stations are often installed at an advantageous location so as to take advantage of elevated local terrain or tall structures in order to increase the effective antenna height. </w:t>
      </w:r>
    </w:p>
    <w:p w14:paraId="4BC33483" w14:textId="1E927A94" w:rsidR="008679A1" w:rsidRPr="00A77178" w:rsidRDefault="008679A1" w:rsidP="008679A1">
      <w:pPr>
        <w:pStyle w:val="Heading2"/>
        <w:rPr>
          <w:noProof/>
        </w:rPr>
      </w:pPr>
      <w:r w:rsidRPr="00A77178">
        <w:rPr>
          <w:noProof/>
        </w:rPr>
        <w:t>3.5</w:t>
      </w:r>
      <w:r w:rsidRPr="00A77178">
        <w:rPr>
          <w:noProof/>
        </w:rPr>
        <w:tab/>
        <w:t>Amateur station 1 240-1 300 MHz band usage patterns</w:t>
      </w:r>
    </w:p>
    <w:p w14:paraId="1AC26174" w14:textId="7475473F" w:rsidR="008679A1" w:rsidRPr="00A77178" w:rsidRDefault="008679A1" w:rsidP="006A5081">
      <w:pPr>
        <w:jc w:val="both"/>
        <w:rPr>
          <w:noProof/>
        </w:rPr>
      </w:pPr>
      <w:r w:rsidRPr="00A77178">
        <w:rPr>
          <w:noProof/>
        </w:rPr>
        <w:t>For all home and temporary “portable” station applications, narrow-band or wideband, the highest number of actively transmitting amateur stations can be found during the scheduled operating and radiosport contest periods. Table 8 summarises the total scheduled operating and contest periods scheduled in one region for a typical year. As these activities are usually formalised in the amateur operator calendars, the published national results</w:t>
      </w:r>
      <w:r w:rsidRPr="00A77178">
        <w:rPr>
          <w:rStyle w:val="FootnoteReference"/>
          <w:noProof/>
        </w:rPr>
        <w:footnoteReference w:id="10"/>
      </w:r>
      <w:r w:rsidRPr="00A77178">
        <w:rPr>
          <w:noProof/>
        </w:rPr>
        <w:t xml:space="preserve"> can be consulted to determine the number of transmitting stations that were active during any one activity or contest period. </w:t>
      </w:r>
    </w:p>
    <w:p w14:paraId="2E216D24" w14:textId="523B20AA" w:rsidR="008679A1" w:rsidRPr="00A77178" w:rsidRDefault="008679A1" w:rsidP="008679A1">
      <w:pPr>
        <w:pStyle w:val="TableNo"/>
        <w:rPr>
          <w:noProof/>
        </w:rPr>
      </w:pPr>
      <w:r w:rsidRPr="00A77178">
        <w:rPr>
          <w:noProof/>
        </w:rPr>
        <w:t>Table 8</w:t>
      </w:r>
    </w:p>
    <w:p w14:paraId="5364DB4A" w14:textId="77777777" w:rsidR="008679A1" w:rsidRPr="00A77178" w:rsidRDefault="008679A1" w:rsidP="008679A1">
      <w:pPr>
        <w:pStyle w:val="Tabletitle"/>
        <w:rPr>
          <w:noProof/>
        </w:rPr>
      </w:pPr>
      <w:r w:rsidRPr="00A77178">
        <w:rPr>
          <w:noProof/>
        </w:rPr>
        <w:t xml:space="preserve">Scheduled operating periods and active operating station numbers </w:t>
      </w:r>
    </w:p>
    <w:tbl>
      <w:tblPr>
        <w:tblStyle w:val="TableGrid"/>
        <w:tblW w:w="9639" w:type="dxa"/>
        <w:jc w:val="center"/>
        <w:tblLayout w:type="fixed"/>
        <w:tblCellMar>
          <w:left w:w="57" w:type="dxa"/>
          <w:right w:w="57" w:type="dxa"/>
        </w:tblCellMar>
        <w:tblLook w:val="0000" w:firstRow="0" w:lastRow="0" w:firstColumn="0" w:lastColumn="0" w:noHBand="0" w:noVBand="0"/>
      </w:tblPr>
      <w:tblGrid>
        <w:gridCol w:w="1861"/>
        <w:gridCol w:w="1962"/>
        <w:gridCol w:w="3686"/>
        <w:gridCol w:w="2130"/>
      </w:tblGrid>
      <w:tr w:rsidR="008679A1" w:rsidRPr="00A77178" w14:paraId="46FC305A" w14:textId="77777777" w:rsidTr="00011785">
        <w:trPr>
          <w:cantSplit/>
          <w:tblHeader/>
          <w:jc w:val="center"/>
        </w:trPr>
        <w:tc>
          <w:tcPr>
            <w:tcW w:w="965" w:type="pct"/>
            <w:vAlign w:val="center"/>
          </w:tcPr>
          <w:p w14:paraId="5F3D7E39" w14:textId="77777777" w:rsidR="008679A1" w:rsidRPr="00A77178" w:rsidRDefault="008679A1" w:rsidP="00011785">
            <w:pPr>
              <w:pStyle w:val="Tablehead"/>
              <w:rPr>
                <w:noProof/>
              </w:rPr>
            </w:pPr>
            <w:r w:rsidRPr="00A77178">
              <w:rPr>
                <w:noProof/>
              </w:rPr>
              <w:t>Usage type</w:t>
            </w:r>
          </w:p>
        </w:tc>
        <w:tc>
          <w:tcPr>
            <w:tcW w:w="1017" w:type="pct"/>
            <w:vAlign w:val="center"/>
          </w:tcPr>
          <w:p w14:paraId="55203077" w14:textId="77777777" w:rsidR="008679A1" w:rsidRPr="00A77178" w:rsidRDefault="008679A1" w:rsidP="00011785">
            <w:pPr>
              <w:pStyle w:val="Tablehead"/>
              <w:rPr>
                <w:noProof/>
              </w:rPr>
            </w:pPr>
            <w:r w:rsidRPr="00A77178">
              <w:rPr>
                <w:noProof/>
              </w:rPr>
              <w:t>Annual scheduled operating periods</w:t>
            </w:r>
          </w:p>
        </w:tc>
        <w:tc>
          <w:tcPr>
            <w:tcW w:w="1912" w:type="pct"/>
            <w:vAlign w:val="center"/>
          </w:tcPr>
          <w:p w14:paraId="4EF02450" w14:textId="77777777" w:rsidR="008679A1" w:rsidRPr="00A77178" w:rsidRDefault="008679A1" w:rsidP="00011785">
            <w:pPr>
              <w:pStyle w:val="Tablehead"/>
              <w:rPr>
                <w:noProof/>
              </w:rPr>
            </w:pPr>
            <w:r w:rsidRPr="00A77178">
              <w:rPr>
                <w:noProof/>
              </w:rPr>
              <w:t>Total active stations per scheduled operating period</w:t>
            </w:r>
          </w:p>
        </w:tc>
        <w:tc>
          <w:tcPr>
            <w:tcW w:w="1105" w:type="pct"/>
            <w:vAlign w:val="center"/>
          </w:tcPr>
          <w:p w14:paraId="6DADFE28" w14:textId="77777777" w:rsidR="008679A1" w:rsidRPr="00A77178" w:rsidRDefault="008679A1" w:rsidP="00011785">
            <w:pPr>
              <w:pStyle w:val="Tablehead"/>
              <w:rPr>
                <w:noProof/>
              </w:rPr>
            </w:pPr>
            <w:r w:rsidRPr="00A77178">
              <w:rPr>
                <w:noProof/>
              </w:rPr>
              <w:t>Active temporary stations per scheduled operating period</w:t>
            </w:r>
          </w:p>
        </w:tc>
      </w:tr>
      <w:tr w:rsidR="008679A1" w:rsidRPr="00A77178" w14:paraId="652367DE" w14:textId="77777777" w:rsidTr="00011785">
        <w:trPr>
          <w:cantSplit/>
          <w:jc w:val="center"/>
        </w:trPr>
        <w:tc>
          <w:tcPr>
            <w:tcW w:w="965" w:type="pct"/>
          </w:tcPr>
          <w:p w14:paraId="53D7D538" w14:textId="77777777" w:rsidR="008679A1" w:rsidRPr="00A77178" w:rsidRDefault="008679A1" w:rsidP="00011785">
            <w:pPr>
              <w:pStyle w:val="Tabletext"/>
              <w:rPr>
                <w:noProof/>
              </w:rPr>
            </w:pPr>
            <w:r w:rsidRPr="00A77178">
              <w:rPr>
                <w:noProof/>
              </w:rPr>
              <w:t>Narrow-band activity period and radiosport</w:t>
            </w:r>
          </w:p>
        </w:tc>
        <w:tc>
          <w:tcPr>
            <w:tcW w:w="1017" w:type="pct"/>
          </w:tcPr>
          <w:p w14:paraId="1A1BAE19" w14:textId="77777777" w:rsidR="008679A1" w:rsidRPr="00A77178" w:rsidRDefault="008679A1" w:rsidP="00011785">
            <w:pPr>
              <w:pStyle w:val="Tabletext"/>
              <w:rPr>
                <w:noProof/>
              </w:rPr>
            </w:pPr>
            <w:r w:rsidRPr="00A77178">
              <w:rPr>
                <w:noProof/>
              </w:rPr>
              <w:t>Total, on average 108 hours over a year</w:t>
            </w:r>
          </w:p>
        </w:tc>
        <w:tc>
          <w:tcPr>
            <w:tcW w:w="1912" w:type="pct"/>
          </w:tcPr>
          <w:p w14:paraId="32F2A603" w14:textId="77777777" w:rsidR="008679A1" w:rsidRPr="00A77178" w:rsidRDefault="008679A1" w:rsidP="00011785">
            <w:pPr>
              <w:pStyle w:val="Tabletext"/>
              <w:rPr>
                <w:noProof/>
              </w:rPr>
            </w:pPr>
            <w:r w:rsidRPr="00A77178">
              <w:rPr>
                <w:noProof/>
              </w:rPr>
              <w:t xml:space="preserve">From 9 to 140 maximum depending on the country reviewed. </w:t>
            </w:r>
          </w:p>
        </w:tc>
        <w:tc>
          <w:tcPr>
            <w:tcW w:w="1105" w:type="pct"/>
          </w:tcPr>
          <w:p w14:paraId="21D78C05" w14:textId="77777777" w:rsidR="008679A1" w:rsidRPr="00A77178" w:rsidRDefault="008679A1" w:rsidP="00011785">
            <w:pPr>
              <w:pStyle w:val="Tabletext"/>
              <w:rPr>
                <w:noProof/>
              </w:rPr>
            </w:pPr>
            <w:r w:rsidRPr="00A77178">
              <w:rPr>
                <w:noProof/>
              </w:rPr>
              <w:t>15 to 20 maximum depending on the country reviewed.</w:t>
            </w:r>
          </w:p>
        </w:tc>
      </w:tr>
      <w:tr w:rsidR="008679A1" w:rsidRPr="00A77178" w14:paraId="6542C92D" w14:textId="77777777" w:rsidTr="00011785">
        <w:trPr>
          <w:cantSplit/>
          <w:jc w:val="center"/>
        </w:trPr>
        <w:tc>
          <w:tcPr>
            <w:tcW w:w="965" w:type="pct"/>
          </w:tcPr>
          <w:p w14:paraId="1A549780" w14:textId="77777777" w:rsidR="008679A1" w:rsidRPr="00A77178" w:rsidRDefault="008679A1" w:rsidP="00011785">
            <w:pPr>
              <w:pStyle w:val="Tabletext"/>
              <w:rPr>
                <w:noProof/>
              </w:rPr>
            </w:pPr>
            <w:r w:rsidRPr="00A77178">
              <w:rPr>
                <w:noProof/>
              </w:rPr>
              <w:t>EME activity</w:t>
            </w:r>
          </w:p>
        </w:tc>
        <w:tc>
          <w:tcPr>
            <w:tcW w:w="1017" w:type="pct"/>
          </w:tcPr>
          <w:p w14:paraId="3A44D9E6" w14:textId="77777777" w:rsidR="008679A1" w:rsidRPr="00A77178" w:rsidRDefault="008679A1" w:rsidP="00011785">
            <w:pPr>
              <w:pStyle w:val="Tabletext"/>
              <w:rPr>
                <w:noProof/>
              </w:rPr>
            </w:pPr>
            <w:r w:rsidRPr="00A77178">
              <w:rPr>
                <w:noProof/>
              </w:rPr>
              <w:t>5 × 24-hour contest periods</w:t>
            </w:r>
          </w:p>
        </w:tc>
        <w:tc>
          <w:tcPr>
            <w:tcW w:w="1912" w:type="pct"/>
          </w:tcPr>
          <w:p w14:paraId="7E682292" w14:textId="77777777" w:rsidR="008679A1" w:rsidRPr="00A77178" w:rsidRDefault="008679A1" w:rsidP="00011785">
            <w:pPr>
              <w:pStyle w:val="Tabletext"/>
              <w:rPr>
                <w:noProof/>
              </w:rPr>
            </w:pPr>
            <w:r w:rsidRPr="00A77178">
              <w:rPr>
                <w:noProof/>
              </w:rPr>
              <w:t>Up to 10 maximum depending on the country reviewed.</w:t>
            </w:r>
          </w:p>
          <w:p w14:paraId="7C0328F5" w14:textId="77777777" w:rsidR="008679A1" w:rsidRPr="00A77178" w:rsidRDefault="008679A1" w:rsidP="00011785">
            <w:pPr>
              <w:pStyle w:val="Tabletext"/>
              <w:rPr>
                <w:noProof/>
              </w:rPr>
            </w:pPr>
            <w:r w:rsidRPr="00A77178">
              <w:rPr>
                <w:noProof/>
              </w:rPr>
              <w:t>(Maximum &lt; 70 across the European area)</w:t>
            </w:r>
          </w:p>
        </w:tc>
        <w:tc>
          <w:tcPr>
            <w:tcW w:w="1105" w:type="pct"/>
          </w:tcPr>
          <w:p w14:paraId="20472AD4" w14:textId="77777777" w:rsidR="008679A1" w:rsidRPr="00A77178" w:rsidRDefault="008679A1" w:rsidP="00011785">
            <w:pPr>
              <w:pStyle w:val="Tabletext"/>
              <w:rPr>
                <w:noProof/>
              </w:rPr>
            </w:pPr>
            <w:r w:rsidRPr="00A77178">
              <w:rPr>
                <w:noProof/>
              </w:rPr>
              <w:t>None</w:t>
            </w:r>
          </w:p>
        </w:tc>
      </w:tr>
      <w:tr w:rsidR="008679A1" w:rsidRPr="00A77178" w14:paraId="4E36BCD3" w14:textId="77777777" w:rsidTr="00011785">
        <w:trPr>
          <w:cantSplit/>
          <w:jc w:val="center"/>
        </w:trPr>
        <w:tc>
          <w:tcPr>
            <w:tcW w:w="965" w:type="pct"/>
          </w:tcPr>
          <w:p w14:paraId="4E2CAC19" w14:textId="77777777" w:rsidR="008679A1" w:rsidRPr="00A77178" w:rsidRDefault="008679A1" w:rsidP="00011785">
            <w:pPr>
              <w:pStyle w:val="Tabletext"/>
              <w:rPr>
                <w:noProof/>
              </w:rPr>
            </w:pPr>
            <w:r w:rsidRPr="00A77178">
              <w:rPr>
                <w:noProof/>
              </w:rPr>
              <w:t xml:space="preserve">Wideband (typically ATV) activity period and radiosport </w:t>
            </w:r>
          </w:p>
        </w:tc>
        <w:tc>
          <w:tcPr>
            <w:tcW w:w="1017" w:type="pct"/>
          </w:tcPr>
          <w:p w14:paraId="22D31260" w14:textId="77777777" w:rsidR="008679A1" w:rsidRPr="00A77178" w:rsidRDefault="008679A1" w:rsidP="00011785">
            <w:pPr>
              <w:pStyle w:val="Tabletext"/>
              <w:rPr>
                <w:noProof/>
              </w:rPr>
            </w:pPr>
            <w:r w:rsidRPr="00A77178">
              <w:rPr>
                <w:noProof/>
              </w:rPr>
              <w:t>Total, on average 120 hours over a year</w:t>
            </w:r>
          </w:p>
        </w:tc>
        <w:tc>
          <w:tcPr>
            <w:tcW w:w="1912" w:type="pct"/>
          </w:tcPr>
          <w:p w14:paraId="1674B7CE" w14:textId="77777777" w:rsidR="008679A1" w:rsidRPr="00A77178" w:rsidRDefault="008679A1" w:rsidP="00011785">
            <w:pPr>
              <w:pStyle w:val="Tabletext"/>
              <w:rPr>
                <w:noProof/>
              </w:rPr>
            </w:pPr>
            <w:r w:rsidRPr="00A77178">
              <w:rPr>
                <w:noProof/>
              </w:rPr>
              <w:t>From 1 to 24 maximum depending on the country reviewed.</w:t>
            </w:r>
          </w:p>
          <w:p w14:paraId="16BC25E4" w14:textId="77777777" w:rsidR="008679A1" w:rsidRPr="00A77178" w:rsidRDefault="008679A1" w:rsidP="00011785">
            <w:pPr>
              <w:pStyle w:val="Tabletext"/>
              <w:rPr>
                <w:noProof/>
              </w:rPr>
            </w:pPr>
            <w:r w:rsidRPr="00A77178">
              <w:rPr>
                <w:noProof/>
              </w:rPr>
              <w:t>(Maximum &lt; 100 across the European area)</w:t>
            </w:r>
          </w:p>
        </w:tc>
        <w:tc>
          <w:tcPr>
            <w:tcW w:w="1105" w:type="pct"/>
          </w:tcPr>
          <w:p w14:paraId="4B065D51" w14:textId="77777777" w:rsidR="008679A1" w:rsidRPr="00A77178" w:rsidRDefault="008679A1" w:rsidP="00011785">
            <w:pPr>
              <w:pStyle w:val="Tabletext"/>
              <w:rPr>
                <w:noProof/>
              </w:rPr>
            </w:pPr>
            <w:r w:rsidRPr="00A77178">
              <w:rPr>
                <w:noProof/>
              </w:rPr>
              <w:t>10 maximum depending on the country reviewed.</w:t>
            </w:r>
          </w:p>
        </w:tc>
      </w:tr>
    </w:tbl>
    <w:p w14:paraId="24F6C0AC" w14:textId="77777777" w:rsidR="008679A1" w:rsidRPr="00A77178" w:rsidRDefault="008679A1" w:rsidP="008679A1">
      <w:pPr>
        <w:pStyle w:val="Tablefin"/>
        <w:rPr>
          <w:noProof/>
        </w:rPr>
      </w:pPr>
    </w:p>
    <w:p w14:paraId="294A4E0B" w14:textId="4160FF70" w:rsidR="008679A1" w:rsidRPr="00A77178" w:rsidRDefault="008679A1" w:rsidP="006A5081">
      <w:pPr>
        <w:jc w:val="both"/>
        <w:rPr>
          <w:noProof/>
        </w:rPr>
      </w:pPr>
      <w:r w:rsidRPr="00A77178">
        <w:rPr>
          <w:noProof/>
        </w:rPr>
        <w:t xml:space="preserve">Permanent installation stations present a different scenario when considering the operational time. </w:t>
      </w:r>
      <w:r w:rsidRPr="00A77178">
        <w:rPr>
          <w:rFonts w:cs="Arial"/>
          <w:bCs/>
          <w:noProof/>
        </w:rPr>
        <w:t xml:space="preserve">Unmanned amateur radio stations are more or less in continuous operation, while manned stations only transmit intermittently. </w:t>
      </w:r>
      <w:r w:rsidRPr="00A77178">
        <w:rPr>
          <w:noProof/>
        </w:rPr>
        <w:t xml:space="preserve">Propagation beacon and repeater station directories from a representative region can be consulted to develop the summary presented in Table 9. </w:t>
      </w:r>
    </w:p>
    <w:p w14:paraId="22A0C162" w14:textId="413431D2" w:rsidR="008679A1" w:rsidRPr="00A77178" w:rsidRDefault="008679A1" w:rsidP="008679A1">
      <w:pPr>
        <w:pStyle w:val="TableNo"/>
        <w:rPr>
          <w:noProof/>
        </w:rPr>
      </w:pPr>
      <w:r w:rsidRPr="00A77178">
        <w:rPr>
          <w:noProof/>
        </w:rPr>
        <w:t>Table 9</w:t>
      </w:r>
    </w:p>
    <w:p w14:paraId="0C2787B9" w14:textId="77777777" w:rsidR="008679A1" w:rsidRPr="00A77178" w:rsidRDefault="008679A1" w:rsidP="008679A1">
      <w:pPr>
        <w:pStyle w:val="Tabletitle"/>
        <w:rPr>
          <w:noProof/>
        </w:rPr>
      </w:pPr>
      <w:r w:rsidRPr="00A77178">
        <w:rPr>
          <w:noProof/>
        </w:rPr>
        <w:t>Permanent Installation station operating periods in a typical year</w:t>
      </w:r>
    </w:p>
    <w:tbl>
      <w:tblPr>
        <w:tblStyle w:val="TableGrid"/>
        <w:tblW w:w="5000" w:type="pct"/>
        <w:jc w:val="center"/>
        <w:tblLayout w:type="fixed"/>
        <w:tblCellMar>
          <w:left w:w="57" w:type="dxa"/>
          <w:right w:w="57" w:type="dxa"/>
        </w:tblCellMar>
        <w:tblLook w:val="0000" w:firstRow="0" w:lastRow="0" w:firstColumn="0" w:lastColumn="0" w:noHBand="0" w:noVBand="0"/>
      </w:tblPr>
      <w:tblGrid>
        <w:gridCol w:w="2972"/>
        <w:gridCol w:w="3647"/>
        <w:gridCol w:w="3010"/>
      </w:tblGrid>
      <w:tr w:rsidR="008679A1" w:rsidRPr="00A77178" w14:paraId="01B1BAD1" w14:textId="77777777" w:rsidTr="006A5081">
        <w:trPr>
          <w:cantSplit/>
          <w:tblHeader/>
          <w:jc w:val="center"/>
        </w:trPr>
        <w:tc>
          <w:tcPr>
            <w:tcW w:w="1543" w:type="pct"/>
          </w:tcPr>
          <w:p w14:paraId="638E83BF" w14:textId="77777777" w:rsidR="008679A1" w:rsidRPr="00A77178" w:rsidRDefault="008679A1" w:rsidP="00011785">
            <w:pPr>
              <w:pStyle w:val="Tablehead"/>
              <w:keepLines/>
              <w:rPr>
                <w:noProof/>
              </w:rPr>
            </w:pPr>
            <w:r w:rsidRPr="00A77178">
              <w:rPr>
                <w:noProof/>
              </w:rPr>
              <w:t>Usage type</w:t>
            </w:r>
          </w:p>
        </w:tc>
        <w:tc>
          <w:tcPr>
            <w:tcW w:w="1894" w:type="pct"/>
          </w:tcPr>
          <w:p w14:paraId="6D61116C" w14:textId="77777777" w:rsidR="008679A1" w:rsidRPr="00A77178" w:rsidRDefault="008679A1" w:rsidP="00011785">
            <w:pPr>
              <w:pStyle w:val="Tablehead"/>
              <w:keepLines/>
              <w:rPr>
                <w:noProof/>
              </w:rPr>
            </w:pPr>
            <w:r w:rsidRPr="00A77178">
              <w:rPr>
                <w:noProof/>
              </w:rPr>
              <w:t>Annual operation</w:t>
            </w:r>
          </w:p>
        </w:tc>
        <w:tc>
          <w:tcPr>
            <w:tcW w:w="1563" w:type="pct"/>
          </w:tcPr>
          <w:p w14:paraId="3FE650AC" w14:textId="77777777" w:rsidR="008679A1" w:rsidRPr="00A77178" w:rsidRDefault="008679A1" w:rsidP="00011785">
            <w:pPr>
              <w:pStyle w:val="Tablehead"/>
              <w:keepLines/>
              <w:rPr>
                <w:noProof/>
              </w:rPr>
            </w:pPr>
            <w:r w:rsidRPr="00A77178">
              <w:rPr>
                <w:noProof/>
              </w:rPr>
              <w:t>Active installations</w:t>
            </w:r>
          </w:p>
        </w:tc>
      </w:tr>
      <w:tr w:rsidR="008679A1" w:rsidRPr="00A77178" w14:paraId="2E20B92E" w14:textId="77777777" w:rsidTr="00011785">
        <w:trPr>
          <w:cantSplit/>
          <w:jc w:val="center"/>
        </w:trPr>
        <w:tc>
          <w:tcPr>
            <w:tcW w:w="1543" w:type="pct"/>
          </w:tcPr>
          <w:p w14:paraId="1A589FB9" w14:textId="77777777" w:rsidR="008679A1" w:rsidRPr="00A77178" w:rsidRDefault="008679A1" w:rsidP="00011785">
            <w:pPr>
              <w:pStyle w:val="Tabletext"/>
              <w:rPr>
                <w:noProof/>
              </w:rPr>
            </w:pPr>
            <w:r w:rsidRPr="00A77178">
              <w:rPr>
                <w:noProof/>
              </w:rPr>
              <w:t>Narrow-band propagation beacons</w:t>
            </w:r>
          </w:p>
        </w:tc>
        <w:tc>
          <w:tcPr>
            <w:tcW w:w="1894" w:type="pct"/>
          </w:tcPr>
          <w:p w14:paraId="54F42DBC" w14:textId="77777777" w:rsidR="008679A1" w:rsidRPr="00A77178" w:rsidRDefault="008679A1" w:rsidP="00011785">
            <w:pPr>
              <w:pStyle w:val="Tabletext"/>
              <w:keepNext/>
              <w:keepLines/>
              <w:rPr>
                <w:noProof/>
              </w:rPr>
            </w:pPr>
            <w:r w:rsidRPr="00A77178">
              <w:rPr>
                <w:noProof/>
              </w:rPr>
              <w:t>Transmitting continuously usually.</w:t>
            </w:r>
          </w:p>
        </w:tc>
        <w:tc>
          <w:tcPr>
            <w:tcW w:w="1563" w:type="pct"/>
          </w:tcPr>
          <w:p w14:paraId="368B789D" w14:textId="77777777" w:rsidR="008679A1" w:rsidRPr="00A77178" w:rsidRDefault="008679A1" w:rsidP="00011785">
            <w:pPr>
              <w:pStyle w:val="Tabletext"/>
              <w:keepNext/>
              <w:keepLines/>
              <w:rPr>
                <w:noProof/>
              </w:rPr>
            </w:pPr>
            <w:r w:rsidRPr="00A77178">
              <w:rPr>
                <w:noProof/>
              </w:rPr>
              <w:t xml:space="preserve">From 4 to 20 depending on the country reviewed. </w:t>
            </w:r>
          </w:p>
          <w:p w14:paraId="1F9EE76B" w14:textId="77777777" w:rsidR="008679A1" w:rsidRPr="00A77178" w:rsidRDefault="008679A1" w:rsidP="00011785">
            <w:pPr>
              <w:pStyle w:val="Tabletext"/>
              <w:keepNext/>
              <w:keepLines/>
              <w:rPr>
                <w:noProof/>
              </w:rPr>
            </w:pPr>
            <w:r w:rsidRPr="00A77178">
              <w:rPr>
                <w:noProof/>
              </w:rPr>
              <w:t>Region 1 = 88 in total.</w:t>
            </w:r>
          </w:p>
        </w:tc>
      </w:tr>
      <w:tr w:rsidR="008679A1" w:rsidRPr="00A77178" w14:paraId="330C7235" w14:textId="77777777" w:rsidTr="00011785">
        <w:trPr>
          <w:cantSplit/>
          <w:jc w:val="center"/>
        </w:trPr>
        <w:tc>
          <w:tcPr>
            <w:tcW w:w="1543" w:type="pct"/>
          </w:tcPr>
          <w:p w14:paraId="386CF43A" w14:textId="77777777" w:rsidR="008679A1" w:rsidRPr="00A77178" w:rsidRDefault="008679A1" w:rsidP="00011785">
            <w:pPr>
              <w:pStyle w:val="Tabletext"/>
              <w:keepNext/>
              <w:keepLines/>
              <w:rPr>
                <w:noProof/>
              </w:rPr>
            </w:pPr>
            <w:r w:rsidRPr="00A77178">
              <w:rPr>
                <w:noProof/>
              </w:rPr>
              <w:lastRenderedPageBreak/>
              <w:t>Narrow-band repeaters</w:t>
            </w:r>
          </w:p>
        </w:tc>
        <w:tc>
          <w:tcPr>
            <w:tcW w:w="1894" w:type="pct"/>
          </w:tcPr>
          <w:p w14:paraId="46E218BB" w14:textId="77777777" w:rsidR="008679A1" w:rsidRPr="00A77178" w:rsidRDefault="008679A1" w:rsidP="00011785">
            <w:pPr>
              <w:pStyle w:val="Tabletext"/>
              <w:keepNext/>
              <w:keepLines/>
              <w:rPr>
                <w:noProof/>
              </w:rPr>
            </w:pPr>
            <w:r w:rsidRPr="00A77178">
              <w:rPr>
                <w:noProof/>
              </w:rPr>
              <w:t>Low and only when activated on the input frequency by a user station.</w:t>
            </w:r>
          </w:p>
          <w:p w14:paraId="6ADB9898" w14:textId="77777777" w:rsidR="008679A1" w:rsidRPr="00A77178" w:rsidRDefault="008679A1" w:rsidP="00011785">
            <w:pPr>
              <w:pStyle w:val="Tabletext"/>
              <w:keepNext/>
              <w:keepLines/>
              <w:rPr>
                <w:noProof/>
              </w:rPr>
            </w:pPr>
            <w:r w:rsidRPr="00A77178">
              <w:rPr>
                <w:noProof/>
              </w:rPr>
              <w:t>May transmit more regularly if a beacon mode is present.</w:t>
            </w:r>
          </w:p>
        </w:tc>
        <w:tc>
          <w:tcPr>
            <w:tcW w:w="1563" w:type="pct"/>
          </w:tcPr>
          <w:p w14:paraId="0579F72F" w14:textId="77777777" w:rsidR="008679A1" w:rsidRPr="00A77178" w:rsidRDefault="008679A1" w:rsidP="00011785">
            <w:pPr>
              <w:pStyle w:val="Tabletext"/>
              <w:keepNext/>
              <w:keepLines/>
              <w:rPr>
                <w:noProof/>
              </w:rPr>
            </w:pPr>
            <w:r w:rsidRPr="00A77178">
              <w:rPr>
                <w:noProof/>
              </w:rPr>
              <w:t>From 9 to 19 depending on the country reviewed.</w:t>
            </w:r>
          </w:p>
        </w:tc>
      </w:tr>
      <w:tr w:rsidR="008679A1" w:rsidRPr="00A77178" w14:paraId="32693828" w14:textId="77777777" w:rsidTr="00011785">
        <w:trPr>
          <w:cantSplit/>
          <w:jc w:val="center"/>
        </w:trPr>
        <w:tc>
          <w:tcPr>
            <w:tcW w:w="1543" w:type="pct"/>
          </w:tcPr>
          <w:p w14:paraId="7F863491" w14:textId="77777777" w:rsidR="008679A1" w:rsidRPr="00A77178" w:rsidRDefault="008679A1" w:rsidP="00011785">
            <w:pPr>
              <w:pStyle w:val="Tabletext"/>
              <w:rPr>
                <w:noProof/>
              </w:rPr>
            </w:pPr>
            <w:r w:rsidRPr="00A77178">
              <w:rPr>
                <w:noProof/>
              </w:rPr>
              <w:t>ATV repeaters (the users are usually home stations)</w:t>
            </w:r>
          </w:p>
        </w:tc>
        <w:tc>
          <w:tcPr>
            <w:tcW w:w="1894" w:type="pct"/>
          </w:tcPr>
          <w:p w14:paraId="5A9B8C4B" w14:textId="77777777" w:rsidR="008679A1" w:rsidRPr="00A77178" w:rsidRDefault="008679A1" w:rsidP="00011785">
            <w:pPr>
              <w:pStyle w:val="Tabletext"/>
              <w:rPr>
                <w:noProof/>
              </w:rPr>
            </w:pPr>
            <w:r w:rsidRPr="00A77178">
              <w:rPr>
                <w:noProof/>
              </w:rPr>
              <w:t>Low and only when activated on the input frequency by a user station in a random and sporadic manner.</w:t>
            </w:r>
          </w:p>
          <w:p w14:paraId="1C620F8F" w14:textId="77777777" w:rsidR="008679A1" w:rsidRPr="00A77178" w:rsidRDefault="008679A1" w:rsidP="00011785">
            <w:pPr>
              <w:pStyle w:val="Tabletext"/>
              <w:rPr>
                <w:noProof/>
              </w:rPr>
            </w:pPr>
            <w:r w:rsidRPr="00A77178">
              <w:rPr>
                <w:noProof/>
              </w:rPr>
              <w:t>May transmit more regularly if a beacon mode is present.</w:t>
            </w:r>
          </w:p>
        </w:tc>
        <w:tc>
          <w:tcPr>
            <w:tcW w:w="1563" w:type="pct"/>
          </w:tcPr>
          <w:p w14:paraId="78FBB384" w14:textId="77777777" w:rsidR="008679A1" w:rsidRPr="00A77178" w:rsidRDefault="008679A1" w:rsidP="00011785">
            <w:pPr>
              <w:pStyle w:val="Tabletext"/>
              <w:rPr>
                <w:noProof/>
              </w:rPr>
            </w:pPr>
            <w:r w:rsidRPr="00A77178">
              <w:rPr>
                <w:noProof/>
              </w:rPr>
              <w:t xml:space="preserve">From 10 to 18 depending on the country reviewed. </w:t>
            </w:r>
          </w:p>
          <w:p w14:paraId="6B22D599" w14:textId="77777777" w:rsidR="008679A1" w:rsidRPr="00A77178" w:rsidRDefault="008679A1" w:rsidP="00011785">
            <w:pPr>
              <w:pStyle w:val="Tabletext"/>
              <w:rPr>
                <w:noProof/>
              </w:rPr>
            </w:pPr>
            <w:r w:rsidRPr="00A77178">
              <w:rPr>
                <w:noProof/>
              </w:rPr>
              <w:t>5 to 10 users within the local coverage area transmitting one at a time.</w:t>
            </w:r>
          </w:p>
        </w:tc>
      </w:tr>
    </w:tbl>
    <w:p w14:paraId="099C2DD4" w14:textId="77777777" w:rsidR="008679A1" w:rsidRPr="00A77178" w:rsidRDefault="008679A1" w:rsidP="008679A1">
      <w:pPr>
        <w:pStyle w:val="Tablefin"/>
        <w:rPr>
          <w:noProof/>
        </w:rPr>
      </w:pPr>
    </w:p>
    <w:p w14:paraId="4796C295" w14:textId="0A681FBB" w:rsidR="008679A1" w:rsidRPr="00A77178" w:rsidRDefault="008679A1" w:rsidP="008679A1">
      <w:pPr>
        <w:pStyle w:val="Heading2"/>
        <w:rPr>
          <w:noProof/>
        </w:rPr>
      </w:pPr>
      <w:r w:rsidRPr="00A77178">
        <w:rPr>
          <w:noProof/>
        </w:rPr>
        <w:t>3.6</w:t>
      </w:r>
      <w:r w:rsidRPr="00A77178">
        <w:rPr>
          <w:noProof/>
        </w:rPr>
        <w:tab/>
        <w:t>Activity factors of amateur transmitting stations in the 1 240</w:t>
      </w:r>
      <w:r w:rsidRPr="00A77178">
        <w:rPr>
          <w:noProof/>
        </w:rPr>
        <w:noBreakHyphen/>
        <w:t>1 300 MHz band</w:t>
      </w:r>
    </w:p>
    <w:p w14:paraId="7DB39A2D" w14:textId="77777777" w:rsidR="008679A1" w:rsidRPr="00A77178" w:rsidRDefault="008679A1" w:rsidP="0088638F">
      <w:pPr>
        <w:jc w:val="both"/>
        <w:rPr>
          <w:noProof/>
        </w:rPr>
      </w:pPr>
      <w:r w:rsidRPr="00A77178">
        <w:rPr>
          <w:noProof/>
        </w:rPr>
        <w:t>Activity factor considers the amount of time that any particular station is transmitting during any operational period of activity. All applications involve two-way communication requiring periods of reception as well as transmission. It is usual practice for any home station or temporary portable station to spend more time receiving than transmitting.</w:t>
      </w:r>
    </w:p>
    <w:p w14:paraId="6E2EBE8F" w14:textId="77777777" w:rsidR="008679A1" w:rsidRPr="00A77178" w:rsidRDefault="008679A1" w:rsidP="0088638F">
      <w:pPr>
        <w:jc w:val="both"/>
        <w:rPr>
          <w:noProof/>
          <w:spacing w:val="-4"/>
        </w:rPr>
      </w:pPr>
      <w:r w:rsidRPr="00A77178">
        <w:rPr>
          <w:noProof/>
          <w:spacing w:val="-4"/>
        </w:rPr>
        <w:t>Maximum Activity Factor for home station and temporary “portable” stations = 50% and typically less.</w:t>
      </w:r>
    </w:p>
    <w:p w14:paraId="12516ADD" w14:textId="77777777" w:rsidR="008679A1" w:rsidRPr="00A77178" w:rsidRDefault="008679A1" w:rsidP="0088638F">
      <w:pPr>
        <w:jc w:val="both"/>
        <w:rPr>
          <w:noProof/>
        </w:rPr>
      </w:pPr>
      <w:r w:rsidRPr="00A77178">
        <w:rPr>
          <w:noProof/>
        </w:rPr>
        <w:t>Any permanent installation station operating in a beacon mode will exhibit a 100% activity factor.</w:t>
      </w:r>
    </w:p>
    <w:p w14:paraId="587D5DF3" w14:textId="579605A0" w:rsidR="008679A1" w:rsidRPr="00A77178" w:rsidRDefault="008679A1" w:rsidP="008679A1">
      <w:pPr>
        <w:pStyle w:val="Heading2"/>
        <w:rPr>
          <w:noProof/>
        </w:rPr>
      </w:pPr>
      <w:r w:rsidRPr="00A77178">
        <w:rPr>
          <w:noProof/>
        </w:rPr>
        <w:t>3.7</w:t>
      </w:r>
      <w:r w:rsidRPr="00A77178">
        <w:rPr>
          <w:noProof/>
        </w:rPr>
        <w:tab/>
        <w:t>User density of amateur transmitting stations in the 1 240-1 300 MHz band</w:t>
      </w:r>
    </w:p>
    <w:p w14:paraId="5C8A1FEC" w14:textId="77777777" w:rsidR="008679A1" w:rsidRPr="00A77178" w:rsidRDefault="008679A1" w:rsidP="000076AF">
      <w:pPr>
        <w:pStyle w:val="Headingb"/>
        <w:rPr>
          <w:noProof/>
        </w:rPr>
      </w:pPr>
      <w:r w:rsidRPr="00A77178">
        <w:rPr>
          <w:noProof/>
        </w:rPr>
        <w:t>1)</w:t>
      </w:r>
      <w:r w:rsidRPr="00A77178">
        <w:rPr>
          <w:noProof/>
        </w:rPr>
        <w:tab/>
        <w:t xml:space="preserve">Home station and temporary “portable” station </w:t>
      </w:r>
    </w:p>
    <w:p w14:paraId="39F7891C" w14:textId="77777777" w:rsidR="008679A1" w:rsidRPr="00A77178" w:rsidRDefault="008679A1" w:rsidP="0088638F">
      <w:pPr>
        <w:pStyle w:val="enumlev1"/>
        <w:jc w:val="both"/>
        <w:rPr>
          <w:noProof/>
        </w:rPr>
      </w:pPr>
      <w:r w:rsidRPr="00A77178">
        <w:rPr>
          <w:noProof/>
        </w:rPr>
        <w:t>–</w:t>
      </w:r>
      <w:r w:rsidRPr="00A77178">
        <w:rPr>
          <w:noProof/>
        </w:rPr>
        <w:tab/>
        <w:t>For narrow-band activity periods the maximum density of transmitting stations = 0.000 2 stations/km</w:t>
      </w:r>
      <w:r w:rsidRPr="00A77178">
        <w:rPr>
          <w:noProof/>
          <w:vertAlign w:val="superscript"/>
        </w:rPr>
        <w:t>2</w:t>
      </w:r>
      <w:r w:rsidRPr="00A77178">
        <w:rPr>
          <w:noProof/>
        </w:rPr>
        <w:t>.</w:t>
      </w:r>
    </w:p>
    <w:p w14:paraId="6853D1FC" w14:textId="77777777" w:rsidR="008679A1" w:rsidRPr="00A77178" w:rsidRDefault="008679A1" w:rsidP="0088638F">
      <w:pPr>
        <w:pStyle w:val="enumlev1"/>
        <w:jc w:val="both"/>
        <w:rPr>
          <w:noProof/>
        </w:rPr>
      </w:pPr>
      <w:r w:rsidRPr="00A77178">
        <w:rPr>
          <w:noProof/>
        </w:rPr>
        <w:t>–</w:t>
      </w:r>
      <w:r w:rsidRPr="00A77178">
        <w:rPr>
          <w:noProof/>
        </w:rPr>
        <w:tab/>
        <w:t>For wideband activity periods the maximum density of transmitting stations = 0.000 1 stations/km</w:t>
      </w:r>
      <w:r w:rsidRPr="00A77178">
        <w:rPr>
          <w:noProof/>
          <w:vertAlign w:val="superscript"/>
        </w:rPr>
        <w:t>2</w:t>
      </w:r>
      <w:r w:rsidRPr="00A77178">
        <w:rPr>
          <w:noProof/>
        </w:rPr>
        <w:t xml:space="preserve">. </w:t>
      </w:r>
    </w:p>
    <w:p w14:paraId="72AB9014" w14:textId="77777777" w:rsidR="008679A1" w:rsidRPr="00A77178" w:rsidRDefault="008679A1" w:rsidP="0088638F">
      <w:pPr>
        <w:pStyle w:val="enumlev1"/>
        <w:jc w:val="both"/>
        <w:rPr>
          <w:noProof/>
        </w:rPr>
      </w:pPr>
      <w:r w:rsidRPr="00A77178">
        <w:rPr>
          <w:noProof/>
        </w:rPr>
        <w:t>–</w:t>
      </w:r>
      <w:r w:rsidRPr="00A77178">
        <w:rPr>
          <w:noProof/>
        </w:rPr>
        <w:tab/>
        <w:t xml:space="preserve">For EME operations the maximum density of transmitting stations = </w:t>
      </w:r>
      <w:r w:rsidRPr="00A77178">
        <w:rPr>
          <w:noProof/>
        </w:rPr>
        <w:br/>
        <w:t>0.000 013 stations/km</w:t>
      </w:r>
      <w:r w:rsidRPr="00A77178">
        <w:rPr>
          <w:noProof/>
          <w:vertAlign w:val="superscript"/>
        </w:rPr>
        <w:t>2</w:t>
      </w:r>
      <w:r w:rsidRPr="00A77178">
        <w:rPr>
          <w:noProof/>
        </w:rPr>
        <w:t xml:space="preserve">. </w:t>
      </w:r>
    </w:p>
    <w:p w14:paraId="3AC33FCF" w14:textId="3162A9E9" w:rsidR="008679A1" w:rsidRPr="00A77178" w:rsidRDefault="008679A1" w:rsidP="008679A1">
      <w:pPr>
        <w:rPr>
          <w:noProof/>
        </w:rPr>
      </w:pPr>
      <w:r w:rsidRPr="00A77178">
        <w:rPr>
          <w:noProof/>
        </w:rPr>
        <w:t>Recognising that not all active stations may submit a record of their activities, a 33% uplift has been added to the total active stations per scheduled operating period from Table 8.</w:t>
      </w:r>
    </w:p>
    <w:p w14:paraId="6F73BB71" w14:textId="77777777" w:rsidR="008679A1" w:rsidRPr="00A77178" w:rsidRDefault="008679A1" w:rsidP="000076AF">
      <w:pPr>
        <w:pStyle w:val="Headingb"/>
        <w:ind w:left="1134" w:hanging="1134"/>
        <w:rPr>
          <w:noProof/>
        </w:rPr>
      </w:pPr>
      <w:r w:rsidRPr="00A77178">
        <w:rPr>
          <w:noProof/>
        </w:rPr>
        <w:t>2)</w:t>
      </w:r>
      <w:r w:rsidRPr="00A77178">
        <w:rPr>
          <w:noProof/>
        </w:rPr>
        <w:tab/>
        <w:t>Permanent installation</w:t>
      </w:r>
    </w:p>
    <w:p w14:paraId="45EAD6AF" w14:textId="77777777" w:rsidR="008679A1" w:rsidRPr="00A77178" w:rsidRDefault="008679A1" w:rsidP="0088638F">
      <w:pPr>
        <w:pStyle w:val="enumlev1"/>
        <w:jc w:val="both"/>
        <w:rPr>
          <w:noProof/>
        </w:rPr>
      </w:pPr>
      <w:r w:rsidRPr="00A77178">
        <w:rPr>
          <w:noProof/>
        </w:rPr>
        <w:t>–</w:t>
      </w:r>
      <w:r w:rsidRPr="00A77178">
        <w:rPr>
          <w:noProof/>
        </w:rPr>
        <w:tab/>
        <w:t>For narrow-band data and voice repeaters the average density of transmitting stations = 0.000 3 stations/km</w:t>
      </w:r>
      <w:r w:rsidRPr="00A77178">
        <w:rPr>
          <w:noProof/>
          <w:vertAlign w:val="superscript"/>
        </w:rPr>
        <w:t>2</w:t>
      </w:r>
      <w:r w:rsidRPr="00A77178">
        <w:rPr>
          <w:noProof/>
        </w:rPr>
        <w:t xml:space="preserve">. </w:t>
      </w:r>
    </w:p>
    <w:p w14:paraId="5D3AE27F" w14:textId="77777777" w:rsidR="008679A1" w:rsidRPr="00A77178" w:rsidRDefault="008679A1" w:rsidP="0088638F">
      <w:pPr>
        <w:pStyle w:val="enumlev1"/>
        <w:jc w:val="both"/>
        <w:rPr>
          <w:noProof/>
        </w:rPr>
      </w:pPr>
      <w:r w:rsidRPr="00A77178">
        <w:rPr>
          <w:noProof/>
        </w:rPr>
        <w:t>–</w:t>
      </w:r>
      <w:r w:rsidRPr="00A77178">
        <w:rPr>
          <w:noProof/>
        </w:rPr>
        <w:tab/>
        <w:t>For wideband ATV repeaters, the average density of transmitting stations = 0.000 1 stations/km</w:t>
      </w:r>
      <w:r w:rsidRPr="00A77178">
        <w:rPr>
          <w:noProof/>
          <w:vertAlign w:val="superscript"/>
        </w:rPr>
        <w:t>2</w:t>
      </w:r>
      <w:r w:rsidRPr="00A77178">
        <w:rPr>
          <w:noProof/>
        </w:rPr>
        <w:t xml:space="preserve">. </w:t>
      </w:r>
    </w:p>
    <w:p w14:paraId="371003B2" w14:textId="77777777" w:rsidR="008679A1" w:rsidRPr="00A77178" w:rsidRDefault="008679A1" w:rsidP="0088638F">
      <w:pPr>
        <w:pStyle w:val="enumlev1"/>
        <w:jc w:val="both"/>
        <w:rPr>
          <w:noProof/>
        </w:rPr>
      </w:pPr>
      <w:r w:rsidRPr="00A77178">
        <w:rPr>
          <w:noProof/>
        </w:rPr>
        <w:t>–</w:t>
      </w:r>
      <w:r w:rsidRPr="00A77178">
        <w:rPr>
          <w:noProof/>
        </w:rPr>
        <w:tab/>
        <w:t>For propagation radio beacon stations, the average density of transmitting stations = 0.000 1 stations/km</w:t>
      </w:r>
      <w:r w:rsidRPr="00A77178">
        <w:rPr>
          <w:noProof/>
          <w:vertAlign w:val="superscript"/>
        </w:rPr>
        <w:t>2</w:t>
      </w:r>
      <w:r w:rsidRPr="00A77178">
        <w:rPr>
          <w:noProof/>
        </w:rPr>
        <w:t xml:space="preserve">. </w:t>
      </w:r>
    </w:p>
    <w:p w14:paraId="7C6A8A2B" w14:textId="311D20DE" w:rsidR="008679A1" w:rsidRPr="00A77178" w:rsidRDefault="008679A1" w:rsidP="008679A1">
      <w:pPr>
        <w:pStyle w:val="Heading1"/>
        <w:rPr>
          <w:noProof/>
        </w:rPr>
      </w:pPr>
      <w:r w:rsidRPr="00A77178">
        <w:rPr>
          <w:noProof/>
        </w:rPr>
        <w:t>4</w:t>
      </w:r>
      <w:r w:rsidRPr="00A77178">
        <w:rPr>
          <w:noProof/>
        </w:rPr>
        <w:tab/>
        <w:t xml:space="preserve">To be determined </w:t>
      </w:r>
      <w:r w:rsidRPr="00A77178">
        <w:rPr>
          <w:noProof/>
          <w:highlight w:val="yellow"/>
        </w:rPr>
        <w:t>[Observations/measurements/coexistence aspects etc.]</w:t>
      </w:r>
    </w:p>
    <w:p w14:paraId="1E4390E7" w14:textId="6D72EFEB" w:rsidR="008679A1" w:rsidRPr="00A77178" w:rsidRDefault="005E7BE5" w:rsidP="0088638F">
      <w:pPr>
        <w:pStyle w:val="EditorsNote"/>
        <w:jc w:val="both"/>
        <w:rPr>
          <w:noProof/>
        </w:rPr>
      </w:pPr>
      <w:r w:rsidRPr="00A77178">
        <w:rPr>
          <w:i w:val="0"/>
          <w:noProof/>
          <w:highlight w:val="yellow"/>
        </w:rPr>
        <w:t>[</w:t>
      </w:r>
      <w:r w:rsidR="008679A1" w:rsidRPr="00A77178">
        <w:rPr>
          <w:noProof/>
          <w:highlight w:val="yellow"/>
        </w:rPr>
        <w:t>20210429 Ed: Consider making this section about possible mitigation measure depending on WP</w:t>
      </w:r>
      <w:r w:rsidR="0088638F">
        <w:rPr>
          <w:noProof/>
          <w:highlight w:val="yellow"/>
        </w:rPr>
        <w:t> </w:t>
      </w:r>
      <w:r w:rsidR="008679A1" w:rsidRPr="00A77178">
        <w:rPr>
          <w:noProof/>
          <w:highlight w:val="yellow"/>
        </w:rPr>
        <w:t>4C study results and other contributions.</w:t>
      </w:r>
      <w:r w:rsidRPr="00A77178">
        <w:rPr>
          <w:i w:val="0"/>
          <w:noProof/>
          <w:highlight w:val="yellow"/>
        </w:rPr>
        <w:t>]</w:t>
      </w:r>
    </w:p>
    <w:p w14:paraId="211ABC5F" w14:textId="29FCC8BB" w:rsidR="008679A1" w:rsidRPr="00A77178" w:rsidRDefault="008679A1" w:rsidP="008679A1">
      <w:pPr>
        <w:pStyle w:val="Heading2"/>
        <w:rPr>
          <w:noProof/>
        </w:rPr>
      </w:pPr>
      <w:bookmarkStart w:id="10" w:name="_Toc42678840"/>
      <w:bookmarkStart w:id="11" w:name="_Toc58238736"/>
      <w:bookmarkStart w:id="12" w:name="_Toc74315853"/>
      <w:r w:rsidRPr="00A77178">
        <w:rPr>
          <w:noProof/>
        </w:rPr>
        <w:lastRenderedPageBreak/>
        <w:t>4.1</w:t>
      </w:r>
      <w:r w:rsidRPr="00A77178">
        <w:rPr>
          <w:noProof/>
        </w:rPr>
        <w:tab/>
        <w:t>Relationship between RNSS system frequencies in 1 240-1 300 MHz</w:t>
      </w:r>
      <w:r w:rsidRPr="00A77178" w:rsidDel="0079406C">
        <w:rPr>
          <w:noProof/>
        </w:rPr>
        <w:t xml:space="preserve"> </w:t>
      </w:r>
      <w:r w:rsidRPr="00A77178">
        <w:rPr>
          <w:noProof/>
        </w:rPr>
        <w:t>and amateur service application band plans</w:t>
      </w:r>
    </w:p>
    <w:p w14:paraId="19B942CF" w14:textId="3A4A40A8" w:rsidR="008679A1" w:rsidRPr="00A77178" w:rsidRDefault="008679A1" w:rsidP="0088638F">
      <w:pPr>
        <w:pStyle w:val="Normalaftertitle0"/>
        <w:jc w:val="both"/>
        <w:rPr>
          <w:i/>
          <w:iCs/>
          <w:noProof/>
          <w:shd w:val="clear" w:color="auto" w:fill="FFFFFF"/>
        </w:rPr>
      </w:pPr>
      <w:r w:rsidRPr="00A77178">
        <w:rPr>
          <w:noProof/>
          <w:shd w:val="clear" w:color="auto" w:fill="FFFFFF"/>
        </w:rPr>
        <w:t xml:space="preserve">The figure below highlights the relationship between the various RNSS systems usage across the range 1 240-1 300 MHz and the IARU band plans: </w:t>
      </w:r>
    </w:p>
    <w:p w14:paraId="7344BECF" w14:textId="77777777" w:rsidR="008679A1" w:rsidRPr="00A77178" w:rsidRDefault="008679A1" w:rsidP="0088638F">
      <w:pPr>
        <w:pStyle w:val="Figure"/>
        <w:rPr>
          <w:lang w:eastAsia="ja-JP"/>
        </w:rPr>
      </w:pPr>
      <w:r w:rsidRPr="00A77178">
        <w:drawing>
          <wp:inline distT="0" distB="0" distL="0" distR="0" wp14:anchorId="6500A2C0" wp14:editId="64708DD1">
            <wp:extent cx="6120765" cy="27128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band plan picture_21043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2712804"/>
                    </a:xfrm>
                    <a:prstGeom prst="rect">
                      <a:avLst/>
                    </a:prstGeom>
                  </pic:spPr>
                </pic:pic>
              </a:graphicData>
            </a:graphic>
          </wp:inline>
        </w:drawing>
      </w:r>
    </w:p>
    <w:p w14:paraId="2F591392" w14:textId="77777777" w:rsidR="008679A1" w:rsidRPr="00A77178" w:rsidRDefault="008679A1" w:rsidP="0088638F">
      <w:pPr>
        <w:pStyle w:val="Note"/>
        <w:jc w:val="both"/>
        <w:rPr>
          <w:noProof/>
        </w:rPr>
      </w:pPr>
      <w:r w:rsidRPr="00A77178">
        <w:rPr>
          <w:noProof/>
        </w:rPr>
        <w:t>Note 1: GLONASS navigation receivers manufactured before 2006 can receive navigation signals in frequency band from 1237.8275 MHz to 1260.735 MHz.</w:t>
      </w:r>
    </w:p>
    <w:p w14:paraId="075091FF" w14:textId="77777777" w:rsidR="008679A1" w:rsidRPr="00A77178" w:rsidRDefault="008679A1" w:rsidP="0088638F">
      <w:pPr>
        <w:pStyle w:val="Note"/>
        <w:jc w:val="both"/>
        <w:rPr>
          <w:noProof/>
        </w:rPr>
      </w:pPr>
      <w:r w:rsidRPr="00A77178">
        <w:rPr>
          <w:noProof/>
        </w:rPr>
        <w:t>Note 2: In Region 2 ATV is also identified for experimental use in this range.</w:t>
      </w:r>
    </w:p>
    <w:p w14:paraId="753612B6" w14:textId="559292E4" w:rsidR="008679A1" w:rsidRPr="00A77178" w:rsidRDefault="008679A1" w:rsidP="000076AF">
      <w:pPr>
        <w:pStyle w:val="EditorsNote"/>
        <w:rPr>
          <w:noProof/>
          <w:lang w:eastAsia="ja-JP"/>
        </w:rPr>
      </w:pPr>
      <w:r w:rsidRPr="00A77178">
        <w:rPr>
          <w:noProof/>
          <w:lang w:eastAsia="ja-JP"/>
        </w:rPr>
        <w:t>[</w:t>
      </w:r>
      <w:r w:rsidRPr="00A77178">
        <w:rPr>
          <w:noProof/>
          <w:highlight w:val="yellow"/>
          <w:lang w:eastAsia="ja-JP"/>
        </w:rPr>
        <w:t xml:space="preserve">20210429 </w:t>
      </w:r>
      <w:r w:rsidR="005E7BE5" w:rsidRPr="00A77178">
        <w:rPr>
          <w:noProof/>
          <w:highlight w:val="yellow"/>
          <w:lang w:eastAsia="ja-JP"/>
        </w:rPr>
        <w:t>Ed</w:t>
      </w:r>
      <w:r w:rsidRPr="00A77178">
        <w:rPr>
          <w:noProof/>
          <w:highlight w:val="yellow"/>
          <w:lang w:eastAsia="ja-JP"/>
        </w:rPr>
        <w:t xml:space="preserve">: </w:t>
      </w:r>
      <w:r w:rsidR="000076AF" w:rsidRPr="00A77178">
        <w:rPr>
          <w:noProof/>
          <w:highlight w:val="yellow"/>
          <w:lang w:eastAsia="ja-JP"/>
        </w:rPr>
        <w:t xml:space="preserve">This </w:t>
      </w:r>
      <w:r w:rsidRPr="00A77178">
        <w:rPr>
          <w:noProof/>
          <w:highlight w:val="yellow"/>
          <w:lang w:eastAsia="ja-JP"/>
        </w:rPr>
        <w:t>text is not agreed for here, but is left subject to further discussion. Text is based on 5A/293 input</w:t>
      </w:r>
      <w:r w:rsidRPr="00A77178">
        <w:rPr>
          <w:noProof/>
          <w:lang w:eastAsia="ja-JP"/>
        </w:rPr>
        <w:t>.</w:t>
      </w:r>
      <w:r w:rsidR="005E7BE5" w:rsidRPr="00A77178">
        <w:rPr>
          <w:noProof/>
          <w:lang w:eastAsia="ja-JP"/>
        </w:rPr>
        <w:t>]</w:t>
      </w:r>
    </w:p>
    <w:p w14:paraId="3678C202" w14:textId="4A5B202A" w:rsidR="008679A1" w:rsidRPr="00A77178" w:rsidRDefault="008679A1" w:rsidP="000076AF">
      <w:pPr>
        <w:pStyle w:val="Heading2"/>
        <w:rPr>
          <w:noProof/>
          <w:lang w:eastAsia="ja-JP"/>
        </w:rPr>
      </w:pPr>
      <w:r w:rsidRPr="00A77178">
        <w:rPr>
          <w:noProof/>
          <w:lang w:eastAsia="ja-JP"/>
        </w:rPr>
        <w:t>4.2</w:t>
      </w:r>
      <w:r w:rsidR="000076AF" w:rsidRPr="00A77178">
        <w:rPr>
          <w:noProof/>
          <w:lang w:eastAsia="ja-JP"/>
        </w:rPr>
        <w:tab/>
      </w:r>
      <w:r w:rsidRPr="00A77178">
        <w:rPr>
          <w:noProof/>
          <w:lang w:eastAsia="ja-JP"/>
        </w:rPr>
        <w:t>[One set of measurements][Actual measurements of interference thresholds]</w:t>
      </w:r>
    </w:p>
    <w:p w14:paraId="51B7A429" w14:textId="139818C7" w:rsidR="008679A1" w:rsidRPr="00A77178" w:rsidRDefault="008679A1" w:rsidP="0088638F">
      <w:pPr>
        <w:jc w:val="both"/>
        <w:rPr>
          <w:noProof/>
          <w:lang w:eastAsia="zh-CN"/>
        </w:rPr>
      </w:pPr>
      <w:r w:rsidRPr="00A77178">
        <w:rPr>
          <w:noProof/>
          <w:lang w:eastAsia="zh-CN"/>
        </w:rPr>
        <w:t>Actual measurement results have been made available of interference thresholds on a single geodetic Galileo E6</w:t>
      </w:r>
      <w:r w:rsidRPr="00A77178">
        <w:rPr>
          <w:noProof/>
          <w:lang w:eastAsia="zh-CN"/>
        </w:rPr>
        <w:noBreakHyphen/>
        <w:t>B/C RNSS receiver, as a function of different amateur radio transmission modes. It</w:t>
      </w:r>
      <w:r w:rsidR="0013539A">
        <w:rPr>
          <w:noProof/>
          <w:lang w:eastAsia="zh-CN"/>
        </w:rPr>
        <w:t> </w:t>
      </w:r>
      <w:r w:rsidRPr="00A77178">
        <w:rPr>
          <w:noProof/>
          <w:lang w:eastAsia="zh-CN"/>
        </w:rPr>
        <w:t xml:space="preserve">appears that, apart from analogue amateur television (ATV) (in a bandwidth of 10 MHz), there is a significant margin (greater than 30 dB) between the power at the antenna input required to degrade the carrier-to-noise density, </w:t>
      </w:r>
      <w:r w:rsidRPr="0013539A">
        <w:rPr>
          <w:i/>
          <w:iCs/>
          <w:noProof/>
          <w:lang w:eastAsia="zh-CN"/>
        </w:rPr>
        <w:t>C/N</w:t>
      </w:r>
      <w:r w:rsidR="0013539A" w:rsidRPr="0013539A">
        <w:rPr>
          <w:noProof/>
          <w:vertAlign w:val="subscript"/>
          <w:lang w:eastAsia="zh-CN"/>
        </w:rPr>
        <w:t>0</w:t>
      </w:r>
      <w:r w:rsidRPr="00A77178">
        <w:rPr>
          <w:noProof/>
          <w:vertAlign w:val="subscript"/>
          <w:lang w:eastAsia="zh-CN"/>
        </w:rPr>
        <w:t>,</w:t>
      </w:r>
      <w:r w:rsidRPr="00A77178">
        <w:rPr>
          <w:noProof/>
          <w:lang w:eastAsia="zh-CN"/>
        </w:rPr>
        <w:t xml:space="preserve"> at the output of the tracking loop for every single satellite’s signal by 1 dB, as compared to the threshold value </w:t>
      </w:r>
      <w:r w:rsidR="005E7BE5" w:rsidRPr="00A77178">
        <w:rPr>
          <w:iCs/>
          <w:noProof/>
          <w:lang w:eastAsia="zh-CN"/>
        </w:rPr>
        <w:t>[</w:t>
      </w:r>
      <w:r w:rsidRPr="00A77178">
        <w:rPr>
          <w:i/>
          <w:iCs/>
          <w:noProof/>
          <w:highlight w:val="yellow"/>
          <w:lang w:eastAsia="zh-CN"/>
        </w:rPr>
        <w:t>20210430 Ed</w:t>
      </w:r>
      <w:r w:rsidR="005E7BE5" w:rsidRPr="00A77178">
        <w:rPr>
          <w:i/>
          <w:iCs/>
          <w:noProof/>
          <w:highlight w:val="yellow"/>
          <w:lang w:eastAsia="zh-CN"/>
        </w:rPr>
        <w:t>:</w:t>
      </w:r>
      <w:r w:rsidRPr="00A77178">
        <w:rPr>
          <w:i/>
          <w:iCs/>
          <w:noProof/>
          <w:highlight w:val="yellow"/>
          <w:lang w:eastAsia="zh-CN"/>
        </w:rPr>
        <w:t xml:space="preserve"> </w:t>
      </w:r>
      <w:r w:rsidR="000076AF" w:rsidRPr="00A77178">
        <w:rPr>
          <w:i/>
          <w:iCs/>
          <w:noProof/>
          <w:highlight w:val="yellow"/>
          <w:lang w:eastAsia="zh-CN"/>
        </w:rPr>
        <w:t xml:space="preserve">Need </w:t>
      </w:r>
      <w:r w:rsidRPr="00A77178">
        <w:rPr>
          <w:i/>
          <w:iCs/>
          <w:noProof/>
          <w:highlight w:val="yellow"/>
          <w:lang w:eastAsia="zh-CN"/>
        </w:rPr>
        <w:t>more details about frequency separation</w:t>
      </w:r>
      <w:r w:rsidR="005E7BE5" w:rsidRPr="00A77178">
        <w:rPr>
          <w:noProof/>
          <w:highlight w:val="yellow"/>
          <w:lang w:eastAsia="zh-CN"/>
        </w:rPr>
        <w:t>]</w:t>
      </w:r>
      <w:r w:rsidRPr="00A77178">
        <w:rPr>
          <w:noProof/>
          <w:lang w:eastAsia="zh-CN"/>
        </w:rPr>
        <w:t>. This set of measurements suggests that while wideband analogue TV transmissions may be a problematic source of interference for the Galileo RNSS receivers considered, narrowband transmissions may be less likely to cause interference and may enable coexistence with RNSS systems. Whether these results are more generally applicable to other RNSS systems, needs be to confirmed with further studies.</w:t>
      </w:r>
    </w:p>
    <w:p w14:paraId="0D21A625" w14:textId="77777777" w:rsidR="008679A1" w:rsidRPr="00A77178" w:rsidRDefault="008679A1" w:rsidP="008679A1">
      <w:pPr>
        <w:rPr>
          <w:noProof/>
          <w:lang w:eastAsia="ja-JP"/>
        </w:rPr>
      </w:pPr>
      <w:r w:rsidRPr="00A77178">
        <w:rPr>
          <w:noProof/>
          <w:lang w:eastAsia="zh-CN"/>
        </w:rPr>
        <w:t>]</w:t>
      </w:r>
    </w:p>
    <w:p w14:paraId="5EEF8679" w14:textId="77777777" w:rsidR="008679A1" w:rsidRPr="00A77178" w:rsidRDefault="008679A1" w:rsidP="008679A1">
      <w:pPr>
        <w:pStyle w:val="Heading1"/>
        <w:rPr>
          <w:noProof/>
        </w:rPr>
      </w:pPr>
      <w:r w:rsidRPr="00A77178">
        <w:rPr>
          <w:noProof/>
          <w:lang w:eastAsia="ja-JP"/>
        </w:rPr>
        <w:t>X</w:t>
      </w:r>
      <w:r w:rsidRPr="00A77178">
        <w:rPr>
          <w:noProof/>
        </w:rPr>
        <w:tab/>
      </w:r>
      <w:r w:rsidRPr="00A77178">
        <w:rPr>
          <w:noProof/>
          <w:lang w:eastAsia="ja-JP"/>
        </w:rPr>
        <w:t xml:space="preserve">Conclusion </w:t>
      </w:r>
      <w:r w:rsidRPr="00A77178">
        <w:rPr>
          <w:noProof/>
        </w:rPr>
        <w:t xml:space="preserve"> </w:t>
      </w:r>
    </w:p>
    <w:bookmarkEnd w:id="8"/>
    <w:bookmarkEnd w:id="10"/>
    <w:bookmarkEnd w:id="11"/>
    <w:bookmarkEnd w:id="12"/>
    <w:p w14:paraId="2606B02B" w14:textId="77777777" w:rsidR="008679A1" w:rsidRPr="00A77178" w:rsidRDefault="008679A1" w:rsidP="008679A1">
      <w:pPr>
        <w:rPr>
          <w:noProof/>
        </w:rPr>
      </w:pPr>
    </w:p>
    <w:sectPr w:rsidR="008679A1" w:rsidRPr="00A77178"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4EB9" w14:textId="77777777" w:rsidR="00664F7A" w:rsidRDefault="00664F7A">
      <w:r>
        <w:separator/>
      </w:r>
    </w:p>
  </w:endnote>
  <w:endnote w:type="continuationSeparator" w:id="0">
    <w:p w14:paraId="7DC29F8A" w14:textId="77777777" w:rsidR="00664F7A" w:rsidRDefault="0066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C896" w14:textId="5A31219B" w:rsidR="00FA124A" w:rsidRPr="00672CA1" w:rsidRDefault="0013539A" w:rsidP="00672CA1">
    <w:pPr>
      <w:pStyle w:val="Footer"/>
    </w:pPr>
    <w:r>
      <w:fldChar w:fldCharType="begin"/>
    </w:r>
    <w:r>
      <w:instrText xml:space="preserve"> FILENAME \p \* MERGEFORMAT </w:instrText>
    </w:r>
    <w:r>
      <w:fldChar w:fldCharType="separate"/>
    </w:r>
    <w:r w:rsidR="00672CA1">
      <w:rPr>
        <w:lang w:val="en-US"/>
      </w:rPr>
      <w:t>M</w:t>
    </w:r>
    <w:r w:rsidR="00672CA1">
      <w:t>:\BRSGD\TEXT2019\SG05\WP5A\300\359\359N10e.docx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4A25" w14:textId="41590093" w:rsidR="00FA124A" w:rsidRPr="00672CA1" w:rsidRDefault="0013539A" w:rsidP="00E6257C">
    <w:pPr>
      <w:pStyle w:val="Footer"/>
    </w:pPr>
    <w:r>
      <w:fldChar w:fldCharType="begin"/>
    </w:r>
    <w:r>
      <w:instrText xml:space="preserve"> FILENAME \p \* MERGEFORMAT </w:instrText>
    </w:r>
    <w:r>
      <w:fldChar w:fldCharType="separate"/>
    </w:r>
    <w:r w:rsidR="00A83188" w:rsidRPr="00A83188">
      <w:rPr>
        <w:lang w:val="en-US"/>
      </w:rPr>
      <w:t>M</w:t>
    </w:r>
    <w:r w:rsidR="00A83188">
      <w:t>:\BRSGD\TEXT2019\SG05\WP5A\300\359\359N10e.docx</w:t>
    </w:r>
    <w:r>
      <w:fldChar w:fldCharType="end"/>
    </w:r>
    <w:r w:rsidR="00E6257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7D6B" w14:textId="77777777" w:rsidR="00664F7A" w:rsidRDefault="00664F7A">
      <w:r>
        <w:t>____________________</w:t>
      </w:r>
    </w:p>
  </w:footnote>
  <w:footnote w:type="continuationSeparator" w:id="0">
    <w:p w14:paraId="60E752B5" w14:textId="77777777" w:rsidR="00664F7A" w:rsidRDefault="00664F7A">
      <w:r>
        <w:continuationSeparator/>
      </w:r>
    </w:p>
  </w:footnote>
  <w:footnote w:id="1">
    <w:p w14:paraId="4CFD849C" w14:textId="77777777" w:rsidR="008679A1" w:rsidRPr="00FC7F72" w:rsidRDefault="008679A1" w:rsidP="008679A1">
      <w:pPr>
        <w:pStyle w:val="FootnoteText"/>
        <w:rPr>
          <w:lang w:val="en-AU"/>
        </w:rPr>
      </w:pPr>
      <w:r w:rsidRPr="00FC7F72">
        <w:rPr>
          <w:rStyle w:val="FootnoteReference"/>
        </w:rPr>
        <w:footnoteRef/>
      </w:r>
      <w:r>
        <w:tab/>
      </w:r>
      <w:r w:rsidRPr="00FC7F72">
        <w:rPr>
          <w:lang w:val="en-AU"/>
        </w:rPr>
        <w:t xml:space="preserve">See the </w:t>
      </w:r>
      <w:hyperlink r:id="rId1" w:history="1">
        <w:r w:rsidRPr="00FC7F72">
          <w:rPr>
            <w:rStyle w:val="Hyperlink"/>
            <w:lang w:val="en-AU"/>
          </w:rPr>
          <w:t>ITU Amateur and amateur-satellite</w:t>
        </w:r>
      </w:hyperlink>
      <w:r w:rsidRPr="00FC7F72">
        <w:rPr>
          <w:lang w:val="en-AU"/>
        </w:rPr>
        <w:t xml:space="preserve"> handbook for further details of radiosport activities.</w:t>
      </w:r>
    </w:p>
  </w:footnote>
  <w:footnote w:id="2">
    <w:p w14:paraId="34D52DEA" w14:textId="77777777" w:rsidR="008679A1" w:rsidRPr="00FC7F72" w:rsidRDefault="008679A1" w:rsidP="009652BD">
      <w:pPr>
        <w:pStyle w:val="FootnoteText"/>
        <w:jc w:val="both"/>
        <w:rPr>
          <w:lang w:val="en-US"/>
        </w:rPr>
      </w:pPr>
      <w:r w:rsidRPr="00FC7F72">
        <w:rPr>
          <w:rStyle w:val="FootnoteReference"/>
        </w:rPr>
        <w:footnoteRef/>
      </w:r>
      <w:r>
        <w:tab/>
      </w:r>
      <w:r w:rsidRPr="00FC7F72">
        <w:rPr>
          <w:lang w:val="en-US"/>
        </w:rPr>
        <w:t>Slow Scan Television (SSTV) is an imaging protocol which us issued to transmit images at a relatively low speed by using a frequency modulated subcarrier or digital encoding. Such transmissions are designed to fit within the bandwidth of a voice channel.</w:t>
      </w:r>
    </w:p>
  </w:footnote>
  <w:footnote w:id="3">
    <w:p w14:paraId="714F2A4B" w14:textId="5169503E" w:rsidR="008679A1" w:rsidRPr="004117B5" w:rsidRDefault="008679A1" w:rsidP="009652BD">
      <w:pPr>
        <w:pStyle w:val="FootnoteText"/>
        <w:jc w:val="both"/>
        <w:rPr>
          <w:lang w:val="en-US"/>
        </w:rPr>
      </w:pPr>
      <w:r w:rsidRPr="00FC7F72">
        <w:rPr>
          <w:rStyle w:val="FootnoteReference"/>
        </w:rPr>
        <w:footnoteRef/>
      </w:r>
      <w:r>
        <w:tab/>
      </w:r>
      <w:r w:rsidRPr="004117B5">
        <w:rPr>
          <w:spacing w:val="-2"/>
          <w:lang w:val="en-US"/>
        </w:rPr>
        <w:t>See</w:t>
      </w:r>
      <w:r w:rsidR="009652BD" w:rsidRPr="009652BD">
        <w:t xml:space="preserve"> </w:t>
      </w:r>
      <w:r w:rsidR="009652BD" w:rsidRPr="009652BD">
        <w:rPr>
          <w:spacing w:val="-2"/>
          <w:lang w:val="en-US"/>
        </w:rPr>
        <w:t xml:space="preserve">Recommendation </w:t>
      </w:r>
      <w:hyperlink r:id="rId2" w:history="1">
        <w:r w:rsidRPr="004117B5">
          <w:rPr>
            <w:rStyle w:val="Hyperlink"/>
            <w:spacing w:val="-2"/>
          </w:rPr>
          <w:t xml:space="preserve">ITU-R </w:t>
        </w:r>
        <w:proofErr w:type="spellStart"/>
        <w:r w:rsidRPr="004117B5">
          <w:rPr>
            <w:rStyle w:val="Hyperlink"/>
            <w:spacing w:val="-2"/>
          </w:rPr>
          <w:t>M.2034</w:t>
        </w:r>
        <w:proofErr w:type="spellEnd"/>
        <w:r w:rsidRPr="004117B5">
          <w:rPr>
            <w:rStyle w:val="Hyperlink"/>
            <w:spacing w:val="-2"/>
          </w:rPr>
          <w:t>-0</w:t>
        </w:r>
      </w:hyperlink>
      <w:r w:rsidRPr="004117B5">
        <w:rPr>
          <w:spacing w:val="-2"/>
        </w:rPr>
        <w:t xml:space="preserve"> which establishes a telegraphic alphabet and transmission </w:t>
      </w:r>
      <w:r w:rsidRPr="004117B5">
        <w:t>protocols for phase shift keying at 31 baud (</w:t>
      </w:r>
      <w:proofErr w:type="spellStart"/>
      <w:r w:rsidRPr="004117B5">
        <w:t>PSK31</w:t>
      </w:r>
      <w:proofErr w:type="spellEnd"/>
      <w:r w:rsidRPr="004117B5">
        <w:t>) in the amateur and amateur-satellite services.</w:t>
      </w:r>
    </w:p>
  </w:footnote>
  <w:footnote w:id="4">
    <w:p w14:paraId="0516799C" w14:textId="2E4A106E" w:rsidR="008679A1" w:rsidRPr="00FC7F72" w:rsidRDefault="008679A1" w:rsidP="009652BD">
      <w:pPr>
        <w:pStyle w:val="FootnoteText"/>
        <w:jc w:val="both"/>
        <w:rPr>
          <w:lang w:val="en-US"/>
        </w:rPr>
      </w:pPr>
      <w:r w:rsidRPr="00FC7F72">
        <w:rPr>
          <w:rStyle w:val="FootnoteReference"/>
        </w:rPr>
        <w:footnoteRef/>
      </w:r>
      <w:r w:rsidRPr="00FC7F72">
        <w:tab/>
      </w:r>
      <w:r w:rsidRPr="00FC7F72">
        <w:rPr>
          <w:lang w:val="en-US"/>
        </w:rPr>
        <w:t>These WSJT applications consist of a number of highly structured data modes which send a limited amount of data with strong Forward Error Correction which allows the data to be recovered at very low signal-to-noise ratios. WSJT modes –Weak Signal Joe Taylor– are named after their inventor Dr</w:t>
      </w:r>
      <w:r w:rsidR="009652BD">
        <w:rPr>
          <w:lang w:val="en-US"/>
        </w:rPr>
        <w:t> </w:t>
      </w:r>
      <w:r w:rsidRPr="00FC7F72">
        <w:rPr>
          <w:lang w:val="en-US"/>
        </w:rPr>
        <w:t>Joe Taylor.</w:t>
      </w:r>
    </w:p>
  </w:footnote>
  <w:footnote w:id="5">
    <w:p w14:paraId="4A43FA9C" w14:textId="77777777" w:rsidR="008679A1" w:rsidRPr="00FC7F72" w:rsidRDefault="008679A1" w:rsidP="00930322">
      <w:pPr>
        <w:pStyle w:val="FootnoteText"/>
        <w:jc w:val="both"/>
        <w:rPr>
          <w:lang w:val="en-AU"/>
        </w:rPr>
      </w:pPr>
      <w:r w:rsidRPr="00FC7F72">
        <w:rPr>
          <w:rStyle w:val="FootnoteReference"/>
        </w:rPr>
        <w:footnoteRef/>
      </w:r>
      <w:r>
        <w:tab/>
      </w:r>
      <w:r w:rsidRPr="00FC7F72">
        <w:t>D-STAR (Digital Smart Technologies for Amateur Radio) is a digital voice and data protocol specification for amateur radio. The system was developed in the late 1990s by the Japan Amateur Radio League and uses minimum-shift keying in its packet-based standard.</w:t>
      </w:r>
    </w:p>
  </w:footnote>
  <w:footnote w:id="6">
    <w:p w14:paraId="2CF22191" w14:textId="77777777" w:rsidR="008679A1" w:rsidRPr="00B47CD0" w:rsidRDefault="008679A1" w:rsidP="00930322">
      <w:pPr>
        <w:pStyle w:val="FootnoteText"/>
        <w:jc w:val="both"/>
        <w:rPr>
          <w:lang w:val="en-US"/>
        </w:rPr>
      </w:pPr>
      <w:r>
        <w:rPr>
          <w:rStyle w:val="FootnoteReference"/>
        </w:rPr>
        <w:footnoteRef/>
      </w:r>
      <w:r>
        <w:tab/>
      </w:r>
      <w:r w:rsidRPr="00FC7F72">
        <w:rPr>
          <w:lang w:val="en-US"/>
        </w:rPr>
        <w:t xml:space="preserve">Earth-Moon-Earth (EME) communications use the Moon as a passive reflector which allows long distance communications between stations that have a simultaneous view of the moon. The reflected signals are very weak, though modern </w:t>
      </w:r>
      <w:r>
        <w:rPr>
          <w:lang w:val="en-US"/>
        </w:rPr>
        <w:t>d</w:t>
      </w:r>
      <w:r w:rsidRPr="00FC7F72">
        <w:rPr>
          <w:lang w:val="en-US"/>
        </w:rPr>
        <w:t xml:space="preserve">igital </w:t>
      </w:r>
      <w:r>
        <w:rPr>
          <w:lang w:val="en-US"/>
        </w:rPr>
        <w:t>s</w:t>
      </w:r>
      <w:r w:rsidRPr="00FC7F72">
        <w:rPr>
          <w:lang w:val="en-US"/>
        </w:rPr>
        <w:t xml:space="preserve">ignal </w:t>
      </w:r>
      <w:r>
        <w:rPr>
          <w:lang w:val="en-US"/>
        </w:rPr>
        <w:t>p</w:t>
      </w:r>
      <w:r w:rsidRPr="00FC7F72">
        <w:rPr>
          <w:lang w:val="en-US"/>
        </w:rPr>
        <w:t>rocessing techniques and structured data modes reduce the need for high power transmitters.</w:t>
      </w:r>
    </w:p>
  </w:footnote>
  <w:footnote w:id="7">
    <w:p w14:paraId="5FFE8AEB" w14:textId="77777777" w:rsidR="008679A1" w:rsidRPr="00FC7F72" w:rsidRDefault="008679A1" w:rsidP="006A5081">
      <w:pPr>
        <w:pStyle w:val="FootnoteText"/>
        <w:jc w:val="both"/>
        <w:rPr>
          <w:lang w:val="en-US"/>
        </w:rPr>
      </w:pPr>
      <w:r>
        <w:rPr>
          <w:rStyle w:val="FootnoteReference"/>
        </w:rPr>
        <w:footnoteRef/>
      </w:r>
      <w:r>
        <w:tab/>
      </w:r>
      <w:r w:rsidRPr="00FC7F72">
        <w:rPr>
          <w:color w:val="000000" w:themeColor="text1"/>
        </w:rPr>
        <w:t xml:space="preserve">According </w:t>
      </w:r>
      <w:r>
        <w:rPr>
          <w:color w:val="000000" w:themeColor="text1"/>
        </w:rPr>
        <w:t xml:space="preserve">to </w:t>
      </w:r>
      <w:r w:rsidRPr="00FC7F72">
        <w:rPr>
          <w:color w:val="000000" w:themeColor="text1"/>
        </w:rPr>
        <w:t xml:space="preserve">the </w:t>
      </w:r>
      <w:r w:rsidRPr="00FC7F72">
        <w:rPr>
          <w:color w:val="000000" w:themeColor="text1"/>
          <w:lang w:val="en-US"/>
        </w:rPr>
        <w:t>extract from the database of one administration on unmanned amateur radio stations parameters, the antenna gain for 25</w:t>
      </w:r>
      <w:r w:rsidRPr="00FC7F72">
        <w:rPr>
          <w:color w:val="000000" w:themeColor="text1"/>
          <w:vertAlign w:val="superscript"/>
          <w:lang w:val="en-US"/>
        </w:rPr>
        <w:t>th</w:t>
      </w:r>
      <w:r w:rsidRPr="00FC7F72">
        <w:rPr>
          <w:color w:val="000000" w:themeColor="text1"/>
          <w:lang w:val="en-US"/>
        </w:rPr>
        <w:t xml:space="preserve"> percentile, median and 75</w:t>
      </w:r>
      <w:r w:rsidRPr="00FC7F72">
        <w:rPr>
          <w:color w:val="000000" w:themeColor="text1"/>
          <w:vertAlign w:val="superscript"/>
          <w:lang w:val="en-US"/>
        </w:rPr>
        <w:t>th</w:t>
      </w:r>
      <w:r w:rsidRPr="00FC7F72">
        <w:rPr>
          <w:color w:val="000000" w:themeColor="text1"/>
          <w:lang w:val="en-US"/>
        </w:rPr>
        <w:t xml:space="preserve"> percentile are 8.1 dBi, 11.2</w:t>
      </w:r>
      <w:r>
        <w:rPr>
          <w:color w:val="000000" w:themeColor="text1"/>
          <w:lang w:val="en-US"/>
        </w:rPr>
        <w:t> </w:t>
      </w:r>
      <w:r w:rsidRPr="00FC7F72">
        <w:rPr>
          <w:color w:val="000000" w:themeColor="text1"/>
          <w:lang w:val="en-US"/>
        </w:rPr>
        <w:t>dBi and 12.7 dBi. Minimum and maximum gain are found to be 2.15 dBi and 21.5 dBi. However, a gain of 21.5 dBi is exceptionally high in this application. It should be noted, that those installations mostly operate in hilly and mountainous areas.</w:t>
      </w:r>
    </w:p>
  </w:footnote>
  <w:footnote w:id="8">
    <w:p w14:paraId="43245201" w14:textId="77777777" w:rsidR="008679A1" w:rsidRPr="00FC7F72" w:rsidRDefault="008679A1" w:rsidP="008679A1">
      <w:pPr>
        <w:pStyle w:val="FootnoteText"/>
        <w:rPr>
          <w:lang w:val="en-US"/>
        </w:rPr>
      </w:pPr>
      <w:r w:rsidRPr="009E2E12">
        <w:rPr>
          <w:rStyle w:val="FootnoteReference"/>
        </w:rPr>
        <w:footnoteRef/>
      </w:r>
      <w:r>
        <w:tab/>
      </w:r>
      <w:r w:rsidRPr="00FC7F72">
        <w:rPr>
          <w:lang w:val="en-US"/>
        </w:rPr>
        <w:t>Feeder loss not included which may be up to 3 dB</w:t>
      </w:r>
      <w:r>
        <w:rPr>
          <w:lang w:val="en-US"/>
        </w:rPr>
        <w:t>.</w:t>
      </w:r>
    </w:p>
  </w:footnote>
  <w:footnote w:id="9">
    <w:p w14:paraId="636ADB22" w14:textId="77777777" w:rsidR="008679A1" w:rsidRPr="00427840" w:rsidRDefault="008679A1" w:rsidP="006A5081">
      <w:pPr>
        <w:tabs>
          <w:tab w:val="clear" w:pos="1134"/>
          <w:tab w:val="left" w:pos="284"/>
        </w:tabs>
        <w:jc w:val="both"/>
        <w:rPr>
          <w:rStyle w:val="FootnoteTextChar"/>
          <w:spacing w:val="-2"/>
          <w:lang w:val="en-US"/>
        </w:rPr>
      </w:pPr>
      <w:r w:rsidRPr="00FC7F72">
        <w:rPr>
          <w:rStyle w:val="FootnoteReference"/>
        </w:rPr>
        <w:footnoteRef/>
      </w:r>
      <w:r>
        <w:tab/>
      </w:r>
      <w:r w:rsidRPr="00427840">
        <w:rPr>
          <w:rStyle w:val="FootnoteTextChar"/>
        </w:rPr>
        <w:t xml:space="preserve">According to the extract from the license database of one administration on unmanned amateur </w:t>
      </w:r>
      <w:r w:rsidRPr="00427840">
        <w:rPr>
          <w:rStyle w:val="FootnoteTextChar"/>
          <w:spacing w:val="-2"/>
        </w:rPr>
        <w:t>radio stations parameters, 30% of repeaters are licensed to operate with an ERP of more than 100 W.</w:t>
      </w:r>
    </w:p>
  </w:footnote>
  <w:footnote w:id="10">
    <w:p w14:paraId="1565A156" w14:textId="77777777" w:rsidR="008679A1" w:rsidRDefault="008679A1" w:rsidP="006A5081">
      <w:pPr>
        <w:pStyle w:val="FootnoteText"/>
        <w:jc w:val="both"/>
      </w:pPr>
      <w:r>
        <w:rPr>
          <w:rStyle w:val="FootnoteReference"/>
        </w:rPr>
        <w:footnoteRef/>
      </w:r>
      <w:r>
        <w:tab/>
        <w:t>The analysed results were published by the national radio amateur societies in several European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B69D" w14:textId="154D9356"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44F8B">
      <w:rPr>
        <w:rStyle w:val="PageNumber"/>
        <w:noProof/>
      </w:rPr>
      <w:t>4</w:t>
    </w:r>
    <w:r w:rsidR="00D02712">
      <w:rPr>
        <w:rStyle w:val="PageNumber"/>
      </w:rPr>
      <w:fldChar w:fldCharType="end"/>
    </w:r>
    <w:r>
      <w:rPr>
        <w:rStyle w:val="PageNumber"/>
      </w:rPr>
      <w:t xml:space="preserve"> -</w:t>
    </w:r>
  </w:p>
  <w:p w14:paraId="37624DA6" w14:textId="422CE95B" w:rsidR="00FA124A" w:rsidRDefault="00664F7A">
    <w:pPr>
      <w:pStyle w:val="Header"/>
      <w:rPr>
        <w:lang w:val="en-US"/>
      </w:rPr>
    </w:pPr>
    <w:proofErr w:type="spellStart"/>
    <w:r>
      <w:rPr>
        <w:lang w:val="en-US"/>
      </w:rPr>
      <w:t>5A</w:t>
    </w:r>
    <w:proofErr w:type="spellEnd"/>
    <w:r>
      <w:rPr>
        <w:lang w:val="en-US"/>
      </w:rPr>
      <w:t>/</w:t>
    </w:r>
    <w:r w:rsidR="00672CA1">
      <w:rPr>
        <w:lang w:val="en-US"/>
      </w:rPr>
      <w:t>359</w:t>
    </w:r>
    <w:r w:rsidR="00A83188">
      <w:rPr>
        <w:lang w:val="en-US"/>
      </w:rPr>
      <w:t xml:space="preserve"> </w:t>
    </w:r>
    <w:r w:rsidR="00672CA1">
      <w:rPr>
        <w:lang w:val="en-US"/>
      </w:rPr>
      <w:t>(Annex 10)</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de-CH"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F7A"/>
    <w:rsid w:val="000069D4"/>
    <w:rsid w:val="000076AF"/>
    <w:rsid w:val="000174AD"/>
    <w:rsid w:val="00047A1D"/>
    <w:rsid w:val="000604B9"/>
    <w:rsid w:val="000A7D55"/>
    <w:rsid w:val="000C12C8"/>
    <w:rsid w:val="000C2E8E"/>
    <w:rsid w:val="000E0E7C"/>
    <w:rsid w:val="000F1B4B"/>
    <w:rsid w:val="0012744F"/>
    <w:rsid w:val="00131178"/>
    <w:rsid w:val="0013539A"/>
    <w:rsid w:val="00156F66"/>
    <w:rsid w:val="00163271"/>
    <w:rsid w:val="00172122"/>
    <w:rsid w:val="00182528"/>
    <w:rsid w:val="0018500B"/>
    <w:rsid w:val="00196A19"/>
    <w:rsid w:val="001E50A2"/>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4F1BAF"/>
    <w:rsid w:val="00501DCA"/>
    <w:rsid w:val="00513A47"/>
    <w:rsid w:val="005408DF"/>
    <w:rsid w:val="00573344"/>
    <w:rsid w:val="00583F9B"/>
    <w:rsid w:val="005B0D29"/>
    <w:rsid w:val="005B56E9"/>
    <w:rsid w:val="005E5C10"/>
    <w:rsid w:val="005E7BE5"/>
    <w:rsid w:val="005F2C78"/>
    <w:rsid w:val="006144E4"/>
    <w:rsid w:val="00650299"/>
    <w:rsid w:val="00655FC5"/>
    <w:rsid w:val="00664F7A"/>
    <w:rsid w:val="00672CA1"/>
    <w:rsid w:val="006A5081"/>
    <w:rsid w:val="0080538C"/>
    <w:rsid w:val="00814E0A"/>
    <w:rsid w:val="00822581"/>
    <w:rsid w:val="008309DD"/>
    <w:rsid w:val="0083227A"/>
    <w:rsid w:val="00844F8B"/>
    <w:rsid w:val="00866900"/>
    <w:rsid w:val="008679A1"/>
    <w:rsid w:val="00876A8A"/>
    <w:rsid w:val="00881BA1"/>
    <w:rsid w:val="0088638F"/>
    <w:rsid w:val="008C2302"/>
    <w:rsid w:val="008C26B8"/>
    <w:rsid w:val="008F208F"/>
    <w:rsid w:val="00930322"/>
    <w:rsid w:val="009550F6"/>
    <w:rsid w:val="009652BD"/>
    <w:rsid w:val="00982084"/>
    <w:rsid w:val="00995963"/>
    <w:rsid w:val="009B61EB"/>
    <w:rsid w:val="009C185B"/>
    <w:rsid w:val="009C2064"/>
    <w:rsid w:val="009D1697"/>
    <w:rsid w:val="009F3A46"/>
    <w:rsid w:val="009F6520"/>
    <w:rsid w:val="00A014F8"/>
    <w:rsid w:val="00A5173C"/>
    <w:rsid w:val="00A61AEF"/>
    <w:rsid w:val="00A71E80"/>
    <w:rsid w:val="00A77178"/>
    <w:rsid w:val="00A83188"/>
    <w:rsid w:val="00AD2345"/>
    <w:rsid w:val="00AF173A"/>
    <w:rsid w:val="00B066A4"/>
    <w:rsid w:val="00B07A13"/>
    <w:rsid w:val="00B4279B"/>
    <w:rsid w:val="00B45FC9"/>
    <w:rsid w:val="00B76F35"/>
    <w:rsid w:val="00B81138"/>
    <w:rsid w:val="00BC6C5E"/>
    <w:rsid w:val="00BC7CCF"/>
    <w:rsid w:val="00BE470B"/>
    <w:rsid w:val="00C37F0D"/>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73C8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186E89"/>
  <w15:docId w15:val="{6306AE3E-20C8-4550-AFD4-D01DFAD5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9C185B"/>
    <w:pPr>
      <w:keepLines/>
      <w:tabs>
        <w:tab w:val="left" w:pos="255"/>
      </w:tabs>
    </w:pPr>
  </w:style>
  <w:style w:type="paragraph" w:customStyle="1" w:styleId="Note">
    <w:name w:val="Note"/>
    <w:basedOn w:val="Normal"/>
    <w:next w:val="Normal"/>
    <w:uiPriority w:val="99"/>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8679A1"/>
    <w:rPr>
      <w:color w:val="0000FF" w:themeColor="hyperlink"/>
      <w:u w:val="single"/>
    </w:rPr>
  </w:style>
  <w:style w:type="character" w:customStyle="1" w:styleId="UnresolvedMention1">
    <w:name w:val="Unresolved Mention1"/>
    <w:basedOn w:val="DefaultParagraphFont"/>
    <w:uiPriority w:val="99"/>
    <w:semiHidden/>
    <w:unhideWhenUsed/>
    <w:rsid w:val="008679A1"/>
    <w:rPr>
      <w:color w:val="605E5C"/>
      <w:shd w:val="clear" w:color="auto" w:fill="E1DFDD"/>
    </w:rPr>
  </w:style>
  <w:style w:type="character" w:customStyle="1" w:styleId="Heading1Char">
    <w:name w:val="Heading 1 Char"/>
    <w:basedOn w:val="DefaultParagraphFont"/>
    <w:link w:val="Heading1"/>
    <w:rsid w:val="008679A1"/>
    <w:rPr>
      <w:rFonts w:ascii="Times New Roman" w:hAnsi="Times New Roman"/>
      <w:b/>
      <w:sz w:val="28"/>
      <w:lang w:val="en-GB" w:eastAsia="en-US"/>
    </w:rPr>
  </w:style>
  <w:style w:type="character" w:customStyle="1" w:styleId="Heading2Char">
    <w:name w:val="Heading 2 Char"/>
    <w:basedOn w:val="DefaultParagraphFont"/>
    <w:link w:val="Heading2"/>
    <w:rsid w:val="008679A1"/>
    <w:rPr>
      <w:rFonts w:ascii="Times New Roman" w:hAnsi="Times New Roman"/>
      <w:b/>
      <w:sz w:val="24"/>
      <w:lang w:val="en-GB" w:eastAsia="en-US"/>
    </w:rPr>
  </w:style>
  <w:style w:type="character" w:customStyle="1" w:styleId="TabletextChar">
    <w:name w:val="Table_text Char"/>
    <w:basedOn w:val="DefaultParagraphFont"/>
    <w:link w:val="Tabletext"/>
    <w:locked/>
    <w:rsid w:val="008679A1"/>
    <w:rPr>
      <w:rFonts w:ascii="Times New Roman" w:hAnsi="Times New Roman"/>
      <w:lang w:val="en-GB" w:eastAsia="en-US"/>
    </w:rPr>
  </w:style>
  <w:style w:type="character" w:customStyle="1" w:styleId="TableheadChar">
    <w:name w:val="Table_head Char"/>
    <w:basedOn w:val="DefaultParagraphFont"/>
    <w:link w:val="Tablehead"/>
    <w:locked/>
    <w:rsid w:val="008679A1"/>
    <w:rPr>
      <w:rFonts w:ascii="Times New Roman Bold" w:hAnsi="Times New Roman Bold" w:cs="Times New Roman Bold"/>
      <w:b/>
      <w:lang w:val="en-GB" w:eastAsia="en-US"/>
    </w:rPr>
  </w:style>
  <w:style w:type="character" w:customStyle="1" w:styleId="TableNoChar">
    <w:name w:val="Table_No Char"/>
    <w:link w:val="TableNo"/>
    <w:locked/>
    <w:rsid w:val="008679A1"/>
    <w:rPr>
      <w:rFonts w:ascii="Times New Roman" w:hAnsi="Times New Roman"/>
      <w:caps/>
      <w:lang w:val="en-GB" w:eastAsia="en-US"/>
    </w:rPr>
  </w:style>
  <w:style w:type="character" w:customStyle="1" w:styleId="TabletitleChar">
    <w:name w:val="Table_title Char"/>
    <w:link w:val="Tabletitle"/>
    <w:locked/>
    <w:rsid w:val="008679A1"/>
    <w:rPr>
      <w:rFonts w:ascii="Times New Roman Bold" w:hAnsi="Times New Roman Bold"/>
      <w:b/>
      <w:lang w:val="en-GB" w:eastAsia="en-US"/>
    </w:rPr>
  </w:style>
  <w:style w:type="table" w:styleId="TableGrid">
    <w:name w:val="Table Grid"/>
    <w:basedOn w:val="TableNormal"/>
    <w:rsid w:val="008679A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uiPriority w:val="1"/>
    <w:qFormat/>
    <w:rsid w:val="008679A1"/>
    <w:rPr>
      <w:b/>
      <w:bCs w:val="0"/>
    </w:rPr>
  </w:style>
  <w:style w:type="paragraph" w:customStyle="1" w:styleId="gmail-m366260878566664081tabletext">
    <w:name w:val="gmail-m_366260878566664081tabletext"/>
    <w:basedOn w:val="Normal"/>
    <w:rsid w:val="008679A1"/>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val="de-CH" w:eastAsia="de-CH"/>
    </w:rPr>
  </w:style>
  <w:style w:type="paragraph" w:styleId="BalloonText">
    <w:name w:val="Balloon Text"/>
    <w:basedOn w:val="Normal"/>
    <w:link w:val="BalloonTextChar"/>
    <w:semiHidden/>
    <w:unhideWhenUsed/>
    <w:rsid w:val="005E7BE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E7BE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rec/R-REC-M.2034/en" TargetMode="External"/><Relationship Id="rId1" Type="http://schemas.openxmlformats.org/officeDocument/2006/relationships/hyperlink" Target="https://www.itu.int/pub/R-HDB-52-2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16874-9BA1-4061-BFD1-414D6E7930E3}">
  <ds:schemaRefs>
    <ds:schemaRef ds:uri="http://schemas.microsoft.com/sharepoint/v3/contenttype/forms"/>
  </ds:schemaRefs>
</ds:datastoreItem>
</file>

<file path=customXml/itemProps2.xml><?xml version="1.0" encoding="utf-8"?>
<ds:datastoreItem xmlns:ds="http://schemas.openxmlformats.org/officeDocument/2006/customXml" ds:itemID="{DA00569E-DE78-4916-A97D-6EE680805EB9}">
  <ds:schemaRefs>
    <ds:schemaRef ds:uri="52e7451a-2438-4699-974e-3752ec5efa4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6a61cb-1973-4fc6-92ae-f4d7a4471404"/>
    <ds:schemaRef ds:uri="http://www.w3.org/XML/1998/namespace"/>
    <ds:schemaRef ds:uri="http://purl.org/dc/dcmitype/"/>
  </ds:schemaRefs>
</ds:datastoreItem>
</file>

<file path=customXml/itemProps3.xml><?xml version="1.0" encoding="utf-8"?>
<ds:datastoreItem xmlns:ds="http://schemas.openxmlformats.org/officeDocument/2006/customXml" ds:itemID="{B4C2AD8D-AE0B-4382-94CD-079B0AF41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28</TotalTime>
  <Pages>10</Pages>
  <Words>3216</Words>
  <Characters>18073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ITU - LRT</cp:lastModifiedBy>
  <cp:revision>5</cp:revision>
  <cp:lastPrinted>2008-02-21T14:04:00Z</cp:lastPrinted>
  <dcterms:created xsi:type="dcterms:W3CDTF">2021-05-12T09:44:00Z</dcterms:created>
  <dcterms:modified xsi:type="dcterms:W3CDTF">2021-05-12T12:45:00Z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