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3963890" w14:textId="77777777" w:rsidTr="00876A8A">
        <w:trPr>
          <w:cantSplit/>
        </w:trPr>
        <w:tc>
          <w:tcPr>
            <w:tcW w:w="6487" w:type="dxa"/>
            <w:vAlign w:val="center"/>
          </w:tcPr>
          <w:p w14:paraId="75046E7B"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60F49FD" w14:textId="0B945D10" w:rsidR="009F6520" w:rsidRDefault="002325E5" w:rsidP="002325E5">
            <w:pPr>
              <w:shd w:val="solid" w:color="FFFFFF" w:fill="FFFFFF"/>
              <w:spacing w:before="0" w:line="240" w:lineRule="atLeast"/>
            </w:pPr>
            <w:bookmarkStart w:id="0" w:name="ditulogo"/>
            <w:bookmarkEnd w:id="0"/>
            <w:r>
              <w:rPr>
                <w:noProof/>
                <w:lang w:val="en-US"/>
              </w:rPr>
              <w:drawing>
                <wp:inline distT="0" distB="0" distL="0" distR="0" wp14:anchorId="55C2DB05" wp14:editId="2F592F1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ECEFB8E" w14:textId="77777777" w:rsidTr="00876A8A">
        <w:trPr>
          <w:cantSplit/>
        </w:trPr>
        <w:tc>
          <w:tcPr>
            <w:tcW w:w="6487" w:type="dxa"/>
            <w:tcBorders>
              <w:bottom w:val="single" w:sz="12" w:space="0" w:color="auto"/>
            </w:tcBorders>
          </w:tcPr>
          <w:p w14:paraId="4504DB5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660133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2DA01A2" w14:textId="77777777" w:rsidTr="00876A8A">
        <w:trPr>
          <w:cantSplit/>
        </w:trPr>
        <w:tc>
          <w:tcPr>
            <w:tcW w:w="6487" w:type="dxa"/>
            <w:tcBorders>
              <w:top w:val="single" w:sz="12" w:space="0" w:color="auto"/>
            </w:tcBorders>
          </w:tcPr>
          <w:p w14:paraId="35953BB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921DAF7" w14:textId="77777777" w:rsidR="000069D4" w:rsidRPr="00710D66" w:rsidRDefault="000069D4" w:rsidP="00A5173C">
            <w:pPr>
              <w:shd w:val="solid" w:color="FFFFFF" w:fill="FFFFFF"/>
              <w:spacing w:before="0" w:after="48" w:line="240" w:lineRule="atLeast"/>
              <w:rPr>
                <w:lang w:val="en-US"/>
              </w:rPr>
            </w:pPr>
          </w:p>
        </w:tc>
      </w:tr>
      <w:tr w:rsidR="00FB6CC9" w14:paraId="687D53BC" w14:textId="77777777" w:rsidTr="00876A8A">
        <w:trPr>
          <w:cantSplit/>
        </w:trPr>
        <w:tc>
          <w:tcPr>
            <w:tcW w:w="6487" w:type="dxa"/>
            <w:vMerge w:val="restart"/>
          </w:tcPr>
          <w:p w14:paraId="607D7DC4" w14:textId="30747C15" w:rsidR="00FB6CC9" w:rsidRPr="00C86BFD" w:rsidRDefault="00FB6CC9" w:rsidP="00C86BFD">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503992">
              <w:rPr>
                <w:rFonts w:ascii="Verdana" w:hAnsi="Verdana"/>
                <w:sz w:val="20"/>
                <w:lang w:val="en-CA"/>
              </w:rPr>
              <w:t>Source:</w:t>
            </w:r>
            <w:r w:rsidRPr="00503992">
              <w:rPr>
                <w:rFonts w:ascii="Verdana" w:hAnsi="Verdana"/>
                <w:sz w:val="20"/>
                <w:lang w:val="en-CA"/>
              </w:rPr>
              <w:tab/>
            </w:r>
            <w:r w:rsidR="00C86BFD" w:rsidRPr="00C86BFD">
              <w:rPr>
                <w:rFonts w:ascii="Verdana" w:hAnsi="Verdana"/>
                <w:sz w:val="20"/>
                <w:lang w:val="en-CA"/>
              </w:rPr>
              <w:t>Annex 4 to</w:t>
            </w:r>
            <w:r w:rsidR="00C86BFD">
              <w:rPr>
                <w:rFonts w:ascii="Verdana" w:hAnsi="Verdana"/>
                <w:sz w:val="20"/>
                <w:lang w:val="en-CA"/>
              </w:rPr>
              <w:t xml:space="preserve"> </w:t>
            </w:r>
            <w:r w:rsidR="00C86BFD" w:rsidRPr="00C86BFD">
              <w:rPr>
                <w:rFonts w:ascii="Verdana" w:hAnsi="Verdana"/>
                <w:sz w:val="20"/>
                <w:lang w:val="en-CA"/>
              </w:rPr>
              <w:t xml:space="preserve">Document </w:t>
            </w:r>
            <w:hyperlink r:id="rId10" w:history="1">
              <w:r w:rsidR="00C86BFD" w:rsidRPr="00F70AAE">
                <w:rPr>
                  <w:rStyle w:val="Hyperlink"/>
                  <w:rFonts w:ascii="Verdana" w:hAnsi="Verdana"/>
                  <w:sz w:val="20"/>
                  <w:lang w:val="en-CA"/>
                </w:rPr>
                <w:t>5A/221</w:t>
              </w:r>
            </w:hyperlink>
          </w:p>
        </w:tc>
        <w:tc>
          <w:tcPr>
            <w:tcW w:w="3402" w:type="dxa"/>
          </w:tcPr>
          <w:p w14:paraId="494EA0D8" w14:textId="5DC06330" w:rsidR="00FB6CC9" w:rsidRPr="002325E5" w:rsidRDefault="00FB6CC9" w:rsidP="00FB6CC9">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4</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sidR="00C86BFD">
              <w:rPr>
                <w:rFonts w:ascii="Verdana" w:hAnsi="Verdana"/>
                <w:b/>
                <w:sz w:val="20"/>
                <w:lang w:val="pt-PT" w:eastAsia="zh-CN"/>
              </w:rPr>
              <w:t>359</w:t>
            </w:r>
            <w:r w:rsidRPr="00DB3BBE">
              <w:rPr>
                <w:rFonts w:ascii="Verdana" w:hAnsi="Verdana"/>
                <w:b/>
                <w:sz w:val="20"/>
                <w:lang w:val="pt-PT" w:eastAsia="zh-CN"/>
              </w:rPr>
              <w:t>-E</w:t>
            </w:r>
          </w:p>
        </w:tc>
      </w:tr>
      <w:tr w:rsidR="00FB6CC9" w14:paraId="018B90C7" w14:textId="77777777" w:rsidTr="00876A8A">
        <w:trPr>
          <w:cantSplit/>
        </w:trPr>
        <w:tc>
          <w:tcPr>
            <w:tcW w:w="6487" w:type="dxa"/>
            <w:vMerge/>
          </w:tcPr>
          <w:p w14:paraId="2B024843" w14:textId="77777777" w:rsidR="00FB6CC9" w:rsidRDefault="00FB6CC9" w:rsidP="00FB6CC9">
            <w:pPr>
              <w:spacing w:before="60"/>
              <w:jc w:val="center"/>
              <w:rPr>
                <w:b/>
                <w:smallCaps/>
                <w:sz w:val="32"/>
                <w:lang w:eastAsia="zh-CN"/>
              </w:rPr>
            </w:pPr>
            <w:bookmarkStart w:id="3" w:name="ddate" w:colFirst="1" w:colLast="1"/>
            <w:bookmarkEnd w:id="2"/>
          </w:p>
        </w:tc>
        <w:tc>
          <w:tcPr>
            <w:tcW w:w="3402" w:type="dxa"/>
          </w:tcPr>
          <w:p w14:paraId="119AFA93" w14:textId="4BD4546B" w:rsidR="00FB6CC9" w:rsidRPr="002325E5" w:rsidRDefault="00C86BFD" w:rsidP="00FB6CC9">
            <w:pPr>
              <w:shd w:val="solid" w:color="FFFFFF" w:fill="FFFFFF"/>
              <w:spacing w:before="0" w:line="240" w:lineRule="atLeast"/>
              <w:rPr>
                <w:rFonts w:ascii="Verdana" w:hAnsi="Verdana"/>
                <w:sz w:val="20"/>
                <w:lang w:eastAsia="zh-CN"/>
              </w:rPr>
            </w:pPr>
            <w:r>
              <w:rPr>
                <w:rFonts w:ascii="Verdana" w:hAnsi="Verdana"/>
                <w:b/>
                <w:sz w:val="20"/>
                <w:lang w:eastAsia="zh-CN"/>
              </w:rPr>
              <w:t>11 May 2021</w:t>
            </w:r>
          </w:p>
        </w:tc>
      </w:tr>
      <w:tr w:rsidR="000069D4" w14:paraId="38EA1A01" w14:textId="77777777" w:rsidTr="00876A8A">
        <w:trPr>
          <w:cantSplit/>
        </w:trPr>
        <w:tc>
          <w:tcPr>
            <w:tcW w:w="6487" w:type="dxa"/>
            <w:vMerge/>
          </w:tcPr>
          <w:p w14:paraId="623DDEAF"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A94C8D9" w14:textId="68C93851" w:rsidR="000069D4" w:rsidRPr="002325E5" w:rsidRDefault="002325E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5CE5D95" w14:textId="77777777" w:rsidTr="00D046A7">
        <w:trPr>
          <w:cantSplit/>
        </w:trPr>
        <w:tc>
          <w:tcPr>
            <w:tcW w:w="9889" w:type="dxa"/>
            <w:gridSpan w:val="2"/>
          </w:tcPr>
          <w:p w14:paraId="07F464DE" w14:textId="2B8A9B73" w:rsidR="000069D4" w:rsidRDefault="00FB6CC9" w:rsidP="002325E5">
            <w:pPr>
              <w:pStyle w:val="Source"/>
              <w:rPr>
                <w:lang w:eastAsia="zh-CN"/>
              </w:rPr>
            </w:pPr>
            <w:bookmarkStart w:id="5" w:name="dsource" w:colFirst="0" w:colLast="0"/>
            <w:bookmarkEnd w:id="4"/>
            <w:r w:rsidRPr="0036008A">
              <w:rPr>
                <w:lang w:val="en-US" w:eastAsia="ja-JP"/>
              </w:rPr>
              <w:t xml:space="preserve">Annex </w:t>
            </w:r>
            <w:r>
              <w:rPr>
                <w:lang w:val="en-US" w:eastAsia="ja-JP"/>
              </w:rPr>
              <w:t>4</w:t>
            </w:r>
            <w:r w:rsidRPr="0036008A">
              <w:rPr>
                <w:lang w:val="en-US" w:eastAsia="ja-JP"/>
              </w:rPr>
              <w:t xml:space="preserve"> to Working Party 5A Chairman’s Report</w:t>
            </w:r>
          </w:p>
        </w:tc>
      </w:tr>
      <w:tr w:rsidR="000069D4" w14:paraId="3CF85286" w14:textId="77777777" w:rsidTr="00D046A7">
        <w:trPr>
          <w:cantSplit/>
        </w:trPr>
        <w:tc>
          <w:tcPr>
            <w:tcW w:w="9889" w:type="dxa"/>
            <w:gridSpan w:val="2"/>
          </w:tcPr>
          <w:p w14:paraId="18E8FB2B" w14:textId="7D1CB515" w:rsidR="000069D4" w:rsidRDefault="002325E5" w:rsidP="00A5173C">
            <w:pPr>
              <w:pStyle w:val="Title1"/>
              <w:rPr>
                <w:lang w:eastAsia="zh-CN"/>
              </w:rPr>
            </w:pPr>
            <w:bookmarkStart w:id="6" w:name="drec" w:colFirst="0" w:colLast="0"/>
            <w:bookmarkEnd w:id="5"/>
            <w:r w:rsidRPr="00C66246">
              <w:t>WORKING DOCUMENT TOWARD</w:t>
            </w:r>
            <w:r>
              <w:t>S</w:t>
            </w:r>
            <w:r w:rsidRPr="00C66246">
              <w:t xml:space="preserve"> Preliminary draft CPM text </w:t>
            </w:r>
            <w:r w:rsidRPr="00C66246">
              <w:br/>
              <w:t xml:space="preserve">for WRC-23 Agenda Item </w:t>
            </w:r>
            <w:r>
              <w:t>1.3</w:t>
            </w:r>
          </w:p>
        </w:tc>
      </w:tr>
      <w:tr w:rsidR="000069D4" w14:paraId="3AC559CD" w14:textId="77777777" w:rsidTr="00D046A7">
        <w:trPr>
          <w:cantSplit/>
        </w:trPr>
        <w:tc>
          <w:tcPr>
            <w:tcW w:w="9889" w:type="dxa"/>
            <w:gridSpan w:val="2"/>
          </w:tcPr>
          <w:p w14:paraId="1D82B779" w14:textId="6C042149" w:rsidR="000069D4" w:rsidRPr="007A1580" w:rsidRDefault="000069D4" w:rsidP="009A50C6">
            <w:pPr>
              <w:pStyle w:val="Title1"/>
              <w:rPr>
                <w:bCs/>
                <w:lang w:eastAsia="zh-CN"/>
              </w:rPr>
            </w:pPr>
            <w:bookmarkStart w:id="7" w:name="dtitle1" w:colFirst="0" w:colLast="0"/>
            <w:bookmarkEnd w:id="6"/>
          </w:p>
        </w:tc>
      </w:tr>
    </w:tbl>
    <w:p w14:paraId="7B8D3CD8" w14:textId="77777777" w:rsidR="007A1580" w:rsidRDefault="007A1580" w:rsidP="00F70AAE">
      <w:pPr>
        <w:pStyle w:val="ChapNo"/>
        <w:spacing w:before="240"/>
        <w:rPr>
          <w:lang w:val="en-US"/>
        </w:rPr>
      </w:pPr>
      <w:bookmarkStart w:id="8" w:name="dbreak"/>
      <w:bookmarkEnd w:id="7"/>
      <w:bookmarkEnd w:id="8"/>
      <w:r w:rsidRPr="007A1580">
        <w:t>CHAPTER</w:t>
      </w:r>
      <w:r w:rsidRPr="007A1580">
        <w:rPr>
          <w:lang w:val="en-US"/>
        </w:rPr>
        <w:t xml:space="preserve"> 1</w:t>
      </w:r>
    </w:p>
    <w:p w14:paraId="60B2DBDD" w14:textId="7F871067" w:rsidR="002325E5" w:rsidRDefault="002325E5" w:rsidP="00CE2854">
      <w:pPr>
        <w:pStyle w:val="Chaptitle"/>
      </w:pPr>
      <w:r w:rsidRPr="00457645">
        <w:t>Fixed, Mobile and Broadcasting issues</w:t>
      </w:r>
      <w:r>
        <w:br/>
      </w:r>
      <w:r w:rsidRPr="009477F6">
        <w:t xml:space="preserve">(Agenda items </w:t>
      </w:r>
      <w:r w:rsidRPr="00457645">
        <w:rPr>
          <w:lang w:val="en-US"/>
        </w:rPr>
        <w:t>1.1, 1.2, 1.3, 1.4, 1.5</w:t>
      </w:r>
      <w:r w:rsidRPr="009477F6">
        <w:t>)</w:t>
      </w:r>
    </w:p>
    <w:p w14:paraId="123C9BD6" w14:textId="77777777" w:rsidR="002325E5" w:rsidRPr="00EF49C7" w:rsidRDefault="002325E5" w:rsidP="005B1DA5">
      <w:pPr>
        <w:pStyle w:val="Agendaitem"/>
        <w:rPr>
          <w:lang w:val="en-US"/>
        </w:rPr>
      </w:pPr>
      <w:bookmarkStart w:id="9" w:name="OLE_LINK1"/>
      <w:r w:rsidRPr="00EF49C7">
        <w:rPr>
          <w:lang w:val="en-US"/>
        </w:rPr>
        <w:t xml:space="preserve">Agenda </w:t>
      </w:r>
      <w:r>
        <w:rPr>
          <w:lang w:val="en-US"/>
        </w:rPr>
        <w:t>i</w:t>
      </w:r>
      <w:r w:rsidRPr="00EF49C7">
        <w:rPr>
          <w:lang w:val="en-US"/>
        </w:rPr>
        <w:t>tem 1.</w:t>
      </w:r>
      <w:r>
        <w:rPr>
          <w:lang w:val="en-US"/>
        </w:rPr>
        <w:t>3</w:t>
      </w:r>
    </w:p>
    <w:p w14:paraId="3A332514" w14:textId="77777777" w:rsidR="002325E5" w:rsidRPr="00CE2854" w:rsidRDefault="002325E5" w:rsidP="00CE2854">
      <w:pPr>
        <w:jc w:val="center"/>
        <w:rPr>
          <w:b/>
          <w:bCs/>
        </w:rPr>
      </w:pPr>
      <w:r w:rsidRPr="00CE2854">
        <w:rPr>
          <w:b/>
          <w:bCs/>
        </w:rPr>
        <w:t>(WP 5A / WP 3K, WP 3M, WP 4A, WP 5B, WP 5C, WP 5D)</w:t>
      </w:r>
    </w:p>
    <w:p w14:paraId="57223CEB" w14:textId="77777777" w:rsidR="002325E5" w:rsidRDefault="002325E5" w:rsidP="005B1DA5">
      <w:pPr>
        <w:pStyle w:val="Normalaftertitle"/>
        <w:spacing w:before="240"/>
        <w:rPr>
          <w:b/>
          <w:i/>
          <w:iCs/>
        </w:rPr>
      </w:pPr>
      <w:r w:rsidRPr="00125DC1">
        <w:rPr>
          <w:i/>
          <w:iCs/>
        </w:rPr>
        <w:t>1.3</w:t>
      </w:r>
      <w:r w:rsidRPr="00125DC1">
        <w:rPr>
          <w:i/>
          <w:iCs/>
        </w:rPr>
        <w:tab/>
        <w:t>to consider primary allocation of the band 3 600</w:t>
      </w:r>
      <w:r>
        <w:rPr>
          <w:i/>
          <w:iCs/>
        </w:rPr>
        <w:t>-</w:t>
      </w:r>
      <w:r w:rsidRPr="00125DC1">
        <w:rPr>
          <w:i/>
          <w:iCs/>
        </w:rPr>
        <w:t xml:space="preserve">3 800 MHz to mobile service within Region 1 and take appropriate regulatory actions, in accordance with Resolution </w:t>
      </w:r>
      <w:r w:rsidRPr="00125DC1">
        <w:rPr>
          <w:b/>
          <w:bCs/>
          <w:i/>
          <w:iCs/>
        </w:rPr>
        <w:t>246 (WRC</w:t>
      </w:r>
      <w:r>
        <w:rPr>
          <w:b/>
          <w:bCs/>
          <w:i/>
          <w:iCs/>
        </w:rPr>
        <w:t>-</w:t>
      </w:r>
      <w:r w:rsidRPr="00125DC1">
        <w:rPr>
          <w:b/>
          <w:bCs/>
          <w:i/>
          <w:iCs/>
        </w:rPr>
        <w:t>19)</w:t>
      </w:r>
      <w:r w:rsidRPr="00125DC1">
        <w:rPr>
          <w:i/>
          <w:iCs/>
        </w:rPr>
        <w:t>;</w:t>
      </w:r>
    </w:p>
    <w:p w14:paraId="5787D63E" w14:textId="1381596E" w:rsidR="002325E5" w:rsidRDefault="002325E5" w:rsidP="005B1DA5">
      <w:pPr>
        <w:rPr>
          <w:rFonts w:eastAsia="SimSun"/>
          <w:i/>
          <w:iCs/>
        </w:rPr>
      </w:pPr>
      <w:r w:rsidRPr="00125DC1">
        <w:t xml:space="preserve">Resolution </w:t>
      </w:r>
      <w:r w:rsidRPr="00FB7660">
        <w:rPr>
          <w:b/>
          <w:bCs/>
        </w:rPr>
        <w:t>246 (WRC-19)</w:t>
      </w:r>
      <w:r w:rsidRPr="00CE2854">
        <w:rPr>
          <w:b/>
          <w:bCs/>
        </w:rPr>
        <w:t xml:space="preserve"> </w:t>
      </w:r>
      <w:r>
        <w:t xml:space="preserve">– </w:t>
      </w:r>
      <w:r w:rsidRPr="00901CC0">
        <w:rPr>
          <w:rFonts w:eastAsia="SimSun"/>
          <w:i/>
          <w:iCs/>
        </w:rPr>
        <w:t>Studies to consider possible allocation of the frequency band 3</w:t>
      </w:r>
      <w:r w:rsidR="00C86BFD">
        <w:rPr>
          <w:rFonts w:eastAsia="SimSun"/>
          <w:i/>
          <w:iCs/>
        </w:rPr>
        <w:t> </w:t>
      </w:r>
      <w:r w:rsidRPr="00901CC0">
        <w:rPr>
          <w:rFonts w:eastAsia="SimSun"/>
          <w:i/>
          <w:iCs/>
        </w:rPr>
        <w:t>600</w:t>
      </w:r>
      <w:r w:rsidR="007A1580">
        <w:rPr>
          <w:rFonts w:eastAsia="SimSun"/>
          <w:i/>
          <w:iCs/>
        </w:rPr>
        <w:noBreakHyphen/>
      </w:r>
      <w:r w:rsidRPr="00901CC0">
        <w:rPr>
          <w:rFonts w:eastAsia="SimSun"/>
          <w:i/>
          <w:iCs/>
        </w:rPr>
        <w:t>3</w:t>
      </w:r>
      <w:r w:rsidR="00C86BFD">
        <w:rPr>
          <w:rFonts w:eastAsia="SimSun"/>
          <w:i/>
          <w:iCs/>
        </w:rPr>
        <w:t> </w:t>
      </w:r>
      <w:r w:rsidRPr="00901CC0">
        <w:rPr>
          <w:rFonts w:eastAsia="SimSun"/>
          <w:i/>
          <w:iCs/>
        </w:rPr>
        <w:t>800 MHz to the mobile, except aeronautical mobile, service on a primary basis within Region 1</w:t>
      </w:r>
      <w:r>
        <w:rPr>
          <w:rFonts w:eastAsia="SimSun"/>
          <w:i/>
          <w:iCs/>
        </w:rPr>
        <w:t>.</w:t>
      </w:r>
    </w:p>
    <w:p w14:paraId="1132DE52" w14:textId="59DCF508" w:rsidR="002325E5" w:rsidRPr="00F351A3" w:rsidRDefault="002325E5" w:rsidP="005B1DA5">
      <w:pPr>
        <w:pStyle w:val="Heading1"/>
      </w:pPr>
      <w:r>
        <w:t>1</w:t>
      </w:r>
      <w:r w:rsidRPr="00F351A3">
        <w:t>/1.</w:t>
      </w:r>
      <w:r>
        <w:t>3</w:t>
      </w:r>
      <w:r w:rsidRPr="00F351A3">
        <w:t>/1</w:t>
      </w:r>
      <w:r w:rsidRPr="00F351A3">
        <w:tab/>
        <w:t>Executive summary</w:t>
      </w:r>
    </w:p>
    <w:p w14:paraId="6787A270" w14:textId="43877C67" w:rsidR="002325E5" w:rsidRPr="00F351A3" w:rsidRDefault="002325E5" w:rsidP="005B1DA5">
      <w:pPr>
        <w:rPr>
          <w:i/>
          <w:iCs/>
        </w:rPr>
      </w:pPr>
      <w:r w:rsidRPr="00D93E66">
        <w:rPr>
          <w:i/>
          <w:iC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r>
        <w:rPr>
          <w:i/>
          <w:iCs/>
        </w:rPr>
        <w:t xml:space="preserve">. See also </w:t>
      </w:r>
      <w:r w:rsidRPr="009F5ECC">
        <w:rPr>
          <w:i/>
          <w:iCs/>
          <w:lang w:val="en-US"/>
        </w:rPr>
        <w:t>§</w:t>
      </w:r>
      <w:r w:rsidR="007A1580">
        <w:rPr>
          <w:i/>
          <w:iCs/>
          <w:lang w:val="en-US"/>
        </w:rPr>
        <w:t> </w:t>
      </w:r>
      <w:r>
        <w:rPr>
          <w:i/>
          <w:iCs/>
          <w:lang w:val="en-US"/>
        </w:rPr>
        <w:t>A</w:t>
      </w:r>
      <w:r>
        <w:rPr>
          <w:i/>
          <w:iCs/>
        </w:rPr>
        <w:t xml:space="preserve">2.1 of </w:t>
      </w:r>
      <w:r w:rsidRPr="00C5138E">
        <w:rPr>
          <w:i/>
          <w:iCs/>
        </w:rPr>
        <w:t>Annex </w:t>
      </w:r>
      <w:r>
        <w:rPr>
          <w:i/>
          <w:iCs/>
        </w:rPr>
        <w:t>2</w:t>
      </w:r>
      <w:r w:rsidRPr="00C5138E">
        <w:rPr>
          <w:i/>
          <w:iCs/>
        </w:rPr>
        <w:t xml:space="preserve"> to </w:t>
      </w:r>
      <w:hyperlink r:id="rId11" w:history="1">
        <w:r w:rsidRPr="00F70AAE">
          <w:rPr>
            <w:rStyle w:val="Hyperlink"/>
            <w:i/>
            <w:iCs/>
            <w:color w:val="000000" w:themeColor="text1"/>
            <w:u w:val="none"/>
          </w:rPr>
          <w:t xml:space="preserve">Resolution </w:t>
        </w:r>
        <w:r w:rsidRPr="009F5ECC">
          <w:rPr>
            <w:rStyle w:val="Hyperlink"/>
            <w:i/>
            <w:iCs/>
          </w:rPr>
          <w:t>ITU-R 2-</w:t>
        </w:r>
        <w:r>
          <w:rPr>
            <w:rStyle w:val="Hyperlink"/>
            <w:i/>
            <w:iCs/>
          </w:rPr>
          <w:t>8</w:t>
        </w:r>
      </w:hyperlink>
      <w:r w:rsidRPr="00F351A3">
        <w:rPr>
          <w:i/>
          <w:iCs/>
        </w:rPr>
        <w:t>]</w:t>
      </w:r>
    </w:p>
    <w:p w14:paraId="596F9ACC" w14:textId="678E5197" w:rsidR="002325E5" w:rsidRPr="00837D9C" w:rsidRDefault="002325E5" w:rsidP="005B1DA5">
      <w:pPr>
        <w:pStyle w:val="Heading1"/>
        <w:rPr>
          <w:lang w:eastAsia="ja-JP"/>
        </w:rPr>
      </w:pPr>
      <w:r>
        <w:t>1</w:t>
      </w:r>
      <w:r w:rsidRPr="00837D9C">
        <w:t>/1.</w:t>
      </w:r>
      <w:r>
        <w:t>3</w:t>
      </w:r>
      <w:r w:rsidRPr="00837D9C">
        <w:t>/</w:t>
      </w:r>
      <w:r>
        <w:t>2</w:t>
      </w:r>
      <w:r w:rsidRPr="00837D9C">
        <w:tab/>
      </w:r>
      <w:r>
        <w:t>Background</w:t>
      </w:r>
    </w:p>
    <w:p w14:paraId="29926478" w14:textId="090A0901" w:rsidR="002325E5" w:rsidRDefault="002325E5" w:rsidP="005B1DA5">
      <w:pPr>
        <w:rPr>
          <w:i/>
          <w:iCs/>
        </w:rPr>
      </w:pPr>
      <w:r w:rsidRPr="00D93E66">
        <w:rPr>
          <w:i/>
          <w:iCs/>
        </w:rPr>
        <w:t>[Text of the background, not more than half a page of text to provide general information in a concise manner, in order to describe the rationale of the agenda items (or issue(s))</w:t>
      </w:r>
      <w:r>
        <w:rPr>
          <w:i/>
          <w:iCs/>
        </w:rPr>
        <w:t xml:space="preserve">. See also </w:t>
      </w:r>
      <w:r w:rsidRPr="009F5ECC">
        <w:rPr>
          <w:i/>
          <w:iCs/>
          <w:lang w:val="en-US"/>
        </w:rPr>
        <w:t>§</w:t>
      </w:r>
      <w:r w:rsidR="00CE2854">
        <w:rPr>
          <w:i/>
          <w:iCs/>
          <w:lang w:val="en-US"/>
        </w:rPr>
        <w:t> </w:t>
      </w:r>
      <w:r>
        <w:rPr>
          <w:i/>
          <w:iCs/>
          <w:lang w:val="en-US"/>
        </w:rPr>
        <w:t>A</w:t>
      </w:r>
      <w:r>
        <w:rPr>
          <w:i/>
          <w:iCs/>
        </w:rPr>
        <w:t xml:space="preserve">2.2 of </w:t>
      </w:r>
      <w:r w:rsidRPr="00C5138E">
        <w:rPr>
          <w:i/>
          <w:iCs/>
        </w:rPr>
        <w:t>Annex </w:t>
      </w:r>
      <w:r>
        <w:rPr>
          <w:i/>
          <w:iCs/>
        </w:rPr>
        <w:t>2</w:t>
      </w:r>
      <w:r w:rsidRPr="00C5138E">
        <w:rPr>
          <w:i/>
          <w:iCs/>
        </w:rPr>
        <w:t xml:space="preserve"> to</w:t>
      </w:r>
      <w:r w:rsidR="00CE2854">
        <w:rPr>
          <w:i/>
          <w:iCs/>
        </w:rPr>
        <w:t xml:space="preserve"> </w:t>
      </w:r>
      <w:r w:rsidR="00CE2854" w:rsidRPr="00CE2854">
        <w:rPr>
          <w:i/>
          <w:iCs/>
        </w:rPr>
        <w:t xml:space="preserve">Resolution </w:t>
      </w:r>
      <w:hyperlink r:id="rId12" w:history="1">
        <w:r w:rsidRPr="009F5ECC">
          <w:rPr>
            <w:rStyle w:val="Hyperlink"/>
            <w:i/>
            <w:iCs/>
          </w:rPr>
          <w:t>ITU-R 2-</w:t>
        </w:r>
        <w:r>
          <w:rPr>
            <w:rStyle w:val="Hyperlink"/>
            <w:i/>
            <w:iCs/>
          </w:rPr>
          <w:t>8</w:t>
        </w:r>
      </w:hyperlink>
      <w:r w:rsidRPr="00D93E66">
        <w:rPr>
          <w:i/>
          <w:iCs/>
        </w:rPr>
        <w:t>]</w:t>
      </w:r>
    </w:p>
    <w:p w14:paraId="5A57B427" w14:textId="0359A74F" w:rsidR="002325E5" w:rsidRPr="00337984" w:rsidRDefault="002325E5" w:rsidP="00337984">
      <w:pPr>
        <w:rPr>
          <w:iCs/>
        </w:rPr>
      </w:pPr>
      <w:r w:rsidRPr="00337984">
        <w:rPr>
          <w:iCs/>
        </w:rPr>
        <w:t xml:space="preserve">[In </w:t>
      </w:r>
      <w:r w:rsidR="00C92A9F">
        <w:rPr>
          <w:iCs/>
        </w:rPr>
        <w:t xml:space="preserve">the </w:t>
      </w:r>
      <w:r w:rsidRPr="00337984">
        <w:rPr>
          <w:iCs/>
        </w:rPr>
        <w:t>Radio Regulation</w:t>
      </w:r>
      <w:r w:rsidR="00C92A9F">
        <w:rPr>
          <w:iCs/>
        </w:rPr>
        <w:t>s</w:t>
      </w:r>
      <w:r w:rsidRPr="00337984">
        <w:rPr>
          <w:iCs/>
        </w:rPr>
        <w:t>, the frequency band 3 600-3 800 MHz is allocated to the fixed and fixed-satellite services on a primary basis in all three Regions and is also allocated to the mobile, except aeronautical mobile, service on a primary basis within Regions 2 and 3; while the frequency band</w:t>
      </w:r>
      <w:r w:rsidR="00CE2854">
        <w:rPr>
          <w:iCs/>
        </w:rPr>
        <w:t xml:space="preserve"> </w:t>
      </w:r>
      <w:r w:rsidRPr="00337984">
        <w:rPr>
          <w:iCs/>
        </w:rPr>
        <w:t>3</w:t>
      </w:r>
      <w:r w:rsidR="00CE2854">
        <w:rPr>
          <w:iCs/>
        </w:rPr>
        <w:t> </w:t>
      </w:r>
      <w:r w:rsidRPr="00337984">
        <w:rPr>
          <w:iCs/>
        </w:rPr>
        <w:t>600-3</w:t>
      </w:r>
      <w:r w:rsidR="00C86BFD">
        <w:rPr>
          <w:iCs/>
        </w:rPr>
        <w:t> </w:t>
      </w:r>
      <w:r w:rsidRPr="00337984">
        <w:rPr>
          <w:iCs/>
        </w:rPr>
        <w:t>800 MHz is allocated to the mobile service on a secondary basis within Region 1.</w:t>
      </w:r>
    </w:p>
    <w:p w14:paraId="3528F830" w14:textId="40B43E05" w:rsidR="002325E5" w:rsidRPr="00337984" w:rsidRDefault="002325E5" w:rsidP="00337984">
      <w:pPr>
        <w:rPr>
          <w:iCs/>
        </w:rPr>
      </w:pPr>
      <w:r w:rsidRPr="00337984">
        <w:rPr>
          <w:iCs/>
        </w:rPr>
        <w:lastRenderedPageBreak/>
        <w:t>However, currently, some administrations in Region 1 are currently using the frequency band 3</w:t>
      </w:r>
      <w:r w:rsidR="00CE2854">
        <w:rPr>
          <w:iCs/>
        </w:rPr>
        <w:t> </w:t>
      </w:r>
      <w:r w:rsidRPr="00337984">
        <w:rPr>
          <w:iCs/>
        </w:rPr>
        <w:t>600-3 800 MHz, or part of that frequency band, for the mobile service (for example International Mobile Telecommunications (IMT) implementation), which terrestrial systems of the mobile service are intended to provide telecommunication services on a worldwide scale, regardless of location. Meanwhile, it is necessary to protect existing services when considering possible additional allocation to any service in any frequency band</w:t>
      </w:r>
      <w:r w:rsidR="00CE2854">
        <w:rPr>
          <w:iCs/>
        </w:rPr>
        <w:t>.</w:t>
      </w:r>
    </w:p>
    <w:p w14:paraId="7FC61FFA" w14:textId="564B1F69" w:rsidR="002325E5" w:rsidRPr="00337984" w:rsidRDefault="002325E5" w:rsidP="00337984">
      <w:pPr>
        <w:rPr>
          <w:iCs/>
        </w:rPr>
      </w:pPr>
      <w:r w:rsidRPr="00337984">
        <w:rPr>
          <w:iCs/>
        </w:rPr>
        <w:t>WRC-23 agenda item 1.3 is to consider primary allocation of the band 3</w:t>
      </w:r>
      <w:r w:rsidR="00CE2854">
        <w:rPr>
          <w:iCs/>
        </w:rPr>
        <w:t> </w:t>
      </w:r>
      <w:r w:rsidRPr="00337984">
        <w:rPr>
          <w:iCs/>
        </w:rPr>
        <w:t>600</w:t>
      </w:r>
      <w:r w:rsidR="00CE2854">
        <w:rPr>
          <w:iCs/>
        </w:rPr>
        <w:t>-</w:t>
      </w:r>
      <w:r w:rsidRPr="00337984">
        <w:rPr>
          <w:iCs/>
        </w:rPr>
        <w:t>3</w:t>
      </w:r>
      <w:r w:rsidR="00CE2854">
        <w:rPr>
          <w:iCs/>
        </w:rPr>
        <w:t> </w:t>
      </w:r>
      <w:r w:rsidRPr="00337984">
        <w:rPr>
          <w:iCs/>
        </w:rPr>
        <w:t xml:space="preserve">800 MHz to mobile service within Region 1 and take appropriate regulatory actions, in accordance with Resolution </w:t>
      </w:r>
      <w:r w:rsidRPr="00CE2854">
        <w:rPr>
          <w:b/>
          <w:bCs/>
          <w:iCs/>
        </w:rPr>
        <w:t>246 (WRC</w:t>
      </w:r>
      <w:r w:rsidR="00CE2854">
        <w:rPr>
          <w:b/>
          <w:bCs/>
          <w:iCs/>
        </w:rPr>
        <w:t>-</w:t>
      </w:r>
      <w:r w:rsidRPr="00CE2854">
        <w:rPr>
          <w:b/>
          <w:bCs/>
          <w:iCs/>
        </w:rPr>
        <w:t>19)</w:t>
      </w:r>
      <w:r w:rsidRPr="00337984">
        <w:rPr>
          <w:iCs/>
        </w:rPr>
        <w:t xml:space="preserve">. Resolution </w:t>
      </w:r>
      <w:r w:rsidRPr="00CE2854">
        <w:rPr>
          <w:b/>
          <w:bCs/>
          <w:iCs/>
        </w:rPr>
        <w:t>246 (WRC</w:t>
      </w:r>
      <w:r w:rsidR="00CE2854">
        <w:rPr>
          <w:b/>
          <w:bCs/>
          <w:iCs/>
        </w:rPr>
        <w:t>-</w:t>
      </w:r>
      <w:r w:rsidRPr="00CE2854">
        <w:rPr>
          <w:b/>
          <w:bCs/>
          <w:iCs/>
        </w:rPr>
        <w:t>19)</w:t>
      </w:r>
      <w:r w:rsidRPr="00337984">
        <w:rPr>
          <w:iCs/>
        </w:rPr>
        <w:t xml:space="preserve"> </w:t>
      </w:r>
      <w:r w:rsidRPr="00CE2854">
        <w:rPr>
          <w:i/>
        </w:rPr>
        <w:t>resolves to invite the ITU Radiocommunication Sector</w:t>
      </w:r>
      <w:r w:rsidRPr="00337984">
        <w:rPr>
          <w:iCs/>
        </w:rPr>
        <w:t>:</w:t>
      </w:r>
    </w:p>
    <w:p w14:paraId="6EC5B227" w14:textId="7D23222E" w:rsidR="002325E5" w:rsidRPr="00337984" w:rsidRDefault="002325E5" w:rsidP="00CE2854">
      <w:pPr>
        <w:pStyle w:val="enumlev1"/>
      </w:pPr>
      <w:r w:rsidRPr="00337984">
        <w:tab/>
      </w:r>
      <w:r w:rsidR="00CE2854">
        <w:t>"</w:t>
      </w:r>
      <w:r w:rsidRPr="00337984">
        <w:t>to conduct sharing and compatibility studies in time for WRC-23 between the mobile service and other service allocated on a primary basis within the frequency band 3</w:t>
      </w:r>
      <w:r w:rsidR="00CE2854">
        <w:t> </w:t>
      </w:r>
      <w:r w:rsidRPr="00337984">
        <w:t>600</w:t>
      </w:r>
      <w:r w:rsidR="00CE2854">
        <w:noBreakHyphen/>
      </w:r>
      <w:r w:rsidRPr="00337984">
        <w:t>3</w:t>
      </w:r>
      <w:r w:rsidR="00CE2854">
        <w:t> </w:t>
      </w:r>
      <w:r w:rsidRPr="00337984">
        <w:t>800 MHz and adjacent frequency bands in Region 1, as appropriate, to ensure protection of those service to which the frequency band is allocated on a primary basis and not impose undue constraints on the existing services and their future development</w:t>
      </w:r>
      <w:r w:rsidR="00CE2854">
        <w:t>"</w:t>
      </w:r>
      <w:r w:rsidRPr="00337984">
        <w:t>.</w:t>
      </w:r>
    </w:p>
    <w:p w14:paraId="60D4130E" w14:textId="77777777" w:rsidR="00F70AAE" w:rsidRDefault="002325E5" w:rsidP="00337984">
      <w:pPr>
        <w:rPr>
          <w:iCs/>
        </w:rPr>
      </w:pPr>
      <w:r w:rsidRPr="00337984">
        <w:rPr>
          <w:iCs/>
        </w:rPr>
        <w:t xml:space="preserve">CPM23-1 decided that WP5A is to conduct and complete the studies as indicated in </w:t>
      </w:r>
      <w:r w:rsidRPr="004C17F9">
        <w:rPr>
          <w:i/>
        </w:rPr>
        <w:t>resolves to invite ITU-R</w:t>
      </w:r>
      <w:r w:rsidRPr="00337984">
        <w:rPr>
          <w:iCs/>
        </w:rPr>
        <w:t xml:space="preserve"> 1 of Resolution </w:t>
      </w:r>
      <w:r w:rsidRPr="004C17F9">
        <w:rPr>
          <w:b/>
          <w:bCs/>
          <w:iCs/>
        </w:rPr>
        <w:t>246 (WRC</w:t>
      </w:r>
      <w:r w:rsidR="00C92A9F">
        <w:rPr>
          <w:b/>
          <w:bCs/>
          <w:iCs/>
        </w:rPr>
        <w:t>-</w:t>
      </w:r>
      <w:r w:rsidRPr="004C17F9">
        <w:rPr>
          <w:b/>
          <w:bCs/>
          <w:iCs/>
        </w:rPr>
        <w:t>19)</w:t>
      </w:r>
      <w:r w:rsidR="00F70AAE" w:rsidRPr="00F70AAE">
        <w:rPr>
          <w:iCs/>
        </w:rPr>
        <w:t>.]</w:t>
      </w:r>
    </w:p>
    <w:p w14:paraId="77085AE1" w14:textId="0CB11252" w:rsidR="002325E5" w:rsidRPr="00837D9C" w:rsidRDefault="002325E5" w:rsidP="005B1DA5">
      <w:pPr>
        <w:pStyle w:val="Heading1"/>
      </w:pPr>
      <w:r>
        <w:t>1</w:t>
      </w:r>
      <w:r w:rsidRPr="00837D9C">
        <w:t>/1.</w:t>
      </w:r>
      <w:r>
        <w:t>3</w:t>
      </w:r>
      <w:r w:rsidRPr="00837D9C">
        <w:t>/</w:t>
      </w:r>
      <w:r>
        <w:t>3</w:t>
      </w:r>
      <w:r w:rsidRPr="00837D9C">
        <w:tab/>
      </w:r>
      <w:r w:rsidRPr="005303A3">
        <w:t>Summary</w:t>
      </w:r>
      <w:r>
        <w:t xml:space="preserve"> and analysis of the results of ITU-R studies</w:t>
      </w:r>
    </w:p>
    <w:p w14:paraId="16935C15" w14:textId="562DF2EA" w:rsidR="002325E5" w:rsidRPr="00F351A3" w:rsidRDefault="002325E5" w:rsidP="005B1DA5">
      <w:pPr>
        <w:rPr>
          <w:i/>
          <w:iCs/>
        </w:rPr>
      </w:pPr>
      <w:r w:rsidRPr="00D93E66">
        <w:rPr>
          <w:i/>
          <w:iCs/>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w:t>
      </w:r>
      <w:r>
        <w:rPr>
          <w:i/>
          <w:iCs/>
        </w:rPr>
        <w:t xml:space="preserve"> </w:t>
      </w:r>
      <w:r w:rsidRPr="00D93E66">
        <w:rPr>
          <w:i/>
          <w:iCs/>
        </w:rPr>
        <w:t>The results of the ITU-R studies should also be analysed with respect to the possible methods of satisfying the agenda item and presented in a concise manner.]</w:t>
      </w:r>
    </w:p>
    <w:p w14:paraId="2E404C4D" w14:textId="0018822D" w:rsidR="002325E5" w:rsidRPr="006558DE" w:rsidRDefault="002325E5" w:rsidP="005B1DA5">
      <w:pPr>
        <w:pStyle w:val="Heading1"/>
        <w:rPr>
          <w:lang w:eastAsia="ja-JP"/>
        </w:rPr>
      </w:pPr>
      <w:r>
        <w:t>1</w:t>
      </w:r>
      <w:r w:rsidRPr="00837D9C">
        <w:t>/1.</w:t>
      </w:r>
      <w:r>
        <w:t>3</w:t>
      </w:r>
      <w:r w:rsidRPr="006558DE">
        <w:t>/</w:t>
      </w:r>
      <w:r>
        <w:t>4</w:t>
      </w:r>
      <w:r w:rsidRPr="006558DE">
        <w:tab/>
        <w:t>Methods to satisfy the agenda item</w:t>
      </w:r>
    </w:p>
    <w:p w14:paraId="73BBE210" w14:textId="5BFE3D6E" w:rsidR="002325E5" w:rsidRPr="00F351A3" w:rsidRDefault="002325E5" w:rsidP="005B1DA5">
      <w:pPr>
        <w:rPr>
          <w:i/>
          <w:iCs/>
          <w:szCs w:val="24"/>
        </w:rPr>
      </w:pPr>
      <w:r w:rsidRPr="0049561E">
        <w:rPr>
          <w:i/>
          <w:iCs/>
        </w:rPr>
        <w:t xml:space="preserve">[This section should contain the brief description of the Method or Methods to satisfy the agenda item as per </w:t>
      </w:r>
      <w:r w:rsidR="007A1580" w:rsidRPr="0049561E">
        <w:rPr>
          <w:i/>
          <w:iCs/>
        </w:rPr>
        <w:t xml:space="preserve">Section </w:t>
      </w:r>
      <w:r w:rsidRPr="0049561E">
        <w:rPr>
          <w:i/>
          <w:iCs/>
        </w:rPr>
        <w:t>A2.4 of Annex 2 to</w:t>
      </w:r>
      <w:r w:rsidR="004C17F9">
        <w:rPr>
          <w:i/>
          <w:iCs/>
        </w:rPr>
        <w:t xml:space="preserve"> </w:t>
      </w:r>
      <w:r w:rsidR="004C17F9" w:rsidRPr="004C17F9">
        <w:rPr>
          <w:i/>
          <w:iCs/>
        </w:rPr>
        <w:t xml:space="preserve">Resolution </w:t>
      </w:r>
      <w:hyperlink r:id="rId13" w:history="1">
        <w:r w:rsidRPr="009F5ECC">
          <w:rPr>
            <w:rStyle w:val="Hyperlink"/>
            <w:i/>
            <w:iCs/>
          </w:rPr>
          <w:t>ITU-R 2-</w:t>
        </w:r>
        <w:r>
          <w:rPr>
            <w:rStyle w:val="Hyperlink"/>
            <w:i/>
            <w:iCs/>
          </w:rPr>
          <w:t>8</w:t>
        </w:r>
      </w:hyperlink>
      <w:r w:rsidRPr="0049561E">
        <w:rPr>
          <w:i/>
          <w:iCs/>
        </w:rPr>
        <w:t>]</w:t>
      </w:r>
    </w:p>
    <w:p w14:paraId="09DC7395" w14:textId="4746962B" w:rsidR="002325E5" w:rsidRPr="00B72796" w:rsidRDefault="002325E5" w:rsidP="005B1DA5">
      <w:pPr>
        <w:pStyle w:val="Heading1"/>
      </w:pPr>
      <w:r>
        <w:t>1</w:t>
      </w:r>
      <w:r w:rsidRPr="00B72796">
        <w:t>/1.</w:t>
      </w:r>
      <w:r>
        <w:t>3</w:t>
      </w:r>
      <w:r w:rsidRPr="00B72796">
        <w:t>/</w:t>
      </w:r>
      <w:r>
        <w:t>5</w:t>
      </w:r>
      <w:r w:rsidRPr="00B72796">
        <w:tab/>
        <w:t>Regulatory and procedural considerations</w:t>
      </w:r>
    </w:p>
    <w:p w14:paraId="694AC0AA" w14:textId="77777777" w:rsidR="002325E5" w:rsidRDefault="002325E5" w:rsidP="005B1DA5">
      <w:pPr>
        <w:rPr>
          <w:i/>
          <w:iCs/>
        </w:rPr>
      </w:pPr>
      <w:r w:rsidRPr="0049561E">
        <w:rPr>
          <w:i/>
          <w:iCs/>
        </w:rPr>
        <w:t>[Example(s) of regulatory text relating to the Method(s) to satisfy the agenda item]</w:t>
      </w:r>
    </w:p>
    <w:bookmarkEnd w:id="9"/>
    <w:p w14:paraId="6035D6D6" w14:textId="590EF1BA" w:rsidR="000069D4" w:rsidRDefault="000069D4" w:rsidP="00DD4BED">
      <w:pPr>
        <w:rPr>
          <w:lang w:eastAsia="zh-CN"/>
        </w:rPr>
      </w:pPr>
    </w:p>
    <w:sectPr w:rsidR="000069D4"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76E6" w14:textId="77777777" w:rsidR="002325E5" w:rsidRDefault="002325E5">
      <w:r>
        <w:separator/>
      </w:r>
    </w:p>
  </w:endnote>
  <w:endnote w:type="continuationSeparator" w:id="0">
    <w:p w14:paraId="09905A4E" w14:textId="77777777" w:rsidR="002325E5" w:rsidRDefault="0023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0101" w14:textId="173BB14C" w:rsidR="00FA124A" w:rsidRPr="002F7CB3" w:rsidRDefault="00F70AAE">
    <w:pPr>
      <w:pStyle w:val="Footer"/>
      <w:rPr>
        <w:lang w:val="en-US"/>
      </w:rPr>
    </w:pPr>
    <w:r>
      <w:fldChar w:fldCharType="begin"/>
    </w:r>
    <w:r>
      <w:instrText xml:space="preserve"> FILENAME \p \* MERGEFORMAT </w:instrText>
    </w:r>
    <w:r>
      <w:fldChar w:fldCharType="separate"/>
    </w:r>
    <w:r w:rsidRPr="00F70AAE">
      <w:rPr>
        <w:lang w:val="en-US"/>
      </w:rPr>
      <w:t>M</w:t>
    </w:r>
    <w:r>
      <w:t>:\BRSGD\TEXT2019\SG05\WP5A\300\359\359N04e.docx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12.05.21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82A5" w14:textId="6D991F97" w:rsidR="00FA124A" w:rsidRPr="002F7CB3" w:rsidRDefault="00F70AAE" w:rsidP="00E6257C">
    <w:pPr>
      <w:pStyle w:val="Footer"/>
      <w:rPr>
        <w:lang w:val="en-US"/>
      </w:rPr>
    </w:pPr>
    <w:r>
      <w:fldChar w:fldCharType="begin"/>
    </w:r>
    <w:r>
      <w:instrText xml:space="preserve"> FILENAME \p \* MERGEFORMAT </w:instrText>
    </w:r>
    <w:r>
      <w:fldChar w:fldCharType="separate"/>
    </w:r>
    <w:r w:rsidRPr="00F70AAE">
      <w:rPr>
        <w:lang w:val="en-US"/>
      </w:rPr>
      <w:t>M</w:t>
    </w:r>
    <w:r>
      <w:t>:\BRSGD\TEXT2019\SG05\WP5A\300\359\359N04e.docx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12.05.21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AF1D" w14:textId="77777777" w:rsidR="002325E5" w:rsidRDefault="002325E5">
      <w:r>
        <w:t>____________________</w:t>
      </w:r>
    </w:p>
  </w:footnote>
  <w:footnote w:type="continuationSeparator" w:id="0">
    <w:p w14:paraId="61799B12" w14:textId="77777777" w:rsidR="002325E5" w:rsidRDefault="0023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B50D" w14:textId="5CE57A40"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F3D27">
      <w:rPr>
        <w:rStyle w:val="PageNumber"/>
        <w:noProof/>
      </w:rPr>
      <w:t>2</w:t>
    </w:r>
    <w:r w:rsidR="00D02712">
      <w:rPr>
        <w:rStyle w:val="PageNumber"/>
      </w:rPr>
      <w:fldChar w:fldCharType="end"/>
    </w:r>
    <w:r>
      <w:rPr>
        <w:rStyle w:val="PageNumber"/>
      </w:rPr>
      <w:t xml:space="preserve"> -</w:t>
    </w:r>
  </w:p>
  <w:p w14:paraId="5F849B6D" w14:textId="28E7552F" w:rsidR="00FA124A" w:rsidRDefault="002325E5">
    <w:pPr>
      <w:pStyle w:val="Header"/>
      <w:rPr>
        <w:lang w:val="en-US"/>
      </w:rPr>
    </w:pPr>
    <w:r>
      <w:rPr>
        <w:lang w:val="en-US"/>
      </w:rPr>
      <w:t>5A/</w:t>
    </w:r>
    <w:r w:rsidR="00C86BFD">
      <w:rPr>
        <w:lang w:val="en-US"/>
      </w:rPr>
      <w:t>359</w:t>
    </w:r>
    <w:r w:rsidR="009A50C6">
      <w:rPr>
        <w:lang w:val="en-US"/>
      </w:rPr>
      <w:t>(Annex 4)</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E5"/>
    <w:rsid w:val="000069D4"/>
    <w:rsid w:val="000174AD"/>
    <w:rsid w:val="000356AB"/>
    <w:rsid w:val="00047A1D"/>
    <w:rsid w:val="000604B9"/>
    <w:rsid w:val="000A7D55"/>
    <w:rsid w:val="000C12C8"/>
    <w:rsid w:val="000C2E8E"/>
    <w:rsid w:val="000E0E7C"/>
    <w:rsid w:val="000F1B4B"/>
    <w:rsid w:val="000F3D27"/>
    <w:rsid w:val="0012744F"/>
    <w:rsid w:val="00131178"/>
    <w:rsid w:val="00156F66"/>
    <w:rsid w:val="00163271"/>
    <w:rsid w:val="001717B1"/>
    <w:rsid w:val="00172122"/>
    <w:rsid w:val="00182528"/>
    <w:rsid w:val="0018500B"/>
    <w:rsid w:val="00196A19"/>
    <w:rsid w:val="001A3074"/>
    <w:rsid w:val="001F3974"/>
    <w:rsid w:val="00202DC1"/>
    <w:rsid w:val="002116EE"/>
    <w:rsid w:val="002309D8"/>
    <w:rsid w:val="002325E5"/>
    <w:rsid w:val="00292C59"/>
    <w:rsid w:val="002A7FE2"/>
    <w:rsid w:val="002B0BE3"/>
    <w:rsid w:val="002D0BF7"/>
    <w:rsid w:val="002E1B4F"/>
    <w:rsid w:val="002E71D7"/>
    <w:rsid w:val="002F2E67"/>
    <w:rsid w:val="002F7CB3"/>
    <w:rsid w:val="00315546"/>
    <w:rsid w:val="00330567"/>
    <w:rsid w:val="00386A9D"/>
    <w:rsid w:val="00391081"/>
    <w:rsid w:val="003B2789"/>
    <w:rsid w:val="003C13CE"/>
    <w:rsid w:val="003C697E"/>
    <w:rsid w:val="003E2518"/>
    <w:rsid w:val="003E3933"/>
    <w:rsid w:val="003E7CEF"/>
    <w:rsid w:val="003F0D77"/>
    <w:rsid w:val="003F119A"/>
    <w:rsid w:val="00403135"/>
    <w:rsid w:val="004A0D69"/>
    <w:rsid w:val="004B1EF7"/>
    <w:rsid w:val="004B3FAD"/>
    <w:rsid w:val="004C17F9"/>
    <w:rsid w:val="004C5749"/>
    <w:rsid w:val="00501DCA"/>
    <w:rsid w:val="00513A47"/>
    <w:rsid w:val="005408DF"/>
    <w:rsid w:val="00573344"/>
    <w:rsid w:val="00583F9B"/>
    <w:rsid w:val="005B0D29"/>
    <w:rsid w:val="005E5C10"/>
    <w:rsid w:val="005F0FC0"/>
    <w:rsid w:val="005F2C78"/>
    <w:rsid w:val="006144E4"/>
    <w:rsid w:val="00650299"/>
    <w:rsid w:val="00655DDA"/>
    <w:rsid w:val="00655FC5"/>
    <w:rsid w:val="00675902"/>
    <w:rsid w:val="007A0912"/>
    <w:rsid w:val="007A1580"/>
    <w:rsid w:val="0080538C"/>
    <w:rsid w:val="00814E0A"/>
    <w:rsid w:val="00822581"/>
    <w:rsid w:val="008236C8"/>
    <w:rsid w:val="008309DD"/>
    <w:rsid w:val="0083227A"/>
    <w:rsid w:val="00866900"/>
    <w:rsid w:val="00876A8A"/>
    <w:rsid w:val="00881BA1"/>
    <w:rsid w:val="008C2302"/>
    <w:rsid w:val="008C26B8"/>
    <w:rsid w:val="008C46A9"/>
    <w:rsid w:val="008F208F"/>
    <w:rsid w:val="00982084"/>
    <w:rsid w:val="00995963"/>
    <w:rsid w:val="009A50C6"/>
    <w:rsid w:val="009B61EB"/>
    <w:rsid w:val="009C2064"/>
    <w:rsid w:val="009D1697"/>
    <w:rsid w:val="009F3A46"/>
    <w:rsid w:val="009F6520"/>
    <w:rsid w:val="00A014F8"/>
    <w:rsid w:val="00A5173C"/>
    <w:rsid w:val="00A61AEF"/>
    <w:rsid w:val="00A83224"/>
    <w:rsid w:val="00AD2345"/>
    <w:rsid w:val="00AF173A"/>
    <w:rsid w:val="00B066A4"/>
    <w:rsid w:val="00B07A13"/>
    <w:rsid w:val="00B4279B"/>
    <w:rsid w:val="00B45FC9"/>
    <w:rsid w:val="00B76F35"/>
    <w:rsid w:val="00B81138"/>
    <w:rsid w:val="00BC7CCF"/>
    <w:rsid w:val="00BE470B"/>
    <w:rsid w:val="00BF1105"/>
    <w:rsid w:val="00C57A91"/>
    <w:rsid w:val="00C86BFD"/>
    <w:rsid w:val="00C92A9F"/>
    <w:rsid w:val="00CC01C2"/>
    <w:rsid w:val="00CE2854"/>
    <w:rsid w:val="00CF21F2"/>
    <w:rsid w:val="00D02712"/>
    <w:rsid w:val="00D046A7"/>
    <w:rsid w:val="00D214D0"/>
    <w:rsid w:val="00D6546B"/>
    <w:rsid w:val="00DB178B"/>
    <w:rsid w:val="00DC17D3"/>
    <w:rsid w:val="00DD4BED"/>
    <w:rsid w:val="00DE39F0"/>
    <w:rsid w:val="00DF0AF3"/>
    <w:rsid w:val="00DF7E9F"/>
    <w:rsid w:val="00E050F1"/>
    <w:rsid w:val="00E27D7E"/>
    <w:rsid w:val="00E42E13"/>
    <w:rsid w:val="00E56D5C"/>
    <w:rsid w:val="00E6257C"/>
    <w:rsid w:val="00E63C59"/>
    <w:rsid w:val="00EE76EC"/>
    <w:rsid w:val="00F24A74"/>
    <w:rsid w:val="00F25662"/>
    <w:rsid w:val="00F70AAE"/>
    <w:rsid w:val="00F75ECE"/>
    <w:rsid w:val="00FA124A"/>
    <w:rsid w:val="00FB6CC9"/>
    <w:rsid w:val="00FB7660"/>
    <w:rsid w:val="00FC08DD"/>
    <w:rsid w:val="00FC2316"/>
    <w:rsid w:val="00FC2CFD"/>
    <w:rsid w:val="00FD6700"/>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3DFEE2"/>
  <w15:docId w15:val="{1F0708DD-1B19-4374-8B3F-0F5F953B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F75ECE"/>
    <w:pPr>
      <w:tabs>
        <w:tab w:val="left" w:pos="284"/>
      </w:tabs>
      <w:spacing w:before="80"/>
    </w:pPr>
    <w:rPr>
      <w:sz w:val="22"/>
    </w:r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717B1"/>
    <w:pPr>
      <w:tabs>
        <w:tab w:val="left" w:pos="284"/>
        <w:tab w:val="left" w:pos="567"/>
        <w:tab w:val="left" w:pos="851"/>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1A3074"/>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next w:val="Normal"/>
    <w:qFormat/>
    <w:rsid w:val="00403135"/>
    <w:pPr>
      <w:tabs>
        <w:tab w:val="clear" w:pos="1134"/>
        <w:tab w:val="clear" w:pos="1871"/>
        <w:tab w:val="clear" w:pos="2268"/>
      </w:tabs>
      <w:overflowPunct/>
      <w:autoSpaceDE/>
      <w:autoSpaceDN/>
      <w:adjustRightInd/>
      <w:textAlignment w:val="auto"/>
    </w:pPr>
    <w:rPr>
      <w:lang w:val="en-GB" w:eastAsia="zh-CN"/>
    </w:rPr>
  </w:style>
  <w:style w:type="paragraph" w:customStyle="1" w:styleId="Tablefin">
    <w:name w:val="Table_fin"/>
    <w:basedOn w:val="Normalaftertitle"/>
    <w:rsid w:val="00EE76EC"/>
    <w:pPr>
      <w:tabs>
        <w:tab w:val="clear" w:pos="1134"/>
        <w:tab w:val="clear" w:pos="1871"/>
        <w:tab w:val="clear" w:pos="2268"/>
      </w:tabs>
      <w:spacing w:before="0"/>
    </w:pPr>
    <w:rPr>
      <w:sz w:val="20"/>
      <w:lang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paragraph" w:styleId="Signature">
    <w:name w:val="Signature"/>
    <w:basedOn w:val="Normal"/>
    <w:link w:val="SignatureChar"/>
    <w:unhideWhenUsed/>
    <w:rsid w:val="00655DDA"/>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655DDA"/>
    <w:rPr>
      <w:rFonts w:ascii="Times New Roman" w:hAnsi="Times New Roman"/>
      <w:sz w:val="24"/>
      <w:lang w:val="en-GB" w:eastAsia="en-US"/>
    </w:rPr>
  </w:style>
  <w:style w:type="character" w:customStyle="1" w:styleId="Title1Char">
    <w:name w:val="Title 1 Char"/>
    <w:basedOn w:val="DefaultParagraphFont"/>
    <w:link w:val="Title1"/>
    <w:locked/>
    <w:rsid w:val="002325E5"/>
    <w:rPr>
      <w:rFonts w:ascii="Times New Roman" w:hAnsi="Times New Roman"/>
      <w:caps/>
      <w:sz w:val="28"/>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2325E5"/>
    <w:rPr>
      <w:rFonts w:ascii="Times New Roman" w:hAnsi="Times New Roman"/>
      <w:b/>
      <w:sz w:val="28"/>
      <w:lang w:val="en-GB" w:eastAsia="en-US"/>
    </w:rPr>
  </w:style>
  <w:style w:type="character" w:styleId="Hyperlink">
    <w:name w:val="Hyperlink"/>
    <w:aliases w:val="CEO_Hyperlink"/>
    <w:basedOn w:val="DefaultParagraphFont"/>
    <w:uiPriority w:val="99"/>
    <w:rsid w:val="002325E5"/>
    <w:rPr>
      <w:color w:val="0000FF"/>
      <w:u w:val="single"/>
    </w:rPr>
  </w:style>
  <w:style w:type="character" w:customStyle="1" w:styleId="NormalaftertitleChar">
    <w:name w:val="Normal_after_title Char"/>
    <w:basedOn w:val="DefaultParagraphFont"/>
    <w:link w:val="Normalaftertitle"/>
    <w:uiPriority w:val="99"/>
    <w:locked/>
    <w:rsid w:val="002325E5"/>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F70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pub/R-RES-R.2-8-20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tu.int/pub/R-RES-R.2-8-20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S-R.2-8-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tu.int/md/R19-WP5A-C-0221/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42BC0-966A-45D1-BA7C-0BBAC166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8B03D-30AD-4426-927F-C47D1062D3BB}">
  <ds:schemaRefs>
    <ds:schemaRef ds:uri="http://purl.org/dc/elements/1.1/"/>
    <ds:schemaRef ds:uri="http://schemas.microsoft.com/office/2006/metadata/properties"/>
    <ds:schemaRef ds:uri="52e7451a-2438-4699-974e-3752ec5efa44"/>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4c6a61cb-1973-4fc6-92ae-f4d7a4471404"/>
    <ds:schemaRef ds:uri="http://www.w3.org/XML/1998/namespace"/>
  </ds:schemaRefs>
</ds:datastoreItem>
</file>

<file path=customXml/itemProps3.xml><?xml version="1.0" encoding="utf-8"?>
<ds:datastoreItem xmlns:ds="http://schemas.openxmlformats.org/officeDocument/2006/customXml" ds:itemID="{DB05144F-CB18-47A9-90F6-4F34A49A8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2</Pages>
  <Words>652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Fernandez Jimenez, Virginia</cp:lastModifiedBy>
  <cp:revision>3</cp:revision>
  <cp:lastPrinted>2008-02-21T14:04:00Z</cp:lastPrinted>
  <dcterms:created xsi:type="dcterms:W3CDTF">2021-05-12T09:56:00Z</dcterms:created>
  <dcterms:modified xsi:type="dcterms:W3CDTF">2021-05-12T10:05:00Z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